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496E2" w14:textId="0D608799" w:rsidR="00BC0E5D" w:rsidRDefault="00D522F0" w:rsidP="00D522F0">
      <w:pPr>
        <w:pStyle w:val="Reporttitle"/>
        <w:spacing w:after="200"/>
      </w:pPr>
      <w:r>
        <w:t>Regulation Impact Statement</w:t>
      </w:r>
    </w:p>
    <w:p w14:paraId="79C91B66" w14:textId="2B5670A9" w:rsidR="00B65BAB" w:rsidRPr="00A51D1A" w:rsidRDefault="00B65BAB" w:rsidP="00D522F0">
      <w:pPr>
        <w:pStyle w:val="Reporttitle"/>
        <w:spacing w:after="200"/>
      </w:pPr>
      <w:r>
        <w:t>Spectrum Pricing Review</w:t>
      </w:r>
      <w:r w:rsidR="00BC0E5D">
        <w:br/>
      </w:r>
      <w:r>
        <w:t>2</w:t>
      </w:r>
      <w:r w:rsidRPr="00B65BAB">
        <w:rPr>
          <w:vertAlign w:val="superscript"/>
        </w:rPr>
        <w:t>nd</w:t>
      </w:r>
      <w:r>
        <w:t xml:space="preserve"> tranche reforms</w:t>
      </w:r>
    </w:p>
    <w:p w14:paraId="1C62D4E9" w14:textId="7C0DE8F9" w:rsidR="00D522F0" w:rsidRPr="000D76E0" w:rsidRDefault="00A86F5C" w:rsidP="00D522F0">
      <w:pPr>
        <w:pStyle w:val="Reportdate"/>
        <w:spacing w:after="720"/>
        <w:rPr>
          <w:rFonts w:cs="Arial"/>
        </w:rPr>
        <w:sectPr w:rsidR="00D522F0" w:rsidRPr="000D76E0" w:rsidSect="00DF4F2E">
          <w:headerReference w:type="default" r:id="rId8"/>
          <w:footerReference w:type="default" r:id="rId9"/>
          <w:headerReference w:type="first" r:id="rId10"/>
          <w:pgSz w:w="11906" w:h="16838" w:code="9"/>
          <w:pgMar w:top="3924" w:right="992" w:bottom="1440" w:left="1134" w:header="709" w:footer="454" w:gutter="0"/>
          <w:cols w:space="708"/>
          <w:docGrid w:linePitch="360"/>
        </w:sectPr>
      </w:pPr>
      <w:r>
        <w:t>ju</w:t>
      </w:r>
      <w:r w:rsidR="0031601B">
        <w:t>ly</w:t>
      </w:r>
      <w:r>
        <w:t xml:space="preserve"> </w:t>
      </w:r>
      <w:r w:rsidR="00D522F0">
        <w:t>202</w:t>
      </w:r>
      <w:r w:rsidR="00DC207D">
        <w:t>2</w:t>
      </w:r>
    </w:p>
    <w:p w14:paraId="168EA186" w14:textId="77777777" w:rsidR="00D522F0" w:rsidRPr="00F44F3A" w:rsidRDefault="00D522F0" w:rsidP="00D522F0">
      <w:pPr>
        <w:pStyle w:val="ACMACorporateAddressHeader"/>
      </w:pPr>
      <w:r w:rsidRPr="00F44F3A">
        <w:lastRenderedPageBreak/>
        <w:t>Canberra</w:t>
      </w:r>
    </w:p>
    <w:p w14:paraId="78D751F7" w14:textId="77777777" w:rsidR="00D522F0" w:rsidRPr="00FC07B9" w:rsidRDefault="00D522F0" w:rsidP="00D522F0">
      <w:pPr>
        <w:pStyle w:val="ACMACorporateAddresses"/>
      </w:pPr>
      <w:r w:rsidRPr="00FC07B9">
        <w:t xml:space="preserve">Red Building </w:t>
      </w:r>
      <w:r w:rsidRPr="00FC07B9">
        <w:br/>
        <w:t>Benjamin Offices</w:t>
      </w:r>
      <w:r w:rsidRPr="00FC07B9">
        <w:br/>
        <w:t xml:space="preserve">Chan Street </w:t>
      </w:r>
      <w:r w:rsidRPr="00FC07B9">
        <w:br/>
        <w:t>Belconnen ACT</w:t>
      </w:r>
    </w:p>
    <w:p w14:paraId="77706B16" w14:textId="77777777" w:rsidR="00D522F0" w:rsidRPr="00FC07B9" w:rsidRDefault="00D522F0" w:rsidP="00D522F0">
      <w:pPr>
        <w:pStyle w:val="ACMACorporateAddresses"/>
      </w:pPr>
      <w:r w:rsidRPr="00FC07B9">
        <w:t>PO Box 78</w:t>
      </w:r>
      <w:r w:rsidRPr="00FC07B9">
        <w:br/>
        <w:t>Belconnen ACT 2616</w:t>
      </w:r>
    </w:p>
    <w:p w14:paraId="2EC91CA9" w14:textId="77777777" w:rsidR="00D522F0" w:rsidRPr="00FC07B9" w:rsidRDefault="00D522F0" w:rsidP="00D522F0">
      <w:pPr>
        <w:pStyle w:val="ACMACorporateAddresses"/>
      </w:pPr>
      <w:r w:rsidRPr="00FC07B9">
        <w:t>T</w:t>
      </w:r>
      <w:r w:rsidRPr="00FC07B9">
        <w:tab/>
        <w:t>+61 2 6219 5555</w:t>
      </w:r>
      <w:r w:rsidRPr="00FC07B9">
        <w:br/>
        <w:t>F</w:t>
      </w:r>
      <w:r w:rsidRPr="00FC07B9">
        <w:tab/>
        <w:t>+61 2 6219 5353</w:t>
      </w:r>
    </w:p>
    <w:p w14:paraId="745D47FF" w14:textId="77777777" w:rsidR="00D522F0" w:rsidRPr="00F44F3A" w:rsidRDefault="00D522F0" w:rsidP="00D522F0">
      <w:pPr>
        <w:pStyle w:val="ACMACorporateAddressHeader"/>
      </w:pPr>
      <w:r w:rsidRPr="00F44F3A">
        <w:t>Melbourne</w:t>
      </w:r>
    </w:p>
    <w:p w14:paraId="39A00237" w14:textId="77777777" w:rsidR="00D522F0" w:rsidRPr="00F44F3A" w:rsidRDefault="00D522F0" w:rsidP="00D522F0">
      <w:pPr>
        <w:pStyle w:val="ACMACorporateAddresses"/>
      </w:pPr>
      <w:r w:rsidRPr="00F44F3A">
        <w:t xml:space="preserve">Level 32 </w:t>
      </w:r>
      <w:r w:rsidRPr="00F44F3A">
        <w:br/>
        <w:t>Melbourne Central Tower</w:t>
      </w:r>
      <w:r w:rsidRPr="00F44F3A">
        <w:br/>
        <w:t xml:space="preserve">360 Elizabeth Street </w:t>
      </w:r>
      <w:r w:rsidRPr="00F44F3A">
        <w:br/>
        <w:t>Melbourne VIC</w:t>
      </w:r>
    </w:p>
    <w:p w14:paraId="4A81C621" w14:textId="77777777" w:rsidR="00D522F0" w:rsidRPr="00F44F3A" w:rsidRDefault="00D522F0" w:rsidP="00D522F0">
      <w:pPr>
        <w:pStyle w:val="ACMACorporateAddresses"/>
      </w:pPr>
      <w:r w:rsidRPr="00F44F3A">
        <w:t>PO Box 13112</w:t>
      </w:r>
      <w:r w:rsidRPr="00F44F3A">
        <w:br/>
        <w:t xml:space="preserve">Law Courts </w:t>
      </w:r>
      <w:r w:rsidRPr="00F44F3A">
        <w:br/>
        <w:t>Melbourne VIC 8010</w:t>
      </w:r>
    </w:p>
    <w:p w14:paraId="75EB5FB6" w14:textId="2A14D597" w:rsidR="00923E63" w:rsidRDefault="00D522F0" w:rsidP="00923E63">
      <w:pPr>
        <w:pStyle w:val="ACMACorporateAddresses"/>
      </w:pPr>
      <w:r w:rsidRPr="00F44F3A">
        <w:t>T</w:t>
      </w:r>
      <w:r w:rsidRPr="00F44F3A">
        <w:tab/>
        <w:t>+61 3 9963 6800</w:t>
      </w:r>
      <w:r w:rsidRPr="00F44F3A">
        <w:br/>
      </w:r>
    </w:p>
    <w:p w14:paraId="206FCDD1" w14:textId="62E7E93B" w:rsidR="00D522F0" w:rsidRPr="00F44F3A" w:rsidRDefault="00D522F0" w:rsidP="00DD1C18">
      <w:pPr>
        <w:pStyle w:val="ACMACorporateAddresses"/>
      </w:pPr>
      <w:r w:rsidRPr="00F44F3A">
        <w:t>Sydney</w:t>
      </w:r>
    </w:p>
    <w:p w14:paraId="7C378524" w14:textId="77777777" w:rsidR="00D522F0" w:rsidRPr="00F44F3A" w:rsidRDefault="00D522F0" w:rsidP="00D522F0">
      <w:pPr>
        <w:pStyle w:val="ACMACorporateAddresses"/>
      </w:pPr>
      <w:r w:rsidRPr="00F44F3A">
        <w:t xml:space="preserve">Level 5 </w:t>
      </w:r>
      <w:r w:rsidRPr="00F44F3A">
        <w:br/>
        <w:t>The Bay Centre</w:t>
      </w:r>
      <w:r w:rsidRPr="00F44F3A">
        <w:br/>
        <w:t xml:space="preserve">65 Pirrama Road </w:t>
      </w:r>
      <w:r w:rsidRPr="00F44F3A">
        <w:br/>
        <w:t>Pyrmont NSW</w:t>
      </w:r>
    </w:p>
    <w:p w14:paraId="78FBBB73" w14:textId="77777777" w:rsidR="00D522F0" w:rsidRPr="00F44F3A" w:rsidRDefault="00D522F0" w:rsidP="00D522F0">
      <w:pPr>
        <w:pStyle w:val="ACMACorporateAddresses"/>
      </w:pPr>
      <w:r w:rsidRPr="00F44F3A">
        <w:t>PO Box Q500</w:t>
      </w:r>
      <w:r w:rsidRPr="00F44F3A">
        <w:br/>
        <w:t xml:space="preserve">Queen Victoria Building </w:t>
      </w:r>
      <w:r w:rsidRPr="00F44F3A">
        <w:br/>
        <w:t>NSW 1230</w:t>
      </w:r>
    </w:p>
    <w:p w14:paraId="6C5310E7" w14:textId="77777777" w:rsidR="00D522F0" w:rsidRPr="00F44F3A" w:rsidRDefault="00D522F0" w:rsidP="00D522F0">
      <w:pPr>
        <w:pStyle w:val="ACMACorporateAddresses"/>
      </w:pPr>
      <w:r w:rsidRPr="00F44F3A">
        <w:t>T</w:t>
      </w:r>
      <w:r w:rsidRPr="00F44F3A">
        <w:tab/>
        <w:t>+61 2 9334 7700 or 1800 226 667</w:t>
      </w:r>
      <w:r w:rsidRPr="00F44F3A">
        <w:br/>
        <w:t>F</w:t>
      </w:r>
      <w:r w:rsidRPr="00F44F3A">
        <w:tab/>
        <w:t>+61 2 9334 7799</w:t>
      </w:r>
    </w:p>
    <w:p w14:paraId="49BC5DEF" w14:textId="77777777" w:rsidR="00D522F0" w:rsidRPr="006D46E5" w:rsidRDefault="00D522F0" w:rsidP="00D522F0">
      <w:pPr>
        <w:pStyle w:val="ACMACopyrightHeader"/>
      </w:pPr>
      <w:r w:rsidRPr="00140318">
        <w:t>Copyright notice</w:t>
      </w:r>
    </w:p>
    <w:p w14:paraId="5A6C88F1" w14:textId="77777777" w:rsidR="00D522F0" w:rsidRPr="006D46E5" w:rsidRDefault="00D522F0" w:rsidP="00D522F0">
      <w:pPr>
        <w:pStyle w:val="ACMACClogo"/>
      </w:pPr>
      <w:r w:rsidRPr="00623FF9">
        <w:rPr>
          <w:noProof/>
        </w:rPr>
        <w:drawing>
          <wp:inline distT="0" distB="0" distL="0" distR="0" wp14:anchorId="3BE79AFC" wp14:editId="3F318DAA">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10CE6DB4" w14:textId="77777777" w:rsidR="00D522F0" w:rsidRDefault="00C35894" w:rsidP="00D522F0">
      <w:pPr>
        <w:pStyle w:val="ACMACorporateAddresses"/>
        <w:rPr>
          <w:rStyle w:val="Hyperlink"/>
        </w:rPr>
      </w:pPr>
      <w:hyperlink r:id="rId13" w:history="1">
        <w:r w:rsidR="00D522F0">
          <w:rPr>
            <w:rStyle w:val="Hyperlink"/>
          </w:rPr>
          <w:t>https://creativecommons.org/licenses/by/4.0/</w:t>
        </w:r>
      </w:hyperlink>
    </w:p>
    <w:p w14:paraId="5A53584C" w14:textId="77777777" w:rsidR="00D522F0" w:rsidRDefault="00D522F0" w:rsidP="00D522F0">
      <w:pPr>
        <w:pStyle w:val="ACMACorporateAddresses"/>
      </w:pPr>
      <w:proofErr w:type="gramStart"/>
      <w:r>
        <w:t>With the exception of</w:t>
      </w:r>
      <w:proofErr w:type="gramEnd"/>
      <w:r>
        <w:t xml:space="preserve"> coats of arms, logos, emblems, images, other third-party material or devices protected by a trademark, this content is made available under the terms of the Creative Commons Attribution 4.0 International (CC BY 4.0) licence. </w:t>
      </w:r>
    </w:p>
    <w:p w14:paraId="4A6F4781" w14:textId="2A7CBDE3" w:rsidR="00D522F0" w:rsidRDefault="00D522F0" w:rsidP="00D522F0">
      <w:pPr>
        <w:pStyle w:val="ACMACorporateAddresses"/>
      </w:pPr>
      <w:r>
        <w:t>We request attribution as © Commonwealth of Australia (Australian Communications and Media Authority) 202</w:t>
      </w:r>
      <w:r w:rsidR="001E7021">
        <w:t>2</w:t>
      </w:r>
      <w:r>
        <w:t>.</w:t>
      </w:r>
    </w:p>
    <w:p w14:paraId="2A170F49" w14:textId="77777777" w:rsidR="00D522F0" w:rsidRDefault="00D522F0" w:rsidP="00D522F0">
      <w:pPr>
        <w:pStyle w:val="ACMACorporateAddresses"/>
      </w:pPr>
      <w:r>
        <w:t>All other rights are reserved.</w:t>
      </w:r>
    </w:p>
    <w:p w14:paraId="51B21AD1" w14:textId="77777777" w:rsidR="00D522F0" w:rsidRDefault="00D522F0" w:rsidP="00D522F0">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38BB9FB7" w14:textId="77777777" w:rsidR="00D522F0" w:rsidRDefault="00D522F0" w:rsidP="00D522F0">
      <w:pPr>
        <w:pStyle w:val="ACMACorporateAddresses"/>
      </w:pPr>
      <w:r>
        <w:t>Written enquiries may be sent to:</w:t>
      </w:r>
    </w:p>
    <w:p w14:paraId="10EAF684" w14:textId="77777777" w:rsidR="00D522F0" w:rsidRDefault="00D522F0" w:rsidP="00D522F0">
      <w:pPr>
        <w:pStyle w:val="ACMACorporateAddresses"/>
        <w:rPr>
          <w:rStyle w:val="Hyperlink"/>
        </w:rPr>
      </w:pPr>
      <w:r>
        <w:t>Manager, Editorial Services</w:t>
      </w:r>
      <w:r>
        <w:br/>
        <w:t>PO Box 13112</w:t>
      </w:r>
      <w:r>
        <w:br/>
        <w:t>Law Courts</w:t>
      </w:r>
      <w:r>
        <w:br/>
        <w:t>Melbourne VIC 8010</w:t>
      </w:r>
      <w:r>
        <w:br/>
        <w:t xml:space="preserve">Email: </w:t>
      </w:r>
      <w:hyperlink r:id="rId14" w:history="1">
        <w:r>
          <w:rPr>
            <w:rStyle w:val="Hyperlink"/>
          </w:rPr>
          <w:t>info@acma.gov.au</w:t>
        </w:r>
      </w:hyperlink>
    </w:p>
    <w:p w14:paraId="20FFE0ED" w14:textId="77777777" w:rsidR="00D522F0" w:rsidRDefault="00D522F0" w:rsidP="00D522F0">
      <w:pPr>
        <w:pStyle w:val="ACMACorporateAddresses"/>
        <w:rPr>
          <w:rStyle w:val="Hyperlink"/>
        </w:rPr>
      </w:pPr>
    </w:p>
    <w:p w14:paraId="796B71B5" w14:textId="77777777" w:rsidR="00D522F0" w:rsidRDefault="00D522F0" w:rsidP="00D522F0">
      <w:pPr>
        <w:pStyle w:val="ACMACorporateAddresses"/>
      </w:pPr>
    </w:p>
    <w:p w14:paraId="136495B4" w14:textId="039EAD4F" w:rsidR="00DD1DF8" w:rsidRPr="00D16FE3" w:rsidRDefault="00DD1DF8" w:rsidP="00D522F0">
      <w:pPr>
        <w:pStyle w:val="ACMACorporateAddresses"/>
        <w:sectPr w:rsidR="00DD1DF8"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06DEB844" w14:textId="302F11A2" w:rsidR="000D476E" w:rsidRDefault="00FC7530">
      <w:pPr>
        <w:pStyle w:val="TOC1"/>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"1-3" \t "Exec summary heading,1" </w:instrText>
      </w:r>
      <w:r>
        <w:rPr>
          <w:rFonts w:cs="Arial"/>
        </w:rPr>
        <w:fldChar w:fldCharType="separate"/>
      </w:r>
      <w:r w:rsidR="000D476E">
        <w:t>Executive Summary</w:t>
      </w:r>
      <w:r w:rsidR="000D476E">
        <w:tab/>
      </w:r>
      <w:r w:rsidR="000D476E">
        <w:fldChar w:fldCharType="begin"/>
      </w:r>
      <w:r w:rsidR="000D476E">
        <w:instrText xml:space="preserve"> PAGEREF _Toc109035833 \h </w:instrText>
      </w:r>
      <w:r w:rsidR="000D476E">
        <w:fldChar w:fldCharType="separate"/>
      </w:r>
      <w:r w:rsidR="00FE0943">
        <w:t>1</w:t>
      </w:r>
      <w:r w:rsidR="000D476E">
        <w:fldChar w:fldCharType="end"/>
      </w:r>
    </w:p>
    <w:p w14:paraId="294FC0D3" w14:textId="3C3064A1" w:rsidR="000D476E" w:rsidRDefault="000D476E">
      <w:pPr>
        <w:pStyle w:val="TOC1"/>
        <w:tabs>
          <w:tab w:val="left" w:pos="885"/>
        </w:tabs>
        <w:rPr>
          <w:rFonts w:asciiTheme="minorHAnsi" w:eastAsiaTheme="minorEastAsia" w:hAnsiTheme="minorHAnsi" w:cstheme="minorBidi"/>
          <w:b w:val="0"/>
          <w:spacing w:val="0"/>
          <w:sz w:val="22"/>
          <w:szCs w:val="22"/>
        </w:rPr>
      </w:pPr>
      <w:r>
        <w:t>1.</w:t>
      </w:r>
      <w:r>
        <w:rPr>
          <w:rFonts w:asciiTheme="minorHAnsi" w:eastAsiaTheme="minorEastAsia" w:hAnsiTheme="minorHAnsi" w:cstheme="minorBidi"/>
          <w:b w:val="0"/>
          <w:spacing w:val="0"/>
          <w:sz w:val="22"/>
          <w:szCs w:val="22"/>
        </w:rPr>
        <w:tab/>
      </w:r>
      <w:r>
        <w:t>What is the policy problem?</w:t>
      </w:r>
      <w:r>
        <w:tab/>
      </w:r>
      <w:r>
        <w:fldChar w:fldCharType="begin"/>
      </w:r>
      <w:r>
        <w:instrText xml:space="preserve"> PAGEREF _Toc109035834 \h </w:instrText>
      </w:r>
      <w:r>
        <w:fldChar w:fldCharType="separate"/>
      </w:r>
      <w:r w:rsidR="00FE0943">
        <w:t>3</w:t>
      </w:r>
      <w:r>
        <w:fldChar w:fldCharType="end"/>
      </w:r>
    </w:p>
    <w:p w14:paraId="73A53A5D" w14:textId="0E48693D" w:rsidR="000D476E" w:rsidRDefault="000D476E">
      <w:pPr>
        <w:pStyle w:val="TOC2"/>
        <w:rPr>
          <w:rFonts w:asciiTheme="minorHAnsi" w:eastAsiaTheme="minorEastAsia" w:hAnsiTheme="minorHAnsi" w:cstheme="minorBidi"/>
          <w:spacing w:val="0"/>
          <w:sz w:val="22"/>
          <w:szCs w:val="22"/>
        </w:rPr>
      </w:pPr>
      <w:r>
        <w:t>The administrative pricing formula</w:t>
      </w:r>
      <w:r>
        <w:tab/>
      </w:r>
      <w:r>
        <w:fldChar w:fldCharType="begin"/>
      </w:r>
      <w:r>
        <w:instrText xml:space="preserve"> PAGEREF _Toc109035835 \h </w:instrText>
      </w:r>
      <w:r>
        <w:fldChar w:fldCharType="separate"/>
      </w:r>
      <w:r w:rsidR="00FE0943">
        <w:t>4</w:t>
      </w:r>
      <w:r>
        <w:fldChar w:fldCharType="end"/>
      </w:r>
    </w:p>
    <w:p w14:paraId="24BCE837" w14:textId="36BC2417" w:rsidR="000D476E" w:rsidRDefault="000D476E">
      <w:pPr>
        <w:pStyle w:val="TOC2"/>
        <w:rPr>
          <w:rFonts w:asciiTheme="minorHAnsi" w:eastAsiaTheme="minorEastAsia" w:hAnsiTheme="minorHAnsi" w:cstheme="minorBidi"/>
          <w:spacing w:val="0"/>
          <w:sz w:val="22"/>
          <w:szCs w:val="22"/>
        </w:rPr>
      </w:pPr>
      <w:r>
        <w:t>Addressing pricing deficiencies through analysis and industry feedback</w:t>
      </w:r>
      <w:r>
        <w:tab/>
      </w:r>
      <w:r>
        <w:fldChar w:fldCharType="begin"/>
      </w:r>
      <w:r>
        <w:instrText xml:space="preserve"> PAGEREF _Toc109035836 \h </w:instrText>
      </w:r>
      <w:r>
        <w:fldChar w:fldCharType="separate"/>
      </w:r>
      <w:r w:rsidR="00FE0943">
        <w:t>8</w:t>
      </w:r>
      <w:r>
        <w:fldChar w:fldCharType="end"/>
      </w:r>
    </w:p>
    <w:p w14:paraId="7E254524" w14:textId="16357F9E" w:rsidR="000D476E" w:rsidRDefault="000D476E">
      <w:pPr>
        <w:pStyle w:val="TOC1"/>
        <w:tabs>
          <w:tab w:val="left" w:pos="885"/>
        </w:tabs>
        <w:rPr>
          <w:rFonts w:asciiTheme="minorHAnsi" w:eastAsiaTheme="minorEastAsia" w:hAnsiTheme="minorHAnsi" w:cstheme="minorBidi"/>
          <w:b w:val="0"/>
          <w:spacing w:val="0"/>
          <w:sz w:val="22"/>
          <w:szCs w:val="22"/>
        </w:rPr>
      </w:pPr>
      <w:r>
        <w:t>2.</w:t>
      </w:r>
      <w:r>
        <w:rPr>
          <w:rFonts w:asciiTheme="minorHAnsi" w:eastAsiaTheme="minorEastAsia" w:hAnsiTheme="minorHAnsi" w:cstheme="minorBidi"/>
          <w:b w:val="0"/>
          <w:spacing w:val="0"/>
          <w:sz w:val="22"/>
          <w:szCs w:val="22"/>
        </w:rPr>
        <w:tab/>
      </w:r>
      <w:r>
        <w:t>Why is government action needed?</w:t>
      </w:r>
      <w:r>
        <w:tab/>
      </w:r>
      <w:r>
        <w:fldChar w:fldCharType="begin"/>
      </w:r>
      <w:r>
        <w:instrText xml:space="preserve"> PAGEREF _Toc109035837 \h </w:instrText>
      </w:r>
      <w:r>
        <w:fldChar w:fldCharType="separate"/>
      </w:r>
      <w:r w:rsidR="00FE0943">
        <w:t>11</w:t>
      </w:r>
      <w:r>
        <w:fldChar w:fldCharType="end"/>
      </w:r>
    </w:p>
    <w:p w14:paraId="76DA7AFF" w14:textId="0DF2F3D8" w:rsidR="000D476E" w:rsidRDefault="000D476E">
      <w:pPr>
        <w:pStyle w:val="TOC1"/>
        <w:tabs>
          <w:tab w:val="left" w:pos="885"/>
        </w:tabs>
        <w:rPr>
          <w:rFonts w:asciiTheme="minorHAnsi" w:eastAsiaTheme="minorEastAsia" w:hAnsiTheme="minorHAnsi" w:cstheme="minorBidi"/>
          <w:b w:val="0"/>
          <w:spacing w:val="0"/>
          <w:sz w:val="22"/>
          <w:szCs w:val="22"/>
        </w:rPr>
      </w:pPr>
      <w:r>
        <w:t>3.</w:t>
      </w:r>
      <w:r>
        <w:rPr>
          <w:rFonts w:asciiTheme="minorHAnsi" w:eastAsiaTheme="minorEastAsia" w:hAnsiTheme="minorHAnsi" w:cstheme="minorBidi"/>
          <w:b w:val="0"/>
          <w:spacing w:val="0"/>
          <w:sz w:val="22"/>
          <w:szCs w:val="22"/>
        </w:rPr>
        <w:tab/>
      </w:r>
      <w:r>
        <w:t>What policy options have been considered?</w:t>
      </w:r>
      <w:r>
        <w:tab/>
      </w:r>
      <w:r>
        <w:fldChar w:fldCharType="begin"/>
      </w:r>
      <w:r>
        <w:instrText xml:space="preserve"> PAGEREF _Toc109035838 \h </w:instrText>
      </w:r>
      <w:r>
        <w:fldChar w:fldCharType="separate"/>
      </w:r>
      <w:r w:rsidR="00FE0943">
        <w:t>13</w:t>
      </w:r>
      <w:r>
        <w:fldChar w:fldCharType="end"/>
      </w:r>
    </w:p>
    <w:p w14:paraId="36AD91D5" w14:textId="4846D8B5" w:rsidR="000D476E" w:rsidRDefault="000D476E">
      <w:pPr>
        <w:pStyle w:val="TOC2"/>
        <w:rPr>
          <w:rFonts w:asciiTheme="minorHAnsi" w:eastAsiaTheme="minorEastAsia" w:hAnsiTheme="minorHAnsi" w:cstheme="minorBidi"/>
          <w:spacing w:val="0"/>
          <w:sz w:val="22"/>
          <w:szCs w:val="22"/>
        </w:rPr>
      </w:pPr>
      <w:r>
        <w:t>Option 1 (Status quo)</w:t>
      </w:r>
      <w:r>
        <w:tab/>
      </w:r>
      <w:r>
        <w:fldChar w:fldCharType="begin"/>
      </w:r>
      <w:r>
        <w:instrText xml:space="preserve"> PAGEREF _Toc109035839 \h </w:instrText>
      </w:r>
      <w:r>
        <w:fldChar w:fldCharType="separate"/>
      </w:r>
      <w:r w:rsidR="00FE0943">
        <w:t>13</w:t>
      </w:r>
      <w:r>
        <w:fldChar w:fldCharType="end"/>
      </w:r>
    </w:p>
    <w:p w14:paraId="3BC06255" w14:textId="1E0416E4" w:rsidR="000D476E" w:rsidRDefault="000D476E">
      <w:pPr>
        <w:pStyle w:val="TOC2"/>
        <w:rPr>
          <w:rFonts w:asciiTheme="minorHAnsi" w:eastAsiaTheme="minorEastAsia" w:hAnsiTheme="minorHAnsi" w:cstheme="minorBidi"/>
          <w:spacing w:val="0"/>
          <w:sz w:val="22"/>
          <w:szCs w:val="22"/>
        </w:rPr>
      </w:pPr>
      <w:r>
        <w:t>Option 2 (regulatory change - preferred option)</w:t>
      </w:r>
      <w:r>
        <w:tab/>
      </w:r>
      <w:r>
        <w:fldChar w:fldCharType="begin"/>
      </w:r>
      <w:r>
        <w:instrText xml:space="preserve"> PAGEREF _Toc109035840 \h </w:instrText>
      </w:r>
      <w:r>
        <w:fldChar w:fldCharType="separate"/>
      </w:r>
      <w:r w:rsidR="00FE0943">
        <w:t>13</w:t>
      </w:r>
      <w:r>
        <w:fldChar w:fldCharType="end"/>
      </w:r>
    </w:p>
    <w:p w14:paraId="5E893B6E" w14:textId="728E8B16" w:rsidR="000D476E" w:rsidRDefault="000D476E">
      <w:pPr>
        <w:pStyle w:val="TOC3"/>
        <w:rPr>
          <w:rFonts w:asciiTheme="minorHAnsi" w:eastAsiaTheme="minorEastAsia" w:hAnsiTheme="minorHAnsi" w:cstheme="minorBidi"/>
        </w:rPr>
      </w:pPr>
      <w:r>
        <w:t>Proposals for updating the tax formula</w:t>
      </w:r>
      <w:r>
        <w:tab/>
      </w:r>
      <w:r>
        <w:fldChar w:fldCharType="begin"/>
      </w:r>
      <w:r>
        <w:instrText xml:space="preserve"> PAGEREF _Toc109035841 \h </w:instrText>
      </w:r>
      <w:r>
        <w:fldChar w:fldCharType="separate"/>
      </w:r>
      <w:r w:rsidR="00FE0943">
        <w:t>13</w:t>
      </w:r>
      <w:r>
        <w:fldChar w:fldCharType="end"/>
      </w:r>
    </w:p>
    <w:p w14:paraId="51B9E205" w14:textId="3EBB0FF2" w:rsidR="000D476E" w:rsidRDefault="000D476E">
      <w:pPr>
        <w:pStyle w:val="TOC3"/>
        <w:rPr>
          <w:rFonts w:asciiTheme="minorHAnsi" w:eastAsiaTheme="minorEastAsia" w:hAnsiTheme="minorHAnsi" w:cstheme="minorBidi"/>
        </w:rPr>
      </w:pPr>
      <w:r>
        <w:t>Proposal to reform HPON taxes</w:t>
      </w:r>
      <w:r>
        <w:tab/>
      </w:r>
      <w:r>
        <w:fldChar w:fldCharType="begin"/>
      </w:r>
      <w:r>
        <w:instrText xml:space="preserve"> PAGEREF _Toc109035842 \h </w:instrText>
      </w:r>
      <w:r>
        <w:fldChar w:fldCharType="separate"/>
      </w:r>
      <w:r w:rsidR="00FE0943">
        <w:t>22</w:t>
      </w:r>
      <w:r>
        <w:fldChar w:fldCharType="end"/>
      </w:r>
    </w:p>
    <w:p w14:paraId="6320CBB5" w14:textId="526C2BD8" w:rsidR="000D476E" w:rsidRDefault="000D476E">
      <w:pPr>
        <w:pStyle w:val="TOC3"/>
        <w:rPr>
          <w:rFonts w:asciiTheme="minorHAnsi" w:eastAsiaTheme="minorEastAsia" w:hAnsiTheme="minorHAnsi" w:cstheme="minorBidi"/>
        </w:rPr>
      </w:pPr>
      <w:r>
        <w:t>Proposals to adjust tranche 1 reforms</w:t>
      </w:r>
      <w:r>
        <w:tab/>
      </w:r>
      <w:r>
        <w:fldChar w:fldCharType="begin"/>
      </w:r>
      <w:r>
        <w:instrText xml:space="preserve"> PAGEREF _Toc109035843 \h </w:instrText>
      </w:r>
      <w:r>
        <w:fldChar w:fldCharType="separate"/>
      </w:r>
      <w:r w:rsidR="00FE0943">
        <w:t>25</w:t>
      </w:r>
      <w:r>
        <w:fldChar w:fldCharType="end"/>
      </w:r>
    </w:p>
    <w:p w14:paraId="7C33BC30" w14:textId="5AAD8A69" w:rsidR="000D476E" w:rsidRDefault="000D476E">
      <w:pPr>
        <w:pStyle w:val="TOC1"/>
        <w:rPr>
          <w:rFonts w:asciiTheme="minorHAnsi" w:eastAsiaTheme="minorEastAsia" w:hAnsiTheme="minorHAnsi" w:cstheme="minorBidi"/>
          <w:b w:val="0"/>
          <w:spacing w:val="0"/>
          <w:sz w:val="22"/>
          <w:szCs w:val="22"/>
        </w:rPr>
      </w:pPr>
      <w:r>
        <w:t>4. Who did you consult and how did you incorporate their feedback?</w:t>
      </w:r>
      <w:r>
        <w:tab/>
      </w:r>
      <w:r>
        <w:fldChar w:fldCharType="begin"/>
      </w:r>
      <w:r>
        <w:instrText xml:space="preserve"> PAGEREF _Toc109035844 \h </w:instrText>
      </w:r>
      <w:r>
        <w:fldChar w:fldCharType="separate"/>
      </w:r>
      <w:r w:rsidR="00FE0943">
        <w:t>29</w:t>
      </w:r>
      <w:r>
        <w:fldChar w:fldCharType="end"/>
      </w:r>
    </w:p>
    <w:p w14:paraId="67C76AAE" w14:textId="7B4E9F46" w:rsidR="000D476E" w:rsidRDefault="000D476E">
      <w:pPr>
        <w:pStyle w:val="TOC3"/>
        <w:rPr>
          <w:rFonts w:asciiTheme="minorHAnsi" w:eastAsiaTheme="minorEastAsia" w:hAnsiTheme="minorHAnsi" w:cstheme="minorBidi"/>
        </w:rPr>
      </w:pPr>
      <w:r>
        <w:t>Amalgamate the &gt;30 to 403 MHz range into a single band</w:t>
      </w:r>
      <w:r>
        <w:tab/>
      </w:r>
      <w:r>
        <w:fldChar w:fldCharType="begin"/>
      </w:r>
      <w:r>
        <w:instrText xml:space="preserve"> PAGEREF _Toc109035845 \h </w:instrText>
      </w:r>
      <w:r>
        <w:fldChar w:fldCharType="separate"/>
      </w:r>
      <w:r w:rsidR="00FE0943">
        <w:t>29</w:t>
      </w:r>
      <w:r>
        <w:fldChar w:fldCharType="end"/>
      </w:r>
    </w:p>
    <w:p w14:paraId="68548F1E" w14:textId="6BDDBE15" w:rsidR="000D476E" w:rsidRDefault="000D476E">
      <w:pPr>
        <w:pStyle w:val="TOC3"/>
        <w:rPr>
          <w:rFonts w:asciiTheme="minorHAnsi" w:eastAsiaTheme="minorEastAsia" w:hAnsiTheme="minorHAnsi" w:cstheme="minorBidi"/>
        </w:rPr>
      </w:pPr>
      <w:r>
        <w:t>Increase weightings in high and medium density areas for the &gt;2,690 to 5,000 MHz spectrum location</w:t>
      </w:r>
      <w:r>
        <w:tab/>
      </w:r>
      <w:r>
        <w:fldChar w:fldCharType="begin"/>
      </w:r>
      <w:r>
        <w:instrText xml:space="preserve"> PAGEREF _Toc109035846 \h </w:instrText>
      </w:r>
      <w:r>
        <w:fldChar w:fldCharType="separate"/>
      </w:r>
      <w:r w:rsidR="00FE0943">
        <w:t>29</w:t>
      </w:r>
      <w:r>
        <w:fldChar w:fldCharType="end"/>
      </w:r>
    </w:p>
    <w:p w14:paraId="0F03600C" w14:textId="7BA69631" w:rsidR="000D476E" w:rsidRDefault="000D476E">
      <w:pPr>
        <w:pStyle w:val="TOC3"/>
        <w:rPr>
          <w:rFonts w:asciiTheme="minorHAnsi" w:eastAsiaTheme="minorEastAsia" w:hAnsiTheme="minorHAnsi" w:cstheme="minorBidi"/>
        </w:rPr>
      </w:pPr>
      <w:r>
        <w:t>Apply the minimum tax in a new spectrum location band for services above 100 GHz</w:t>
      </w:r>
      <w:r>
        <w:tab/>
      </w:r>
      <w:r>
        <w:fldChar w:fldCharType="begin"/>
      </w:r>
      <w:r>
        <w:instrText xml:space="preserve"> PAGEREF _Toc109035847 \h </w:instrText>
      </w:r>
      <w:r>
        <w:fldChar w:fldCharType="separate"/>
      </w:r>
      <w:r w:rsidR="00FE0943">
        <w:t>30</w:t>
      </w:r>
      <w:r>
        <w:fldChar w:fldCharType="end"/>
      </w:r>
    </w:p>
    <w:p w14:paraId="0F88604A" w14:textId="72B759EF" w:rsidR="000D476E" w:rsidRDefault="000D476E">
      <w:pPr>
        <w:pStyle w:val="TOC3"/>
        <w:rPr>
          <w:rFonts w:asciiTheme="minorHAnsi" w:eastAsiaTheme="minorEastAsia" w:hAnsiTheme="minorHAnsi" w:cstheme="minorBidi"/>
        </w:rPr>
      </w:pPr>
      <w:r>
        <w:t>Cease annual CPI updates to taxes, and instead regularly update taxes based on annual population data updates</w:t>
      </w:r>
      <w:r>
        <w:tab/>
      </w:r>
      <w:r>
        <w:fldChar w:fldCharType="begin"/>
      </w:r>
      <w:r>
        <w:instrText xml:space="preserve"> PAGEREF _Toc109035848 \h </w:instrText>
      </w:r>
      <w:r>
        <w:fldChar w:fldCharType="separate"/>
      </w:r>
      <w:r w:rsidR="00FE0943">
        <w:t>31</w:t>
      </w:r>
      <w:r>
        <w:fldChar w:fldCharType="end"/>
      </w:r>
    </w:p>
    <w:p w14:paraId="7DE2A5A2" w14:textId="0D68EFAD" w:rsidR="000D476E" w:rsidRDefault="000D476E">
      <w:pPr>
        <w:pStyle w:val="TOC3"/>
        <w:rPr>
          <w:rFonts w:asciiTheme="minorHAnsi" w:eastAsiaTheme="minorEastAsia" w:hAnsiTheme="minorHAnsi" w:cstheme="minorBidi"/>
        </w:rPr>
      </w:pPr>
      <w:r>
        <w:t>Expand the Perth and Adelaide medium density areas</w:t>
      </w:r>
      <w:r>
        <w:tab/>
      </w:r>
      <w:r>
        <w:fldChar w:fldCharType="begin"/>
      </w:r>
      <w:r>
        <w:instrText xml:space="preserve"> PAGEREF _Toc109035849 \h </w:instrText>
      </w:r>
      <w:r>
        <w:fldChar w:fldCharType="separate"/>
      </w:r>
      <w:r w:rsidR="00FE0943">
        <w:t>32</w:t>
      </w:r>
      <w:r>
        <w:fldChar w:fldCharType="end"/>
      </w:r>
    </w:p>
    <w:p w14:paraId="7AF9453D" w14:textId="02E09E0A" w:rsidR="000D476E" w:rsidRDefault="000D476E">
      <w:pPr>
        <w:pStyle w:val="TOC3"/>
        <w:rPr>
          <w:rFonts w:asciiTheme="minorHAnsi" w:eastAsiaTheme="minorEastAsia" w:hAnsiTheme="minorHAnsi" w:cstheme="minorBidi"/>
        </w:rPr>
      </w:pPr>
      <w:r>
        <w:t>Proposal to reform HPON taxes</w:t>
      </w:r>
      <w:r>
        <w:tab/>
      </w:r>
      <w:r>
        <w:fldChar w:fldCharType="begin"/>
      </w:r>
      <w:r>
        <w:instrText xml:space="preserve"> PAGEREF _Toc109035850 \h </w:instrText>
      </w:r>
      <w:r>
        <w:fldChar w:fldCharType="separate"/>
      </w:r>
      <w:r w:rsidR="00FE0943">
        <w:t>33</w:t>
      </w:r>
      <w:r>
        <w:fldChar w:fldCharType="end"/>
      </w:r>
    </w:p>
    <w:p w14:paraId="47E22C12" w14:textId="0188F2F9" w:rsidR="000D476E" w:rsidRDefault="000D476E">
      <w:pPr>
        <w:pStyle w:val="TOC3"/>
        <w:rPr>
          <w:rFonts w:asciiTheme="minorHAnsi" w:eastAsiaTheme="minorEastAsia" w:hAnsiTheme="minorHAnsi" w:cstheme="minorBidi"/>
        </w:rPr>
      </w:pPr>
      <w:r>
        <w:t>Proposals to adjust tranche 1 reforms</w:t>
      </w:r>
      <w:r>
        <w:tab/>
      </w:r>
      <w:r>
        <w:fldChar w:fldCharType="begin"/>
      </w:r>
      <w:r>
        <w:instrText xml:space="preserve"> PAGEREF _Toc109035851 \h </w:instrText>
      </w:r>
      <w:r>
        <w:fldChar w:fldCharType="separate"/>
      </w:r>
      <w:r w:rsidR="00FE0943">
        <w:t>34</w:t>
      </w:r>
      <w:r>
        <w:fldChar w:fldCharType="end"/>
      </w:r>
    </w:p>
    <w:p w14:paraId="4AC19291" w14:textId="47A7285B" w:rsidR="000D476E" w:rsidRDefault="000D476E">
      <w:pPr>
        <w:pStyle w:val="TOC1"/>
        <w:rPr>
          <w:rFonts w:asciiTheme="minorHAnsi" w:eastAsiaTheme="minorEastAsia" w:hAnsiTheme="minorHAnsi" w:cstheme="minorBidi"/>
          <w:b w:val="0"/>
          <w:spacing w:val="0"/>
          <w:sz w:val="22"/>
          <w:szCs w:val="22"/>
        </w:rPr>
      </w:pPr>
      <w:r>
        <w:t>5. What are the expected benefits of the options?</w:t>
      </w:r>
      <w:r>
        <w:tab/>
      </w:r>
      <w:r>
        <w:fldChar w:fldCharType="begin"/>
      </w:r>
      <w:r>
        <w:instrText xml:space="preserve"> PAGEREF _Toc109035852 \h </w:instrText>
      </w:r>
      <w:r>
        <w:fldChar w:fldCharType="separate"/>
      </w:r>
      <w:r w:rsidR="00FE0943">
        <w:t>37</w:t>
      </w:r>
      <w:r>
        <w:fldChar w:fldCharType="end"/>
      </w:r>
    </w:p>
    <w:p w14:paraId="7F20B151" w14:textId="673BA35C" w:rsidR="000D476E" w:rsidRDefault="000D476E">
      <w:pPr>
        <w:pStyle w:val="TOC2"/>
        <w:rPr>
          <w:rFonts w:asciiTheme="minorHAnsi" w:eastAsiaTheme="minorEastAsia" w:hAnsiTheme="minorHAnsi" w:cstheme="minorBidi"/>
          <w:spacing w:val="0"/>
          <w:sz w:val="22"/>
          <w:szCs w:val="22"/>
        </w:rPr>
      </w:pPr>
      <w:r>
        <w:t>Option 1 (Status quo)</w:t>
      </w:r>
      <w:r>
        <w:tab/>
      </w:r>
      <w:r>
        <w:fldChar w:fldCharType="begin"/>
      </w:r>
      <w:r>
        <w:instrText xml:space="preserve"> PAGEREF _Toc109035853 \h </w:instrText>
      </w:r>
      <w:r>
        <w:fldChar w:fldCharType="separate"/>
      </w:r>
      <w:r w:rsidR="00FE0943">
        <w:t>37</w:t>
      </w:r>
      <w:r>
        <w:fldChar w:fldCharType="end"/>
      </w:r>
    </w:p>
    <w:p w14:paraId="243F7F2B" w14:textId="1D0B6C64" w:rsidR="000D476E" w:rsidRDefault="000D476E">
      <w:pPr>
        <w:pStyle w:val="TOC2"/>
        <w:rPr>
          <w:rFonts w:asciiTheme="minorHAnsi" w:eastAsiaTheme="minorEastAsia" w:hAnsiTheme="minorHAnsi" w:cstheme="minorBidi"/>
          <w:spacing w:val="0"/>
          <w:sz w:val="22"/>
          <w:szCs w:val="22"/>
        </w:rPr>
      </w:pPr>
      <w:r>
        <w:t>Option 2 (regulatory change - preferred option)</w:t>
      </w:r>
      <w:r>
        <w:tab/>
      </w:r>
      <w:r>
        <w:fldChar w:fldCharType="begin"/>
      </w:r>
      <w:r>
        <w:instrText xml:space="preserve"> PAGEREF _Toc109035854 \h </w:instrText>
      </w:r>
      <w:r>
        <w:fldChar w:fldCharType="separate"/>
      </w:r>
      <w:r w:rsidR="00FE0943">
        <w:t>37</w:t>
      </w:r>
      <w:r>
        <w:fldChar w:fldCharType="end"/>
      </w:r>
    </w:p>
    <w:p w14:paraId="32FE4926" w14:textId="61440B5E" w:rsidR="000D476E" w:rsidRDefault="000D476E">
      <w:pPr>
        <w:pStyle w:val="TOC3"/>
        <w:rPr>
          <w:rFonts w:asciiTheme="minorHAnsi" w:eastAsiaTheme="minorEastAsia" w:hAnsiTheme="minorHAnsi" w:cstheme="minorBidi"/>
        </w:rPr>
      </w:pPr>
      <w:r>
        <w:t>Proposals for updating the tax formula</w:t>
      </w:r>
      <w:r>
        <w:tab/>
      </w:r>
      <w:r>
        <w:fldChar w:fldCharType="begin"/>
      </w:r>
      <w:r>
        <w:instrText xml:space="preserve"> PAGEREF _Toc109035855 \h </w:instrText>
      </w:r>
      <w:r>
        <w:fldChar w:fldCharType="separate"/>
      </w:r>
      <w:r w:rsidR="00FE0943">
        <w:t>39</w:t>
      </w:r>
      <w:r>
        <w:fldChar w:fldCharType="end"/>
      </w:r>
    </w:p>
    <w:p w14:paraId="6048F6F1" w14:textId="462BCD1D" w:rsidR="000D476E" w:rsidRDefault="000D476E">
      <w:pPr>
        <w:pStyle w:val="TOC3"/>
        <w:rPr>
          <w:rFonts w:asciiTheme="minorHAnsi" w:eastAsiaTheme="minorEastAsia" w:hAnsiTheme="minorHAnsi" w:cstheme="minorBidi"/>
        </w:rPr>
      </w:pPr>
      <w:r>
        <w:t>Proposal to reform HPON taxes</w:t>
      </w:r>
      <w:r>
        <w:tab/>
      </w:r>
      <w:r>
        <w:fldChar w:fldCharType="begin"/>
      </w:r>
      <w:r>
        <w:instrText xml:space="preserve"> PAGEREF _Toc109035856 \h </w:instrText>
      </w:r>
      <w:r>
        <w:fldChar w:fldCharType="separate"/>
      </w:r>
      <w:r w:rsidR="00FE0943">
        <w:t>42</w:t>
      </w:r>
      <w:r>
        <w:fldChar w:fldCharType="end"/>
      </w:r>
    </w:p>
    <w:p w14:paraId="6A3667F8" w14:textId="5DC2E7B8" w:rsidR="000D476E" w:rsidRDefault="000D476E">
      <w:pPr>
        <w:pStyle w:val="TOC3"/>
        <w:rPr>
          <w:rFonts w:asciiTheme="minorHAnsi" w:eastAsiaTheme="minorEastAsia" w:hAnsiTheme="minorHAnsi" w:cstheme="minorBidi"/>
        </w:rPr>
      </w:pPr>
      <w:r>
        <w:t>Proposals to adjust tranche 1 reforms</w:t>
      </w:r>
      <w:r>
        <w:tab/>
      </w:r>
      <w:r>
        <w:fldChar w:fldCharType="begin"/>
      </w:r>
      <w:r>
        <w:instrText xml:space="preserve"> PAGEREF _Toc109035857 \h </w:instrText>
      </w:r>
      <w:r>
        <w:fldChar w:fldCharType="separate"/>
      </w:r>
      <w:r w:rsidR="00FE0943">
        <w:t>42</w:t>
      </w:r>
      <w:r>
        <w:fldChar w:fldCharType="end"/>
      </w:r>
    </w:p>
    <w:p w14:paraId="443F8EED" w14:textId="58BAB4D8" w:rsidR="000D476E" w:rsidRDefault="000D476E">
      <w:pPr>
        <w:pStyle w:val="TOC1"/>
        <w:rPr>
          <w:rFonts w:asciiTheme="minorHAnsi" w:eastAsiaTheme="minorEastAsia" w:hAnsiTheme="minorHAnsi" w:cstheme="minorBidi"/>
          <w:b w:val="0"/>
          <w:spacing w:val="0"/>
          <w:sz w:val="22"/>
          <w:szCs w:val="22"/>
        </w:rPr>
      </w:pPr>
      <w:r>
        <w:t>6. What is the best option?</w:t>
      </w:r>
      <w:r>
        <w:tab/>
      </w:r>
      <w:r>
        <w:fldChar w:fldCharType="begin"/>
      </w:r>
      <w:r>
        <w:instrText xml:space="preserve"> PAGEREF _Toc109035858 \h </w:instrText>
      </w:r>
      <w:r>
        <w:fldChar w:fldCharType="separate"/>
      </w:r>
      <w:r w:rsidR="00FE0943">
        <w:t>44</w:t>
      </w:r>
      <w:r>
        <w:fldChar w:fldCharType="end"/>
      </w:r>
    </w:p>
    <w:p w14:paraId="555B0146" w14:textId="7E0C5779" w:rsidR="000D476E" w:rsidRDefault="000D476E">
      <w:pPr>
        <w:pStyle w:val="TOC1"/>
        <w:rPr>
          <w:rFonts w:asciiTheme="minorHAnsi" w:eastAsiaTheme="minorEastAsia" w:hAnsiTheme="minorHAnsi" w:cstheme="minorBidi"/>
          <w:b w:val="0"/>
          <w:spacing w:val="0"/>
          <w:sz w:val="22"/>
          <w:szCs w:val="22"/>
        </w:rPr>
      </w:pPr>
      <w:r>
        <w:lastRenderedPageBreak/>
        <w:t>7. How will you implement and evaluate your chosen option?</w:t>
      </w:r>
      <w:r>
        <w:tab/>
      </w:r>
      <w:r>
        <w:fldChar w:fldCharType="begin"/>
      </w:r>
      <w:r>
        <w:instrText xml:space="preserve"> PAGEREF _Toc109035859 \h </w:instrText>
      </w:r>
      <w:r>
        <w:fldChar w:fldCharType="separate"/>
      </w:r>
      <w:r w:rsidR="00FE0943">
        <w:t>46</w:t>
      </w:r>
      <w:r>
        <w:fldChar w:fldCharType="end"/>
      </w:r>
    </w:p>
    <w:p w14:paraId="1F4CB8D7" w14:textId="0EDB7C5B" w:rsidR="000D476E" w:rsidRDefault="000D476E">
      <w:pPr>
        <w:pStyle w:val="TOC1"/>
        <w:rPr>
          <w:rFonts w:asciiTheme="minorHAnsi" w:eastAsiaTheme="minorEastAsia" w:hAnsiTheme="minorHAnsi" w:cstheme="minorBidi"/>
          <w:b w:val="0"/>
          <w:spacing w:val="0"/>
          <w:sz w:val="22"/>
          <w:szCs w:val="22"/>
        </w:rPr>
      </w:pPr>
      <w:r>
        <w:t>Appendix A – Spectrum pricing review recommendations</w:t>
      </w:r>
      <w:r>
        <w:tab/>
      </w:r>
      <w:r>
        <w:fldChar w:fldCharType="begin"/>
      </w:r>
      <w:r>
        <w:instrText xml:space="preserve"> PAGEREF _Toc109035860 \h </w:instrText>
      </w:r>
      <w:r>
        <w:fldChar w:fldCharType="separate"/>
      </w:r>
      <w:r w:rsidR="00FE0943">
        <w:t>47</w:t>
      </w:r>
      <w:r>
        <w:fldChar w:fldCharType="end"/>
      </w:r>
    </w:p>
    <w:p w14:paraId="5D5BE4D9" w14:textId="1570D248" w:rsidR="000D476E" w:rsidRDefault="000D476E">
      <w:pPr>
        <w:pStyle w:val="TOC3"/>
        <w:rPr>
          <w:rFonts w:asciiTheme="minorHAnsi" w:eastAsiaTheme="minorEastAsia" w:hAnsiTheme="minorHAnsi" w:cstheme="minorBidi"/>
        </w:rPr>
      </w:pPr>
      <w:r>
        <w:t>Allocation decisions</w:t>
      </w:r>
      <w:r>
        <w:tab/>
      </w:r>
      <w:r>
        <w:fldChar w:fldCharType="begin"/>
      </w:r>
      <w:r>
        <w:instrText xml:space="preserve"> PAGEREF _Toc109035861 \h </w:instrText>
      </w:r>
      <w:r>
        <w:fldChar w:fldCharType="separate"/>
      </w:r>
      <w:r w:rsidR="00FE0943">
        <w:t>47</w:t>
      </w:r>
      <w:r>
        <w:fldChar w:fldCharType="end"/>
      </w:r>
    </w:p>
    <w:p w14:paraId="29674362" w14:textId="3DFA021A" w:rsidR="000D476E" w:rsidRDefault="000D476E">
      <w:pPr>
        <w:pStyle w:val="TOC3"/>
        <w:rPr>
          <w:rFonts w:asciiTheme="minorHAnsi" w:eastAsiaTheme="minorEastAsia" w:hAnsiTheme="minorHAnsi" w:cstheme="minorBidi"/>
        </w:rPr>
      </w:pPr>
      <w:r>
        <w:t>Market-based allocations</w:t>
      </w:r>
      <w:r>
        <w:tab/>
      </w:r>
      <w:r>
        <w:fldChar w:fldCharType="begin"/>
      </w:r>
      <w:r>
        <w:instrText xml:space="preserve"> PAGEREF _Toc109035862 \h </w:instrText>
      </w:r>
      <w:r>
        <w:fldChar w:fldCharType="separate"/>
      </w:r>
      <w:r w:rsidR="00FE0943">
        <w:t>47</w:t>
      </w:r>
      <w:r>
        <w:fldChar w:fldCharType="end"/>
      </w:r>
    </w:p>
    <w:p w14:paraId="7990C550" w14:textId="263023FF" w:rsidR="000D476E" w:rsidRDefault="000D476E">
      <w:pPr>
        <w:pStyle w:val="TOC3"/>
        <w:rPr>
          <w:rFonts w:asciiTheme="minorHAnsi" w:eastAsiaTheme="minorEastAsia" w:hAnsiTheme="minorHAnsi" w:cstheme="minorBidi"/>
        </w:rPr>
      </w:pPr>
      <w:r>
        <w:t>Administered allocations</w:t>
      </w:r>
      <w:r>
        <w:tab/>
      </w:r>
      <w:r>
        <w:fldChar w:fldCharType="begin"/>
      </w:r>
      <w:r>
        <w:instrText xml:space="preserve"> PAGEREF _Toc109035863 \h </w:instrText>
      </w:r>
      <w:r>
        <w:fldChar w:fldCharType="separate"/>
      </w:r>
      <w:r w:rsidR="00FE0943">
        <w:t>47</w:t>
      </w:r>
      <w:r>
        <w:fldChar w:fldCharType="end"/>
      </w:r>
    </w:p>
    <w:p w14:paraId="41EE8F8A" w14:textId="31839DF4" w:rsidR="000D476E" w:rsidRDefault="000D476E">
      <w:pPr>
        <w:pStyle w:val="TOC3"/>
        <w:rPr>
          <w:rFonts w:asciiTheme="minorHAnsi" w:eastAsiaTheme="minorEastAsia" w:hAnsiTheme="minorHAnsi" w:cstheme="minorBidi"/>
        </w:rPr>
      </w:pPr>
      <w:r>
        <w:t>Legislative and cost recovery framework</w:t>
      </w:r>
      <w:r>
        <w:tab/>
      </w:r>
      <w:r>
        <w:fldChar w:fldCharType="begin"/>
      </w:r>
      <w:r>
        <w:instrText xml:space="preserve"> PAGEREF _Toc109035864 \h </w:instrText>
      </w:r>
      <w:r>
        <w:fldChar w:fldCharType="separate"/>
      </w:r>
      <w:r w:rsidR="00FE0943">
        <w:t>47</w:t>
      </w:r>
      <w:r>
        <w:fldChar w:fldCharType="end"/>
      </w:r>
    </w:p>
    <w:p w14:paraId="7805762C" w14:textId="7E72F9D8" w:rsidR="000D476E" w:rsidRDefault="000D476E">
      <w:pPr>
        <w:pStyle w:val="TOC1"/>
        <w:rPr>
          <w:rFonts w:asciiTheme="minorHAnsi" w:eastAsiaTheme="minorEastAsia" w:hAnsiTheme="minorHAnsi" w:cstheme="minorBidi"/>
          <w:b w:val="0"/>
          <w:spacing w:val="0"/>
          <w:sz w:val="22"/>
          <w:szCs w:val="22"/>
        </w:rPr>
      </w:pPr>
      <w:r>
        <w:t>Appendix B – Density areas</w:t>
      </w:r>
      <w:r>
        <w:tab/>
      </w:r>
      <w:r>
        <w:fldChar w:fldCharType="begin"/>
      </w:r>
      <w:r>
        <w:instrText xml:space="preserve"> PAGEREF _Toc109035865 \h </w:instrText>
      </w:r>
      <w:r>
        <w:fldChar w:fldCharType="separate"/>
      </w:r>
      <w:r w:rsidR="00FE0943">
        <w:t>49</w:t>
      </w:r>
      <w:r>
        <w:fldChar w:fldCharType="end"/>
      </w:r>
    </w:p>
    <w:p w14:paraId="04937C69" w14:textId="29B2C829" w:rsidR="000D476E" w:rsidRDefault="000D476E">
      <w:pPr>
        <w:pStyle w:val="TOC3"/>
        <w:rPr>
          <w:rFonts w:asciiTheme="minorHAnsi" w:eastAsiaTheme="minorEastAsia" w:hAnsiTheme="minorHAnsi" w:cstheme="minorBidi"/>
        </w:rPr>
      </w:pPr>
      <w:r>
        <w:t>Map legend</w:t>
      </w:r>
      <w:r>
        <w:tab/>
      </w:r>
      <w:r>
        <w:fldChar w:fldCharType="begin"/>
      </w:r>
      <w:r>
        <w:instrText xml:space="preserve"> PAGEREF _Toc109035866 \h </w:instrText>
      </w:r>
      <w:r>
        <w:fldChar w:fldCharType="separate"/>
      </w:r>
      <w:r w:rsidR="00FE0943">
        <w:t>49</w:t>
      </w:r>
      <w:r>
        <w:fldChar w:fldCharType="end"/>
      </w:r>
    </w:p>
    <w:p w14:paraId="29187687" w14:textId="30BFA60A" w:rsidR="000D476E" w:rsidRDefault="000D476E">
      <w:pPr>
        <w:pStyle w:val="TOC1"/>
        <w:rPr>
          <w:rFonts w:asciiTheme="minorHAnsi" w:eastAsiaTheme="minorEastAsia" w:hAnsiTheme="minorHAnsi" w:cstheme="minorBidi"/>
          <w:b w:val="0"/>
          <w:spacing w:val="0"/>
          <w:sz w:val="22"/>
          <w:szCs w:val="22"/>
        </w:rPr>
      </w:pPr>
      <w:r>
        <w:t>Appendix C – The administrative pricing formula</w:t>
      </w:r>
      <w:r>
        <w:tab/>
      </w:r>
      <w:r>
        <w:fldChar w:fldCharType="begin"/>
      </w:r>
      <w:r>
        <w:instrText xml:space="preserve"> PAGEREF _Toc109035867 \h </w:instrText>
      </w:r>
      <w:r>
        <w:fldChar w:fldCharType="separate"/>
      </w:r>
      <w:r w:rsidR="00FE0943">
        <w:t>50</w:t>
      </w:r>
      <w:r>
        <w:fldChar w:fldCharType="end"/>
      </w:r>
    </w:p>
    <w:p w14:paraId="7FD0334C" w14:textId="2A87DD3B" w:rsidR="00D522F0" w:rsidRPr="000D76E0" w:rsidRDefault="00FC7530" w:rsidP="00FC7530">
      <w:pPr>
        <w:rPr>
          <w:rFonts w:cs="Arial"/>
        </w:rPr>
        <w:sectPr w:rsidR="00D522F0" w:rsidRPr="000D76E0" w:rsidSect="00DF4F2E">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noProof/>
          <w:spacing w:val="-14"/>
          <w:sz w:val="28"/>
        </w:rPr>
        <w:fldChar w:fldCharType="end"/>
      </w:r>
    </w:p>
    <w:p w14:paraId="50072146" w14:textId="18EB511E" w:rsidR="003C7CC4" w:rsidRDefault="00045EC0" w:rsidP="003C7CC4">
      <w:pPr>
        <w:pStyle w:val="Heading1"/>
      </w:pPr>
      <w:bookmarkStart w:id="0" w:name="_Toc109035833"/>
      <w:bookmarkStart w:id="1" w:name="_Hlk29457115"/>
      <w:bookmarkStart w:id="2" w:name="_Toc298924672"/>
      <w:bookmarkStart w:id="3" w:name="_Toc300909555"/>
      <w:bookmarkStart w:id="4" w:name="_Toc348105636"/>
      <w:r>
        <w:lastRenderedPageBreak/>
        <w:t>Exec</w:t>
      </w:r>
      <w:r w:rsidR="00D20819">
        <w:t>utive</w:t>
      </w:r>
      <w:r>
        <w:t xml:space="preserve"> Sum</w:t>
      </w:r>
      <w:r w:rsidR="00D20819">
        <w:t>mary</w:t>
      </w:r>
      <w:bookmarkEnd w:id="0"/>
    </w:p>
    <w:p w14:paraId="1DCFC900" w14:textId="0AF78205" w:rsidR="00794B34" w:rsidRDefault="00367601" w:rsidP="00367601">
      <w:pPr>
        <w:spacing w:before="120" w:after="120" w:line="240" w:lineRule="auto"/>
        <w:rPr>
          <w:rFonts w:cs="Arial"/>
          <w:iCs/>
          <w:szCs w:val="20"/>
        </w:rPr>
      </w:pPr>
      <w:r w:rsidRPr="00AB04F9">
        <w:rPr>
          <w:rFonts w:cs="Arial"/>
          <w:iCs/>
          <w:szCs w:val="20"/>
        </w:rPr>
        <w:t>The ACMA</w:t>
      </w:r>
      <w:r w:rsidR="00C978CF">
        <w:rPr>
          <w:rFonts w:cs="Arial"/>
          <w:iCs/>
          <w:szCs w:val="20"/>
        </w:rPr>
        <w:t xml:space="preserve"> has</w:t>
      </w:r>
      <w:r w:rsidRPr="00AB04F9">
        <w:rPr>
          <w:rFonts w:cs="Arial"/>
          <w:iCs/>
          <w:szCs w:val="20"/>
        </w:rPr>
        <w:t xml:space="preserve"> </w:t>
      </w:r>
      <w:r w:rsidR="00B87743">
        <w:rPr>
          <w:rFonts w:cs="Arial"/>
          <w:iCs/>
          <w:szCs w:val="20"/>
        </w:rPr>
        <w:t xml:space="preserve">proposed to update </w:t>
      </w:r>
      <w:r w:rsidR="0058586A">
        <w:rPr>
          <w:rFonts w:cs="Arial"/>
          <w:iCs/>
          <w:szCs w:val="20"/>
        </w:rPr>
        <w:t xml:space="preserve">a number of existing pricing arrangements for </w:t>
      </w:r>
      <w:r w:rsidR="00B657E8">
        <w:rPr>
          <w:rFonts w:cs="Arial"/>
          <w:iCs/>
          <w:szCs w:val="20"/>
        </w:rPr>
        <w:t xml:space="preserve">radiocommunications licences following </w:t>
      </w:r>
      <w:r>
        <w:rPr>
          <w:rFonts w:cs="Arial"/>
          <w:iCs/>
          <w:szCs w:val="20"/>
        </w:rPr>
        <w:t xml:space="preserve">recommendations from the </w:t>
      </w:r>
      <w:hyperlink r:id="rId24" w:history="1">
        <w:r w:rsidRPr="00CA48AE">
          <w:rPr>
            <w:rStyle w:val="Hyperlink"/>
            <w:iCs/>
            <w:szCs w:val="20"/>
          </w:rPr>
          <w:t>spectrum pricing review</w:t>
        </w:r>
      </w:hyperlink>
      <w:r w:rsidRPr="00F750A4">
        <w:rPr>
          <w:rFonts w:cs="Arial"/>
          <w:iCs/>
          <w:szCs w:val="20"/>
        </w:rPr>
        <w:t xml:space="preserve"> </w:t>
      </w:r>
      <w:r>
        <w:rPr>
          <w:rFonts w:cs="Arial"/>
          <w:iCs/>
          <w:szCs w:val="20"/>
        </w:rPr>
        <w:t xml:space="preserve">(SPR) </w:t>
      </w:r>
      <w:r w:rsidR="00435AD7">
        <w:rPr>
          <w:rFonts w:cs="Arial"/>
          <w:iCs/>
          <w:szCs w:val="20"/>
        </w:rPr>
        <w:t>made</w:t>
      </w:r>
      <w:r w:rsidRPr="00F750A4">
        <w:rPr>
          <w:rFonts w:cs="Arial"/>
          <w:iCs/>
          <w:szCs w:val="20"/>
        </w:rPr>
        <w:t xml:space="preserve"> by the Department of Infrastructure, Transport, Regional Development and Communications</w:t>
      </w:r>
      <w:r w:rsidR="006467E0">
        <w:rPr>
          <w:rFonts w:cs="Arial"/>
          <w:iCs/>
          <w:szCs w:val="20"/>
        </w:rPr>
        <w:t xml:space="preserve"> (the Department)</w:t>
      </w:r>
      <w:r>
        <w:rPr>
          <w:rFonts w:cs="Arial"/>
          <w:iCs/>
          <w:szCs w:val="20"/>
        </w:rPr>
        <w:t xml:space="preserve">, and endorsed by the government in </w:t>
      </w:r>
      <w:r w:rsidR="002B4DA8">
        <w:rPr>
          <w:rFonts w:cs="Arial"/>
          <w:iCs/>
          <w:szCs w:val="20"/>
        </w:rPr>
        <w:t xml:space="preserve">February </w:t>
      </w:r>
      <w:r>
        <w:rPr>
          <w:rFonts w:cs="Arial"/>
          <w:iCs/>
          <w:szCs w:val="20"/>
        </w:rPr>
        <w:t xml:space="preserve">2018. </w:t>
      </w:r>
    </w:p>
    <w:p w14:paraId="3E5D5ABC" w14:textId="0088A027" w:rsidR="00A24100" w:rsidRDefault="004D4AD3" w:rsidP="004D4AD3">
      <w:pPr>
        <w:spacing w:before="120" w:after="120" w:line="240" w:lineRule="auto"/>
        <w:rPr>
          <w:rFonts w:cs="Arial"/>
          <w:iCs/>
          <w:color w:val="000000"/>
          <w:szCs w:val="20"/>
        </w:rPr>
      </w:pPr>
      <w:r>
        <w:rPr>
          <w:rFonts w:cs="Arial"/>
          <w:iCs/>
          <w:color w:val="000000"/>
          <w:szCs w:val="20"/>
        </w:rPr>
        <w:t>The</w:t>
      </w:r>
      <w:r w:rsidR="006467E0">
        <w:rPr>
          <w:rFonts w:cs="Arial"/>
          <w:iCs/>
          <w:color w:val="000000"/>
          <w:szCs w:val="20"/>
        </w:rPr>
        <w:t xml:space="preserve"> </w:t>
      </w:r>
      <w:r w:rsidR="00D855AD">
        <w:rPr>
          <w:rFonts w:cs="Arial"/>
          <w:iCs/>
          <w:color w:val="000000"/>
          <w:szCs w:val="20"/>
        </w:rPr>
        <w:t xml:space="preserve">SPR </w:t>
      </w:r>
      <w:r w:rsidR="006467E0">
        <w:rPr>
          <w:rFonts w:cs="Arial"/>
          <w:iCs/>
          <w:color w:val="000000"/>
          <w:szCs w:val="20"/>
        </w:rPr>
        <w:t xml:space="preserve">made 11 </w:t>
      </w:r>
      <w:r w:rsidR="00A11E80">
        <w:rPr>
          <w:rFonts w:cs="Arial"/>
          <w:iCs/>
          <w:color w:val="000000"/>
          <w:szCs w:val="20"/>
        </w:rPr>
        <w:t>recommendations</w:t>
      </w:r>
      <w:r w:rsidR="006467E0">
        <w:rPr>
          <w:rFonts w:cs="Arial"/>
          <w:iCs/>
          <w:color w:val="000000"/>
          <w:szCs w:val="20"/>
        </w:rPr>
        <w:t xml:space="preserve"> </w:t>
      </w:r>
      <w:r w:rsidR="00B549B0">
        <w:rPr>
          <w:rFonts w:cs="Arial"/>
          <w:iCs/>
          <w:color w:val="000000"/>
          <w:szCs w:val="20"/>
        </w:rPr>
        <w:t xml:space="preserve">(see </w:t>
      </w:r>
      <w:r w:rsidR="00B549B0" w:rsidRPr="00DE0391">
        <w:rPr>
          <w:rFonts w:cs="Arial"/>
          <w:b/>
          <w:bCs/>
          <w:iCs/>
          <w:color w:val="000000"/>
          <w:szCs w:val="20"/>
        </w:rPr>
        <w:t>Appendix A</w:t>
      </w:r>
      <w:r w:rsidR="00B549B0">
        <w:rPr>
          <w:rFonts w:cs="Arial"/>
          <w:iCs/>
          <w:color w:val="000000"/>
          <w:szCs w:val="20"/>
        </w:rPr>
        <w:t xml:space="preserve">) </w:t>
      </w:r>
      <w:r w:rsidR="009431C4">
        <w:rPr>
          <w:rFonts w:cs="Arial"/>
          <w:iCs/>
          <w:color w:val="000000"/>
          <w:szCs w:val="20"/>
        </w:rPr>
        <w:t xml:space="preserve">intended to improve transparency, efficiency, and simplicity of </w:t>
      </w:r>
      <w:r>
        <w:rPr>
          <w:rFonts w:cs="Arial"/>
          <w:iCs/>
          <w:color w:val="000000"/>
          <w:szCs w:val="20"/>
        </w:rPr>
        <w:t>prices</w:t>
      </w:r>
      <w:r w:rsidR="00685C44">
        <w:rPr>
          <w:rFonts w:cs="Arial"/>
          <w:iCs/>
          <w:color w:val="000000"/>
          <w:szCs w:val="20"/>
        </w:rPr>
        <w:t xml:space="preserve"> (</w:t>
      </w:r>
      <w:r>
        <w:rPr>
          <w:rFonts w:cs="Arial"/>
          <w:iCs/>
          <w:color w:val="000000"/>
          <w:szCs w:val="20"/>
        </w:rPr>
        <w:t>taxes</w:t>
      </w:r>
      <w:r w:rsidR="00CF33FA">
        <w:rPr>
          <w:rStyle w:val="FootnoteReference"/>
          <w:rFonts w:cs="Arial"/>
          <w:iCs/>
          <w:color w:val="000000"/>
          <w:szCs w:val="20"/>
        </w:rPr>
        <w:footnoteReference w:id="2"/>
      </w:r>
      <w:r w:rsidR="00685C44">
        <w:rPr>
          <w:rFonts w:cs="Arial"/>
          <w:iCs/>
          <w:color w:val="000000"/>
          <w:szCs w:val="20"/>
        </w:rPr>
        <w:t>)</w:t>
      </w:r>
      <w:r>
        <w:rPr>
          <w:rFonts w:cs="Arial"/>
          <w:iCs/>
          <w:color w:val="000000"/>
          <w:szCs w:val="20"/>
        </w:rPr>
        <w:t xml:space="preserve"> </w:t>
      </w:r>
      <w:r w:rsidR="00BB5ECF">
        <w:rPr>
          <w:rFonts w:cs="Arial"/>
          <w:iCs/>
          <w:color w:val="000000"/>
          <w:szCs w:val="20"/>
        </w:rPr>
        <w:t xml:space="preserve">for </w:t>
      </w:r>
      <w:r w:rsidR="00C8692B">
        <w:rPr>
          <w:rFonts w:cs="Arial"/>
          <w:iCs/>
          <w:color w:val="000000"/>
          <w:szCs w:val="20"/>
        </w:rPr>
        <w:t>radio</w:t>
      </w:r>
      <w:r w:rsidR="00E34370">
        <w:rPr>
          <w:rFonts w:cs="Arial"/>
          <w:iCs/>
          <w:color w:val="000000"/>
          <w:szCs w:val="20"/>
        </w:rPr>
        <w:t xml:space="preserve">communications </w:t>
      </w:r>
      <w:r w:rsidR="00934879">
        <w:rPr>
          <w:rFonts w:cs="Arial"/>
          <w:iCs/>
          <w:color w:val="000000"/>
          <w:szCs w:val="20"/>
        </w:rPr>
        <w:t>licences.</w:t>
      </w:r>
      <w:r w:rsidR="00C8692B">
        <w:rPr>
          <w:rFonts w:cs="Arial"/>
          <w:iCs/>
          <w:color w:val="000000"/>
          <w:szCs w:val="20"/>
        </w:rPr>
        <w:t xml:space="preserve"> </w:t>
      </w:r>
    </w:p>
    <w:p w14:paraId="707D67F7" w14:textId="7A2E07FF" w:rsidR="00367601" w:rsidRDefault="00367601" w:rsidP="00367601">
      <w:pPr>
        <w:spacing w:before="120" w:after="120" w:line="240" w:lineRule="auto"/>
        <w:rPr>
          <w:rFonts w:cs="Arial"/>
          <w:iCs/>
          <w:szCs w:val="20"/>
        </w:rPr>
      </w:pPr>
      <w:r>
        <w:rPr>
          <w:rFonts w:cs="Arial"/>
          <w:iCs/>
          <w:szCs w:val="20"/>
        </w:rPr>
        <w:t xml:space="preserve">The </w:t>
      </w:r>
      <w:r w:rsidR="00AC3190">
        <w:rPr>
          <w:rFonts w:cs="Arial"/>
          <w:iCs/>
          <w:szCs w:val="20"/>
        </w:rPr>
        <w:t>Australian Communications and Media Authority (</w:t>
      </w:r>
      <w:r>
        <w:rPr>
          <w:rFonts w:cs="Arial"/>
          <w:iCs/>
          <w:szCs w:val="20"/>
        </w:rPr>
        <w:t>ACMA</w:t>
      </w:r>
      <w:r w:rsidR="00AC3190">
        <w:rPr>
          <w:rFonts w:cs="Arial"/>
          <w:iCs/>
          <w:szCs w:val="20"/>
        </w:rPr>
        <w:t>)</w:t>
      </w:r>
      <w:r>
        <w:rPr>
          <w:rFonts w:cs="Arial"/>
          <w:iCs/>
          <w:szCs w:val="20"/>
        </w:rPr>
        <w:t xml:space="preserve"> implemented a </w:t>
      </w:r>
      <w:hyperlink r:id="rId25" w:history="1">
        <w:r w:rsidRPr="00345946">
          <w:rPr>
            <w:rStyle w:val="Hyperlink"/>
            <w:iCs/>
            <w:szCs w:val="20"/>
          </w:rPr>
          <w:t>1</w:t>
        </w:r>
        <w:r w:rsidRPr="00345946">
          <w:rPr>
            <w:rStyle w:val="Hyperlink"/>
            <w:iCs/>
            <w:szCs w:val="20"/>
            <w:vertAlign w:val="superscript"/>
          </w:rPr>
          <w:t>st</w:t>
        </w:r>
        <w:r w:rsidRPr="00345946">
          <w:rPr>
            <w:rStyle w:val="Hyperlink"/>
            <w:iCs/>
            <w:szCs w:val="20"/>
          </w:rPr>
          <w:t xml:space="preserve"> tranche of reforms</w:t>
        </w:r>
      </w:hyperlink>
      <w:r>
        <w:rPr>
          <w:rFonts w:cs="Arial"/>
          <w:iCs/>
          <w:szCs w:val="20"/>
        </w:rPr>
        <w:t xml:space="preserve"> in July 2021, which included: </w:t>
      </w:r>
    </w:p>
    <w:p w14:paraId="160A5204" w14:textId="77777777" w:rsidR="00367601" w:rsidRPr="00186F05" w:rsidRDefault="00367601" w:rsidP="00A41509">
      <w:pPr>
        <w:pStyle w:val="Bulletlevel1"/>
      </w:pPr>
      <w:r w:rsidRPr="00124590">
        <w:t xml:space="preserve">guidelines on how </w:t>
      </w:r>
      <w:r w:rsidRPr="004E780D">
        <w:t xml:space="preserve">the ACMA approaches its spectrum pricing decisions, to improve </w:t>
      </w:r>
      <w:r w:rsidRPr="0003067F">
        <w:t>transparency</w:t>
      </w:r>
      <w:r w:rsidRPr="00186F05">
        <w:t>.</w:t>
      </w:r>
    </w:p>
    <w:p w14:paraId="24F91608" w14:textId="38145789" w:rsidR="00367601" w:rsidRPr="000660E4" w:rsidRDefault="00934879" w:rsidP="00A41509">
      <w:pPr>
        <w:pStyle w:val="Bulletlevel1"/>
      </w:pPr>
      <w:r>
        <w:t>a</w:t>
      </w:r>
      <w:r w:rsidR="00367601" w:rsidRPr="000660E4">
        <w:t xml:space="preserve"> reduction in taxes </w:t>
      </w:r>
      <w:r w:rsidR="00367601">
        <w:t xml:space="preserve">based on the tax formula </w:t>
      </w:r>
      <w:r w:rsidR="00367601" w:rsidRPr="000660E4">
        <w:t>for services above 5 GHz</w:t>
      </w:r>
      <w:r w:rsidR="00367601">
        <w:t>, ranging from 25% to 90% and depending on the frequency range and the type of service.</w:t>
      </w:r>
      <w:r w:rsidR="00367601" w:rsidRPr="000660E4">
        <w:t xml:space="preserve"> This is </w:t>
      </w:r>
      <w:r w:rsidR="00367601">
        <w:t xml:space="preserve">intended </w:t>
      </w:r>
      <w:r w:rsidR="00367601" w:rsidRPr="000660E4">
        <w:t xml:space="preserve">to provide </w:t>
      </w:r>
      <w:r w:rsidR="00367601">
        <w:t xml:space="preserve">better incentives for </w:t>
      </w:r>
      <w:r w:rsidR="00367601" w:rsidRPr="000660E4">
        <w:t xml:space="preserve">innovative services </w:t>
      </w:r>
      <w:r w:rsidR="00367601">
        <w:t xml:space="preserve">using large bandwidths </w:t>
      </w:r>
      <w:r w:rsidR="00367601" w:rsidRPr="000660E4">
        <w:t>in higher frequency ranges.</w:t>
      </w:r>
    </w:p>
    <w:p w14:paraId="02CEFBB0" w14:textId="6FAADAE9" w:rsidR="00367601" w:rsidRPr="000660E4" w:rsidRDefault="00934879" w:rsidP="00A41509">
      <w:pPr>
        <w:pStyle w:val="Bulletlevel1"/>
      </w:pPr>
      <w:r>
        <w:t>i</w:t>
      </w:r>
      <w:r w:rsidR="00367601" w:rsidRPr="000660E4">
        <w:t>ntroducing a ‘systems price’ for earth stations</w:t>
      </w:r>
      <w:r w:rsidR="00A33DB6">
        <w:t xml:space="preserve"> (communicating with satellites)</w:t>
      </w:r>
      <w:r w:rsidR="00367601" w:rsidRPr="000660E4">
        <w:t xml:space="preserve"> with multiple antennas</w:t>
      </w:r>
      <w:r w:rsidR="00367601">
        <w:t>,</w:t>
      </w:r>
      <w:r w:rsidR="00367601" w:rsidRPr="000660E4">
        <w:t xml:space="preserve"> with </w:t>
      </w:r>
      <w:r w:rsidR="00D9114E">
        <w:t>the price</w:t>
      </w:r>
      <w:r w:rsidR="00367601" w:rsidRPr="000660E4">
        <w:t xml:space="preserve"> more commensurate with the spectrum denial of those systems. </w:t>
      </w:r>
    </w:p>
    <w:p w14:paraId="599A4D0D" w14:textId="46B65758" w:rsidR="00367601" w:rsidRPr="008F3BBE" w:rsidRDefault="00367601" w:rsidP="00A41509">
      <w:pPr>
        <w:pStyle w:val="Bulletlevel1"/>
        <w:rPr>
          <w:iCs/>
          <w:szCs w:val="20"/>
        </w:rPr>
      </w:pPr>
      <w:r w:rsidRPr="000660E4">
        <w:t>Introduc</w:t>
      </w:r>
      <w:r w:rsidR="00073D2A">
        <w:t>ing</w:t>
      </w:r>
      <w:r w:rsidRPr="000660E4">
        <w:t xml:space="preserve"> an additional price discount to</w:t>
      </w:r>
      <w:r>
        <w:t xml:space="preserve"> enhance spectrum efficiency by</w:t>
      </w:r>
      <w:r w:rsidRPr="000660E4">
        <w:t xml:space="preserve"> encourag</w:t>
      </w:r>
      <w:r>
        <w:t>ing</w:t>
      </w:r>
      <w:r w:rsidRPr="000660E4">
        <w:t xml:space="preserve"> more use of the land-mobile ‘micro’ service</w:t>
      </w:r>
      <w:r w:rsidR="000024B8">
        <w:t>s</w:t>
      </w:r>
      <w:r w:rsidRPr="000660E4">
        <w:t xml:space="preserve">. </w:t>
      </w:r>
    </w:p>
    <w:p w14:paraId="6A68949E" w14:textId="77777777" w:rsidR="00481C65" w:rsidRDefault="00481C65" w:rsidP="00367601">
      <w:pPr>
        <w:spacing w:before="120" w:after="120" w:line="240" w:lineRule="auto"/>
        <w:rPr>
          <w:rFonts w:cs="Arial"/>
          <w:iCs/>
          <w:szCs w:val="20"/>
        </w:rPr>
      </w:pPr>
    </w:p>
    <w:p w14:paraId="6A7AE5EC" w14:textId="6BDC4F46" w:rsidR="00C57166" w:rsidRPr="00A92877" w:rsidRDefault="00E32288" w:rsidP="00C57166">
      <w:pPr>
        <w:pStyle w:val="Paragraph"/>
      </w:pPr>
      <w:r w:rsidRPr="00E32288">
        <w:t xml:space="preserve">The </w:t>
      </w:r>
      <w:r w:rsidR="00C57166" w:rsidRPr="00E32288">
        <w:t xml:space="preserve">ACMA </w:t>
      </w:r>
      <w:r w:rsidR="005B6DB8">
        <w:t>conducted</w:t>
      </w:r>
      <w:r w:rsidR="00C57166" w:rsidRPr="00E32288">
        <w:t xml:space="preserve"> a </w:t>
      </w:r>
      <w:r w:rsidR="005B6DB8">
        <w:t>regulat</w:t>
      </w:r>
      <w:r w:rsidR="005C7E94">
        <w:t>ion</w:t>
      </w:r>
      <w:r w:rsidR="005B6DB8">
        <w:t xml:space="preserve"> impact statement (</w:t>
      </w:r>
      <w:r w:rsidR="00C57166" w:rsidRPr="00E32288">
        <w:t>RIS</w:t>
      </w:r>
      <w:r w:rsidR="005B6DB8">
        <w:t>)</w:t>
      </w:r>
      <w:r w:rsidR="00C57166" w:rsidRPr="00E32288">
        <w:t xml:space="preserve"> self-assessment</w:t>
      </w:r>
      <w:r w:rsidR="00146D43">
        <w:t xml:space="preserve"> (</w:t>
      </w:r>
      <w:r w:rsidR="00C57166" w:rsidRPr="00E32288">
        <w:t>OBPR reference</w:t>
      </w:r>
      <w:r w:rsidR="00C57166" w:rsidRPr="00A92877">
        <w:t xml:space="preserve"> number </w:t>
      </w:r>
      <w:r w:rsidR="00696AE3" w:rsidRPr="00A92877">
        <w:t>OBPR21-01227</w:t>
      </w:r>
      <w:r w:rsidR="00A85CD2">
        <w:t>)</w:t>
      </w:r>
      <w:r w:rsidR="00AC246A">
        <w:t xml:space="preserve"> that showed</w:t>
      </w:r>
      <w:r w:rsidR="00093CC7">
        <w:t xml:space="preserve"> that</w:t>
      </w:r>
      <w:r w:rsidR="00AC246A">
        <w:t xml:space="preserve"> </w:t>
      </w:r>
      <w:r w:rsidR="001071BA">
        <w:t>a</w:t>
      </w:r>
      <w:r w:rsidR="00AC246A" w:rsidRPr="00E32288">
        <w:t xml:space="preserve">ll </w:t>
      </w:r>
      <w:r w:rsidR="00AC246A">
        <w:t>t</w:t>
      </w:r>
      <w:r w:rsidR="00AC246A" w:rsidRPr="00E32288">
        <w:t>ranche 1 reforms had the impact of reducing taxes for affected licensees.</w:t>
      </w:r>
    </w:p>
    <w:p w14:paraId="2F81DEF8" w14:textId="4A01AB7F" w:rsidR="000D6AA6" w:rsidRPr="00952581" w:rsidRDefault="00974E05" w:rsidP="00C57166">
      <w:pPr>
        <w:pStyle w:val="Paragraph"/>
      </w:pPr>
      <w:r w:rsidRPr="00952581">
        <w:t xml:space="preserve">The ACMA </w:t>
      </w:r>
      <w:hyperlink r:id="rId26" w:history="1">
        <w:r w:rsidR="00971DD0" w:rsidRPr="0098464F">
          <w:rPr>
            <w:rStyle w:val="Hyperlink"/>
          </w:rPr>
          <w:t xml:space="preserve">consulted on </w:t>
        </w:r>
        <w:r w:rsidR="003677B2" w:rsidRPr="0098464F">
          <w:rPr>
            <w:rStyle w:val="Hyperlink"/>
          </w:rPr>
          <w:t>a 2</w:t>
        </w:r>
        <w:r w:rsidR="003677B2" w:rsidRPr="0098464F">
          <w:rPr>
            <w:rStyle w:val="Hyperlink"/>
            <w:vertAlign w:val="superscript"/>
          </w:rPr>
          <w:t>nd</w:t>
        </w:r>
        <w:r w:rsidR="003677B2" w:rsidRPr="0098464F">
          <w:rPr>
            <w:rStyle w:val="Hyperlink"/>
          </w:rPr>
          <w:t xml:space="preserve"> t</w:t>
        </w:r>
        <w:r w:rsidR="00C57166" w:rsidRPr="0098464F">
          <w:rPr>
            <w:rStyle w:val="Hyperlink"/>
          </w:rPr>
          <w:t xml:space="preserve">ranche </w:t>
        </w:r>
        <w:r w:rsidR="003677B2" w:rsidRPr="0098464F">
          <w:rPr>
            <w:rStyle w:val="Hyperlink"/>
          </w:rPr>
          <w:t xml:space="preserve">of SPR </w:t>
        </w:r>
        <w:r w:rsidR="00C57166" w:rsidRPr="0098464F">
          <w:rPr>
            <w:rStyle w:val="Hyperlink"/>
          </w:rPr>
          <w:t>proposals</w:t>
        </w:r>
      </w:hyperlink>
      <w:r w:rsidR="00513AFC">
        <w:t xml:space="preserve"> in late 2021.</w:t>
      </w:r>
      <w:r w:rsidR="00B74447">
        <w:t xml:space="preserve"> The proposals </w:t>
      </w:r>
      <w:r w:rsidR="00A41509" w:rsidRPr="00952581">
        <w:t>include</w:t>
      </w:r>
      <w:r w:rsidR="006C6ADE">
        <w:t>d</w:t>
      </w:r>
      <w:r w:rsidR="00A41509" w:rsidRPr="00952581">
        <w:t>:</w:t>
      </w:r>
      <w:r w:rsidR="00C57166" w:rsidRPr="00952581">
        <w:t xml:space="preserve"> </w:t>
      </w:r>
    </w:p>
    <w:p w14:paraId="34E532F3" w14:textId="7441CB6D" w:rsidR="000D6AA6" w:rsidRDefault="00CE4914" w:rsidP="00A41509">
      <w:pPr>
        <w:pStyle w:val="Bulletlevel1"/>
      </w:pPr>
      <w:r w:rsidRPr="00CE4914">
        <w:t xml:space="preserve">updating the </w:t>
      </w:r>
      <w:r w:rsidR="00280945">
        <w:t>administrative pricing formula</w:t>
      </w:r>
      <w:r w:rsidR="00F94212">
        <w:t xml:space="preserve"> by</w:t>
      </w:r>
      <w:r w:rsidR="00280945">
        <w:rPr>
          <w:rStyle w:val="FootnoteReference"/>
        </w:rPr>
        <w:footnoteReference w:id="3"/>
      </w:r>
      <w:r w:rsidR="003E2BB0">
        <w:t>:</w:t>
      </w:r>
    </w:p>
    <w:p w14:paraId="2C2F901B" w14:textId="3FAFFC8A" w:rsidR="003E2BB0" w:rsidRDefault="0008469A" w:rsidP="00A41509">
      <w:pPr>
        <w:pStyle w:val="Bulletlevel1"/>
        <w:ind w:left="1080"/>
      </w:pPr>
      <w:r>
        <w:t>s</w:t>
      </w:r>
      <w:r w:rsidR="003E2BB0">
        <w:t>implif</w:t>
      </w:r>
      <w:r w:rsidR="00273385">
        <w:t>ying</w:t>
      </w:r>
      <w:r w:rsidR="003E2BB0">
        <w:t xml:space="preserve"> the location weightings tables by consolidating the </w:t>
      </w:r>
      <w:r w:rsidR="00EB17EC">
        <w:t xml:space="preserve">3 bands within the </w:t>
      </w:r>
      <w:r w:rsidR="003E2BB0">
        <w:t>&gt;30–403 MHz frequency range into a single band</w:t>
      </w:r>
      <w:r w:rsidR="00EB17EC">
        <w:t>, with a single set of prices</w:t>
      </w:r>
      <w:r w:rsidR="003E2BB0">
        <w:t>.</w:t>
      </w:r>
    </w:p>
    <w:p w14:paraId="37B82FA7" w14:textId="5D421924" w:rsidR="003E2BB0" w:rsidRPr="0004549F" w:rsidRDefault="0008469A" w:rsidP="00A41509">
      <w:pPr>
        <w:pStyle w:val="Bulletlevel1"/>
        <w:ind w:left="1080"/>
      </w:pPr>
      <w:r>
        <w:t>i</w:t>
      </w:r>
      <w:r w:rsidR="003E2BB0" w:rsidRPr="0004549F">
        <w:t>ncreas</w:t>
      </w:r>
      <w:r w:rsidR="00273385" w:rsidRPr="0004549F">
        <w:t>ing</w:t>
      </w:r>
      <w:r w:rsidR="003E2BB0" w:rsidRPr="0004549F">
        <w:t xml:space="preserve"> weightings for the </w:t>
      </w:r>
      <w:r w:rsidR="000234F3">
        <w:t>&gt;</w:t>
      </w:r>
      <w:r w:rsidR="003E2BB0" w:rsidRPr="0004549F">
        <w:t xml:space="preserve">2,690 to 5,000 MHz spectrum location band for high and </w:t>
      </w:r>
      <w:r w:rsidR="003E2BB0" w:rsidRPr="0004549F" w:rsidDel="008835EE">
        <w:t>medium</w:t>
      </w:r>
      <w:r w:rsidR="003E2BB0" w:rsidRPr="0004549F">
        <w:t>-density geographic areas to reflect the large increase in demand for this spectrum in these areas and the general increase in prices for similar spectrum.</w:t>
      </w:r>
    </w:p>
    <w:p w14:paraId="3008FD53" w14:textId="64380A52" w:rsidR="003E2BB0" w:rsidRDefault="0008469A" w:rsidP="00A41509">
      <w:pPr>
        <w:pStyle w:val="Bulletlevel1"/>
        <w:ind w:left="1080"/>
      </w:pPr>
      <w:r>
        <w:t>a</w:t>
      </w:r>
      <w:r w:rsidR="003E2BB0">
        <w:t>dd</w:t>
      </w:r>
      <w:r w:rsidR="00273385">
        <w:t>ing</w:t>
      </w:r>
      <w:r w:rsidR="003E2BB0">
        <w:t xml:space="preserve"> a new spectrum location band &gt;100 GHz where licences will generally incur the minimum tax (currently $41.37), reflecting the lower potential for interference at these higher frequencies, and facilitating the use of </w:t>
      </w:r>
      <w:r w:rsidR="00A96EA3">
        <w:t xml:space="preserve">new </w:t>
      </w:r>
      <w:r w:rsidR="003E2BB0">
        <w:t xml:space="preserve">services expected to require very large bandwidths. </w:t>
      </w:r>
    </w:p>
    <w:p w14:paraId="63EB22F4" w14:textId="3FD554EA" w:rsidR="003E2BB0" w:rsidRDefault="0008469A" w:rsidP="00A41509">
      <w:pPr>
        <w:pStyle w:val="Bulletlevel1"/>
        <w:ind w:left="1080"/>
      </w:pPr>
      <w:r>
        <w:t>c</w:t>
      </w:r>
      <w:r w:rsidR="00F315C3">
        <w:t xml:space="preserve">hanging the method for </w:t>
      </w:r>
      <w:r w:rsidR="002D6E23">
        <w:t xml:space="preserve">updating </w:t>
      </w:r>
      <w:r w:rsidR="007931CB">
        <w:t xml:space="preserve">prices </w:t>
      </w:r>
      <w:r w:rsidR="002D6E23">
        <w:t>each year; c</w:t>
      </w:r>
      <w:r w:rsidR="003E2BB0" w:rsidRPr="00326A2F">
        <w:t>eas</w:t>
      </w:r>
      <w:r w:rsidR="00345530">
        <w:t>e</w:t>
      </w:r>
      <w:r w:rsidR="003E2BB0" w:rsidRPr="00326A2F">
        <w:t xml:space="preserve"> annual </w:t>
      </w:r>
      <w:r w:rsidR="003E2BB0">
        <w:t>consumer price index (</w:t>
      </w:r>
      <w:r w:rsidR="003E2BB0" w:rsidRPr="00326A2F">
        <w:t>CPI</w:t>
      </w:r>
      <w:r w:rsidR="003E2BB0">
        <w:t>)</w:t>
      </w:r>
      <w:r w:rsidR="003E2BB0" w:rsidRPr="00326A2F">
        <w:t xml:space="preserve"> updates, and instead</w:t>
      </w:r>
      <w:r w:rsidR="003E2BB0">
        <w:t xml:space="preserve"> </w:t>
      </w:r>
      <w:r w:rsidR="003E2BB0" w:rsidRPr="00326A2F">
        <w:t>update taxes based on population growth</w:t>
      </w:r>
      <w:r w:rsidR="00345530">
        <w:t xml:space="preserve"> each year</w:t>
      </w:r>
      <w:r w:rsidR="003E2BB0">
        <w:t xml:space="preserve"> specific to</w:t>
      </w:r>
      <w:r w:rsidR="00345530">
        <w:t xml:space="preserve"> each</w:t>
      </w:r>
      <w:r w:rsidR="003E2BB0">
        <w:t xml:space="preserve"> density areas.</w:t>
      </w:r>
    </w:p>
    <w:p w14:paraId="4EA8E79F" w14:textId="350C76C1" w:rsidR="003E2BB0" w:rsidRPr="00023A36" w:rsidRDefault="0008469A" w:rsidP="00A41509">
      <w:pPr>
        <w:pStyle w:val="Bulletlevel1"/>
        <w:ind w:left="1080"/>
      </w:pPr>
      <w:r>
        <w:t>u</w:t>
      </w:r>
      <w:r w:rsidR="003E2BB0" w:rsidRPr="00EE46E6">
        <w:t>pdat</w:t>
      </w:r>
      <w:r w:rsidR="00273385">
        <w:t>ing</w:t>
      </w:r>
      <w:r w:rsidR="003E2BB0" w:rsidRPr="00EE46E6">
        <w:t xml:space="preserve"> density area definitions for Perth and Adelaide</w:t>
      </w:r>
      <w:r w:rsidR="003E2BB0">
        <w:t>.</w:t>
      </w:r>
    </w:p>
    <w:p w14:paraId="75D7280C" w14:textId="33E05C6F" w:rsidR="00B310D7" w:rsidRDefault="00122F0E" w:rsidP="00A41509">
      <w:pPr>
        <w:pStyle w:val="Bulletlevel1"/>
      </w:pPr>
      <w:r>
        <w:lastRenderedPageBreak/>
        <w:t>r</w:t>
      </w:r>
      <w:r w:rsidR="00A41509" w:rsidRPr="00A41509">
        <w:t>educing</w:t>
      </w:r>
      <w:r w:rsidR="00A41509">
        <w:t xml:space="preserve"> </w:t>
      </w:r>
      <w:r w:rsidR="00EA05D2">
        <w:t xml:space="preserve">tax rates for transmitter licences used to provide high-power open narrowcasting (HPON) services, to bring them </w:t>
      </w:r>
      <w:r w:rsidR="00952581">
        <w:t xml:space="preserve">more </w:t>
      </w:r>
      <w:r w:rsidR="00EA05D2">
        <w:t xml:space="preserve">in line with commercial broadcasting taxes and charge different tax rates for television, </w:t>
      </w:r>
      <w:proofErr w:type="gramStart"/>
      <w:r w:rsidR="00EA05D2">
        <w:t>FM</w:t>
      </w:r>
      <w:proofErr w:type="gramEnd"/>
      <w:r w:rsidR="00EA05D2">
        <w:t xml:space="preserve"> and AM HPON</w:t>
      </w:r>
      <w:r w:rsidR="00EA05D2" w:rsidDel="001029D2">
        <w:t xml:space="preserve"> </w:t>
      </w:r>
      <w:r w:rsidR="00EA05D2">
        <w:t>licences.</w:t>
      </w:r>
    </w:p>
    <w:p w14:paraId="259B971A" w14:textId="57093328" w:rsidR="00CA201E" w:rsidRDefault="00122F0E" w:rsidP="00A41509">
      <w:pPr>
        <w:pStyle w:val="Bulletlevel1"/>
      </w:pPr>
      <w:r>
        <w:t>a</w:t>
      </w:r>
      <w:r w:rsidR="00D55DD7">
        <w:t xml:space="preserve">djusting </w:t>
      </w:r>
      <w:r w:rsidR="00CA201E">
        <w:t xml:space="preserve">some tranche 1 reforms based on stakeholder feedback. </w:t>
      </w:r>
    </w:p>
    <w:p w14:paraId="33DCA267" w14:textId="77777777" w:rsidR="00D34DB6" w:rsidRDefault="00D34DB6" w:rsidP="00C57166">
      <w:pPr>
        <w:pStyle w:val="Paragraph"/>
      </w:pPr>
    </w:p>
    <w:p w14:paraId="3E091AEF" w14:textId="526752D6" w:rsidR="000B4BED" w:rsidRPr="0015315E" w:rsidRDefault="00401415" w:rsidP="00FA4FE8">
      <w:pPr>
        <w:pStyle w:val="Paragraph"/>
        <w:spacing w:after="200"/>
      </w:pPr>
      <w:r>
        <w:t xml:space="preserve">Note that the prices for </w:t>
      </w:r>
      <w:r w:rsidR="0018535E">
        <w:t xml:space="preserve">the radiocommunications licences affected by this review and these proposals are </w:t>
      </w:r>
      <w:r w:rsidR="004445B3">
        <w:t>established as taxes in the following legislative determination</w:t>
      </w:r>
      <w:r w:rsidR="00FA4FE8">
        <w:t xml:space="preserve">s, thus the </w:t>
      </w:r>
      <w:r w:rsidR="005257FD">
        <w:t>t</w:t>
      </w:r>
      <w:r w:rsidR="000B4BED" w:rsidRPr="0015315E">
        <w:t xml:space="preserve">ranche 2 SPR reform proposals require </w:t>
      </w:r>
      <w:r w:rsidR="00037222">
        <w:t>amendments to these instruments</w:t>
      </w:r>
      <w:r w:rsidR="000B4BED" w:rsidRPr="0015315E">
        <w:t>:</w:t>
      </w:r>
    </w:p>
    <w:p w14:paraId="7E5B2A12" w14:textId="049090EF" w:rsidR="000B4BED" w:rsidRPr="0015315E" w:rsidRDefault="00C35894" w:rsidP="000B4BED">
      <w:pPr>
        <w:pStyle w:val="Numberlistlevel1"/>
      </w:pPr>
      <w:hyperlink r:id="rId27">
        <w:r w:rsidR="000B4BED" w:rsidRPr="5AE5D194">
          <w:rPr>
            <w:rStyle w:val="Hyperlink"/>
          </w:rPr>
          <w:t>Radiocommunications (Transmitter licence tax) determination 2015</w:t>
        </w:r>
      </w:hyperlink>
      <w:r w:rsidR="00915D1B">
        <w:t>; and</w:t>
      </w:r>
    </w:p>
    <w:p w14:paraId="0A6A0049" w14:textId="379B04C9" w:rsidR="000B4BED" w:rsidRPr="0015315E" w:rsidRDefault="00C35894" w:rsidP="000B4BED">
      <w:pPr>
        <w:pStyle w:val="Numberlistlevel1"/>
      </w:pPr>
      <w:hyperlink r:id="rId28" w:history="1">
        <w:r w:rsidR="000B4BED" w:rsidRPr="00F67A77">
          <w:rPr>
            <w:rStyle w:val="Hyperlink"/>
          </w:rPr>
          <w:t>Radiocommunications (Receiver licence tax) determination 2015</w:t>
        </w:r>
      </w:hyperlink>
      <w:r w:rsidR="00915D1B">
        <w:t>.</w:t>
      </w:r>
    </w:p>
    <w:p w14:paraId="4DBD633F" w14:textId="77777777" w:rsidR="000E08E1" w:rsidRDefault="000E08E1" w:rsidP="00C57166">
      <w:pPr>
        <w:pStyle w:val="Paragraph"/>
      </w:pPr>
    </w:p>
    <w:p w14:paraId="55D1006B" w14:textId="56F65979" w:rsidR="00C57166" w:rsidRPr="00C04A3B" w:rsidRDefault="00C57166" w:rsidP="00C57166">
      <w:pPr>
        <w:pStyle w:val="Paragraph"/>
      </w:pPr>
      <w:r w:rsidRPr="00C04A3B">
        <w:t xml:space="preserve">The ACMA submitted a preliminary assessment of these proposals </w:t>
      </w:r>
      <w:r w:rsidR="00F60EA1">
        <w:t xml:space="preserve">to the Office of Best Practice Regulation (OBPR) </w:t>
      </w:r>
      <w:r w:rsidRPr="00C04A3B">
        <w:t xml:space="preserve">on </w:t>
      </w:r>
      <w:r w:rsidR="005321C1" w:rsidRPr="00C04A3B">
        <w:t>7 September 2021</w:t>
      </w:r>
      <w:r w:rsidRPr="00C04A3B">
        <w:t xml:space="preserve">. </w:t>
      </w:r>
      <w:r w:rsidR="005321C1" w:rsidRPr="00C04A3B">
        <w:t xml:space="preserve">The </w:t>
      </w:r>
      <w:r w:rsidRPr="00C04A3B">
        <w:t>OBPR advised that it considered the</w:t>
      </w:r>
      <w:r w:rsidR="00B74590" w:rsidRPr="00C04A3B">
        <w:t xml:space="preserve"> proposals </w:t>
      </w:r>
      <w:r w:rsidRPr="00C04A3B">
        <w:t xml:space="preserve">to be more than minor and that a RIS would need to be </w:t>
      </w:r>
      <w:r w:rsidR="00D1719A">
        <w:t>prepared</w:t>
      </w:r>
      <w:r w:rsidRPr="00C04A3B">
        <w:t>.</w:t>
      </w:r>
    </w:p>
    <w:p w14:paraId="3BFAA74F" w14:textId="51CB12A6" w:rsidR="00CE3369" w:rsidRDefault="00574AEA" w:rsidP="00C04A3B">
      <w:pPr>
        <w:pStyle w:val="Paragraph"/>
      </w:pPr>
      <w:r w:rsidRPr="00C04A3B">
        <w:t xml:space="preserve">This RIS </w:t>
      </w:r>
      <w:r w:rsidR="00E17D7F" w:rsidRPr="00C04A3B">
        <w:t>details the regulatory analysis and impacts of the</w:t>
      </w:r>
      <w:r w:rsidR="00D3680B">
        <w:t xml:space="preserve"> tranche 2 </w:t>
      </w:r>
      <w:r w:rsidR="00E17D7F" w:rsidRPr="00C04A3B">
        <w:t>proposals</w:t>
      </w:r>
      <w:r w:rsidR="00DB71CD" w:rsidRPr="00C04A3B">
        <w:t xml:space="preserve"> </w:t>
      </w:r>
      <w:r w:rsidR="00694F44" w:rsidRPr="00C04A3B">
        <w:t>and</w:t>
      </w:r>
      <w:r w:rsidR="008377C2" w:rsidRPr="00C04A3B">
        <w:t xml:space="preserve"> </w:t>
      </w:r>
      <w:r w:rsidR="00C2110A" w:rsidRPr="00C04A3B">
        <w:t xml:space="preserve">addresses the </w:t>
      </w:r>
      <w:r w:rsidR="00DB71CD" w:rsidRPr="00C04A3B">
        <w:t xml:space="preserve">7 </w:t>
      </w:r>
      <w:r w:rsidR="00C2110A" w:rsidRPr="00C04A3B">
        <w:t>RIS questions</w:t>
      </w:r>
      <w:r w:rsidR="00CE3369" w:rsidRPr="00C04A3B">
        <w:t>:</w:t>
      </w:r>
    </w:p>
    <w:p w14:paraId="64E2939B" w14:textId="1CEB60DD" w:rsidR="00574C69" w:rsidRDefault="00574C69" w:rsidP="007E7817">
      <w:pPr>
        <w:pStyle w:val="ListNumber"/>
        <w:numPr>
          <w:ilvl w:val="0"/>
          <w:numId w:val="11"/>
        </w:numPr>
      </w:pPr>
      <w:r>
        <w:t>What is the policy problem?</w:t>
      </w:r>
    </w:p>
    <w:p w14:paraId="63457B25" w14:textId="0CEFAF11" w:rsidR="00574C69" w:rsidRDefault="00574C69" w:rsidP="007E7817">
      <w:pPr>
        <w:pStyle w:val="ListNumber"/>
        <w:numPr>
          <w:ilvl w:val="0"/>
          <w:numId w:val="11"/>
        </w:numPr>
      </w:pPr>
      <w:r>
        <w:t>Why is government action needed?</w:t>
      </w:r>
    </w:p>
    <w:p w14:paraId="7B923279" w14:textId="621BDC2A" w:rsidR="00574C69" w:rsidRDefault="00574C69" w:rsidP="007E7817">
      <w:pPr>
        <w:pStyle w:val="ListNumber"/>
        <w:numPr>
          <w:ilvl w:val="0"/>
          <w:numId w:val="11"/>
        </w:numPr>
      </w:pPr>
      <w:r>
        <w:t>What policy options have been considered?</w:t>
      </w:r>
    </w:p>
    <w:p w14:paraId="5725C4D5" w14:textId="3A47FDAE" w:rsidR="00C65CE3" w:rsidRDefault="00574C69" w:rsidP="007E7817">
      <w:pPr>
        <w:pStyle w:val="ListNumber"/>
        <w:numPr>
          <w:ilvl w:val="0"/>
          <w:numId w:val="11"/>
        </w:numPr>
      </w:pPr>
      <w:r>
        <w:t>What are the expected benefits of the options?</w:t>
      </w:r>
    </w:p>
    <w:p w14:paraId="1379A33A" w14:textId="6354AA6B" w:rsidR="00CD1CDF" w:rsidRDefault="00CD1CDF" w:rsidP="007E7817">
      <w:pPr>
        <w:pStyle w:val="ListNumber"/>
        <w:numPr>
          <w:ilvl w:val="0"/>
          <w:numId w:val="11"/>
        </w:numPr>
      </w:pPr>
      <w:r>
        <w:t xml:space="preserve">Who did you consult and how did you incorporate their feedback? </w:t>
      </w:r>
    </w:p>
    <w:p w14:paraId="3C4B1FDA" w14:textId="385D3C5E" w:rsidR="00DB71CD" w:rsidRPr="0042214D" w:rsidRDefault="002C299D" w:rsidP="007E7817">
      <w:pPr>
        <w:pStyle w:val="ListNumber"/>
        <w:numPr>
          <w:ilvl w:val="0"/>
          <w:numId w:val="11"/>
        </w:numPr>
      </w:pPr>
      <w:r w:rsidRPr="0042214D">
        <w:t xml:space="preserve">What is the best option from </w:t>
      </w:r>
      <w:r w:rsidR="00A628A9" w:rsidRPr="0042214D">
        <w:t xml:space="preserve">those you have considered? </w:t>
      </w:r>
    </w:p>
    <w:p w14:paraId="4F62BA28" w14:textId="1258340E" w:rsidR="00A628A9" w:rsidRPr="0042214D" w:rsidRDefault="00A628A9" w:rsidP="007E7817">
      <w:pPr>
        <w:pStyle w:val="ListNumber"/>
        <w:numPr>
          <w:ilvl w:val="0"/>
          <w:numId w:val="11"/>
        </w:numPr>
      </w:pPr>
      <w:r w:rsidRPr="0042214D">
        <w:t>How will you implement and evaluate your chosen option</w:t>
      </w:r>
      <w:r w:rsidR="002B0F80">
        <w:t>?</w:t>
      </w:r>
      <w:r w:rsidRPr="0042214D">
        <w:t xml:space="preserve"> </w:t>
      </w:r>
    </w:p>
    <w:p w14:paraId="6AA402E9" w14:textId="77777777" w:rsidR="00722D9A" w:rsidRDefault="00722D9A" w:rsidP="00722D9A">
      <w:pPr>
        <w:pStyle w:val="ListNumber"/>
        <w:numPr>
          <w:ilvl w:val="0"/>
          <w:numId w:val="0"/>
        </w:numPr>
        <w:ind w:left="360" w:hanging="360"/>
      </w:pPr>
    </w:p>
    <w:p w14:paraId="0332DEAA" w14:textId="3027D747" w:rsidR="00693C27" w:rsidRDefault="004E7B7C" w:rsidP="00E0314B">
      <w:pPr>
        <w:pStyle w:val="Paragraph"/>
      </w:pPr>
      <w:r>
        <w:t xml:space="preserve">The analysis </w:t>
      </w:r>
      <w:r w:rsidR="00153FA7">
        <w:t xml:space="preserve">shows that </w:t>
      </w:r>
      <w:r w:rsidR="00B83B5C">
        <w:t xml:space="preserve">implementing these changes </w:t>
      </w:r>
      <w:r w:rsidR="006671F4">
        <w:t xml:space="preserve">is expected to </w:t>
      </w:r>
      <w:r w:rsidR="00B83B5C">
        <w:t xml:space="preserve">be net beneficial, however, </w:t>
      </w:r>
      <w:r w:rsidR="0083797A">
        <w:t xml:space="preserve">stakeholder feedback </w:t>
      </w:r>
      <w:r w:rsidR="00045EC0">
        <w:t xml:space="preserve">has led to the ACMA </w:t>
      </w:r>
      <w:r w:rsidR="00CB219E">
        <w:t>modify</w:t>
      </w:r>
      <w:r w:rsidR="0026223E">
        <w:t>ing</w:t>
      </w:r>
      <w:r w:rsidR="00CB219E">
        <w:t xml:space="preserve"> these proposals</w:t>
      </w:r>
      <w:r w:rsidR="00693C27">
        <w:t xml:space="preserve"> by:</w:t>
      </w:r>
    </w:p>
    <w:p w14:paraId="0F81FCA7" w14:textId="1FEB60AE" w:rsidR="001844BE" w:rsidRDefault="00693C27" w:rsidP="00F1134D">
      <w:pPr>
        <w:pStyle w:val="Bulletlevel1"/>
      </w:pPr>
      <w:r>
        <w:t xml:space="preserve">Not proceeding with the </w:t>
      </w:r>
      <w:r w:rsidR="001844BE">
        <w:t xml:space="preserve">proposed price increases in the </w:t>
      </w:r>
      <w:r w:rsidR="00354724">
        <w:t>&gt;</w:t>
      </w:r>
      <w:r w:rsidR="001844BE">
        <w:t>2690</w:t>
      </w:r>
      <w:r w:rsidR="00354724">
        <w:t xml:space="preserve"> to </w:t>
      </w:r>
      <w:r w:rsidR="001844BE">
        <w:t>5000</w:t>
      </w:r>
      <w:r w:rsidR="00354724">
        <w:t xml:space="preserve"> </w:t>
      </w:r>
      <w:r w:rsidR="001844BE">
        <w:t xml:space="preserve">MHz </w:t>
      </w:r>
      <w:proofErr w:type="gramStart"/>
      <w:r w:rsidR="001844BE">
        <w:t>band</w:t>
      </w:r>
      <w:r w:rsidR="0083797A">
        <w:t xml:space="preserve">, </w:t>
      </w:r>
      <w:r w:rsidR="00F10422">
        <w:t>but</w:t>
      </w:r>
      <w:proofErr w:type="gramEnd"/>
      <w:r w:rsidR="00F10422">
        <w:t xml:space="preserve"> monitoring the band for any future potential congestion issues.</w:t>
      </w:r>
    </w:p>
    <w:p w14:paraId="4A8293A8" w14:textId="0F411320" w:rsidR="001844BE" w:rsidRDefault="00F42F89" w:rsidP="00F1134D">
      <w:pPr>
        <w:pStyle w:val="Bulletlevel1"/>
      </w:pPr>
      <w:r>
        <w:t>Implementing the new population-</w:t>
      </w:r>
      <w:r w:rsidR="00922FEB">
        <w:t xml:space="preserve">adjustment method for updating prices each </w:t>
      </w:r>
      <w:proofErr w:type="gramStart"/>
      <w:r w:rsidR="00922FEB">
        <w:t>year, but</w:t>
      </w:r>
      <w:proofErr w:type="gramEnd"/>
      <w:r w:rsidR="00922FEB">
        <w:t xml:space="preserve"> </w:t>
      </w:r>
      <w:r w:rsidR="0015219C">
        <w:t xml:space="preserve">providing stakeholders with more information </w:t>
      </w:r>
      <w:r w:rsidR="003962B0">
        <w:t>on the approach and consulting before implementing the first priced update based on the new method</w:t>
      </w:r>
      <w:r w:rsidR="00403D92">
        <w:t>.</w:t>
      </w:r>
    </w:p>
    <w:p w14:paraId="2E115037" w14:textId="4853D26B" w:rsidR="001844BE" w:rsidRDefault="001844BE" w:rsidP="00DD1C18">
      <w:pPr>
        <w:pStyle w:val="Bulletlevel1"/>
      </w:pPr>
      <w:r>
        <w:t>Delay</w:t>
      </w:r>
      <w:r w:rsidR="00153FA7">
        <w:t>ing</w:t>
      </w:r>
      <w:r>
        <w:t xml:space="preserve"> commencement of new boundaries </w:t>
      </w:r>
      <w:r w:rsidR="007304D9">
        <w:t xml:space="preserve">by </w:t>
      </w:r>
      <w:r>
        <w:t>3 years to give licensees some time to prepare for the higher taxes/absorb higher costs.</w:t>
      </w:r>
    </w:p>
    <w:p w14:paraId="18C7DC37" w14:textId="77777777" w:rsidR="00021F7B" w:rsidRDefault="00021F7B" w:rsidP="00722D9A">
      <w:pPr>
        <w:pStyle w:val="ListNumber"/>
        <w:numPr>
          <w:ilvl w:val="0"/>
          <w:numId w:val="0"/>
        </w:numPr>
        <w:ind w:left="360" w:hanging="360"/>
      </w:pPr>
    </w:p>
    <w:p w14:paraId="1F59CF34" w14:textId="697F78E6" w:rsidR="00D3680B" w:rsidRDefault="00021F7B" w:rsidP="00E0314B">
      <w:pPr>
        <w:pStyle w:val="Paragraph"/>
      </w:pPr>
      <w:r>
        <w:t xml:space="preserve">After </w:t>
      </w:r>
      <w:r w:rsidR="00D20819">
        <w:t>taking these changes into account, the ACMA estimate</w:t>
      </w:r>
      <w:r w:rsidR="0068313E">
        <w:t>s</w:t>
      </w:r>
      <w:r w:rsidR="00D20819">
        <w:t xml:space="preserve"> the package of reform proposals to be net beneficial</w:t>
      </w:r>
      <w:r w:rsidR="009A55E6">
        <w:t xml:space="preserve"> in the order of </w:t>
      </w:r>
      <w:r w:rsidR="00F904C2">
        <w:t>$</w:t>
      </w:r>
      <w:r w:rsidR="006A3F51">
        <w:t>1m</w:t>
      </w:r>
      <w:r w:rsidR="00F904C2">
        <w:t xml:space="preserve"> annually</w:t>
      </w:r>
      <w:r w:rsidR="00A21375">
        <w:t xml:space="preserve"> over the next 10 years</w:t>
      </w:r>
      <w:r w:rsidR="00F904C2">
        <w:t>.</w:t>
      </w:r>
    </w:p>
    <w:p w14:paraId="45E0B4E9" w14:textId="27624339" w:rsidR="003C7CC4" w:rsidRDefault="003C7CC4" w:rsidP="006E6ED7">
      <w:pPr>
        <w:pStyle w:val="Heading1"/>
      </w:pPr>
      <w:bookmarkStart w:id="5" w:name="_Toc32833680"/>
      <w:bookmarkStart w:id="6" w:name="_Toc32833737"/>
      <w:bookmarkStart w:id="7" w:name="_Toc32833810"/>
      <w:bookmarkStart w:id="8" w:name="_Toc33176362"/>
      <w:bookmarkStart w:id="9" w:name="_Ref99373881"/>
      <w:bookmarkStart w:id="10" w:name="_Toc99632498"/>
      <w:bookmarkStart w:id="11" w:name="_Toc109035834"/>
      <w:bookmarkEnd w:id="1"/>
      <w:r>
        <w:lastRenderedPageBreak/>
        <w:t>1.</w:t>
      </w:r>
      <w:r>
        <w:tab/>
        <w:t>What is the policy problem?</w:t>
      </w:r>
      <w:bookmarkEnd w:id="5"/>
      <w:bookmarkEnd w:id="6"/>
      <w:bookmarkEnd w:id="7"/>
      <w:bookmarkEnd w:id="8"/>
      <w:bookmarkEnd w:id="9"/>
      <w:bookmarkEnd w:id="10"/>
      <w:bookmarkEnd w:id="11"/>
    </w:p>
    <w:p w14:paraId="7C2E466C" w14:textId="092A1001" w:rsidR="0092563F" w:rsidRDefault="00BE0CE5" w:rsidP="00A86F5C">
      <w:r w:rsidRPr="00A86F5C">
        <w:rPr>
          <w:rFonts w:cs="Arial"/>
          <w:b/>
          <w:bCs/>
          <w:iCs/>
          <w:sz w:val="28"/>
          <w:szCs w:val="28"/>
        </w:rPr>
        <w:t xml:space="preserve">Spectrum management and the spectrum pricing review </w:t>
      </w:r>
      <w:r w:rsidR="0092563F">
        <w:t xml:space="preserve">Spectrum is essential to a digitally networked economy and a major contributor to Australia’s economic and social wellbeing. It is critical infrastructure enabling production for industrial, commercial, </w:t>
      </w:r>
      <w:proofErr w:type="gramStart"/>
      <w:r w:rsidR="0092563F">
        <w:t>educational</w:t>
      </w:r>
      <w:proofErr w:type="gramEnd"/>
      <w:r w:rsidR="0092563F">
        <w:t xml:space="preserve"> and other social services. The economic value of Australia’s spectrum to the national economy is estimated to be $177 billion over 15 years.</w:t>
      </w:r>
      <w:r w:rsidR="00EA6387">
        <w:rPr>
          <w:rStyle w:val="FootnoteReference"/>
        </w:rPr>
        <w:footnoteReference w:id="4"/>
      </w:r>
    </w:p>
    <w:p w14:paraId="2D47685A" w14:textId="1E7C3FAC" w:rsidR="0092563F" w:rsidRDefault="000843B1" w:rsidP="0092563F">
      <w:pPr>
        <w:pStyle w:val="CommentText"/>
      </w:pPr>
      <w:r>
        <w:t xml:space="preserve">As technology advances, there are increasingly novel ways to use spectrum to communicate and send information. </w:t>
      </w:r>
      <w:r w:rsidR="00C213C6">
        <w:t xml:space="preserve">Sector wide changes are challenging the efficiency, </w:t>
      </w:r>
      <w:proofErr w:type="gramStart"/>
      <w:r w:rsidR="00C213C6">
        <w:t>productivity</w:t>
      </w:r>
      <w:proofErr w:type="gramEnd"/>
      <w:r w:rsidR="00C213C6">
        <w:t xml:space="preserve"> and accessibility of the current arrangements for spectrum management.</w:t>
      </w:r>
      <w:r w:rsidR="00045ED3">
        <w:t xml:space="preserve"> </w:t>
      </w:r>
      <w:r w:rsidR="0092563F">
        <w:t xml:space="preserve">The extent to which the benefits of spectrum are realised or improved upon will depend in part on the ability of the spectrum management regulatory arrangements to accommodate </w:t>
      </w:r>
      <w:r w:rsidR="00045ED3">
        <w:t xml:space="preserve">this </w:t>
      </w:r>
      <w:r w:rsidR="0092563F">
        <w:t>rapid technological change and respond to increasing demand.</w:t>
      </w:r>
    </w:p>
    <w:p w14:paraId="277B01D7" w14:textId="1FA364C1" w:rsidR="0092563F" w:rsidRDefault="0092563F" w:rsidP="0092563F">
      <w:pPr>
        <w:pStyle w:val="CommentText"/>
      </w:pPr>
      <w:r>
        <w:t>The last major shift in the way spectrum in Australia is priced and allocated occurred in 1992. Prior to the commencement of the Radiocommunications Act 1992, spectrum was largely allocated through administrative mechanisms. As a finite resource, international regulators agree that a ‘command and control’ approach limits the efficient and flexible use of spectrum. The 1992 Act enabled market-based allocation for the first time. Markets are important in ensuring spectrum is efficiently allocated – that is, producing what society wants, at the least cost, over time as societies and technology change.</w:t>
      </w:r>
    </w:p>
    <w:p w14:paraId="350250F9" w14:textId="3EDF2CA7" w:rsidR="0092563F" w:rsidRDefault="0092563F" w:rsidP="0092563F">
      <w:pPr>
        <w:pStyle w:val="CommentText"/>
      </w:pPr>
      <w:r>
        <w:t xml:space="preserve">Spectrum management has been reviewed at two instances since the hallmark reforms. A Productivity Commission Review in 2002 made recommendations to see further use of the market in allocating spectrum, the majority of which were accepted by the Government at the time. The ensuing 2004 Australian Communications Authority review addressed the implementation of the Productivity Commission’s recommendations. </w:t>
      </w:r>
    </w:p>
    <w:p w14:paraId="41E0A68B" w14:textId="12C0D17F" w:rsidR="008B1F6A" w:rsidRDefault="0092563F" w:rsidP="0092563F">
      <w:pPr>
        <w:pStyle w:val="CommentText"/>
      </w:pPr>
      <w:r>
        <w:t>Incorporation of market-based mechanisms to spectrum allocation has been steady and is well utilised for bands used by mobile communication. Administered pricing mechanisms, in contrast, have remained largely unchanged during this period. The payment structures and taxation arrangements between the licensing systems remain different. While positive progress has been made further work can be done to implement a pricing approach in a consistent manner.</w:t>
      </w:r>
    </w:p>
    <w:p w14:paraId="25C14081" w14:textId="77777777" w:rsidR="001A449F" w:rsidRDefault="001A449F" w:rsidP="001A449F">
      <w:pPr>
        <w:pStyle w:val="CommentText"/>
      </w:pPr>
      <w:r>
        <w:t>The Department of Communications released its Spectrum Review in March 2015. In August 2015 the Government announced it would implement the recommendations of the review, including agreement to:</w:t>
      </w:r>
    </w:p>
    <w:p w14:paraId="01D4633E" w14:textId="3FCC41D9" w:rsidR="001A449F" w:rsidRDefault="001A449F" w:rsidP="00A86F5C">
      <w:pPr>
        <w:pStyle w:val="ListNumber"/>
        <w:numPr>
          <w:ilvl w:val="0"/>
          <w:numId w:val="34"/>
        </w:numPr>
      </w:pPr>
      <w:r>
        <w:t>replace the current legislative arrangements with new legislation that removes prescriptive process and streamlines licensing for a simpler and more flexible framework</w:t>
      </w:r>
    </w:p>
    <w:p w14:paraId="4BEFF4D9" w14:textId="476CB018" w:rsidR="001A449F" w:rsidRDefault="001A449F" w:rsidP="00A86F5C">
      <w:pPr>
        <w:pStyle w:val="Numberlistlevel1"/>
      </w:pPr>
      <w:r>
        <w:t>better integrate the management of public sector and broadcasting spectrum to improve the consistency and integrity of the framework</w:t>
      </w:r>
    </w:p>
    <w:p w14:paraId="42220C52" w14:textId="0D65EAD2" w:rsidR="001A449F" w:rsidRDefault="001A449F" w:rsidP="00A86F5C">
      <w:pPr>
        <w:pStyle w:val="Numberlistlevel1"/>
      </w:pPr>
      <w:r>
        <w:t>review spectrum pricing to ensure consistent and transparent arrangements to support the efficient use of spectrum and secondary markets.</w:t>
      </w:r>
    </w:p>
    <w:p w14:paraId="166B0442" w14:textId="77777777" w:rsidR="00F17C05" w:rsidRDefault="00F17C05" w:rsidP="001A449F">
      <w:pPr>
        <w:pStyle w:val="CommentText"/>
      </w:pPr>
    </w:p>
    <w:p w14:paraId="2EA5C00F" w14:textId="7CDFCB2B" w:rsidR="00CA7AAC" w:rsidRDefault="00CA7AAC" w:rsidP="00CA7AAC">
      <w:pPr>
        <w:pStyle w:val="CommentText"/>
      </w:pPr>
      <w:r>
        <w:rPr>
          <w:noProof/>
        </w:rPr>
        <w:t>In Oct</w:t>
      </w:r>
      <w:r w:rsidR="00DB0ED2">
        <w:rPr>
          <w:noProof/>
        </w:rPr>
        <w:t>ob</w:t>
      </w:r>
      <w:r>
        <w:rPr>
          <w:noProof/>
        </w:rPr>
        <w:t xml:space="preserve">er 2019 the Government announced that it would take a targeted approach to amending the </w:t>
      </w:r>
      <w:r w:rsidRPr="008626F7">
        <w:rPr>
          <w:i/>
          <w:iCs/>
          <w:noProof/>
        </w:rPr>
        <w:t>Radiocommunications Act 1992</w:t>
      </w:r>
      <w:r>
        <w:rPr>
          <w:noProof/>
        </w:rPr>
        <w:t xml:space="preserve">, and the subsequent passage and commencement of the </w:t>
      </w:r>
      <w:r w:rsidRPr="008626F7">
        <w:rPr>
          <w:i/>
          <w:iCs/>
          <w:noProof/>
        </w:rPr>
        <w:t>Radiocommunications Legislation Amendment (Reform and Modernisation) Act 2020</w:t>
      </w:r>
      <w:r>
        <w:rPr>
          <w:noProof/>
        </w:rPr>
        <w:t xml:space="preserve"> which aimed to streamline and modernise the Radiocommunications Act 1992. </w:t>
      </w:r>
    </w:p>
    <w:p w14:paraId="0A8868C3" w14:textId="60D3E3FC" w:rsidR="007F46B8" w:rsidRDefault="00B34AEB" w:rsidP="00A241ED">
      <w:pPr>
        <w:pStyle w:val="CommentText"/>
      </w:pPr>
      <w:r>
        <w:t>As an a</w:t>
      </w:r>
      <w:r w:rsidR="006700C6">
        <w:t>d</w:t>
      </w:r>
      <w:r>
        <w:t>junct to the Spectrum Review, i</w:t>
      </w:r>
      <w:r w:rsidR="0067594A">
        <w:t>n 2017 t</w:t>
      </w:r>
      <w:r w:rsidR="00BC143B">
        <w:t>he Department of Communications conducted this</w:t>
      </w:r>
      <w:r w:rsidR="00823981">
        <w:t xml:space="preserve"> </w:t>
      </w:r>
      <w:hyperlink r:id="rId29" w:history="1">
        <w:r w:rsidR="00823981" w:rsidRPr="00046DA5">
          <w:rPr>
            <w:rStyle w:val="Hyperlink"/>
          </w:rPr>
          <w:t>Spectrum Pricing Review</w:t>
        </w:r>
      </w:hyperlink>
      <w:r w:rsidR="009A2A56">
        <w:t xml:space="preserve">, and </w:t>
      </w:r>
      <w:r w:rsidR="00823981">
        <w:t xml:space="preserve">made 11 </w:t>
      </w:r>
      <w:r w:rsidR="00A40E2B">
        <w:t xml:space="preserve">recommendations to adjust pricing of </w:t>
      </w:r>
      <w:r w:rsidR="00A66057">
        <w:t xml:space="preserve">spectrum </w:t>
      </w:r>
      <w:r w:rsidR="00A40E2B">
        <w:t>that would improve transparency and efficiency of allocation and use</w:t>
      </w:r>
      <w:r w:rsidR="007F46B8">
        <w:t xml:space="preserve"> (see </w:t>
      </w:r>
      <w:r w:rsidR="007F46B8" w:rsidRPr="000A618F">
        <w:rPr>
          <w:b/>
          <w:bCs/>
        </w:rPr>
        <w:t>Appendix A</w:t>
      </w:r>
      <w:r w:rsidR="007F46B8">
        <w:t xml:space="preserve"> for the SPR background and recommendations)</w:t>
      </w:r>
      <w:r w:rsidR="00A40E2B">
        <w:t xml:space="preserve">. </w:t>
      </w:r>
      <w:r w:rsidR="00BA3C78" w:rsidRPr="00046DA5">
        <w:t>In February 2018, the</w:t>
      </w:r>
      <w:r w:rsidR="005667E4">
        <w:t xml:space="preserve"> then</w:t>
      </w:r>
      <w:r w:rsidR="00BA3C78" w:rsidRPr="00046DA5">
        <w:t xml:space="preserve"> Australian Government endorsed the</w:t>
      </w:r>
      <w:r w:rsidR="005C2E6D">
        <w:t xml:space="preserve"> </w:t>
      </w:r>
      <w:r w:rsidR="00BA3C78" w:rsidRPr="00046DA5">
        <w:t>recommendations</w:t>
      </w:r>
      <w:r w:rsidR="008C31A8">
        <w:t xml:space="preserve">. </w:t>
      </w:r>
    </w:p>
    <w:p w14:paraId="4779D3DF" w14:textId="7EDD4AB8" w:rsidR="00BD39CC" w:rsidRDefault="003150A3" w:rsidP="00A86F5C">
      <w:pPr>
        <w:pStyle w:val="CommentText"/>
      </w:pPr>
      <w:r>
        <w:t xml:space="preserve">The ACMA addressed a number of these recommendations in </w:t>
      </w:r>
      <w:r w:rsidR="00437BD5">
        <w:t xml:space="preserve">2021 when it implemented a </w:t>
      </w:r>
      <w:hyperlink r:id="rId30" w:history="1">
        <w:r w:rsidR="00437BD5" w:rsidRPr="00437BD5">
          <w:rPr>
            <w:rStyle w:val="Hyperlink"/>
          </w:rPr>
          <w:t>1</w:t>
        </w:r>
        <w:r w:rsidR="00437BD5" w:rsidRPr="00437BD5">
          <w:rPr>
            <w:rStyle w:val="Hyperlink"/>
            <w:vertAlign w:val="superscript"/>
          </w:rPr>
          <w:t>st</w:t>
        </w:r>
        <w:r w:rsidR="00437BD5" w:rsidRPr="00437BD5">
          <w:rPr>
            <w:rStyle w:val="Hyperlink"/>
          </w:rPr>
          <w:t xml:space="preserve"> tranche of reforms</w:t>
        </w:r>
      </w:hyperlink>
      <w:r w:rsidR="00437BD5">
        <w:t xml:space="preserve">. </w:t>
      </w:r>
      <w:r w:rsidR="00633021">
        <w:t>The most substant</w:t>
      </w:r>
      <w:r w:rsidR="003323B6">
        <w:t>ive</w:t>
      </w:r>
      <w:r w:rsidR="00633021">
        <w:t xml:space="preserve"> </w:t>
      </w:r>
      <w:r w:rsidR="00EC50AB">
        <w:t xml:space="preserve">remaining </w:t>
      </w:r>
      <w:r w:rsidR="004A16D7">
        <w:t xml:space="preserve">recommendation </w:t>
      </w:r>
      <w:r w:rsidR="00855520">
        <w:t xml:space="preserve">for the ACMA is </w:t>
      </w:r>
      <w:r w:rsidR="00633021">
        <w:t>recommendation</w:t>
      </w:r>
      <w:r w:rsidR="003323B6">
        <w:t> </w:t>
      </w:r>
      <w:r w:rsidR="00633021">
        <w:t>7</w:t>
      </w:r>
      <w:r w:rsidR="00A52C93">
        <w:rPr>
          <w:rStyle w:val="FootnoteReference"/>
        </w:rPr>
        <w:footnoteReference w:id="5"/>
      </w:r>
      <w:r w:rsidR="00633021">
        <w:t>, which is t</w:t>
      </w:r>
      <w:r w:rsidR="00BD39CC">
        <w:t xml:space="preserve">he focus of tranche 2 reform proposals and this </w:t>
      </w:r>
      <w:r w:rsidR="00D1024A">
        <w:t xml:space="preserve">regulation impact statement </w:t>
      </w:r>
      <w:r w:rsidR="00A47D0C">
        <w:t>(</w:t>
      </w:r>
      <w:r w:rsidR="00BD39CC">
        <w:t>RIS</w:t>
      </w:r>
      <w:r w:rsidR="00A47D0C">
        <w:t>)</w:t>
      </w:r>
      <w:r w:rsidR="00ED62DF">
        <w:t>:</w:t>
      </w:r>
      <w:r w:rsidR="00633021">
        <w:t xml:space="preserve"> </w:t>
      </w:r>
    </w:p>
    <w:p w14:paraId="2AF242B3" w14:textId="767C5704" w:rsidR="00ED62DF" w:rsidRDefault="00A47D0C" w:rsidP="00ED62DF">
      <w:pPr>
        <w:pStyle w:val="IntenseQuote"/>
      </w:pPr>
      <w:r>
        <w:t xml:space="preserve">SPR </w:t>
      </w:r>
      <w:r w:rsidR="007B632D">
        <w:t xml:space="preserve">Recommendation 7: </w:t>
      </w:r>
      <w:r w:rsidR="00ED62DF" w:rsidRPr="00EF1F2E">
        <w:t xml:space="preserve">The ACMA 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w:t>
      </w:r>
      <w:proofErr w:type="gramStart"/>
      <w:r w:rsidR="00ED62DF" w:rsidRPr="00EF1F2E">
        <w:t>demography</w:t>
      </w:r>
      <w:proofErr w:type="gramEnd"/>
      <w:r w:rsidR="00ED62DF" w:rsidRPr="00EF1F2E">
        <w:t xml:space="preserve"> and demand.</w:t>
      </w:r>
    </w:p>
    <w:p w14:paraId="00088C17" w14:textId="3EC36405" w:rsidR="003C6A57" w:rsidRDefault="00FD05D6" w:rsidP="00BA3C78">
      <w:pPr>
        <w:spacing w:after="80"/>
      </w:pPr>
      <w:r>
        <w:t>The SPR acknowledged the value of the</w:t>
      </w:r>
      <w:r w:rsidR="00690BB4">
        <w:t xml:space="preserve"> pricing</w:t>
      </w:r>
      <w:r>
        <w:t xml:space="preserve"> fo</w:t>
      </w:r>
      <w:r w:rsidR="001B2F10">
        <w:t>rmula</w:t>
      </w:r>
      <w:r w:rsidR="00AB1D53">
        <w:t xml:space="preserve"> in providing </w:t>
      </w:r>
      <w:r w:rsidR="00AB1D53" w:rsidRPr="00C4348B">
        <w:t>consistency, transparent calculations, clear guidelines, and the flexibility to adjust for individual situations.</w:t>
      </w:r>
      <w:r w:rsidR="00AB1D53">
        <w:t xml:space="preserve"> However</w:t>
      </w:r>
      <w:r w:rsidR="00270C8A">
        <w:t>,</w:t>
      </w:r>
      <w:r w:rsidR="00AB1D53">
        <w:t xml:space="preserve"> it </w:t>
      </w:r>
      <w:r w:rsidR="003C6A57">
        <w:t xml:space="preserve">noted that </w:t>
      </w:r>
      <w:r w:rsidR="003C6A57" w:rsidRPr="00C4348B">
        <w:t xml:space="preserve">the current formula dates back to </w:t>
      </w:r>
      <w:proofErr w:type="gramStart"/>
      <w:r w:rsidR="003C6A57" w:rsidRPr="00C4348B">
        <w:t>1992</w:t>
      </w:r>
      <w:r w:rsidR="00F60ADF">
        <w:t xml:space="preserve">, </w:t>
      </w:r>
      <w:r w:rsidR="00604083">
        <w:t>and</w:t>
      </w:r>
      <w:proofErr w:type="gramEnd"/>
      <w:r w:rsidR="00604083">
        <w:t xml:space="preserve"> </w:t>
      </w:r>
      <w:r w:rsidR="00F60ADF">
        <w:t xml:space="preserve">had </w:t>
      </w:r>
      <w:r w:rsidR="004E315E">
        <w:t>main</w:t>
      </w:r>
      <w:r w:rsidR="00396E6C">
        <w:t>ly</w:t>
      </w:r>
      <w:r w:rsidR="00DF2893">
        <w:t xml:space="preserve"> </w:t>
      </w:r>
      <w:r w:rsidR="001E13AF">
        <w:t xml:space="preserve">been reviewed and </w:t>
      </w:r>
      <w:r w:rsidR="00DF2893">
        <w:t xml:space="preserve">changed </w:t>
      </w:r>
      <w:r w:rsidR="001E13AF">
        <w:t>in a piecemeal fashion</w:t>
      </w:r>
      <w:r w:rsidR="003C6A57">
        <w:t xml:space="preserve"> </w:t>
      </w:r>
      <w:r w:rsidR="00656423">
        <w:t>since then.</w:t>
      </w:r>
      <w:r w:rsidR="009D0DF0">
        <w:t xml:space="preserve"> </w:t>
      </w:r>
      <w:r w:rsidR="00A63AFC">
        <w:t xml:space="preserve">Given the age of the </w:t>
      </w:r>
      <w:r w:rsidR="00EA1F61">
        <w:t xml:space="preserve">formula parameters, the SPR considered it not </w:t>
      </w:r>
      <w:r w:rsidR="006623B6">
        <w:t xml:space="preserve">in line with the contemporary </w:t>
      </w:r>
      <w:r w:rsidR="002D48CF">
        <w:t>communications environment</w:t>
      </w:r>
      <w:r w:rsidR="00EA1F61">
        <w:t xml:space="preserve">. </w:t>
      </w:r>
      <w:r w:rsidR="00604083">
        <w:t>Consequently</w:t>
      </w:r>
      <w:r w:rsidR="00DB0ED2">
        <w:t>,</w:t>
      </w:r>
      <w:r w:rsidR="00604083">
        <w:t xml:space="preserve"> t</w:t>
      </w:r>
      <w:r w:rsidR="00656423">
        <w:t>he</w:t>
      </w:r>
      <w:r w:rsidR="001E13AF">
        <w:t xml:space="preserve"> SPR</w:t>
      </w:r>
      <w:r w:rsidR="00656423">
        <w:t xml:space="preserve"> </w:t>
      </w:r>
      <w:r w:rsidR="000E4A0D">
        <w:t xml:space="preserve">recommended </w:t>
      </w:r>
      <w:r w:rsidR="003C6A57" w:rsidRPr="00C4348B">
        <w:t>the ACMA undertake a detailed review of the formula, including consideration of how the parameters used can be more responsive to the underlying value of the spectrum.</w:t>
      </w:r>
    </w:p>
    <w:p w14:paraId="2C0C2183" w14:textId="77777777" w:rsidR="00A241ED" w:rsidRDefault="00A241ED" w:rsidP="00BA3C78">
      <w:pPr>
        <w:spacing w:after="80"/>
      </w:pPr>
    </w:p>
    <w:p w14:paraId="722F3A42" w14:textId="2841F9B6" w:rsidR="003650DD" w:rsidRDefault="003650DD" w:rsidP="006E6ED7">
      <w:pPr>
        <w:pStyle w:val="Heading2"/>
      </w:pPr>
      <w:bookmarkStart w:id="12" w:name="_Toc99632500"/>
      <w:bookmarkStart w:id="13" w:name="_Toc109035835"/>
      <w:r>
        <w:t>The</w:t>
      </w:r>
      <w:r w:rsidR="00B013FF">
        <w:t xml:space="preserve"> administrative pricing formula</w:t>
      </w:r>
      <w:r w:rsidR="00B013FF">
        <w:rPr>
          <w:rStyle w:val="FootnoteReference"/>
        </w:rPr>
        <w:footnoteReference w:id="6"/>
      </w:r>
      <w:bookmarkEnd w:id="12"/>
      <w:bookmarkEnd w:id="13"/>
      <w:r>
        <w:t xml:space="preserve"> </w:t>
      </w:r>
    </w:p>
    <w:p w14:paraId="724120EA" w14:textId="68E0F033" w:rsidR="009D0D7E" w:rsidRDefault="002C14B7" w:rsidP="000C6A7F">
      <w:pPr>
        <w:spacing w:before="120" w:after="120" w:line="240" w:lineRule="auto"/>
        <w:rPr>
          <w:rFonts w:cs="Arial"/>
          <w:iCs/>
          <w:color w:val="000000"/>
          <w:szCs w:val="20"/>
        </w:rPr>
      </w:pPr>
      <w:r>
        <w:rPr>
          <w:rFonts w:cs="Arial"/>
          <w:iCs/>
          <w:color w:val="000000"/>
          <w:szCs w:val="20"/>
        </w:rPr>
        <w:t xml:space="preserve">The administrative pricing formula </w:t>
      </w:r>
      <w:r w:rsidR="00D06CE0">
        <w:rPr>
          <w:rFonts w:cs="Arial"/>
          <w:iCs/>
          <w:color w:val="000000"/>
          <w:szCs w:val="20"/>
        </w:rPr>
        <w:t xml:space="preserve">is the primary way that the ACMA sets prices (taxes) for allocation of </w:t>
      </w:r>
      <w:hyperlink r:id="rId31" w:history="1">
        <w:r w:rsidR="00D06CE0" w:rsidRPr="009161C1">
          <w:rPr>
            <w:rStyle w:val="Hyperlink"/>
            <w:rFonts w:cs="Arial"/>
            <w:iCs/>
            <w:szCs w:val="20"/>
          </w:rPr>
          <w:t>apparatus licences</w:t>
        </w:r>
      </w:hyperlink>
      <w:r w:rsidR="00D06CE0">
        <w:rPr>
          <w:rFonts w:cs="Arial"/>
          <w:iCs/>
          <w:color w:val="000000"/>
          <w:szCs w:val="20"/>
        </w:rPr>
        <w:t xml:space="preserve">. </w:t>
      </w:r>
      <w:r w:rsidR="009D0D7E">
        <w:rPr>
          <w:rFonts w:cs="Arial"/>
          <w:iCs/>
          <w:color w:val="000000"/>
          <w:szCs w:val="20"/>
        </w:rPr>
        <w:t xml:space="preserve">It is an incentive pricing approach whereby the prices are intended to provide incentives to licensees to </w:t>
      </w:r>
      <w:r w:rsidR="000F0893">
        <w:rPr>
          <w:rFonts w:cs="Arial"/>
          <w:iCs/>
          <w:color w:val="000000"/>
          <w:szCs w:val="20"/>
        </w:rPr>
        <w:t xml:space="preserve">only obtain spectrum that they </w:t>
      </w:r>
      <w:proofErr w:type="gramStart"/>
      <w:r w:rsidR="000F0893">
        <w:rPr>
          <w:rFonts w:cs="Arial"/>
          <w:iCs/>
          <w:color w:val="000000"/>
          <w:szCs w:val="20"/>
        </w:rPr>
        <w:t>need, and</w:t>
      </w:r>
      <w:proofErr w:type="gramEnd"/>
      <w:r w:rsidR="000F0893">
        <w:rPr>
          <w:rFonts w:cs="Arial"/>
          <w:iCs/>
          <w:color w:val="000000"/>
          <w:szCs w:val="20"/>
        </w:rPr>
        <w:t xml:space="preserve"> </w:t>
      </w:r>
      <w:r w:rsidR="009D0D7E">
        <w:rPr>
          <w:rFonts w:cs="Arial"/>
          <w:iCs/>
          <w:color w:val="000000"/>
          <w:szCs w:val="20"/>
        </w:rPr>
        <w:t xml:space="preserve">use </w:t>
      </w:r>
      <w:r w:rsidR="000F0893">
        <w:rPr>
          <w:rFonts w:cs="Arial"/>
          <w:iCs/>
          <w:color w:val="000000"/>
          <w:szCs w:val="20"/>
        </w:rPr>
        <w:t xml:space="preserve">it efficiently. </w:t>
      </w:r>
      <w:r w:rsidR="00D01B6D">
        <w:rPr>
          <w:rFonts w:cs="Arial"/>
          <w:iCs/>
          <w:color w:val="000000"/>
          <w:szCs w:val="20"/>
        </w:rPr>
        <w:t>Generally, the formula sets h</w:t>
      </w:r>
      <w:r w:rsidR="00D01B6D">
        <w:t xml:space="preserve">igher prices in </w:t>
      </w:r>
      <w:r w:rsidR="00A74D7E">
        <w:t xml:space="preserve">locations of </w:t>
      </w:r>
      <w:r w:rsidR="00D01B6D">
        <w:t>higher density</w:t>
      </w:r>
      <w:r w:rsidR="00A74D7E">
        <w:t>/demand</w:t>
      </w:r>
      <w:r w:rsidR="00D01B6D">
        <w:t xml:space="preserve"> and vice versa.</w:t>
      </w:r>
      <w:r w:rsidR="00A74D7E">
        <w:t xml:space="preserve"> These relative prices can help to manage</w:t>
      </w:r>
      <w:r w:rsidR="000F7138">
        <w:t xml:space="preserve"> congestion by </w:t>
      </w:r>
      <w:r w:rsidR="00692A86">
        <w:t xml:space="preserve">smoothing out demand across locations. </w:t>
      </w:r>
    </w:p>
    <w:p w14:paraId="3B8EF0FA" w14:textId="4515FAED" w:rsidR="00AA6B31" w:rsidRPr="002F0255" w:rsidRDefault="002B2B54" w:rsidP="000C6A7F">
      <w:pPr>
        <w:spacing w:before="120" w:after="120" w:line="240" w:lineRule="auto"/>
      </w:pPr>
      <w:r>
        <w:rPr>
          <w:rFonts w:cs="Arial"/>
          <w:iCs/>
          <w:color w:val="000000"/>
          <w:szCs w:val="20"/>
        </w:rPr>
        <w:t xml:space="preserve">The review of the </w:t>
      </w:r>
      <w:r w:rsidR="0078073C" w:rsidRPr="0078073C">
        <w:rPr>
          <w:rFonts w:cs="Arial"/>
          <w:iCs/>
          <w:color w:val="000000"/>
          <w:szCs w:val="20"/>
        </w:rPr>
        <w:t xml:space="preserve">administrative pricing formula </w:t>
      </w:r>
      <w:r w:rsidR="0078073C">
        <w:rPr>
          <w:rFonts w:cs="Arial"/>
          <w:iCs/>
          <w:color w:val="000000"/>
          <w:szCs w:val="20"/>
        </w:rPr>
        <w:t xml:space="preserve">is important </w:t>
      </w:r>
      <w:r w:rsidR="00346664">
        <w:rPr>
          <w:rFonts w:cs="Arial"/>
          <w:iCs/>
          <w:color w:val="000000"/>
          <w:szCs w:val="20"/>
        </w:rPr>
        <w:t xml:space="preserve">because </w:t>
      </w:r>
      <w:r w:rsidR="00C91946">
        <w:rPr>
          <w:rFonts w:cs="Arial"/>
          <w:iCs/>
          <w:color w:val="000000"/>
          <w:szCs w:val="20"/>
        </w:rPr>
        <w:t xml:space="preserve">it </w:t>
      </w:r>
      <w:r w:rsidR="008C3147">
        <w:rPr>
          <w:rFonts w:cs="Arial"/>
          <w:iCs/>
          <w:color w:val="000000"/>
          <w:szCs w:val="20"/>
        </w:rPr>
        <w:t xml:space="preserve">governs the taxes for 80% </w:t>
      </w:r>
      <w:r w:rsidR="009529FE" w:rsidRPr="009529FE">
        <w:rPr>
          <w:rFonts w:cs="Arial"/>
          <w:iCs/>
          <w:color w:val="000000"/>
          <w:szCs w:val="20"/>
        </w:rPr>
        <w:t xml:space="preserve">of </w:t>
      </w:r>
      <w:r w:rsidR="008C3147">
        <w:rPr>
          <w:rFonts w:cs="Arial"/>
          <w:iCs/>
          <w:color w:val="000000"/>
          <w:szCs w:val="20"/>
        </w:rPr>
        <w:t>the</w:t>
      </w:r>
      <w:r w:rsidR="00A21B8F">
        <w:rPr>
          <w:rFonts w:cs="Arial"/>
          <w:iCs/>
          <w:color w:val="000000"/>
          <w:szCs w:val="20"/>
        </w:rPr>
        <w:t xml:space="preserve"> approximately</w:t>
      </w:r>
      <w:r w:rsidR="008C3147">
        <w:rPr>
          <w:rFonts w:cs="Arial"/>
          <w:iCs/>
          <w:color w:val="000000"/>
          <w:szCs w:val="20"/>
        </w:rPr>
        <w:t xml:space="preserve"> </w:t>
      </w:r>
      <w:r w:rsidR="004A16EE">
        <w:rPr>
          <w:rFonts w:cs="Arial"/>
          <w:iCs/>
          <w:color w:val="000000"/>
          <w:szCs w:val="20"/>
        </w:rPr>
        <w:t>17</w:t>
      </w:r>
      <w:r w:rsidR="00A21B8F">
        <w:rPr>
          <w:rFonts w:cs="Arial"/>
          <w:iCs/>
          <w:color w:val="000000"/>
          <w:szCs w:val="20"/>
        </w:rPr>
        <w:t>0</w:t>
      </w:r>
      <w:r w:rsidR="00E014BD">
        <w:rPr>
          <w:rFonts w:cs="Arial"/>
          <w:iCs/>
          <w:color w:val="000000"/>
          <w:szCs w:val="20"/>
        </w:rPr>
        <w:t xml:space="preserve">,000 </w:t>
      </w:r>
      <w:r w:rsidR="009529FE" w:rsidRPr="009529FE">
        <w:rPr>
          <w:rFonts w:cs="Arial"/>
          <w:iCs/>
          <w:color w:val="000000"/>
          <w:szCs w:val="20"/>
        </w:rPr>
        <w:t>apparatus licence</w:t>
      </w:r>
      <w:r w:rsidR="008C3147">
        <w:rPr>
          <w:rFonts w:cs="Arial"/>
          <w:iCs/>
          <w:color w:val="000000"/>
          <w:szCs w:val="20"/>
        </w:rPr>
        <w:t>s</w:t>
      </w:r>
      <w:r w:rsidR="00E014BD">
        <w:rPr>
          <w:rFonts w:cs="Arial"/>
          <w:iCs/>
          <w:color w:val="000000"/>
          <w:szCs w:val="20"/>
        </w:rPr>
        <w:t xml:space="preserve"> currently issued</w:t>
      </w:r>
      <w:r w:rsidR="004877AC">
        <w:rPr>
          <w:rFonts w:cs="Arial"/>
          <w:iCs/>
          <w:color w:val="000000"/>
          <w:szCs w:val="20"/>
        </w:rPr>
        <w:t xml:space="preserve"> (see </w:t>
      </w:r>
      <w:r w:rsidR="004877AC">
        <w:rPr>
          <w:rFonts w:cs="Arial"/>
          <w:iCs/>
          <w:color w:val="000000"/>
          <w:szCs w:val="20"/>
        </w:rPr>
        <w:lastRenderedPageBreak/>
        <w:t>table 1)</w:t>
      </w:r>
      <w:r w:rsidR="00046DFA">
        <w:rPr>
          <w:rStyle w:val="FootnoteReference"/>
          <w:rFonts w:cs="Arial"/>
          <w:iCs/>
          <w:color w:val="000000"/>
          <w:szCs w:val="20"/>
        </w:rPr>
        <w:footnoteReference w:id="7"/>
      </w:r>
      <w:r w:rsidR="00E014BD">
        <w:rPr>
          <w:rFonts w:cs="Arial"/>
          <w:iCs/>
          <w:color w:val="000000"/>
          <w:szCs w:val="20"/>
        </w:rPr>
        <w:t xml:space="preserve">. </w:t>
      </w:r>
      <w:r w:rsidR="0096755B">
        <w:rPr>
          <w:rFonts w:cs="Arial"/>
          <w:iCs/>
          <w:color w:val="000000"/>
          <w:szCs w:val="20"/>
        </w:rPr>
        <w:t>From a revenue perspective i</w:t>
      </w:r>
      <w:r w:rsidR="0096755B">
        <w:t xml:space="preserve">n 2020-21 the ACMA collected apparatus licence tax revenues of $258m. </w:t>
      </w:r>
      <w:r w:rsidR="00950C63">
        <w:t xml:space="preserve">The breadth of the </w:t>
      </w:r>
      <w:r w:rsidR="0034538E">
        <w:t xml:space="preserve">apparatus licence tax formula suggests that formula parameters not optimised for contemporary settings may </w:t>
      </w:r>
      <w:r w:rsidR="00245AC2">
        <w:t xml:space="preserve">hinder </w:t>
      </w:r>
      <w:r w:rsidR="006C5D31">
        <w:t>licensees in their access to spectrum</w:t>
      </w:r>
      <w:r w:rsidR="007072C9">
        <w:t xml:space="preserve">, and consumers that use services with spectrum </w:t>
      </w:r>
      <w:r w:rsidR="007072C9" w:rsidRPr="002F0255">
        <w:t xml:space="preserve">inputs. </w:t>
      </w:r>
    </w:p>
    <w:p w14:paraId="51C6AB63" w14:textId="43294103" w:rsidR="00877CB6" w:rsidRPr="002F0255" w:rsidRDefault="00AA6B31" w:rsidP="000C6A7F">
      <w:pPr>
        <w:spacing w:before="120" w:after="120" w:line="240" w:lineRule="auto"/>
      </w:pPr>
      <w:r w:rsidRPr="002F0255">
        <w:t>T</w:t>
      </w:r>
      <w:r w:rsidR="00877CB6" w:rsidRPr="002F0255">
        <w:t xml:space="preserve">hese </w:t>
      </w:r>
      <w:r w:rsidRPr="002F0255">
        <w:t xml:space="preserve">170,000 apparatus licences affected by the taxation framework </w:t>
      </w:r>
      <w:r w:rsidR="005D1D81" w:rsidRPr="002F0255">
        <w:t xml:space="preserve">represent a diverse range of stakeholders including amateur licensees, government bodies, technology service firms, </w:t>
      </w:r>
      <w:r w:rsidR="002E5707" w:rsidRPr="002F0255">
        <w:t>television and radio, and mobile network operators. They are affected through the taxes which are levied on the licences they hold</w:t>
      </w:r>
      <w:r w:rsidR="00A00065" w:rsidRPr="002F0255">
        <w:t xml:space="preserve"> with these designed to ensure the efficient pricing and allocation of spectrum.</w:t>
      </w:r>
    </w:p>
    <w:p w14:paraId="4D557D29" w14:textId="0A31ABEA" w:rsidR="00DE391F" w:rsidRPr="002F0255" w:rsidRDefault="005505D9">
      <w:pPr>
        <w:spacing w:before="120" w:after="120" w:line="240" w:lineRule="auto"/>
        <w:rPr>
          <w:rFonts w:cs="Arial"/>
          <w:iCs/>
          <w:color w:val="000000"/>
          <w:szCs w:val="20"/>
        </w:rPr>
      </w:pPr>
      <w:r w:rsidRPr="002F0255">
        <w:rPr>
          <w:rFonts w:cs="Arial"/>
          <w:iCs/>
          <w:color w:val="000000"/>
          <w:szCs w:val="20"/>
        </w:rPr>
        <w:t>Whilst the formula has changed over time to accommodate new services</w:t>
      </w:r>
      <w:r w:rsidR="0092039A" w:rsidRPr="002F0255">
        <w:rPr>
          <w:rFonts w:cs="Arial"/>
          <w:iCs/>
          <w:color w:val="000000"/>
          <w:szCs w:val="20"/>
        </w:rPr>
        <w:t xml:space="preserve"> and to respond to acute </w:t>
      </w:r>
      <w:r w:rsidR="009C6CFD" w:rsidRPr="002F0255">
        <w:rPr>
          <w:rFonts w:cs="Arial"/>
          <w:iCs/>
          <w:color w:val="000000"/>
          <w:szCs w:val="20"/>
        </w:rPr>
        <w:t xml:space="preserve">supply and demand mismatches, it has </w:t>
      </w:r>
      <w:r w:rsidR="00A400C5" w:rsidRPr="002F0255">
        <w:rPr>
          <w:rFonts w:cs="Arial"/>
          <w:iCs/>
          <w:color w:val="000000"/>
          <w:szCs w:val="20"/>
        </w:rPr>
        <w:t xml:space="preserve">not been </w:t>
      </w:r>
      <w:r w:rsidR="00737797">
        <w:rPr>
          <w:rFonts w:cs="Arial"/>
          <w:iCs/>
          <w:color w:val="000000"/>
          <w:szCs w:val="20"/>
        </w:rPr>
        <w:t xml:space="preserve">holistically </w:t>
      </w:r>
      <w:r w:rsidR="00A400C5" w:rsidRPr="002F0255">
        <w:rPr>
          <w:rFonts w:cs="Arial"/>
          <w:iCs/>
          <w:color w:val="000000"/>
          <w:szCs w:val="20"/>
        </w:rPr>
        <w:t xml:space="preserve">reviewed </w:t>
      </w:r>
      <w:r w:rsidR="008F3563" w:rsidRPr="002F0255">
        <w:rPr>
          <w:rFonts w:cs="Arial"/>
          <w:iCs/>
          <w:color w:val="000000"/>
          <w:szCs w:val="20"/>
        </w:rPr>
        <w:t>in around 20 years</w:t>
      </w:r>
      <w:r w:rsidR="00696A84" w:rsidRPr="002F0255">
        <w:rPr>
          <w:rFonts w:cs="Arial"/>
          <w:iCs/>
          <w:color w:val="000000"/>
          <w:szCs w:val="20"/>
        </w:rPr>
        <w:t xml:space="preserve">, so a review of it to ensure its </w:t>
      </w:r>
      <w:r w:rsidR="009C6CFD" w:rsidRPr="002F0255">
        <w:rPr>
          <w:rFonts w:cs="Arial"/>
          <w:iCs/>
          <w:color w:val="000000"/>
          <w:szCs w:val="20"/>
        </w:rPr>
        <w:t xml:space="preserve">overall </w:t>
      </w:r>
      <w:r w:rsidR="00696A84" w:rsidRPr="002F0255">
        <w:rPr>
          <w:rFonts w:cs="Arial"/>
          <w:iCs/>
          <w:color w:val="000000"/>
          <w:szCs w:val="20"/>
        </w:rPr>
        <w:t>eff</w:t>
      </w:r>
      <w:r w:rsidR="005505DB" w:rsidRPr="002F0255">
        <w:rPr>
          <w:rFonts w:cs="Arial"/>
          <w:iCs/>
          <w:color w:val="000000"/>
          <w:szCs w:val="20"/>
        </w:rPr>
        <w:t xml:space="preserve">iciency is needed. </w:t>
      </w:r>
      <w:r w:rsidR="00DE391F" w:rsidRPr="002F0255">
        <w:rPr>
          <w:rFonts w:cs="Arial"/>
          <w:iCs/>
          <w:color w:val="000000"/>
          <w:szCs w:val="20"/>
        </w:rPr>
        <w:t xml:space="preserve">Therefore, updates are required to the current taxing system to best reflect </w:t>
      </w:r>
      <w:r w:rsidR="0035637B" w:rsidRPr="002F0255">
        <w:rPr>
          <w:rFonts w:cs="Arial"/>
          <w:iCs/>
          <w:color w:val="000000"/>
          <w:szCs w:val="20"/>
        </w:rPr>
        <w:t>tax rates on licences that enable the most efficient use of spectrum, a limited natural resource.</w:t>
      </w:r>
    </w:p>
    <w:p w14:paraId="3974B657" w14:textId="76F2A192" w:rsidR="00312A0F" w:rsidRPr="002F0255" w:rsidRDefault="00841F1A" w:rsidP="00312A0F">
      <w:pPr>
        <w:spacing w:before="120" w:after="120" w:line="240" w:lineRule="auto"/>
        <w:rPr>
          <w:rFonts w:cs="Arial"/>
          <w:iCs/>
          <w:color w:val="000000"/>
          <w:szCs w:val="20"/>
        </w:rPr>
      </w:pPr>
      <w:r w:rsidRPr="002F0255">
        <w:rPr>
          <w:rFonts w:cs="Arial"/>
          <w:iCs/>
          <w:color w:val="000000"/>
          <w:szCs w:val="20"/>
        </w:rPr>
        <w:t xml:space="preserve">The implementation </w:t>
      </w:r>
      <w:r w:rsidR="006B3820" w:rsidRPr="002F0255">
        <w:rPr>
          <w:rFonts w:cs="Arial"/>
          <w:iCs/>
          <w:color w:val="000000"/>
          <w:szCs w:val="20"/>
        </w:rPr>
        <w:t xml:space="preserve">of the SPR reforms </w:t>
      </w:r>
      <w:r w:rsidRPr="002F0255">
        <w:rPr>
          <w:rFonts w:cs="Arial"/>
          <w:iCs/>
          <w:color w:val="000000"/>
          <w:szCs w:val="20"/>
        </w:rPr>
        <w:t>will impact a</w:t>
      </w:r>
      <w:r w:rsidR="00312A0F" w:rsidRPr="002F0255">
        <w:rPr>
          <w:rFonts w:cs="Arial"/>
          <w:iCs/>
          <w:color w:val="000000"/>
          <w:szCs w:val="20"/>
        </w:rPr>
        <w:t xml:space="preserve"> subset of licensees subject to the administrative pricing formula </w:t>
      </w:r>
      <w:r w:rsidR="00EF3138" w:rsidRPr="002F0255">
        <w:rPr>
          <w:rFonts w:cs="Arial"/>
          <w:iCs/>
          <w:color w:val="000000"/>
          <w:szCs w:val="20"/>
        </w:rPr>
        <w:t xml:space="preserve">since only some aspects of the formula need change </w:t>
      </w:r>
      <w:r w:rsidR="00312A0F" w:rsidRPr="002F0255">
        <w:rPr>
          <w:rFonts w:cs="Arial"/>
          <w:iCs/>
          <w:color w:val="000000"/>
          <w:szCs w:val="20"/>
        </w:rPr>
        <w:t>(see section 5).</w:t>
      </w:r>
    </w:p>
    <w:p w14:paraId="779FBC50" w14:textId="24144D69" w:rsidR="0016603E" w:rsidRDefault="0016603E" w:rsidP="00312A0F">
      <w:pPr>
        <w:spacing w:before="120" w:after="120" w:line="240" w:lineRule="auto"/>
        <w:rPr>
          <w:rFonts w:cs="Arial"/>
          <w:iCs/>
          <w:color w:val="000000"/>
          <w:szCs w:val="20"/>
        </w:rPr>
      </w:pPr>
      <w:r w:rsidRPr="002F0255">
        <w:rPr>
          <w:rFonts w:cs="Arial"/>
          <w:iCs/>
          <w:color w:val="000000"/>
          <w:szCs w:val="20"/>
        </w:rPr>
        <w:t xml:space="preserve">The magnitude of the problem for affected stakeholders </w:t>
      </w:r>
      <w:r w:rsidR="006D7075" w:rsidRPr="002F0255">
        <w:rPr>
          <w:rFonts w:cs="Arial"/>
          <w:iCs/>
          <w:color w:val="000000"/>
          <w:szCs w:val="20"/>
        </w:rPr>
        <w:t xml:space="preserve">can be very </w:t>
      </w:r>
      <w:r w:rsidRPr="002F0255">
        <w:rPr>
          <w:rFonts w:cs="Arial"/>
          <w:iCs/>
          <w:color w:val="000000"/>
          <w:szCs w:val="20"/>
        </w:rPr>
        <w:t xml:space="preserve">significant, given that </w:t>
      </w:r>
      <w:r w:rsidR="006D7075" w:rsidRPr="002F0255">
        <w:rPr>
          <w:rFonts w:cs="Arial"/>
          <w:iCs/>
          <w:color w:val="000000"/>
          <w:szCs w:val="20"/>
        </w:rPr>
        <w:t xml:space="preserve">these licences often form a key component of their operations. For example, mobile network operators cannot operate their </w:t>
      </w:r>
      <w:r w:rsidR="00FB1EA6" w:rsidRPr="002F0255">
        <w:rPr>
          <w:rFonts w:cs="Arial"/>
          <w:iCs/>
          <w:color w:val="000000"/>
          <w:szCs w:val="20"/>
        </w:rPr>
        <w:t>key underlying business without the licences required.</w:t>
      </w:r>
    </w:p>
    <w:p w14:paraId="783F57D5" w14:textId="77777777" w:rsidR="0014002D" w:rsidRDefault="0014002D" w:rsidP="000C6A7F">
      <w:pPr>
        <w:spacing w:before="120" w:after="120" w:line="240" w:lineRule="auto"/>
        <w:rPr>
          <w:rFonts w:cs="Arial"/>
          <w:iCs/>
          <w:color w:val="000000"/>
          <w:szCs w:val="20"/>
        </w:rPr>
      </w:pPr>
    </w:p>
    <w:p w14:paraId="5F03932A" w14:textId="0A475F9B" w:rsidR="00F3444F" w:rsidRDefault="00F3444F" w:rsidP="00F3444F">
      <w:pPr>
        <w:pStyle w:val="Caption"/>
        <w:rPr>
          <w:rFonts w:cs="Arial"/>
          <w:iCs/>
          <w:color w:val="000000"/>
        </w:rPr>
      </w:pPr>
      <w:r>
        <w:t>Apparatus licences covered by the administrative pricing formula</w:t>
      </w:r>
    </w:p>
    <w:tbl>
      <w:tblPr>
        <w:tblW w:w="8359" w:type="dxa"/>
        <w:tblLook w:val="04A0" w:firstRow="1" w:lastRow="0" w:firstColumn="1" w:lastColumn="0" w:noHBand="0" w:noVBand="1"/>
      </w:tblPr>
      <w:tblGrid>
        <w:gridCol w:w="5665"/>
        <w:gridCol w:w="1276"/>
        <w:gridCol w:w="1418"/>
      </w:tblGrid>
      <w:tr w:rsidR="00F3444F" w:rsidRPr="00F3444F" w14:paraId="3F831780" w14:textId="77777777" w:rsidTr="00F3444F">
        <w:trPr>
          <w:trHeight w:val="730"/>
        </w:trPr>
        <w:tc>
          <w:tcPr>
            <w:tcW w:w="5665" w:type="dxa"/>
            <w:tcBorders>
              <w:top w:val="single" w:sz="4" w:space="0" w:color="8EA9DB"/>
              <w:left w:val="single" w:sz="4" w:space="0" w:color="8EA9DB"/>
              <w:bottom w:val="single" w:sz="4" w:space="0" w:color="8EA9DB"/>
              <w:right w:val="nil"/>
            </w:tcBorders>
            <w:shd w:val="clear" w:color="4472C4" w:fill="4472C4"/>
            <w:noWrap/>
            <w:vAlign w:val="bottom"/>
            <w:hideMark/>
          </w:tcPr>
          <w:p w14:paraId="2642E5FA" w14:textId="1991FACF" w:rsidR="00F3444F" w:rsidRPr="00F3444F" w:rsidRDefault="00917321" w:rsidP="00F3444F">
            <w:pPr>
              <w:spacing w:after="0" w:line="240" w:lineRule="auto"/>
              <w:rPr>
                <w:rFonts w:ascii="Calibri" w:hAnsi="Calibri" w:cs="Calibri"/>
                <w:b/>
                <w:bCs/>
                <w:color w:val="FFFFFF"/>
                <w:sz w:val="22"/>
                <w:szCs w:val="22"/>
              </w:rPr>
            </w:pPr>
            <w:r>
              <w:rPr>
                <w:rFonts w:ascii="Calibri" w:hAnsi="Calibri" w:cs="Calibri"/>
                <w:b/>
                <w:bCs/>
                <w:color w:val="FFFFFF"/>
                <w:sz w:val="22"/>
                <w:szCs w:val="22"/>
              </w:rPr>
              <w:t>Apparatus licence type</w:t>
            </w:r>
            <w:r>
              <w:rPr>
                <w:rStyle w:val="FootnoteReference"/>
                <w:rFonts w:cs="Calibri"/>
                <w:b/>
                <w:bCs/>
                <w:color w:val="FFFFFF"/>
                <w:sz w:val="22"/>
                <w:szCs w:val="22"/>
              </w:rPr>
              <w:footnoteReference w:id="8"/>
            </w:r>
          </w:p>
        </w:tc>
        <w:tc>
          <w:tcPr>
            <w:tcW w:w="1276" w:type="dxa"/>
            <w:tcBorders>
              <w:top w:val="single" w:sz="4" w:space="0" w:color="8EA9DB"/>
              <w:left w:val="nil"/>
              <w:bottom w:val="single" w:sz="4" w:space="0" w:color="8EA9DB"/>
              <w:right w:val="nil"/>
            </w:tcBorders>
            <w:shd w:val="clear" w:color="4472C4" w:fill="4472C4"/>
            <w:noWrap/>
            <w:vAlign w:val="bottom"/>
            <w:hideMark/>
          </w:tcPr>
          <w:p w14:paraId="6F7D8062" w14:textId="77777777" w:rsidR="00F3444F" w:rsidRPr="00F3444F" w:rsidRDefault="00F3444F" w:rsidP="00F3444F">
            <w:pPr>
              <w:spacing w:after="0" w:line="240" w:lineRule="auto"/>
              <w:rPr>
                <w:rFonts w:ascii="Calibri" w:hAnsi="Calibri" w:cs="Calibri"/>
                <w:b/>
                <w:bCs/>
                <w:color w:val="FFFFFF"/>
                <w:sz w:val="22"/>
                <w:szCs w:val="22"/>
              </w:rPr>
            </w:pPr>
            <w:r w:rsidRPr="00F3444F">
              <w:rPr>
                <w:rFonts w:ascii="Calibri" w:hAnsi="Calibri" w:cs="Calibri"/>
                <w:b/>
                <w:bCs/>
                <w:color w:val="FFFFFF"/>
                <w:sz w:val="22"/>
                <w:szCs w:val="22"/>
              </w:rPr>
              <w:t>number of licences</w:t>
            </w:r>
          </w:p>
        </w:tc>
        <w:tc>
          <w:tcPr>
            <w:tcW w:w="1418" w:type="dxa"/>
            <w:tcBorders>
              <w:top w:val="single" w:sz="4" w:space="0" w:color="8EA9DB"/>
              <w:left w:val="nil"/>
              <w:bottom w:val="single" w:sz="4" w:space="0" w:color="8EA9DB"/>
              <w:right w:val="nil"/>
            </w:tcBorders>
            <w:shd w:val="clear" w:color="4472C4" w:fill="4472C4"/>
            <w:vAlign w:val="bottom"/>
            <w:hideMark/>
          </w:tcPr>
          <w:p w14:paraId="3CB32444" w14:textId="77777777" w:rsidR="00F3444F" w:rsidRPr="00F3444F" w:rsidRDefault="00F3444F" w:rsidP="00F3444F">
            <w:pPr>
              <w:spacing w:after="0" w:line="240" w:lineRule="auto"/>
              <w:rPr>
                <w:rFonts w:ascii="Calibri" w:hAnsi="Calibri" w:cs="Calibri"/>
                <w:b/>
                <w:bCs/>
                <w:color w:val="FFFFFF"/>
                <w:sz w:val="22"/>
                <w:szCs w:val="22"/>
              </w:rPr>
            </w:pPr>
            <w:r w:rsidRPr="00F3444F">
              <w:rPr>
                <w:rFonts w:ascii="Calibri" w:hAnsi="Calibri" w:cs="Calibri"/>
                <w:b/>
                <w:bCs/>
                <w:color w:val="FFFFFF"/>
                <w:sz w:val="22"/>
                <w:szCs w:val="22"/>
              </w:rPr>
              <w:t>prices derived from the formula?</w:t>
            </w:r>
          </w:p>
        </w:tc>
      </w:tr>
      <w:tr w:rsidR="00F3444F" w:rsidRPr="00F3444F" w14:paraId="6B7B167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23295854" w14:textId="77777777" w:rsidR="00F3444F" w:rsidRPr="00F3444F" w:rsidRDefault="00C35894" w:rsidP="00F3444F">
            <w:pPr>
              <w:spacing w:after="0" w:line="240" w:lineRule="auto"/>
              <w:rPr>
                <w:rFonts w:ascii="Calibri" w:hAnsi="Calibri" w:cs="Calibri"/>
                <w:color w:val="000000"/>
                <w:sz w:val="22"/>
                <w:szCs w:val="22"/>
              </w:rPr>
            </w:pPr>
            <w:hyperlink r:id="rId32" w:tooltip="Browse Licences as a list" w:history="1">
              <w:r w:rsidR="00F3444F" w:rsidRPr="00F3444F">
                <w:rPr>
                  <w:rFonts w:ascii="Calibri" w:hAnsi="Calibri" w:cs="Calibri"/>
                  <w:color w:val="000000"/>
                  <w:sz w:val="22"/>
                  <w:szCs w:val="22"/>
                </w:rPr>
                <w:t>Aeronautical - Aeronautical Assigned System</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42E454B"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2440</w:t>
            </w:r>
          </w:p>
        </w:tc>
        <w:tc>
          <w:tcPr>
            <w:tcW w:w="1418" w:type="dxa"/>
            <w:tcBorders>
              <w:top w:val="single" w:sz="4" w:space="0" w:color="8EA9DB"/>
              <w:left w:val="nil"/>
              <w:bottom w:val="single" w:sz="4" w:space="0" w:color="8EA9DB"/>
              <w:right w:val="nil"/>
            </w:tcBorders>
            <w:shd w:val="clear" w:color="D9E1F2" w:fill="D9E1F2"/>
            <w:noWrap/>
            <w:vAlign w:val="bottom"/>
            <w:hideMark/>
          </w:tcPr>
          <w:p w14:paraId="7E24F940"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4127ACF"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6C1ABE8E" w14:textId="77777777" w:rsidR="00F3444F" w:rsidRPr="00F3444F" w:rsidRDefault="00C35894" w:rsidP="00F3444F">
            <w:pPr>
              <w:spacing w:after="0" w:line="240" w:lineRule="auto"/>
              <w:rPr>
                <w:rFonts w:ascii="Calibri" w:hAnsi="Calibri" w:cs="Calibri"/>
                <w:color w:val="000000"/>
                <w:sz w:val="22"/>
                <w:szCs w:val="22"/>
              </w:rPr>
            </w:pPr>
            <w:hyperlink r:id="rId33" w:tooltip="Browse Licences as a list" w:history="1">
              <w:r w:rsidR="00F3444F" w:rsidRPr="00F3444F">
                <w:rPr>
                  <w:rFonts w:ascii="Calibri" w:hAnsi="Calibri" w:cs="Calibri"/>
                  <w:color w:val="000000"/>
                  <w:sz w:val="22"/>
                  <w:szCs w:val="22"/>
                </w:rPr>
                <w:t>Aircraft - Aircraft Assigned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90D453F"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11</w:t>
            </w:r>
          </w:p>
        </w:tc>
        <w:tc>
          <w:tcPr>
            <w:tcW w:w="1418" w:type="dxa"/>
            <w:tcBorders>
              <w:top w:val="single" w:sz="4" w:space="0" w:color="8EA9DB"/>
              <w:left w:val="nil"/>
              <w:bottom w:val="single" w:sz="4" w:space="0" w:color="8EA9DB"/>
              <w:right w:val="nil"/>
            </w:tcBorders>
            <w:shd w:val="clear" w:color="auto" w:fill="auto"/>
            <w:noWrap/>
            <w:vAlign w:val="bottom"/>
            <w:hideMark/>
          </w:tcPr>
          <w:p w14:paraId="6D265EDF"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6B4DC2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03FE4353" w14:textId="77777777" w:rsidR="00F3444F" w:rsidRPr="00F3444F" w:rsidRDefault="00C35894" w:rsidP="00F3444F">
            <w:pPr>
              <w:spacing w:after="0" w:line="240" w:lineRule="auto"/>
              <w:rPr>
                <w:rFonts w:ascii="Calibri" w:hAnsi="Calibri" w:cs="Calibri"/>
                <w:color w:val="000000"/>
                <w:sz w:val="22"/>
                <w:szCs w:val="22"/>
              </w:rPr>
            </w:pPr>
            <w:hyperlink r:id="rId34" w:tooltip="Browse Licences as a list" w:history="1">
              <w:r w:rsidR="00F3444F" w:rsidRPr="00F3444F">
                <w:rPr>
                  <w:rFonts w:ascii="Calibri" w:hAnsi="Calibri" w:cs="Calibri"/>
                  <w:color w:val="000000"/>
                  <w:sz w:val="22"/>
                  <w:szCs w:val="22"/>
                </w:rPr>
                <w:t>Amateur - Advanced</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4C697ED3"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9694</w:t>
            </w:r>
          </w:p>
        </w:tc>
        <w:tc>
          <w:tcPr>
            <w:tcW w:w="1418" w:type="dxa"/>
            <w:tcBorders>
              <w:top w:val="single" w:sz="4" w:space="0" w:color="8EA9DB"/>
              <w:left w:val="nil"/>
              <w:bottom w:val="single" w:sz="4" w:space="0" w:color="8EA9DB"/>
              <w:right w:val="nil"/>
            </w:tcBorders>
            <w:shd w:val="clear" w:color="D9E1F2" w:fill="D9E1F2"/>
            <w:noWrap/>
            <w:vAlign w:val="bottom"/>
            <w:hideMark/>
          </w:tcPr>
          <w:p w14:paraId="06333CEC"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43F1DA9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136EF41A" w14:textId="77777777" w:rsidR="00F3444F" w:rsidRPr="00F3444F" w:rsidRDefault="00C35894" w:rsidP="00F3444F">
            <w:pPr>
              <w:spacing w:after="0" w:line="240" w:lineRule="auto"/>
              <w:rPr>
                <w:rFonts w:ascii="Calibri" w:hAnsi="Calibri" w:cs="Calibri"/>
                <w:color w:val="000000"/>
                <w:sz w:val="22"/>
                <w:szCs w:val="22"/>
              </w:rPr>
            </w:pPr>
            <w:hyperlink r:id="rId35" w:tooltip="Browse Licences as a list" w:history="1">
              <w:r w:rsidR="00F3444F" w:rsidRPr="00F3444F">
                <w:rPr>
                  <w:rFonts w:ascii="Calibri" w:hAnsi="Calibri" w:cs="Calibri"/>
                  <w:color w:val="000000"/>
                  <w:sz w:val="22"/>
                  <w:szCs w:val="22"/>
                </w:rPr>
                <w:t>Amateur - Amateur Beacon</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22974FCE"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43</w:t>
            </w:r>
          </w:p>
        </w:tc>
        <w:tc>
          <w:tcPr>
            <w:tcW w:w="1418" w:type="dxa"/>
            <w:tcBorders>
              <w:top w:val="single" w:sz="4" w:space="0" w:color="8EA9DB"/>
              <w:left w:val="nil"/>
              <w:bottom w:val="single" w:sz="4" w:space="0" w:color="8EA9DB"/>
              <w:right w:val="nil"/>
            </w:tcBorders>
            <w:shd w:val="clear" w:color="auto" w:fill="auto"/>
            <w:noWrap/>
            <w:vAlign w:val="bottom"/>
            <w:hideMark/>
          </w:tcPr>
          <w:p w14:paraId="21DD5AD1"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4D20E25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305CBF4F" w14:textId="77777777" w:rsidR="00F3444F" w:rsidRPr="00F3444F" w:rsidRDefault="00C35894" w:rsidP="00F3444F">
            <w:pPr>
              <w:spacing w:after="0" w:line="240" w:lineRule="auto"/>
              <w:rPr>
                <w:rFonts w:ascii="Calibri" w:hAnsi="Calibri" w:cs="Calibri"/>
                <w:color w:val="000000"/>
                <w:sz w:val="22"/>
                <w:szCs w:val="22"/>
              </w:rPr>
            </w:pPr>
            <w:hyperlink r:id="rId36" w:tooltip="Browse Licences as a list" w:history="1">
              <w:r w:rsidR="00F3444F" w:rsidRPr="00F3444F">
                <w:rPr>
                  <w:rFonts w:ascii="Calibri" w:hAnsi="Calibri" w:cs="Calibri"/>
                  <w:color w:val="000000"/>
                  <w:sz w:val="22"/>
                  <w:szCs w:val="22"/>
                </w:rPr>
                <w:t>Amateur - Amateur Repeater</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7124005B"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510</w:t>
            </w:r>
          </w:p>
        </w:tc>
        <w:tc>
          <w:tcPr>
            <w:tcW w:w="1418" w:type="dxa"/>
            <w:tcBorders>
              <w:top w:val="single" w:sz="4" w:space="0" w:color="8EA9DB"/>
              <w:left w:val="nil"/>
              <w:bottom w:val="single" w:sz="4" w:space="0" w:color="8EA9DB"/>
              <w:right w:val="nil"/>
            </w:tcBorders>
            <w:shd w:val="clear" w:color="D9E1F2" w:fill="D9E1F2"/>
            <w:noWrap/>
            <w:vAlign w:val="bottom"/>
            <w:hideMark/>
          </w:tcPr>
          <w:p w14:paraId="0D2E87EA"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1F6CA363"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198F922" w14:textId="77777777" w:rsidR="00F3444F" w:rsidRPr="00F3444F" w:rsidRDefault="00C35894" w:rsidP="00F3444F">
            <w:pPr>
              <w:spacing w:after="0" w:line="240" w:lineRule="auto"/>
              <w:rPr>
                <w:rFonts w:ascii="Calibri" w:hAnsi="Calibri" w:cs="Calibri"/>
                <w:color w:val="000000"/>
                <w:sz w:val="22"/>
                <w:szCs w:val="22"/>
              </w:rPr>
            </w:pPr>
            <w:hyperlink r:id="rId37" w:tooltip="Browse Licences as a list" w:history="1">
              <w:r w:rsidR="00F3444F" w:rsidRPr="00F3444F">
                <w:rPr>
                  <w:rFonts w:ascii="Calibri" w:hAnsi="Calibri" w:cs="Calibri"/>
                  <w:color w:val="000000"/>
                  <w:sz w:val="22"/>
                  <w:szCs w:val="22"/>
                </w:rPr>
                <w:t>Amateur - Foundation</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649A3DAE"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3149</w:t>
            </w:r>
          </w:p>
        </w:tc>
        <w:tc>
          <w:tcPr>
            <w:tcW w:w="1418" w:type="dxa"/>
            <w:tcBorders>
              <w:top w:val="single" w:sz="4" w:space="0" w:color="8EA9DB"/>
              <w:left w:val="nil"/>
              <w:bottom w:val="single" w:sz="4" w:space="0" w:color="8EA9DB"/>
              <w:right w:val="nil"/>
            </w:tcBorders>
            <w:shd w:val="clear" w:color="auto" w:fill="auto"/>
            <w:noWrap/>
            <w:vAlign w:val="bottom"/>
            <w:hideMark/>
          </w:tcPr>
          <w:p w14:paraId="0C3D1C20"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366CCDEB"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25C4C371" w14:textId="77777777" w:rsidR="00F3444F" w:rsidRPr="00F3444F" w:rsidRDefault="00C35894" w:rsidP="00F3444F">
            <w:pPr>
              <w:spacing w:after="0" w:line="240" w:lineRule="auto"/>
              <w:rPr>
                <w:rFonts w:ascii="Calibri" w:hAnsi="Calibri" w:cs="Calibri"/>
                <w:color w:val="000000"/>
                <w:sz w:val="22"/>
                <w:szCs w:val="22"/>
              </w:rPr>
            </w:pPr>
            <w:hyperlink r:id="rId38" w:tooltip="Browse Licences as a list" w:history="1">
              <w:r w:rsidR="00F3444F" w:rsidRPr="00F3444F">
                <w:rPr>
                  <w:rFonts w:ascii="Calibri" w:hAnsi="Calibri" w:cs="Calibri"/>
                  <w:color w:val="000000"/>
                  <w:sz w:val="22"/>
                  <w:szCs w:val="22"/>
                </w:rPr>
                <w:t>Amateur - Standard</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88A7B8E"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2117</w:t>
            </w:r>
          </w:p>
        </w:tc>
        <w:tc>
          <w:tcPr>
            <w:tcW w:w="1418" w:type="dxa"/>
            <w:tcBorders>
              <w:top w:val="single" w:sz="4" w:space="0" w:color="8EA9DB"/>
              <w:left w:val="nil"/>
              <w:bottom w:val="single" w:sz="4" w:space="0" w:color="8EA9DB"/>
              <w:right w:val="nil"/>
            </w:tcBorders>
            <w:shd w:val="clear" w:color="D9E1F2" w:fill="D9E1F2"/>
            <w:noWrap/>
            <w:vAlign w:val="bottom"/>
            <w:hideMark/>
          </w:tcPr>
          <w:p w14:paraId="43B29E39"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3669DA9A"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72488B7" w14:textId="77777777" w:rsidR="00F3444F" w:rsidRPr="00F3444F" w:rsidRDefault="00C35894" w:rsidP="00F3444F">
            <w:pPr>
              <w:spacing w:after="0" w:line="240" w:lineRule="auto"/>
              <w:rPr>
                <w:rFonts w:ascii="Calibri" w:hAnsi="Calibri" w:cs="Calibri"/>
                <w:color w:val="000000"/>
                <w:sz w:val="22"/>
                <w:szCs w:val="22"/>
              </w:rPr>
            </w:pPr>
            <w:hyperlink r:id="rId39" w:tooltip="Browse Licences as a list" w:history="1">
              <w:r w:rsidR="00F3444F" w:rsidRPr="00F3444F">
                <w:rPr>
                  <w:rFonts w:ascii="Calibri" w:hAnsi="Calibri" w:cs="Calibri"/>
                  <w:color w:val="000000"/>
                  <w:sz w:val="22"/>
                  <w:szCs w:val="22"/>
                </w:rPr>
                <w:t>Broadcasting - Cat 3 DRMT</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F9D8DE1"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w:t>
            </w:r>
          </w:p>
        </w:tc>
        <w:tc>
          <w:tcPr>
            <w:tcW w:w="1418" w:type="dxa"/>
            <w:tcBorders>
              <w:top w:val="single" w:sz="4" w:space="0" w:color="8EA9DB"/>
              <w:left w:val="nil"/>
              <w:bottom w:val="single" w:sz="4" w:space="0" w:color="8EA9DB"/>
              <w:right w:val="nil"/>
            </w:tcBorders>
            <w:shd w:val="clear" w:color="auto" w:fill="auto"/>
            <w:noWrap/>
            <w:vAlign w:val="bottom"/>
            <w:hideMark/>
          </w:tcPr>
          <w:p w14:paraId="7A58A975"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1A5CAB60"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15F40B68" w14:textId="77777777" w:rsidR="00F3444F" w:rsidRPr="00F3444F" w:rsidRDefault="00C35894" w:rsidP="00F3444F">
            <w:pPr>
              <w:spacing w:after="0" w:line="240" w:lineRule="auto"/>
              <w:rPr>
                <w:rFonts w:ascii="Calibri" w:hAnsi="Calibri" w:cs="Calibri"/>
                <w:color w:val="000000"/>
                <w:sz w:val="22"/>
                <w:szCs w:val="22"/>
              </w:rPr>
            </w:pPr>
            <w:hyperlink r:id="rId40" w:tooltip="Browse Licences as a list" w:history="1">
              <w:r w:rsidR="00F3444F" w:rsidRPr="00F3444F">
                <w:rPr>
                  <w:rFonts w:ascii="Calibri" w:hAnsi="Calibri" w:cs="Calibri"/>
                  <w:color w:val="000000"/>
                  <w:sz w:val="22"/>
                  <w:szCs w:val="22"/>
                </w:rPr>
                <w:t>Broadcasting - Commercial Radio</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4E6656DE"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634</w:t>
            </w:r>
          </w:p>
        </w:tc>
        <w:tc>
          <w:tcPr>
            <w:tcW w:w="1418" w:type="dxa"/>
            <w:tcBorders>
              <w:top w:val="single" w:sz="4" w:space="0" w:color="8EA9DB"/>
              <w:left w:val="nil"/>
              <w:bottom w:val="single" w:sz="4" w:space="0" w:color="8EA9DB"/>
              <w:right w:val="nil"/>
            </w:tcBorders>
            <w:shd w:val="clear" w:color="D9E1F2" w:fill="D9E1F2"/>
            <w:noWrap/>
            <w:vAlign w:val="bottom"/>
            <w:hideMark/>
          </w:tcPr>
          <w:p w14:paraId="471F646E"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51A3D48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70274C6D" w14:textId="77777777" w:rsidR="00F3444F" w:rsidRPr="00F3444F" w:rsidRDefault="00C35894" w:rsidP="00F3444F">
            <w:pPr>
              <w:spacing w:after="0" w:line="240" w:lineRule="auto"/>
              <w:rPr>
                <w:rFonts w:ascii="Calibri" w:hAnsi="Calibri" w:cs="Calibri"/>
                <w:color w:val="000000"/>
                <w:sz w:val="22"/>
                <w:szCs w:val="22"/>
              </w:rPr>
            </w:pPr>
            <w:hyperlink r:id="rId41" w:tooltip="Browse Licences as a list" w:history="1">
              <w:r w:rsidR="00F3444F" w:rsidRPr="00F3444F">
                <w:rPr>
                  <w:rFonts w:ascii="Calibri" w:hAnsi="Calibri" w:cs="Calibri"/>
                  <w:color w:val="000000"/>
                  <w:sz w:val="22"/>
                  <w:szCs w:val="22"/>
                </w:rPr>
                <w:t>Broadcasting - Commercial Television</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2EABE789"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1038</w:t>
            </w:r>
          </w:p>
        </w:tc>
        <w:tc>
          <w:tcPr>
            <w:tcW w:w="1418" w:type="dxa"/>
            <w:tcBorders>
              <w:top w:val="single" w:sz="4" w:space="0" w:color="8EA9DB"/>
              <w:left w:val="nil"/>
              <w:bottom w:val="single" w:sz="4" w:space="0" w:color="8EA9DB"/>
              <w:right w:val="nil"/>
            </w:tcBorders>
            <w:shd w:val="clear" w:color="auto" w:fill="auto"/>
            <w:noWrap/>
            <w:vAlign w:val="bottom"/>
            <w:hideMark/>
          </w:tcPr>
          <w:p w14:paraId="13DE4904"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1D46E5EB"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151E049C" w14:textId="77777777" w:rsidR="00F3444F" w:rsidRPr="00F3444F" w:rsidRDefault="00C35894" w:rsidP="00F3444F">
            <w:pPr>
              <w:spacing w:after="0" w:line="240" w:lineRule="auto"/>
              <w:rPr>
                <w:rFonts w:ascii="Calibri" w:hAnsi="Calibri" w:cs="Calibri"/>
                <w:color w:val="000000"/>
                <w:sz w:val="22"/>
                <w:szCs w:val="22"/>
              </w:rPr>
            </w:pPr>
            <w:hyperlink r:id="rId42" w:tooltip="Browse Licences as a list" w:history="1">
              <w:r w:rsidR="00F3444F" w:rsidRPr="00F3444F">
                <w:rPr>
                  <w:rFonts w:ascii="Calibri" w:hAnsi="Calibri" w:cs="Calibri"/>
                  <w:color w:val="000000"/>
                  <w:sz w:val="22"/>
                  <w:szCs w:val="22"/>
                </w:rPr>
                <w:t>Broadcasting - Community Broadcasting</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3BA390EA"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444</w:t>
            </w:r>
          </w:p>
        </w:tc>
        <w:tc>
          <w:tcPr>
            <w:tcW w:w="1418" w:type="dxa"/>
            <w:tcBorders>
              <w:top w:val="single" w:sz="4" w:space="0" w:color="8EA9DB"/>
              <w:left w:val="nil"/>
              <w:bottom w:val="single" w:sz="4" w:space="0" w:color="8EA9DB"/>
              <w:right w:val="nil"/>
            </w:tcBorders>
            <w:shd w:val="clear" w:color="D9E1F2" w:fill="D9E1F2"/>
            <w:noWrap/>
            <w:vAlign w:val="bottom"/>
            <w:hideMark/>
          </w:tcPr>
          <w:p w14:paraId="0CFB3C59"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21A4060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43EF3C11" w14:textId="77777777" w:rsidR="00F3444F" w:rsidRPr="00F3444F" w:rsidRDefault="00C35894" w:rsidP="00F3444F">
            <w:pPr>
              <w:spacing w:after="0" w:line="240" w:lineRule="auto"/>
              <w:rPr>
                <w:rFonts w:ascii="Calibri" w:hAnsi="Calibri" w:cs="Calibri"/>
                <w:color w:val="000000"/>
                <w:sz w:val="22"/>
                <w:szCs w:val="22"/>
              </w:rPr>
            </w:pPr>
            <w:hyperlink r:id="rId43" w:tooltip="Browse Licences as a list" w:history="1">
              <w:r w:rsidR="00F3444F" w:rsidRPr="00F3444F">
                <w:rPr>
                  <w:rFonts w:ascii="Calibri" w:hAnsi="Calibri" w:cs="Calibri"/>
                  <w:color w:val="000000"/>
                  <w:sz w:val="22"/>
                  <w:szCs w:val="22"/>
                </w:rPr>
                <w:t>Broadcasting - Foundation Cat 1 DRMT</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4BE02DE5"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13</w:t>
            </w:r>
          </w:p>
        </w:tc>
        <w:tc>
          <w:tcPr>
            <w:tcW w:w="1418" w:type="dxa"/>
            <w:tcBorders>
              <w:top w:val="single" w:sz="4" w:space="0" w:color="8EA9DB"/>
              <w:left w:val="nil"/>
              <w:bottom w:val="single" w:sz="4" w:space="0" w:color="8EA9DB"/>
              <w:right w:val="nil"/>
            </w:tcBorders>
            <w:shd w:val="clear" w:color="auto" w:fill="auto"/>
            <w:noWrap/>
            <w:vAlign w:val="bottom"/>
            <w:hideMark/>
          </w:tcPr>
          <w:p w14:paraId="724D7C3C"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E92829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2C881AAD" w14:textId="77777777" w:rsidR="00F3444F" w:rsidRPr="00F3444F" w:rsidRDefault="00C35894" w:rsidP="00F3444F">
            <w:pPr>
              <w:spacing w:after="0" w:line="240" w:lineRule="auto"/>
              <w:rPr>
                <w:rFonts w:ascii="Calibri" w:hAnsi="Calibri" w:cs="Calibri"/>
                <w:color w:val="000000"/>
                <w:sz w:val="22"/>
                <w:szCs w:val="22"/>
              </w:rPr>
            </w:pPr>
            <w:hyperlink r:id="rId44" w:tooltip="Browse Licences as a list" w:history="1">
              <w:r w:rsidR="00F3444F" w:rsidRPr="00F3444F">
                <w:rPr>
                  <w:rFonts w:ascii="Calibri" w:hAnsi="Calibri" w:cs="Calibri"/>
                  <w:color w:val="000000"/>
                  <w:sz w:val="22"/>
                  <w:szCs w:val="22"/>
                </w:rPr>
                <w:t>Broadcasting - HF Domestic Service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7C743A6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25</w:t>
            </w:r>
          </w:p>
        </w:tc>
        <w:tc>
          <w:tcPr>
            <w:tcW w:w="1418" w:type="dxa"/>
            <w:tcBorders>
              <w:top w:val="single" w:sz="4" w:space="0" w:color="8EA9DB"/>
              <w:left w:val="nil"/>
              <w:bottom w:val="single" w:sz="4" w:space="0" w:color="8EA9DB"/>
              <w:right w:val="nil"/>
            </w:tcBorders>
            <w:shd w:val="clear" w:color="D9E1F2" w:fill="D9E1F2"/>
            <w:noWrap/>
            <w:vAlign w:val="bottom"/>
            <w:hideMark/>
          </w:tcPr>
          <w:p w14:paraId="11F1A6A3"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0A29AC82"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55A9EB92" w14:textId="77777777" w:rsidR="00F3444F" w:rsidRPr="00F3444F" w:rsidRDefault="00C35894" w:rsidP="00F3444F">
            <w:pPr>
              <w:spacing w:after="0" w:line="240" w:lineRule="auto"/>
              <w:rPr>
                <w:rFonts w:ascii="Calibri" w:hAnsi="Calibri" w:cs="Calibri"/>
                <w:color w:val="000000"/>
                <w:sz w:val="22"/>
                <w:szCs w:val="22"/>
              </w:rPr>
            </w:pPr>
            <w:hyperlink r:id="rId45" w:tooltip="Browse Licences as a list" w:history="1">
              <w:r w:rsidR="00F3444F" w:rsidRPr="00F3444F">
                <w:rPr>
                  <w:rFonts w:ascii="Calibri" w:hAnsi="Calibri" w:cs="Calibri"/>
                  <w:color w:val="000000"/>
                  <w:sz w:val="22"/>
                  <w:szCs w:val="22"/>
                </w:rPr>
                <w:t>Broadcasting - HF Overseas (IBL) Service</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72BF29C3"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10</w:t>
            </w:r>
          </w:p>
        </w:tc>
        <w:tc>
          <w:tcPr>
            <w:tcW w:w="1418" w:type="dxa"/>
            <w:tcBorders>
              <w:top w:val="single" w:sz="4" w:space="0" w:color="8EA9DB"/>
              <w:left w:val="nil"/>
              <w:bottom w:val="single" w:sz="4" w:space="0" w:color="8EA9DB"/>
              <w:right w:val="nil"/>
            </w:tcBorders>
            <w:shd w:val="clear" w:color="auto" w:fill="auto"/>
            <w:noWrap/>
            <w:vAlign w:val="bottom"/>
            <w:hideMark/>
          </w:tcPr>
          <w:p w14:paraId="2AB202FF"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5DDC0E92"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BCBAFB8" w14:textId="77777777" w:rsidR="00F3444F" w:rsidRPr="00F3444F" w:rsidRDefault="00C35894" w:rsidP="00F3444F">
            <w:pPr>
              <w:spacing w:after="0" w:line="240" w:lineRule="auto"/>
              <w:rPr>
                <w:rFonts w:ascii="Calibri" w:hAnsi="Calibri" w:cs="Calibri"/>
                <w:color w:val="000000"/>
                <w:sz w:val="22"/>
                <w:szCs w:val="22"/>
              </w:rPr>
            </w:pPr>
            <w:hyperlink r:id="rId46" w:tooltip="Browse Licences as a list" w:history="1">
              <w:r w:rsidR="00F3444F" w:rsidRPr="00F3444F">
                <w:rPr>
                  <w:rFonts w:ascii="Calibri" w:hAnsi="Calibri" w:cs="Calibri"/>
                  <w:color w:val="000000"/>
                  <w:sz w:val="22"/>
                  <w:szCs w:val="22"/>
                </w:rPr>
                <w:t>Broadcasting - Narrowband Area Service station(s)</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50212466"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272</w:t>
            </w:r>
          </w:p>
        </w:tc>
        <w:tc>
          <w:tcPr>
            <w:tcW w:w="1418" w:type="dxa"/>
            <w:tcBorders>
              <w:top w:val="single" w:sz="4" w:space="0" w:color="8EA9DB"/>
              <w:left w:val="nil"/>
              <w:bottom w:val="single" w:sz="4" w:space="0" w:color="8EA9DB"/>
              <w:right w:val="nil"/>
            </w:tcBorders>
            <w:shd w:val="clear" w:color="D9E1F2" w:fill="D9E1F2"/>
            <w:noWrap/>
            <w:vAlign w:val="bottom"/>
            <w:hideMark/>
          </w:tcPr>
          <w:p w14:paraId="227E2EF4"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6D33EE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5E27DF43" w14:textId="77777777" w:rsidR="00F3444F" w:rsidRPr="00F3444F" w:rsidRDefault="00C35894" w:rsidP="00F3444F">
            <w:pPr>
              <w:spacing w:after="0" w:line="240" w:lineRule="auto"/>
              <w:rPr>
                <w:rFonts w:ascii="Calibri" w:hAnsi="Calibri" w:cs="Calibri"/>
                <w:color w:val="000000"/>
                <w:sz w:val="22"/>
                <w:szCs w:val="22"/>
              </w:rPr>
            </w:pPr>
            <w:hyperlink r:id="rId47" w:tooltip="Browse Licences as a list" w:history="1">
              <w:r w:rsidR="00F3444F" w:rsidRPr="00F3444F">
                <w:rPr>
                  <w:rFonts w:ascii="Calibri" w:hAnsi="Calibri" w:cs="Calibri"/>
                  <w:color w:val="000000"/>
                  <w:sz w:val="22"/>
                  <w:szCs w:val="22"/>
                </w:rPr>
                <w:t>Broadcasting - Narrowcasting Service (Fixed Tax) / HPONs</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3AAD0095"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237</w:t>
            </w:r>
          </w:p>
        </w:tc>
        <w:tc>
          <w:tcPr>
            <w:tcW w:w="1418" w:type="dxa"/>
            <w:tcBorders>
              <w:top w:val="single" w:sz="4" w:space="0" w:color="8EA9DB"/>
              <w:left w:val="nil"/>
              <w:bottom w:val="single" w:sz="4" w:space="0" w:color="8EA9DB"/>
              <w:right w:val="nil"/>
            </w:tcBorders>
            <w:shd w:val="clear" w:color="auto" w:fill="auto"/>
            <w:noWrap/>
            <w:vAlign w:val="bottom"/>
            <w:hideMark/>
          </w:tcPr>
          <w:p w14:paraId="19FC158B"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1031D9F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2121E43D" w14:textId="77777777" w:rsidR="00F3444F" w:rsidRPr="00F3444F" w:rsidRDefault="00C35894" w:rsidP="00F3444F">
            <w:pPr>
              <w:spacing w:after="0" w:line="240" w:lineRule="auto"/>
              <w:rPr>
                <w:rFonts w:ascii="Calibri" w:hAnsi="Calibri" w:cs="Calibri"/>
                <w:color w:val="000000"/>
                <w:sz w:val="22"/>
                <w:szCs w:val="22"/>
              </w:rPr>
            </w:pPr>
            <w:hyperlink r:id="rId48" w:tooltip="Browse Licences as a list" w:history="1">
              <w:r w:rsidR="00F3444F" w:rsidRPr="00F3444F">
                <w:rPr>
                  <w:rFonts w:ascii="Calibri" w:hAnsi="Calibri" w:cs="Calibri"/>
                  <w:color w:val="000000"/>
                  <w:sz w:val="22"/>
                  <w:szCs w:val="22"/>
                </w:rPr>
                <w:t>Broadcasting - Narrowcasting Service (LPON)</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C3DBF6B"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2462</w:t>
            </w:r>
          </w:p>
        </w:tc>
        <w:tc>
          <w:tcPr>
            <w:tcW w:w="1418" w:type="dxa"/>
            <w:tcBorders>
              <w:top w:val="single" w:sz="4" w:space="0" w:color="8EA9DB"/>
              <w:left w:val="nil"/>
              <w:bottom w:val="single" w:sz="4" w:space="0" w:color="8EA9DB"/>
              <w:right w:val="nil"/>
            </w:tcBorders>
            <w:shd w:val="clear" w:color="D9E1F2" w:fill="D9E1F2"/>
            <w:noWrap/>
            <w:vAlign w:val="bottom"/>
            <w:hideMark/>
          </w:tcPr>
          <w:p w14:paraId="57E53BBE"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1662641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6384A350" w14:textId="77777777" w:rsidR="00F3444F" w:rsidRPr="00F3444F" w:rsidRDefault="00C35894" w:rsidP="00F3444F">
            <w:pPr>
              <w:spacing w:after="0" w:line="240" w:lineRule="auto"/>
              <w:rPr>
                <w:rFonts w:ascii="Calibri" w:hAnsi="Calibri" w:cs="Calibri"/>
                <w:color w:val="000000"/>
                <w:sz w:val="22"/>
                <w:szCs w:val="22"/>
              </w:rPr>
            </w:pPr>
            <w:hyperlink r:id="rId49" w:tooltip="Browse Licences as a list" w:history="1">
              <w:r w:rsidR="00F3444F" w:rsidRPr="00F3444F">
                <w:rPr>
                  <w:rFonts w:ascii="Calibri" w:hAnsi="Calibri" w:cs="Calibri"/>
                  <w:color w:val="000000"/>
                  <w:sz w:val="22"/>
                  <w:szCs w:val="22"/>
                </w:rPr>
                <w:t>Broadcasting - Narrowcasting Service Station(s)</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727A1D2F"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20</w:t>
            </w:r>
          </w:p>
        </w:tc>
        <w:tc>
          <w:tcPr>
            <w:tcW w:w="1418" w:type="dxa"/>
            <w:tcBorders>
              <w:top w:val="single" w:sz="4" w:space="0" w:color="8EA9DB"/>
              <w:left w:val="nil"/>
              <w:bottom w:val="single" w:sz="4" w:space="0" w:color="8EA9DB"/>
              <w:right w:val="nil"/>
            </w:tcBorders>
            <w:shd w:val="clear" w:color="auto" w:fill="auto"/>
            <w:noWrap/>
            <w:vAlign w:val="bottom"/>
            <w:hideMark/>
          </w:tcPr>
          <w:p w14:paraId="51BE8E35"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3D7E20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57A6A237" w14:textId="77777777" w:rsidR="00F3444F" w:rsidRPr="00F3444F" w:rsidRDefault="00C35894" w:rsidP="00F3444F">
            <w:pPr>
              <w:spacing w:after="0" w:line="240" w:lineRule="auto"/>
              <w:rPr>
                <w:rFonts w:ascii="Calibri" w:hAnsi="Calibri" w:cs="Calibri"/>
                <w:color w:val="000000"/>
                <w:sz w:val="22"/>
                <w:szCs w:val="22"/>
              </w:rPr>
            </w:pPr>
            <w:hyperlink r:id="rId50" w:tooltip="Browse Licences as a list" w:history="1">
              <w:r w:rsidR="00F3444F" w:rsidRPr="00F3444F">
                <w:rPr>
                  <w:rFonts w:ascii="Calibri" w:hAnsi="Calibri" w:cs="Calibri"/>
                  <w:color w:val="000000"/>
                  <w:sz w:val="22"/>
                  <w:szCs w:val="22"/>
                </w:rPr>
                <w:t>Broadcasting - National Broadcasting</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EAA0C5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1486</w:t>
            </w:r>
          </w:p>
        </w:tc>
        <w:tc>
          <w:tcPr>
            <w:tcW w:w="1418" w:type="dxa"/>
            <w:tcBorders>
              <w:top w:val="single" w:sz="4" w:space="0" w:color="8EA9DB"/>
              <w:left w:val="nil"/>
              <w:bottom w:val="single" w:sz="4" w:space="0" w:color="8EA9DB"/>
              <w:right w:val="nil"/>
            </w:tcBorders>
            <w:shd w:val="clear" w:color="D9E1F2" w:fill="D9E1F2"/>
            <w:noWrap/>
            <w:vAlign w:val="bottom"/>
            <w:hideMark/>
          </w:tcPr>
          <w:p w14:paraId="4CA8692E"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583ED036"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C07EC7B" w14:textId="77777777" w:rsidR="00F3444F" w:rsidRPr="00F3444F" w:rsidRDefault="00C35894" w:rsidP="00F3444F">
            <w:pPr>
              <w:spacing w:after="0" w:line="240" w:lineRule="auto"/>
              <w:rPr>
                <w:rFonts w:ascii="Calibri" w:hAnsi="Calibri" w:cs="Calibri"/>
                <w:color w:val="000000"/>
                <w:sz w:val="22"/>
                <w:szCs w:val="22"/>
              </w:rPr>
            </w:pPr>
            <w:hyperlink r:id="rId51" w:tooltip="Browse Licences as a list" w:history="1">
              <w:r w:rsidR="00F3444F" w:rsidRPr="00F3444F">
                <w:rPr>
                  <w:rFonts w:ascii="Calibri" w:hAnsi="Calibri" w:cs="Calibri"/>
                  <w:color w:val="000000"/>
                  <w:sz w:val="22"/>
                  <w:szCs w:val="22"/>
                </w:rPr>
                <w:t>Broadcasting - Retransmission</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70809EC"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1734</w:t>
            </w:r>
          </w:p>
        </w:tc>
        <w:tc>
          <w:tcPr>
            <w:tcW w:w="1418" w:type="dxa"/>
            <w:tcBorders>
              <w:top w:val="single" w:sz="4" w:space="0" w:color="8EA9DB"/>
              <w:left w:val="nil"/>
              <w:bottom w:val="single" w:sz="4" w:space="0" w:color="8EA9DB"/>
              <w:right w:val="nil"/>
            </w:tcBorders>
            <w:shd w:val="clear" w:color="auto" w:fill="auto"/>
            <w:noWrap/>
            <w:vAlign w:val="bottom"/>
            <w:hideMark/>
          </w:tcPr>
          <w:p w14:paraId="2A71510B"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2EBF4453"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CC690D0" w14:textId="77777777" w:rsidR="00F3444F" w:rsidRPr="00F3444F" w:rsidRDefault="00C35894" w:rsidP="00F3444F">
            <w:pPr>
              <w:spacing w:after="0" w:line="240" w:lineRule="auto"/>
              <w:rPr>
                <w:rFonts w:ascii="Calibri" w:hAnsi="Calibri" w:cs="Calibri"/>
                <w:color w:val="000000"/>
                <w:sz w:val="22"/>
                <w:szCs w:val="22"/>
              </w:rPr>
            </w:pPr>
            <w:hyperlink r:id="rId52" w:tooltip="Browse Licences as a list" w:history="1">
              <w:r w:rsidR="00F3444F" w:rsidRPr="00F3444F">
                <w:rPr>
                  <w:rFonts w:ascii="Calibri" w:hAnsi="Calibri" w:cs="Calibri"/>
                  <w:color w:val="000000"/>
                  <w:sz w:val="22"/>
                  <w:szCs w:val="22"/>
                </w:rPr>
                <w:t>Broadcasting - Retransmission (Out of Area)</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68AE7CA9"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39</w:t>
            </w:r>
          </w:p>
        </w:tc>
        <w:tc>
          <w:tcPr>
            <w:tcW w:w="1418" w:type="dxa"/>
            <w:tcBorders>
              <w:top w:val="single" w:sz="4" w:space="0" w:color="8EA9DB"/>
              <w:left w:val="nil"/>
              <w:bottom w:val="single" w:sz="4" w:space="0" w:color="8EA9DB"/>
              <w:right w:val="nil"/>
            </w:tcBorders>
            <w:shd w:val="clear" w:color="D9E1F2" w:fill="D9E1F2"/>
            <w:noWrap/>
            <w:vAlign w:val="bottom"/>
            <w:hideMark/>
          </w:tcPr>
          <w:p w14:paraId="08F15E67"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339FA326"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7AACF2C0" w14:textId="77777777" w:rsidR="00F3444F" w:rsidRPr="00F3444F" w:rsidRDefault="00C35894" w:rsidP="00F3444F">
            <w:pPr>
              <w:spacing w:after="0" w:line="240" w:lineRule="auto"/>
              <w:rPr>
                <w:rFonts w:ascii="Calibri" w:hAnsi="Calibri" w:cs="Calibri"/>
                <w:color w:val="000000"/>
                <w:sz w:val="22"/>
                <w:szCs w:val="22"/>
              </w:rPr>
            </w:pPr>
            <w:hyperlink r:id="rId53" w:tooltip="Browse Licences as a list" w:history="1">
              <w:r w:rsidR="00F3444F" w:rsidRPr="00F3444F">
                <w:rPr>
                  <w:rFonts w:ascii="Calibri" w:hAnsi="Calibri" w:cs="Calibri"/>
                  <w:color w:val="000000"/>
                  <w:sz w:val="22"/>
                  <w:szCs w:val="22"/>
                </w:rPr>
                <w:t>Broadcasting - Temporary Community Broadcasting</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7E99E5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106</w:t>
            </w:r>
          </w:p>
        </w:tc>
        <w:tc>
          <w:tcPr>
            <w:tcW w:w="1418" w:type="dxa"/>
            <w:tcBorders>
              <w:top w:val="single" w:sz="4" w:space="0" w:color="8EA9DB"/>
              <w:left w:val="nil"/>
              <w:bottom w:val="single" w:sz="4" w:space="0" w:color="8EA9DB"/>
              <w:right w:val="nil"/>
            </w:tcBorders>
            <w:shd w:val="clear" w:color="auto" w:fill="auto"/>
            <w:noWrap/>
            <w:vAlign w:val="bottom"/>
            <w:hideMark/>
          </w:tcPr>
          <w:p w14:paraId="386C73B4"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E5312C6"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0E42ABB8" w14:textId="77777777" w:rsidR="00F3444F" w:rsidRPr="00F3444F" w:rsidRDefault="00C35894" w:rsidP="00F3444F">
            <w:pPr>
              <w:spacing w:after="0" w:line="240" w:lineRule="auto"/>
              <w:rPr>
                <w:rFonts w:ascii="Calibri" w:hAnsi="Calibri" w:cs="Calibri"/>
                <w:color w:val="000000"/>
                <w:sz w:val="22"/>
                <w:szCs w:val="22"/>
              </w:rPr>
            </w:pPr>
            <w:hyperlink r:id="rId54" w:tooltip="Browse Licences as a list" w:history="1">
              <w:r w:rsidR="00F3444F" w:rsidRPr="00F3444F">
                <w:rPr>
                  <w:rFonts w:ascii="Calibri" w:hAnsi="Calibri" w:cs="Calibri"/>
                  <w:color w:val="000000"/>
                  <w:sz w:val="22"/>
                  <w:szCs w:val="22"/>
                </w:rPr>
                <w:t>Broadcasting - Temporary Transmission</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EC26D30"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w:t>
            </w:r>
          </w:p>
        </w:tc>
        <w:tc>
          <w:tcPr>
            <w:tcW w:w="1418" w:type="dxa"/>
            <w:tcBorders>
              <w:top w:val="single" w:sz="4" w:space="0" w:color="8EA9DB"/>
              <w:left w:val="nil"/>
              <w:bottom w:val="single" w:sz="4" w:space="0" w:color="8EA9DB"/>
              <w:right w:val="nil"/>
            </w:tcBorders>
            <w:shd w:val="clear" w:color="D9E1F2" w:fill="D9E1F2"/>
            <w:noWrap/>
            <w:vAlign w:val="bottom"/>
            <w:hideMark/>
          </w:tcPr>
          <w:p w14:paraId="73E39EE1"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1B1D67C5"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54042BA4" w14:textId="77777777" w:rsidR="00F3444F" w:rsidRPr="00F3444F" w:rsidRDefault="00C35894" w:rsidP="00F3444F">
            <w:pPr>
              <w:spacing w:after="0" w:line="240" w:lineRule="auto"/>
              <w:rPr>
                <w:rFonts w:ascii="Calibri" w:hAnsi="Calibri" w:cs="Calibri"/>
                <w:color w:val="000000"/>
                <w:sz w:val="22"/>
                <w:szCs w:val="22"/>
              </w:rPr>
            </w:pPr>
            <w:hyperlink r:id="rId55" w:tooltip="Browse Licences as a list" w:history="1">
              <w:r w:rsidR="00F3444F" w:rsidRPr="00F3444F">
                <w:rPr>
                  <w:rFonts w:ascii="Calibri" w:hAnsi="Calibri" w:cs="Calibri"/>
                  <w:color w:val="000000"/>
                  <w:sz w:val="22"/>
                  <w:szCs w:val="22"/>
                </w:rPr>
                <w:t>Datacasting Service Licence - Datacasting</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3F0B1A34"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80</w:t>
            </w:r>
          </w:p>
        </w:tc>
        <w:tc>
          <w:tcPr>
            <w:tcW w:w="1418" w:type="dxa"/>
            <w:tcBorders>
              <w:top w:val="single" w:sz="4" w:space="0" w:color="8EA9DB"/>
              <w:left w:val="nil"/>
              <w:bottom w:val="single" w:sz="4" w:space="0" w:color="8EA9DB"/>
              <w:right w:val="nil"/>
            </w:tcBorders>
            <w:shd w:val="clear" w:color="auto" w:fill="auto"/>
            <w:noWrap/>
            <w:vAlign w:val="bottom"/>
            <w:hideMark/>
          </w:tcPr>
          <w:p w14:paraId="27F91EC0"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C7F4B1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5222B700" w14:textId="77777777" w:rsidR="00F3444F" w:rsidRPr="00F3444F" w:rsidRDefault="00C35894" w:rsidP="00F3444F">
            <w:pPr>
              <w:spacing w:after="0" w:line="240" w:lineRule="auto"/>
              <w:rPr>
                <w:rFonts w:ascii="Calibri" w:hAnsi="Calibri" w:cs="Calibri"/>
                <w:color w:val="000000"/>
                <w:sz w:val="22"/>
                <w:szCs w:val="22"/>
              </w:rPr>
            </w:pPr>
            <w:hyperlink r:id="rId56" w:tooltip="Browse Licences as a list" w:history="1">
              <w:r w:rsidR="00F3444F" w:rsidRPr="00F3444F">
                <w:rPr>
                  <w:rFonts w:ascii="Calibri" w:hAnsi="Calibri" w:cs="Calibri"/>
                  <w:color w:val="000000"/>
                  <w:sz w:val="22"/>
                  <w:szCs w:val="22"/>
                </w:rPr>
                <w:t>Defence - Defence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18D34AF4"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78</w:t>
            </w:r>
          </w:p>
        </w:tc>
        <w:tc>
          <w:tcPr>
            <w:tcW w:w="1418" w:type="dxa"/>
            <w:tcBorders>
              <w:top w:val="single" w:sz="4" w:space="0" w:color="8EA9DB"/>
              <w:left w:val="nil"/>
              <w:bottom w:val="single" w:sz="4" w:space="0" w:color="8EA9DB"/>
              <w:right w:val="nil"/>
            </w:tcBorders>
            <w:shd w:val="clear" w:color="D9E1F2" w:fill="D9E1F2"/>
            <w:noWrap/>
            <w:vAlign w:val="bottom"/>
            <w:hideMark/>
          </w:tcPr>
          <w:p w14:paraId="7CEF1ED8"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2FF7A6F3"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A71811C" w14:textId="77777777" w:rsidR="00F3444F" w:rsidRPr="00F3444F" w:rsidRDefault="00C35894" w:rsidP="00F3444F">
            <w:pPr>
              <w:spacing w:after="0" w:line="240" w:lineRule="auto"/>
              <w:rPr>
                <w:rFonts w:ascii="Calibri" w:hAnsi="Calibri" w:cs="Calibri"/>
                <w:color w:val="000000"/>
                <w:sz w:val="22"/>
                <w:szCs w:val="22"/>
              </w:rPr>
            </w:pPr>
            <w:hyperlink r:id="rId57" w:tooltip="Browse Licences as a list" w:history="1">
              <w:r w:rsidR="00F3444F" w:rsidRPr="00F3444F">
                <w:rPr>
                  <w:rFonts w:ascii="Calibri" w:hAnsi="Calibri" w:cs="Calibri"/>
                  <w:color w:val="000000"/>
                  <w:sz w:val="22"/>
                  <w:szCs w:val="22"/>
                </w:rPr>
                <w:t>Defence Receive - Defence Receive</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2F72E67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w:t>
            </w:r>
          </w:p>
        </w:tc>
        <w:tc>
          <w:tcPr>
            <w:tcW w:w="1418" w:type="dxa"/>
            <w:tcBorders>
              <w:top w:val="single" w:sz="4" w:space="0" w:color="8EA9DB"/>
              <w:left w:val="nil"/>
              <w:bottom w:val="single" w:sz="4" w:space="0" w:color="8EA9DB"/>
              <w:right w:val="nil"/>
            </w:tcBorders>
            <w:shd w:val="clear" w:color="auto" w:fill="auto"/>
            <w:noWrap/>
            <w:vAlign w:val="bottom"/>
            <w:hideMark/>
          </w:tcPr>
          <w:p w14:paraId="66002E28"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452BB449"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4ACC79C4" w14:textId="77777777" w:rsidR="00F3444F" w:rsidRPr="00F3444F" w:rsidRDefault="00C35894" w:rsidP="00F3444F">
            <w:pPr>
              <w:spacing w:after="0" w:line="240" w:lineRule="auto"/>
              <w:rPr>
                <w:rFonts w:ascii="Calibri" w:hAnsi="Calibri" w:cs="Calibri"/>
                <w:color w:val="000000"/>
                <w:sz w:val="22"/>
                <w:szCs w:val="22"/>
              </w:rPr>
            </w:pPr>
            <w:hyperlink r:id="rId58" w:tooltip="Browse Licences as a list" w:history="1">
              <w:r w:rsidR="00F3444F" w:rsidRPr="00F3444F">
                <w:rPr>
                  <w:rFonts w:ascii="Calibri" w:hAnsi="Calibri" w:cs="Calibri"/>
                  <w:color w:val="000000"/>
                  <w:sz w:val="22"/>
                  <w:szCs w:val="22"/>
                </w:rPr>
                <w:t>Earth - Fixed Earth</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168249A"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610</w:t>
            </w:r>
          </w:p>
        </w:tc>
        <w:tc>
          <w:tcPr>
            <w:tcW w:w="1418" w:type="dxa"/>
            <w:tcBorders>
              <w:top w:val="single" w:sz="4" w:space="0" w:color="8EA9DB"/>
              <w:left w:val="nil"/>
              <w:bottom w:val="single" w:sz="4" w:space="0" w:color="8EA9DB"/>
              <w:right w:val="nil"/>
            </w:tcBorders>
            <w:shd w:val="clear" w:color="D9E1F2" w:fill="D9E1F2"/>
            <w:noWrap/>
            <w:vAlign w:val="bottom"/>
            <w:hideMark/>
          </w:tcPr>
          <w:p w14:paraId="3350FDF7"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2FE8E3D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8B04044" w14:textId="77777777" w:rsidR="00F3444F" w:rsidRPr="00F3444F" w:rsidRDefault="00C35894" w:rsidP="00F3444F">
            <w:pPr>
              <w:spacing w:after="0" w:line="240" w:lineRule="auto"/>
              <w:rPr>
                <w:rFonts w:ascii="Calibri" w:hAnsi="Calibri" w:cs="Calibri"/>
                <w:color w:val="000000"/>
                <w:sz w:val="22"/>
                <w:szCs w:val="22"/>
              </w:rPr>
            </w:pPr>
            <w:hyperlink r:id="rId59" w:tooltip="Browse Licences as a list" w:history="1">
              <w:r w:rsidR="00F3444F" w:rsidRPr="00F3444F">
                <w:rPr>
                  <w:rFonts w:ascii="Calibri" w:hAnsi="Calibri" w:cs="Calibri"/>
                  <w:color w:val="000000"/>
                  <w:sz w:val="22"/>
                  <w:szCs w:val="22"/>
                </w:rPr>
                <w:t>Earth - Mobile Earth</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C9E522F"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10</w:t>
            </w:r>
          </w:p>
        </w:tc>
        <w:tc>
          <w:tcPr>
            <w:tcW w:w="1418" w:type="dxa"/>
            <w:tcBorders>
              <w:top w:val="single" w:sz="4" w:space="0" w:color="8EA9DB"/>
              <w:left w:val="nil"/>
              <w:bottom w:val="single" w:sz="4" w:space="0" w:color="8EA9DB"/>
              <w:right w:val="nil"/>
            </w:tcBorders>
            <w:shd w:val="clear" w:color="auto" w:fill="auto"/>
            <w:noWrap/>
            <w:vAlign w:val="bottom"/>
            <w:hideMark/>
          </w:tcPr>
          <w:p w14:paraId="40C3BAFA"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5C54CF93"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147A3D00" w14:textId="77777777" w:rsidR="00F3444F" w:rsidRPr="00F3444F" w:rsidRDefault="00C35894" w:rsidP="00F3444F">
            <w:pPr>
              <w:spacing w:after="0" w:line="240" w:lineRule="auto"/>
              <w:rPr>
                <w:rFonts w:ascii="Calibri" w:hAnsi="Calibri" w:cs="Calibri"/>
                <w:color w:val="000000"/>
                <w:sz w:val="22"/>
                <w:szCs w:val="22"/>
              </w:rPr>
            </w:pPr>
            <w:hyperlink r:id="rId60" w:tooltip="Browse Licences as a list" w:history="1">
              <w:r w:rsidR="00F3444F" w:rsidRPr="00F3444F">
                <w:rPr>
                  <w:rFonts w:ascii="Calibri" w:hAnsi="Calibri" w:cs="Calibri"/>
                  <w:color w:val="000000"/>
                  <w:sz w:val="22"/>
                  <w:szCs w:val="22"/>
                </w:rPr>
                <w:t>Earth Receive - Earth Receive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3082E6D1"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809</w:t>
            </w:r>
          </w:p>
        </w:tc>
        <w:tc>
          <w:tcPr>
            <w:tcW w:w="1418" w:type="dxa"/>
            <w:tcBorders>
              <w:top w:val="single" w:sz="4" w:space="0" w:color="8EA9DB"/>
              <w:left w:val="nil"/>
              <w:bottom w:val="single" w:sz="4" w:space="0" w:color="8EA9DB"/>
              <w:right w:val="nil"/>
            </w:tcBorders>
            <w:shd w:val="clear" w:color="D9E1F2" w:fill="D9E1F2"/>
            <w:noWrap/>
            <w:vAlign w:val="bottom"/>
            <w:hideMark/>
          </w:tcPr>
          <w:p w14:paraId="28DDB426"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584F4579"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CAC15F7" w14:textId="77777777" w:rsidR="00F3444F" w:rsidRPr="00F3444F" w:rsidRDefault="00C35894" w:rsidP="00F3444F">
            <w:pPr>
              <w:spacing w:after="0" w:line="240" w:lineRule="auto"/>
              <w:rPr>
                <w:rFonts w:ascii="Calibri" w:hAnsi="Calibri" w:cs="Calibri"/>
                <w:color w:val="000000"/>
                <w:sz w:val="22"/>
                <w:szCs w:val="22"/>
              </w:rPr>
            </w:pPr>
            <w:hyperlink r:id="rId61" w:tooltip="Browse Licences as a list" w:history="1">
              <w:r w:rsidR="00F3444F" w:rsidRPr="00F3444F">
                <w:rPr>
                  <w:rFonts w:ascii="Calibri" w:hAnsi="Calibri" w:cs="Calibri"/>
                  <w:color w:val="000000"/>
                  <w:sz w:val="22"/>
                  <w:szCs w:val="22"/>
                </w:rPr>
                <w:t>Fixed - Point to Multipoint</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30D37D39"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5378</w:t>
            </w:r>
          </w:p>
        </w:tc>
        <w:tc>
          <w:tcPr>
            <w:tcW w:w="1418" w:type="dxa"/>
            <w:tcBorders>
              <w:top w:val="single" w:sz="4" w:space="0" w:color="8EA9DB"/>
              <w:left w:val="nil"/>
              <w:bottom w:val="single" w:sz="4" w:space="0" w:color="8EA9DB"/>
              <w:right w:val="nil"/>
            </w:tcBorders>
            <w:shd w:val="clear" w:color="auto" w:fill="auto"/>
            <w:noWrap/>
            <w:vAlign w:val="bottom"/>
            <w:hideMark/>
          </w:tcPr>
          <w:p w14:paraId="3C77BB0A"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39B8619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42920CD" w14:textId="77777777" w:rsidR="00F3444F" w:rsidRPr="00F3444F" w:rsidRDefault="00C35894" w:rsidP="00F3444F">
            <w:pPr>
              <w:spacing w:after="0" w:line="240" w:lineRule="auto"/>
              <w:rPr>
                <w:rFonts w:ascii="Calibri" w:hAnsi="Calibri" w:cs="Calibri"/>
                <w:color w:val="000000"/>
                <w:sz w:val="22"/>
                <w:szCs w:val="22"/>
              </w:rPr>
            </w:pPr>
            <w:hyperlink r:id="rId62" w:tooltip="Browse Licences as a list" w:history="1">
              <w:r w:rsidR="00F3444F" w:rsidRPr="00F3444F">
                <w:rPr>
                  <w:rFonts w:ascii="Calibri" w:hAnsi="Calibri" w:cs="Calibri"/>
                  <w:color w:val="000000"/>
                  <w:sz w:val="22"/>
                  <w:szCs w:val="22"/>
                </w:rPr>
                <w:t>Fixed - Point to Multipoint - Land Mobile Spec</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68DC3D40"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852</w:t>
            </w:r>
          </w:p>
        </w:tc>
        <w:tc>
          <w:tcPr>
            <w:tcW w:w="1418" w:type="dxa"/>
            <w:tcBorders>
              <w:top w:val="single" w:sz="4" w:space="0" w:color="8EA9DB"/>
              <w:left w:val="nil"/>
              <w:bottom w:val="single" w:sz="4" w:space="0" w:color="8EA9DB"/>
              <w:right w:val="nil"/>
            </w:tcBorders>
            <w:shd w:val="clear" w:color="D9E1F2" w:fill="D9E1F2"/>
            <w:noWrap/>
            <w:vAlign w:val="bottom"/>
            <w:hideMark/>
          </w:tcPr>
          <w:p w14:paraId="6426A5ED"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30068B42"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7184DEA8" w14:textId="77777777" w:rsidR="00F3444F" w:rsidRPr="00F3444F" w:rsidRDefault="00C35894" w:rsidP="00F3444F">
            <w:pPr>
              <w:spacing w:after="0" w:line="240" w:lineRule="auto"/>
              <w:rPr>
                <w:rFonts w:ascii="Calibri" w:hAnsi="Calibri" w:cs="Calibri"/>
                <w:color w:val="000000"/>
                <w:sz w:val="22"/>
                <w:szCs w:val="22"/>
              </w:rPr>
            </w:pPr>
            <w:hyperlink r:id="rId63" w:tooltip="Browse Licences as a list" w:history="1">
              <w:r w:rsidR="00F3444F" w:rsidRPr="00F3444F">
                <w:rPr>
                  <w:rFonts w:ascii="Calibri" w:hAnsi="Calibri" w:cs="Calibri"/>
                  <w:color w:val="000000"/>
                  <w:sz w:val="22"/>
                  <w:szCs w:val="22"/>
                </w:rPr>
                <w:t>Fixed - Point to Multipoint System</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15EB61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22</w:t>
            </w:r>
          </w:p>
        </w:tc>
        <w:tc>
          <w:tcPr>
            <w:tcW w:w="1418" w:type="dxa"/>
            <w:tcBorders>
              <w:top w:val="single" w:sz="4" w:space="0" w:color="8EA9DB"/>
              <w:left w:val="nil"/>
              <w:bottom w:val="single" w:sz="4" w:space="0" w:color="8EA9DB"/>
              <w:right w:val="nil"/>
            </w:tcBorders>
            <w:shd w:val="clear" w:color="auto" w:fill="auto"/>
            <w:noWrap/>
            <w:vAlign w:val="bottom"/>
            <w:hideMark/>
          </w:tcPr>
          <w:p w14:paraId="797C48EC"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08BF933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061930D5" w14:textId="77777777" w:rsidR="00F3444F" w:rsidRPr="00F3444F" w:rsidRDefault="00C35894" w:rsidP="00F3444F">
            <w:pPr>
              <w:spacing w:after="0" w:line="240" w:lineRule="auto"/>
              <w:rPr>
                <w:rFonts w:ascii="Calibri" w:hAnsi="Calibri" w:cs="Calibri"/>
                <w:color w:val="000000"/>
                <w:sz w:val="22"/>
                <w:szCs w:val="22"/>
              </w:rPr>
            </w:pPr>
            <w:hyperlink r:id="rId64" w:tooltip="Browse Licences as a list" w:history="1">
              <w:r w:rsidR="00F3444F" w:rsidRPr="00F3444F">
                <w:rPr>
                  <w:rFonts w:ascii="Calibri" w:hAnsi="Calibri" w:cs="Calibri"/>
                  <w:color w:val="000000"/>
                  <w:sz w:val="22"/>
                  <w:szCs w:val="22"/>
                </w:rPr>
                <w:t>Fixed - Point to Point</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F73044B"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40698</w:t>
            </w:r>
          </w:p>
        </w:tc>
        <w:tc>
          <w:tcPr>
            <w:tcW w:w="1418" w:type="dxa"/>
            <w:tcBorders>
              <w:top w:val="single" w:sz="4" w:space="0" w:color="8EA9DB"/>
              <w:left w:val="nil"/>
              <w:bottom w:val="single" w:sz="4" w:space="0" w:color="8EA9DB"/>
              <w:right w:val="nil"/>
            </w:tcBorders>
            <w:shd w:val="clear" w:color="D9E1F2" w:fill="D9E1F2"/>
            <w:noWrap/>
            <w:vAlign w:val="bottom"/>
            <w:hideMark/>
          </w:tcPr>
          <w:p w14:paraId="4A786B77"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1B7A95DB"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880714A" w14:textId="77777777" w:rsidR="00F3444F" w:rsidRPr="00F3444F" w:rsidRDefault="00C35894" w:rsidP="00F3444F">
            <w:pPr>
              <w:spacing w:after="0" w:line="240" w:lineRule="auto"/>
              <w:rPr>
                <w:rFonts w:ascii="Calibri" w:hAnsi="Calibri" w:cs="Calibri"/>
                <w:color w:val="000000"/>
                <w:sz w:val="22"/>
                <w:szCs w:val="22"/>
              </w:rPr>
            </w:pPr>
            <w:hyperlink r:id="rId65" w:tooltip="Browse Licences as a list" w:history="1">
              <w:r w:rsidR="00F3444F" w:rsidRPr="00F3444F">
                <w:rPr>
                  <w:rFonts w:ascii="Calibri" w:hAnsi="Calibri" w:cs="Calibri"/>
                  <w:color w:val="000000"/>
                  <w:sz w:val="22"/>
                  <w:szCs w:val="22"/>
                </w:rPr>
                <w:t>Fixed - Point to Point (5.8GHz) Band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3286ED7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243</w:t>
            </w:r>
          </w:p>
        </w:tc>
        <w:tc>
          <w:tcPr>
            <w:tcW w:w="1418" w:type="dxa"/>
            <w:tcBorders>
              <w:top w:val="single" w:sz="4" w:space="0" w:color="8EA9DB"/>
              <w:left w:val="nil"/>
              <w:bottom w:val="single" w:sz="4" w:space="0" w:color="8EA9DB"/>
              <w:right w:val="nil"/>
            </w:tcBorders>
            <w:shd w:val="clear" w:color="auto" w:fill="auto"/>
            <w:noWrap/>
            <w:vAlign w:val="bottom"/>
            <w:hideMark/>
          </w:tcPr>
          <w:p w14:paraId="7D50AFF0"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31AE3DDF"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48D3BC37" w14:textId="77777777" w:rsidR="00F3444F" w:rsidRPr="00F3444F" w:rsidRDefault="00C35894" w:rsidP="00F3444F">
            <w:pPr>
              <w:spacing w:after="0" w:line="240" w:lineRule="auto"/>
              <w:rPr>
                <w:rFonts w:ascii="Calibri" w:hAnsi="Calibri" w:cs="Calibri"/>
                <w:color w:val="000000"/>
                <w:sz w:val="22"/>
                <w:szCs w:val="22"/>
              </w:rPr>
            </w:pPr>
            <w:hyperlink r:id="rId66" w:tooltip="Browse Licences as a list" w:history="1">
              <w:r w:rsidR="00F3444F" w:rsidRPr="00F3444F">
                <w:rPr>
                  <w:rFonts w:ascii="Calibri" w:hAnsi="Calibri" w:cs="Calibri"/>
                  <w:color w:val="000000"/>
                  <w:sz w:val="22"/>
                  <w:szCs w:val="22"/>
                </w:rPr>
                <w:t>Fixed - Point to Point (900MHz STL)</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7DE852A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495</w:t>
            </w:r>
          </w:p>
        </w:tc>
        <w:tc>
          <w:tcPr>
            <w:tcW w:w="1418" w:type="dxa"/>
            <w:tcBorders>
              <w:top w:val="single" w:sz="4" w:space="0" w:color="8EA9DB"/>
              <w:left w:val="nil"/>
              <w:bottom w:val="single" w:sz="4" w:space="0" w:color="8EA9DB"/>
              <w:right w:val="nil"/>
            </w:tcBorders>
            <w:shd w:val="clear" w:color="D9E1F2" w:fill="D9E1F2"/>
            <w:noWrap/>
            <w:vAlign w:val="bottom"/>
            <w:hideMark/>
          </w:tcPr>
          <w:p w14:paraId="54B7FE93"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69CA5BE6"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4886025" w14:textId="77777777" w:rsidR="00F3444F" w:rsidRPr="00F3444F" w:rsidRDefault="00C35894" w:rsidP="00F3444F">
            <w:pPr>
              <w:spacing w:after="0" w:line="240" w:lineRule="auto"/>
              <w:rPr>
                <w:rFonts w:ascii="Calibri" w:hAnsi="Calibri" w:cs="Calibri"/>
                <w:color w:val="000000"/>
                <w:sz w:val="22"/>
                <w:szCs w:val="22"/>
              </w:rPr>
            </w:pPr>
            <w:hyperlink r:id="rId67" w:tooltip="Browse Licences as a list" w:history="1">
              <w:r w:rsidR="00F3444F" w:rsidRPr="00F3444F">
                <w:rPr>
                  <w:rFonts w:ascii="Calibri" w:hAnsi="Calibri" w:cs="Calibri"/>
                  <w:color w:val="000000"/>
                  <w:sz w:val="22"/>
                  <w:szCs w:val="22"/>
                </w:rPr>
                <w:t>Fixed - Point to Point (Self Coordinated)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7EDD0D8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899</w:t>
            </w:r>
          </w:p>
        </w:tc>
        <w:tc>
          <w:tcPr>
            <w:tcW w:w="1418" w:type="dxa"/>
            <w:tcBorders>
              <w:top w:val="single" w:sz="4" w:space="0" w:color="8EA9DB"/>
              <w:left w:val="nil"/>
              <w:bottom w:val="single" w:sz="4" w:space="0" w:color="8EA9DB"/>
              <w:right w:val="nil"/>
            </w:tcBorders>
            <w:shd w:val="clear" w:color="auto" w:fill="auto"/>
            <w:noWrap/>
            <w:vAlign w:val="bottom"/>
            <w:hideMark/>
          </w:tcPr>
          <w:p w14:paraId="015D0D0D"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729D15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13347EE5" w14:textId="77777777" w:rsidR="00F3444F" w:rsidRPr="00F3444F" w:rsidRDefault="00C35894" w:rsidP="00F3444F">
            <w:pPr>
              <w:spacing w:after="0" w:line="240" w:lineRule="auto"/>
              <w:rPr>
                <w:rFonts w:ascii="Calibri" w:hAnsi="Calibri" w:cs="Calibri"/>
                <w:color w:val="000000"/>
                <w:sz w:val="22"/>
                <w:szCs w:val="22"/>
              </w:rPr>
            </w:pPr>
            <w:hyperlink r:id="rId68" w:tooltip="Browse Licences as a list" w:history="1">
              <w:r w:rsidR="00F3444F" w:rsidRPr="00F3444F">
                <w:rPr>
                  <w:rFonts w:ascii="Calibri" w:hAnsi="Calibri" w:cs="Calibri"/>
                  <w:color w:val="000000"/>
                  <w:sz w:val="22"/>
                  <w:szCs w:val="22"/>
                </w:rPr>
                <w:t>Fixed - Sound Outside Broadcast</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5FF4CB31"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27</w:t>
            </w:r>
          </w:p>
        </w:tc>
        <w:tc>
          <w:tcPr>
            <w:tcW w:w="1418" w:type="dxa"/>
            <w:tcBorders>
              <w:top w:val="single" w:sz="4" w:space="0" w:color="8EA9DB"/>
              <w:left w:val="nil"/>
              <w:bottom w:val="single" w:sz="4" w:space="0" w:color="8EA9DB"/>
              <w:right w:val="nil"/>
            </w:tcBorders>
            <w:shd w:val="clear" w:color="D9E1F2" w:fill="D9E1F2"/>
            <w:noWrap/>
            <w:vAlign w:val="bottom"/>
            <w:hideMark/>
          </w:tcPr>
          <w:p w14:paraId="4D23F2E3"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4A146DEB"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1A51FA5D" w14:textId="77777777" w:rsidR="00F3444F" w:rsidRPr="00F3444F" w:rsidRDefault="00C35894" w:rsidP="00F3444F">
            <w:pPr>
              <w:spacing w:after="0" w:line="240" w:lineRule="auto"/>
              <w:rPr>
                <w:rFonts w:ascii="Calibri" w:hAnsi="Calibri" w:cs="Calibri"/>
                <w:color w:val="000000"/>
                <w:sz w:val="22"/>
                <w:szCs w:val="22"/>
              </w:rPr>
            </w:pPr>
            <w:hyperlink r:id="rId69" w:tooltip="Browse Licences as a list" w:history="1">
              <w:r w:rsidR="00F3444F" w:rsidRPr="00F3444F">
                <w:rPr>
                  <w:rFonts w:ascii="Calibri" w:hAnsi="Calibri" w:cs="Calibri"/>
                  <w:color w:val="000000"/>
                  <w:sz w:val="22"/>
                  <w:szCs w:val="22"/>
                </w:rPr>
                <w:t>Fixed - Television Outside Broadcast</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5FE74F6"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30</w:t>
            </w:r>
          </w:p>
        </w:tc>
        <w:tc>
          <w:tcPr>
            <w:tcW w:w="1418" w:type="dxa"/>
            <w:tcBorders>
              <w:top w:val="single" w:sz="4" w:space="0" w:color="8EA9DB"/>
              <w:left w:val="nil"/>
              <w:bottom w:val="single" w:sz="4" w:space="0" w:color="8EA9DB"/>
              <w:right w:val="nil"/>
            </w:tcBorders>
            <w:shd w:val="clear" w:color="auto" w:fill="auto"/>
            <w:noWrap/>
            <w:vAlign w:val="bottom"/>
            <w:hideMark/>
          </w:tcPr>
          <w:p w14:paraId="1DD9DD88"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346EEB2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0CC99D1A" w14:textId="77777777" w:rsidR="00F3444F" w:rsidRPr="00F3444F" w:rsidRDefault="00C35894" w:rsidP="00F3444F">
            <w:pPr>
              <w:spacing w:after="0" w:line="240" w:lineRule="auto"/>
              <w:rPr>
                <w:rFonts w:ascii="Calibri" w:hAnsi="Calibri" w:cs="Calibri"/>
                <w:color w:val="000000"/>
                <w:sz w:val="22"/>
                <w:szCs w:val="22"/>
              </w:rPr>
            </w:pPr>
            <w:hyperlink r:id="rId70" w:tooltip="Browse Licences as a list" w:history="1">
              <w:r w:rsidR="00F3444F" w:rsidRPr="00F3444F">
                <w:rPr>
                  <w:rFonts w:ascii="Calibri" w:hAnsi="Calibri" w:cs="Calibri"/>
                  <w:color w:val="000000"/>
                  <w:sz w:val="22"/>
                  <w:szCs w:val="22"/>
                </w:rPr>
                <w:t>Fixed - Television Outside Broadcast Network</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D9CA1EC"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w:t>
            </w:r>
          </w:p>
        </w:tc>
        <w:tc>
          <w:tcPr>
            <w:tcW w:w="1418" w:type="dxa"/>
            <w:tcBorders>
              <w:top w:val="single" w:sz="4" w:space="0" w:color="8EA9DB"/>
              <w:left w:val="nil"/>
              <w:bottom w:val="single" w:sz="4" w:space="0" w:color="8EA9DB"/>
              <w:right w:val="nil"/>
            </w:tcBorders>
            <w:shd w:val="clear" w:color="D9E1F2" w:fill="D9E1F2"/>
            <w:noWrap/>
            <w:vAlign w:val="bottom"/>
            <w:hideMark/>
          </w:tcPr>
          <w:p w14:paraId="6CFCAC67"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1696E880"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1E40C549" w14:textId="77777777" w:rsidR="00F3444F" w:rsidRPr="00F3444F" w:rsidRDefault="00C35894" w:rsidP="00F3444F">
            <w:pPr>
              <w:spacing w:after="0" w:line="240" w:lineRule="auto"/>
              <w:rPr>
                <w:rFonts w:ascii="Calibri" w:hAnsi="Calibri" w:cs="Calibri"/>
                <w:color w:val="000000"/>
                <w:sz w:val="22"/>
                <w:szCs w:val="22"/>
              </w:rPr>
            </w:pPr>
            <w:hyperlink r:id="rId71" w:tooltip="Browse Licences as a list" w:history="1">
              <w:r w:rsidR="00F3444F" w:rsidRPr="00F3444F">
                <w:rPr>
                  <w:rFonts w:ascii="Calibri" w:hAnsi="Calibri" w:cs="Calibri"/>
                  <w:color w:val="000000"/>
                  <w:sz w:val="22"/>
                  <w:szCs w:val="22"/>
                </w:rPr>
                <w:t>Fixed - Television Outside Broadcast System</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35DD543E"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w:t>
            </w:r>
          </w:p>
        </w:tc>
        <w:tc>
          <w:tcPr>
            <w:tcW w:w="1418" w:type="dxa"/>
            <w:tcBorders>
              <w:top w:val="single" w:sz="4" w:space="0" w:color="8EA9DB"/>
              <w:left w:val="nil"/>
              <w:bottom w:val="single" w:sz="4" w:space="0" w:color="8EA9DB"/>
              <w:right w:val="nil"/>
            </w:tcBorders>
            <w:shd w:val="clear" w:color="auto" w:fill="auto"/>
            <w:noWrap/>
            <w:vAlign w:val="bottom"/>
            <w:hideMark/>
          </w:tcPr>
          <w:p w14:paraId="06F59662"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62C465A1"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36622123" w14:textId="77777777" w:rsidR="00F3444F" w:rsidRPr="00F3444F" w:rsidRDefault="00C35894" w:rsidP="00F3444F">
            <w:pPr>
              <w:spacing w:after="0" w:line="240" w:lineRule="auto"/>
              <w:rPr>
                <w:rFonts w:ascii="Calibri" w:hAnsi="Calibri" w:cs="Calibri"/>
                <w:color w:val="000000"/>
                <w:sz w:val="22"/>
                <w:szCs w:val="22"/>
              </w:rPr>
            </w:pPr>
            <w:hyperlink r:id="rId72" w:tooltip="Browse Licences as a list" w:history="1">
              <w:r w:rsidR="00F3444F" w:rsidRPr="00F3444F">
                <w:rPr>
                  <w:rFonts w:ascii="Calibri" w:hAnsi="Calibri" w:cs="Calibri"/>
                  <w:color w:val="000000"/>
                  <w:sz w:val="22"/>
                  <w:szCs w:val="22"/>
                </w:rPr>
                <w:t>Fixed Receive - Fixed Receive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6D9DFCC0"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957</w:t>
            </w:r>
          </w:p>
        </w:tc>
        <w:tc>
          <w:tcPr>
            <w:tcW w:w="1418" w:type="dxa"/>
            <w:tcBorders>
              <w:top w:val="single" w:sz="4" w:space="0" w:color="8EA9DB"/>
              <w:left w:val="nil"/>
              <w:bottom w:val="single" w:sz="4" w:space="0" w:color="8EA9DB"/>
              <w:right w:val="nil"/>
            </w:tcBorders>
            <w:shd w:val="clear" w:color="D9E1F2" w:fill="D9E1F2"/>
            <w:noWrap/>
            <w:vAlign w:val="bottom"/>
            <w:hideMark/>
          </w:tcPr>
          <w:p w14:paraId="60F64510"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0F58E75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237BC421" w14:textId="77777777" w:rsidR="00F3444F" w:rsidRPr="00F3444F" w:rsidRDefault="00C35894" w:rsidP="00F3444F">
            <w:pPr>
              <w:spacing w:after="0" w:line="240" w:lineRule="auto"/>
              <w:rPr>
                <w:rFonts w:ascii="Calibri" w:hAnsi="Calibri" w:cs="Calibri"/>
                <w:color w:val="000000"/>
                <w:sz w:val="22"/>
                <w:szCs w:val="22"/>
              </w:rPr>
            </w:pPr>
            <w:hyperlink r:id="rId73" w:tooltip="Browse Licences as a list" w:history="1">
              <w:r w:rsidR="00F3444F" w:rsidRPr="00F3444F">
                <w:rPr>
                  <w:rFonts w:ascii="Calibri" w:hAnsi="Calibri" w:cs="Calibri"/>
                  <w:color w:val="000000"/>
                  <w:sz w:val="22"/>
                  <w:szCs w:val="22"/>
                </w:rPr>
                <w:t>Land Mobile - Ambulatory - Copy</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E1FFC61"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203</w:t>
            </w:r>
          </w:p>
        </w:tc>
        <w:tc>
          <w:tcPr>
            <w:tcW w:w="1418" w:type="dxa"/>
            <w:tcBorders>
              <w:top w:val="single" w:sz="4" w:space="0" w:color="8EA9DB"/>
              <w:left w:val="nil"/>
              <w:bottom w:val="single" w:sz="4" w:space="0" w:color="8EA9DB"/>
              <w:right w:val="nil"/>
            </w:tcBorders>
            <w:shd w:val="clear" w:color="auto" w:fill="auto"/>
            <w:noWrap/>
            <w:vAlign w:val="bottom"/>
            <w:hideMark/>
          </w:tcPr>
          <w:p w14:paraId="0C21FFA4"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1838BCD9"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60B07169" w14:textId="77777777" w:rsidR="00F3444F" w:rsidRPr="00F3444F" w:rsidRDefault="00C35894" w:rsidP="00F3444F">
            <w:pPr>
              <w:spacing w:after="0" w:line="240" w:lineRule="auto"/>
              <w:rPr>
                <w:rFonts w:ascii="Calibri" w:hAnsi="Calibri" w:cs="Calibri"/>
                <w:color w:val="000000"/>
                <w:sz w:val="22"/>
                <w:szCs w:val="22"/>
              </w:rPr>
            </w:pPr>
            <w:hyperlink r:id="rId74" w:tooltip="Browse Licences as a list" w:history="1">
              <w:r w:rsidR="00F3444F" w:rsidRPr="00F3444F">
                <w:rPr>
                  <w:rFonts w:ascii="Calibri" w:hAnsi="Calibri" w:cs="Calibri"/>
                  <w:color w:val="000000"/>
                  <w:sz w:val="22"/>
                  <w:szCs w:val="22"/>
                </w:rPr>
                <w:t>Land Mobile - Ambulatory - Initial</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6BFBC3CD"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1171</w:t>
            </w:r>
          </w:p>
        </w:tc>
        <w:tc>
          <w:tcPr>
            <w:tcW w:w="1418" w:type="dxa"/>
            <w:tcBorders>
              <w:top w:val="single" w:sz="4" w:space="0" w:color="8EA9DB"/>
              <w:left w:val="nil"/>
              <w:bottom w:val="single" w:sz="4" w:space="0" w:color="8EA9DB"/>
              <w:right w:val="nil"/>
            </w:tcBorders>
            <w:shd w:val="clear" w:color="D9E1F2" w:fill="D9E1F2"/>
            <w:noWrap/>
            <w:vAlign w:val="bottom"/>
            <w:hideMark/>
          </w:tcPr>
          <w:p w14:paraId="34937693"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3E3F7682"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53B18355" w14:textId="77777777" w:rsidR="00F3444F" w:rsidRPr="00F3444F" w:rsidRDefault="00C35894" w:rsidP="00F3444F">
            <w:pPr>
              <w:spacing w:after="0" w:line="240" w:lineRule="auto"/>
              <w:rPr>
                <w:rFonts w:ascii="Calibri" w:hAnsi="Calibri" w:cs="Calibri"/>
                <w:color w:val="000000"/>
                <w:sz w:val="22"/>
                <w:szCs w:val="22"/>
              </w:rPr>
            </w:pPr>
            <w:hyperlink r:id="rId75" w:tooltip="Browse Licences as a list" w:history="1">
              <w:r w:rsidR="00F3444F" w:rsidRPr="00F3444F">
                <w:rPr>
                  <w:rFonts w:ascii="Calibri" w:hAnsi="Calibri" w:cs="Calibri"/>
                  <w:color w:val="000000"/>
                  <w:sz w:val="22"/>
                  <w:szCs w:val="22"/>
                </w:rPr>
                <w:t>Land Mobile - Ambulatory System</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C083E0D"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13930</w:t>
            </w:r>
          </w:p>
        </w:tc>
        <w:tc>
          <w:tcPr>
            <w:tcW w:w="1418" w:type="dxa"/>
            <w:tcBorders>
              <w:top w:val="single" w:sz="4" w:space="0" w:color="8EA9DB"/>
              <w:left w:val="nil"/>
              <w:bottom w:val="single" w:sz="4" w:space="0" w:color="8EA9DB"/>
              <w:right w:val="nil"/>
            </w:tcBorders>
            <w:shd w:val="clear" w:color="auto" w:fill="auto"/>
            <w:noWrap/>
            <w:vAlign w:val="bottom"/>
            <w:hideMark/>
          </w:tcPr>
          <w:p w14:paraId="43416153"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E08A0E2"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23B22C66" w14:textId="77777777" w:rsidR="00F3444F" w:rsidRPr="00F3444F" w:rsidRDefault="00C35894" w:rsidP="00F3444F">
            <w:pPr>
              <w:spacing w:after="0" w:line="240" w:lineRule="auto"/>
              <w:rPr>
                <w:rFonts w:ascii="Calibri" w:hAnsi="Calibri" w:cs="Calibri"/>
                <w:color w:val="000000"/>
                <w:sz w:val="22"/>
                <w:szCs w:val="22"/>
              </w:rPr>
            </w:pPr>
            <w:hyperlink r:id="rId76" w:tooltip="Browse Licences as a list" w:history="1">
              <w:r w:rsidR="00F3444F" w:rsidRPr="00F3444F">
                <w:rPr>
                  <w:rFonts w:ascii="Calibri" w:hAnsi="Calibri" w:cs="Calibri"/>
                  <w:color w:val="000000"/>
                  <w:sz w:val="22"/>
                  <w:szCs w:val="22"/>
                </w:rPr>
                <w:t>Land Mobile - CBRS Repeater</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55E105D"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1001</w:t>
            </w:r>
          </w:p>
        </w:tc>
        <w:tc>
          <w:tcPr>
            <w:tcW w:w="1418" w:type="dxa"/>
            <w:tcBorders>
              <w:top w:val="single" w:sz="4" w:space="0" w:color="8EA9DB"/>
              <w:left w:val="nil"/>
              <w:bottom w:val="single" w:sz="4" w:space="0" w:color="8EA9DB"/>
              <w:right w:val="nil"/>
            </w:tcBorders>
            <w:shd w:val="clear" w:color="D9E1F2" w:fill="D9E1F2"/>
            <w:noWrap/>
            <w:vAlign w:val="bottom"/>
            <w:hideMark/>
          </w:tcPr>
          <w:p w14:paraId="04A661F5"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4AEA526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2C10F6BD" w14:textId="77777777" w:rsidR="00F3444F" w:rsidRPr="00F3444F" w:rsidRDefault="00C35894" w:rsidP="00F3444F">
            <w:pPr>
              <w:spacing w:after="0" w:line="240" w:lineRule="auto"/>
              <w:rPr>
                <w:rFonts w:ascii="Calibri" w:hAnsi="Calibri" w:cs="Calibri"/>
                <w:color w:val="000000"/>
                <w:sz w:val="22"/>
                <w:szCs w:val="22"/>
              </w:rPr>
            </w:pPr>
            <w:hyperlink r:id="rId77" w:tooltip="Browse Licences as a list" w:history="1">
              <w:r w:rsidR="00F3444F" w:rsidRPr="00F3444F">
                <w:rPr>
                  <w:rFonts w:ascii="Calibri" w:hAnsi="Calibri" w:cs="Calibri"/>
                  <w:color w:val="000000"/>
                  <w:sz w:val="22"/>
                  <w:szCs w:val="22"/>
                </w:rPr>
                <w:t>Land Mobile - Land Mobile System - &gt; 30MHz</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21D67539"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57082</w:t>
            </w:r>
          </w:p>
        </w:tc>
        <w:tc>
          <w:tcPr>
            <w:tcW w:w="1418" w:type="dxa"/>
            <w:tcBorders>
              <w:top w:val="single" w:sz="4" w:space="0" w:color="8EA9DB"/>
              <w:left w:val="nil"/>
              <w:bottom w:val="single" w:sz="4" w:space="0" w:color="8EA9DB"/>
              <w:right w:val="nil"/>
            </w:tcBorders>
            <w:shd w:val="clear" w:color="auto" w:fill="auto"/>
            <w:noWrap/>
            <w:vAlign w:val="bottom"/>
            <w:hideMark/>
          </w:tcPr>
          <w:p w14:paraId="3B5BC6E7"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33C962E1"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1A68F684" w14:textId="77777777" w:rsidR="00F3444F" w:rsidRPr="00F3444F" w:rsidRDefault="00C35894" w:rsidP="00F3444F">
            <w:pPr>
              <w:spacing w:after="0" w:line="240" w:lineRule="auto"/>
              <w:rPr>
                <w:rFonts w:ascii="Calibri" w:hAnsi="Calibri" w:cs="Calibri"/>
                <w:color w:val="000000"/>
                <w:sz w:val="22"/>
                <w:szCs w:val="22"/>
              </w:rPr>
            </w:pPr>
            <w:hyperlink r:id="rId78" w:tooltip="Browse Licences as a list" w:history="1">
              <w:r w:rsidR="00F3444F" w:rsidRPr="00F3444F">
                <w:rPr>
                  <w:rFonts w:ascii="Calibri" w:hAnsi="Calibri" w:cs="Calibri"/>
                  <w:color w:val="000000"/>
                  <w:sz w:val="22"/>
                  <w:szCs w:val="22"/>
                </w:rPr>
                <w:t>Land Mobile - Land Mobile System 0-30MHz</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47C5F46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3768</w:t>
            </w:r>
          </w:p>
        </w:tc>
        <w:tc>
          <w:tcPr>
            <w:tcW w:w="1418" w:type="dxa"/>
            <w:tcBorders>
              <w:top w:val="single" w:sz="4" w:space="0" w:color="8EA9DB"/>
              <w:left w:val="nil"/>
              <w:bottom w:val="single" w:sz="4" w:space="0" w:color="8EA9DB"/>
              <w:right w:val="nil"/>
            </w:tcBorders>
            <w:shd w:val="clear" w:color="D9E1F2" w:fill="D9E1F2"/>
            <w:noWrap/>
            <w:vAlign w:val="bottom"/>
            <w:hideMark/>
          </w:tcPr>
          <w:p w14:paraId="103DF414"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2222DB9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4FE333BE" w14:textId="77777777" w:rsidR="00F3444F" w:rsidRPr="00F3444F" w:rsidRDefault="00C35894" w:rsidP="00F3444F">
            <w:pPr>
              <w:spacing w:after="0" w:line="240" w:lineRule="auto"/>
              <w:rPr>
                <w:rFonts w:ascii="Calibri" w:hAnsi="Calibri" w:cs="Calibri"/>
                <w:color w:val="000000"/>
                <w:sz w:val="22"/>
                <w:szCs w:val="22"/>
              </w:rPr>
            </w:pPr>
            <w:hyperlink r:id="rId79" w:tooltip="Browse Licences as a list" w:history="1">
              <w:r w:rsidR="00F3444F" w:rsidRPr="00F3444F">
                <w:rPr>
                  <w:rFonts w:ascii="Calibri" w:hAnsi="Calibri" w:cs="Calibri"/>
                  <w:color w:val="000000"/>
                  <w:sz w:val="22"/>
                  <w:szCs w:val="22"/>
                </w:rPr>
                <w:t>Land Mobile - PABX Cordless Telephone Service</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A44F05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15</w:t>
            </w:r>
          </w:p>
        </w:tc>
        <w:tc>
          <w:tcPr>
            <w:tcW w:w="1418" w:type="dxa"/>
            <w:tcBorders>
              <w:top w:val="single" w:sz="4" w:space="0" w:color="8EA9DB"/>
              <w:left w:val="nil"/>
              <w:bottom w:val="single" w:sz="4" w:space="0" w:color="8EA9DB"/>
              <w:right w:val="nil"/>
            </w:tcBorders>
            <w:shd w:val="clear" w:color="auto" w:fill="auto"/>
            <w:noWrap/>
            <w:vAlign w:val="bottom"/>
            <w:hideMark/>
          </w:tcPr>
          <w:p w14:paraId="21C51E29"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5B20D29"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2E4F21BF" w14:textId="77777777" w:rsidR="00F3444F" w:rsidRPr="00F3444F" w:rsidRDefault="00C35894" w:rsidP="00F3444F">
            <w:pPr>
              <w:spacing w:after="0" w:line="240" w:lineRule="auto"/>
              <w:rPr>
                <w:rFonts w:ascii="Calibri" w:hAnsi="Calibri" w:cs="Calibri"/>
                <w:color w:val="000000"/>
                <w:sz w:val="22"/>
                <w:szCs w:val="22"/>
              </w:rPr>
            </w:pPr>
            <w:hyperlink r:id="rId80" w:tooltip="Browse Licences as a list" w:history="1">
              <w:r w:rsidR="00F3444F" w:rsidRPr="00F3444F">
                <w:rPr>
                  <w:rFonts w:ascii="Calibri" w:hAnsi="Calibri" w:cs="Calibri"/>
                  <w:color w:val="000000"/>
                  <w:sz w:val="22"/>
                  <w:szCs w:val="22"/>
                </w:rPr>
                <w:t>Land Mobile - Paging System - Exterior</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CCE79D3"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1468</w:t>
            </w:r>
          </w:p>
        </w:tc>
        <w:tc>
          <w:tcPr>
            <w:tcW w:w="1418" w:type="dxa"/>
            <w:tcBorders>
              <w:top w:val="single" w:sz="4" w:space="0" w:color="8EA9DB"/>
              <w:left w:val="nil"/>
              <w:bottom w:val="single" w:sz="4" w:space="0" w:color="8EA9DB"/>
              <w:right w:val="nil"/>
            </w:tcBorders>
            <w:shd w:val="clear" w:color="D9E1F2" w:fill="D9E1F2"/>
            <w:noWrap/>
            <w:vAlign w:val="bottom"/>
            <w:hideMark/>
          </w:tcPr>
          <w:p w14:paraId="08245A8A"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0411BB54"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4AAFE477" w14:textId="77777777" w:rsidR="00F3444F" w:rsidRPr="00F3444F" w:rsidRDefault="00C35894" w:rsidP="00F3444F">
            <w:pPr>
              <w:spacing w:after="0" w:line="240" w:lineRule="auto"/>
              <w:rPr>
                <w:rFonts w:ascii="Calibri" w:hAnsi="Calibri" w:cs="Calibri"/>
                <w:color w:val="000000"/>
                <w:sz w:val="22"/>
                <w:szCs w:val="22"/>
              </w:rPr>
            </w:pPr>
            <w:hyperlink r:id="rId81" w:tooltip="Browse Licences as a list" w:history="1">
              <w:r w:rsidR="00F3444F" w:rsidRPr="00F3444F">
                <w:rPr>
                  <w:rFonts w:ascii="Calibri" w:hAnsi="Calibri" w:cs="Calibri"/>
                  <w:color w:val="000000"/>
                  <w:sz w:val="22"/>
                  <w:szCs w:val="22"/>
                </w:rPr>
                <w:t>Land Mobile - Paging System - Interior</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58DC8BC3"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538</w:t>
            </w:r>
          </w:p>
        </w:tc>
        <w:tc>
          <w:tcPr>
            <w:tcW w:w="1418" w:type="dxa"/>
            <w:tcBorders>
              <w:top w:val="single" w:sz="4" w:space="0" w:color="8EA9DB"/>
              <w:left w:val="nil"/>
              <w:bottom w:val="single" w:sz="4" w:space="0" w:color="8EA9DB"/>
              <w:right w:val="nil"/>
            </w:tcBorders>
            <w:shd w:val="clear" w:color="auto" w:fill="auto"/>
            <w:noWrap/>
            <w:vAlign w:val="bottom"/>
            <w:hideMark/>
          </w:tcPr>
          <w:p w14:paraId="1FEA8C36"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399B86E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374C3279" w14:textId="77777777" w:rsidR="00F3444F" w:rsidRPr="00F3444F" w:rsidRDefault="00C35894" w:rsidP="00F3444F">
            <w:pPr>
              <w:spacing w:after="0" w:line="240" w:lineRule="auto"/>
              <w:rPr>
                <w:rFonts w:ascii="Calibri" w:hAnsi="Calibri" w:cs="Calibri"/>
                <w:color w:val="000000"/>
                <w:sz w:val="22"/>
                <w:szCs w:val="22"/>
              </w:rPr>
            </w:pPr>
            <w:hyperlink r:id="rId82" w:tooltip="Browse Licences as a list" w:history="1">
              <w:r w:rsidR="00F3444F" w:rsidRPr="00F3444F">
                <w:rPr>
                  <w:rFonts w:ascii="Calibri" w:hAnsi="Calibri" w:cs="Calibri"/>
                  <w:color w:val="000000"/>
                  <w:sz w:val="22"/>
                  <w:szCs w:val="22"/>
                </w:rPr>
                <w:t>Major Coast Receive - Major Coast Receive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1392533"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17</w:t>
            </w:r>
          </w:p>
        </w:tc>
        <w:tc>
          <w:tcPr>
            <w:tcW w:w="1418" w:type="dxa"/>
            <w:tcBorders>
              <w:top w:val="single" w:sz="4" w:space="0" w:color="8EA9DB"/>
              <w:left w:val="nil"/>
              <w:bottom w:val="single" w:sz="4" w:space="0" w:color="8EA9DB"/>
              <w:right w:val="nil"/>
            </w:tcBorders>
            <w:shd w:val="clear" w:color="D9E1F2" w:fill="D9E1F2"/>
            <w:noWrap/>
            <w:vAlign w:val="bottom"/>
            <w:hideMark/>
          </w:tcPr>
          <w:p w14:paraId="0854D5D2"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16925A1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1E93E277" w14:textId="77777777" w:rsidR="00F3444F" w:rsidRPr="00F3444F" w:rsidRDefault="00C35894" w:rsidP="00F3444F">
            <w:pPr>
              <w:spacing w:after="0" w:line="240" w:lineRule="auto"/>
              <w:rPr>
                <w:rFonts w:ascii="Calibri" w:hAnsi="Calibri" w:cs="Calibri"/>
                <w:color w:val="000000"/>
                <w:sz w:val="22"/>
                <w:szCs w:val="22"/>
              </w:rPr>
            </w:pPr>
            <w:hyperlink r:id="rId83" w:tooltip="Browse Licences as a list" w:history="1">
              <w:r w:rsidR="00F3444F" w:rsidRPr="00F3444F">
                <w:rPr>
                  <w:rFonts w:ascii="Calibri" w:hAnsi="Calibri" w:cs="Calibri"/>
                  <w:color w:val="000000"/>
                  <w:sz w:val="22"/>
                  <w:szCs w:val="22"/>
                </w:rPr>
                <w:t>Maritime Coast - Limited Coast Assigned System</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2A63BF6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1859</w:t>
            </w:r>
          </w:p>
        </w:tc>
        <w:tc>
          <w:tcPr>
            <w:tcW w:w="1418" w:type="dxa"/>
            <w:tcBorders>
              <w:top w:val="single" w:sz="4" w:space="0" w:color="8EA9DB"/>
              <w:left w:val="nil"/>
              <w:bottom w:val="single" w:sz="4" w:space="0" w:color="8EA9DB"/>
              <w:right w:val="nil"/>
            </w:tcBorders>
            <w:shd w:val="clear" w:color="auto" w:fill="auto"/>
            <w:noWrap/>
            <w:vAlign w:val="bottom"/>
            <w:hideMark/>
          </w:tcPr>
          <w:p w14:paraId="4FB2B9E5"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2BD57714"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0797CECC" w14:textId="77777777" w:rsidR="00F3444F" w:rsidRPr="00F3444F" w:rsidRDefault="00C35894" w:rsidP="00F3444F">
            <w:pPr>
              <w:spacing w:after="0" w:line="240" w:lineRule="auto"/>
              <w:rPr>
                <w:rFonts w:ascii="Calibri" w:hAnsi="Calibri" w:cs="Calibri"/>
                <w:color w:val="000000"/>
                <w:sz w:val="22"/>
                <w:szCs w:val="22"/>
              </w:rPr>
            </w:pPr>
            <w:hyperlink r:id="rId84" w:tooltip="Browse Licences as a list" w:history="1">
              <w:r w:rsidR="00F3444F" w:rsidRPr="00F3444F">
                <w:rPr>
                  <w:rFonts w:ascii="Calibri" w:hAnsi="Calibri" w:cs="Calibri"/>
                  <w:color w:val="000000"/>
                  <w:sz w:val="22"/>
                  <w:szCs w:val="22"/>
                </w:rPr>
                <w:t>Maritime Coast - Limited Coast Marine Rescue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65E52DCA"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469</w:t>
            </w:r>
          </w:p>
        </w:tc>
        <w:tc>
          <w:tcPr>
            <w:tcW w:w="1418" w:type="dxa"/>
            <w:tcBorders>
              <w:top w:val="single" w:sz="4" w:space="0" w:color="8EA9DB"/>
              <w:left w:val="nil"/>
              <w:bottom w:val="single" w:sz="4" w:space="0" w:color="8EA9DB"/>
              <w:right w:val="nil"/>
            </w:tcBorders>
            <w:shd w:val="clear" w:color="D9E1F2" w:fill="D9E1F2"/>
            <w:noWrap/>
            <w:vAlign w:val="bottom"/>
            <w:hideMark/>
          </w:tcPr>
          <w:p w14:paraId="241A9BBD"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773CFF6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74616CE" w14:textId="77777777" w:rsidR="00F3444F" w:rsidRPr="00F3444F" w:rsidRDefault="00C35894" w:rsidP="00F3444F">
            <w:pPr>
              <w:spacing w:after="0" w:line="240" w:lineRule="auto"/>
              <w:rPr>
                <w:rFonts w:ascii="Calibri" w:hAnsi="Calibri" w:cs="Calibri"/>
                <w:color w:val="000000"/>
                <w:sz w:val="22"/>
                <w:szCs w:val="22"/>
              </w:rPr>
            </w:pPr>
            <w:hyperlink r:id="rId85" w:tooltip="Browse Licences as a list" w:history="1">
              <w:r w:rsidR="00F3444F" w:rsidRPr="00F3444F">
                <w:rPr>
                  <w:rFonts w:ascii="Calibri" w:hAnsi="Calibri" w:cs="Calibri"/>
                  <w:color w:val="000000"/>
                  <w:sz w:val="22"/>
                  <w:szCs w:val="22"/>
                </w:rPr>
                <w:t xml:space="preserve">Maritime Coast - Limited Coast </w:t>
              </w:r>
              <w:proofErr w:type="gramStart"/>
              <w:r w:rsidR="00F3444F" w:rsidRPr="00F3444F">
                <w:rPr>
                  <w:rFonts w:ascii="Calibri" w:hAnsi="Calibri" w:cs="Calibri"/>
                  <w:color w:val="000000"/>
                  <w:sz w:val="22"/>
                  <w:szCs w:val="22"/>
                </w:rPr>
                <w:t>Non Assigned</w:t>
              </w:r>
              <w:proofErr w:type="gramEnd"/>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6E59CD4"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1119</w:t>
            </w:r>
          </w:p>
        </w:tc>
        <w:tc>
          <w:tcPr>
            <w:tcW w:w="1418" w:type="dxa"/>
            <w:tcBorders>
              <w:top w:val="single" w:sz="4" w:space="0" w:color="8EA9DB"/>
              <w:left w:val="nil"/>
              <w:bottom w:val="single" w:sz="4" w:space="0" w:color="8EA9DB"/>
              <w:right w:val="nil"/>
            </w:tcBorders>
            <w:shd w:val="clear" w:color="auto" w:fill="auto"/>
            <w:noWrap/>
            <w:vAlign w:val="bottom"/>
            <w:hideMark/>
          </w:tcPr>
          <w:p w14:paraId="01BE2924"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300C562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A1FDF06" w14:textId="77777777" w:rsidR="00F3444F" w:rsidRPr="00F3444F" w:rsidRDefault="00C35894" w:rsidP="00F3444F">
            <w:pPr>
              <w:spacing w:after="0" w:line="240" w:lineRule="auto"/>
              <w:rPr>
                <w:rFonts w:ascii="Calibri" w:hAnsi="Calibri" w:cs="Calibri"/>
                <w:color w:val="000000"/>
                <w:sz w:val="22"/>
                <w:szCs w:val="22"/>
              </w:rPr>
            </w:pPr>
            <w:hyperlink r:id="rId86" w:tooltip="Browse Licences as a list" w:history="1">
              <w:r w:rsidR="00F3444F" w:rsidRPr="00F3444F">
                <w:rPr>
                  <w:rFonts w:ascii="Calibri" w:hAnsi="Calibri" w:cs="Calibri"/>
                  <w:color w:val="000000"/>
                  <w:sz w:val="22"/>
                  <w:szCs w:val="22"/>
                </w:rPr>
                <w:t>Maritime Coast - Major Coast A</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33BBE5A3"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w:t>
            </w:r>
          </w:p>
        </w:tc>
        <w:tc>
          <w:tcPr>
            <w:tcW w:w="1418" w:type="dxa"/>
            <w:tcBorders>
              <w:top w:val="single" w:sz="4" w:space="0" w:color="8EA9DB"/>
              <w:left w:val="nil"/>
              <w:bottom w:val="single" w:sz="4" w:space="0" w:color="8EA9DB"/>
              <w:right w:val="nil"/>
            </w:tcBorders>
            <w:shd w:val="clear" w:color="D9E1F2" w:fill="D9E1F2"/>
            <w:noWrap/>
            <w:vAlign w:val="bottom"/>
            <w:hideMark/>
          </w:tcPr>
          <w:p w14:paraId="4A656CD0"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D0F2DFF"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64521A44" w14:textId="77777777" w:rsidR="00F3444F" w:rsidRPr="00F3444F" w:rsidRDefault="00C35894" w:rsidP="00F3444F">
            <w:pPr>
              <w:spacing w:after="0" w:line="240" w:lineRule="auto"/>
              <w:rPr>
                <w:rFonts w:ascii="Calibri" w:hAnsi="Calibri" w:cs="Calibri"/>
                <w:color w:val="000000"/>
                <w:sz w:val="22"/>
                <w:szCs w:val="22"/>
              </w:rPr>
            </w:pPr>
            <w:hyperlink r:id="rId87" w:tooltip="Browse Licences as a list" w:history="1">
              <w:r w:rsidR="00F3444F" w:rsidRPr="00F3444F">
                <w:rPr>
                  <w:rFonts w:ascii="Calibri" w:hAnsi="Calibri" w:cs="Calibri"/>
                  <w:color w:val="000000"/>
                  <w:sz w:val="22"/>
                  <w:szCs w:val="22"/>
                </w:rPr>
                <w:t>Maritime Ship - Ship Station Class B Assigned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3CC68576"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20</w:t>
            </w:r>
          </w:p>
        </w:tc>
        <w:tc>
          <w:tcPr>
            <w:tcW w:w="1418" w:type="dxa"/>
            <w:tcBorders>
              <w:top w:val="single" w:sz="4" w:space="0" w:color="8EA9DB"/>
              <w:left w:val="nil"/>
              <w:bottom w:val="single" w:sz="4" w:space="0" w:color="8EA9DB"/>
              <w:right w:val="nil"/>
            </w:tcBorders>
            <w:shd w:val="clear" w:color="auto" w:fill="auto"/>
            <w:noWrap/>
            <w:vAlign w:val="bottom"/>
            <w:hideMark/>
          </w:tcPr>
          <w:p w14:paraId="26FAC2C8"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D88DE16"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4A648A72" w14:textId="77777777" w:rsidR="00F3444F" w:rsidRPr="00F3444F" w:rsidRDefault="00C35894" w:rsidP="00F3444F">
            <w:pPr>
              <w:spacing w:after="0" w:line="240" w:lineRule="auto"/>
              <w:rPr>
                <w:rFonts w:ascii="Calibri" w:hAnsi="Calibri" w:cs="Calibri"/>
                <w:color w:val="000000"/>
                <w:sz w:val="22"/>
                <w:szCs w:val="22"/>
              </w:rPr>
            </w:pPr>
            <w:hyperlink r:id="rId88" w:tooltip="Browse Licences as a list" w:history="1">
              <w:r w:rsidR="00F3444F" w:rsidRPr="00F3444F">
                <w:rPr>
                  <w:rFonts w:ascii="Calibri" w:hAnsi="Calibri" w:cs="Calibri"/>
                  <w:color w:val="000000"/>
                  <w:sz w:val="22"/>
                  <w:szCs w:val="22"/>
                </w:rPr>
                <w:t xml:space="preserve">Maritime Ship - Ship Station Class B </w:t>
              </w:r>
              <w:proofErr w:type="gramStart"/>
              <w:r w:rsidR="00F3444F" w:rsidRPr="00F3444F">
                <w:rPr>
                  <w:rFonts w:ascii="Calibri" w:hAnsi="Calibri" w:cs="Calibri"/>
                  <w:color w:val="000000"/>
                  <w:sz w:val="22"/>
                  <w:szCs w:val="22"/>
                </w:rPr>
                <w:t>Non Assigned</w:t>
              </w:r>
              <w:proofErr w:type="gramEnd"/>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E20062B"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4398</w:t>
            </w:r>
          </w:p>
        </w:tc>
        <w:tc>
          <w:tcPr>
            <w:tcW w:w="1418" w:type="dxa"/>
            <w:tcBorders>
              <w:top w:val="single" w:sz="4" w:space="0" w:color="8EA9DB"/>
              <w:left w:val="nil"/>
              <w:bottom w:val="single" w:sz="4" w:space="0" w:color="8EA9DB"/>
              <w:right w:val="nil"/>
            </w:tcBorders>
            <w:shd w:val="clear" w:color="D9E1F2" w:fill="D9E1F2"/>
            <w:noWrap/>
            <w:vAlign w:val="bottom"/>
            <w:hideMark/>
          </w:tcPr>
          <w:p w14:paraId="7D994F6C"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27522AD4"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6BCFBF0" w14:textId="77777777" w:rsidR="00F3444F" w:rsidRPr="00F3444F" w:rsidRDefault="00C35894" w:rsidP="00F3444F">
            <w:pPr>
              <w:spacing w:after="0" w:line="240" w:lineRule="auto"/>
              <w:rPr>
                <w:rFonts w:ascii="Calibri" w:hAnsi="Calibri" w:cs="Calibri"/>
                <w:color w:val="000000"/>
                <w:sz w:val="22"/>
                <w:szCs w:val="22"/>
              </w:rPr>
            </w:pPr>
            <w:hyperlink r:id="rId89" w:tooltip="Browse Licences as a list" w:history="1">
              <w:r w:rsidR="00F3444F" w:rsidRPr="00F3444F">
                <w:rPr>
                  <w:rFonts w:ascii="Calibri" w:hAnsi="Calibri" w:cs="Calibri"/>
                  <w:color w:val="000000"/>
                  <w:sz w:val="22"/>
                  <w:szCs w:val="22"/>
                </w:rPr>
                <w:t>Maritime Ship - Ship Station Class C Assigned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B19E91A"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6</w:t>
            </w:r>
          </w:p>
        </w:tc>
        <w:tc>
          <w:tcPr>
            <w:tcW w:w="1418" w:type="dxa"/>
            <w:tcBorders>
              <w:top w:val="single" w:sz="4" w:space="0" w:color="8EA9DB"/>
              <w:left w:val="nil"/>
              <w:bottom w:val="single" w:sz="4" w:space="0" w:color="8EA9DB"/>
              <w:right w:val="nil"/>
            </w:tcBorders>
            <w:shd w:val="clear" w:color="auto" w:fill="auto"/>
            <w:noWrap/>
            <w:vAlign w:val="bottom"/>
            <w:hideMark/>
          </w:tcPr>
          <w:p w14:paraId="4C1045CA"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6A3809AA"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1641D5B1" w14:textId="77777777" w:rsidR="00F3444F" w:rsidRPr="00F3444F" w:rsidRDefault="00C35894" w:rsidP="00F3444F">
            <w:pPr>
              <w:spacing w:after="0" w:line="240" w:lineRule="auto"/>
              <w:rPr>
                <w:rFonts w:ascii="Calibri" w:hAnsi="Calibri" w:cs="Calibri"/>
                <w:color w:val="000000"/>
                <w:sz w:val="22"/>
                <w:szCs w:val="22"/>
              </w:rPr>
            </w:pPr>
            <w:hyperlink r:id="rId90" w:tooltip="Browse Licences as a list" w:history="1">
              <w:r w:rsidR="00F3444F" w:rsidRPr="00F3444F">
                <w:rPr>
                  <w:rFonts w:ascii="Calibri" w:hAnsi="Calibri" w:cs="Calibri"/>
                  <w:color w:val="000000"/>
                  <w:sz w:val="22"/>
                  <w:szCs w:val="22"/>
                </w:rPr>
                <w:t xml:space="preserve">Maritime Ship - Ship Station Class C </w:t>
              </w:r>
              <w:proofErr w:type="gramStart"/>
              <w:r w:rsidR="00F3444F" w:rsidRPr="00F3444F">
                <w:rPr>
                  <w:rFonts w:ascii="Calibri" w:hAnsi="Calibri" w:cs="Calibri"/>
                  <w:color w:val="000000"/>
                  <w:sz w:val="22"/>
                  <w:szCs w:val="22"/>
                </w:rPr>
                <w:t>Non Assigned</w:t>
              </w:r>
              <w:proofErr w:type="gramEnd"/>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76AFB67F"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627</w:t>
            </w:r>
          </w:p>
        </w:tc>
        <w:tc>
          <w:tcPr>
            <w:tcW w:w="1418" w:type="dxa"/>
            <w:tcBorders>
              <w:top w:val="single" w:sz="4" w:space="0" w:color="8EA9DB"/>
              <w:left w:val="nil"/>
              <w:bottom w:val="single" w:sz="4" w:space="0" w:color="8EA9DB"/>
              <w:right w:val="nil"/>
            </w:tcBorders>
            <w:shd w:val="clear" w:color="D9E1F2" w:fill="D9E1F2"/>
            <w:noWrap/>
            <w:vAlign w:val="bottom"/>
            <w:hideMark/>
          </w:tcPr>
          <w:p w14:paraId="4DF9261D"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521BA5D5"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2D7A484" w14:textId="77777777" w:rsidR="00F3444F" w:rsidRPr="00F3444F" w:rsidRDefault="00C35894" w:rsidP="00F3444F">
            <w:pPr>
              <w:spacing w:after="0" w:line="240" w:lineRule="auto"/>
              <w:rPr>
                <w:rFonts w:ascii="Calibri" w:hAnsi="Calibri" w:cs="Calibri"/>
                <w:color w:val="000000"/>
                <w:sz w:val="22"/>
                <w:szCs w:val="22"/>
              </w:rPr>
            </w:pPr>
            <w:hyperlink r:id="rId91" w:tooltip="Browse Licences as a list" w:history="1">
              <w:r w:rsidR="00F3444F" w:rsidRPr="00F3444F">
                <w:rPr>
                  <w:rFonts w:ascii="Calibri" w:hAnsi="Calibri" w:cs="Calibri"/>
                  <w:color w:val="000000"/>
                  <w:sz w:val="22"/>
                  <w:szCs w:val="22"/>
                </w:rPr>
                <w:t>Outpost - Outpost Assigned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25CF02B1"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w:t>
            </w:r>
          </w:p>
        </w:tc>
        <w:tc>
          <w:tcPr>
            <w:tcW w:w="1418" w:type="dxa"/>
            <w:tcBorders>
              <w:top w:val="single" w:sz="4" w:space="0" w:color="8EA9DB"/>
              <w:left w:val="nil"/>
              <w:bottom w:val="single" w:sz="4" w:space="0" w:color="8EA9DB"/>
              <w:right w:val="nil"/>
            </w:tcBorders>
            <w:shd w:val="clear" w:color="auto" w:fill="auto"/>
            <w:noWrap/>
            <w:vAlign w:val="bottom"/>
            <w:hideMark/>
          </w:tcPr>
          <w:p w14:paraId="11A716A0"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CD59602"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09B5AE94" w14:textId="77777777" w:rsidR="00F3444F" w:rsidRPr="00F3444F" w:rsidRDefault="00C35894" w:rsidP="00F3444F">
            <w:pPr>
              <w:spacing w:after="0" w:line="240" w:lineRule="auto"/>
              <w:rPr>
                <w:rFonts w:ascii="Calibri" w:hAnsi="Calibri" w:cs="Calibri"/>
                <w:color w:val="000000"/>
                <w:sz w:val="22"/>
                <w:szCs w:val="22"/>
              </w:rPr>
            </w:pPr>
            <w:hyperlink r:id="rId92" w:tooltip="Browse Licences as a list" w:history="1">
              <w:r w:rsidR="00F3444F" w:rsidRPr="00F3444F">
                <w:rPr>
                  <w:rFonts w:ascii="Calibri" w:hAnsi="Calibri" w:cs="Calibri"/>
                  <w:color w:val="000000"/>
                  <w:sz w:val="22"/>
                  <w:szCs w:val="22"/>
                </w:rPr>
                <w:t xml:space="preserve">Outpost - Outpost </w:t>
              </w:r>
              <w:proofErr w:type="gramStart"/>
              <w:r w:rsidR="00F3444F" w:rsidRPr="00F3444F">
                <w:rPr>
                  <w:rFonts w:ascii="Calibri" w:hAnsi="Calibri" w:cs="Calibri"/>
                  <w:color w:val="000000"/>
                  <w:sz w:val="22"/>
                  <w:szCs w:val="22"/>
                </w:rPr>
                <w:t>Non Assigned</w:t>
              </w:r>
              <w:proofErr w:type="gramEnd"/>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19F72136"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1974</w:t>
            </w:r>
          </w:p>
        </w:tc>
        <w:tc>
          <w:tcPr>
            <w:tcW w:w="1418" w:type="dxa"/>
            <w:tcBorders>
              <w:top w:val="single" w:sz="4" w:space="0" w:color="8EA9DB"/>
              <w:left w:val="nil"/>
              <w:bottom w:val="single" w:sz="4" w:space="0" w:color="8EA9DB"/>
              <w:right w:val="nil"/>
            </w:tcBorders>
            <w:shd w:val="clear" w:color="D9E1F2" w:fill="D9E1F2"/>
            <w:noWrap/>
            <w:vAlign w:val="bottom"/>
            <w:hideMark/>
          </w:tcPr>
          <w:p w14:paraId="38C1C5FF"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531AEBBC"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28E8CAC8" w14:textId="77777777" w:rsidR="00F3444F" w:rsidRPr="00F3444F" w:rsidRDefault="00C35894" w:rsidP="00F3444F">
            <w:pPr>
              <w:spacing w:after="0" w:line="240" w:lineRule="auto"/>
              <w:rPr>
                <w:rFonts w:ascii="Calibri" w:hAnsi="Calibri" w:cs="Calibri"/>
                <w:color w:val="000000"/>
                <w:sz w:val="22"/>
                <w:szCs w:val="22"/>
              </w:rPr>
            </w:pPr>
            <w:hyperlink r:id="rId93" w:tooltip="Browse Licences as a list" w:history="1">
              <w:r w:rsidR="00F3444F" w:rsidRPr="00F3444F">
                <w:rPr>
                  <w:rFonts w:ascii="Calibri" w:hAnsi="Calibri" w:cs="Calibri"/>
                  <w:color w:val="000000"/>
                  <w:sz w:val="22"/>
                  <w:szCs w:val="22"/>
                </w:rPr>
                <w:t>PTS - PMTS Class B</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05B81E7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917</w:t>
            </w:r>
          </w:p>
        </w:tc>
        <w:tc>
          <w:tcPr>
            <w:tcW w:w="1418" w:type="dxa"/>
            <w:tcBorders>
              <w:top w:val="single" w:sz="4" w:space="0" w:color="8EA9DB"/>
              <w:left w:val="nil"/>
              <w:bottom w:val="single" w:sz="4" w:space="0" w:color="8EA9DB"/>
              <w:right w:val="nil"/>
            </w:tcBorders>
            <w:shd w:val="clear" w:color="auto" w:fill="auto"/>
            <w:noWrap/>
            <w:vAlign w:val="bottom"/>
            <w:hideMark/>
          </w:tcPr>
          <w:p w14:paraId="0375A3D6"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059DAB3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4AD25E78" w14:textId="77777777" w:rsidR="00F3444F" w:rsidRPr="00F3444F" w:rsidRDefault="00C35894" w:rsidP="00F3444F">
            <w:pPr>
              <w:spacing w:after="0" w:line="240" w:lineRule="auto"/>
              <w:rPr>
                <w:rFonts w:ascii="Calibri" w:hAnsi="Calibri" w:cs="Calibri"/>
                <w:color w:val="000000"/>
                <w:sz w:val="22"/>
                <w:szCs w:val="22"/>
              </w:rPr>
            </w:pPr>
            <w:hyperlink r:id="rId94" w:tooltip="Browse Licences as a list" w:history="1">
              <w:r w:rsidR="00F3444F" w:rsidRPr="00F3444F">
                <w:rPr>
                  <w:rFonts w:ascii="Calibri" w:hAnsi="Calibri" w:cs="Calibri"/>
                  <w:color w:val="000000"/>
                  <w:sz w:val="22"/>
                  <w:szCs w:val="22"/>
                </w:rPr>
                <w:t>PTS - PMTS Class B (870-890 MHz)</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037EECE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13</w:t>
            </w:r>
          </w:p>
        </w:tc>
        <w:tc>
          <w:tcPr>
            <w:tcW w:w="1418" w:type="dxa"/>
            <w:tcBorders>
              <w:top w:val="single" w:sz="4" w:space="0" w:color="8EA9DB"/>
              <w:left w:val="nil"/>
              <w:bottom w:val="single" w:sz="4" w:space="0" w:color="8EA9DB"/>
              <w:right w:val="nil"/>
            </w:tcBorders>
            <w:shd w:val="clear" w:color="D9E1F2" w:fill="D9E1F2"/>
            <w:noWrap/>
            <w:vAlign w:val="bottom"/>
            <w:hideMark/>
          </w:tcPr>
          <w:p w14:paraId="3752FC16"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E75281E"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CBF156F" w14:textId="77777777" w:rsidR="00F3444F" w:rsidRPr="00F3444F" w:rsidRDefault="00C35894" w:rsidP="00F3444F">
            <w:pPr>
              <w:spacing w:after="0" w:line="240" w:lineRule="auto"/>
              <w:rPr>
                <w:rFonts w:ascii="Calibri" w:hAnsi="Calibri" w:cs="Calibri"/>
                <w:color w:val="000000"/>
                <w:sz w:val="22"/>
                <w:szCs w:val="22"/>
              </w:rPr>
            </w:pPr>
            <w:hyperlink r:id="rId95" w:tooltip="Browse Licences as a list" w:history="1">
              <w:r w:rsidR="00F3444F" w:rsidRPr="00F3444F">
                <w:rPr>
                  <w:rFonts w:ascii="Calibri" w:hAnsi="Calibri" w:cs="Calibri"/>
                  <w:color w:val="000000"/>
                  <w:sz w:val="22"/>
                  <w:szCs w:val="22"/>
                </w:rPr>
                <w:t>PTS - PMTS Class C</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9A607BD"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w:t>
            </w:r>
          </w:p>
        </w:tc>
        <w:tc>
          <w:tcPr>
            <w:tcW w:w="1418" w:type="dxa"/>
            <w:tcBorders>
              <w:top w:val="single" w:sz="4" w:space="0" w:color="8EA9DB"/>
              <w:left w:val="nil"/>
              <w:bottom w:val="single" w:sz="4" w:space="0" w:color="8EA9DB"/>
              <w:right w:val="nil"/>
            </w:tcBorders>
            <w:shd w:val="clear" w:color="auto" w:fill="auto"/>
            <w:noWrap/>
            <w:vAlign w:val="bottom"/>
            <w:hideMark/>
          </w:tcPr>
          <w:p w14:paraId="11838AEC"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1EF108D4"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6F91036D" w14:textId="77777777" w:rsidR="00F3444F" w:rsidRPr="00F3444F" w:rsidRDefault="00C35894" w:rsidP="00F3444F">
            <w:pPr>
              <w:spacing w:after="0" w:line="240" w:lineRule="auto"/>
              <w:rPr>
                <w:rFonts w:ascii="Calibri" w:hAnsi="Calibri" w:cs="Calibri"/>
                <w:color w:val="000000"/>
                <w:sz w:val="22"/>
                <w:szCs w:val="22"/>
              </w:rPr>
            </w:pPr>
            <w:hyperlink r:id="rId96" w:tooltip="Browse Licences as a list" w:history="1">
              <w:r w:rsidR="00F3444F" w:rsidRPr="00F3444F">
                <w:rPr>
                  <w:rFonts w:ascii="Calibri" w:hAnsi="Calibri" w:cs="Calibri"/>
                  <w:color w:val="000000"/>
                  <w:sz w:val="22"/>
                  <w:szCs w:val="22"/>
                </w:rPr>
                <w:t>PTS 900 MHz - PMTS Class B (935-960 MHz)</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293D689B"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w:t>
            </w:r>
          </w:p>
        </w:tc>
        <w:tc>
          <w:tcPr>
            <w:tcW w:w="1418" w:type="dxa"/>
            <w:tcBorders>
              <w:top w:val="single" w:sz="4" w:space="0" w:color="8EA9DB"/>
              <w:left w:val="nil"/>
              <w:bottom w:val="single" w:sz="4" w:space="0" w:color="8EA9DB"/>
              <w:right w:val="nil"/>
            </w:tcBorders>
            <w:shd w:val="clear" w:color="D9E1F2" w:fill="D9E1F2"/>
            <w:noWrap/>
            <w:vAlign w:val="bottom"/>
            <w:hideMark/>
          </w:tcPr>
          <w:p w14:paraId="33E2CD76"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59967285"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1FEC6224" w14:textId="77777777" w:rsidR="00F3444F" w:rsidRPr="00F3444F" w:rsidRDefault="00C35894" w:rsidP="00F3444F">
            <w:pPr>
              <w:spacing w:after="0" w:line="240" w:lineRule="auto"/>
              <w:rPr>
                <w:rFonts w:ascii="Calibri" w:hAnsi="Calibri" w:cs="Calibri"/>
                <w:color w:val="000000"/>
                <w:sz w:val="22"/>
                <w:szCs w:val="22"/>
              </w:rPr>
            </w:pPr>
            <w:hyperlink r:id="rId97" w:tooltip="Browse Licences as a list" w:history="1">
              <w:r w:rsidR="00F3444F" w:rsidRPr="00F3444F">
                <w:rPr>
                  <w:rFonts w:ascii="Calibri" w:hAnsi="Calibri" w:cs="Calibri"/>
                  <w:color w:val="000000"/>
                  <w:sz w:val="22"/>
                  <w:szCs w:val="22"/>
                </w:rPr>
                <w:t>Radiodetermination - Radiodetermination</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4A7DD09A"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3273</w:t>
            </w:r>
          </w:p>
        </w:tc>
        <w:tc>
          <w:tcPr>
            <w:tcW w:w="1418" w:type="dxa"/>
            <w:tcBorders>
              <w:top w:val="single" w:sz="4" w:space="0" w:color="8EA9DB"/>
              <w:left w:val="nil"/>
              <w:bottom w:val="single" w:sz="4" w:space="0" w:color="8EA9DB"/>
              <w:right w:val="nil"/>
            </w:tcBorders>
            <w:shd w:val="clear" w:color="auto" w:fill="auto"/>
            <w:noWrap/>
            <w:vAlign w:val="bottom"/>
            <w:hideMark/>
          </w:tcPr>
          <w:p w14:paraId="57B86F66"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4A73D60D"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BB449AE" w14:textId="77777777" w:rsidR="00F3444F" w:rsidRPr="00F3444F" w:rsidRDefault="00C35894" w:rsidP="00F3444F">
            <w:pPr>
              <w:spacing w:after="0" w:line="240" w:lineRule="auto"/>
              <w:rPr>
                <w:rFonts w:ascii="Calibri" w:hAnsi="Calibri" w:cs="Calibri"/>
                <w:color w:val="000000"/>
                <w:sz w:val="22"/>
                <w:szCs w:val="22"/>
              </w:rPr>
            </w:pPr>
            <w:hyperlink r:id="rId98" w:tooltip="Browse Licences as a list" w:history="1">
              <w:r w:rsidR="00F3444F" w:rsidRPr="00F3444F">
                <w:rPr>
                  <w:rFonts w:ascii="Calibri" w:hAnsi="Calibri" w:cs="Calibri"/>
                  <w:color w:val="000000"/>
                  <w:sz w:val="22"/>
                  <w:szCs w:val="22"/>
                </w:rPr>
                <w:t>Radiodetermination - Radiodetermination - Body Scan</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4E7B919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w:t>
            </w:r>
          </w:p>
        </w:tc>
        <w:tc>
          <w:tcPr>
            <w:tcW w:w="1418" w:type="dxa"/>
            <w:tcBorders>
              <w:top w:val="single" w:sz="4" w:space="0" w:color="8EA9DB"/>
              <w:left w:val="nil"/>
              <w:bottom w:val="single" w:sz="4" w:space="0" w:color="8EA9DB"/>
              <w:right w:val="nil"/>
            </w:tcBorders>
            <w:shd w:val="clear" w:color="D9E1F2" w:fill="D9E1F2"/>
            <w:noWrap/>
            <w:vAlign w:val="bottom"/>
            <w:hideMark/>
          </w:tcPr>
          <w:p w14:paraId="758D57F2"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2F055CF3"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58E7835E" w14:textId="77777777" w:rsidR="00F3444F" w:rsidRPr="00F3444F" w:rsidRDefault="00C35894" w:rsidP="00F3444F">
            <w:pPr>
              <w:spacing w:after="0" w:line="240" w:lineRule="auto"/>
              <w:rPr>
                <w:rFonts w:ascii="Calibri" w:hAnsi="Calibri" w:cs="Calibri"/>
                <w:color w:val="000000"/>
                <w:sz w:val="22"/>
                <w:szCs w:val="22"/>
              </w:rPr>
            </w:pPr>
            <w:hyperlink r:id="rId99" w:tooltip="Browse Licences as a list" w:history="1">
              <w:r w:rsidR="00F3444F" w:rsidRPr="00F3444F">
                <w:rPr>
                  <w:rFonts w:ascii="Calibri" w:hAnsi="Calibri" w:cs="Calibri"/>
                  <w:color w:val="000000"/>
                  <w:sz w:val="22"/>
                  <w:szCs w:val="22"/>
                </w:rPr>
                <w:t>Scientific - Scientific Assigned</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44A79466"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46</w:t>
            </w:r>
          </w:p>
        </w:tc>
        <w:tc>
          <w:tcPr>
            <w:tcW w:w="1418" w:type="dxa"/>
            <w:tcBorders>
              <w:top w:val="single" w:sz="4" w:space="0" w:color="8EA9DB"/>
              <w:left w:val="nil"/>
              <w:bottom w:val="single" w:sz="4" w:space="0" w:color="8EA9DB"/>
              <w:right w:val="nil"/>
            </w:tcBorders>
            <w:shd w:val="clear" w:color="auto" w:fill="auto"/>
            <w:noWrap/>
            <w:vAlign w:val="bottom"/>
            <w:hideMark/>
          </w:tcPr>
          <w:p w14:paraId="6BF4F26E"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4AD5E257"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BCB9AD5" w14:textId="77777777" w:rsidR="00F3444F" w:rsidRPr="00F3444F" w:rsidRDefault="00C35894" w:rsidP="00F3444F">
            <w:pPr>
              <w:spacing w:after="0" w:line="240" w:lineRule="auto"/>
              <w:rPr>
                <w:rFonts w:ascii="Calibri" w:hAnsi="Calibri" w:cs="Calibri"/>
                <w:color w:val="000000"/>
                <w:sz w:val="22"/>
                <w:szCs w:val="22"/>
              </w:rPr>
            </w:pPr>
            <w:hyperlink r:id="rId100" w:tooltip="Browse Licences as a list" w:history="1">
              <w:r w:rsidR="00F3444F" w:rsidRPr="00F3444F">
                <w:rPr>
                  <w:rFonts w:ascii="Calibri" w:hAnsi="Calibri" w:cs="Calibri"/>
                  <w:color w:val="000000"/>
                  <w:sz w:val="22"/>
                  <w:szCs w:val="22"/>
                </w:rPr>
                <w:t xml:space="preserve">Scientific - Scientific </w:t>
              </w:r>
              <w:proofErr w:type="gramStart"/>
              <w:r w:rsidR="00F3444F" w:rsidRPr="00F3444F">
                <w:rPr>
                  <w:rFonts w:ascii="Calibri" w:hAnsi="Calibri" w:cs="Calibri"/>
                  <w:color w:val="000000"/>
                  <w:sz w:val="22"/>
                  <w:szCs w:val="22"/>
                </w:rPr>
                <w:t>Non Assigned</w:t>
              </w:r>
              <w:proofErr w:type="gramEnd"/>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4CFFE54C"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316</w:t>
            </w:r>
          </w:p>
        </w:tc>
        <w:tc>
          <w:tcPr>
            <w:tcW w:w="1418" w:type="dxa"/>
            <w:tcBorders>
              <w:top w:val="single" w:sz="4" w:space="0" w:color="8EA9DB"/>
              <w:left w:val="nil"/>
              <w:bottom w:val="single" w:sz="4" w:space="0" w:color="8EA9DB"/>
              <w:right w:val="nil"/>
            </w:tcBorders>
            <w:shd w:val="clear" w:color="D9E1F2" w:fill="D9E1F2"/>
            <w:noWrap/>
            <w:vAlign w:val="bottom"/>
            <w:hideMark/>
          </w:tcPr>
          <w:p w14:paraId="100C81A2" w14:textId="77777777" w:rsidR="00F3444F" w:rsidRPr="00F3444F" w:rsidRDefault="00F3444F" w:rsidP="00F3444F">
            <w:pPr>
              <w:spacing w:after="0" w:line="240" w:lineRule="auto"/>
              <w:jc w:val="right"/>
              <w:rPr>
                <w:rFonts w:ascii="Calibri" w:hAnsi="Calibri" w:cs="Calibri"/>
                <w:color w:val="000000"/>
                <w:sz w:val="22"/>
                <w:szCs w:val="22"/>
              </w:rPr>
            </w:pPr>
          </w:p>
        </w:tc>
      </w:tr>
      <w:tr w:rsidR="00F3444F" w:rsidRPr="00F3444F" w14:paraId="05679186"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0A59102E" w14:textId="77777777" w:rsidR="00F3444F" w:rsidRPr="00F3444F" w:rsidRDefault="00C35894" w:rsidP="00F3444F">
            <w:pPr>
              <w:spacing w:after="0" w:line="240" w:lineRule="auto"/>
              <w:rPr>
                <w:rFonts w:ascii="Calibri" w:hAnsi="Calibri" w:cs="Calibri"/>
                <w:color w:val="000000"/>
                <w:sz w:val="22"/>
                <w:szCs w:val="22"/>
              </w:rPr>
            </w:pPr>
            <w:hyperlink r:id="rId101" w:tooltip="Browse Licences as a list" w:history="1">
              <w:r w:rsidR="00F3444F" w:rsidRPr="00F3444F">
                <w:rPr>
                  <w:rFonts w:ascii="Calibri" w:hAnsi="Calibri" w:cs="Calibri"/>
                  <w:color w:val="000000"/>
                  <w:sz w:val="22"/>
                  <w:szCs w:val="22"/>
                </w:rPr>
                <w:t>Space - Space</w:t>
              </w:r>
            </w:hyperlink>
          </w:p>
        </w:tc>
        <w:tc>
          <w:tcPr>
            <w:tcW w:w="1276" w:type="dxa"/>
            <w:tcBorders>
              <w:top w:val="single" w:sz="4" w:space="0" w:color="8EA9DB"/>
              <w:left w:val="nil"/>
              <w:bottom w:val="single" w:sz="4" w:space="0" w:color="8EA9DB"/>
              <w:right w:val="nil"/>
            </w:tcBorders>
            <w:shd w:val="clear" w:color="auto" w:fill="auto"/>
            <w:noWrap/>
            <w:vAlign w:val="bottom"/>
            <w:hideMark/>
          </w:tcPr>
          <w:p w14:paraId="15CE6FC2"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163</w:t>
            </w:r>
          </w:p>
        </w:tc>
        <w:tc>
          <w:tcPr>
            <w:tcW w:w="1418" w:type="dxa"/>
            <w:tcBorders>
              <w:top w:val="single" w:sz="4" w:space="0" w:color="8EA9DB"/>
              <w:left w:val="nil"/>
              <w:bottom w:val="single" w:sz="4" w:space="0" w:color="8EA9DB"/>
              <w:right w:val="nil"/>
            </w:tcBorders>
            <w:shd w:val="clear" w:color="auto" w:fill="auto"/>
            <w:noWrap/>
            <w:vAlign w:val="bottom"/>
            <w:hideMark/>
          </w:tcPr>
          <w:p w14:paraId="2BA21E0D"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71C20488"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71466904" w14:textId="77777777" w:rsidR="00F3444F" w:rsidRPr="00F3444F" w:rsidRDefault="00C35894" w:rsidP="00F3444F">
            <w:pPr>
              <w:spacing w:after="0" w:line="240" w:lineRule="auto"/>
              <w:rPr>
                <w:rFonts w:ascii="Calibri" w:hAnsi="Calibri" w:cs="Calibri"/>
                <w:color w:val="000000"/>
                <w:sz w:val="22"/>
                <w:szCs w:val="22"/>
              </w:rPr>
            </w:pPr>
            <w:hyperlink r:id="rId102" w:tooltip="Browse Licences as a list" w:history="1">
              <w:r w:rsidR="00F3444F" w:rsidRPr="00F3444F">
                <w:rPr>
                  <w:rFonts w:ascii="Calibri" w:hAnsi="Calibri" w:cs="Calibri"/>
                  <w:color w:val="000000"/>
                  <w:sz w:val="22"/>
                  <w:szCs w:val="22"/>
                </w:rPr>
                <w:t>Space Receive - Space Receive</w:t>
              </w:r>
            </w:hyperlink>
          </w:p>
        </w:tc>
        <w:tc>
          <w:tcPr>
            <w:tcW w:w="1276" w:type="dxa"/>
            <w:tcBorders>
              <w:top w:val="single" w:sz="4" w:space="0" w:color="8EA9DB"/>
              <w:left w:val="nil"/>
              <w:bottom w:val="single" w:sz="4" w:space="0" w:color="8EA9DB"/>
              <w:right w:val="nil"/>
            </w:tcBorders>
            <w:shd w:val="clear" w:color="D9E1F2" w:fill="D9E1F2"/>
            <w:noWrap/>
            <w:vAlign w:val="bottom"/>
            <w:hideMark/>
          </w:tcPr>
          <w:p w14:paraId="3537A628"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135</w:t>
            </w:r>
          </w:p>
        </w:tc>
        <w:tc>
          <w:tcPr>
            <w:tcW w:w="1418" w:type="dxa"/>
            <w:tcBorders>
              <w:top w:val="single" w:sz="4" w:space="0" w:color="8EA9DB"/>
              <w:left w:val="nil"/>
              <w:bottom w:val="single" w:sz="4" w:space="0" w:color="8EA9DB"/>
              <w:right w:val="nil"/>
            </w:tcBorders>
            <w:shd w:val="clear" w:color="D9E1F2" w:fill="D9E1F2"/>
            <w:noWrap/>
            <w:vAlign w:val="bottom"/>
            <w:hideMark/>
          </w:tcPr>
          <w:p w14:paraId="32EE0EFE" w14:textId="77777777" w:rsidR="00F3444F" w:rsidRPr="00F3444F" w:rsidRDefault="00F3444F" w:rsidP="00F3444F">
            <w:pPr>
              <w:spacing w:after="0" w:line="240" w:lineRule="auto"/>
              <w:jc w:val="center"/>
              <w:rPr>
                <w:rFonts w:ascii="Calibri" w:hAnsi="Calibri" w:cs="Calibri"/>
                <w:color w:val="000000"/>
                <w:sz w:val="22"/>
                <w:szCs w:val="22"/>
              </w:rPr>
            </w:pPr>
            <w:r w:rsidRPr="00F3444F">
              <w:rPr>
                <w:rFonts w:ascii="Calibri" w:hAnsi="Calibri" w:cs="Calibri"/>
                <w:color w:val="000000"/>
                <w:sz w:val="22"/>
                <w:szCs w:val="22"/>
              </w:rPr>
              <w:t>y</w:t>
            </w:r>
          </w:p>
        </w:tc>
      </w:tr>
      <w:tr w:rsidR="00F3444F" w:rsidRPr="00F3444F" w14:paraId="4D3A1E09"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auto" w:fill="auto"/>
            <w:noWrap/>
            <w:vAlign w:val="bottom"/>
            <w:hideMark/>
          </w:tcPr>
          <w:p w14:paraId="3B34C294" w14:textId="77777777" w:rsidR="00F3444F" w:rsidRPr="00F3444F" w:rsidRDefault="00F3444F" w:rsidP="00F3444F">
            <w:pPr>
              <w:spacing w:after="0" w:line="240" w:lineRule="auto"/>
              <w:rPr>
                <w:rFonts w:ascii="Calibri" w:hAnsi="Calibri" w:cs="Calibri"/>
                <w:color w:val="000000"/>
                <w:sz w:val="22"/>
                <w:szCs w:val="22"/>
              </w:rPr>
            </w:pPr>
            <w:r w:rsidRPr="00F3444F">
              <w:rPr>
                <w:rFonts w:ascii="Calibri" w:hAnsi="Calibri" w:cs="Calibri"/>
                <w:color w:val="000000"/>
                <w:sz w:val="22"/>
                <w:szCs w:val="22"/>
              </w:rPr>
              <w:t>Total</w:t>
            </w:r>
          </w:p>
        </w:tc>
        <w:tc>
          <w:tcPr>
            <w:tcW w:w="1276" w:type="dxa"/>
            <w:tcBorders>
              <w:top w:val="single" w:sz="4" w:space="0" w:color="8EA9DB"/>
              <w:left w:val="nil"/>
              <w:bottom w:val="single" w:sz="4" w:space="0" w:color="8EA9DB"/>
              <w:right w:val="nil"/>
            </w:tcBorders>
            <w:shd w:val="clear" w:color="auto" w:fill="auto"/>
            <w:noWrap/>
            <w:vAlign w:val="bottom"/>
            <w:hideMark/>
          </w:tcPr>
          <w:p w14:paraId="72197444"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172235</w:t>
            </w:r>
          </w:p>
        </w:tc>
        <w:tc>
          <w:tcPr>
            <w:tcW w:w="1418" w:type="dxa"/>
            <w:tcBorders>
              <w:top w:val="single" w:sz="4" w:space="0" w:color="8EA9DB"/>
              <w:left w:val="nil"/>
              <w:bottom w:val="single" w:sz="4" w:space="0" w:color="8EA9DB"/>
              <w:right w:val="nil"/>
            </w:tcBorders>
            <w:shd w:val="clear" w:color="auto" w:fill="auto"/>
            <w:noWrap/>
            <w:vAlign w:val="bottom"/>
            <w:hideMark/>
          </w:tcPr>
          <w:p w14:paraId="558E4000"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139874</w:t>
            </w:r>
          </w:p>
        </w:tc>
      </w:tr>
      <w:tr w:rsidR="00F3444F" w:rsidRPr="00F3444F" w14:paraId="4EB804E3" w14:textId="77777777" w:rsidTr="00F3444F">
        <w:trPr>
          <w:trHeight w:val="290"/>
        </w:trPr>
        <w:tc>
          <w:tcPr>
            <w:tcW w:w="5665" w:type="dxa"/>
            <w:tcBorders>
              <w:top w:val="single" w:sz="4" w:space="0" w:color="8EA9DB"/>
              <w:left w:val="single" w:sz="4" w:space="0" w:color="8EA9DB"/>
              <w:bottom w:val="single" w:sz="4" w:space="0" w:color="8EA9DB"/>
              <w:right w:val="nil"/>
            </w:tcBorders>
            <w:shd w:val="clear" w:color="D9E1F2" w:fill="D9E1F2"/>
            <w:noWrap/>
            <w:vAlign w:val="bottom"/>
            <w:hideMark/>
          </w:tcPr>
          <w:p w14:paraId="499F1789" w14:textId="77777777" w:rsidR="00F3444F" w:rsidRPr="00F3444F" w:rsidRDefault="00F3444F" w:rsidP="00F3444F">
            <w:pPr>
              <w:spacing w:after="0" w:line="240" w:lineRule="auto"/>
              <w:jc w:val="right"/>
              <w:rPr>
                <w:rFonts w:ascii="Calibri" w:hAnsi="Calibri" w:cs="Calibri"/>
                <w:color w:val="000000"/>
                <w:sz w:val="22"/>
                <w:szCs w:val="22"/>
              </w:rPr>
            </w:pPr>
          </w:p>
        </w:tc>
        <w:tc>
          <w:tcPr>
            <w:tcW w:w="1276" w:type="dxa"/>
            <w:tcBorders>
              <w:top w:val="single" w:sz="4" w:space="0" w:color="8EA9DB"/>
              <w:left w:val="nil"/>
              <w:bottom w:val="single" w:sz="4" w:space="0" w:color="8EA9DB"/>
              <w:right w:val="nil"/>
            </w:tcBorders>
            <w:shd w:val="clear" w:color="D9E1F2" w:fill="D9E1F2"/>
            <w:noWrap/>
            <w:vAlign w:val="bottom"/>
            <w:hideMark/>
          </w:tcPr>
          <w:p w14:paraId="7756BB8E" w14:textId="77777777" w:rsidR="00F3444F" w:rsidRPr="00F3444F" w:rsidRDefault="00F3444F" w:rsidP="00F3444F">
            <w:pPr>
              <w:spacing w:after="0" w:line="240" w:lineRule="auto"/>
              <w:rPr>
                <w:rFonts w:ascii="Times New Roman" w:hAnsi="Times New Roman"/>
                <w:szCs w:val="20"/>
              </w:rPr>
            </w:pPr>
          </w:p>
        </w:tc>
        <w:tc>
          <w:tcPr>
            <w:tcW w:w="1418" w:type="dxa"/>
            <w:tcBorders>
              <w:top w:val="single" w:sz="4" w:space="0" w:color="8EA9DB"/>
              <w:left w:val="nil"/>
              <w:bottom w:val="single" w:sz="4" w:space="0" w:color="8EA9DB"/>
              <w:right w:val="nil"/>
            </w:tcBorders>
            <w:shd w:val="clear" w:color="D9E1F2" w:fill="D9E1F2"/>
            <w:noWrap/>
            <w:vAlign w:val="bottom"/>
            <w:hideMark/>
          </w:tcPr>
          <w:p w14:paraId="55664027" w14:textId="77777777" w:rsidR="00F3444F" w:rsidRPr="00F3444F" w:rsidRDefault="00F3444F" w:rsidP="00F3444F">
            <w:pPr>
              <w:spacing w:after="0" w:line="240" w:lineRule="auto"/>
              <w:jc w:val="right"/>
              <w:rPr>
                <w:rFonts w:ascii="Calibri" w:hAnsi="Calibri" w:cs="Calibri"/>
                <w:color w:val="000000"/>
                <w:sz w:val="22"/>
                <w:szCs w:val="22"/>
              </w:rPr>
            </w:pPr>
            <w:r w:rsidRPr="00F3444F">
              <w:rPr>
                <w:rFonts w:ascii="Calibri" w:hAnsi="Calibri" w:cs="Calibri"/>
                <w:color w:val="000000"/>
                <w:sz w:val="22"/>
                <w:szCs w:val="22"/>
              </w:rPr>
              <w:t>81%</w:t>
            </w:r>
          </w:p>
        </w:tc>
      </w:tr>
    </w:tbl>
    <w:p w14:paraId="6C501AF1" w14:textId="2FE8DB0F" w:rsidR="00FC3040" w:rsidRDefault="00DF1089" w:rsidP="00D333CD">
      <w:pPr>
        <w:pStyle w:val="Tableorfigurenote"/>
      </w:pPr>
      <w:r w:rsidRPr="00DF1089">
        <w:t>Data taken from</w:t>
      </w:r>
      <w:r>
        <w:t xml:space="preserve"> the ACMA register of radiocommunications licences (</w:t>
      </w:r>
      <w:r w:rsidRPr="00DF1089">
        <w:t>RRL</w:t>
      </w:r>
      <w:r>
        <w:t>,</w:t>
      </w:r>
      <w:r w:rsidRPr="00DF1089">
        <w:t xml:space="preserve"> </w:t>
      </w:r>
      <w:r>
        <w:t xml:space="preserve"> </w:t>
      </w:r>
      <w:hyperlink r:id="rId103" w:history="1">
        <w:r w:rsidR="00204783" w:rsidRPr="00B21245">
          <w:rPr>
            <w:rStyle w:val="Hyperlink"/>
          </w:rPr>
          <w:t>https://web.acma.gov.au/rrl/browse_licences.cat_listing</w:t>
        </w:r>
      </w:hyperlink>
      <w:r w:rsidRPr="00DF1089">
        <w:t>)</w:t>
      </w:r>
      <w:r w:rsidR="00204783">
        <w:t xml:space="preserve"> </w:t>
      </w:r>
      <w:r w:rsidRPr="00DF1089">
        <w:t>on 25 March 2022</w:t>
      </w:r>
      <w:r>
        <w:t>.</w:t>
      </w:r>
    </w:p>
    <w:p w14:paraId="303FEF3A" w14:textId="20009344" w:rsidR="003A23AC" w:rsidRDefault="00312F9A" w:rsidP="000C6A7F">
      <w:pPr>
        <w:spacing w:before="120" w:after="120" w:line="240" w:lineRule="auto"/>
        <w:rPr>
          <w:rFonts w:cs="Arial"/>
        </w:rPr>
      </w:pPr>
      <w:r>
        <w:rPr>
          <w:rFonts w:cs="Arial"/>
          <w:iCs/>
          <w:color w:val="000000"/>
          <w:szCs w:val="20"/>
        </w:rPr>
        <w:t>T</w:t>
      </w:r>
      <w:r w:rsidR="009529FE" w:rsidRPr="009529FE">
        <w:rPr>
          <w:rFonts w:cs="Arial"/>
          <w:iCs/>
          <w:color w:val="000000"/>
          <w:szCs w:val="20"/>
        </w:rPr>
        <w:t xml:space="preserve">he administrative tax formula </w:t>
      </w:r>
      <w:r w:rsidR="00AC50B2">
        <w:rPr>
          <w:rFonts w:cs="Arial"/>
          <w:iCs/>
          <w:color w:val="000000"/>
          <w:szCs w:val="20"/>
        </w:rPr>
        <w:t xml:space="preserve">covers a range of licence types (shown in the table above) and </w:t>
      </w:r>
      <w:r w:rsidR="00A60918" w:rsidRPr="00A60918">
        <w:rPr>
          <w:rFonts w:cs="Arial"/>
          <w:iCs/>
          <w:color w:val="000000"/>
          <w:szCs w:val="20"/>
        </w:rPr>
        <w:t>is used to encourage efficient use of spectrum by setting relatively higher taxes where there is higher demand and higher potential for congestion and interference, and vice versa.</w:t>
      </w:r>
      <w:r w:rsidR="00A60918">
        <w:rPr>
          <w:rFonts w:cs="Arial"/>
          <w:iCs/>
          <w:color w:val="000000"/>
          <w:szCs w:val="20"/>
        </w:rPr>
        <w:t xml:space="preserve"> It </w:t>
      </w:r>
      <w:r w:rsidR="009529FE" w:rsidRPr="009529FE">
        <w:rPr>
          <w:rFonts w:cs="Arial"/>
          <w:iCs/>
          <w:color w:val="000000"/>
          <w:szCs w:val="20"/>
        </w:rPr>
        <w:t xml:space="preserve">is made up of five elements – </w:t>
      </w:r>
      <w:r w:rsidR="005D172E" w:rsidRPr="009529FE">
        <w:rPr>
          <w:rFonts w:cs="Arial"/>
          <w:iCs/>
          <w:color w:val="000000"/>
          <w:szCs w:val="20"/>
        </w:rPr>
        <w:t xml:space="preserve">location weighting, </w:t>
      </w:r>
      <w:r w:rsidR="009529FE" w:rsidRPr="009529FE">
        <w:rPr>
          <w:rFonts w:cs="Arial"/>
          <w:iCs/>
          <w:color w:val="000000"/>
          <w:szCs w:val="20"/>
        </w:rPr>
        <w:t>bandwidth, power, adjustment factor</w:t>
      </w:r>
      <w:r w:rsidR="005D172E">
        <w:rPr>
          <w:rFonts w:cs="Arial"/>
          <w:iCs/>
          <w:color w:val="000000"/>
          <w:szCs w:val="20"/>
        </w:rPr>
        <w:t>s</w:t>
      </w:r>
      <w:r w:rsidR="00000452">
        <w:rPr>
          <w:rFonts w:cs="Arial"/>
          <w:iCs/>
          <w:color w:val="000000"/>
          <w:szCs w:val="20"/>
        </w:rPr>
        <w:t>, and the</w:t>
      </w:r>
      <w:r w:rsidR="005D172E" w:rsidRPr="005D172E">
        <w:rPr>
          <w:rFonts w:cs="Arial"/>
          <w:iCs/>
          <w:color w:val="000000"/>
          <w:szCs w:val="20"/>
        </w:rPr>
        <w:t xml:space="preserve"> </w:t>
      </w:r>
      <w:r w:rsidR="005D172E" w:rsidRPr="009529FE">
        <w:rPr>
          <w:rFonts w:cs="Arial"/>
          <w:iCs/>
          <w:color w:val="000000"/>
          <w:szCs w:val="20"/>
        </w:rPr>
        <w:t>normalisation factor</w:t>
      </w:r>
      <w:r w:rsidR="009529FE" w:rsidRPr="009529FE">
        <w:rPr>
          <w:rFonts w:cs="Arial"/>
          <w:iCs/>
          <w:color w:val="000000"/>
          <w:szCs w:val="20"/>
        </w:rPr>
        <w:t xml:space="preserve">. </w:t>
      </w:r>
      <w:r w:rsidR="003A23AC" w:rsidRPr="00C05C18">
        <w:rPr>
          <w:rFonts w:cs="Arial"/>
        </w:rPr>
        <w:t xml:space="preserve">The annual tax </w:t>
      </w:r>
      <w:r w:rsidR="00E171A1">
        <w:rPr>
          <w:rFonts w:cs="Arial"/>
        </w:rPr>
        <w:t xml:space="preserve">for a particular assigned apparatus licence </w:t>
      </w:r>
      <w:r w:rsidR="003A23AC" w:rsidRPr="00C05C18">
        <w:rPr>
          <w:rFonts w:cs="Arial"/>
        </w:rPr>
        <w:t>is calculated by multiplying the</w:t>
      </w:r>
      <w:r w:rsidR="00000452">
        <w:rPr>
          <w:rFonts w:cs="Arial"/>
        </w:rPr>
        <w:t>se</w:t>
      </w:r>
      <w:r w:rsidR="003A23AC" w:rsidRPr="00C05C18">
        <w:rPr>
          <w:rFonts w:cs="Arial"/>
        </w:rPr>
        <w:t xml:space="preserve"> </w:t>
      </w:r>
      <w:r w:rsidR="005C0A9B">
        <w:rPr>
          <w:rFonts w:cs="Arial"/>
        </w:rPr>
        <w:t xml:space="preserve">relevant </w:t>
      </w:r>
      <w:r w:rsidR="005B4D8E">
        <w:rPr>
          <w:rFonts w:cs="Arial"/>
        </w:rPr>
        <w:t xml:space="preserve">formula </w:t>
      </w:r>
      <w:r w:rsidR="003A23AC" w:rsidRPr="00C05C18">
        <w:rPr>
          <w:rFonts w:cs="Arial"/>
        </w:rPr>
        <w:t>factors</w:t>
      </w:r>
      <w:r w:rsidR="00000452">
        <w:rPr>
          <w:rFonts w:cs="Arial"/>
        </w:rPr>
        <w:t xml:space="preserve"> </w:t>
      </w:r>
      <w:r w:rsidR="00987EEE">
        <w:rPr>
          <w:rFonts w:cs="Arial"/>
        </w:rPr>
        <w:t xml:space="preserve">in </w:t>
      </w:r>
      <w:r w:rsidR="00746ECF">
        <w:rPr>
          <w:rFonts w:cs="Arial"/>
        </w:rPr>
        <w:t>Table 2</w:t>
      </w:r>
      <w:r w:rsidR="004B383B">
        <w:rPr>
          <w:rFonts w:cs="Arial"/>
        </w:rPr>
        <w:t xml:space="preserve">. </w:t>
      </w:r>
    </w:p>
    <w:p w14:paraId="5325DF26" w14:textId="64B3ECB8" w:rsidR="005449A3" w:rsidRPr="00AC50B2" w:rsidRDefault="0000205A" w:rsidP="006E6ED7">
      <w:pPr>
        <w:pStyle w:val="Caption"/>
      </w:pPr>
      <w:r>
        <w:t xml:space="preserve">Factors in </w:t>
      </w:r>
      <w:r w:rsidR="005449A3">
        <w:t>the administrative pricing formula</w:t>
      </w:r>
    </w:p>
    <w:tbl>
      <w:tblPr>
        <w:tblStyle w:val="TableGrid"/>
        <w:tblW w:w="0" w:type="auto"/>
        <w:tblLook w:val="04A0" w:firstRow="1" w:lastRow="0" w:firstColumn="1" w:lastColumn="0" w:noHBand="0" w:noVBand="1"/>
      </w:tblPr>
      <w:tblGrid>
        <w:gridCol w:w="2263"/>
        <w:gridCol w:w="5398"/>
      </w:tblGrid>
      <w:tr w:rsidR="001C0618" w14:paraId="76FBD148" w14:textId="77777777" w:rsidTr="006E6ED7">
        <w:tc>
          <w:tcPr>
            <w:tcW w:w="2263" w:type="dxa"/>
          </w:tcPr>
          <w:p w14:paraId="25A008F4" w14:textId="3F6A93E1" w:rsidR="001C0618" w:rsidRDefault="001C0618" w:rsidP="003A23AC">
            <w:pPr>
              <w:spacing w:line="240" w:lineRule="auto"/>
              <w:rPr>
                <w:b/>
              </w:rPr>
            </w:pPr>
            <w:r>
              <w:rPr>
                <w:b/>
              </w:rPr>
              <w:t>Formula factors</w:t>
            </w:r>
          </w:p>
        </w:tc>
        <w:tc>
          <w:tcPr>
            <w:tcW w:w="5398" w:type="dxa"/>
          </w:tcPr>
          <w:p w14:paraId="07843BEE" w14:textId="21613A48" w:rsidR="001C0618" w:rsidRDefault="00183A57" w:rsidP="003A23AC">
            <w:pPr>
              <w:spacing w:line="240" w:lineRule="auto"/>
              <w:rPr>
                <w:b/>
              </w:rPr>
            </w:pPr>
            <w:r>
              <w:rPr>
                <w:b/>
              </w:rPr>
              <w:t>D</w:t>
            </w:r>
            <w:r w:rsidR="001C0618">
              <w:rPr>
                <w:b/>
              </w:rPr>
              <w:t>escription</w:t>
            </w:r>
          </w:p>
        </w:tc>
      </w:tr>
      <w:tr w:rsidR="001C0618" w14:paraId="4A4DE80C" w14:textId="77777777" w:rsidTr="006E6ED7">
        <w:tc>
          <w:tcPr>
            <w:tcW w:w="2263" w:type="dxa"/>
          </w:tcPr>
          <w:p w14:paraId="35989D5C" w14:textId="3AB64C28" w:rsidR="001C0618" w:rsidRPr="006E6ED7" w:rsidRDefault="00641688" w:rsidP="003A23AC">
            <w:pPr>
              <w:spacing w:line="240" w:lineRule="auto"/>
              <w:rPr>
                <w:bCs/>
              </w:rPr>
            </w:pPr>
            <w:r w:rsidRPr="006E6ED7">
              <w:rPr>
                <w:bCs/>
              </w:rPr>
              <w:t>Location weightings</w:t>
            </w:r>
          </w:p>
        </w:tc>
        <w:tc>
          <w:tcPr>
            <w:tcW w:w="5398" w:type="dxa"/>
          </w:tcPr>
          <w:p w14:paraId="7C94B7BD" w14:textId="77777777" w:rsidR="001C0618" w:rsidRDefault="00641688">
            <w:pPr>
              <w:spacing w:line="240" w:lineRule="auto"/>
              <w:rPr>
                <w:bCs/>
              </w:rPr>
            </w:pPr>
            <w:r w:rsidRPr="006E6ED7">
              <w:rPr>
                <w:bCs/>
              </w:rPr>
              <w:t xml:space="preserve">Each combination of spectrum location and density areas in (table </w:t>
            </w:r>
            <w:r w:rsidR="00060279">
              <w:rPr>
                <w:bCs/>
              </w:rPr>
              <w:t>3</w:t>
            </w:r>
            <w:r w:rsidRPr="006E6ED7">
              <w:rPr>
                <w:bCs/>
              </w:rPr>
              <w:t xml:space="preserve">) are assigned a different weighting </w:t>
            </w:r>
            <w:r w:rsidR="00A66703">
              <w:rPr>
                <w:bCs/>
              </w:rPr>
              <w:t xml:space="preserve">based on </w:t>
            </w:r>
            <w:r w:rsidR="00602DF3">
              <w:rPr>
                <w:bCs/>
              </w:rPr>
              <w:t>the number of licence assignments</w:t>
            </w:r>
            <w:r w:rsidR="001C71B9">
              <w:rPr>
                <w:bCs/>
              </w:rPr>
              <w:t xml:space="preserve">, </w:t>
            </w:r>
            <w:r w:rsidRPr="006E6ED7">
              <w:rPr>
                <w:bCs/>
              </w:rPr>
              <w:t>to reflect rela</w:t>
            </w:r>
            <w:r w:rsidR="0000205A">
              <w:rPr>
                <w:bCs/>
              </w:rPr>
              <w:t>t</w:t>
            </w:r>
            <w:r w:rsidRPr="006E6ED7">
              <w:rPr>
                <w:bCs/>
              </w:rPr>
              <w:t>ive potential for congestion and interference.</w:t>
            </w:r>
          </w:p>
          <w:p w14:paraId="3AD9A2F8" w14:textId="19ECB17E" w:rsidR="000A5463" w:rsidRPr="006E6ED7" w:rsidRDefault="0051799F">
            <w:pPr>
              <w:spacing w:line="240" w:lineRule="auto"/>
              <w:rPr>
                <w:bCs/>
              </w:rPr>
            </w:pPr>
            <w:r>
              <w:rPr>
                <w:bCs/>
              </w:rPr>
              <w:t xml:space="preserve">The licence will take the relevant location weighting </w:t>
            </w:r>
            <w:r w:rsidR="008C52B8">
              <w:rPr>
                <w:bCs/>
              </w:rPr>
              <w:t>from table 3 as the basis of the tax calculation.</w:t>
            </w:r>
          </w:p>
        </w:tc>
      </w:tr>
      <w:tr w:rsidR="001C0618" w14:paraId="7C5094A3" w14:textId="77777777" w:rsidTr="006E6ED7">
        <w:tc>
          <w:tcPr>
            <w:tcW w:w="2263" w:type="dxa"/>
          </w:tcPr>
          <w:p w14:paraId="29CBFA0A" w14:textId="6B7CF451" w:rsidR="001C0618" w:rsidRPr="006E6ED7" w:rsidRDefault="00183A57" w:rsidP="003A23AC">
            <w:pPr>
              <w:spacing w:line="240" w:lineRule="auto"/>
              <w:rPr>
                <w:bCs/>
              </w:rPr>
            </w:pPr>
            <w:r w:rsidRPr="006E6ED7">
              <w:rPr>
                <w:bCs/>
              </w:rPr>
              <w:t>Bandwidth</w:t>
            </w:r>
          </w:p>
        </w:tc>
        <w:tc>
          <w:tcPr>
            <w:tcW w:w="5398" w:type="dxa"/>
          </w:tcPr>
          <w:p w14:paraId="114417C5" w14:textId="5D20BDEB" w:rsidR="001C0618" w:rsidRPr="006E6ED7" w:rsidRDefault="00183A57" w:rsidP="003A23AC">
            <w:pPr>
              <w:spacing w:line="240" w:lineRule="auto"/>
              <w:rPr>
                <w:bCs/>
              </w:rPr>
            </w:pPr>
            <w:r w:rsidRPr="006E6ED7">
              <w:rPr>
                <w:bCs/>
                <w:lang w:val="en-US" w:eastAsia="en-US"/>
              </w:rPr>
              <w:t>the amount of spectrum used for the service</w:t>
            </w:r>
            <w:r w:rsidR="007D7F3D">
              <w:rPr>
                <w:bCs/>
                <w:lang w:val="en-US" w:eastAsia="en-US"/>
              </w:rPr>
              <w:t xml:space="preserve"> in kHz</w:t>
            </w:r>
            <w:r w:rsidR="007D7F3D">
              <w:rPr>
                <w:rStyle w:val="FootnoteReference"/>
                <w:bCs/>
                <w:lang w:val="en-US" w:eastAsia="en-US"/>
              </w:rPr>
              <w:footnoteReference w:id="9"/>
            </w:r>
            <w:r w:rsidR="00DC47E4">
              <w:rPr>
                <w:bCs/>
                <w:lang w:val="en-US" w:eastAsia="en-US"/>
              </w:rPr>
              <w:t xml:space="preserve">. </w:t>
            </w:r>
          </w:p>
        </w:tc>
      </w:tr>
      <w:tr w:rsidR="00E96B14" w14:paraId="058332F9" w14:textId="77777777" w:rsidTr="00641688">
        <w:tc>
          <w:tcPr>
            <w:tcW w:w="2263" w:type="dxa"/>
          </w:tcPr>
          <w:p w14:paraId="4E7E05BF" w14:textId="757CDC9F" w:rsidR="00E96B14" w:rsidRPr="0000205A" w:rsidRDefault="00E96B14" w:rsidP="005449A3">
            <w:pPr>
              <w:spacing w:line="240" w:lineRule="auto"/>
              <w:rPr>
                <w:bCs/>
              </w:rPr>
            </w:pPr>
            <w:r>
              <w:rPr>
                <w:bCs/>
              </w:rPr>
              <w:t xml:space="preserve">Power </w:t>
            </w:r>
          </w:p>
        </w:tc>
        <w:tc>
          <w:tcPr>
            <w:tcW w:w="5398" w:type="dxa"/>
          </w:tcPr>
          <w:p w14:paraId="53AF41FC" w14:textId="31C17FFF" w:rsidR="00E96B14" w:rsidRPr="0000205A" w:rsidRDefault="00E96B14" w:rsidP="005449A3">
            <w:pPr>
              <w:rPr>
                <w:bCs/>
                <w:lang w:val="en-US" w:eastAsia="en-US"/>
              </w:rPr>
            </w:pPr>
            <w:r w:rsidRPr="003048EF">
              <w:rPr>
                <w:bCs/>
                <w:lang w:val="en-US" w:eastAsia="en-US"/>
              </w:rPr>
              <w:t xml:space="preserve">Some low power services are eligible for discounts because they </w:t>
            </w:r>
            <w:r w:rsidR="00D76057">
              <w:rPr>
                <w:bCs/>
                <w:lang w:val="en-US" w:eastAsia="en-US"/>
              </w:rPr>
              <w:t xml:space="preserve">are using </w:t>
            </w:r>
            <w:r w:rsidRPr="003048EF">
              <w:rPr>
                <w:bCs/>
                <w:lang w:val="en-US" w:eastAsia="en-US"/>
              </w:rPr>
              <w:t>less spectrum in geographical space</w:t>
            </w:r>
            <w:r w:rsidR="007D0277">
              <w:rPr>
                <w:bCs/>
                <w:lang w:val="en-US" w:eastAsia="en-US"/>
              </w:rPr>
              <w:t>.</w:t>
            </w:r>
          </w:p>
        </w:tc>
      </w:tr>
      <w:tr w:rsidR="005449A3" w14:paraId="5AE1F92D" w14:textId="77777777" w:rsidTr="006E6ED7">
        <w:tc>
          <w:tcPr>
            <w:tcW w:w="2263" w:type="dxa"/>
          </w:tcPr>
          <w:p w14:paraId="3A633AA2" w14:textId="43F25A76" w:rsidR="005449A3" w:rsidRPr="006E6ED7" w:rsidRDefault="005449A3" w:rsidP="005449A3">
            <w:pPr>
              <w:spacing w:line="240" w:lineRule="auto"/>
              <w:rPr>
                <w:bCs/>
              </w:rPr>
            </w:pPr>
            <w:r w:rsidRPr="006E6ED7">
              <w:rPr>
                <w:bCs/>
              </w:rPr>
              <w:t>Adjustment factors</w:t>
            </w:r>
          </w:p>
        </w:tc>
        <w:tc>
          <w:tcPr>
            <w:tcW w:w="5398" w:type="dxa"/>
          </w:tcPr>
          <w:p w14:paraId="0BCD37CA" w14:textId="7FAC872E" w:rsidR="005449A3" w:rsidRPr="006E6ED7" w:rsidRDefault="00E96B14" w:rsidP="006E6ED7">
            <w:pPr>
              <w:rPr>
                <w:bCs/>
              </w:rPr>
            </w:pPr>
            <w:r w:rsidRPr="00C96D0E">
              <w:rPr>
                <w:rFonts w:cs="Arial"/>
                <w:iCs/>
                <w:color w:val="000000"/>
                <w:szCs w:val="20"/>
              </w:rPr>
              <w:t>allow for tax adjustments for specific technologies and uses not covered by the other factors</w:t>
            </w:r>
            <w:r w:rsidR="003D78C6">
              <w:rPr>
                <w:rFonts w:cs="Arial"/>
                <w:iCs/>
                <w:color w:val="000000"/>
                <w:szCs w:val="20"/>
              </w:rPr>
              <w:t xml:space="preserve">. For </w:t>
            </w:r>
            <w:proofErr w:type="gramStart"/>
            <w:r w:rsidR="003D78C6">
              <w:rPr>
                <w:rFonts w:cs="Arial"/>
                <w:iCs/>
                <w:color w:val="000000"/>
                <w:szCs w:val="20"/>
              </w:rPr>
              <w:t>example</w:t>
            </w:r>
            <w:proofErr w:type="gramEnd"/>
            <w:r w:rsidR="003D78C6">
              <w:rPr>
                <w:rFonts w:cs="Arial"/>
                <w:iCs/>
                <w:color w:val="000000"/>
                <w:szCs w:val="20"/>
              </w:rPr>
              <w:t xml:space="preserve"> </w:t>
            </w:r>
            <w:r w:rsidR="00F80021">
              <w:rPr>
                <w:rFonts w:cs="Arial"/>
                <w:iCs/>
                <w:color w:val="000000"/>
                <w:szCs w:val="20"/>
              </w:rPr>
              <w:t xml:space="preserve">scientific licences </w:t>
            </w:r>
            <w:r w:rsidR="0044004F">
              <w:rPr>
                <w:rFonts w:cs="Arial"/>
                <w:iCs/>
                <w:color w:val="000000"/>
                <w:szCs w:val="20"/>
              </w:rPr>
              <w:t xml:space="preserve">prices are </w:t>
            </w:r>
            <w:r w:rsidR="00A53F65">
              <w:rPr>
                <w:rFonts w:cs="Arial"/>
                <w:iCs/>
                <w:color w:val="000000"/>
                <w:szCs w:val="20"/>
              </w:rPr>
              <w:t xml:space="preserve">set </w:t>
            </w:r>
            <w:r w:rsidR="0044004F">
              <w:rPr>
                <w:rFonts w:cs="Arial"/>
                <w:iCs/>
                <w:color w:val="000000"/>
                <w:szCs w:val="20"/>
              </w:rPr>
              <w:t xml:space="preserve">90% lower </w:t>
            </w:r>
            <w:r w:rsidR="007D0277">
              <w:rPr>
                <w:rFonts w:cs="Arial"/>
                <w:iCs/>
                <w:color w:val="000000"/>
                <w:szCs w:val="20"/>
              </w:rPr>
              <w:t>than</w:t>
            </w:r>
            <w:r w:rsidR="0044004F">
              <w:rPr>
                <w:rFonts w:cs="Arial"/>
                <w:iCs/>
                <w:color w:val="000000"/>
                <w:szCs w:val="20"/>
              </w:rPr>
              <w:t xml:space="preserve"> most </w:t>
            </w:r>
            <w:r w:rsidR="00E90D06">
              <w:rPr>
                <w:rFonts w:cs="Arial"/>
                <w:iCs/>
                <w:color w:val="000000"/>
                <w:szCs w:val="20"/>
              </w:rPr>
              <w:t xml:space="preserve">licensing options to promote innovation. </w:t>
            </w:r>
          </w:p>
        </w:tc>
      </w:tr>
      <w:tr w:rsidR="005449A3" w14:paraId="5B991D4B" w14:textId="77777777" w:rsidTr="006E6ED7">
        <w:tc>
          <w:tcPr>
            <w:tcW w:w="2263" w:type="dxa"/>
          </w:tcPr>
          <w:p w14:paraId="2A21276A" w14:textId="779DA94E" w:rsidR="005449A3" w:rsidRPr="006E6ED7" w:rsidRDefault="005449A3" w:rsidP="005449A3">
            <w:pPr>
              <w:spacing w:line="240" w:lineRule="auto"/>
              <w:rPr>
                <w:bCs/>
              </w:rPr>
            </w:pPr>
            <w:r w:rsidRPr="006E6ED7">
              <w:rPr>
                <w:bCs/>
              </w:rPr>
              <w:t>Normalisation factor</w:t>
            </w:r>
          </w:p>
        </w:tc>
        <w:tc>
          <w:tcPr>
            <w:tcW w:w="5398" w:type="dxa"/>
          </w:tcPr>
          <w:p w14:paraId="54F1CED8" w14:textId="5A8D639A" w:rsidR="005449A3" w:rsidRPr="006E6ED7" w:rsidRDefault="004B383B" w:rsidP="005449A3">
            <w:pPr>
              <w:spacing w:line="240" w:lineRule="auto"/>
              <w:rPr>
                <w:bCs/>
              </w:rPr>
            </w:pPr>
            <w:r w:rsidRPr="00C96D0E">
              <w:rPr>
                <w:rFonts w:cs="Arial"/>
                <w:iCs/>
                <w:color w:val="000000"/>
                <w:szCs w:val="20"/>
              </w:rPr>
              <w:t>The normalisation factor converts relative spectrum values to a dollar figure</w:t>
            </w:r>
            <w:r>
              <w:rPr>
                <w:rFonts w:cs="Arial"/>
                <w:iCs/>
                <w:color w:val="000000"/>
                <w:szCs w:val="20"/>
              </w:rPr>
              <w:t xml:space="preserve">. </w:t>
            </w:r>
            <w:r w:rsidR="00014FAA">
              <w:rPr>
                <w:rFonts w:cs="Arial"/>
                <w:iCs/>
                <w:color w:val="000000"/>
                <w:szCs w:val="20"/>
              </w:rPr>
              <w:t xml:space="preserve">The ACMA currently updates the normalisation factor each year </w:t>
            </w:r>
            <w:r w:rsidR="00060279">
              <w:rPr>
                <w:rFonts w:cs="Arial"/>
                <w:iCs/>
                <w:color w:val="000000"/>
                <w:szCs w:val="20"/>
              </w:rPr>
              <w:t>for inflation (</w:t>
            </w:r>
            <w:r w:rsidR="00A53F65">
              <w:rPr>
                <w:rFonts w:cs="Arial"/>
                <w:iCs/>
                <w:color w:val="000000"/>
                <w:szCs w:val="20"/>
              </w:rPr>
              <w:t xml:space="preserve">using the consumer price index - </w:t>
            </w:r>
            <w:r w:rsidR="00060279">
              <w:rPr>
                <w:rFonts w:cs="Arial"/>
                <w:iCs/>
                <w:color w:val="000000"/>
                <w:szCs w:val="20"/>
              </w:rPr>
              <w:t>CPI)</w:t>
            </w:r>
            <w:r w:rsidR="00A53F65">
              <w:rPr>
                <w:rFonts w:cs="Arial"/>
                <w:iCs/>
                <w:color w:val="000000"/>
                <w:szCs w:val="20"/>
              </w:rPr>
              <w:t>.</w:t>
            </w:r>
          </w:p>
        </w:tc>
      </w:tr>
    </w:tbl>
    <w:p w14:paraId="453264D9" w14:textId="77777777" w:rsidR="004E5C6E" w:rsidRDefault="004E5C6E" w:rsidP="003A23AC">
      <w:pPr>
        <w:spacing w:line="240" w:lineRule="auto"/>
        <w:rPr>
          <w:b/>
        </w:rPr>
      </w:pPr>
    </w:p>
    <w:p w14:paraId="3E666ACA" w14:textId="77777777" w:rsidR="005928B7" w:rsidRDefault="005928B7" w:rsidP="00A53F65">
      <w:pPr>
        <w:pStyle w:val="Caption"/>
        <w:keepNext/>
        <w:rPr>
          <w:rFonts w:eastAsia="Arial"/>
        </w:rPr>
      </w:pPr>
      <w:r w:rsidRPr="77B20063">
        <w:rPr>
          <w:rFonts w:eastAsia="Arial"/>
        </w:rPr>
        <w:t>Current location weightings</w:t>
      </w:r>
    </w:p>
    <w:tbl>
      <w:tblPr>
        <w:tblW w:w="7651" w:type="dxa"/>
        <w:tblCellMar>
          <w:top w:w="57" w:type="dxa"/>
          <w:bottom w:w="57" w:type="dxa"/>
        </w:tblCellMar>
        <w:tblLook w:val="04A0" w:firstRow="1" w:lastRow="0" w:firstColumn="1" w:lastColumn="0" w:noHBand="0" w:noVBand="1"/>
      </w:tblPr>
      <w:tblGrid>
        <w:gridCol w:w="2146"/>
        <w:gridCol w:w="1388"/>
        <w:gridCol w:w="970"/>
        <w:gridCol w:w="1015"/>
        <w:gridCol w:w="975"/>
        <w:gridCol w:w="1157"/>
      </w:tblGrid>
      <w:tr w:rsidR="005928B7" w:rsidRPr="00F733D5" w14:paraId="3CD6890A" w14:textId="77777777" w:rsidTr="00E451A7">
        <w:trPr>
          <w:trHeight w:val="242"/>
        </w:trPr>
        <w:tc>
          <w:tcPr>
            <w:tcW w:w="2146" w:type="dxa"/>
            <w:tcBorders>
              <w:top w:val="single" w:sz="8" w:space="0" w:color="auto"/>
              <w:left w:val="single" w:sz="8" w:space="0" w:color="auto"/>
              <w:bottom w:val="single" w:sz="8" w:space="0" w:color="auto"/>
              <w:right w:val="single" w:sz="8" w:space="0" w:color="auto"/>
            </w:tcBorders>
            <w:shd w:val="clear" w:color="000000" w:fill="404040"/>
            <w:noWrap/>
            <w:vAlign w:val="center"/>
            <w:hideMark/>
          </w:tcPr>
          <w:p w14:paraId="7A1BADF5" w14:textId="77777777" w:rsidR="005928B7" w:rsidRPr="00F71814" w:rsidRDefault="005928B7" w:rsidP="00E451A7">
            <w:pPr>
              <w:spacing w:after="0" w:line="240" w:lineRule="auto"/>
              <w:rPr>
                <w:rFonts w:cs="Arial"/>
                <w:b/>
                <w:bCs/>
                <w:color w:val="FFFFFF"/>
                <w:sz w:val="18"/>
                <w:szCs w:val="22"/>
              </w:rPr>
            </w:pPr>
            <w:r w:rsidRPr="00F71814">
              <w:rPr>
                <w:rFonts w:cs="Arial"/>
                <w:b/>
                <w:bCs/>
                <w:color w:val="FFFFFF"/>
                <w:sz w:val="18"/>
                <w:szCs w:val="22"/>
              </w:rPr>
              <w:t> </w:t>
            </w:r>
          </w:p>
        </w:tc>
        <w:tc>
          <w:tcPr>
            <w:tcW w:w="5505" w:type="dxa"/>
            <w:gridSpan w:val="5"/>
            <w:tcBorders>
              <w:top w:val="single" w:sz="8" w:space="0" w:color="auto"/>
              <w:left w:val="nil"/>
              <w:bottom w:val="single" w:sz="8" w:space="0" w:color="auto"/>
              <w:right w:val="single" w:sz="8" w:space="0" w:color="000000"/>
            </w:tcBorders>
            <w:shd w:val="clear" w:color="000000" w:fill="404040"/>
            <w:noWrap/>
            <w:vAlign w:val="center"/>
            <w:hideMark/>
          </w:tcPr>
          <w:p w14:paraId="12ED8366" w14:textId="4B9CF6B7" w:rsidR="005928B7" w:rsidRPr="00F71814" w:rsidRDefault="005928B7" w:rsidP="00E451A7">
            <w:pPr>
              <w:spacing w:after="0" w:line="240" w:lineRule="auto"/>
              <w:jc w:val="center"/>
              <w:rPr>
                <w:rFonts w:cs="Arial"/>
                <w:b/>
                <w:bCs/>
                <w:color w:val="FFFFFF"/>
                <w:sz w:val="18"/>
                <w:szCs w:val="22"/>
              </w:rPr>
            </w:pPr>
            <w:r w:rsidRPr="00F71814">
              <w:rPr>
                <w:rFonts w:cs="Arial"/>
                <w:b/>
                <w:bCs/>
                <w:color w:val="FFFFFF"/>
                <w:sz w:val="18"/>
                <w:szCs w:val="22"/>
              </w:rPr>
              <w:t>Geographic location</w:t>
            </w:r>
            <w:r w:rsidR="00060279">
              <w:rPr>
                <w:rFonts w:cs="Arial"/>
                <w:b/>
                <w:bCs/>
                <w:color w:val="FFFFFF"/>
                <w:sz w:val="18"/>
                <w:szCs w:val="22"/>
              </w:rPr>
              <w:t xml:space="preserve"> / density area</w:t>
            </w:r>
          </w:p>
        </w:tc>
      </w:tr>
      <w:tr w:rsidR="005928B7" w:rsidRPr="00F733D5" w14:paraId="0E846E26" w14:textId="77777777" w:rsidTr="00E451A7">
        <w:trPr>
          <w:trHeight w:val="242"/>
        </w:trPr>
        <w:tc>
          <w:tcPr>
            <w:tcW w:w="2146" w:type="dxa"/>
            <w:tcBorders>
              <w:top w:val="nil"/>
              <w:left w:val="single" w:sz="8" w:space="0" w:color="auto"/>
              <w:bottom w:val="single" w:sz="8" w:space="0" w:color="auto"/>
              <w:right w:val="single" w:sz="8" w:space="0" w:color="auto"/>
            </w:tcBorders>
            <w:shd w:val="clear" w:color="000000" w:fill="404040"/>
            <w:noWrap/>
            <w:vAlign w:val="center"/>
            <w:hideMark/>
          </w:tcPr>
          <w:p w14:paraId="0D542C30" w14:textId="77777777" w:rsidR="005928B7" w:rsidRPr="00F71814" w:rsidRDefault="005928B7" w:rsidP="00E451A7">
            <w:pPr>
              <w:spacing w:after="0" w:line="240" w:lineRule="auto"/>
              <w:rPr>
                <w:rFonts w:cs="Arial"/>
                <w:b/>
                <w:bCs/>
                <w:color w:val="FFFFFF"/>
                <w:sz w:val="18"/>
                <w:szCs w:val="22"/>
              </w:rPr>
            </w:pPr>
            <w:r w:rsidRPr="00F71814">
              <w:rPr>
                <w:rFonts w:cs="Arial"/>
                <w:b/>
                <w:bCs/>
                <w:color w:val="FFFFFF"/>
                <w:sz w:val="18"/>
                <w:szCs w:val="22"/>
              </w:rPr>
              <w:lastRenderedPageBreak/>
              <w:t>Spectrum location</w:t>
            </w:r>
          </w:p>
        </w:tc>
        <w:tc>
          <w:tcPr>
            <w:tcW w:w="1388" w:type="dxa"/>
            <w:tcBorders>
              <w:top w:val="nil"/>
              <w:left w:val="nil"/>
              <w:bottom w:val="single" w:sz="8" w:space="0" w:color="auto"/>
              <w:right w:val="single" w:sz="8" w:space="0" w:color="auto"/>
            </w:tcBorders>
            <w:shd w:val="clear" w:color="000000" w:fill="404040"/>
            <w:noWrap/>
            <w:vAlign w:val="center"/>
            <w:hideMark/>
          </w:tcPr>
          <w:p w14:paraId="712FE1F6" w14:textId="77777777" w:rsidR="005928B7" w:rsidRPr="00F71814" w:rsidRDefault="005928B7" w:rsidP="00E451A7">
            <w:pPr>
              <w:spacing w:after="0" w:line="240" w:lineRule="auto"/>
              <w:jc w:val="center"/>
              <w:rPr>
                <w:rFonts w:cs="Arial"/>
                <w:b/>
                <w:bCs/>
                <w:color w:val="FFFFFF"/>
                <w:sz w:val="18"/>
                <w:szCs w:val="22"/>
              </w:rPr>
            </w:pPr>
            <w:proofErr w:type="spellStart"/>
            <w:r w:rsidRPr="00F71814">
              <w:rPr>
                <w:rFonts w:cs="Arial"/>
                <w:b/>
                <w:bCs/>
                <w:color w:val="FFFFFF"/>
                <w:sz w:val="18"/>
                <w:szCs w:val="22"/>
              </w:rPr>
              <w:t>Aus</w:t>
            </w:r>
            <w:proofErr w:type="spellEnd"/>
            <w:r w:rsidRPr="00F71814">
              <w:rPr>
                <w:rFonts w:cs="Arial"/>
                <w:b/>
                <w:bCs/>
                <w:color w:val="FFFFFF"/>
                <w:sz w:val="18"/>
                <w:szCs w:val="22"/>
              </w:rPr>
              <w:t>-wide</w:t>
            </w:r>
          </w:p>
        </w:tc>
        <w:tc>
          <w:tcPr>
            <w:tcW w:w="970" w:type="dxa"/>
            <w:tcBorders>
              <w:top w:val="nil"/>
              <w:left w:val="nil"/>
              <w:bottom w:val="single" w:sz="8" w:space="0" w:color="auto"/>
              <w:right w:val="single" w:sz="8" w:space="0" w:color="auto"/>
            </w:tcBorders>
            <w:shd w:val="clear" w:color="000000" w:fill="404040"/>
            <w:noWrap/>
            <w:vAlign w:val="center"/>
            <w:hideMark/>
          </w:tcPr>
          <w:p w14:paraId="54FC80DE" w14:textId="77777777" w:rsidR="005928B7" w:rsidRPr="00F71814" w:rsidRDefault="005928B7" w:rsidP="00E451A7">
            <w:pPr>
              <w:spacing w:after="0" w:line="240" w:lineRule="auto"/>
              <w:jc w:val="center"/>
              <w:rPr>
                <w:rFonts w:cs="Arial"/>
                <w:b/>
                <w:bCs/>
                <w:color w:val="FFFFFF"/>
                <w:sz w:val="18"/>
                <w:szCs w:val="22"/>
              </w:rPr>
            </w:pPr>
            <w:r w:rsidRPr="00F71814">
              <w:rPr>
                <w:rFonts w:cs="Arial"/>
                <w:b/>
                <w:bCs/>
                <w:color w:val="FFFFFF"/>
                <w:sz w:val="18"/>
                <w:szCs w:val="22"/>
              </w:rPr>
              <w:t>High</w:t>
            </w:r>
          </w:p>
        </w:tc>
        <w:tc>
          <w:tcPr>
            <w:tcW w:w="1015" w:type="dxa"/>
            <w:tcBorders>
              <w:top w:val="nil"/>
              <w:left w:val="nil"/>
              <w:bottom w:val="single" w:sz="8" w:space="0" w:color="auto"/>
              <w:right w:val="single" w:sz="8" w:space="0" w:color="auto"/>
            </w:tcBorders>
            <w:shd w:val="clear" w:color="000000" w:fill="404040"/>
            <w:noWrap/>
            <w:vAlign w:val="center"/>
            <w:hideMark/>
          </w:tcPr>
          <w:p w14:paraId="75E8B111" w14:textId="77777777" w:rsidR="005928B7" w:rsidRPr="00F71814" w:rsidRDefault="005928B7" w:rsidP="00E451A7">
            <w:pPr>
              <w:spacing w:after="0" w:line="240" w:lineRule="auto"/>
              <w:jc w:val="center"/>
              <w:rPr>
                <w:rFonts w:cs="Arial"/>
                <w:b/>
                <w:bCs/>
                <w:color w:val="FFFFFF"/>
                <w:sz w:val="18"/>
                <w:szCs w:val="22"/>
              </w:rPr>
            </w:pPr>
            <w:r w:rsidRPr="00F71814">
              <w:rPr>
                <w:rFonts w:cs="Arial"/>
                <w:b/>
                <w:bCs/>
                <w:color w:val="FFFFFF"/>
                <w:sz w:val="18"/>
                <w:szCs w:val="22"/>
              </w:rPr>
              <w:t>Medium</w:t>
            </w:r>
          </w:p>
        </w:tc>
        <w:tc>
          <w:tcPr>
            <w:tcW w:w="975" w:type="dxa"/>
            <w:tcBorders>
              <w:top w:val="nil"/>
              <w:left w:val="nil"/>
              <w:bottom w:val="single" w:sz="8" w:space="0" w:color="auto"/>
              <w:right w:val="single" w:sz="8" w:space="0" w:color="auto"/>
            </w:tcBorders>
            <w:shd w:val="clear" w:color="000000" w:fill="404040"/>
            <w:noWrap/>
            <w:vAlign w:val="center"/>
            <w:hideMark/>
          </w:tcPr>
          <w:p w14:paraId="7ADDD302" w14:textId="77777777" w:rsidR="005928B7" w:rsidRPr="00F71814" w:rsidRDefault="005928B7" w:rsidP="00E451A7">
            <w:pPr>
              <w:spacing w:after="0" w:line="240" w:lineRule="auto"/>
              <w:jc w:val="center"/>
              <w:rPr>
                <w:rFonts w:cs="Arial"/>
                <w:b/>
                <w:bCs/>
                <w:color w:val="FFFFFF"/>
                <w:sz w:val="18"/>
                <w:szCs w:val="22"/>
              </w:rPr>
            </w:pPr>
            <w:r w:rsidRPr="00F71814">
              <w:rPr>
                <w:rFonts w:cs="Arial"/>
                <w:b/>
                <w:bCs/>
                <w:color w:val="FFFFFF"/>
                <w:sz w:val="18"/>
                <w:szCs w:val="22"/>
              </w:rPr>
              <w:t>Low</w:t>
            </w:r>
          </w:p>
        </w:tc>
        <w:tc>
          <w:tcPr>
            <w:tcW w:w="1157" w:type="dxa"/>
            <w:tcBorders>
              <w:top w:val="nil"/>
              <w:left w:val="nil"/>
              <w:bottom w:val="single" w:sz="8" w:space="0" w:color="auto"/>
              <w:right w:val="single" w:sz="8" w:space="0" w:color="auto"/>
            </w:tcBorders>
            <w:shd w:val="clear" w:color="000000" w:fill="404040"/>
            <w:noWrap/>
            <w:vAlign w:val="center"/>
            <w:hideMark/>
          </w:tcPr>
          <w:p w14:paraId="2AF4DB0E" w14:textId="77777777" w:rsidR="005928B7" w:rsidRPr="00F71814" w:rsidRDefault="005928B7" w:rsidP="00E451A7">
            <w:pPr>
              <w:spacing w:after="0" w:line="240" w:lineRule="auto"/>
              <w:jc w:val="center"/>
              <w:rPr>
                <w:rFonts w:cs="Arial"/>
                <w:b/>
                <w:bCs/>
                <w:color w:val="FFFFFF"/>
                <w:sz w:val="18"/>
                <w:szCs w:val="22"/>
              </w:rPr>
            </w:pPr>
            <w:r w:rsidRPr="00F71814">
              <w:rPr>
                <w:rFonts w:cs="Arial"/>
                <w:b/>
                <w:bCs/>
                <w:color w:val="FFFFFF"/>
                <w:sz w:val="18"/>
                <w:szCs w:val="22"/>
              </w:rPr>
              <w:t>Remote</w:t>
            </w:r>
          </w:p>
        </w:tc>
      </w:tr>
      <w:tr w:rsidR="005928B7" w:rsidRPr="00F733D5" w14:paraId="60830F30"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098254EA"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30 MHz and below</w:t>
            </w:r>
          </w:p>
        </w:tc>
        <w:tc>
          <w:tcPr>
            <w:tcW w:w="1388" w:type="dxa"/>
            <w:tcBorders>
              <w:top w:val="nil"/>
              <w:left w:val="nil"/>
              <w:bottom w:val="single" w:sz="8" w:space="0" w:color="auto"/>
              <w:right w:val="single" w:sz="8" w:space="0" w:color="auto"/>
            </w:tcBorders>
            <w:shd w:val="clear" w:color="auto" w:fill="auto"/>
            <w:noWrap/>
            <w:vAlign w:val="center"/>
            <w:hideMark/>
          </w:tcPr>
          <w:p w14:paraId="680055D2"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4.315</w:t>
            </w:r>
          </w:p>
        </w:tc>
        <w:tc>
          <w:tcPr>
            <w:tcW w:w="970" w:type="dxa"/>
            <w:tcBorders>
              <w:top w:val="nil"/>
              <w:left w:val="nil"/>
              <w:bottom w:val="single" w:sz="8" w:space="0" w:color="auto"/>
              <w:right w:val="single" w:sz="8" w:space="0" w:color="auto"/>
            </w:tcBorders>
            <w:shd w:val="clear" w:color="auto" w:fill="auto"/>
            <w:noWrap/>
            <w:vAlign w:val="center"/>
            <w:hideMark/>
          </w:tcPr>
          <w:p w14:paraId="6FE937B2"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4.315</w:t>
            </w:r>
          </w:p>
        </w:tc>
        <w:tc>
          <w:tcPr>
            <w:tcW w:w="1015" w:type="dxa"/>
            <w:tcBorders>
              <w:top w:val="nil"/>
              <w:left w:val="nil"/>
              <w:bottom w:val="single" w:sz="8" w:space="0" w:color="auto"/>
              <w:right w:val="single" w:sz="8" w:space="0" w:color="auto"/>
            </w:tcBorders>
            <w:shd w:val="clear" w:color="auto" w:fill="auto"/>
            <w:noWrap/>
            <w:vAlign w:val="center"/>
            <w:hideMark/>
          </w:tcPr>
          <w:p w14:paraId="610AA2C5"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4.315</w:t>
            </w:r>
          </w:p>
        </w:tc>
        <w:tc>
          <w:tcPr>
            <w:tcW w:w="975" w:type="dxa"/>
            <w:tcBorders>
              <w:top w:val="nil"/>
              <w:left w:val="nil"/>
              <w:bottom w:val="single" w:sz="8" w:space="0" w:color="auto"/>
              <w:right w:val="single" w:sz="8" w:space="0" w:color="auto"/>
            </w:tcBorders>
            <w:shd w:val="clear" w:color="auto" w:fill="auto"/>
            <w:noWrap/>
            <w:vAlign w:val="center"/>
            <w:hideMark/>
          </w:tcPr>
          <w:p w14:paraId="70134A3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4.315</w:t>
            </w:r>
          </w:p>
        </w:tc>
        <w:tc>
          <w:tcPr>
            <w:tcW w:w="1157" w:type="dxa"/>
            <w:tcBorders>
              <w:top w:val="nil"/>
              <w:left w:val="nil"/>
              <w:bottom w:val="single" w:sz="8" w:space="0" w:color="auto"/>
              <w:right w:val="single" w:sz="8" w:space="0" w:color="auto"/>
            </w:tcBorders>
            <w:shd w:val="clear" w:color="auto" w:fill="auto"/>
            <w:noWrap/>
            <w:vAlign w:val="center"/>
            <w:hideMark/>
          </w:tcPr>
          <w:p w14:paraId="2F11FF7C"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4.315</w:t>
            </w:r>
          </w:p>
        </w:tc>
      </w:tr>
      <w:tr w:rsidR="005928B7" w:rsidRPr="00F733D5" w14:paraId="758160CB"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EEA87CB"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&gt;30 to 70 MHz</w:t>
            </w:r>
          </w:p>
        </w:tc>
        <w:tc>
          <w:tcPr>
            <w:tcW w:w="1388" w:type="dxa"/>
            <w:tcBorders>
              <w:top w:val="nil"/>
              <w:left w:val="nil"/>
              <w:bottom w:val="single" w:sz="8" w:space="0" w:color="auto"/>
              <w:right w:val="single" w:sz="8" w:space="0" w:color="auto"/>
            </w:tcBorders>
            <w:shd w:val="clear" w:color="auto" w:fill="auto"/>
            <w:noWrap/>
            <w:vAlign w:val="center"/>
            <w:hideMark/>
          </w:tcPr>
          <w:p w14:paraId="26684B0B"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9.747</w:t>
            </w:r>
          </w:p>
        </w:tc>
        <w:tc>
          <w:tcPr>
            <w:tcW w:w="970" w:type="dxa"/>
            <w:tcBorders>
              <w:top w:val="nil"/>
              <w:left w:val="nil"/>
              <w:bottom w:val="single" w:sz="8" w:space="0" w:color="auto"/>
              <w:right w:val="single" w:sz="8" w:space="0" w:color="auto"/>
            </w:tcBorders>
            <w:shd w:val="clear" w:color="auto" w:fill="auto"/>
            <w:noWrap/>
            <w:vAlign w:val="center"/>
            <w:hideMark/>
          </w:tcPr>
          <w:p w14:paraId="0A13A5B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3.807</w:t>
            </w:r>
          </w:p>
        </w:tc>
        <w:tc>
          <w:tcPr>
            <w:tcW w:w="1015" w:type="dxa"/>
            <w:tcBorders>
              <w:top w:val="nil"/>
              <w:left w:val="nil"/>
              <w:bottom w:val="single" w:sz="8" w:space="0" w:color="auto"/>
              <w:right w:val="single" w:sz="8" w:space="0" w:color="auto"/>
            </w:tcBorders>
            <w:shd w:val="clear" w:color="auto" w:fill="auto"/>
            <w:noWrap/>
            <w:vAlign w:val="center"/>
            <w:hideMark/>
          </w:tcPr>
          <w:p w14:paraId="2EC9F4B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2.025</w:t>
            </w:r>
          </w:p>
        </w:tc>
        <w:tc>
          <w:tcPr>
            <w:tcW w:w="975" w:type="dxa"/>
            <w:tcBorders>
              <w:top w:val="nil"/>
              <w:left w:val="nil"/>
              <w:bottom w:val="single" w:sz="8" w:space="0" w:color="auto"/>
              <w:right w:val="single" w:sz="8" w:space="0" w:color="auto"/>
            </w:tcBorders>
            <w:shd w:val="clear" w:color="auto" w:fill="auto"/>
            <w:noWrap/>
            <w:vAlign w:val="center"/>
            <w:hideMark/>
          </w:tcPr>
          <w:p w14:paraId="14BECF87"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772C31DA"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0.218</w:t>
            </w:r>
          </w:p>
        </w:tc>
      </w:tr>
      <w:tr w:rsidR="005928B7" w:rsidRPr="00F733D5" w14:paraId="6D73DB45"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7F6B3B76"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&gt;70 to 399.9 MHz</w:t>
            </w:r>
          </w:p>
        </w:tc>
        <w:tc>
          <w:tcPr>
            <w:tcW w:w="1388" w:type="dxa"/>
            <w:tcBorders>
              <w:top w:val="nil"/>
              <w:left w:val="nil"/>
              <w:bottom w:val="single" w:sz="8" w:space="0" w:color="auto"/>
              <w:right w:val="single" w:sz="8" w:space="0" w:color="auto"/>
            </w:tcBorders>
            <w:shd w:val="clear" w:color="auto" w:fill="auto"/>
            <w:noWrap/>
            <w:vAlign w:val="center"/>
            <w:hideMark/>
          </w:tcPr>
          <w:p w14:paraId="4FD5177A"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3CF275AB"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4.104</w:t>
            </w:r>
          </w:p>
        </w:tc>
        <w:tc>
          <w:tcPr>
            <w:tcW w:w="1015" w:type="dxa"/>
            <w:tcBorders>
              <w:top w:val="nil"/>
              <w:left w:val="nil"/>
              <w:bottom w:val="single" w:sz="8" w:space="0" w:color="auto"/>
              <w:right w:val="single" w:sz="8" w:space="0" w:color="auto"/>
            </w:tcBorders>
            <w:shd w:val="clear" w:color="auto" w:fill="auto"/>
            <w:noWrap/>
            <w:vAlign w:val="center"/>
            <w:hideMark/>
          </w:tcPr>
          <w:p w14:paraId="3C98EC8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1.878</w:t>
            </w:r>
          </w:p>
        </w:tc>
        <w:tc>
          <w:tcPr>
            <w:tcW w:w="975" w:type="dxa"/>
            <w:tcBorders>
              <w:top w:val="nil"/>
              <w:left w:val="nil"/>
              <w:bottom w:val="single" w:sz="8" w:space="0" w:color="auto"/>
              <w:right w:val="single" w:sz="8" w:space="0" w:color="auto"/>
            </w:tcBorders>
            <w:shd w:val="clear" w:color="auto" w:fill="auto"/>
            <w:noWrap/>
            <w:vAlign w:val="center"/>
            <w:hideMark/>
          </w:tcPr>
          <w:p w14:paraId="51B5BA0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0.421</w:t>
            </w:r>
          </w:p>
        </w:tc>
        <w:tc>
          <w:tcPr>
            <w:tcW w:w="1157" w:type="dxa"/>
            <w:tcBorders>
              <w:top w:val="nil"/>
              <w:left w:val="nil"/>
              <w:bottom w:val="single" w:sz="8" w:space="0" w:color="auto"/>
              <w:right w:val="single" w:sz="8" w:space="0" w:color="auto"/>
            </w:tcBorders>
            <w:shd w:val="clear" w:color="auto" w:fill="auto"/>
            <w:noWrap/>
            <w:vAlign w:val="center"/>
            <w:hideMark/>
          </w:tcPr>
          <w:p w14:paraId="43AD612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0.21</w:t>
            </w:r>
          </w:p>
        </w:tc>
      </w:tr>
      <w:tr w:rsidR="005928B7" w:rsidRPr="00F733D5" w14:paraId="50329FA9"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0AFCD52"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&gt;399.9 to 403 MHz</w:t>
            </w:r>
          </w:p>
        </w:tc>
        <w:tc>
          <w:tcPr>
            <w:tcW w:w="1388" w:type="dxa"/>
            <w:tcBorders>
              <w:top w:val="nil"/>
              <w:left w:val="nil"/>
              <w:bottom w:val="single" w:sz="8" w:space="0" w:color="auto"/>
              <w:right w:val="single" w:sz="8" w:space="0" w:color="auto"/>
            </w:tcBorders>
            <w:shd w:val="clear" w:color="auto" w:fill="auto"/>
            <w:noWrap/>
            <w:vAlign w:val="center"/>
            <w:hideMark/>
          </w:tcPr>
          <w:p w14:paraId="436481F4"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01DA4C34"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5.6</w:t>
            </w:r>
          </w:p>
        </w:tc>
        <w:tc>
          <w:tcPr>
            <w:tcW w:w="1015" w:type="dxa"/>
            <w:tcBorders>
              <w:top w:val="nil"/>
              <w:left w:val="nil"/>
              <w:bottom w:val="single" w:sz="8" w:space="0" w:color="auto"/>
              <w:right w:val="single" w:sz="8" w:space="0" w:color="auto"/>
            </w:tcBorders>
            <w:shd w:val="clear" w:color="auto" w:fill="auto"/>
            <w:noWrap/>
            <w:vAlign w:val="center"/>
            <w:hideMark/>
          </w:tcPr>
          <w:p w14:paraId="2EAA2336"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2.562</w:t>
            </w:r>
          </w:p>
        </w:tc>
        <w:tc>
          <w:tcPr>
            <w:tcW w:w="975" w:type="dxa"/>
            <w:tcBorders>
              <w:top w:val="nil"/>
              <w:left w:val="nil"/>
              <w:bottom w:val="single" w:sz="8" w:space="0" w:color="auto"/>
              <w:right w:val="single" w:sz="8" w:space="0" w:color="auto"/>
            </w:tcBorders>
            <w:shd w:val="clear" w:color="auto" w:fill="auto"/>
            <w:noWrap/>
            <w:vAlign w:val="center"/>
            <w:hideMark/>
          </w:tcPr>
          <w:p w14:paraId="50158A9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65718CC7"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0.218</w:t>
            </w:r>
          </w:p>
        </w:tc>
      </w:tr>
      <w:tr w:rsidR="005928B7" w:rsidRPr="00F733D5" w14:paraId="1A51F00D"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4123E96A"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&gt;403 to 520 MHz</w:t>
            </w:r>
          </w:p>
        </w:tc>
        <w:tc>
          <w:tcPr>
            <w:tcW w:w="1388" w:type="dxa"/>
            <w:tcBorders>
              <w:top w:val="nil"/>
              <w:left w:val="nil"/>
              <w:bottom w:val="single" w:sz="8" w:space="0" w:color="auto"/>
              <w:right w:val="single" w:sz="8" w:space="0" w:color="auto"/>
            </w:tcBorders>
            <w:shd w:val="clear" w:color="auto" w:fill="auto"/>
            <w:noWrap/>
            <w:vAlign w:val="center"/>
            <w:hideMark/>
          </w:tcPr>
          <w:p w14:paraId="19BE6B3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3924D3EF"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7.4114</w:t>
            </w:r>
          </w:p>
        </w:tc>
        <w:tc>
          <w:tcPr>
            <w:tcW w:w="1015" w:type="dxa"/>
            <w:tcBorders>
              <w:top w:val="nil"/>
              <w:left w:val="nil"/>
              <w:bottom w:val="single" w:sz="8" w:space="0" w:color="auto"/>
              <w:right w:val="single" w:sz="8" w:space="0" w:color="auto"/>
            </w:tcBorders>
            <w:shd w:val="clear" w:color="auto" w:fill="auto"/>
            <w:noWrap/>
            <w:vAlign w:val="center"/>
            <w:hideMark/>
          </w:tcPr>
          <w:p w14:paraId="54E34A52"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2.562</w:t>
            </w:r>
          </w:p>
        </w:tc>
        <w:tc>
          <w:tcPr>
            <w:tcW w:w="975" w:type="dxa"/>
            <w:tcBorders>
              <w:top w:val="nil"/>
              <w:left w:val="nil"/>
              <w:bottom w:val="single" w:sz="8" w:space="0" w:color="auto"/>
              <w:right w:val="single" w:sz="8" w:space="0" w:color="auto"/>
            </w:tcBorders>
            <w:shd w:val="clear" w:color="auto" w:fill="auto"/>
            <w:noWrap/>
            <w:vAlign w:val="center"/>
            <w:hideMark/>
          </w:tcPr>
          <w:p w14:paraId="2EA7051B"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587BA41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w:t>
            </w:r>
          </w:p>
        </w:tc>
      </w:tr>
      <w:tr w:rsidR="005928B7" w:rsidRPr="00F733D5" w14:paraId="5238E8BE"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5472EE53"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&gt;520 to 960 MHz</w:t>
            </w:r>
          </w:p>
        </w:tc>
        <w:tc>
          <w:tcPr>
            <w:tcW w:w="1388" w:type="dxa"/>
            <w:tcBorders>
              <w:top w:val="nil"/>
              <w:left w:val="nil"/>
              <w:bottom w:val="single" w:sz="8" w:space="0" w:color="auto"/>
              <w:right w:val="single" w:sz="8" w:space="0" w:color="auto"/>
            </w:tcBorders>
            <w:shd w:val="clear" w:color="auto" w:fill="auto"/>
            <w:noWrap/>
            <w:vAlign w:val="center"/>
            <w:hideMark/>
          </w:tcPr>
          <w:p w14:paraId="582DCA8E"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6FC092B5"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5.6</w:t>
            </w:r>
          </w:p>
        </w:tc>
        <w:tc>
          <w:tcPr>
            <w:tcW w:w="1015" w:type="dxa"/>
            <w:tcBorders>
              <w:top w:val="nil"/>
              <w:left w:val="nil"/>
              <w:bottom w:val="single" w:sz="8" w:space="0" w:color="auto"/>
              <w:right w:val="single" w:sz="8" w:space="0" w:color="auto"/>
            </w:tcBorders>
            <w:shd w:val="clear" w:color="auto" w:fill="auto"/>
            <w:noWrap/>
            <w:vAlign w:val="center"/>
            <w:hideMark/>
          </w:tcPr>
          <w:p w14:paraId="49C923E3"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2.562</w:t>
            </w:r>
          </w:p>
        </w:tc>
        <w:tc>
          <w:tcPr>
            <w:tcW w:w="975" w:type="dxa"/>
            <w:tcBorders>
              <w:top w:val="nil"/>
              <w:left w:val="nil"/>
              <w:bottom w:val="single" w:sz="8" w:space="0" w:color="auto"/>
              <w:right w:val="single" w:sz="8" w:space="0" w:color="auto"/>
            </w:tcBorders>
            <w:shd w:val="clear" w:color="auto" w:fill="auto"/>
            <w:noWrap/>
            <w:vAlign w:val="center"/>
            <w:hideMark/>
          </w:tcPr>
          <w:p w14:paraId="4472984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7B499DD5"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0.218</w:t>
            </w:r>
          </w:p>
        </w:tc>
      </w:tr>
      <w:tr w:rsidR="005928B7" w:rsidRPr="00F733D5" w14:paraId="7B011ECD"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6C459E4F"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&gt;960 to 2,690 MHz</w:t>
            </w:r>
          </w:p>
        </w:tc>
        <w:tc>
          <w:tcPr>
            <w:tcW w:w="1388" w:type="dxa"/>
            <w:tcBorders>
              <w:top w:val="nil"/>
              <w:left w:val="nil"/>
              <w:bottom w:val="single" w:sz="8" w:space="0" w:color="auto"/>
              <w:right w:val="single" w:sz="8" w:space="0" w:color="auto"/>
            </w:tcBorders>
            <w:shd w:val="clear" w:color="auto" w:fill="auto"/>
            <w:noWrap/>
            <w:vAlign w:val="center"/>
            <w:hideMark/>
          </w:tcPr>
          <w:p w14:paraId="45D71C02"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9.985</w:t>
            </w:r>
          </w:p>
        </w:tc>
        <w:tc>
          <w:tcPr>
            <w:tcW w:w="970" w:type="dxa"/>
            <w:tcBorders>
              <w:top w:val="nil"/>
              <w:left w:val="nil"/>
              <w:bottom w:val="single" w:sz="8" w:space="0" w:color="auto"/>
              <w:right w:val="single" w:sz="8" w:space="0" w:color="auto"/>
            </w:tcBorders>
            <w:shd w:val="clear" w:color="auto" w:fill="auto"/>
            <w:noWrap/>
            <w:vAlign w:val="center"/>
            <w:hideMark/>
          </w:tcPr>
          <w:p w14:paraId="685A545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2.241</w:t>
            </w:r>
          </w:p>
        </w:tc>
        <w:tc>
          <w:tcPr>
            <w:tcW w:w="1015" w:type="dxa"/>
            <w:tcBorders>
              <w:top w:val="nil"/>
              <w:left w:val="nil"/>
              <w:bottom w:val="single" w:sz="8" w:space="0" w:color="auto"/>
              <w:right w:val="single" w:sz="8" w:space="0" w:color="auto"/>
            </w:tcBorders>
            <w:shd w:val="clear" w:color="auto" w:fill="auto"/>
            <w:noWrap/>
            <w:vAlign w:val="center"/>
            <w:hideMark/>
          </w:tcPr>
          <w:p w14:paraId="6C63533E"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1.036</w:t>
            </w:r>
          </w:p>
        </w:tc>
        <w:tc>
          <w:tcPr>
            <w:tcW w:w="975" w:type="dxa"/>
            <w:tcBorders>
              <w:top w:val="nil"/>
              <w:left w:val="nil"/>
              <w:bottom w:val="single" w:sz="8" w:space="0" w:color="auto"/>
              <w:right w:val="single" w:sz="8" w:space="0" w:color="auto"/>
            </w:tcBorders>
            <w:shd w:val="clear" w:color="auto" w:fill="auto"/>
            <w:noWrap/>
            <w:vAlign w:val="center"/>
            <w:hideMark/>
          </w:tcPr>
          <w:p w14:paraId="397D5B19"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0.521</w:t>
            </w:r>
          </w:p>
        </w:tc>
        <w:tc>
          <w:tcPr>
            <w:tcW w:w="1157" w:type="dxa"/>
            <w:tcBorders>
              <w:top w:val="nil"/>
              <w:left w:val="nil"/>
              <w:bottom w:val="single" w:sz="8" w:space="0" w:color="auto"/>
              <w:right w:val="single" w:sz="8" w:space="0" w:color="auto"/>
            </w:tcBorders>
            <w:shd w:val="clear" w:color="auto" w:fill="auto"/>
            <w:noWrap/>
            <w:vAlign w:val="center"/>
            <w:hideMark/>
          </w:tcPr>
          <w:p w14:paraId="191CA560"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0.26</w:t>
            </w:r>
          </w:p>
        </w:tc>
      </w:tr>
      <w:tr w:rsidR="005928B7" w:rsidRPr="00F733D5" w14:paraId="6E7C14FE"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750790E3"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&gt;2,690 to 5,000 MHz</w:t>
            </w:r>
          </w:p>
        </w:tc>
        <w:tc>
          <w:tcPr>
            <w:tcW w:w="1388" w:type="dxa"/>
            <w:tcBorders>
              <w:top w:val="nil"/>
              <w:left w:val="nil"/>
              <w:bottom w:val="single" w:sz="8" w:space="0" w:color="auto"/>
              <w:right w:val="single" w:sz="8" w:space="0" w:color="auto"/>
            </w:tcBorders>
            <w:shd w:val="clear" w:color="auto" w:fill="auto"/>
            <w:noWrap/>
            <w:vAlign w:val="center"/>
            <w:hideMark/>
          </w:tcPr>
          <w:p w14:paraId="3E4E3C64"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9.974</w:t>
            </w:r>
          </w:p>
        </w:tc>
        <w:tc>
          <w:tcPr>
            <w:tcW w:w="970" w:type="dxa"/>
            <w:tcBorders>
              <w:top w:val="nil"/>
              <w:left w:val="nil"/>
              <w:bottom w:val="single" w:sz="8" w:space="0" w:color="auto"/>
              <w:right w:val="single" w:sz="8" w:space="0" w:color="auto"/>
            </w:tcBorders>
            <w:shd w:val="clear" w:color="auto" w:fill="auto"/>
            <w:noWrap/>
            <w:vAlign w:val="center"/>
            <w:hideMark/>
          </w:tcPr>
          <w:p w14:paraId="5A6F9FC5"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1.853</w:t>
            </w:r>
          </w:p>
        </w:tc>
        <w:tc>
          <w:tcPr>
            <w:tcW w:w="1015" w:type="dxa"/>
            <w:tcBorders>
              <w:top w:val="nil"/>
              <w:left w:val="nil"/>
              <w:bottom w:val="single" w:sz="8" w:space="0" w:color="auto"/>
              <w:right w:val="single" w:sz="8" w:space="0" w:color="auto"/>
            </w:tcBorders>
            <w:shd w:val="clear" w:color="auto" w:fill="auto"/>
            <w:noWrap/>
            <w:vAlign w:val="center"/>
            <w:hideMark/>
          </w:tcPr>
          <w:p w14:paraId="0751216F"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0.751</w:t>
            </w:r>
          </w:p>
        </w:tc>
        <w:tc>
          <w:tcPr>
            <w:tcW w:w="975" w:type="dxa"/>
            <w:tcBorders>
              <w:top w:val="nil"/>
              <w:left w:val="nil"/>
              <w:bottom w:val="single" w:sz="8" w:space="0" w:color="auto"/>
              <w:right w:val="single" w:sz="8" w:space="0" w:color="auto"/>
            </w:tcBorders>
            <w:shd w:val="clear" w:color="auto" w:fill="auto"/>
            <w:noWrap/>
            <w:vAlign w:val="center"/>
            <w:hideMark/>
          </w:tcPr>
          <w:p w14:paraId="4E7C6322"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0.622</w:t>
            </w:r>
          </w:p>
        </w:tc>
        <w:tc>
          <w:tcPr>
            <w:tcW w:w="1157" w:type="dxa"/>
            <w:tcBorders>
              <w:top w:val="nil"/>
              <w:left w:val="nil"/>
              <w:bottom w:val="single" w:sz="8" w:space="0" w:color="auto"/>
              <w:right w:val="single" w:sz="8" w:space="0" w:color="auto"/>
            </w:tcBorders>
            <w:shd w:val="clear" w:color="auto" w:fill="auto"/>
            <w:noWrap/>
            <w:vAlign w:val="center"/>
            <w:hideMark/>
          </w:tcPr>
          <w:p w14:paraId="14F3F7F4"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0.311</w:t>
            </w:r>
          </w:p>
        </w:tc>
      </w:tr>
      <w:tr w:rsidR="005928B7" w:rsidRPr="00F733D5" w14:paraId="3984203A"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293E4DCF"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&gt;5.0 to 8.5 GHz</w:t>
            </w:r>
          </w:p>
        </w:tc>
        <w:tc>
          <w:tcPr>
            <w:tcW w:w="1388" w:type="dxa"/>
            <w:tcBorders>
              <w:top w:val="nil"/>
              <w:left w:val="nil"/>
              <w:bottom w:val="single" w:sz="8" w:space="0" w:color="auto"/>
              <w:right w:val="single" w:sz="8" w:space="0" w:color="auto"/>
            </w:tcBorders>
            <w:shd w:val="clear" w:color="auto" w:fill="auto"/>
            <w:noWrap/>
            <w:vAlign w:val="center"/>
            <w:hideMark/>
          </w:tcPr>
          <w:p w14:paraId="563BC9A7"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8.421</w:t>
            </w:r>
          </w:p>
        </w:tc>
        <w:tc>
          <w:tcPr>
            <w:tcW w:w="970" w:type="dxa"/>
            <w:tcBorders>
              <w:top w:val="nil"/>
              <w:left w:val="nil"/>
              <w:bottom w:val="single" w:sz="8" w:space="0" w:color="auto"/>
              <w:right w:val="single" w:sz="8" w:space="0" w:color="auto"/>
            </w:tcBorders>
            <w:shd w:val="clear" w:color="auto" w:fill="auto"/>
            <w:noWrap/>
            <w:vAlign w:val="center"/>
            <w:hideMark/>
          </w:tcPr>
          <w:p w14:paraId="4EB3E222"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1.557</w:t>
            </w:r>
          </w:p>
        </w:tc>
        <w:tc>
          <w:tcPr>
            <w:tcW w:w="1015" w:type="dxa"/>
            <w:tcBorders>
              <w:top w:val="nil"/>
              <w:left w:val="nil"/>
              <w:bottom w:val="single" w:sz="8" w:space="0" w:color="auto"/>
              <w:right w:val="single" w:sz="8" w:space="0" w:color="auto"/>
            </w:tcBorders>
            <w:shd w:val="clear" w:color="auto" w:fill="auto"/>
            <w:noWrap/>
            <w:vAlign w:val="center"/>
            <w:hideMark/>
          </w:tcPr>
          <w:p w14:paraId="65F723B7"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0.725</w:t>
            </w:r>
          </w:p>
        </w:tc>
        <w:tc>
          <w:tcPr>
            <w:tcW w:w="975" w:type="dxa"/>
            <w:tcBorders>
              <w:top w:val="nil"/>
              <w:left w:val="nil"/>
              <w:bottom w:val="single" w:sz="8" w:space="0" w:color="auto"/>
              <w:right w:val="single" w:sz="8" w:space="0" w:color="auto"/>
            </w:tcBorders>
            <w:shd w:val="clear" w:color="auto" w:fill="auto"/>
            <w:noWrap/>
            <w:vAlign w:val="center"/>
            <w:hideMark/>
          </w:tcPr>
          <w:p w14:paraId="55221CD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0.33</w:t>
            </w:r>
          </w:p>
        </w:tc>
        <w:tc>
          <w:tcPr>
            <w:tcW w:w="1157" w:type="dxa"/>
            <w:tcBorders>
              <w:top w:val="nil"/>
              <w:left w:val="nil"/>
              <w:bottom w:val="single" w:sz="8" w:space="0" w:color="auto"/>
              <w:right w:val="single" w:sz="8" w:space="0" w:color="auto"/>
            </w:tcBorders>
            <w:shd w:val="clear" w:color="auto" w:fill="auto"/>
            <w:noWrap/>
            <w:vAlign w:val="center"/>
            <w:hideMark/>
          </w:tcPr>
          <w:p w14:paraId="18BA2E04"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0.16</w:t>
            </w:r>
          </w:p>
        </w:tc>
      </w:tr>
      <w:tr w:rsidR="005928B7" w:rsidRPr="00F733D5" w14:paraId="089FD9BD"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CD52392"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&gt;8.5 to 14.5 GHz</w:t>
            </w:r>
          </w:p>
        </w:tc>
        <w:tc>
          <w:tcPr>
            <w:tcW w:w="1388" w:type="dxa"/>
            <w:tcBorders>
              <w:top w:val="nil"/>
              <w:left w:val="nil"/>
              <w:bottom w:val="single" w:sz="8" w:space="0" w:color="auto"/>
              <w:right w:val="single" w:sz="8" w:space="0" w:color="auto"/>
            </w:tcBorders>
            <w:shd w:val="clear" w:color="auto" w:fill="auto"/>
            <w:noWrap/>
            <w:vAlign w:val="center"/>
            <w:hideMark/>
          </w:tcPr>
          <w:p w14:paraId="37C24AFE"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3.711</w:t>
            </w:r>
          </w:p>
        </w:tc>
        <w:tc>
          <w:tcPr>
            <w:tcW w:w="970" w:type="dxa"/>
            <w:tcBorders>
              <w:top w:val="nil"/>
              <w:left w:val="nil"/>
              <w:bottom w:val="single" w:sz="8" w:space="0" w:color="auto"/>
              <w:right w:val="single" w:sz="8" w:space="0" w:color="auto"/>
            </w:tcBorders>
            <w:shd w:val="clear" w:color="auto" w:fill="auto"/>
            <w:noWrap/>
            <w:vAlign w:val="center"/>
            <w:hideMark/>
          </w:tcPr>
          <w:p w14:paraId="33C3B988"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1.336</w:t>
            </w:r>
          </w:p>
        </w:tc>
        <w:tc>
          <w:tcPr>
            <w:tcW w:w="1015" w:type="dxa"/>
            <w:tcBorders>
              <w:top w:val="nil"/>
              <w:left w:val="nil"/>
              <w:bottom w:val="single" w:sz="8" w:space="0" w:color="auto"/>
              <w:right w:val="single" w:sz="8" w:space="0" w:color="auto"/>
            </w:tcBorders>
            <w:shd w:val="clear" w:color="auto" w:fill="auto"/>
            <w:noWrap/>
            <w:vAlign w:val="center"/>
            <w:hideMark/>
          </w:tcPr>
          <w:p w14:paraId="76B16647"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0.316</w:t>
            </w:r>
          </w:p>
        </w:tc>
        <w:tc>
          <w:tcPr>
            <w:tcW w:w="975" w:type="dxa"/>
            <w:tcBorders>
              <w:top w:val="nil"/>
              <w:left w:val="nil"/>
              <w:bottom w:val="single" w:sz="8" w:space="0" w:color="auto"/>
              <w:right w:val="single" w:sz="8" w:space="0" w:color="auto"/>
            </w:tcBorders>
            <w:shd w:val="clear" w:color="auto" w:fill="auto"/>
            <w:noWrap/>
            <w:vAlign w:val="center"/>
            <w:hideMark/>
          </w:tcPr>
          <w:p w14:paraId="0EADA3C3"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0.023</w:t>
            </w:r>
          </w:p>
        </w:tc>
        <w:tc>
          <w:tcPr>
            <w:tcW w:w="1157" w:type="dxa"/>
            <w:tcBorders>
              <w:top w:val="nil"/>
              <w:left w:val="nil"/>
              <w:bottom w:val="single" w:sz="8" w:space="0" w:color="auto"/>
              <w:right w:val="single" w:sz="8" w:space="0" w:color="auto"/>
            </w:tcBorders>
            <w:shd w:val="clear" w:color="auto" w:fill="auto"/>
            <w:noWrap/>
            <w:vAlign w:val="center"/>
            <w:hideMark/>
          </w:tcPr>
          <w:p w14:paraId="36702DF5"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0.011</w:t>
            </w:r>
          </w:p>
        </w:tc>
      </w:tr>
      <w:tr w:rsidR="005928B7" w:rsidRPr="00F733D5" w14:paraId="6F4F7865"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7770D0F1"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&gt;14.5 to 31.3 GHz</w:t>
            </w:r>
          </w:p>
        </w:tc>
        <w:tc>
          <w:tcPr>
            <w:tcW w:w="1388" w:type="dxa"/>
            <w:tcBorders>
              <w:top w:val="nil"/>
              <w:left w:val="nil"/>
              <w:bottom w:val="single" w:sz="8" w:space="0" w:color="auto"/>
              <w:right w:val="single" w:sz="8" w:space="0" w:color="auto"/>
            </w:tcBorders>
            <w:shd w:val="clear" w:color="auto" w:fill="auto"/>
            <w:noWrap/>
            <w:vAlign w:val="center"/>
            <w:hideMark/>
          </w:tcPr>
          <w:p w14:paraId="3E0CB0FA"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3.711</w:t>
            </w:r>
          </w:p>
        </w:tc>
        <w:tc>
          <w:tcPr>
            <w:tcW w:w="970" w:type="dxa"/>
            <w:tcBorders>
              <w:top w:val="nil"/>
              <w:left w:val="nil"/>
              <w:bottom w:val="single" w:sz="8" w:space="0" w:color="auto"/>
              <w:right w:val="single" w:sz="8" w:space="0" w:color="auto"/>
            </w:tcBorders>
            <w:shd w:val="clear" w:color="auto" w:fill="auto"/>
            <w:noWrap/>
            <w:vAlign w:val="center"/>
            <w:hideMark/>
          </w:tcPr>
          <w:p w14:paraId="07EE3161"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0.988</w:t>
            </w:r>
          </w:p>
        </w:tc>
        <w:tc>
          <w:tcPr>
            <w:tcW w:w="1015" w:type="dxa"/>
            <w:tcBorders>
              <w:top w:val="nil"/>
              <w:left w:val="nil"/>
              <w:bottom w:val="single" w:sz="8" w:space="0" w:color="auto"/>
              <w:right w:val="single" w:sz="8" w:space="0" w:color="auto"/>
            </w:tcBorders>
            <w:shd w:val="clear" w:color="auto" w:fill="auto"/>
            <w:noWrap/>
            <w:vAlign w:val="center"/>
            <w:hideMark/>
          </w:tcPr>
          <w:p w14:paraId="57E8FF73"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0.217</w:t>
            </w:r>
          </w:p>
        </w:tc>
        <w:tc>
          <w:tcPr>
            <w:tcW w:w="975" w:type="dxa"/>
            <w:tcBorders>
              <w:top w:val="nil"/>
              <w:left w:val="nil"/>
              <w:bottom w:val="single" w:sz="8" w:space="0" w:color="auto"/>
              <w:right w:val="single" w:sz="8" w:space="0" w:color="auto"/>
            </w:tcBorders>
            <w:shd w:val="clear" w:color="auto" w:fill="auto"/>
            <w:noWrap/>
            <w:vAlign w:val="center"/>
            <w:hideMark/>
          </w:tcPr>
          <w:p w14:paraId="209CB4DF"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0.023</w:t>
            </w:r>
          </w:p>
        </w:tc>
        <w:tc>
          <w:tcPr>
            <w:tcW w:w="1157" w:type="dxa"/>
            <w:tcBorders>
              <w:top w:val="nil"/>
              <w:left w:val="nil"/>
              <w:bottom w:val="single" w:sz="8" w:space="0" w:color="auto"/>
              <w:right w:val="single" w:sz="8" w:space="0" w:color="auto"/>
            </w:tcBorders>
            <w:shd w:val="clear" w:color="auto" w:fill="auto"/>
            <w:noWrap/>
            <w:vAlign w:val="center"/>
            <w:hideMark/>
          </w:tcPr>
          <w:p w14:paraId="36D39D8A"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0.011</w:t>
            </w:r>
          </w:p>
        </w:tc>
      </w:tr>
      <w:tr w:rsidR="005928B7" w:rsidRPr="00F733D5" w14:paraId="4B6ADFDE"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56CA9C8C"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&gt;31.3 to 51.4 GHz</w:t>
            </w:r>
          </w:p>
        </w:tc>
        <w:tc>
          <w:tcPr>
            <w:tcW w:w="1388" w:type="dxa"/>
            <w:tcBorders>
              <w:top w:val="nil"/>
              <w:left w:val="nil"/>
              <w:bottom w:val="single" w:sz="8" w:space="0" w:color="auto"/>
              <w:right w:val="single" w:sz="8" w:space="0" w:color="auto"/>
            </w:tcBorders>
            <w:shd w:val="clear" w:color="auto" w:fill="auto"/>
            <w:noWrap/>
            <w:vAlign w:val="center"/>
            <w:hideMark/>
          </w:tcPr>
          <w:p w14:paraId="35E48964"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1.012</w:t>
            </w:r>
          </w:p>
        </w:tc>
        <w:tc>
          <w:tcPr>
            <w:tcW w:w="970" w:type="dxa"/>
            <w:tcBorders>
              <w:top w:val="nil"/>
              <w:left w:val="nil"/>
              <w:bottom w:val="single" w:sz="8" w:space="0" w:color="auto"/>
              <w:right w:val="single" w:sz="8" w:space="0" w:color="auto"/>
            </w:tcBorders>
            <w:shd w:val="clear" w:color="auto" w:fill="auto"/>
            <w:noWrap/>
            <w:vAlign w:val="center"/>
            <w:hideMark/>
          </w:tcPr>
          <w:p w14:paraId="1B7795B3"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0.539</w:t>
            </w:r>
          </w:p>
        </w:tc>
        <w:tc>
          <w:tcPr>
            <w:tcW w:w="1015" w:type="dxa"/>
            <w:tcBorders>
              <w:top w:val="nil"/>
              <w:left w:val="nil"/>
              <w:bottom w:val="single" w:sz="8" w:space="0" w:color="auto"/>
              <w:right w:val="single" w:sz="8" w:space="0" w:color="auto"/>
            </w:tcBorders>
            <w:shd w:val="clear" w:color="auto" w:fill="auto"/>
            <w:noWrap/>
            <w:vAlign w:val="center"/>
            <w:hideMark/>
          </w:tcPr>
          <w:p w14:paraId="55B6BBBC"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0.117</w:t>
            </w:r>
          </w:p>
        </w:tc>
        <w:tc>
          <w:tcPr>
            <w:tcW w:w="975" w:type="dxa"/>
            <w:tcBorders>
              <w:top w:val="nil"/>
              <w:left w:val="nil"/>
              <w:bottom w:val="single" w:sz="8" w:space="0" w:color="auto"/>
              <w:right w:val="single" w:sz="8" w:space="0" w:color="auto"/>
            </w:tcBorders>
            <w:shd w:val="clear" w:color="auto" w:fill="auto"/>
            <w:noWrap/>
            <w:vAlign w:val="center"/>
            <w:hideMark/>
          </w:tcPr>
          <w:p w14:paraId="5E4CEE9E"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0.004</w:t>
            </w:r>
          </w:p>
        </w:tc>
        <w:tc>
          <w:tcPr>
            <w:tcW w:w="1157" w:type="dxa"/>
            <w:tcBorders>
              <w:top w:val="nil"/>
              <w:left w:val="nil"/>
              <w:bottom w:val="single" w:sz="8" w:space="0" w:color="auto"/>
              <w:right w:val="single" w:sz="8" w:space="0" w:color="auto"/>
            </w:tcBorders>
            <w:shd w:val="clear" w:color="auto" w:fill="auto"/>
            <w:noWrap/>
            <w:vAlign w:val="center"/>
            <w:hideMark/>
          </w:tcPr>
          <w:p w14:paraId="486AFCA3"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0.002</w:t>
            </w:r>
          </w:p>
        </w:tc>
      </w:tr>
      <w:tr w:rsidR="005928B7" w:rsidRPr="00F733D5" w14:paraId="694D5167" w14:textId="77777777" w:rsidTr="00E451A7">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5E1B1BA4" w14:textId="77777777" w:rsidR="005928B7" w:rsidRPr="00F71814" w:rsidRDefault="005928B7" w:rsidP="00E451A7">
            <w:pPr>
              <w:spacing w:after="0" w:line="240" w:lineRule="auto"/>
              <w:rPr>
                <w:rFonts w:cs="Arial"/>
                <w:color w:val="000000"/>
                <w:sz w:val="18"/>
                <w:szCs w:val="22"/>
              </w:rPr>
            </w:pPr>
            <w:r w:rsidRPr="00F71814">
              <w:rPr>
                <w:rFonts w:cs="Arial"/>
                <w:color w:val="000000"/>
                <w:sz w:val="18"/>
                <w:szCs w:val="22"/>
              </w:rPr>
              <w:t>Above 51.4 GHz</w:t>
            </w:r>
          </w:p>
        </w:tc>
        <w:tc>
          <w:tcPr>
            <w:tcW w:w="1388" w:type="dxa"/>
            <w:tcBorders>
              <w:top w:val="nil"/>
              <w:left w:val="nil"/>
              <w:bottom w:val="single" w:sz="8" w:space="0" w:color="auto"/>
              <w:right w:val="single" w:sz="8" w:space="0" w:color="auto"/>
            </w:tcBorders>
            <w:shd w:val="clear" w:color="auto" w:fill="auto"/>
            <w:noWrap/>
            <w:vAlign w:val="center"/>
            <w:hideMark/>
          </w:tcPr>
          <w:p w14:paraId="5100542B"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0.1</w:t>
            </w:r>
          </w:p>
        </w:tc>
        <w:tc>
          <w:tcPr>
            <w:tcW w:w="970" w:type="dxa"/>
            <w:tcBorders>
              <w:top w:val="nil"/>
              <w:left w:val="nil"/>
              <w:bottom w:val="single" w:sz="8" w:space="0" w:color="auto"/>
              <w:right w:val="single" w:sz="8" w:space="0" w:color="auto"/>
            </w:tcBorders>
            <w:shd w:val="clear" w:color="auto" w:fill="auto"/>
            <w:noWrap/>
            <w:vAlign w:val="center"/>
            <w:hideMark/>
          </w:tcPr>
          <w:p w14:paraId="14A9DD8D"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0.01</w:t>
            </w:r>
          </w:p>
        </w:tc>
        <w:tc>
          <w:tcPr>
            <w:tcW w:w="1015" w:type="dxa"/>
            <w:tcBorders>
              <w:top w:val="nil"/>
              <w:left w:val="nil"/>
              <w:bottom w:val="single" w:sz="8" w:space="0" w:color="auto"/>
              <w:right w:val="single" w:sz="8" w:space="0" w:color="auto"/>
            </w:tcBorders>
            <w:shd w:val="clear" w:color="auto" w:fill="auto"/>
            <w:noWrap/>
            <w:vAlign w:val="center"/>
            <w:hideMark/>
          </w:tcPr>
          <w:p w14:paraId="53A51B3A"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0.01</w:t>
            </w:r>
          </w:p>
        </w:tc>
        <w:tc>
          <w:tcPr>
            <w:tcW w:w="975" w:type="dxa"/>
            <w:tcBorders>
              <w:top w:val="nil"/>
              <w:left w:val="nil"/>
              <w:bottom w:val="single" w:sz="8" w:space="0" w:color="auto"/>
              <w:right w:val="single" w:sz="8" w:space="0" w:color="auto"/>
            </w:tcBorders>
            <w:shd w:val="clear" w:color="auto" w:fill="auto"/>
            <w:noWrap/>
            <w:vAlign w:val="center"/>
            <w:hideMark/>
          </w:tcPr>
          <w:p w14:paraId="001251F9"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0.001</w:t>
            </w:r>
          </w:p>
        </w:tc>
        <w:tc>
          <w:tcPr>
            <w:tcW w:w="1157" w:type="dxa"/>
            <w:tcBorders>
              <w:top w:val="nil"/>
              <w:left w:val="nil"/>
              <w:bottom w:val="single" w:sz="8" w:space="0" w:color="auto"/>
              <w:right w:val="single" w:sz="8" w:space="0" w:color="auto"/>
            </w:tcBorders>
            <w:shd w:val="clear" w:color="auto" w:fill="auto"/>
            <w:noWrap/>
            <w:vAlign w:val="center"/>
            <w:hideMark/>
          </w:tcPr>
          <w:p w14:paraId="59DF5F06" w14:textId="77777777" w:rsidR="005928B7" w:rsidRPr="00F71814" w:rsidRDefault="005928B7" w:rsidP="00E451A7">
            <w:pPr>
              <w:spacing w:after="0" w:line="240" w:lineRule="auto"/>
              <w:jc w:val="right"/>
              <w:rPr>
                <w:rFonts w:cs="Arial"/>
                <w:color w:val="000000"/>
                <w:sz w:val="18"/>
                <w:szCs w:val="22"/>
              </w:rPr>
            </w:pPr>
            <w:r w:rsidRPr="00F71814">
              <w:rPr>
                <w:rFonts w:cs="Arial"/>
                <w:color w:val="000000"/>
                <w:sz w:val="18"/>
                <w:szCs w:val="22"/>
              </w:rPr>
              <w:t>0.001</w:t>
            </w:r>
          </w:p>
        </w:tc>
      </w:tr>
    </w:tbl>
    <w:p w14:paraId="71D45DDF" w14:textId="77777777" w:rsidR="003461A3" w:rsidRPr="00C05C18" w:rsidRDefault="003461A3" w:rsidP="003A23AC">
      <w:pPr>
        <w:spacing w:line="240" w:lineRule="auto"/>
        <w:rPr>
          <w:b/>
        </w:rPr>
      </w:pPr>
    </w:p>
    <w:p w14:paraId="62866840" w14:textId="53084A58" w:rsidR="00BA0626" w:rsidRDefault="00FC7529" w:rsidP="00BA0626">
      <w:pPr>
        <w:spacing w:before="120" w:after="120" w:line="240" w:lineRule="auto"/>
        <w:rPr>
          <w:rFonts w:cs="Arial"/>
          <w:iCs/>
          <w:color w:val="000000"/>
          <w:szCs w:val="20"/>
        </w:rPr>
      </w:pPr>
      <w:r>
        <w:rPr>
          <w:rFonts w:cs="Arial"/>
          <w:iCs/>
          <w:color w:val="000000"/>
          <w:szCs w:val="20"/>
        </w:rPr>
        <w:t xml:space="preserve">The </w:t>
      </w:r>
      <w:r w:rsidR="005B4D8E" w:rsidRPr="00C96D0E">
        <w:rPr>
          <w:rFonts w:cs="Arial"/>
          <w:iCs/>
          <w:color w:val="000000"/>
          <w:szCs w:val="20"/>
        </w:rPr>
        <w:t>bandwidth and power</w:t>
      </w:r>
      <w:r w:rsidR="00DE3816">
        <w:rPr>
          <w:rFonts w:cs="Arial"/>
          <w:iCs/>
          <w:color w:val="000000"/>
          <w:szCs w:val="20"/>
        </w:rPr>
        <w:t xml:space="preserve"> factors</w:t>
      </w:r>
      <w:r w:rsidR="005B4D8E" w:rsidRPr="00C96D0E">
        <w:rPr>
          <w:rFonts w:cs="Arial"/>
          <w:iCs/>
          <w:color w:val="000000"/>
          <w:szCs w:val="20"/>
        </w:rPr>
        <w:t xml:space="preserve"> reflect physical spectrum denial characteristics, location weightings reflect the density of services and demand for spectrum at different frequencies and geographic areas, and adjustment factors allow for tax adjustments for specific technologies and uses not covered by the other factors.</w:t>
      </w:r>
      <w:r w:rsidR="00BA0626" w:rsidRPr="00BA0626">
        <w:rPr>
          <w:rFonts w:cs="Arial"/>
          <w:iCs/>
          <w:color w:val="000000"/>
          <w:szCs w:val="20"/>
        </w:rPr>
        <w:t xml:space="preserve"> </w:t>
      </w:r>
      <w:r w:rsidR="00BA0626" w:rsidRPr="00C96D0E">
        <w:rPr>
          <w:rFonts w:cs="Arial"/>
          <w:iCs/>
          <w:color w:val="000000"/>
          <w:szCs w:val="20"/>
        </w:rPr>
        <w:t>The normalisation factor converts relative spectrum values to a dollar figure</w:t>
      </w:r>
      <w:r w:rsidR="00BA0626">
        <w:rPr>
          <w:rFonts w:cs="Arial"/>
          <w:iCs/>
          <w:color w:val="000000"/>
          <w:szCs w:val="20"/>
        </w:rPr>
        <w:t>.</w:t>
      </w:r>
      <w:r w:rsidR="00BA0626" w:rsidRPr="00C96D0E">
        <w:rPr>
          <w:rFonts w:cs="Arial"/>
          <w:iCs/>
          <w:color w:val="000000"/>
          <w:szCs w:val="20"/>
        </w:rPr>
        <w:t xml:space="preserve"> </w:t>
      </w:r>
    </w:p>
    <w:p w14:paraId="0680DC14" w14:textId="524A7A37" w:rsidR="005B4D8E" w:rsidRDefault="00F10770" w:rsidP="005B4D8E">
      <w:pPr>
        <w:spacing w:before="120" w:after="120" w:line="240" w:lineRule="auto"/>
        <w:rPr>
          <w:rFonts w:cs="Arial"/>
          <w:iCs/>
          <w:color w:val="000000"/>
          <w:szCs w:val="20"/>
        </w:rPr>
      </w:pPr>
      <w:r>
        <w:rPr>
          <w:rFonts w:cs="Arial"/>
          <w:iCs/>
          <w:color w:val="000000"/>
          <w:szCs w:val="20"/>
        </w:rPr>
        <w:t xml:space="preserve">Further detail </w:t>
      </w:r>
      <w:r w:rsidR="00D86059">
        <w:rPr>
          <w:rFonts w:cs="Arial"/>
          <w:iCs/>
          <w:color w:val="000000"/>
          <w:szCs w:val="20"/>
        </w:rPr>
        <w:t>about</w:t>
      </w:r>
      <w:r w:rsidR="00303106">
        <w:rPr>
          <w:rFonts w:cs="Arial"/>
          <w:iCs/>
          <w:color w:val="000000"/>
          <w:szCs w:val="20"/>
        </w:rPr>
        <w:t xml:space="preserve"> </w:t>
      </w:r>
      <w:r w:rsidR="00042DFC">
        <w:rPr>
          <w:rFonts w:cs="Arial"/>
          <w:iCs/>
          <w:color w:val="000000"/>
          <w:szCs w:val="20"/>
        </w:rPr>
        <w:t xml:space="preserve">the density areas is in </w:t>
      </w:r>
      <w:r w:rsidR="004E5C6E" w:rsidRPr="00BD1F6C">
        <w:rPr>
          <w:b/>
          <w:color w:val="000000"/>
        </w:rPr>
        <w:t xml:space="preserve">Appendix </w:t>
      </w:r>
      <w:r w:rsidR="004E5C6E">
        <w:rPr>
          <w:b/>
          <w:color w:val="000000"/>
        </w:rPr>
        <w:t>B</w:t>
      </w:r>
      <w:r w:rsidR="00042DFC">
        <w:rPr>
          <w:rFonts w:cs="Arial"/>
          <w:iCs/>
          <w:color w:val="000000"/>
          <w:szCs w:val="20"/>
        </w:rPr>
        <w:t xml:space="preserve">, and </w:t>
      </w:r>
      <w:r w:rsidR="004E5C6E">
        <w:rPr>
          <w:rFonts w:cs="Arial"/>
          <w:iCs/>
          <w:color w:val="000000"/>
          <w:szCs w:val="20"/>
        </w:rPr>
        <w:t xml:space="preserve">more detail about </w:t>
      </w:r>
      <w:r w:rsidR="00303106">
        <w:rPr>
          <w:rFonts w:cs="Arial"/>
          <w:iCs/>
          <w:color w:val="000000"/>
          <w:szCs w:val="20"/>
        </w:rPr>
        <w:t xml:space="preserve">the formula is in </w:t>
      </w:r>
      <w:r w:rsidR="00303106" w:rsidRPr="006E6ED7">
        <w:rPr>
          <w:b/>
          <w:color w:val="000000"/>
        </w:rPr>
        <w:t>Appendix C</w:t>
      </w:r>
      <w:r w:rsidR="00303106">
        <w:rPr>
          <w:rFonts w:cs="Arial"/>
          <w:iCs/>
          <w:color w:val="000000"/>
          <w:szCs w:val="20"/>
        </w:rPr>
        <w:t xml:space="preserve">. </w:t>
      </w:r>
    </w:p>
    <w:p w14:paraId="3BF8BD48" w14:textId="7B963E0F" w:rsidR="00010D75" w:rsidRDefault="00D87DE4" w:rsidP="006E6ED7">
      <w:pPr>
        <w:pStyle w:val="Heading2"/>
      </w:pPr>
      <w:bookmarkStart w:id="14" w:name="_Toc99632501"/>
      <w:bookmarkStart w:id="15" w:name="_Toc109035836"/>
      <w:r>
        <w:t xml:space="preserve">Addressing </w:t>
      </w:r>
      <w:r w:rsidR="00DC54E4">
        <w:t>pricing deficiencies through analysis and i</w:t>
      </w:r>
      <w:r w:rsidR="00010D75">
        <w:t>ndustry feedback</w:t>
      </w:r>
      <w:bookmarkEnd w:id="14"/>
      <w:bookmarkEnd w:id="15"/>
    </w:p>
    <w:p w14:paraId="4414EC70" w14:textId="6FE499BE" w:rsidR="00CD5E40" w:rsidRDefault="007F4DFC" w:rsidP="00331598">
      <w:pPr>
        <w:pStyle w:val="Paragraph"/>
      </w:pPr>
      <w:r>
        <w:t>During</w:t>
      </w:r>
      <w:r w:rsidR="006572BA">
        <w:t xml:space="preserve"> the ACMA’s implementation of the SPR recommendations</w:t>
      </w:r>
      <w:r w:rsidR="006E56E3">
        <w:t>,</w:t>
      </w:r>
      <w:r w:rsidR="006572BA">
        <w:t xml:space="preserve"> </w:t>
      </w:r>
      <w:r w:rsidR="00CD5E40">
        <w:t>the ACMA’s analysis and review of the formula show</w:t>
      </w:r>
      <w:r w:rsidR="00B271C0">
        <w:t xml:space="preserve">ed </w:t>
      </w:r>
      <w:r w:rsidR="005E2809">
        <w:t>that</w:t>
      </w:r>
      <w:r w:rsidR="00CD5E40">
        <w:t xml:space="preserve"> demand for spectrum had changed over time</w:t>
      </w:r>
      <w:r w:rsidR="005E2809">
        <w:t>,</w:t>
      </w:r>
      <w:r w:rsidR="00CD5E40">
        <w:t xml:space="preserve"> suggest</w:t>
      </w:r>
      <w:r w:rsidR="005E2809">
        <w:t>ing</w:t>
      </w:r>
      <w:r w:rsidR="00CD5E40">
        <w:t xml:space="preserve"> that some parameters within the formula (such as the location weightings) should be updated</w:t>
      </w:r>
      <w:r w:rsidR="00C93A82">
        <w:t>/rebalanced</w:t>
      </w:r>
      <w:r w:rsidR="00CD5E40">
        <w:t>.</w:t>
      </w:r>
    </w:p>
    <w:p w14:paraId="37FDB13D" w14:textId="28EDE237" w:rsidR="00CB0A02" w:rsidRDefault="00CB0A02" w:rsidP="00CB0A02">
      <w:pPr>
        <w:pStyle w:val="Paragraph"/>
      </w:pPr>
      <w:r>
        <w:t xml:space="preserve">For example, in the period from 2005–2020 the ACMA found an acceleration of new assignments in the &gt;2,690 to 5,000 MHz spectrum location for high and medium-density geographic areas, which is significantly higher than in other spectrum locations. The location weightings in the tax formula are intended to provide relative price signals to balance and manage demand before congestion issues become acute, so we proposed to increase prices in the relevant spectrum locations to incentivise licensees to obtain substitute spectrum, where possible, in either lower-density areas or in neighbouring spectrum bands. </w:t>
      </w:r>
      <w:r w:rsidR="0064199C">
        <w:t>The rebalancing of demand across spectral and geographic locations</w:t>
      </w:r>
      <w:r w:rsidR="00451999">
        <w:t xml:space="preserve"> </w:t>
      </w:r>
      <w:r w:rsidR="000C2F32">
        <w:t xml:space="preserve">through these price changes </w:t>
      </w:r>
      <w:r w:rsidR="008F2887">
        <w:t xml:space="preserve">ensures </w:t>
      </w:r>
      <w:r w:rsidR="00451999">
        <w:t xml:space="preserve">that spectrum use in these locations are </w:t>
      </w:r>
      <w:r w:rsidR="008F2887">
        <w:t xml:space="preserve">less </w:t>
      </w:r>
      <w:r w:rsidR="00451999">
        <w:t xml:space="preserve">likely to reach levels </w:t>
      </w:r>
      <w:r w:rsidR="00EE63D2">
        <w:t xml:space="preserve">that </w:t>
      </w:r>
      <w:r w:rsidR="003C3B4C">
        <w:t xml:space="preserve">cause harmful interference and a degradation of the utility of spectrum. </w:t>
      </w:r>
    </w:p>
    <w:p w14:paraId="6249DC6E" w14:textId="686FF4B5" w:rsidR="006572BA" w:rsidRDefault="004F62C5" w:rsidP="00331598">
      <w:pPr>
        <w:pStyle w:val="Paragraph"/>
      </w:pPr>
      <w:r>
        <w:t xml:space="preserve">The ACMA </w:t>
      </w:r>
      <w:r w:rsidR="006572BA">
        <w:t>ha</w:t>
      </w:r>
      <w:r w:rsidR="003263B5">
        <w:t>s</w:t>
      </w:r>
      <w:r w:rsidR="006572BA">
        <w:t xml:space="preserve"> </w:t>
      </w:r>
      <w:r w:rsidR="00650AB5">
        <w:t>a</w:t>
      </w:r>
      <w:r w:rsidR="00615EFC">
        <w:t xml:space="preserve">lso </w:t>
      </w:r>
      <w:r w:rsidR="006572BA">
        <w:t xml:space="preserve">held </w:t>
      </w:r>
      <w:r w:rsidR="0017326E">
        <w:t>several</w:t>
      </w:r>
      <w:r w:rsidR="006572BA">
        <w:t xml:space="preserve"> consultations </w:t>
      </w:r>
      <w:r w:rsidR="007B480A">
        <w:t>seeking feedback on reform proposals</w:t>
      </w:r>
      <w:r w:rsidR="0017326E">
        <w:t xml:space="preserve"> and suggestions for further reforms.</w:t>
      </w:r>
      <w:r w:rsidR="007B480A">
        <w:t xml:space="preserve"> </w:t>
      </w:r>
    </w:p>
    <w:p w14:paraId="626753FF" w14:textId="265C5AB0" w:rsidR="003C3DE0" w:rsidRDefault="003C3DE0" w:rsidP="00331598">
      <w:pPr>
        <w:pStyle w:val="Paragraph"/>
      </w:pPr>
      <w:r>
        <w:t xml:space="preserve">In March 2020, the ACMA commenced the consultation process with the publication of the </w:t>
      </w:r>
      <w:hyperlink r:id="rId104" w:history="1">
        <w:r w:rsidRPr="003802AE">
          <w:rPr>
            <w:rStyle w:val="Hyperlink"/>
          </w:rPr>
          <w:t>Implementation of the Spectrum Pricing Review</w:t>
        </w:r>
      </w:hyperlink>
      <w:r>
        <w:t xml:space="preserve"> (the Consultation Paper). The Consultation Paper outlined the ACMA’s draft Spectrum Pricing Guidelines and </w:t>
      </w:r>
      <w:r>
        <w:lastRenderedPageBreak/>
        <w:t xml:space="preserve">several focus areas for reform. The ACMA received a total of 27 submissions. A list of individual submissions can be found in the link above to the Consultation Paper. </w:t>
      </w:r>
    </w:p>
    <w:p w14:paraId="20CFE326" w14:textId="3716444C" w:rsidR="006572BA" w:rsidRDefault="003C3DE0" w:rsidP="00331598">
      <w:pPr>
        <w:pStyle w:val="Paragraph"/>
      </w:pPr>
      <w:r>
        <w:t xml:space="preserve">In December 2020, the ACMA published its </w:t>
      </w:r>
      <w:hyperlink r:id="rId105" w:history="1">
        <w:r w:rsidRPr="00EA17FD">
          <w:rPr>
            <w:rStyle w:val="Hyperlink"/>
          </w:rPr>
          <w:t>Response to Implementation of the Spectrum Pricing Review</w:t>
        </w:r>
      </w:hyperlink>
      <w:r>
        <w:t xml:space="preserve"> (the Response Paper) which </w:t>
      </w:r>
      <w:r w:rsidR="000748CB">
        <w:t xml:space="preserve">confirmed </w:t>
      </w:r>
      <w:r>
        <w:t>the ACMA’s final Spectrum Pricing Guidelines, and detailed the first tranche of reform proposals</w:t>
      </w:r>
      <w:r w:rsidR="00197E53">
        <w:t>.</w:t>
      </w:r>
      <w:r w:rsidR="00C23DB7">
        <w:t xml:space="preserve"> </w:t>
      </w:r>
      <w:r w:rsidR="00D157A3" w:rsidRPr="00D157A3">
        <w:t>The ACMA received a total of 9 submissions</w:t>
      </w:r>
      <w:r w:rsidR="00B2367C">
        <w:t xml:space="preserve"> (found in the link above)</w:t>
      </w:r>
      <w:r w:rsidR="00D157A3" w:rsidRPr="00D157A3">
        <w:t>.</w:t>
      </w:r>
      <w:r w:rsidR="00393FA0" w:rsidRPr="00393FA0">
        <w:t xml:space="preserve"> </w:t>
      </w:r>
      <w:r w:rsidR="006E56E3">
        <w:t>Subsequently, t</w:t>
      </w:r>
      <w:r w:rsidR="00393FA0">
        <w:t>he ACMA implemented</w:t>
      </w:r>
      <w:r w:rsidR="00EE5D94">
        <w:t xml:space="preserve"> tranche 1 reforms, which </w:t>
      </w:r>
      <w:r w:rsidR="00393FA0">
        <w:t>came into effect on 12 July 2021.</w:t>
      </w:r>
    </w:p>
    <w:p w14:paraId="4789AD0B" w14:textId="5D46F302" w:rsidR="004B5A4A" w:rsidRDefault="00D157A3" w:rsidP="00331598">
      <w:pPr>
        <w:pStyle w:val="Paragraph"/>
      </w:pPr>
      <w:r w:rsidRPr="00D157A3">
        <w:t xml:space="preserve">In October 2021, the ACMA published its </w:t>
      </w:r>
      <w:hyperlink r:id="rId106" w:history="1">
        <w:r w:rsidRPr="008C77B5">
          <w:rPr>
            <w:rStyle w:val="Hyperlink"/>
          </w:rPr>
          <w:t>Response to the Implementation of the Spectrum Pricing Review (part 2)</w:t>
        </w:r>
      </w:hyperlink>
      <w:r w:rsidRPr="00D157A3">
        <w:t xml:space="preserve"> (the Response Paper part 2) which detailed the second tranche of reform proposals concerning </w:t>
      </w:r>
      <w:r w:rsidR="005372F8">
        <w:t>the administrative pricing formula (</w:t>
      </w:r>
      <w:r w:rsidRPr="00D157A3">
        <w:t>location weightings, geographic areas, the normalisation factor</w:t>
      </w:r>
      <w:r w:rsidR="005372F8">
        <w:t>)</w:t>
      </w:r>
      <w:r w:rsidR="00DC7527">
        <w:t>,</w:t>
      </w:r>
      <w:r w:rsidRPr="00D157A3">
        <w:t xml:space="preserve"> high</w:t>
      </w:r>
      <w:r w:rsidR="005372F8">
        <w:t>-</w:t>
      </w:r>
      <w:r w:rsidRPr="00D157A3">
        <w:t xml:space="preserve">power open narrowcasting </w:t>
      </w:r>
      <w:r w:rsidR="007F244E">
        <w:t xml:space="preserve">licence </w:t>
      </w:r>
      <w:r w:rsidRPr="00D157A3">
        <w:t>taxes</w:t>
      </w:r>
      <w:r w:rsidR="00571B57">
        <w:t>, and some refinements to tranche 1 reforms</w:t>
      </w:r>
      <w:r w:rsidRPr="00D157A3">
        <w:t xml:space="preserve">. </w:t>
      </w:r>
    </w:p>
    <w:p w14:paraId="4E989D00" w14:textId="16DB43CB" w:rsidR="00F83F6E" w:rsidRDefault="00B2367C" w:rsidP="00042FB1">
      <w:pPr>
        <w:spacing w:after="80"/>
      </w:pPr>
      <w:r>
        <w:t xml:space="preserve">The ACMA has </w:t>
      </w:r>
      <w:r w:rsidR="00AC6398">
        <w:t>considered the feedback from submissions in these consultation processes that have helped us formulate policy proposals and refinements.</w:t>
      </w:r>
      <w:r w:rsidR="00941069">
        <w:t xml:space="preserve"> Salient p</w:t>
      </w:r>
      <w:r w:rsidR="007E39F8">
        <w:t xml:space="preserve">ricing issues </w:t>
      </w:r>
      <w:r w:rsidR="00A601FA">
        <w:t xml:space="preserve">raised in submissions </w:t>
      </w:r>
      <w:r w:rsidR="00F83F6E">
        <w:t>included:</w:t>
      </w:r>
    </w:p>
    <w:p w14:paraId="0CD9F483" w14:textId="206F1F6B" w:rsidR="00010D75" w:rsidRDefault="00010D75" w:rsidP="00717DD3">
      <w:pPr>
        <w:pStyle w:val="Bulletlevel1"/>
      </w:pPr>
      <w:r>
        <w:t xml:space="preserve">Several submissions received in previous SPR consultation processes commented on the discrepancy in tax rates between </w:t>
      </w:r>
      <w:r w:rsidR="002E539C">
        <w:t xml:space="preserve">high-powered open narrowcasting (HPON) </w:t>
      </w:r>
      <w:r>
        <w:t>licence</w:t>
      </w:r>
      <w:r w:rsidR="00C901DD">
        <w:t>s</w:t>
      </w:r>
      <w:r>
        <w:t xml:space="preserve"> and comparable commercial broadcasting </w:t>
      </w:r>
      <w:r w:rsidR="00CA591A">
        <w:t>licen</w:t>
      </w:r>
      <w:r>
        <w:t>ces</w:t>
      </w:r>
      <w:r>
        <w:rPr>
          <w:rStyle w:val="FootnoteReference"/>
        </w:rPr>
        <w:footnoteReference w:id="10"/>
      </w:r>
      <w:r>
        <w:t xml:space="preserve">. </w:t>
      </w:r>
      <w:r w:rsidR="00194DB1">
        <w:t xml:space="preserve">For example, </w:t>
      </w:r>
      <w:r w:rsidR="002D39B9">
        <w:t xml:space="preserve">the </w:t>
      </w:r>
      <w:r w:rsidR="00BF002D">
        <w:t xml:space="preserve">current </w:t>
      </w:r>
      <w:r w:rsidR="002D39B9">
        <w:t xml:space="preserve">annual HPON tax in Sydney and Melbourne is $41,134, which is up to </w:t>
      </w:r>
      <w:r w:rsidR="003B0975">
        <w:t>5</w:t>
      </w:r>
      <w:r w:rsidR="007B6B87">
        <w:t xml:space="preserve"> times more than </w:t>
      </w:r>
      <w:r w:rsidR="003B0975">
        <w:t xml:space="preserve">similar </w:t>
      </w:r>
      <w:r w:rsidR="007B6B87">
        <w:t>commercial broadcasters pay in the same locales.</w:t>
      </w:r>
      <w:r w:rsidR="009C3DAE">
        <w:t xml:space="preserve"> </w:t>
      </w:r>
      <w:r w:rsidR="00A6309D">
        <w:t xml:space="preserve">Addressing this price </w:t>
      </w:r>
      <w:r w:rsidR="00771C23">
        <w:t>disparity</w:t>
      </w:r>
      <w:r w:rsidR="00A6309D">
        <w:t xml:space="preserve"> directly addresses the 2</w:t>
      </w:r>
      <w:r w:rsidR="00A6309D" w:rsidRPr="003E3100">
        <w:rPr>
          <w:vertAlign w:val="superscript"/>
        </w:rPr>
        <w:t>nd</w:t>
      </w:r>
      <w:r w:rsidR="00A6309D">
        <w:t xml:space="preserve"> recommendation of the SPR</w:t>
      </w:r>
      <w:r w:rsidR="005A49FE">
        <w:t xml:space="preserve"> (</w:t>
      </w:r>
      <w:r w:rsidR="00771C23">
        <w:t>t</w:t>
      </w:r>
      <w:r w:rsidR="00A6309D" w:rsidRPr="00A6309D">
        <w:t>o ensure efficient use of spectrum, the Government and the ACMA should endeavour to charge users of similar spectrum at the same rate</w:t>
      </w:r>
      <w:r w:rsidR="005A49FE">
        <w:t>)</w:t>
      </w:r>
      <w:r w:rsidR="00A6309D" w:rsidRPr="00A6309D">
        <w:t xml:space="preserve">. </w:t>
      </w:r>
    </w:p>
    <w:p w14:paraId="2085EB48" w14:textId="39BC2E88" w:rsidR="00010D75" w:rsidRDefault="00010D75" w:rsidP="00717DD3">
      <w:pPr>
        <w:pStyle w:val="Bulletlevel1"/>
      </w:pPr>
      <w:r>
        <w:t xml:space="preserve">Submissions from the satellite industry </w:t>
      </w:r>
      <w:r w:rsidR="00B43677">
        <w:t xml:space="preserve">stated </w:t>
      </w:r>
      <w:r>
        <w:t xml:space="preserve">that new optical communications systems operating in the </w:t>
      </w:r>
      <w:r w:rsidR="00DA4873">
        <w:t>very high frequencies (</w:t>
      </w:r>
      <w:r>
        <w:t>terahertz</w:t>
      </w:r>
      <w:r w:rsidR="00BB5270">
        <w:rPr>
          <w:rStyle w:val="FootnoteReference"/>
        </w:rPr>
        <w:footnoteReference w:id="11"/>
      </w:r>
      <w:r>
        <w:t xml:space="preserve"> frequencies</w:t>
      </w:r>
      <w:r w:rsidR="00DA4873">
        <w:t>)</w:t>
      </w:r>
      <w:r>
        <w:t xml:space="preserve"> were being developed, and that despite current tax rates above 51.4 GHz </w:t>
      </w:r>
      <w:r w:rsidR="00B14BFD">
        <w:t xml:space="preserve">being </w:t>
      </w:r>
      <w:r>
        <w:t xml:space="preserve">relatively low </w:t>
      </w:r>
      <w:r w:rsidR="00B14BFD">
        <w:t xml:space="preserve">they </w:t>
      </w:r>
      <w:r>
        <w:t xml:space="preserve">were </w:t>
      </w:r>
      <w:r w:rsidR="00B14BFD">
        <w:t xml:space="preserve">still </w:t>
      </w:r>
      <w:r>
        <w:t xml:space="preserve">a </w:t>
      </w:r>
      <w:r w:rsidR="00253C07">
        <w:t xml:space="preserve">barrier </w:t>
      </w:r>
      <w:r>
        <w:t xml:space="preserve">for the new technologies </w:t>
      </w:r>
      <w:r w:rsidR="00B14BFD">
        <w:t xml:space="preserve">using large </w:t>
      </w:r>
      <w:r>
        <w:t>bandwidth</w:t>
      </w:r>
      <w:r w:rsidR="00B14BFD">
        <w:t>s</w:t>
      </w:r>
      <w:r>
        <w:t>.</w:t>
      </w:r>
      <w:r w:rsidR="004D4D14">
        <w:t xml:space="preserve"> </w:t>
      </w:r>
      <w:r w:rsidR="00E871C0">
        <w:t xml:space="preserve">For example, </w:t>
      </w:r>
      <w:r w:rsidR="008038D3">
        <w:t xml:space="preserve">in a submission to the ACMA in February 2021, </w:t>
      </w:r>
      <w:proofErr w:type="spellStart"/>
      <w:r w:rsidR="008038D3">
        <w:t>Goonhilly</w:t>
      </w:r>
      <w:proofErr w:type="spellEnd"/>
      <w:r w:rsidR="008038D3">
        <w:t xml:space="preserve"> Earth Station </w:t>
      </w:r>
      <w:r w:rsidR="00152010">
        <w:t xml:space="preserve">made representations that </w:t>
      </w:r>
      <w:r w:rsidR="00A549E2">
        <w:t xml:space="preserve">it </w:t>
      </w:r>
      <w:r w:rsidR="00C238E6">
        <w:t>intended</w:t>
      </w:r>
      <w:r w:rsidR="007E0097">
        <w:t xml:space="preserve"> to operate a</w:t>
      </w:r>
      <w:r w:rsidR="00C238E6">
        <w:t>n</w:t>
      </w:r>
      <w:r w:rsidR="007E0097">
        <w:t xml:space="preserve"> </w:t>
      </w:r>
      <w:r w:rsidR="00E84668" w:rsidRPr="00E84668">
        <w:t xml:space="preserve">Earth&gt;Space&gt;Earth laser from a </w:t>
      </w:r>
      <w:r w:rsidR="00C238E6">
        <w:t>m</w:t>
      </w:r>
      <w:r w:rsidR="00E84668" w:rsidRPr="00E84668">
        <w:t xml:space="preserve">edium </w:t>
      </w:r>
      <w:r w:rsidR="00C238E6">
        <w:t>d</w:t>
      </w:r>
      <w:r w:rsidR="00E84668" w:rsidRPr="00E84668">
        <w:t>ensity location</w:t>
      </w:r>
      <w:r w:rsidR="00E84668">
        <w:t xml:space="preserve"> using </w:t>
      </w:r>
      <w:r w:rsidR="00E84668" w:rsidRPr="00E84668">
        <w:t>3 GHz bandwidth</w:t>
      </w:r>
      <w:r w:rsidR="00E84668">
        <w:t xml:space="preserve"> </w:t>
      </w:r>
      <w:r w:rsidR="000C4665">
        <w:t xml:space="preserve">in the terahertz range. Even at the relatively low current tax rate of </w:t>
      </w:r>
      <w:r w:rsidR="007B78F8">
        <w:t>$0.00</w:t>
      </w:r>
      <w:r w:rsidR="005845D4">
        <w:t>28/</w:t>
      </w:r>
      <w:r w:rsidR="007B78F8">
        <w:t>kHz</w:t>
      </w:r>
      <w:r w:rsidR="00996F41">
        <w:t xml:space="preserve">, the high bandwidth means that the </w:t>
      </w:r>
      <w:r w:rsidR="00E84668" w:rsidRPr="00E84668">
        <w:t xml:space="preserve">annual </w:t>
      </w:r>
      <w:r w:rsidR="00996F41">
        <w:t xml:space="preserve">tax </w:t>
      </w:r>
      <w:r w:rsidR="00E84668" w:rsidRPr="00E84668">
        <w:t>$16,800</w:t>
      </w:r>
      <w:r w:rsidR="00996F41">
        <w:t xml:space="preserve"> </w:t>
      </w:r>
      <w:r w:rsidR="0053453E">
        <w:t xml:space="preserve">was a barrier to obtaining the licence. </w:t>
      </w:r>
      <w:r w:rsidR="004D4D14">
        <w:t xml:space="preserve">Reducing prices in these high frequency bands </w:t>
      </w:r>
      <w:r w:rsidR="00DE1F74">
        <w:t>will reduce these barriers to entry and enhance economic we</w:t>
      </w:r>
      <w:r w:rsidR="00450BF8">
        <w:t xml:space="preserve">lfare when these new technologies are licensed for this spectrum. </w:t>
      </w:r>
    </w:p>
    <w:p w14:paraId="4C9FEAA5" w14:textId="0D1C29A0" w:rsidR="00010D75" w:rsidRDefault="00010D75" w:rsidP="00010D75">
      <w:pPr>
        <w:pStyle w:val="Bulletlevel1"/>
      </w:pPr>
      <w:r w:rsidRPr="00AD63B5">
        <w:t xml:space="preserve">Submissions argued against the normalisation factor on the basis that it was too general in its application for annual CPI updates. </w:t>
      </w:r>
      <w:r>
        <w:t>They pointed out that licensees in remote areas faced the steady rise in licence prices stemming from these CPI updates, despite the underlying demand and supply factors for spectrum remaining largely unchanged.</w:t>
      </w:r>
      <w:r w:rsidR="00FF3C0F">
        <w:t xml:space="preserve"> </w:t>
      </w:r>
    </w:p>
    <w:p w14:paraId="2DF98C57" w14:textId="59FCBAB0" w:rsidR="00010D75" w:rsidRDefault="00010D75" w:rsidP="00010D75">
      <w:pPr>
        <w:pStyle w:val="Bulletlevel1"/>
      </w:pPr>
      <w:r>
        <w:t xml:space="preserve">The definition of the </w:t>
      </w:r>
      <w:r w:rsidRPr="003D3E68">
        <w:t xml:space="preserve">‘micro-power spectrum </w:t>
      </w:r>
      <w:proofErr w:type="gramStart"/>
      <w:r w:rsidRPr="003D3E68">
        <w:t>access’</w:t>
      </w:r>
      <w:proofErr w:type="gramEnd"/>
      <w:r w:rsidRPr="003D3E68">
        <w:t xml:space="preserve"> </w:t>
      </w:r>
      <w:r>
        <w:t xml:space="preserve">introduced </w:t>
      </w:r>
      <w:r w:rsidRPr="003D3E68">
        <w:t>in the first tranche of reforms</w:t>
      </w:r>
      <w:r>
        <w:t xml:space="preserve"> was not clear</w:t>
      </w:r>
      <w:r w:rsidRPr="003D3E68">
        <w:t>.</w:t>
      </w:r>
      <w:r w:rsidR="00F1791D">
        <w:t xml:space="preserve"> </w:t>
      </w:r>
      <w:r w:rsidR="004F025B">
        <w:t xml:space="preserve">Amending </w:t>
      </w:r>
      <w:r w:rsidR="007336EA">
        <w:t xml:space="preserve">the definition is expected to </w:t>
      </w:r>
      <w:r w:rsidR="009C518B">
        <w:t xml:space="preserve">provide greater clarity </w:t>
      </w:r>
      <w:r w:rsidR="00773D4B">
        <w:t xml:space="preserve">about eligibility </w:t>
      </w:r>
      <w:r w:rsidR="009C518B">
        <w:t>for licensees</w:t>
      </w:r>
      <w:r w:rsidR="00773D4B">
        <w:t>.</w:t>
      </w:r>
    </w:p>
    <w:p w14:paraId="5989BB9F" w14:textId="50E13E48" w:rsidR="00010D75" w:rsidRDefault="00010D75" w:rsidP="00010D75">
      <w:pPr>
        <w:pStyle w:val="Bulletlevel1"/>
      </w:pPr>
      <w:r>
        <w:t>Stakeholders lobbying for a minor change to the earth station system price introduced in the first tranche. They asked why co</w:t>
      </w:r>
      <w:r w:rsidR="0031550E">
        <w:t>-</w:t>
      </w:r>
      <w:r>
        <w:t xml:space="preserve">located </w:t>
      </w:r>
      <w:r w:rsidRPr="008B52B0">
        <w:t>earth station</w:t>
      </w:r>
      <w:r>
        <w:t>s</w:t>
      </w:r>
      <w:r w:rsidRPr="008B52B0">
        <w:t xml:space="preserve"> </w:t>
      </w:r>
      <w:r>
        <w:lastRenderedPageBreak/>
        <w:t>operating within the licenced bandwidth but on different centre frequencies</w:t>
      </w:r>
      <w:r w:rsidR="00EC3418">
        <w:rPr>
          <w:rStyle w:val="FootnoteReference"/>
        </w:rPr>
        <w:footnoteReference w:id="12"/>
      </w:r>
      <w:r>
        <w:t xml:space="preserve"> could not be included in the system price.</w:t>
      </w:r>
      <w:r w:rsidR="00C56BC5">
        <w:t xml:space="preserve"> </w:t>
      </w:r>
    </w:p>
    <w:p w14:paraId="7584CC7B" w14:textId="3CFA3118" w:rsidR="001071E4" w:rsidRDefault="001F389D" w:rsidP="001071E4">
      <w:pPr>
        <w:spacing w:after="80"/>
      </w:pPr>
      <w:r>
        <w:t>T</w:t>
      </w:r>
      <w:r w:rsidR="00B3050E">
        <w:t>he ACMA developed the 2</w:t>
      </w:r>
      <w:r w:rsidR="00B3050E" w:rsidRPr="00440F61">
        <w:rPr>
          <w:vertAlign w:val="superscript"/>
        </w:rPr>
        <w:t>nd</w:t>
      </w:r>
      <w:r w:rsidR="00B3050E">
        <w:t xml:space="preserve"> tranche of reforms</w:t>
      </w:r>
      <w:r w:rsidR="00B3050E" w:rsidRPr="00297351">
        <w:t xml:space="preserve"> </w:t>
      </w:r>
      <w:r w:rsidR="00721490">
        <w:t xml:space="preserve">(see section 3) </w:t>
      </w:r>
      <w:r w:rsidR="00B3050E">
        <w:t xml:space="preserve">in response to </w:t>
      </w:r>
      <w:r w:rsidR="00614003" w:rsidRPr="00297351">
        <w:t xml:space="preserve">the SPR recommendations </w:t>
      </w:r>
      <w:r w:rsidR="001071E4">
        <w:t xml:space="preserve">and </w:t>
      </w:r>
      <w:r w:rsidR="00D35841">
        <w:t xml:space="preserve">this </w:t>
      </w:r>
      <w:r w:rsidR="001071E4">
        <w:t xml:space="preserve">stakeholder feedback. </w:t>
      </w:r>
    </w:p>
    <w:p w14:paraId="0EBC2510" w14:textId="2A1E4C1A" w:rsidR="00614003" w:rsidRDefault="00420E2A" w:rsidP="00614003">
      <w:pPr>
        <w:spacing w:before="120" w:after="120" w:line="240" w:lineRule="auto"/>
        <w:rPr>
          <w:rFonts w:cs="Arial"/>
          <w:iCs/>
          <w:color w:val="000000"/>
          <w:szCs w:val="20"/>
        </w:rPr>
      </w:pPr>
      <w:r>
        <w:rPr>
          <w:rFonts w:cs="Arial"/>
          <w:iCs/>
          <w:color w:val="000000"/>
          <w:szCs w:val="20"/>
        </w:rPr>
        <w:t xml:space="preserve">See </w:t>
      </w:r>
      <w:r w:rsidR="00BD66BE">
        <w:rPr>
          <w:rFonts w:cs="Arial"/>
          <w:iCs/>
          <w:color w:val="000000"/>
          <w:szCs w:val="20"/>
        </w:rPr>
        <w:t>section ‘</w:t>
      </w:r>
      <w:r w:rsidR="003B5649">
        <w:rPr>
          <w:rFonts w:cs="Arial"/>
          <w:iCs/>
          <w:color w:val="000000"/>
          <w:szCs w:val="20"/>
        </w:rPr>
        <w:fldChar w:fldCharType="begin"/>
      </w:r>
      <w:r w:rsidR="003B5649">
        <w:rPr>
          <w:rFonts w:cs="Arial"/>
          <w:iCs/>
          <w:color w:val="000000"/>
          <w:szCs w:val="20"/>
        </w:rPr>
        <w:instrText xml:space="preserve"> REF _Ref99372977 \h </w:instrText>
      </w:r>
      <w:r w:rsidR="003B5649">
        <w:rPr>
          <w:rFonts w:cs="Arial"/>
          <w:iCs/>
          <w:color w:val="000000"/>
          <w:szCs w:val="20"/>
        </w:rPr>
      </w:r>
      <w:r w:rsidR="003B5649">
        <w:rPr>
          <w:rFonts w:cs="Arial"/>
          <w:iCs/>
          <w:color w:val="000000"/>
          <w:szCs w:val="20"/>
        </w:rPr>
        <w:fldChar w:fldCharType="separate"/>
      </w:r>
      <w:r w:rsidR="00FE0943">
        <w:t>4. Who did you consult and how did you incorporate their feedback?</w:t>
      </w:r>
      <w:r w:rsidR="003B5649">
        <w:rPr>
          <w:rFonts w:cs="Arial"/>
          <w:iCs/>
          <w:color w:val="000000"/>
          <w:szCs w:val="20"/>
        </w:rPr>
        <w:fldChar w:fldCharType="end"/>
      </w:r>
      <w:r w:rsidR="00BD66BE">
        <w:rPr>
          <w:rFonts w:cs="Arial"/>
          <w:iCs/>
          <w:color w:val="000000"/>
          <w:szCs w:val="20"/>
        </w:rPr>
        <w:t xml:space="preserve">’ for more detail about stakeholder </w:t>
      </w:r>
      <w:r w:rsidR="001E5B1D">
        <w:rPr>
          <w:rFonts w:cs="Arial"/>
          <w:iCs/>
          <w:color w:val="000000"/>
          <w:szCs w:val="20"/>
        </w:rPr>
        <w:t xml:space="preserve">feedback. </w:t>
      </w:r>
    </w:p>
    <w:p w14:paraId="62F307A7" w14:textId="77777777" w:rsidR="00BD66BE" w:rsidRDefault="00BD66BE" w:rsidP="00614003">
      <w:pPr>
        <w:spacing w:before="120" w:after="120" w:line="240" w:lineRule="auto"/>
        <w:rPr>
          <w:rFonts w:cs="Arial"/>
          <w:iCs/>
          <w:color w:val="000000"/>
          <w:szCs w:val="20"/>
        </w:rPr>
      </w:pPr>
    </w:p>
    <w:p w14:paraId="445E4E5C" w14:textId="77777777" w:rsidR="00D440FC" w:rsidRDefault="00D440FC">
      <w:pPr>
        <w:spacing w:after="160" w:line="259" w:lineRule="auto"/>
        <w:rPr>
          <w:rFonts w:cs="Arial"/>
          <w:b/>
          <w:bCs/>
          <w:iCs/>
          <w:sz w:val="28"/>
          <w:szCs w:val="28"/>
        </w:rPr>
      </w:pPr>
      <w:bookmarkStart w:id="16" w:name="_Toc32833686"/>
      <w:bookmarkStart w:id="17" w:name="_Toc32833741"/>
      <w:bookmarkStart w:id="18" w:name="_Toc32833814"/>
      <w:bookmarkStart w:id="19" w:name="_Toc33176369"/>
      <w:r>
        <w:br w:type="page"/>
      </w:r>
    </w:p>
    <w:p w14:paraId="2EFCF576" w14:textId="20BB1696" w:rsidR="003C7CC4" w:rsidRPr="00A7032A" w:rsidRDefault="003C7CC4" w:rsidP="006E6ED7">
      <w:pPr>
        <w:pStyle w:val="Heading1"/>
      </w:pPr>
      <w:bookmarkStart w:id="20" w:name="_Toc99632502"/>
      <w:bookmarkStart w:id="21" w:name="_Toc109035837"/>
      <w:r w:rsidRPr="00A7032A">
        <w:lastRenderedPageBreak/>
        <w:t>2.</w:t>
      </w:r>
      <w:r w:rsidRPr="00A7032A">
        <w:tab/>
        <w:t>Why is government action needed?</w:t>
      </w:r>
      <w:bookmarkEnd w:id="16"/>
      <w:bookmarkEnd w:id="17"/>
      <w:bookmarkEnd w:id="18"/>
      <w:bookmarkEnd w:id="19"/>
      <w:bookmarkEnd w:id="20"/>
      <w:bookmarkEnd w:id="21"/>
    </w:p>
    <w:p w14:paraId="13289920" w14:textId="77777777" w:rsidR="001F6073" w:rsidRDefault="001F6073" w:rsidP="002E00D5">
      <w:bookmarkStart w:id="22" w:name="_Toc32833688"/>
      <w:bookmarkStart w:id="23" w:name="_Toc32833743"/>
      <w:bookmarkStart w:id="24" w:name="_Toc32833816"/>
      <w:bookmarkStart w:id="25" w:name="_Toc33176371"/>
      <w:bookmarkStart w:id="26" w:name="_Hlk29987546"/>
    </w:p>
    <w:p w14:paraId="3714B8D9" w14:textId="38273F5B" w:rsidR="001F6073" w:rsidRDefault="001F6073" w:rsidP="002E00D5">
      <w:r>
        <w:rPr>
          <w:noProof/>
        </w:rPr>
        <w:drawing>
          <wp:inline distT="0" distB="0" distL="0" distR="0" wp14:anchorId="54B65A21" wp14:editId="34CD79D0">
            <wp:extent cx="4871085" cy="2465705"/>
            <wp:effectExtent l="0" t="0" r="5715"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07"/>
                    <a:stretch>
                      <a:fillRect/>
                    </a:stretch>
                  </pic:blipFill>
                  <pic:spPr>
                    <a:xfrm>
                      <a:off x="0" y="0"/>
                      <a:ext cx="4871085" cy="2465705"/>
                    </a:xfrm>
                    <a:prstGeom prst="rect">
                      <a:avLst/>
                    </a:prstGeom>
                  </pic:spPr>
                </pic:pic>
              </a:graphicData>
            </a:graphic>
          </wp:inline>
        </w:drawing>
      </w:r>
    </w:p>
    <w:p w14:paraId="6968FD4B" w14:textId="35B55C35" w:rsidR="00FB1EA6" w:rsidRPr="000F699D" w:rsidRDefault="00EF0EA2" w:rsidP="0048210C">
      <w:r w:rsidRPr="000F699D">
        <w:t>The use of spectrum is managed by government regulation because it is a scarce resource and a valuable factor of production that needs to be coordinated to ensure its operational utility (</w:t>
      </w:r>
      <w:proofErr w:type="gramStart"/>
      <w:r w:rsidRPr="000F699D">
        <w:t>i.e.</w:t>
      </w:r>
      <w:proofErr w:type="gramEnd"/>
      <w:r w:rsidRPr="000F699D">
        <w:t xml:space="preserve"> mitigate the risk of harmful interference). </w:t>
      </w:r>
      <w:r w:rsidR="00FB1EA6" w:rsidRPr="000F699D">
        <w:t>The objective of government in this space is to ensure the efficient allocation and use of spectrum,</w:t>
      </w:r>
      <w:r w:rsidR="00D543EA" w:rsidRPr="000F699D">
        <w:rPr>
          <w:rStyle w:val="FootnoteReference"/>
        </w:rPr>
        <w:footnoteReference w:id="13"/>
      </w:r>
      <w:r w:rsidR="00FB1EA6" w:rsidRPr="000F699D">
        <w:t xml:space="preserve"> a limited natural resource.</w:t>
      </w:r>
    </w:p>
    <w:p w14:paraId="4108F377" w14:textId="6838E2FD" w:rsidR="0048210C" w:rsidRPr="000F699D" w:rsidRDefault="0048210C" w:rsidP="0048210C">
      <w:r w:rsidRPr="000F699D">
        <w:t>While markets are important in ensuring the efficient allocation of spectrum, spectrum’s commons nature means that there is a continuing role for governments in spectrum management. Like private goods, one person’s use of spectrum stops somebody else from using it. But unlike private goods where the user is also discernibly in possession of the good to the exclusion of others, it’s difficult to exclude people from using whatever spectrum they desire. In the absence of clear property rights and/or government intervention, there may be overuse, resulting in interference to other users</w:t>
      </w:r>
      <w:r w:rsidR="00983BD3" w:rsidRPr="000F699D">
        <w:t xml:space="preserve"> and the </w:t>
      </w:r>
      <w:hyperlink r:id="rId108" w:history="1">
        <w:r w:rsidR="00983BD3" w:rsidRPr="000F699D">
          <w:rPr>
            <w:rStyle w:val="Hyperlink"/>
          </w:rPr>
          <w:t>‘tragedy of the commons’</w:t>
        </w:r>
      </w:hyperlink>
      <w:r w:rsidRPr="000F699D">
        <w:t>. Government therefore has a role to play in providing orderly and fair access to spectrum, while enabling market forces to operate as much as practicable.</w:t>
      </w:r>
    </w:p>
    <w:p w14:paraId="221CDE12" w14:textId="23997573" w:rsidR="00096D5E" w:rsidRDefault="00096D5E" w:rsidP="00096D5E">
      <w:r>
        <w:t>The</w:t>
      </w:r>
      <w:r w:rsidR="005528FE">
        <w:t xml:space="preserve"> government’s </w:t>
      </w:r>
      <w:r>
        <w:t>spectrum management regulations include legislative instruments for spectrum planning, licensing frameworks</w:t>
      </w:r>
      <w:r w:rsidRPr="002E00D5">
        <w:t>, pricing structures and compliance and enforcement programs.</w:t>
      </w:r>
      <w:r w:rsidRPr="00EE0735">
        <w:t xml:space="preserve"> </w:t>
      </w:r>
    </w:p>
    <w:p w14:paraId="23BCF843" w14:textId="5DCA720B" w:rsidR="00D46D63" w:rsidRDefault="00610769" w:rsidP="003E3100">
      <w:r>
        <w:t xml:space="preserve">Pricing is one of </w:t>
      </w:r>
      <w:r w:rsidR="004775E4">
        <w:t>th</w:t>
      </w:r>
      <w:r w:rsidR="006A6E2E">
        <w:t>e</w:t>
      </w:r>
      <w:r w:rsidR="004775E4">
        <w:t xml:space="preserve"> management tools </w:t>
      </w:r>
      <w:r>
        <w:t xml:space="preserve">that the ACMA uses to manage the spectrum </w:t>
      </w:r>
      <w:proofErr w:type="gramStart"/>
      <w:r w:rsidR="006B5FAC">
        <w:t>in order to</w:t>
      </w:r>
      <w:proofErr w:type="gramEnd"/>
      <w:r w:rsidR="006B5FAC">
        <w:t xml:space="preserve"> maximise its benefit to society.</w:t>
      </w:r>
      <w:r w:rsidR="00BE4929">
        <w:rPr>
          <w:rStyle w:val="FootnoteReference"/>
        </w:rPr>
        <w:footnoteReference w:id="14"/>
      </w:r>
      <w:r w:rsidR="00E55B45">
        <w:t xml:space="preserve"> </w:t>
      </w:r>
      <w:r w:rsidR="00CB2BEA" w:rsidRPr="00CB2BEA">
        <w:t xml:space="preserve">Subsection 7(1) of the </w:t>
      </w:r>
      <w:r w:rsidR="004B2F1D" w:rsidRPr="003E3100">
        <w:rPr>
          <w:i/>
          <w:iCs/>
        </w:rPr>
        <w:t>Radiocommunications (Transmitter Licence Tax) Act 1983</w:t>
      </w:r>
      <w:r w:rsidR="004B2F1D">
        <w:t xml:space="preserve"> and </w:t>
      </w:r>
      <w:r w:rsidR="00542ACC" w:rsidRPr="00CB2BEA">
        <w:t xml:space="preserve">Subsection 7(1) of the </w:t>
      </w:r>
      <w:r w:rsidR="00542ACC" w:rsidRPr="004B519B">
        <w:rPr>
          <w:i/>
          <w:iCs/>
        </w:rPr>
        <w:t>Radiocommunications (</w:t>
      </w:r>
      <w:r w:rsidR="00542ACC">
        <w:rPr>
          <w:i/>
          <w:iCs/>
        </w:rPr>
        <w:t>Receiver</w:t>
      </w:r>
      <w:r w:rsidR="00542ACC" w:rsidRPr="004B519B">
        <w:rPr>
          <w:i/>
          <w:iCs/>
        </w:rPr>
        <w:t xml:space="preserve"> Licence Tax) Act 1983</w:t>
      </w:r>
      <w:r w:rsidR="00542ACC">
        <w:t xml:space="preserve"> </w:t>
      </w:r>
      <w:r w:rsidR="00CB2BEA" w:rsidRPr="00CB2BEA">
        <w:t>provides that the ACMA may determine the amount of tax</w:t>
      </w:r>
      <w:r w:rsidR="000A62B9">
        <w:t xml:space="preserve"> for apparatus licences. </w:t>
      </w:r>
      <w:r w:rsidR="00D46D63">
        <w:t xml:space="preserve">The tax levied on apparatus licences allows the ACMA to create economic incentives for efficient use of the </w:t>
      </w:r>
      <w:r w:rsidR="00D46D63">
        <w:lastRenderedPageBreak/>
        <w:t>spectrum. It also encourages licensees to use the minimum amount of bandwidth for their needs, to move to less congested bands, and to surrender licences that are no longer needed.</w:t>
      </w:r>
      <w:r w:rsidR="00F54156">
        <w:t xml:space="preserve"> </w:t>
      </w:r>
      <w:r w:rsidR="00D46D63">
        <w:t xml:space="preserve">The ACMA generally seeks to ensure efficient use of spectrum by allocating frequencies to licensees with the greatest willingness to pay. If a tax is too low, licensees with </w:t>
      </w:r>
      <w:proofErr w:type="gramStart"/>
      <w:r w:rsidR="00D46D63">
        <w:t>low-value</w:t>
      </w:r>
      <w:proofErr w:type="gramEnd"/>
      <w:r w:rsidR="00D46D63">
        <w:t xml:space="preserve"> uses can viably occupy frequencies, excluding more economically efficient uses.</w:t>
      </w:r>
    </w:p>
    <w:p w14:paraId="506BDD51" w14:textId="12A3E18E" w:rsidR="00E55B45" w:rsidRDefault="00E55B45" w:rsidP="00BE02C3">
      <w:r>
        <w:t xml:space="preserve">The ACMA sets </w:t>
      </w:r>
      <w:r w:rsidR="00F54156">
        <w:t xml:space="preserve">these </w:t>
      </w:r>
      <w:r w:rsidR="00071958">
        <w:t>taxes</w:t>
      </w:r>
      <w:r w:rsidR="00F54156">
        <w:t xml:space="preserve"> (prices</w:t>
      </w:r>
      <w:r w:rsidR="00071958">
        <w:t xml:space="preserve">) </w:t>
      </w:r>
      <w:r>
        <w:t xml:space="preserve">for </w:t>
      </w:r>
      <w:r w:rsidR="0025208B">
        <w:t xml:space="preserve">apparatus licences </w:t>
      </w:r>
      <w:r>
        <w:t>in the</w:t>
      </w:r>
      <w:r w:rsidR="00B175A9">
        <w:t xml:space="preserve"> following tax determinations</w:t>
      </w:r>
      <w:r>
        <w:t>:</w:t>
      </w:r>
    </w:p>
    <w:p w14:paraId="256C59ED" w14:textId="31C5F052" w:rsidR="00CD486B" w:rsidRDefault="00CD486B" w:rsidP="00200E86">
      <w:pPr>
        <w:pStyle w:val="Bulletlevel1"/>
      </w:pPr>
      <w:r>
        <w:t xml:space="preserve">Radiocommunications </w:t>
      </w:r>
      <w:r w:rsidR="0025208B">
        <w:t>(</w:t>
      </w:r>
      <w:r w:rsidR="00795653">
        <w:t>Transmitter L</w:t>
      </w:r>
      <w:r w:rsidR="0025208B">
        <w:t xml:space="preserve">icence </w:t>
      </w:r>
      <w:r w:rsidR="00795653">
        <w:t>T</w:t>
      </w:r>
      <w:r w:rsidR="0025208B">
        <w:t>ax</w:t>
      </w:r>
      <w:r w:rsidR="00AB3BF6">
        <w:t>)</w:t>
      </w:r>
      <w:r w:rsidR="0025208B">
        <w:t xml:space="preserve"> </w:t>
      </w:r>
      <w:r w:rsidR="00795653">
        <w:t>D</w:t>
      </w:r>
      <w:r w:rsidR="0025208B">
        <w:t>etermination 2015</w:t>
      </w:r>
      <w:r w:rsidR="00D924F0">
        <w:t>.</w:t>
      </w:r>
    </w:p>
    <w:p w14:paraId="4A8BEE2A" w14:textId="48689660" w:rsidR="007873B3" w:rsidRDefault="007873B3" w:rsidP="00200E86">
      <w:pPr>
        <w:pStyle w:val="Bulletlevel1"/>
      </w:pPr>
      <w:r>
        <w:t>Radiocommunications (</w:t>
      </w:r>
      <w:r w:rsidR="00795653">
        <w:t>R</w:t>
      </w:r>
      <w:r>
        <w:t xml:space="preserve">eceiver </w:t>
      </w:r>
      <w:r w:rsidR="00795653">
        <w:t>L</w:t>
      </w:r>
      <w:r>
        <w:t xml:space="preserve">icence </w:t>
      </w:r>
      <w:r w:rsidR="00795653">
        <w:t>T</w:t>
      </w:r>
      <w:r>
        <w:t>ax</w:t>
      </w:r>
      <w:r w:rsidR="00AB3BF6">
        <w:t>)</w:t>
      </w:r>
      <w:r>
        <w:t xml:space="preserve"> </w:t>
      </w:r>
      <w:r w:rsidR="00795653">
        <w:t>D</w:t>
      </w:r>
      <w:r>
        <w:t>etermination 2015</w:t>
      </w:r>
      <w:r w:rsidR="00D924F0">
        <w:t>.</w:t>
      </w:r>
    </w:p>
    <w:p w14:paraId="44396E0B" w14:textId="77777777" w:rsidR="00E55B45" w:rsidRDefault="00E55B45" w:rsidP="00BE02C3"/>
    <w:p w14:paraId="4FF0296A" w14:textId="0F4B0846" w:rsidR="006B5FAC" w:rsidRDefault="00F60E7E" w:rsidP="00204783">
      <w:r>
        <w:t>The Government’s use of efficient pricing methods can influence the allocation of spectrum between different users. The price determines which user will most likely put the spectrum to the highest value use. Such an approach by government enables the efficient allocation of spectrum while ensuring interference is managed.</w:t>
      </w:r>
      <w:r w:rsidR="00EC1DDF">
        <w:t xml:space="preserve"> </w:t>
      </w:r>
      <w:r w:rsidR="004E72FE">
        <w:t xml:space="preserve">But </w:t>
      </w:r>
      <w:r w:rsidR="005A34D8">
        <w:t xml:space="preserve">spectrum markets and industries using spectrum </w:t>
      </w:r>
      <w:r w:rsidR="00ED5A34">
        <w:t xml:space="preserve">in downstream markets are dynamic, so </w:t>
      </w:r>
      <w:r w:rsidR="004E72FE">
        <w:t xml:space="preserve">these prices need to adjust to </w:t>
      </w:r>
      <w:r w:rsidR="00C835D0">
        <w:t>changes in</w:t>
      </w:r>
      <w:r w:rsidR="004E72FE">
        <w:t xml:space="preserve"> </w:t>
      </w:r>
      <w:r w:rsidR="00824BA5">
        <w:t xml:space="preserve">these </w:t>
      </w:r>
      <w:r w:rsidR="004E72FE">
        <w:t xml:space="preserve">markets over time. </w:t>
      </w:r>
    </w:p>
    <w:p w14:paraId="6A85683B" w14:textId="6F5DC188" w:rsidR="00A02DF6" w:rsidRDefault="00EA3BEF" w:rsidP="00231136">
      <w:pPr>
        <w:pStyle w:val="CommentText"/>
      </w:pPr>
      <w:r>
        <w:t xml:space="preserve">Maintaining the pricing framework so that it is contemporary and </w:t>
      </w:r>
      <w:r w:rsidR="00717931">
        <w:t>relevant</w:t>
      </w:r>
      <w:r>
        <w:t xml:space="preserve"> for the current technological environment is important for achieving the object of the Act. </w:t>
      </w:r>
      <w:r w:rsidR="006E355C">
        <w:t xml:space="preserve">To date, </w:t>
      </w:r>
      <w:r w:rsidR="00C835D0">
        <w:t>t</w:t>
      </w:r>
      <w:r w:rsidR="00A02DF6">
        <w:t xml:space="preserve">he ACMA has </w:t>
      </w:r>
      <w:r w:rsidR="00C835D0">
        <w:t xml:space="preserve">adjusted </w:t>
      </w:r>
      <w:r w:rsidR="00A7492C">
        <w:t>prices in a piecemeal fashion</w:t>
      </w:r>
      <w:r w:rsidR="00F7751A">
        <w:t xml:space="preserve">, often </w:t>
      </w:r>
      <w:r w:rsidR="00526767">
        <w:t>setting</w:t>
      </w:r>
      <w:r w:rsidR="00F7751A">
        <w:t xml:space="preserve"> prices for individual services or individual bands</w:t>
      </w:r>
      <w:r w:rsidR="00526767">
        <w:t>.</w:t>
      </w:r>
      <w:r w:rsidR="00A7492C">
        <w:t xml:space="preserve"> </w:t>
      </w:r>
      <w:r w:rsidR="006A0A28">
        <w:t>T</w:t>
      </w:r>
      <w:r w:rsidR="00A7492C">
        <w:t xml:space="preserve">he SPR has highlighted the need for a more holistic review </w:t>
      </w:r>
      <w:r w:rsidR="00F7751A">
        <w:t>of prices</w:t>
      </w:r>
      <w:r w:rsidR="00CE571E">
        <w:t xml:space="preserve"> (recommendation 7)</w:t>
      </w:r>
      <w:r w:rsidR="00D85C76">
        <w:t xml:space="preserve">. </w:t>
      </w:r>
      <w:r w:rsidR="00231136">
        <w:t>The spectrum pricing review and the implementation of amendments to the tax determinations is intended to and expected to enhance the long-term public benefit.</w:t>
      </w:r>
    </w:p>
    <w:p w14:paraId="56CA67EA" w14:textId="77777777" w:rsidR="00AA419C" w:rsidRDefault="00AA419C" w:rsidP="00231136">
      <w:pPr>
        <w:pStyle w:val="CommentText"/>
      </w:pPr>
    </w:p>
    <w:p w14:paraId="2DD68057" w14:textId="77777777" w:rsidR="00EA3BEF" w:rsidRDefault="00EA3BEF" w:rsidP="006E6ED7"/>
    <w:p w14:paraId="238F7032" w14:textId="77777777" w:rsidR="00EA3BEF" w:rsidRDefault="00EA3BEF" w:rsidP="006E6ED7"/>
    <w:p w14:paraId="52386070" w14:textId="77777777" w:rsidR="00EA3BEF" w:rsidRDefault="00EA3BEF" w:rsidP="006E6ED7"/>
    <w:p w14:paraId="012048C2" w14:textId="77777777" w:rsidR="00EA3BEF" w:rsidRDefault="00EA3BEF" w:rsidP="00EA3BEF">
      <w:pPr>
        <w:pStyle w:val="CommentText"/>
      </w:pPr>
    </w:p>
    <w:p w14:paraId="1CCBD36D" w14:textId="77777777" w:rsidR="00EA3BEF" w:rsidRDefault="00EA3BEF" w:rsidP="00EA3BEF"/>
    <w:p w14:paraId="2ADD26A5" w14:textId="77777777" w:rsidR="00EA3BEF" w:rsidRPr="008679A4" w:rsidRDefault="00EA3BEF" w:rsidP="006E6ED7">
      <w:pPr>
        <w:rPr>
          <w:rFonts w:cs="Arial"/>
          <w:color w:val="000000"/>
          <w:sz w:val="22"/>
          <w:szCs w:val="22"/>
        </w:rPr>
      </w:pPr>
    </w:p>
    <w:p w14:paraId="3FB3A022" w14:textId="77777777" w:rsidR="006D1AD6" w:rsidRDefault="006D1AD6">
      <w:pPr>
        <w:spacing w:after="160" w:line="259" w:lineRule="auto"/>
        <w:rPr>
          <w:rFonts w:cs="Arial"/>
          <w:b/>
          <w:bCs/>
          <w:iCs/>
          <w:sz w:val="28"/>
          <w:szCs w:val="28"/>
        </w:rPr>
      </w:pPr>
      <w:r>
        <w:br w:type="page"/>
      </w:r>
    </w:p>
    <w:p w14:paraId="64E3EF1F" w14:textId="3C08FBE0" w:rsidR="003C7CC4" w:rsidRPr="00F4483B" w:rsidRDefault="003C7CC4" w:rsidP="006E6ED7">
      <w:pPr>
        <w:pStyle w:val="Heading1"/>
      </w:pPr>
      <w:bookmarkStart w:id="27" w:name="_Toc99632503"/>
      <w:bookmarkStart w:id="28" w:name="_Toc109035838"/>
      <w:r w:rsidRPr="00F4483B">
        <w:lastRenderedPageBreak/>
        <w:t>3.</w:t>
      </w:r>
      <w:r w:rsidRPr="00F4483B">
        <w:tab/>
        <w:t>What policy options have been considered?</w:t>
      </w:r>
      <w:bookmarkEnd w:id="22"/>
      <w:bookmarkEnd w:id="23"/>
      <w:bookmarkEnd w:id="24"/>
      <w:bookmarkEnd w:id="25"/>
      <w:bookmarkEnd w:id="27"/>
      <w:bookmarkEnd w:id="28"/>
    </w:p>
    <w:p w14:paraId="115A1570" w14:textId="55BEE419" w:rsidR="006E7D04" w:rsidRDefault="006E7D04" w:rsidP="006E6ED7">
      <w:pPr>
        <w:pStyle w:val="Heading2"/>
      </w:pPr>
      <w:bookmarkStart w:id="29" w:name="_Toc99632504"/>
      <w:bookmarkStart w:id="30" w:name="_Toc109035839"/>
      <w:r w:rsidRPr="005D3200">
        <w:t xml:space="preserve">Option </w:t>
      </w:r>
      <w:r w:rsidR="000747F0">
        <w:t>1</w:t>
      </w:r>
      <w:r w:rsidRPr="005D3200">
        <w:t xml:space="preserve"> (</w:t>
      </w:r>
      <w:r w:rsidR="000747F0">
        <w:t>Status quo</w:t>
      </w:r>
      <w:r w:rsidRPr="005D3200">
        <w:t>)</w:t>
      </w:r>
      <w:bookmarkEnd w:id="29"/>
      <w:bookmarkEnd w:id="30"/>
    </w:p>
    <w:p w14:paraId="69636969" w14:textId="77777777" w:rsidR="00027B16" w:rsidRPr="000F699D" w:rsidRDefault="007F78F6" w:rsidP="00027B16">
      <w:pPr>
        <w:spacing w:before="120" w:after="120" w:line="240" w:lineRule="auto"/>
        <w:rPr>
          <w:rFonts w:cs="Arial"/>
          <w:bCs/>
          <w:color w:val="000000"/>
          <w:szCs w:val="20"/>
        </w:rPr>
      </w:pPr>
      <w:r w:rsidRPr="00CF7DA4">
        <w:rPr>
          <w:rFonts w:cs="Arial"/>
          <w:bCs/>
          <w:color w:val="000000"/>
          <w:szCs w:val="20"/>
        </w:rPr>
        <w:t>No change. This is not a preferred course since there will be several SPR recommendations and pricing issues unaddressed</w:t>
      </w:r>
      <w:r>
        <w:rPr>
          <w:rFonts w:cs="Arial"/>
          <w:bCs/>
          <w:color w:val="000000"/>
          <w:szCs w:val="20"/>
        </w:rPr>
        <w:t xml:space="preserve">, leaving potential benefits </w:t>
      </w:r>
      <w:r w:rsidRPr="000F699D">
        <w:rPr>
          <w:rFonts w:cs="Arial"/>
          <w:bCs/>
          <w:color w:val="000000"/>
          <w:szCs w:val="20"/>
        </w:rPr>
        <w:t xml:space="preserve">unrealised and forgoing the opportunity to update and improve the efficiency of prices. </w:t>
      </w:r>
      <w:r w:rsidR="00027B16" w:rsidRPr="000F699D">
        <w:rPr>
          <w:rFonts w:cs="Arial"/>
          <w:bCs/>
          <w:color w:val="000000"/>
          <w:szCs w:val="20"/>
        </w:rPr>
        <w:t xml:space="preserve">Note that section 5 details the costs and benefits of each option. </w:t>
      </w:r>
    </w:p>
    <w:p w14:paraId="08846ACC" w14:textId="45C49103" w:rsidR="005A669F" w:rsidRPr="000F699D" w:rsidRDefault="005A669F" w:rsidP="006E7D04">
      <w:pPr>
        <w:spacing w:before="120" w:after="120" w:line="240" w:lineRule="auto"/>
        <w:rPr>
          <w:rFonts w:cs="Arial"/>
          <w:bCs/>
          <w:color w:val="000000"/>
          <w:szCs w:val="20"/>
        </w:rPr>
      </w:pPr>
      <w:r w:rsidRPr="000F699D">
        <w:rPr>
          <w:rFonts w:cs="Arial"/>
          <w:bCs/>
          <w:color w:val="000000"/>
          <w:szCs w:val="20"/>
        </w:rPr>
        <w:t xml:space="preserve">Regulation is required to alter and update the licensing and pricing framework for spectrum. </w:t>
      </w:r>
      <w:r w:rsidR="00702E58" w:rsidRPr="000F699D">
        <w:rPr>
          <w:rFonts w:cs="Arial"/>
          <w:bCs/>
          <w:color w:val="000000"/>
          <w:szCs w:val="20"/>
        </w:rPr>
        <w:t>These are the mechanisms by which the government ensures its efficient use. As such, there are no viable new non-regulatory options to be undertaken.</w:t>
      </w:r>
    </w:p>
    <w:p w14:paraId="4ECBEE8D" w14:textId="15A9CDC5" w:rsidR="00045915" w:rsidRDefault="00C871AD" w:rsidP="00815267">
      <w:pPr>
        <w:pStyle w:val="Paragraph"/>
      </w:pPr>
      <w:r w:rsidRPr="000F699D">
        <w:t>Notwithstanding</w:t>
      </w:r>
      <w:r w:rsidR="001B5BCD" w:rsidRPr="000F699D">
        <w:t>, t</w:t>
      </w:r>
      <w:r w:rsidR="00045915" w:rsidRPr="000F699D">
        <w:t xml:space="preserve">he ACMA has/is addressing </w:t>
      </w:r>
      <w:proofErr w:type="gramStart"/>
      <w:r w:rsidR="00045915" w:rsidRPr="000F699D">
        <w:t>a number of</w:t>
      </w:r>
      <w:proofErr w:type="gramEnd"/>
      <w:r w:rsidR="00045915" w:rsidRPr="000F699D">
        <w:t xml:space="preserve"> the SPR recommendations that don’t require regulation. For example, in the 1</w:t>
      </w:r>
      <w:r w:rsidR="00045915" w:rsidRPr="000F699D">
        <w:rPr>
          <w:vertAlign w:val="superscript"/>
        </w:rPr>
        <w:t>st</w:t>
      </w:r>
      <w:r w:rsidR="00045915" w:rsidRPr="000F699D">
        <w:t xml:space="preserve"> tranche of reforms the ACMA published pricing principles that explain the foundation for the ACMA pricing decisions,</w:t>
      </w:r>
      <w:r w:rsidR="00045915">
        <w:t xml:space="preserve"> providing stakeholders with more transparency </w:t>
      </w:r>
      <w:r w:rsidR="008E56E0">
        <w:t xml:space="preserve">about </w:t>
      </w:r>
      <w:r w:rsidR="008E56E0" w:rsidRPr="008E56E0">
        <w:t xml:space="preserve">decision-making thereby promoting greater certainty and consistency for licensees </w:t>
      </w:r>
      <w:r w:rsidR="00045915">
        <w:t>(</w:t>
      </w:r>
      <w:r w:rsidR="000F32F5">
        <w:t xml:space="preserve">and </w:t>
      </w:r>
      <w:r w:rsidR="00045915">
        <w:t xml:space="preserve">satisfying SPR recommendation 1). </w:t>
      </w:r>
    </w:p>
    <w:p w14:paraId="008B77A9" w14:textId="50FB9E03" w:rsidR="00045915" w:rsidRPr="003E6945" w:rsidRDefault="00045915" w:rsidP="00815267">
      <w:pPr>
        <w:pStyle w:val="Paragraph"/>
        <w:rPr>
          <w:b/>
          <w:u w:val="single"/>
        </w:rPr>
      </w:pPr>
      <w:r>
        <w:t>Similarly, the ACMA is already addressing SPR recommendation 4</w:t>
      </w:r>
      <w:r>
        <w:rPr>
          <w:rStyle w:val="FootnoteReference"/>
          <w:bCs/>
          <w:color w:val="000000"/>
          <w:szCs w:val="20"/>
        </w:rPr>
        <w:footnoteReference w:id="15"/>
      </w:r>
      <w:r>
        <w:t xml:space="preserve"> as part of its normal spectrum management practices by regularly identifying spectrum bands expected to be auctioned and publishing them in the </w:t>
      </w:r>
      <w:hyperlink r:id="rId109" w:history="1">
        <w:r w:rsidRPr="00AF0966">
          <w:rPr>
            <w:rStyle w:val="Hyperlink"/>
            <w:bCs/>
            <w:szCs w:val="20"/>
          </w:rPr>
          <w:t>annual workplan / Five-year spectrum outlook</w:t>
        </w:r>
      </w:hyperlink>
      <w:r>
        <w:t xml:space="preserve">. </w:t>
      </w:r>
    </w:p>
    <w:p w14:paraId="017A391C" w14:textId="12AF7F4C" w:rsidR="00045915" w:rsidRDefault="00045915" w:rsidP="00815267">
      <w:pPr>
        <w:pStyle w:val="Paragraph"/>
      </w:pPr>
      <w:r>
        <w:t xml:space="preserve">Furthermore, to enhance transparency the ACMA has rebuilt its publicly available </w:t>
      </w:r>
      <w:hyperlink r:id="rId110" w:history="1">
        <w:r w:rsidR="00AA37CE" w:rsidRPr="00256077">
          <w:rPr>
            <w:rStyle w:val="Hyperlink"/>
          </w:rPr>
          <w:t xml:space="preserve">online </w:t>
        </w:r>
        <w:r w:rsidRPr="00256077">
          <w:rPr>
            <w:rStyle w:val="Hyperlink"/>
          </w:rPr>
          <w:t>tax calculator</w:t>
        </w:r>
      </w:hyperlink>
      <w:r>
        <w:t xml:space="preserve"> and added more transparent features to help stakeholders estimate their likely </w:t>
      </w:r>
      <w:r w:rsidR="00BB31BD">
        <w:t>taxes and</w:t>
      </w:r>
      <w:r>
        <w:t xml:space="preserve"> explain </w:t>
      </w:r>
      <w:r w:rsidR="00185D89">
        <w:t xml:space="preserve">understand </w:t>
      </w:r>
      <w:r>
        <w:t>the factors and variables that impact on taxes.</w:t>
      </w:r>
      <w:r>
        <w:rPr>
          <w:rStyle w:val="FootnoteReference"/>
          <w:bCs/>
          <w:color w:val="000000"/>
          <w:szCs w:val="20"/>
        </w:rPr>
        <w:footnoteReference w:id="16"/>
      </w:r>
      <w:r>
        <w:t xml:space="preserve"> Whilst this initiative is not an explicit SPR recommendation,</w:t>
      </w:r>
      <w:r w:rsidR="00327740">
        <w:t xml:space="preserve"> it contributes toward transparency which</w:t>
      </w:r>
      <w:r>
        <w:t xml:space="preserve"> </w:t>
      </w:r>
      <w:r w:rsidR="00C13E96">
        <w:t xml:space="preserve">was one of the five pricing review principles </w:t>
      </w:r>
      <w:r w:rsidR="00FC31D5">
        <w:t xml:space="preserve">and </w:t>
      </w:r>
      <w:r>
        <w:t>a recurr</w:t>
      </w:r>
      <w:r w:rsidR="00FC31D5">
        <w:t>ing</w:t>
      </w:r>
      <w:r>
        <w:t xml:space="preserve"> theme in the SPR report</w:t>
      </w:r>
      <w:r w:rsidR="00D62EE1">
        <w:t xml:space="preserve"> (see </w:t>
      </w:r>
      <w:r w:rsidR="00D62EE1" w:rsidRPr="006E6ED7">
        <w:rPr>
          <w:b/>
        </w:rPr>
        <w:t>Appendix A</w:t>
      </w:r>
      <w:r w:rsidR="00D62EE1">
        <w:t>)</w:t>
      </w:r>
      <w:r>
        <w:t xml:space="preserve">. </w:t>
      </w:r>
    </w:p>
    <w:p w14:paraId="5282F970" w14:textId="7DD028DE" w:rsidR="005D3200" w:rsidRDefault="005D3200" w:rsidP="006E6ED7">
      <w:pPr>
        <w:pStyle w:val="Heading2"/>
      </w:pPr>
      <w:bookmarkStart w:id="31" w:name="_Toc99632506"/>
      <w:bookmarkStart w:id="32" w:name="_Toc109035840"/>
      <w:r w:rsidRPr="005D3200">
        <w:t xml:space="preserve">Option </w:t>
      </w:r>
      <w:r w:rsidR="00272E66">
        <w:t>2</w:t>
      </w:r>
      <w:r w:rsidR="00272E66" w:rsidRPr="005D3200">
        <w:t xml:space="preserve"> </w:t>
      </w:r>
      <w:r w:rsidRPr="005D3200">
        <w:t>(</w:t>
      </w:r>
      <w:r w:rsidR="00171A79">
        <w:t xml:space="preserve">regulatory change - </w:t>
      </w:r>
      <w:r w:rsidRPr="005D3200">
        <w:t>preferred option)</w:t>
      </w:r>
      <w:bookmarkEnd w:id="31"/>
      <w:bookmarkEnd w:id="32"/>
    </w:p>
    <w:p w14:paraId="57310D47" w14:textId="387D04C2" w:rsidR="002C751E" w:rsidRDefault="00497DCF" w:rsidP="00703C50">
      <w:pPr>
        <w:pStyle w:val="Paragraph"/>
      </w:pPr>
      <w:bookmarkStart w:id="33" w:name="_Toc32833691"/>
      <w:bookmarkStart w:id="34" w:name="_Toc32833746"/>
      <w:bookmarkStart w:id="35" w:name="_Toc32833819"/>
      <w:bookmarkStart w:id="36" w:name="_Toc33176374"/>
      <w:r>
        <w:t>After reviewing the administrative pricing formula and consider</w:t>
      </w:r>
      <w:r w:rsidR="00703C50">
        <w:t>ing</w:t>
      </w:r>
      <w:r>
        <w:t xml:space="preserve"> the feedback of stakeholders, the ACMA has identified a number of policy proposals</w:t>
      </w:r>
      <w:r w:rsidR="002C751E">
        <w:t xml:space="preserve"> </w:t>
      </w:r>
      <w:r w:rsidR="00703C50">
        <w:t xml:space="preserve">to update the </w:t>
      </w:r>
      <w:proofErr w:type="gramStart"/>
      <w:r w:rsidR="00703C50">
        <w:t>formula, and</w:t>
      </w:r>
      <w:proofErr w:type="gramEnd"/>
      <w:r w:rsidR="00703C50">
        <w:t xml:space="preserve"> address the salient pricing issues that stakeholders raised in </w:t>
      </w:r>
      <w:r w:rsidR="00884B99">
        <w:t xml:space="preserve">past </w:t>
      </w:r>
      <w:r w:rsidR="00703C50">
        <w:t xml:space="preserve">consultations. These proposals </w:t>
      </w:r>
      <w:r w:rsidR="001D33C2">
        <w:t xml:space="preserve">were published in the </w:t>
      </w:r>
      <w:hyperlink r:id="rId111" w:history="1">
        <w:r w:rsidR="00233C40" w:rsidRPr="009923DB">
          <w:rPr>
            <w:rStyle w:val="Hyperlink"/>
          </w:rPr>
          <w:t xml:space="preserve">October 2021 </w:t>
        </w:r>
        <w:r w:rsidR="00DB35A8" w:rsidRPr="009923DB">
          <w:rPr>
            <w:rStyle w:val="Hyperlink"/>
          </w:rPr>
          <w:t xml:space="preserve">response </w:t>
        </w:r>
        <w:r w:rsidR="00233C40" w:rsidRPr="009923DB">
          <w:rPr>
            <w:rStyle w:val="Hyperlink"/>
          </w:rPr>
          <w:t xml:space="preserve">paper </w:t>
        </w:r>
        <w:r w:rsidR="00DB35A8" w:rsidRPr="009923DB">
          <w:rPr>
            <w:rStyle w:val="Hyperlink"/>
          </w:rPr>
          <w:t>part 2</w:t>
        </w:r>
      </w:hyperlink>
      <w:r w:rsidR="00DB35A8">
        <w:t xml:space="preserve">, </w:t>
      </w:r>
      <w:r w:rsidR="00233C40">
        <w:t>and are outlined below</w:t>
      </w:r>
      <w:r w:rsidR="002C751E">
        <w:t xml:space="preserve">. </w:t>
      </w:r>
    </w:p>
    <w:p w14:paraId="079DAB1D" w14:textId="77777777" w:rsidR="006939B2" w:rsidRPr="00C26079" w:rsidRDefault="006939B2" w:rsidP="006E6ED7">
      <w:pPr>
        <w:pStyle w:val="Heading3"/>
      </w:pPr>
      <w:bookmarkStart w:id="37" w:name="_Toc109035841"/>
      <w:r w:rsidRPr="00C26079">
        <w:t>Proposals for updating the tax formula</w:t>
      </w:r>
      <w:bookmarkEnd w:id="37"/>
    </w:p>
    <w:p w14:paraId="39C0F47F" w14:textId="624F604E" w:rsidR="00C716BC" w:rsidRDefault="00C716BC" w:rsidP="000C5493">
      <w:pPr>
        <w:spacing w:before="120" w:after="120" w:line="240" w:lineRule="auto"/>
        <w:rPr>
          <w:rFonts w:eastAsia="Arial"/>
          <w:color w:val="000000" w:themeColor="text1"/>
          <w:sz w:val="22"/>
          <w:szCs w:val="22"/>
        </w:rPr>
      </w:pPr>
      <w:r w:rsidRPr="000C5493">
        <w:t>The ACMA propose</w:t>
      </w:r>
      <w:r w:rsidR="00323D68">
        <w:t>d</w:t>
      </w:r>
      <w:r w:rsidRPr="000C5493">
        <w:t xml:space="preserve"> the following </w:t>
      </w:r>
      <w:r w:rsidR="00925288">
        <w:t>changes to the tax formula</w:t>
      </w:r>
      <w:r w:rsidR="0069490B">
        <w:t xml:space="preserve"> and the supporting </w:t>
      </w:r>
      <w:r w:rsidR="00140DE7">
        <w:t xml:space="preserve">tax </w:t>
      </w:r>
      <w:r w:rsidR="0069490B">
        <w:t>structures</w:t>
      </w:r>
      <w:r w:rsidRPr="000C5493">
        <w:t>:</w:t>
      </w:r>
    </w:p>
    <w:p w14:paraId="3A7077E4" w14:textId="77777777" w:rsidR="00C716BC" w:rsidRDefault="00C716BC" w:rsidP="007E7817">
      <w:pPr>
        <w:pStyle w:val="Bulletlevel1"/>
        <w:numPr>
          <w:ilvl w:val="0"/>
          <w:numId w:val="17"/>
        </w:numPr>
        <w:ind w:left="295" w:hanging="295"/>
      </w:pPr>
      <w:bookmarkStart w:id="38" w:name="_Hlk99549301"/>
      <w:r w:rsidRPr="77B20063">
        <w:t xml:space="preserve">Amalgamation of the three spectrum location </w:t>
      </w:r>
      <w:r>
        <w:t>bands</w:t>
      </w:r>
      <w:r w:rsidRPr="77B20063">
        <w:t xml:space="preserve"> between &gt;30 to 403</w:t>
      </w:r>
      <w:r>
        <w:t> </w:t>
      </w:r>
      <w:r w:rsidRPr="77B20063">
        <w:t xml:space="preserve">MHz to form a single </w:t>
      </w:r>
      <w:r>
        <w:t>band</w:t>
      </w:r>
      <w:r w:rsidRPr="77B20063">
        <w:t>.</w:t>
      </w:r>
    </w:p>
    <w:p w14:paraId="07B431CF" w14:textId="583E2771" w:rsidR="00C716BC" w:rsidRPr="00050532" w:rsidRDefault="00C716BC" w:rsidP="007E7817">
      <w:pPr>
        <w:pStyle w:val="Bulletlevel1"/>
        <w:numPr>
          <w:ilvl w:val="0"/>
          <w:numId w:val="17"/>
        </w:numPr>
        <w:ind w:left="295" w:hanging="295"/>
      </w:pPr>
      <w:r w:rsidRPr="00050532">
        <w:t xml:space="preserve">Increasing weightings for the </w:t>
      </w:r>
      <w:r w:rsidR="00114D47">
        <w:t>&gt;</w:t>
      </w:r>
      <w:r w:rsidRPr="00050532">
        <w:t>2,690 to 5,000 MHz spectrum location band for high and medium density geographic areas to reflect the relatively large increase in demand in this spectrum and higher prices for spectrum in these areas.</w:t>
      </w:r>
    </w:p>
    <w:p w14:paraId="26E78CB8" w14:textId="77777777" w:rsidR="00C716BC" w:rsidRDefault="00C716BC" w:rsidP="007E7817">
      <w:pPr>
        <w:pStyle w:val="Bulletlevel1"/>
        <w:numPr>
          <w:ilvl w:val="0"/>
          <w:numId w:val="17"/>
        </w:numPr>
        <w:ind w:left="295" w:hanging="295"/>
      </w:pPr>
      <w:r w:rsidRPr="77B20063">
        <w:lastRenderedPageBreak/>
        <w:t>Introduc</w:t>
      </w:r>
      <w:r>
        <w:t>ing</w:t>
      </w:r>
      <w:r w:rsidRPr="77B20063">
        <w:t xml:space="preserve"> a new spectrum location </w:t>
      </w:r>
      <w:r>
        <w:t>band</w:t>
      </w:r>
      <w:r w:rsidRPr="77B20063">
        <w:t xml:space="preserve"> for services above 100 GHz</w:t>
      </w:r>
      <w:r>
        <w:t>,</w:t>
      </w:r>
      <w:r w:rsidRPr="77B20063">
        <w:t xml:space="preserve"> </w:t>
      </w:r>
      <w:r>
        <w:t xml:space="preserve">for which the amount of tax will be </w:t>
      </w:r>
      <w:r w:rsidDel="00C4099A">
        <w:t>the</w:t>
      </w:r>
      <w:r>
        <w:t xml:space="preserve"> </w:t>
      </w:r>
      <w:r w:rsidRPr="77B20063">
        <w:t>minimum tax</w:t>
      </w:r>
      <w:r>
        <w:t xml:space="preserve"> payable for any licence</w:t>
      </w:r>
      <w:r w:rsidRPr="77B20063">
        <w:t xml:space="preserve"> (</w:t>
      </w:r>
      <w:r>
        <w:t xml:space="preserve">currently, </w:t>
      </w:r>
      <w:r w:rsidRPr="77B20063">
        <w:t>$41.37).</w:t>
      </w:r>
    </w:p>
    <w:bookmarkEnd w:id="38"/>
    <w:p w14:paraId="1C0E435E" w14:textId="34AAFA70" w:rsidR="00C716BC" w:rsidRDefault="00C716BC" w:rsidP="007E7817">
      <w:pPr>
        <w:pStyle w:val="Bulletlevel1"/>
        <w:numPr>
          <w:ilvl w:val="0"/>
          <w:numId w:val="17"/>
        </w:numPr>
        <w:ind w:left="295" w:hanging="295"/>
      </w:pPr>
      <w:r w:rsidRPr="77B20063">
        <w:t>Ceas</w:t>
      </w:r>
      <w:r>
        <w:t>ing</w:t>
      </w:r>
      <w:r w:rsidRPr="77B20063">
        <w:t xml:space="preserve"> annual consumer price index (CPI) updates to taxes, and instead update taxes based on population growth</w:t>
      </w:r>
      <w:r>
        <w:t xml:space="preserve"> specific to density areas</w:t>
      </w:r>
      <w:r w:rsidRPr="77B20063">
        <w:t>.</w:t>
      </w:r>
    </w:p>
    <w:p w14:paraId="6A3B1C6D" w14:textId="59909513" w:rsidR="00C716BC" w:rsidRDefault="00C716BC" w:rsidP="00C716BC">
      <w:pPr>
        <w:pStyle w:val="Bulletlevel1last"/>
        <w:tabs>
          <w:tab w:val="num" w:pos="295"/>
        </w:tabs>
        <w:ind w:left="295" w:hanging="295"/>
      </w:pPr>
      <w:r w:rsidRPr="77B20063">
        <w:t>Updating</w:t>
      </w:r>
      <w:r>
        <w:t xml:space="preserve"> the</w:t>
      </w:r>
      <w:r w:rsidRPr="77B20063">
        <w:t xml:space="preserve"> definitions for Perth and Adelaide</w:t>
      </w:r>
      <w:r w:rsidR="004A1C38">
        <w:t xml:space="preserve"> medium density areas</w:t>
      </w:r>
      <w:r w:rsidRPr="77B20063">
        <w:t>.</w:t>
      </w:r>
    </w:p>
    <w:p w14:paraId="78BE7309" w14:textId="3132D7E9" w:rsidR="00C716BC" w:rsidRDefault="00C716BC" w:rsidP="00C716BC">
      <w:pPr>
        <w:pStyle w:val="Paragraph"/>
        <w:rPr>
          <w:rFonts w:eastAsia="Arial"/>
          <w:color w:val="000000" w:themeColor="text1"/>
          <w:sz w:val="22"/>
          <w:szCs w:val="22"/>
        </w:rPr>
      </w:pPr>
      <w:r w:rsidRPr="77B20063">
        <w:t>These proposed changes are summarised in the proposed location weight</w:t>
      </w:r>
      <w:r>
        <w:t>ings</w:t>
      </w:r>
      <w:r w:rsidRPr="77B20063">
        <w:t xml:space="preserve"> </w:t>
      </w:r>
      <w:r>
        <w:t>in T</w:t>
      </w:r>
      <w:r w:rsidRPr="77B20063">
        <w:t>able</w:t>
      </w:r>
      <w:r>
        <w:t> </w:t>
      </w:r>
      <w:r w:rsidR="004D10F7">
        <w:t>4</w:t>
      </w:r>
      <w:r>
        <w:t xml:space="preserve"> </w:t>
      </w:r>
      <w:r w:rsidRPr="77B20063">
        <w:t>below. Grey highlighted cells denote changes already made in the</w:t>
      </w:r>
      <w:r>
        <w:t xml:space="preserve"> first </w:t>
      </w:r>
      <w:r w:rsidRPr="77B20063">
        <w:t xml:space="preserve">tranche of proposals, </w:t>
      </w:r>
      <w:r>
        <w:t>orange</w:t>
      </w:r>
      <w:r w:rsidRPr="77B20063">
        <w:t xml:space="preserve"> cells highlight </w:t>
      </w:r>
      <w:r w:rsidR="00711D01">
        <w:t xml:space="preserve">proposed </w:t>
      </w:r>
      <w:r w:rsidRPr="77B20063">
        <w:t xml:space="preserve">tax increases, and green cells highlight </w:t>
      </w:r>
      <w:r w:rsidR="00711D01">
        <w:t xml:space="preserve">proposed </w:t>
      </w:r>
      <w:r w:rsidRPr="77B20063">
        <w:t>tax decreases.</w:t>
      </w:r>
      <w:r>
        <w:t xml:space="preserve"> Th</w:t>
      </w:r>
      <w:r w:rsidR="00D12AB4">
        <w:t xml:space="preserve">ese proposed location weightings </w:t>
      </w:r>
      <w:r>
        <w:t xml:space="preserve">can be compared with the current location weightings in Table </w:t>
      </w:r>
      <w:r w:rsidR="004D10F7">
        <w:t>5</w:t>
      </w:r>
      <w:r>
        <w:t>.</w:t>
      </w:r>
    </w:p>
    <w:p w14:paraId="3D50209F" w14:textId="77777777" w:rsidR="00C716BC" w:rsidRDefault="00C716BC" w:rsidP="006E6ED7">
      <w:pPr>
        <w:pStyle w:val="Caption"/>
        <w:rPr>
          <w:rFonts w:eastAsia="Arial"/>
        </w:rPr>
      </w:pPr>
      <w:r w:rsidRPr="77B20063">
        <w:rPr>
          <w:rFonts w:eastAsia="Arial"/>
        </w:rPr>
        <w:t>Proposed location weightings</w:t>
      </w:r>
    </w:p>
    <w:tbl>
      <w:tblPr>
        <w:tblW w:w="7641" w:type="dxa"/>
        <w:tblInd w:w="-10" w:type="dxa"/>
        <w:tblCellMar>
          <w:top w:w="57" w:type="dxa"/>
          <w:bottom w:w="57" w:type="dxa"/>
        </w:tblCellMar>
        <w:tblLook w:val="04A0" w:firstRow="1" w:lastRow="0" w:firstColumn="1" w:lastColumn="0" w:noHBand="0" w:noVBand="1"/>
      </w:tblPr>
      <w:tblGrid>
        <w:gridCol w:w="2144"/>
        <w:gridCol w:w="1346"/>
        <w:gridCol w:w="940"/>
        <w:gridCol w:w="1151"/>
        <w:gridCol w:w="940"/>
        <w:gridCol w:w="1120"/>
      </w:tblGrid>
      <w:tr w:rsidR="00C716BC" w:rsidRPr="00F347CB" w14:paraId="06B67043" w14:textId="77777777" w:rsidTr="00C80AAD">
        <w:trPr>
          <w:trHeight w:val="294"/>
        </w:trPr>
        <w:tc>
          <w:tcPr>
            <w:tcW w:w="2144" w:type="dxa"/>
            <w:tcBorders>
              <w:top w:val="single" w:sz="8" w:space="0" w:color="auto"/>
              <w:left w:val="single" w:sz="8" w:space="0" w:color="auto"/>
              <w:bottom w:val="single" w:sz="8" w:space="0" w:color="auto"/>
              <w:right w:val="single" w:sz="8" w:space="0" w:color="auto"/>
            </w:tcBorders>
            <w:shd w:val="clear" w:color="000000" w:fill="404040"/>
            <w:noWrap/>
            <w:vAlign w:val="center"/>
            <w:hideMark/>
          </w:tcPr>
          <w:p w14:paraId="46005372" w14:textId="77777777" w:rsidR="00C716BC" w:rsidRPr="00F71814" w:rsidRDefault="00C716BC" w:rsidP="00C80AAD">
            <w:pPr>
              <w:keepNext/>
              <w:keepLines/>
              <w:spacing w:after="0" w:line="240" w:lineRule="auto"/>
              <w:rPr>
                <w:rFonts w:cs="Arial"/>
                <w:b/>
                <w:bCs/>
                <w:color w:val="FFFFFF"/>
                <w:sz w:val="18"/>
                <w:szCs w:val="22"/>
              </w:rPr>
            </w:pPr>
            <w:r w:rsidRPr="00F71814">
              <w:rPr>
                <w:rFonts w:cs="Arial"/>
                <w:b/>
                <w:bCs/>
                <w:color w:val="FFFFFF"/>
                <w:sz w:val="18"/>
                <w:szCs w:val="22"/>
              </w:rPr>
              <w:t> </w:t>
            </w:r>
          </w:p>
        </w:tc>
        <w:tc>
          <w:tcPr>
            <w:tcW w:w="5497" w:type="dxa"/>
            <w:gridSpan w:val="5"/>
            <w:tcBorders>
              <w:top w:val="single" w:sz="8" w:space="0" w:color="auto"/>
              <w:left w:val="nil"/>
              <w:bottom w:val="single" w:sz="8" w:space="0" w:color="auto"/>
              <w:right w:val="single" w:sz="8" w:space="0" w:color="000000"/>
            </w:tcBorders>
            <w:shd w:val="clear" w:color="000000" w:fill="404040"/>
            <w:noWrap/>
            <w:vAlign w:val="center"/>
            <w:hideMark/>
          </w:tcPr>
          <w:p w14:paraId="158E1488" w14:textId="2CBFAE25" w:rsidR="00C716BC" w:rsidRPr="00F71814" w:rsidRDefault="00C716BC" w:rsidP="00C80AAD">
            <w:pPr>
              <w:keepNext/>
              <w:keepLines/>
              <w:spacing w:after="0" w:line="240" w:lineRule="auto"/>
              <w:jc w:val="center"/>
              <w:rPr>
                <w:rFonts w:cs="Arial"/>
                <w:b/>
                <w:bCs/>
                <w:color w:val="FFFFFF"/>
                <w:sz w:val="18"/>
                <w:szCs w:val="22"/>
              </w:rPr>
            </w:pPr>
            <w:r w:rsidRPr="00F71814">
              <w:rPr>
                <w:rFonts w:cs="Arial"/>
                <w:b/>
                <w:bCs/>
                <w:color w:val="FFFFFF"/>
                <w:sz w:val="18"/>
                <w:szCs w:val="22"/>
              </w:rPr>
              <w:t>Geographic location</w:t>
            </w:r>
            <w:r w:rsidR="005E48E6">
              <w:rPr>
                <w:rFonts w:cs="Arial"/>
                <w:b/>
                <w:bCs/>
                <w:color w:val="FFFFFF"/>
                <w:sz w:val="18"/>
                <w:szCs w:val="22"/>
              </w:rPr>
              <w:t xml:space="preserve"> / </w:t>
            </w:r>
            <w:r w:rsidR="00683C09">
              <w:rPr>
                <w:rFonts w:cs="Arial"/>
                <w:b/>
                <w:bCs/>
                <w:color w:val="FFFFFF"/>
                <w:sz w:val="18"/>
                <w:szCs w:val="22"/>
              </w:rPr>
              <w:t>d</w:t>
            </w:r>
            <w:r w:rsidR="005E48E6">
              <w:rPr>
                <w:rFonts w:cs="Arial"/>
                <w:b/>
                <w:bCs/>
                <w:color w:val="FFFFFF"/>
                <w:sz w:val="18"/>
                <w:szCs w:val="22"/>
              </w:rPr>
              <w:t>ensity areas</w:t>
            </w:r>
          </w:p>
        </w:tc>
      </w:tr>
      <w:tr w:rsidR="00877CB6" w:rsidRPr="00F347CB" w14:paraId="4A6DF5F4" w14:textId="77777777" w:rsidTr="00C80AAD">
        <w:trPr>
          <w:trHeight w:val="294"/>
        </w:trPr>
        <w:tc>
          <w:tcPr>
            <w:tcW w:w="2144" w:type="dxa"/>
            <w:tcBorders>
              <w:top w:val="nil"/>
              <w:left w:val="single" w:sz="8" w:space="0" w:color="auto"/>
              <w:bottom w:val="single" w:sz="8" w:space="0" w:color="auto"/>
              <w:right w:val="single" w:sz="8" w:space="0" w:color="auto"/>
            </w:tcBorders>
            <w:shd w:val="clear" w:color="000000" w:fill="404040"/>
            <w:noWrap/>
            <w:vAlign w:val="center"/>
            <w:hideMark/>
          </w:tcPr>
          <w:p w14:paraId="1FFD7F6D" w14:textId="77777777" w:rsidR="00C716BC" w:rsidRPr="00F71814" w:rsidRDefault="00C716BC" w:rsidP="00C80AAD">
            <w:pPr>
              <w:keepNext/>
              <w:keepLines/>
              <w:spacing w:after="0" w:line="240" w:lineRule="auto"/>
              <w:rPr>
                <w:rFonts w:cs="Arial"/>
                <w:b/>
                <w:bCs/>
                <w:color w:val="FFFFFF"/>
                <w:sz w:val="18"/>
                <w:szCs w:val="22"/>
              </w:rPr>
            </w:pPr>
            <w:r w:rsidRPr="00F71814">
              <w:rPr>
                <w:rFonts w:cs="Arial"/>
                <w:b/>
                <w:bCs/>
                <w:color w:val="FFFFFF"/>
                <w:sz w:val="18"/>
                <w:szCs w:val="22"/>
              </w:rPr>
              <w:t>Spectrum location</w:t>
            </w:r>
          </w:p>
        </w:tc>
        <w:tc>
          <w:tcPr>
            <w:tcW w:w="1346" w:type="dxa"/>
            <w:tcBorders>
              <w:top w:val="nil"/>
              <w:left w:val="nil"/>
              <w:bottom w:val="single" w:sz="8" w:space="0" w:color="auto"/>
              <w:right w:val="single" w:sz="8" w:space="0" w:color="auto"/>
            </w:tcBorders>
            <w:shd w:val="clear" w:color="000000" w:fill="404040"/>
            <w:noWrap/>
            <w:vAlign w:val="center"/>
            <w:hideMark/>
          </w:tcPr>
          <w:p w14:paraId="5B0E3E34" w14:textId="77777777" w:rsidR="00C716BC" w:rsidRPr="00F71814" w:rsidRDefault="00C716BC" w:rsidP="00C80AAD">
            <w:pPr>
              <w:keepNext/>
              <w:keepLines/>
              <w:spacing w:after="0" w:line="240" w:lineRule="auto"/>
              <w:jc w:val="center"/>
              <w:rPr>
                <w:rFonts w:cs="Arial"/>
                <w:b/>
                <w:bCs/>
                <w:color w:val="FFFFFF"/>
                <w:sz w:val="18"/>
                <w:szCs w:val="22"/>
              </w:rPr>
            </w:pPr>
            <w:proofErr w:type="spellStart"/>
            <w:r w:rsidRPr="00F71814">
              <w:rPr>
                <w:rFonts w:cs="Arial"/>
                <w:b/>
                <w:bCs/>
                <w:color w:val="FFFFFF"/>
                <w:sz w:val="18"/>
                <w:szCs w:val="22"/>
              </w:rPr>
              <w:t>Aus</w:t>
            </w:r>
            <w:proofErr w:type="spellEnd"/>
            <w:r w:rsidRPr="00F71814">
              <w:rPr>
                <w:rFonts w:cs="Arial"/>
                <w:b/>
                <w:bCs/>
                <w:color w:val="FFFFFF"/>
                <w:sz w:val="18"/>
                <w:szCs w:val="22"/>
              </w:rPr>
              <w:t>-wide</w:t>
            </w:r>
          </w:p>
        </w:tc>
        <w:tc>
          <w:tcPr>
            <w:tcW w:w="940" w:type="dxa"/>
            <w:tcBorders>
              <w:top w:val="nil"/>
              <w:left w:val="nil"/>
              <w:bottom w:val="single" w:sz="8" w:space="0" w:color="auto"/>
              <w:right w:val="single" w:sz="8" w:space="0" w:color="auto"/>
            </w:tcBorders>
            <w:shd w:val="clear" w:color="000000" w:fill="404040"/>
            <w:noWrap/>
            <w:vAlign w:val="center"/>
            <w:hideMark/>
          </w:tcPr>
          <w:p w14:paraId="4C754747" w14:textId="77777777" w:rsidR="00C716BC" w:rsidRPr="00F71814" w:rsidRDefault="00C716BC" w:rsidP="00C80AAD">
            <w:pPr>
              <w:keepNext/>
              <w:keepLines/>
              <w:spacing w:after="0" w:line="240" w:lineRule="auto"/>
              <w:jc w:val="center"/>
              <w:rPr>
                <w:rFonts w:cs="Arial"/>
                <w:b/>
                <w:bCs/>
                <w:color w:val="FFFFFF"/>
                <w:sz w:val="18"/>
                <w:szCs w:val="22"/>
              </w:rPr>
            </w:pPr>
            <w:r w:rsidRPr="00F71814">
              <w:rPr>
                <w:rFonts w:cs="Arial"/>
                <w:b/>
                <w:bCs/>
                <w:color w:val="FFFFFF"/>
                <w:sz w:val="18"/>
                <w:szCs w:val="22"/>
              </w:rPr>
              <w:t>High</w:t>
            </w:r>
          </w:p>
        </w:tc>
        <w:tc>
          <w:tcPr>
            <w:tcW w:w="1151" w:type="dxa"/>
            <w:tcBorders>
              <w:top w:val="nil"/>
              <w:left w:val="nil"/>
              <w:bottom w:val="single" w:sz="8" w:space="0" w:color="auto"/>
              <w:right w:val="single" w:sz="8" w:space="0" w:color="auto"/>
            </w:tcBorders>
            <w:shd w:val="clear" w:color="000000" w:fill="404040"/>
            <w:noWrap/>
            <w:vAlign w:val="center"/>
            <w:hideMark/>
          </w:tcPr>
          <w:p w14:paraId="4A3C4855" w14:textId="77777777" w:rsidR="00C716BC" w:rsidRPr="00F71814" w:rsidRDefault="00C716BC" w:rsidP="00C80AAD">
            <w:pPr>
              <w:keepNext/>
              <w:keepLines/>
              <w:spacing w:after="0" w:line="240" w:lineRule="auto"/>
              <w:jc w:val="center"/>
              <w:rPr>
                <w:rFonts w:cs="Arial"/>
                <w:b/>
                <w:bCs/>
                <w:color w:val="FFFFFF"/>
                <w:sz w:val="18"/>
                <w:szCs w:val="22"/>
              </w:rPr>
            </w:pPr>
            <w:r w:rsidRPr="00F71814">
              <w:rPr>
                <w:rFonts w:cs="Arial"/>
                <w:b/>
                <w:bCs/>
                <w:color w:val="FFFFFF"/>
                <w:sz w:val="18"/>
                <w:szCs w:val="22"/>
              </w:rPr>
              <w:t>Medium</w:t>
            </w:r>
          </w:p>
        </w:tc>
        <w:tc>
          <w:tcPr>
            <w:tcW w:w="940" w:type="dxa"/>
            <w:tcBorders>
              <w:top w:val="nil"/>
              <w:left w:val="nil"/>
              <w:bottom w:val="single" w:sz="8" w:space="0" w:color="auto"/>
              <w:right w:val="single" w:sz="8" w:space="0" w:color="auto"/>
            </w:tcBorders>
            <w:shd w:val="clear" w:color="000000" w:fill="404040"/>
            <w:noWrap/>
            <w:vAlign w:val="center"/>
            <w:hideMark/>
          </w:tcPr>
          <w:p w14:paraId="05AFC10B" w14:textId="77777777" w:rsidR="00C716BC" w:rsidRPr="00F71814" w:rsidRDefault="00C716BC" w:rsidP="00C80AAD">
            <w:pPr>
              <w:keepNext/>
              <w:keepLines/>
              <w:spacing w:after="0" w:line="240" w:lineRule="auto"/>
              <w:jc w:val="center"/>
              <w:rPr>
                <w:rFonts w:cs="Arial"/>
                <w:b/>
                <w:bCs/>
                <w:color w:val="FFFFFF"/>
                <w:sz w:val="18"/>
                <w:szCs w:val="22"/>
              </w:rPr>
            </w:pPr>
            <w:r w:rsidRPr="00F71814">
              <w:rPr>
                <w:rFonts w:cs="Arial"/>
                <w:b/>
                <w:bCs/>
                <w:color w:val="FFFFFF"/>
                <w:sz w:val="18"/>
                <w:szCs w:val="22"/>
              </w:rPr>
              <w:t>Low</w:t>
            </w:r>
          </w:p>
        </w:tc>
        <w:tc>
          <w:tcPr>
            <w:tcW w:w="1118" w:type="dxa"/>
            <w:tcBorders>
              <w:top w:val="nil"/>
              <w:left w:val="nil"/>
              <w:bottom w:val="single" w:sz="8" w:space="0" w:color="auto"/>
              <w:right w:val="single" w:sz="8" w:space="0" w:color="auto"/>
            </w:tcBorders>
            <w:shd w:val="clear" w:color="000000" w:fill="404040"/>
            <w:noWrap/>
            <w:vAlign w:val="center"/>
            <w:hideMark/>
          </w:tcPr>
          <w:p w14:paraId="428D8682" w14:textId="77777777" w:rsidR="00C716BC" w:rsidRPr="00F71814" w:rsidRDefault="00C716BC" w:rsidP="00C80AAD">
            <w:pPr>
              <w:keepNext/>
              <w:keepLines/>
              <w:spacing w:after="0" w:line="240" w:lineRule="auto"/>
              <w:jc w:val="center"/>
              <w:rPr>
                <w:rFonts w:cs="Arial"/>
                <w:b/>
                <w:bCs/>
                <w:color w:val="FFFFFF"/>
                <w:sz w:val="18"/>
                <w:szCs w:val="22"/>
              </w:rPr>
            </w:pPr>
            <w:r w:rsidRPr="00F71814">
              <w:rPr>
                <w:rFonts w:cs="Arial"/>
                <w:b/>
                <w:bCs/>
                <w:color w:val="FFFFFF"/>
                <w:sz w:val="18"/>
                <w:szCs w:val="22"/>
              </w:rPr>
              <w:t>Remote</w:t>
            </w:r>
          </w:p>
        </w:tc>
      </w:tr>
      <w:tr w:rsidR="00C716BC" w:rsidRPr="00F347CB" w14:paraId="66F325FE"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77816B7A"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30 MHz and below</w:t>
            </w:r>
          </w:p>
        </w:tc>
        <w:tc>
          <w:tcPr>
            <w:tcW w:w="1346" w:type="dxa"/>
            <w:tcBorders>
              <w:top w:val="nil"/>
              <w:left w:val="nil"/>
              <w:bottom w:val="single" w:sz="8" w:space="0" w:color="auto"/>
              <w:right w:val="single" w:sz="8" w:space="0" w:color="auto"/>
            </w:tcBorders>
            <w:shd w:val="clear" w:color="auto" w:fill="auto"/>
            <w:noWrap/>
            <w:vAlign w:val="center"/>
            <w:hideMark/>
          </w:tcPr>
          <w:p w14:paraId="3B051F5B"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4.315</w:t>
            </w:r>
          </w:p>
        </w:tc>
        <w:tc>
          <w:tcPr>
            <w:tcW w:w="940" w:type="dxa"/>
            <w:tcBorders>
              <w:top w:val="nil"/>
              <w:left w:val="nil"/>
              <w:bottom w:val="single" w:sz="8" w:space="0" w:color="auto"/>
              <w:right w:val="single" w:sz="8" w:space="0" w:color="auto"/>
            </w:tcBorders>
            <w:shd w:val="clear" w:color="auto" w:fill="auto"/>
            <w:noWrap/>
            <w:vAlign w:val="center"/>
            <w:hideMark/>
          </w:tcPr>
          <w:p w14:paraId="4E90BF99"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4.315</w:t>
            </w:r>
          </w:p>
        </w:tc>
        <w:tc>
          <w:tcPr>
            <w:tcW w:w="1151" w:type="dxa"/>
            <w:tcBorders>
              <w:top w:val="nil"/>
              <w:left w:val="nil"/>
              <w:bottom w:val="single" w:sz="8" w:space="0" w:color="auto"/>
              <w:right w:val="single" w:sz="8" w:space="0" w:color="auto"/>
            </w:tcBorders>
            <w:shd w:val="clear" w:color="auto" w:fill="auto"/>
            <w:noWrap/>
            <w:vAlign w:val="center"/>
            <w:hideMark/>
          </w:tcPr>
          <w:p w14:paraId="22132CBF"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4.315</w:t>
            </w:r>
          </w:p>
        </w:tc>
        <w:tc>
          <w:tcPr>
            <w:tcW w:w="940" w:type="dxa"/>
            <w:tcBorders>
              <w:top w:val="nil"/>
              <w:left w:val="nil"/>
              <w:bottom w:val="single" w:sz="8" w:space="0" w:color="auto"/>
              <w:right w:val="single" w:sz="8" w:space="0" w:color="auto"/>
            </w:tcBorders>
            <w:shd w:val="clear" w:color="auto" w:fill="auto"/>
            <w:noWrap/>
            <w:vAlign w:val="center"/>
            <w:hideMark/>
          </w:tcPr>
          <w:p w14:paraId="54A85EE5"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4.315</w:t>
            </w:r>
          </w:p>
        </w:tc>
        <w:tc>
          <w:tcPr>
            <w:tcW w:w="1118" w:type="dxa"/>
            <w:tcBorders>
              <w:top w:val="nil"/>
              <w:left w:val="nil"/>
              <w:bottom w:val="single" w:sz="8" w:space="0" w:color="auto"/>
              <w:right w:val="single" w:sz="8" w:space="0" w:color="auto"/>
            </w:tcBorders>
            <w:shd w:val="clear" w:color="auto" w:fill="auto"/>
            <w:noWrap/>
            <w:vAlign w:val="center"/>
            <w:hideMark/>
          </w:tcPr>
          <w:p w14:paraId="5A4D6A48"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4.315</w:t>
            </w:r>
          </w:p>
        </w:tc>
      </w:tr>
      <w:tr w:rsidR="00CE5E88" w:rsidRPr="00F347CB" w14:paraId="698CF8C1"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19057950"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&gt;30 to 403 MHz</w:t>
            </w:r>
          </w:p>
        </w:tc>
        <w:tc>
          <w:tcPr>
            <w:tcW w:w="1346" w:type="dxa"/>
            <w:tcBorders>
              <w:top w:val="nil"/>
              <w:left w:val="nil"/>
              <w:bottom w:val="single" w:sz="8" w:space="0" w:color="auto"/>
              <w:right w:val="single" w:sz="8" w:space="0" w:color="auto"/>
            </w:tcBorders>
            <w:shd w:val="clear" w:color="000000" w:fill="C6E0B4"/>
            <w:noWrap/>
            <w:vAlign w:val="center"/>
            <w:hideMark/>
          </w:tcPr>
          <w:p w14:paraId="020BA518"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9.747</w:t>
            </w:r>
          </w:p>
        </w:tc>
        <w:tc>
          <w:tcPr>
            <w:tcW w:w="940" w:type="dxa"/>
            <w:tcBorders>
              <w:top w:val="nil"/>
              <w:left w:val="nil"/>
              <w:bottom w:val="single" w:sz="8" w:space="0" w:color="auto"/>
              <w:right w:val="single" w:sz="8" w:space="0" w:color="auto"/>
            </w:tcBorders>
            <w:shd w:val="clear" w:color="000000" w:fill="C6E0B4"/>
            <w:noWrap/>
            <w:vAlign w:val="center"/>
            <w:hideMark/>
          </w:tcPr>
          <w:p w14:paraId="13C93195"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3.807</w:t>
            </w:r>
          </w:p>
        </w:tc>
        <w:tc>
          <w:tcPr>
            <w:tcW w:w="1151" w:type="dxa"/>
            <w:tcBorders>
              <w:top w:val="nil"/>
              <w:left w:val="nil"/>
              <w:bottom w:val="single" w:sz="8" w:space="0" w:color="auto"/>
              <w:right w:val="single" w:sz="8" w:space="0" w:color="auto"/>
            </w:tcBorders>
            <w:shd w:val="clear" w:color="000000" w:fill="C6E0B4"/>
            <w:noWrap/>
            <w:vAlign w:val="center"/>
            <w:hideMark/>
          </w:tcPr>
          <w:p w14:paraId="287FECE3"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1.878</w:t>
            </w:r>
          </w:p>
        </w:tc>
        <w:tc>
          <w:tcPr>
            <w:tcW w:w="940" w:type="dxa"/>
            <w:tcBorders>
              <w:top w:val="nil"/>
              <w:left w:val="nil"/>
              <w:bottom w:val="single" w:sz="8" w:space="0" w:color="auto"/>
              <w:right w:val="single" w:sz="8" w:space="0" w:color="auto"/>
            </w:tcBorders>
            <w:shd w:val="clear" w:color="000000" w:fill="C6E0B4"/>
            <w:noWrap/>
            <w:vAlign w:val="center"/>
            <w:hideMark/>
          </w:tcPr>
          <w:p w14:paraId="4EAF7D15"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0.421</w:t>
            </w:r>
          </w:p>
        </w:tc>
        <w:tc>
          <w:tcPr>
            <w:tcW w:w="1118" w:type="dxa"/>
            <w:tcBorders>
              <w:top w:val="nil"/>
              <w:left w:val="nil"/>
              <w:bottom w:val="single" w:sz="8" w:space="0" w:color="auto"/>
              <w:right w:val="single" w:sz="8" w:space="0" w:color="auto"/>
            </w:tcBorders>
            <w:shd w:val="clear" w:color="000000" w:fill="C6E0B4"/>
            <w:noWrap/>
            <w:vAlign w:val="center"/>
            <w:hideMark/>
          </w:tcPr>
          <w:p w14:paraId="3D5E6672"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0.21</w:t>
            </w:r>
          </w:p>
        </w:tc>
      </w:tr>
      <w:tr w:rsidR="00C716BC" w:rsidRPr="00F347CB" w14:paraId="767B7B59"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6030000B"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&gt;403 to 520 MHz</w:t>
            </w:r>
          </w:p>
        </w:tc>
        <w:tc>
          <w:tcPr>
            <w:tcW w:w="1346" w:type="dxa"/>
            <w:tcBorders>
              <w:top w:val="nil"/>
              <w:left w:val="nil"/>
              <w:bottom w:val="single" w:sz="8" w:space="0" w:color="auto"/>
              <w:right w:val="single" w:sz="8" w:space="0" w:color="auto"/>
            </w:tcBorders>
            <w:shd w:val="clear" w:color="auto" w:fill="auto"/>
            <w:noWrap/>
            <w:vAlign w:val="center"/>
            <w:hideMark/>
          </w:tcPr>
          <w:p w14:paraId="2C7E9079"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10</w:t>
            </w:r>
          </w:p>
        </w:tc>
        <w:tc>
          <w:tcPr>
            <w:tcW w:w="940" w:type="dxa"/>
            <w:tcBorders>
              <w:top w:val="nil"/>
              <w:left w:val="nil"/>
              <w:bottom w:val="single" w:sz="8" w:space="0" w:color="auto"/>
              <w:right w:val="single" w:sz="8" w:space="0" w:color="auto"/>
            </w:tcBorders>
            <w:shd w:val="clear" w:color="auto" w:fill="auto"/>
            <w:noWrap/>
            <w:vAlign w:val="center"/>
            <w:hideMark/>
          </w:tcPr>
          <w:p w14:paraId="0E7929B5"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7.4114</w:t>
            </w:r>
          </w:p>
        </w:tc>
        <w:tc>
          <w:tcPr>
            <w:tcW w:w="1151" w:type="dxa"/>
            <w:tcBorders>
              <w:top w:val="nil"/>
              <w:left w:val="nil"/>
              <w:bottom w:val="single" w:sz="8" w:space="0" w:color="auto"/>
              <w:right w:val="single" w:sz="8" w:space="0" w:color="auto"/>
            </w:tcBorders>
            <w:shd w:val="clear" w:color="auto" w:fill="auto"/>
            <w:noWrap/>
            <w:vAlign w:val="center"/>
            <w:hideMark/>
          </w:tcPr>
          <w:p w14:paraId="5941BDA0"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2.562</w:t>
            </w:r>
          </w:p>
        </w:tc>
        <w:tc>
          <w:tcPr>
            <w:tcW w:w="940" w:type="dxa"/>
            <w:tcBorders>
              <w:top w:val="nil"/>
              <w:left w:val="nil"/>
              <w:bottom w:val="single" w:sz="8" w:space="0" w:color="auto"/>
              <w:right w:val="single" w:sz="8" w:space="0" w:color="auto"/>
            </w:tcBorders>
            <w:shd w:val="clear" w:color="auto" w:fill="auto"/>
            <w:noWrap/>
            <w:vAlign w:val="center"/>
            <w:hideMark/>
          </w:tcPr>
          <w:p w14:paraId="4A1477CB"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0.437</w:t>
            </w:r>
          </w:p>
        </w:tc>
        <w:tc>
          <w:tcPr>
            <w:tcW w:w="1118" w:type="dxa"/>
            <w:tcBorders>
              <w:top w:val="nil"/>
              <w:left w:val="nil"/>
              <w:bottom w:val="single" w:sz="8" w:space="0" w:color="auto"/>
              <w:right w:val="single" w:sz="8" w:space="0" w:color="auto"/>
            </w:tcBorders>
            <w:shd w:val="clear" w:color="auto" w:fill="auto"/>
            <w:noWrap/>
            <w:vAlign w:val="center"/>
            <w:hideMark/>
          </w:tcPr>
          <w:p w14:paraId="0E448A54"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w:t>
            </w:r>
          </w:p>
        </w:tc>
      </w:tr>
      <w:tr w:rsidR="00C716BC" w:rsidRPr="00F347CB" w14:paraId="3FF7FEC1"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7A38066E"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&gt;520 to 960 MHz</w:t>
            </w:r>
          </w:p>
        </w:tc>
        <w:tc>
          <w:tcPr>
            <w:tcW w:w="1346" w:type="dxa"/>
            <w:tcBorders>
              <w:top w:val="nil"/>
              <w:left w:val="nil"/>
              <w:bottom w:val="single" w:sz="8" w:space="0" w:color="auto"/>
              <w:right w:val="single" w:sz="8" w:space="0" w:color="auto"/>
            </w:tcBorders>
            <w:shd w:val="clear" w:color="auto" w:fill="auto"/>
            <w:noWrap/>
            <w:vAlign w:val="center"/>
            <w:hideMark/>
          </w:tcPr>
          <w:p w14:paraId="525BA8F7"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10</w:t>
            </w:r>
          </w:p>
        </w:tc>
        <w:tc>
          <w:tcPr>
            <w:tcW w:w="940" w:type="dxa"/>
            <w:tcBorders>
              <w:top w:val="nil"/>
              <w:left w:val="nil"/>
              <w:bottom w:val="single" w:sz="8" w:space="0" w:color="auto"/>
              <w:right w:val="single" w:sz="8" w:space="0" w:color="auto"/>
            </w:tcBorders>
            <w:shd w:val="clear" w:color="auto" w:fill="auto"/>
            <w:noWrap/>
            <w:vAlign w:val="center"/>
            <w:hideMark/>
          </w:tcPr>
          <w:p w14:paraId="216DE113"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5.6</w:t>
            </w:r>
          </w:p>
        </w:tc>
        <w:tc>
          <w:tcPr>
            <w:tcW w:w="1151" w:type="dxa"/>
            <w:tcBorders>
              <w:top w:val="nil"/>
              <w:left w:val="nil"/>
              <w:bottom w:val="single" w:sz="8" w:space="0" w:color="auto"/>
              <w:right w:val="single" w:sz="8" w:space="0" w:color="auto"/>
            </w:tcBorders>
            <w:shd w:val="clear" w:color="auto" w:fill="auto"/>
            <w:noWrap/>
            <w:vAlign w:val="center"/>
            <w:hideMark/>
          </w:tcPr>
          <w:p w14:paraId="0F606B79"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2.562</w:t>
            </w:r>
          </w:p>
        </w:tc>
        <w:tc>
          <w:tcPr>
            <w:tcW w:w="940" w:type="dxa"/>
            <w:tcBorders>
              <w:top w:val="nil"/>
              <w:left w:val="nil"/>
              <w:bottom w:val="single" w:sz="8" w:space="0" w:color="auto"/>
              <w:right w:val="single" w:sz="8" w:space="0" w:color="auto"/>
            </w:tcBorders>
            <w:shd w:val="clear" w:color="auto" w:fill="auto"/>
            <w:noWrap/>
            <w:vAlign w:val="center"/>
            <w:hideMark/>
          </w:tcPr>
          <w:p w14:paraId="0107C512"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0.437</w:t>
            </w:r>
          </w:p>
        </w:tc>
        <w:tc>
          <w:tcPr>
            <w:tcW w:w="1118" w:type="dxa"/>
            <w:tcBorders>
              <w:top w:val="nil"/>
              <w:left w:val="nil"/>
              <w:bottom w:val="single" w:sz="8" w:space="0" w:color="auto"/>
              <w:right w:val="single" w:sz="8" w:space="0" w:color="auto"/>
            </w:tcBorders>
            <w:shd w:val="clear" w:color="auto" w:fill="auto"/>
            <w:noWrap/>
            <w:vAlign w:val="center"/>
            <w:hideMark/>
          </w:tcPr>
          <w:p w14:paraId="221FFB4A"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0.218</w:t>
            </w:r>
          </w:p>
        </w:tc>
      </w:tr>
      <w:tr w:rsidR="00C716BC" w:rsidRPr="00F347CB" w14:paraId="51B3CE9E"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27F51249"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&gt;960 to 2,690 MHz</w:t>
            </w:r>
          </w:p>
        </w:tc>
        <w:tc>
          <w:tcPr>
            <w:tcW w:w="1346" w:type="dxa"/>
            <w:tcBorders>
              <w:top w:val="nil"/>
              <w:left w:val="nil"/>
              <w:bottom w:val="single" w:sz="8" w:space="0" w:color="auto"/>
              <w:right w:val="single" w:sz="8" w:space="0" w:color="auto"/>
            </w:tcBorders>
            <w:shd w:val="clear" w:color="auto" w:fill="auto"/>
            <w:noWrap/>
            <w:vAlign w:val="center"/>
            <w:hideMark/>
          </w:tcPr>
          <w:p w14:paraId="7FCB4658"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9.985</w:t>
            </w:r>
          </w:p>
        </w:tc>
        <w:tc>
          <w:tcPr>
            <w:tcW w:w="940" w:type="dxa"/>
            <w:tcBorders>
              <w:top w:val="nil"/>
              <w:left w:val="nil"/>
              <w:bottom w:val="single" w:sz="8" w:space="0" w:color="auto"/>
              <w:right w:val="single" w:sz="8" w:space="0" w:color="auto"/>
            </w:tcBorders>
            <w:shd w:val="clear" w:color="auto" w:fill="auto"/>
            <w:noWrap/>
            <w:vAlign w:val="center"/>
            <w:hideMark/>
          </w:tcPr>
          <w:p w14:paraId="34569747"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2.241</w:t>
            </w:r>
          </w:p>
        </w:tc>
        <w:tc>
          <w:tcPr>
            <w:tcW w:w="1151" w:type="dxa"/>
            <w:tcBorders>
              <w:top w:val="nil"/>
              <w:left w:val="nil"/>
              <w:bottom w:val="single" w:sz="8" w:space="0" w:color="auto"/>
              <w:right w:val="single" w:sz="8" w:space="0" w:color="auto"/>
            </w:tcBorders>
            <w:shd w:val="clear" w:color="auto" w:fill="auto"/>
            <w:noWrap/>
            <w:vAlign w:val="center"/>
            <w:hideMark/>
          </w:tcPr>
          <w:p w14:paraId="78F65BA0"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1.036</w:t>
            </w:r>
          </w:p>
        </w:tc>
        <w:tc>
          <w:tcPr>
            <w:tcW w:w="940" w:type="dxa"/>
            <w:tcBorders>
              <w:top w:val="nil"/>
              <w:left w:val="nil"/>
              <w:bottom w:val="single" w:sz="8" w:space="0" w:color="auto"/>
              <w:right w:val="single" w:sz="8" w:space="0" w:color="auto"/>
            </w:tcBorders>
            <w:shd w:val="clear" w:color="auto" w:fill="auto"/>
            <w:noWrap/>
            <w:vAlign w:val="center"/>
            <w:hideMark/>
          </w:tcPr>
          <w:p w14:paraId="1E260B5A"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0.521</w:t>
            </w:r>
          </w:p>
        </w:tc>
        <w:tc>
          <w:tcPr>
            <w:tcW w:w="1118" w:type="dxa"/>
            <w:tcBorders>
              <w:top w:val="nil"/>
              <w:left w:val="nil"/>
              <w:bottom w:val="single" w:sz="8" w:space="0" w:color="auto"/>
              <w:right w:val="single" w:sz="8" w:space="0" w:color="auto"/>
            </w:tcBorders>
            <w:shd w:val="clear" w:color="auto" w:fill="auto"/>
            <w:noWrap/>
            <w:vAlign w:val="center"/>
            <w:hideMark/>
          </w:tcPr>
          <w:p w14:paraId="348E49D9"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0.26</w:t>
            </w:r>
          </w:p>
        </w:tc>
      </w:tr>
      <w:tr w:rsidR="00CE5E88" w:rsidRPr="00F347CB" w14:paraId="120B6F54"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7A0A537E"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&gt;2,690 to 5,000 MHz</w:t>
            </w:r>
          </w:p>
        </w:tc>
        <w:tc>
          <w:tcPr>
            <w:tcW w:w="1346" w:type="dxa"/>
            <w:tcBorders>
              <w:top w:val="nil"/>
              <w:left w:val="nil"/>
              <w:bottom w:val="single" w:sz="8" w:space="0" w:color="auto"/>
              <w:right w:val="single" w:sz="8" w:space="0" w:color="auto"/>
            </w:tcBorders>
            <w:shd w:val="clear" w:color="auto" w:fill="auto"/>
            <w:noWrap/>
            <w:vAlign w:val="center"/>
            <w:hideMark/>
          </w:tcPr>
          <w:p w14:paraId="79320FA4"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9.974</w:t>
            </w:r>
          </w:p>
        </w:tc>
        <w:tc>
          <w:tcPr>
            <w:tcW w:w="940" w:type="dxa"/>
            <w:tcBorders>
              <w:top w:val="nil"/>
              <w:left w:val="nil"/>
              <w:bottom w:val="single" w:sz="8" w:space="0" w:color="auto"/>
              <w:right w:val="single" w:sz="8" w:space="0" w:color="auto"/>
            </w:tcBorders>
            <w:shd w:val="clear" w:color="000000" w:fill="F8CBAD"/>
            <w:noWrap/>
            <w:vAlign w:val="center"/>
            <w:hideMark/>
          </w:tcPr>
          <w:p w14:paraId="108F04FC"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2.689</w:t>
            </w:r>
          </w:p>
        </w:tc>
        <w:tc>
          <w:tcPr>
            <w:tcW w:w="1151" w:type="dxa"/>
            <w:tcBorders>
              <w:top w:val="nil"/>
              <w:left w:val="nil"/>
              <w:bottom w:val="single" w:sz="8" w:space="0" w:color="auto"/>
              <w:right w:val="single" w:sz="8" w:space="0" w:color="auto"/>
            </w:tcBorders>
            <w:shd w:val="clear" w:color="000000" w:fill="F8CBAD"/>
            <w:noWrap/>
            <w:vAlign w:val="center"/>
            <w:hideMark/>
          </w:tcPr>
          <w:p w14:paraId="59BEFB81"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1.243</w:t>
            </w:r>
          </w:p>
        </w:tc>
        <w:tc>
          <w:tcPr>
            <w:tcW w:w="940" w:type="dxa"/>
            <w:tcBorders>
              <w:top w:val="nil"/>
              <w:left w:val="nil"/>
              <w:bottom w:val="single" w:sz="8" w:space="0" w:color="auto"/>
              <w:right w:val="single" w:sz="8" w:space="0" w:color="auto"/>
            </w:tcBorders>
            <w:shd w:val="clear" w:color="auto" w:fill="auto"/>
            <w:noWrap/>
            <w:vAlign w:val="center"/>
            <w:hideMark/>
          </w:tcPr>
          <w:p w14:paraId="0EC37A67"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0.622</w:t>
            </w:r>
          </w:p>
        </w:tc>
        <w:tc>
          <w:tcPr>
            <w:tcW w:w="1118" w:type="dxa"/>
            <w:tcBorders>
              <w:top w:val="nil"/>
              <w:left w:val="nil"/>
              <w:bottom w:val="single" w:sz="8" w:space="0" w:color="auto"/>
              <w:right w:val="single" w:sz="8" w:space="0" w:color="auto"/>
            </w:tcBorders>
            <w:shd w:val="clear" w:color="auto" w:fill="auto"/>
            <w:noWrap/>
            <w:vAlign w:val="center"/>
            <w:hideMark/>
          </w:tcPr>
          <w:p w14:paraId="7C3B8287"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0.311</w:t>
            </w:r>
          </w:p>
        </w:tc>
      </w:tr>
      <w:tr w:rsidR="00CE5E88" w:rsidRPr="00F347CB" w14:paraId="6AB8DFA5"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5BBAADC6"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&gt;5.0 to 8.5 GHz</w:t>
            </w:r>
          </w:p>
        </w:tc>
        <w:tc>
          <w:tcPr>
            <w:tcW w:w="1346" w:type="dxa"/>
            <w:tcBorders>
              <w:top w:val="nil"/>
              <w:left w:val="nil"/>
              <w:bottom w:val="single" w:sz="8" w:space="0" w:color="auto"/>
              <w:right w:val="single" w:sz="8" w:space="0" w:color="auto"/>
            </w:tcBorders>
            <w:shd w:val="clear" w:color="000000" w:fill="D9D9D9"/>
            <w:noWrap/>
            <w:vAlign w:val="center"/>
            <w:hideMark/>
          </w:tcPr>
          <w:p w14:paraId="23A970FA"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4.2105</w:t>
            </w:r>
          </w:p>
        </w:tc>
        <w:tc>
          <w:tcPr>
            <w:tcW w:w="940" w:type="dxa"/>
            <w:tcBorders>
              <w:top w:val="nil"/>
              <w:left w:val="nil"/>
              <w:bottom w:val="single" w:sz="8" w:space="0" w:color="auto"/>
              <w:right w:val="single" w:sz="8" w:space="0" w:color="auto"/>
            </w:tcBorders>
            <w:shd w:val="clear" w:color="000000" w:fill="D9D9D9"/>
            <w:noWrap/>
            <w:vAlign w:val="center"/>
            <w:hideMark/>
          </w:tcPr>
          <w:p w14:paraId="365FFDD0"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0.7785</w:t>
            </w:r>
          </w:p>
        </w:tc>
        <w:tc>
          <w:tcPr>
            <w:tcW w:w="1151" w:type="dxa"/>
            <w:tcBorders>
              <w:top w:val="nil"/>
              <w:left w:val="nil"/>
              <w:bottom w:val="single" w:sz="8" w:space="0" w:color="auto"/>
              <w:right w:val="single" w:sz="8" w:space="0" w:color="auto"/>
            </w:tcBorders>
            <w:shd w:val="clear" w:color="000000" w:fill="D9D9D9"/>
            <w:noWrap/>
            <w:vAlign w:val="center"/>
            <w:hideMark/>
          </w:tcPr>
          <w:p w14:paraId="1B98E9FC"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0.3625</w:t>
            </w:r>
          </w:p>
        </w:tc>
        <w:tc>
          <w:tcPr>
            <w:tcW w:w="940" w:type="dxa"/>
            <w:tcBorders>
              <w:top w:val="nil"/>
              <w:left w:val="nil"/>
              <w:bottom w:val="single" w:sz="8" w:space="0" w:color="auto"/>
              <w:right w:val="single" w:sz="8" w:space="0" w:color="auto"/>
            </w:tcBorders>
            <w:shd w:val="clear" w:color="000000" w:fill="D9D9D9"/>
            <w:noWrap/>
            <w:vAlign w:val="center"/>
            <w:hideMark/>
          </w:tcPr>
          <w:p w14:paraId="54551EB8"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0.1650</w:t>
            </w:r>
          </w:p>
        </w:tc>
        <w:tc>
          <w:tcPr>
            <w:tcW w:w="1118" w:type="dxa"/>
            <w:tcBorders>
              <w:top w:val="nil"/>
              <w:left w:val="nil"/>
              <w:bottom w:val="single" w:sz="8" w:space="0" w:color="auto"/>
              <w:right w:val="single" w:sz="8" w:space="0" w:color="auto"/>
            </w:tcBorders>
            <w:shd w:val="clear" w:color="000000" w:fill="D9D9D9"/>
            <w:noWrap/>
            <w:vAlign w:val="center"/>
            <w:hideMark/>
          </w:tcPr>
          <w:p w14:paraId="60885F32"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0.0800</w:t>
            </w:r>
          </w:p>
        </w:tc>
      </w:tr>
      <w:tr w:rsidR="00CE5E88" w:rsidRPr="00F347CB" w14:paraId="7DFB54B8"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5168BF04" w14:textId="77777777" w:rsidR="00C716BC" w:rsidRPr="00F71814" w:rsidRDefault="00C716BC" w:rsidP="00C80AAD">
            <w:pPr>
              <w:keepNext/>
              <w:keepLines/>
              <w:spacing w:after="0" w:line="240" w:lineRule="auto"/>
              <w:rPr>
                <w:rFonts w:cs="Arial"/>
                <w:color w:val="000000"/>
                <w:sz w:val="18"/>
                <w:szCs w:val="22"/>
              </w:rPr>
            </w:pPr>
            <w:r w:rsidRPr="00F71814">
              <w:rPr>
                <w:rFonts w:cs="Arial"/>
                <w:color w:val="000000"/>
                <w:sz w:val="18"/>
                <w:szCs w:val="22"/>
              </w:rPr>
              <w:t>&gt;8.5 to 14.5 GHz</w:t>
            </w:r>
          </w:p>
        </w:tc>
        <w:tc>
          <w:tcPr>
            <w:tcW w:w="1346" w:type="dxa"/>
            <w:tcBorders>
              <w:top w:val="nil"/>
              <w:left w:val="nil"/>
              <w:bottom w:val="single" w:sz="8" w:space="0" w:color="auto"/>
              <w:right w:val="single" w:sz="8" w:space="0" w:color="auto"/>
            </w:tcBorders>
            <w:shd w:val="clear" w:color="000000" w:fill="D9D9D9"/>
            <w:noWrap/>
            <w:vAlign w:val="center"/>
            <w:hideMark/>
          </w:tcPr>
          <w:p w14:paraId="3A74E2E1"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0.3711</w:t>
            </w:r>
          </w:p>
        </w:tc>
        <w:tc>
          <w:tcPr>
            <w:tcW w:w="940" w:type="dxa"/>
            <w:tcBorders>
              <w:top w:val="nil"/>
              <w:left w:val="nil"/>
              <w:bottom w:val="single" w:sz="8" w:space="0" w:color="auto"/>
              <w:right w:val="single" w:sz="8" w:space="0" w:color="auto"/>
            </w:tcBorders>
            <w:shd w:val="clear" w:color="000000" w:fill="D9D9D9"/>
            <w:noWrap/>
            <w:vAlign w:val="center"/>
            <w:hideMark/>
          </w:tcPr>
          <w:p w14:paraId="3130B731"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0.1336</w:t>
            </w:r>
          </w:p>
        </w:tc>
        <w:tc>
          <w:tcPr>
            <w:tcW w:w="1151" w:type="dxa"/>
            <w:tcBorders>
              <w:top w:val="nil"/>
              <w:left w:val="nil"/>
              <w:bottom w:val="single" w:sz="8" w:space="0" w:color="auto"/>
              <w:right w:val="single" w:sz="8" w:space="0" w:color="auto"/>
            </w:tcBorders>
            <w:shd w:val="clear" w:color="000000" w:fill="D9D9D9"/>
            <w:noWrap/>
            <w:vAlign w:val="center"/>
            <w:hideMark/>
          </w:tcPr>
          <w:p w14:paraId="34F0AA65"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0.0316</w:t>
            </w:r>
          </w:p>
        </w:tc>
        <w:tc>
          <w:tcPr>
            <w:tcW w:w="940" w:type="dxa"/>
            <w:tcBorders>
              <w:top w:val="nil"/>
              <w:left w:val="nil"/>
              <w:bottom w:val="single" w:sz="8" w:space="0" w:color="auto"/>
              <w:right w:val="single" w:sz="8" w:space="0" w:color="auto"/>
            </w:tcBorders>
            <w:shd w:val="clear" w:color="000000" w:fill="D9D9D9"/>
            <w:noWrap/>
            <w:vAlign w:val="center"/>
            <w:hideMark/>
          </w:tcPr>
          <w:p w14:paraId="0FC5A522"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0.0023</w:t>
            </w:r>
          </w:p>
        </w:tc>
        <w:tc>
          <w:tcPr>
            <w:tcW w:w="1118" w:type="dxa"/>
            <w:tcBorders>
              <w:top w:val="nil"/>
              <w:left w:val="nil"/>
              <w:bottom w:val="single" w:sz="8" w:space="0" w:color="auto"/>
              <w:right w:val="single" w:sz="8" w:space="0" w:color="auto"/>
            </w:tcBorders>
            <w:shd w:val="clear" w:color="000000" w:fill="D9D9D9"/>
            <w:noWrap/>
            <w:vAlign w:val="center"/>
            <w:hideMark/>
          </w:tcPr>
          <w:p w14:paraId="2C5CC4EC" w14:textId="77777777" w:rsidR="00C716BC" w:rsidRPr="00F71814" w:rsidRDefault="00C716BC" w:rsidP="00C80AAD">
            <w:pPr>
              <w:keepNext/>
              <w:keepLines/>
              <w:spacing w:after="0" w:line="240" w:lineRule="auto"/>
              <w:jc w:val="right"/>
              <w:rPr>
                <w:rFonts w:cs="Arial"/>
                <w:color w:val="000000"/>
                <w:sz w:val="18"/>
                <w:szCs w:val="22"/>
              </w:rPr>
            </w:pPr>
            <w:r w:rsidRPr="00F71814">
              <w:rPr>
                <w:rFonts w:cs="Arial"/>
                <w:color w:val="000000"/>
                <w:sz w:val="18"/>
                <w:szCs w:val="22"/>
              </w:rPr>
              <w:t>0.0011</w:t>
            </w:r>
          </w:p>
        </w:tc>
      </w:tr>
      <w:tr w:rsidR="00CE5E88" w:rsidRPr="00F347CB" w14:paraId="74FB9AD2"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2DEDFF85"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&gt;14.5 to 31.3 GHz</w:t>
            </w:r>
          </w:p>
        </w:tc>
        <w:tc>
          <w:tcPr>
            <w:tcW w:w="1346" w:type="dxa"/>
            <w:tcBorders>
              <w:top w:val="nil"/>
              <w:left w:val="nil"/>
              <w:bottom w:val="single" w:sz="8" w:space="0" w:color="auto"/>
              <w:right w:val="single" w:sz="8" w:space="0" w:color="auto"/>
            </w:tcBorders>
            <w:shd w:val="clear" w:color="000000" w:fill="D9D9D9"/>
            <w:noWrap/>
            <w:vAlign w:val="center"/>
            <w:hideMark/>
          </w:tcPr>
          <w:p w14:paraId="1E7061B8"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0.3711</w:t>
            </w:r>
          </w:p>
        </w:tc>
        <w:tc>
          <w:tcPr>
            <w:tcW w:w="940" w:type="dxa"/>
            <w:tcBorders>
              <w:top w:val="nil"/>
              <w:left w:val="nil"/>
              <w:bottom w:val="single" w:sz="8" w:space="0" w:color="auto"/>
              <w:right w:val="single" w:sz="8" w:space="0" w:color="auto"/>
            </w:tcBorders>
            <w:shd w:val="clear" w:color="000000" w:fill="D9D9D9"/>
            <w:noWrap/>
            <w:vAlign w:val="center"/>
            <w:hideMark/>
          </w:tcPr>
          <w:p w14:paraId="58617F7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0.0988</w:t>
            </w:r>
          </w:p>
        </w:tc>
        <w:tc>
          <w:tcPr>
            <w:tcW w:w="1151" w:type="dxa"/>
            <w:tcBorders>
              <w:top w:val="nil"/>
              <w:left w:val="nil"/>
              <w:bottom w:val="single" w:sz="8" w:space="0" w:color="auto"/>
              <w:right w:val="single" w:sz="8" w:space="0" w:color="auto"/>
            </w:tcBorders>
            <w:shd w:val="clear" w:color="000000" w:fill="D9D9D9"/>
            <w:noWrap/>
            <w:vAlign w:val="center"/>
            <w:hideMark/>
          </w:tcPr>
          <w:p w14:paraId="2F65190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0.0217</w:t>
            </w:r>
          </w:p>
        </w:tc>
        <w:tc>
          <w:tcPr>
            <w:tcW w:w="940" w:type="dxa"/>
            <w:tcBorders>
              <w:top w:val="nil"/>
              <w:left w:val="nil"/>
              <w:bottom w:val="single" w:sz="8" w:space="0" w:color="auto"/>
              <w:right w:val="single" w:sz="8" w:space="0" w:color="auto"/>
            </w:tcBorders>
            <w:shd w:val="clear" w:color="000000" w:fill="D9D9D9"/>
            <w:noWrap/>
            <w:vAlign w:val="center"/>
            <w:hideMark/>
          </w:tcPr>
          <w:p w14:paraId="547F19D5"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0.0023</w:t>
            </w:r>
          </w:p>
        </w:tc>
        <w:tc>
          <w:tcPr>
            <w:tcW w:w="1118" w:type="dxa"/>
            <w:tcBorders>
              <w:top w:val="nil"/>
              <w:left w:val="nil"/>
              <w:bottom w:val="single" w:sz="8" w:space="0" w:color="auto"/>
              <w:right w:val="single" w:sz="8" w:space="0" w:color="auto"/>
            </w:tcBorders>
            <w:shd w:val="clear" w:color="000000" w:fill="D9D9D9"/>
            <w:noWrap/>
            <w:vAlign w:val="center"/>
            <w:hideMark/>
          </w:tcPr>
          <w:p w14:paraId="2B0EE1D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0.0011</w:t>
            </w:r>
          </w:p>
        </w:tc>
      </w:tr>
      <w:tr w:rsidR="00CE5E88" w:rsidRPr="00F347CB" w14:paraId="3406CB3E"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736F6BB0"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&gt;31.3 to 51.4 GHz</w:t>
            </w:r>
          </w:p>
        </w:tc>
        <w:tc>
          <w:tcPr>
            <w:tcW w:w="1346" w:type="dxa"/>
            <w:tcBorders>
              <w:top w:val="nil"/>
              <w:left w:val="nil"/>
              <w:bottom w:val="single" w:sz="8" w:space="0" w:color="auto"/>
              <w:right w:val="single" w:sz="8" w:space="0" w:color="auto"/>
            </w:tcBorders>
            <w:shd w:val="clear" w:color="000000" w:fill="D9D9D9"/>
            <w:noWrap/>
            <w:vAlign w:val="center"/>
            <w:hideMark/>
          </w:tcPr>
          <w:p w14:paraId="14833374"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0.1012</w:t>
            </w:r>
          </w:p>
        </w:tc>
        <w:tc>
          <w:tcPr>
            <w:tcW w:w="940" w:type="dxa"/>
            <w:tcBorders>
              <w:top w:val="nil"/>
              <w:left w:val="nil"/>
              <w:bottom w:val="single" w:sz="8" w:space="0" w:color="auto"/>
              <w:right w:val="single" w:sz="8" w:space="0" w:color="auto"/>
            </w:tcBorders>
            <w:shd w:val="clear" w:color="000000" w:fill="D9D9D9"/>
            <w:noWrap/>
            <w:vAlign w:val="center"/>
            <w:hideMark/>
          </w:tcPr>
          <w:p w14:paraId="0859AE0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0.0539</w:t>
            </w:r>
          </w:p>
        </w:tc>
        <w:tc>
          <w:tcPr>
            <w:tcW w:w="1151" w:type="dxa"/>
            <w:tcBorders>
              <w:top w:val="nil"/>
              <w:left w:val="nil"/>
              <w:bottom w:val="single" w:sz="8" w:space="0" w:color="auto"/>
              <w:right w:val="single" w:sz="8" w:space="0" w:color="auto"/>
            </w:tcBorders>
            <w:shd w:val="clear" w:color="000000" w:fill="D9D9D9"/>
            <w:noWrap/>
            <w:vAlign w:val="center"/>
            <w:hideMark/>
          </w:tcPr>
          <w:p w14:paraId="73750D1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0.0117</w:t>
            </w:r>
          </w:p>
        </w:tc>
        <w:tc>
          <w:tcPr>
            <w:tcW w:w="940" w:type="dxa"/>
            <w:tcBorders>
              <w:top w:val="nil"/>
              <w:left w:val="nil"/>
              <w:bottom w:val="single" w:sz="8" w:space="0" w:color="auto"/>
              <w:right w:val="single" w:sz="8" w:space="0" w:color="auto"/>
            </w:tcBorders>
            <w:shd w:val="clear" w:color="000000" w:fill="D9D9D9"/>
            <w:noWrap/>
            <w:vAlign w:val="center"/>
            <w:hideMark/>
          </w:tcPr>
          <w:p w14:paraId="6C83218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0.0004</w:t>
            </w:r>
          </w:p>
        </w:tc>
        <w:tc>
          <w:tcPr>
            <w:tcW w:w="1118" w:type="dxa"/>
            <w:tcBorders>
              <w:top w:val="nil"/>
              <w:left w:val="nil"/>
              <w:bottom w:val="single" w:sz="8" w:space="0" w:color="auto"/>
              <w:right w:val="single" w:sz="8" w:space="0" w:color="auto"/>
            </w:tcBorders>
            <w:shd w:val="clear" w:color="000000" w:fill="D9D9D9"/>
            <w:noWrap/>
            <w:vAlign w:val="center"/>
            <w:hideMark/>
          </w:tcPr>
          <w:p w14:paraId="7DAB69C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0.0002</w:t>
            </w:r>
          </w:p>
        </w:tc>
      </w:tr>
      <w:tr w:rsidR="00CE5E88" w:rsidRPr="00F347CB" w14:paraId="226D54AC"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03AFE76A"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51.4 GHz to 100 GHz</w:t>
            </w:r>
          </w:p>
        </w:tc>
        <w:tc>
          <w:tcPr>
            <w:tcW w:w="1346" w:type="dxa"/>
            <w:tcBorders>
              <w:top w:val="nil"/>
              <w:left w:val="nil"/>
              <w:bottom w:val="single" w:sz="8" w:space="0" w:color="auto"/>
              <w:right w:val="single" w:sz="8" w:space="0" w:color="auto"/>
            </w:tcBorders>
            <w:shd w:val="clear" w:color="000000" w:fill="D9D9D9"/>
            <w:noWrap/>
            <w:vAlign w:val="center"/>
            <w:hideMark/>
          </w:tcPr>
          <w:p w14:paraId="0E4D717A"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0.01</w:t>
            </w:r>
          </w:p>
        </w:tc>
        <w:tc>
          <w:tcPr>
            <w:tcW w:w="940" w:type="dxa"/>
            <w:tcBorders>
              <w:top w:val="nil"/>
              <w:left w:val="nil"/>
              <w:bottom w:val="single" w:sz="8" w:space="0" w:color="auto"/>
              <w:right w:val="single" w:sz="8" w:space="0" w:color="auto"/>
            </w:tcBorders>
            <w:shd w:val="clear" w:color="000000" w:fill="D9D9D9"/>
            <w:noWrap/>
            <w:vAlign w:val="center"/>
            <w:hideMark/>
          </w:tcPr>
          <w:p w14:paraId="4C070FF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0.001</w:t>
            </w:r>
          </w:p>
        </w:tc>
        <w:tc>
          <w:tcPr>
            <w:tcW w:w="1151" w:type="dxa"/>
            <w:tcBorders>
              <w:top w:val="nil"/>
              <w:left w:val="nil"/>
              <w:bottom w:val="single" w:sz="8" w:space="0" w:color="auto"/>
              <w:right w:val="single" w:sz="8" w:space="0" w:color="auto"/>
            </w:tcBorders>
            <w:shd w:val="clear" w:color="000000" w:fill="D9D9D9"/>
            <w:noWrap/>
            <w:vAlign w:val="center"/>
            <w:hideMark/>
          </w:tcPr>
          <w:p w14:paraId="45FD3F5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0.001</w:t>
            </w:r>
          </w:p>
        </w:tc>
        <w:tc>
          <w:tcPr>
            <w:tcW w:w="940" w:type="dxa"/>
            <w:tcBorders>
              <w:top w:val="nil"/>
              <w:left w:val="nil"/>
              <w:bottom w:val="single" w:sz="8" w:space="0" w:color="auto"/>
              <w:right w:val="single" w:sz="8" w:space="0" w:color="auto"/>
            </w:tcBorders>
            <w:shd w:val="clear" w:color="000000" w:fill="D9D9D9"/>
            <w:noWrap/>
            <w:vAlign w:val="center"/>
            <w:hideMark/>
          </w:tcPr>
          <w:p w14:paraId="1F74C68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0.0001</w:t>
            </w:r>
          </w:p>
        </w:tc>
        <w:tc>
          <w:tcPr>
            <w:tcW w:w="1118" w:type="dxa"/>
            <w:tcBorders>
              <w:top w:val="nil"/>
              <w:left w:val="nil"/>
              <w:bottom w:val="single" w:sz="8" w:space="0" w:color="auto"/>
              <w:right w:val="single" w:sz="8" w:space="0" w:color="auto"/>
            </w:tcBorders>
            <w:shd w:val="clear" w:color="000000" w:fill="D9D9D9"/>
            <w:noWrap/>
            <w:vAlign w:val="center"/>
            <w:hideMark/>
          </w:tcPr>
          <w:p w14:paraId="5DF1DB0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0.0001</w:t>
            </w:r>
          </w:p>
        </w:tc>
      </w:tr>
      <w:tr w:rsidR="00CE5E88" w:rsidRPr="00F347CB" w14:paraId="38CE652F" w14:textId="77777777" w:rsidTr="00C80AAD">
        <w:trPr>
          <w:trHeight w:val="294"/>
        </w:trPr>
        <w:tc>
          <w:tcPr>
            <w:tcW w:w="2144" w:type="dxa"/>
            <w:tcBorders>
              <w:top w:val="nil"/>
              <w:left w:val="single" w:sz="8" w:space="0" w:color="auto"/>
              <w:bottom w:val="single" w:sz="8" w:space="0" w:color="auto"/>
              <w:right w:val="single" w:sz="8" w:space="0" w:color="auto"/>
            </w:tcBorders>
            <w:shd w:val="clear" w:color="auto" w:fill="auto"/>
            <w:noWrap/>
            <w:vAlign w:val="center"/>
            <w:hideMark/>
          </w:tcPr>
          <w:p w14:paraId="575600E2"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Above 100 GHz</w:t>
            </w:r>
          </w:p>
        </w:tc>
        <w:tc>
          <w:tcPr>
            <w:tcW w:w="1346" w:type="dxa"/>
            <w:tcBorders>
              <w:top w:val="nil"/>
              <w:left w:val="nil"/>
              <w:bottom w:val="single" w:sz="8" w:space="0" w:color="auto"/>
              <w:right w:val="single" w:sz="8" w:space="0" w:color="auto"/>
            </w:tcBorders>
            <w:shd w:val="clear" w:color="000000" w:fill="C6E0B4"/>
            <w:noWrap/>
            <w:vAlign w:val="center"/>
            <w:hideMark/>
          </w:tcPr>
          <w:p w14:paraId="196CB2F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w:t>
            </w:r>
          </w:p>
        </w:tc>
        <w:tc>
          <w:tcPr>
            <w:tcW w:w="940" w:type="dxa"/>
            <w:tcBorders>
              <w:top w:val="nil"/>
              <w:left w:val="nil"/>
              <w:bottom w:val="single" w:sz="8" w:space="0" w:color="auto"/>
              <w:right w:val="single" w:sz="8" w:space="0" w:color="auto"/>
            </w:tcBorders>
            <w:shd w:val="clear" w:color="000000" w:fill="C6E0B4"/>
            <w:noWrap/>
            <w:vAlign w:val="center"/>
            <w:hideMark/>
          </w:tcPr>
          <w:p w14:paraId="7A1BB2C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w:t>
            </w:r>
          </w:p>
        </w:tc>
        <w:tc>
          <w:tcPr>
            <w:tcW w:w="1151" w:type="dxa"/>
            <w:tcBorders>
              <w:top w:val="nil"/>
              <w:left w:val="nil"/>
              <w:bottom w:val="single" w:sz="8" w:space="0" w:color="auto"/>
              <w:right w:val="single" w:sz="8" w:space="0" w:color="auto"/>
            </w:tcBorders>
            <w:shd w:val="clear" w:color="000000" w:fill="C6E0B4"/>
            <w:noWrap/>
            <w:vAlign w:val="center"/>
            <w:hideMark/>
          </w:tcPr>
          <w:p w14:paraId="13A5995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w:t>
            </w:r>
          </w:p>
        </w:tc>
        <w:tc>
          <w:tcPr>
            <w:tcW w:w="940" w:type="dxa"/>
            <w:tcBorders>
              <w:top w:val="nil"/>
              <w:left w:val="nil"/>
              <w:bottom w:val="single" w:sz="8" w:space="0" w:color="auto"/>
              <w:right w:val="single" w:sz="8" w:space="0" w:color="auto"/>
            </w:tcBorders>
            <w:shd w:val="clear" w:color="000000" w:fill="C6E0B4"/>
            <w:noWrap/>
            <w:vAlign w:val="center"/>
            <w:hideMark/>
          </w:tcPr>
          <w:p w14:paraId="52F76E0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w:t>
            </w:r>
          </w:p>
        </w:tc>
        <w:tc>
          <w:tcPr>
            <w:tcW w:w="1118" w:type="dxa"/>
            <w:tcBorders>
              <w:top w:val="nil"/>
              <w:left w:val="nil"/>
              <w:bottom w:val="single" w:sz="8" w:space="0" w:color="auto"/>
              <w:right w:val="single" w:sz="8" w:space="0" w:color="auto"/>
            </w:tcBorders>
            <w:shd w:val="clear" w:color="000000" w:fill="C6E0B4"/>
            <w:noWrap/>
            <w:vAlign w:val="center"/>
            <w:hideMark/>
          </w:tcPr>
          <w:p w14:paraId="7943CAF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w:t>
            </w:r>
          </w:p>
        </w:tc>
      </w:tr>
    </w:tbl>
    <w:p w14:paraId="610C94DD" w14:textId="7F62DCB8" w:rsidR="00C716BC" w:rsidRPr="00263AF9" w:rsidRDefault="00902F57" w:rsidP="00902F57">
      <w:pPr>
        <w:pStyle w:val="Tableorfigurenote"/>
        <w:rPr>
          <w:rFonts w:eastAsia="Arial"/>
        </w:rPr>
      </w:pPr>
      <w:r>
        <w:rPr>
          <w:rFonts w:eastAsia="Arial"/>
        </w:rPr>
        <w:t xml:space="preserve">Note: Green cells denote proposed </w:t>
      </w:r>
      <w:r w:rsidR="008A2C7B">
        <w:rPr>
          <w:rFonts w:eastAsia="Arial"/>
        </w:rPr>
        <w:t xml:space="preserve">changes to weightings that imply </w:t>
      </w:r>
      <w:r>
        <w:rPr>
          <w:rFonts w:eastAsia="Arial"/>
        </w:rPr>
        <w:t xml:space="preserve">tax reductions. Red cells denote proposed </w:t>
      </w:r>
      <w:r w:rsidR="008A2C7B">
        <w:rPr>
          <w:rFonts w:eastAsia="Arial"/>
        </w:rPr>
        <w:t xml:space="preserve">changes to weightings that imply </w:t>
      </w:r>
      <w:r>
        <w:rPr>
          <w:rFonts w:eastAsia="Arial"/>
        </w:rPr>
        <w:t xml:space="preserve">tax increases. Grey cells show </w:t>
      </w:r>
      <w:r w:rsidR="003C56CC">
        <w:rPr>
          <w:rFonts w:eastAsia="Arial"/>
        </w:rPr>
        <w:t xml:space="preserve">weightings that were changed in </w:t>
      </w:r>
      <w:r w:rsidR="00FA40C3">
        <w:rPr>
          <w:rFonts w:eastAsia="Arial"/>
        </w:rPr>
        <w:t>the 1</w:t>
      </w:r>
      <w:r w:rsidR="00FA40C3" w:rsidRPr="00FA40C3">
        <w:rPr>
          <w:rFonts w:eastAsia="Arial"/>
          <w:vertAlign w:val="superscript"/>
        </w:rPr>
        <w:t>st</w:t>
      </w:r>
      <w:r w:rsidR="00FA40C3">
        <w:rPr>
          <w:rFonts w:eastAsia="Arial"/>
        </w:rPr>
        <w:t xml:space="preserve"> </w:t>
      </w:r>
      <w:r w:rsidR="003C56CC">
        <w:rPr>
          <w:rFonts w:eastAsia="Arial"/>
        </w:rPr>
        <w:t xml:space="preserve">tranche </w:t>
      </w:r>
      <w:r w:rsidR="00FA40C3">
        <w:rPr>
          <w:rFonts w:eastAsia="Arial"/>
        </w:rPr>
        <w:t xml:space="preserve">of </w:t>
      </w:r>
      <w:r w:rsidR="003C56CC">
        <w:rPr>
          <w:rFonts w:eastAsia="Arial"/>
        </w:rPr>
        <w:t>amendments.</w:t>
      </w:r>
    </w:p>
    <w:p w14:paraId="60272567" w14:textId="77777777" w:rsidR="005E164C" w:rsidRDefault="005E164C">
      <w:pPr>
        <w:spacing w:after="160" w:line="259" w:lineRule="auto"/>
        <w:rPr>
          <w:rFonts w:eastAsia="Arial"/>
          <w:b/>
          <w:bCs/>
          <w:color w:val="323232"/>
          <w:szCs w:val="20"/>
        </w:rPr>
      </w:pPr>
      <w:r>
        <w:rPr>
          <w:rFonts w:eastAsia="Arial"/>
        </w:rPr>
        <w:br w:type="page"/>
      </w:r>
    </w:p>
    <w:p w14:paraId="3AB7C57E" w14:textId="24049DD1" w:rsidR="00C716BC" w:rsidRDefault="00C716BC" w:rsidP="006E6ED7">
      <w:pPr>
        <w:pStyle w:val="Caption"/>
        <w:rPr>
          <w:rFonts w:eastAsia="Arial"/>
        </w:rPr>
      </w:pPr>
      <w:r w:rsidRPr="77B20063">
        <w:rPr>
          <w:rFonts w:eastAsia="Arial"/>
        </w:rPr>
        <w:lastRenderedPageBreak/>
        <w:t>Current location weightings</w:t>
      </w:r>
    </w:p>
    <w:tbl>
      <w:tblPr>
        <w:tblW w:w="7651" w:type="dxa"/>
        <w:tblCellMar>
          <w:top w:w="57" w:type="dxa"/>
          <w:bottom w:w="57" w:type="dxa"/>
        </w:tblCellMar>
        <w:tblLook w:val="04A0" w:firstRow="1" w:lastRow="0" w:firstColumn="1" w:lastColumn="0" w:noHBand="0" w:noVBand="1"/>
      </w:tblPr>
      <w:tblGrid>
        <w:gridCol w:w="2146"/>
        <w:gridCol w:w="1388"/>
        <w:gridCol w:w="970"/>
        <w:gridCol w:w="1015"/>
        <w:gridCol w:w="975"/>
        <w:gridCol w:w="1157"/>
      </w:tblGrid>
      <w:tr w:rsidR="00C716BC" w:rsidRPr="00F733D5" w14:paraId="31601192" w14:textId="77777777" w:rsidTr="00C80AAD">
        <w:trPr>
          <w:trHeight w:val="242"/>
        </w:trPr>
        <w:tc>
          <w:tcPr>
            <w:tcW w:w="2146" w:type="dxa"/>
            <w:tcBorders>
              <w:top w:val="single" w:sz="8" w:space="0" w:color="auto"/>
              <w:left w:val="single" w:sz="8" w:space="0" w:color="auto"/>
              <w:bottom w:val="single" w:sz="8" w:space="0" w:color="auto"/>
              <w:right w:val="single" w:sz="8" w:space="0" w:color="auto"/>
            </w:tcBorders>
            <w:shd w:val="clear" w:color="000000" w:fill="404040"/>
            <w:noWrap/>
            <w:vAlign w:val="center"/>
            <w:hideMark/>
          </w:tcPr>
          <w:p w14:paraId="37203922" w14:textId="77777777" w:rsidR="00C716BC" w:rsidRPr="00F71814" w:rsidRDefault="00C716BC" w:rsidP="00C80AAD">
            <w:pPr>
              <w:spacing w:after="0" w:line="240" w:lineRule="auto"/>
              <w:rPr>
                <w:rFonts w:cs="Arial"/>
                <w:b/>
                <w:bCs/>
                <w:color w:val="FFFFFF"/>
                <w:sz w:val="18"/>
                <w:szCs w:val="22"/>
              </w:rPr>
            </w:pPr>
            <w:r w:rsidRPr="00F71814">
              <w:rPr>
                <w:rFonts w:cs="Arial"/>
                <w:b/>
                <w:bCs/>
                <w:color w:val="FFFFFF"/>
                <w:sz w:val="18"/>
                <w:szCs w:val="22"/>
              </w:rPr>
              <w:t> </w:t>
            </w:r>
          </w:p>
        </w:tc>
        <w:tc>
          <w:tcPr>
            <w:tcW w:w="5505" w:type="dxa"/>
            <w:gridSpan w:val="5"/>
            <w:tcBorders>
              <w:top w:val="single" w:sz="8" w:space="0" w:color="auto"/>
              <w:left w:val="nil"/>
              <w:bottom w:val="single" w:sz="8" w:space="0" w:color="auto"/>
              <w:right w:val="single" w:sz="8" w:space="0" w:color="000000"/>
            </w:tcBorders>
            <w:shd w:val="clear" w:color="000000" w:fill="404040"/>
            <w:noWrap/>
            <w:vAlign w:val="center"/>
            <w:hideMark/>
          </w:tcPr>
          <w:p w14:paraId="6A3C9654" w14:textId="0D2A5152" w:rsidR="00C716BC" w:rsidRPr="00F71814" w:rsidRDefault="00C716BC" w:rsidP="00C80AAD">
            <w:pPr>
              <w:spacing w:after="0" w:line="240" w:lineRule="auto"/>
              <w:jc w:val="center"/>
              <w:rPr>
                <w:rFonts w:cs="Arial"/>
                <w:b/>
                <w:bCs/>
                <w:color w:val="FFFFFF"/>
                <w:sz w:val="18"/>
                <w:szCs w:val="22"/>
              </w:rPr>
            </w:pPr>
            <w:r w:rsidRPr="00F71814">
              <w:rPr>
                <w:rFonts w:cs="Arial"/>
                <w:b/>
                <w:bCs/>
                <w:color w:val="FFFFFF"/>
                <w:sz w:val="18"/>
                <w:szCs w:val="22"/>
              </w:rPr>
              <w:t>Geographic location</w:t>
            </w:r>
            <w:r w:rsidR="000B648D">
              <w:rPr>
                <w:rFonts w:cs="Arial"/>
                <w:b/>
                <w:bCs/>
                <w:color w:val="FFFFFF"/>
                <w:sz w:val="18"/>
                <w:szCs w:val="22"/>
              </w:rPr>
              <w:t xml:space="preserve"> / density area</w:t>
            </w:r>
          </w:p>
        </w:tc>
      </w:tr>
      <w:tr w:rsidR="00C716BC" w:rsidRPr="00F733D5" w14:paraId="173CEA23" w14:textId="77777777" w:rsidTr="00C80AAD">
        <w:trPr>
          <w:trHeight w:val="242"/>
        </w:trPr>
        <w:tc>
          <w:tcPr>
            <w:tcW w:w="2146" w:type="dxa"/>
            <w:tcBorders>
              <w:top w:val="nil"/>
              <w:left w:val="single" w:sz="8" w:space="0" w:color="auto"/>
              <w:bottom w:val="single" w:sz="8" w:space="0" w:color="auto"/>
              <w:right w:val="single" w:sz="8" w:space="0" w:color="auto"/>
            </w:tcBorders>
            <w:shd w:val="clear" w:color="000000" w:fill="404040"/>
            <w:noWrap/>
            <w:vAlign w:val="center"/>
            <w:hideMark/>
          </w:tcPr>
          <w:p w14:paraId="4D8EEDF2" w14:textId="77777777" w:rsidR="00C716BC" w:rsidRPr="00F71814" w:rsidRDefault="00C716BC" w:rsidP="00C80AAD">
            <w:pPr>
              <w:spacing w:after="0" w:line="240" w:lineRule="auto"/>
              <w:rPr>
                <w:rFonts w:cs="Arial"/>
                <w:b/>
                <w:bCs/>
                <w:color w:val="FFFFFF"/>
                <w:sz w:val="18"/>
                <w:szCs w:val="22"/>
              </w:rPr>
            </w:pPr>
            <w:r w:rsidRPr="00F71814">
              <w:rPr>
                <w:rFonts w:cs="Arial"/>
                <w:b/>
                <w:bCs/>
                <w:color w:val="FFFFFF"/>
                <w:sz w:val="18"/>
                <w:szCs w:val="22"/>
              </w:rPr>
              <w:t>Spectrum location</w:t>
            </w:r>
          </w:p>
        </w:tc>
        <w:tc>
          <w:tcPr>
            <w:tcW w:w="1388" w:type="dxa"/>
            <w:tcBorders>
              <w:top w:val="nil"/>
              <w:left w:val="nil"/>
              <w:bottom w:val="single" w:sz="8" w:space="0" w:color="auto"/>
              <w:right w:val="single" w:sz="8" w:space="0" w:color="auto"/>
            </w:tcBorders>
            <w:shd w:val="clear" w:color="000000" w:fill="404040"/>
            <w:noWrap/>
            <w:vAlign w:val="center"/>
            <w:hideMark/>
          </w:tcPr>
          <w:p w14:paraId="7F4B49EE" w14:textId="77777777" w:rsidR="00C716BC" w:rsidRPr="00F71814" w:rsidRDefault="00C716BC" w:rsidP="00C80AAD">
            <w:pPr>
              <w:spacing w:after="0" w:line="240" w:lineRule="auto"/>
              <w:jc w:val="center"/>
              <w:rPr>
                <w:rFonts w:cs="Arial"/>
                <w:b/>
                <w:bCs/>
                <w:color w:val="FFFFFF"/>
                <w:sz w:val="18"/>
                <w:szCs w:val="22"/>
              </w:rPr>
            </w:pPr>
            <w:proofErr w:type="spellStart"/>
            <w:r w:rsidRPr="00F71814">
              <w:rPr>
                <w:rFonts w:cs="Arial"/>
                <w:b/>
                <w:bCs/>
                <w:color w:val="FFFFFF"/>
                <w:sz w:val="18"/>
                <w:szCs w:val="22"/>
              </w:rPr>
              <w:t>Aus</w:t>
            </w:r>
            <w:proofErr w:type="spellEnd"/>
            <w:r w:rsidRPr="00F71814">
              <w:rPr>
                <w:rFonts w:cs="Arial"/>
                <w:b/>
                <w:bCs/>
                <w:color w:val="FFFFFF"/>
                <w:sz w:val="18"/>
                <w:szCs w:val="22"/>
              </w:rPr>
              <w:t>-wide</w:t>
            </w:r>
          </w:p>
        </w:tc>
        <w:tc>
          <w:tcPr>
            <w:tcW w:w="970" w:type="dxa"/>
            <w:tcBorders>
              <w:top w:val="nil"/>
              <w:left w:val="nil"/>
              <w:bottom w:val="single" w:sz="8" w:space="0" w:color="auto"/>
              <w:right w:val="single" w:sz="8" w:space="0" w:color="auto"/>
            </w:tcBorders>
            <w:shd w:val="clear" w:color="000000" w:fill="404040"/>
            <w:noWrap/>
            <w:vAlign w:val="center"/>
            <w:hideMark/>
          </w:tcPr>
          <w:p w14:paraId="06603AAE" w14:textId="77777777" w:rsidR="00C716BC" w:rsidRPr="00F71814" w:rsidRDefault="00C716BC" w:rsidP="00C80AAD">
            <w:pPr>
              <w:spacing w:after="0" w:line="240" w:lineRule="auto"/>
              <w:jc w:val="center"/>
              <w:rPr>
                <w:rFonts w:cs="Arial"/>
                <w:b/>
                <w:bCs/>
                <w:color w:val="FFFFFF"/>
                <w:sz w:val="18"/>
                <w:szCs w:val="22"/>
              </w:rPr>
            </w:pPr>
            <w:r w:rsidRPr="00F71814">
              <w:rPr>
                <w:rFonts w:cs="Arial"/>
                <w:b/>
                <w:bCs/>
                <w:color w:val="FFFFFF"/>
                <w:sz w:val="18"/>
                <w:szCs w:val="22"/>
              </w:rPr>
              <w:t>High</w:t>
            </w:r>
          </w:p>
        </w:tc>
        <w:tc>
          <w:tcPr>
            <w:tcW w:w="1015" w:type="dxa"/>
            <w:tcBorders>
              <w:top w:val="nil"/>
              <w:left w:val="nil"/>
              <w:bottom w:val="single" w:sz="8" w:space="0" w:color="auto"/>
              <w:right w:val="single" w:sz="8" w:space="0" w:color="auto"/>
            </w:tcBorders>
            <w:shd w:val="clear" w:color="000000" w:fill="404040"/>
            <w:noWrap/>
            <w:vAlign w:val="center"/>
            <w:hideMark/>
          </w:tcPr>
          <w:p w14:paraId="34B7EB92" w14:textId="77777777" w:rsidR="00C716BC" w:rsidRPr="00F71814" w:rsidRDefault="00C716BC" w:rsidP="00C80AAD">
            <w:pPr>
              <w:spacing w:after="0" w:line="240" w:lineRule="auto"/>
              <w:jc w:val="center"/>
              <w:rPr>
                <w:rFonts w:cs="Arial"/>
                <w:b/>
                <w:bCs/>
                <w:color w:val="FFFFFF"/>
                <w:sz w:val="18"/>
                <w:szCs w:val="22"/>
              </w:rPr>
            </w:pPr>
            <w:r w:rsidRPr="00F71814">
              <w:rPr>
                <w:rFonts w:cs="Arial"/>
                <w:b/>
                <w:bCs/>
                <w:color w:val="FFFFFF"/>
                <w:sz w:val="18"/>
                <w:szCs w:val="22"/>
              </w:rPr>
              <w:t>Medium</w:t>
            </w:r>
          </w:p>
        </w:tc>
        <w:tc>
          <w:tcPr>
            <w:tcW w:w="975" w:type="dxa"/>
            <w:tcBorders>
              <w:top w:val="nil"/>
              <w:left w:val="nil"/>
              <w:bottom w:val="single" w:sz="8" w:space="0" w:color="auto"/>
              <w:right w:val="single" w:sz="8" w:space="0" w:color="auto"/>
            </w:tcBorders>
            <w:shd w:val="clear" w:color="000000" w:fill="404040"/>
            <w:noWrap/>
            <w:vAlign w:val="center"/>
            <w:hideMark/>
          </w:tcPr>
          <w:p w14:paraId="0ED50906" w14:textId="77777777" w:rsidR="00C716BC" w:rsidRPr="00F71814" w:rsidRDefault="00C716BC" w:rsidP="00C80AAD">
            <w:pPr>
              <w:spacing w:after="0" w:line="240" w:lineRule="auto"/>
              <w:jc w:val="center"/>
              <w:rPr>
                <w:rFonts w:cs="Arial"/>
                <w:b/>
                <w:bCs/>
                <w:color w:val="FFFFFF"/>
                <w:sz w:val="18"/>
                <w:szCs w:val="22"/>
              </w:rPr>
            </w:pPr>
            <w:r w:rsidRPr="00F71814">
              <w:rPr>
                <w:rFonts w:cs="Arial"/>
                <w:b/>
                <w:bCs/>
                <w:color w:val="FFFFFF"/>
                <w:sz w:val="18"/>
                <w:szCs w:val="22"/>
              </w:rPr>
              <w:t>Low</w:t>
            </w:r>
          </w:p>
        </w:tc>
        <w:tc>
          <w:tcPr>
            <w:tcW w:w="1157" w:type="dxa"/>
            <w:tcBorders>
              <w:top w:val="nil"/>
              <w:left w:val="nil"/>
              <w:bottom w:val="single" w:sz="8" w:space="0" w:color="auto"/>
              <w:right w:val="single" w:sz="8" w:space="0" w:color="auto"/>
            </w:tcBorders>
            <w:shd w:val="clear" w:color="000000" w:fill="404040"/>
            <w:noWrap/>
            <w:vAlign w:val="center"/>
            <w:hideMark/>
          </w:tcPr>
          <w:p w14:paraId="1DC7DB83" w14:textId="77777777" w:rsidR="00C716BC" w:rsidRPr="00F71814" w:rsidRDefault="00C716BC" w:rsidP="00C80AAD">
            <w:pPr>
              <w:spacing w:after="0" w:line="240" w:lineRule="auto"/>
              <w:jc w:val="center"/>
              <w:rPr>
                <w:rFonts w:cs="Arial"/>
                <w:b/>
                <w:bCs/>
                <w:color w:val="FFFFFF"/>
                <w:sz w:val="18"/>
                <w:szCs w:val="22"/>
              </w:rPr>
            </w:pPr>
            <w:r w:rsidRPr="00F71814">
              <w:rPr>
                <w:rFonts w:cs="Arial"/>
                <w:b/>
                <w:bCs/>
                <w:color w:val="FFFFFF"/>
                <w:sz w:val="18"/>
                <w:szCs w:val="22"/>
              </w:rPr>
              <w:t>Remote</w:t>
            </w:r>
          </w:p>
        </w:tc>
      </w:tr>
      <w:tr w:rsidR="00C716BC" w:rsidRPr="00F733D5" w14:paraId="111228C7"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6EF0760"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30 MHz and below</w:t>
            </w:r>
          </w:p>
        </w:tc>
        <w:tc>
          <w:tcPr>
            <w:tcW w:w="1388" w:type="dxa"/>
            <w:tcBorders>
              <w:top w:val="nil"/>
              <w:left w:val="nil"/>
              <w:bottom w:val="single" w:sz="8" w:space="0" w:color="auto"/>
              <w:right w:val="single" w:sz="8" w:space="0" w:color="auto"/>
            </w:tcBorders>
            <w:shd w:val="clear" w:color="auto" w:fill="auto"/>
            <w:noWrap/>
            <w:vAlign w:val="center"/>
            <w:hideMark/>
          </w:tcPr>
          <w:p w14:paraId="6AFAAC5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4.315</w:t>
            </w:r>
          </w:p>
        </w:tc>
        <w:tc>
          <w:tcPr>
            <w:tcW w:w="970" w:type="dxa"/>
            <w:tcBorders>
              <w:top w:val="nil"/>
              <w:left w:val="nil"/>
              <w:bottom w:val="single" w:sz="8" w:space="0" w:color="auto"/>
              <w:right w:val="single" w:sz="8" w:space="0" w:color="auto"/>
            </w:tcBorders>
            <w:shd w:val="clear" w:color="auto" w:fill="auto"/>
            <w:noWrap/>
            <w:vAlign w:val="center"/>
            <w:hideMark/>
          </w:tcPr>
          <w:p w14:paraId="2DB3585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4.315</w:t>
            </w:r>
          </w:p>
        </w:tc>
        <w:tc>
          <w:tcPr>
            <w:tcW w:w="1015" w:type="dxa"/>
            <w:tcBorders>
              <w:top w:val="nil"/>
              <w:left w:val="nil"/>
              <w:bottom w:val="single" w:sz="8" w:space="0" w:color="auto"/>
              <w:right w:val="single" w:sz="8" w:space="0" w:color="auto"/>
            </w:tcBorders>
            <w:shd w:val="clear" w:color="auto" w:fill="auto"/>
            <w:noWrap/>
            <w:vAlign w:val="center"/>
            <w:hideMark/>
          </w:tcPr>
          <w:p w14:paraId="54517C8A"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4.315</w:t>
            </w:r>
          </w:p>
        </w:tc>
        <w:tc>
          <w:tcPr>
            <w:tcW w:w="975" w:type="dxa"/>
            <w:tcBorders>
              <w:top w:val="nil"/>
              <w:left w:val="nil"/>
              <w:bottom w:val="single" w:sz="8" w:space="0" w:color="auto"/>
              <w:right w:val="single" w:sz="8" w:space="0" w:color="auto"/>
            </w:tcBorders>
            <w:shd w:val="clear" w:color="auto" w:fill="auto"/>
            <w:noWrap/>
            <w:vAlign w:val="center"/>
            <w:hideMark/>
          </w:tcPr>
          <w:p w14:paraId="5523A009"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4.315</w:t>
            </w:r>
          </w:p>
        </w:tc>
        <w:tc>
          <w:tcPr>
            <w:tcW w:w="1157" w:type="dxa"/>
            <w:tcBorders>
              <w:top w:val="nil"/>
              <w:left w:val="nil"/>
              <w:bottom w:val="single" w:sz="8" w:space="0" w:color="auto"/>
              <w:right w:val="single" w:sz="8" w:space="0" w:color="auto"/>
            </w:tcBorders>
            <w:shd w:val="clear" w:color="auto" w:fill="auto"/>
            <w:noWrap/>
            <w:vAlign w:val="center"/>
            <w:hideMark/>
          </w:tcPr>
          <w:p w14:paraId="52BF544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4.315</w:t>
            </w:r>
          </w:p>
        </w:tc>
      </w:tr>
      <w:tr w:rsidR="00C716BC" w:rsidRPr="00F733D5" w14:paraId="343C953B"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00B3181D"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&gt;30 to 70 MHz</w:t>
            </w:r>
          </w:p>
        </w:tc>
        <w:tc>
          <w:tcPr>
            <w:tcW w:w="1388" w:type="dxa"/>
            <w:tcBorders>
              <w:top w:val="nil"/>
              <w:left w:val="nil"/>
              <w:bottom w:val="single" w:sz="8" w:space="0" w:color="auto"/>
              <w:right w:val="single" w:sz="8" w:space="0" w:color="auto"/>
            </w:tcBorders>
            <w:shd w:val="clear" w:color="auto" w:fill="auto"/>
            <w:noWrap/>
            <w:vAlign w:val="center"/>
            <w:hideMark/>
          </w:tcPr>
          <w:p w14:paraId="71B0BE63"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9.747</w:t>
            </w:r>
          </w:p>
        </w:tc>
        <w:tc>
          <w:tcPr>
            <w:tcW w:w="970" w:type="dxa"/>
            <w:tcBorders>
              <w:top w:val="nil"/>
              <w:left w:val="nil"/>
              <w:bottom w:val="single" w:sz="8" w:space="0" w:color="auto"/>
              <w:right w:val="single" w:sz="8" w:space="0" w:color="auto"/>
            </w:tcBorders>
            <w:shd w:val="clear" w:color="auto" w:fill="auto"/>
            <w:noWrap/>
            <w:vAlign w:val="center"/>
            <w:hideMark/>
          </w:tcPr>
          <w:p w14:paraId="2484E27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3.807</w:t>
            </w:r>
          </w:p>
        </w:tc>
        <w:tc>
          <w:tcPr>
            <w:tcW w:w="1015" w:type="dxa"/>
            <w:tcBorders>
              <w:top w:val="nil"/>
              <w:left w:val="nil"/>
              <w:bottom w:val="single" w:sz="8" w:space="0" w:color="auto"/>
              <w:right w:val="single" w:sz="8" w:space="0" w:color="auto"/>
            </w:tcBorders>
            <w:shd w:val="clear" w:color="auto" w:fill="auto"/>
            <w:noWrap/>
            <w:vAlign w:val="center"/>
            <w:hideMark/>
          </w:tcPr>
          <w:p w14:paraId="18F0B00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2.025</w:t>
            </w:r>
          </w:p>
        </w:tc>
        <w:tc>
          <w:tcPr>
            <w:tcW w:w="975" w:type="dxa"/>
            <w:tcBorders>
              <w:top w:val="nil"/>
              <w:left w:val="nil"/>
              <w:bottom w:val="single" w:sz="8" w:space="0" w:color="auto"/>
              <w:right w:val="single" w:sz="8" w:space="0" w:color="auto"/>
            </w:tcBorders>
            <w:shd w:val="clear" w:color="auto" w:fill="auto"/>
            <w:noWrap/>
            <w:vAlign w:val="center"/>
            <w:hideMark/>
          </w:tcPr>
          <w:p w14:paraId="649E746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2DE48E8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0.218</w:t>
            </w:r>
          </w:p>
        </w:tc>
      </w:tr>
      <w:tr w:rsidR="00C716BC" w:rsidRPr="00F733D5" w14:paraId="1E808CF4"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335B727"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&gt;70 to 399.9 MHz</w:t>
            </w:r>
          </w:p>
        </w:tc>
        <w:tc>
          <w:tcPr>
            <w:tcW w:w="1388" w:type="dxa"/>
            <w:tcBorders>
              <w:top w:val="nil"/>
              <w:left w:val="nil"/>
              <w:bottom w:val="single" w:sz="8" w:space="0" w:color="auto"/>
              <w:right w:val="single" w:sz="8" w:space="0" w:color="auto"/>
            </w:tcBorders>
            <w:shd w:val="clear" w:color="auto" w:fill="auto"/>
            <w:noWrap/>
            <w:vAlign w:val="center"/>
            <w:hideMark/>
          </w:tcPr>
          <w:p w14:paraId="0EC007E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77FC9769"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4.104</w:t>
            </w:r>
          </w:p>
        </w:tc>
        <w:tc>
          <w:tcPr>
            <w:tcW w:w="1015" w:type="dxa"/>
            <w:tcBorders>
              <w:top w:val="nil"/>
              <w:left w:val="nil"/>
              <w:bottom w:val="single" w:sz="8" w:space="0" w:color="auto"/>
              <w:right w:val="single" w:sz="8" w:space="0" w:color="auto"/>
            </w:tcBorders>
            <w:shd w:val="clear" w:color="auto" w:fill="auto"/>
            <w:noWrap/>
            <w:vAlign w:val="center"/>
            <w:hideMark/>
          </w:tcPr>
          <w:p w14:paraId="30499D9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1.878</w:t>
            </w:r>
          </w:p>
        </w:tc>
        <w:tc>
          <w:tcPr>
            <w:tcW w:w="975" w:type="dxa"/>
            <w:tcBorders>
              <w:top w:val="nil"/>
              <w:left w:val="nil"/>
              <w:bottom w:val="single" w:sz="8" w:space="0" w:color="auto"/>
              <w:right w:val="single" w:sz="8" w:space="0" w:color="auto"/>
            </w:tcBorders>
            <w:shd w:val="clear" w:color="auto" w:fill="auto"/>
            <w:noWrap/>
            <w:vAlign w:val="center"/>
            <w:hideMark/>
          </w:tcPr>
          <w:p w14:paraId="132E986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0.421</w:t>
            </w:r>
          </w:p>
        </w:tc>
        <w:tc>
          <w:tcPr>
            <w:tcW w:w="1157" w:type="dxa"/>
            <w:tcBorders>
              <w:top w:val="nil"/>
              <w:left w:val="nil"/>
              <w:bottom w:val="single" w:sz="8" w:space="0" w:color="auto"/>
              <w:right w:val="single" w:sz="8" w:space="0" w:color="auto"/>
            </w:tcBorders>
            <w:shd w:val="clear" w:color="auto" w:fill="auto"/>
            <w:noWrap/>
            <w:vAlign w:val="center"/>
            <w:hideMark/>
          </w:tcPr>
          <w:p w14:paraId="7D9A2B6A"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0.21</w:t>
            </w:r>
          </w:p>
        </w:tc>
      </w:tr>
      <w:tr w:rsidR="00C716BC" w:rsidRPr="00F733D5" w14:paraId="79C60DF4"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44AC2177"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&gt;399.9 to 403 MHz</w:t>
            </w:r>
          </w:p>
        </w:tc>
        <w:tc>
          <w:tcPr>
            <w:tcW w:w="1388" w:type="dxa"/>
            <w:tcBorders>
              <w:top w:val="nil"/>
              <w:left w:val="nil"/>
              <w:bottom w:val="single" w:sz="8" w:space="0" w:color="auto"/>
              <w:right w:val="single" w:sz="8" w:space="0" w:color="auto"/>
            </w:tcBorders>
            <w:shd w:val="clear" w:color="auto" w:fill="auto"/>
            <w:noWrap/>
            <w:vAlign w:val="center"/>
            <w:hideMark/>
          </w:tcPr>
          <w:p w14:paraId="1A8CAE3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22055C76"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5.6</w:t>
            </w:r>
          </w:p>
        </w:tc>
        <w:tc>
          <w:tcPr>
            <w:tcW w:w="1015" w:type="dxa"/>
            <w:tcBorders>
              <w:top w:val="nil"/>
              <w:left w:val="nil"/>
              <w:bottom w:val="single" w:sz="8" w:space="0" w:color="auto"/>
              <w:right w:val="single" w:sz="8" w:space="0" w:color="auto"/>
            </w:tcBorders>
            <w:shd w:val="clear" w:color="auto" w:fill="auto"/>
            <w:noWrap/>
            <w:vAlign w:val="center"/>
            <w:hideMark/>
          </w:tcPr>
          <w:p w14:paraId="42B8EFD6"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2.562</w:t>
            </w:r>
          </w:p>
        </w:tc>
        <w:tc>
          <w:tcPr>
            <w:tcW w:w="975" w:type="dxa"/>
            <w:tcBorders>
              <w:top w:val="nil"/>
              <w:left w:val="nil"/>
              <w:bottom w:val="single" w:sz="8" w:space="0" w:color="auto"/>
              <w:right w:val="single" w:sz="8" w:space="0" w:color="auto"/>
            </w:tcBorders>
            <w:shd w:val="clear" w:color="auto" w:fill="auto"/>
            <w:noWrap/>
            <w:vAlign w:val="center"/>
            <w:hideMark/>
          </w:tcPr>
          <w:p w14:paraId="4BD5BDD5"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61E06D18"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0.218</w:t>
            </w:r>
          </w:p>
        </w:tc>
      </w:tr>
      <w:tr w:rsidR="00C716BC" w:rsidRPr="00F733D5" w14:paraId="1602647E"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3E123A7C"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&gt;403 to 520 MHz</w:t>
            </w:r>
          </w:p>
        </w:tc>
        <w:tc>
          <w:tcPr>
            <w:tcW w:w="1388" w:type="dxa"/>
            <w:tcBorders>
              <w:top w:val="nil"/>
              <w:left w:val="nil"/>
              <w:bottom w:val="single" w:sz="8" w:space="0" w:color="auto"/>
              <w:right w:val="single" w:sz="8" w:space="0" w:color="auto"/>
            </w:tcBorders>
            <w:shd w:val="clear" w:color="auto" w:fill="auto"/>
            <w:noWrap/>
            <w:vAlign w:val="center"/>
            <w:hideMark/>
          </w:tcPr>
          <w:p w14:paraId="5C5A6FC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147FF3A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7.4114</w:t>
            </w:r>
          </w:p>
        </w:tc>
        <w:tc>
          <w:tcPr>
            <w:tcW w:w="1015" w:type="dxa"/>
            <w:tcBorders>
              <w:top w:val="nil"/>
              <w:left w:val="nil"/>
              <w:bottom w:val="single" w:sz="8" w:space="0" w:color="auto"/>
              <w:right w:val="single" w:sz="8" w:space="0" w:color="auto"/>
            </w:tcBorders>
            <w:shd w:val="clear" w:color="auto" w:fill="auto"/>
            <w:noWrap/>
            <w:vAlign w:val="center"/>
            <w:hideMark/>
          </w:tcPr>
          <w:p w14:paraId="0BB20709"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2.562</w:t>
            </w:r>
          </w:p>
        </w:tc>
        <w:tc>
          <w:tcPr>
            <w:tcW w:w="975" w:type="dxa"/>
            <w:tcBorders>
              <w:top w:val="nil"/>
              <w:left w:val="nil"/>
              <w:bottom w:val="single" w:sz="8" w:space="0" w:color="auto"/>
              <w:right w:val="single" w:sz="8" w:space="0" w:color="auto"/>
            </w:tcBorders>
            <w:shd w:val="clear" w:color="auto" w:fill="auto"/>
            <w:noWrap/>
            <w:vAlign w:val="center"/>
            <w:hideMark/>
          </w:tcPr>
          <w:p w14:paraId="47C4A9C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5EB30CE4"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w:t>
            </w:r>
          </w:p>
        </w:tc>
      </w:tr>
      <w:tr w:rsidR="00C716BC" w:rsidRPr="00F733D5" w14:paraId="6D23274A"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74D5EB32"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&gt;520 to 960 MHz</w:t>
            </w:r>
          </w:p>
        </w:tc>
        <w:tc>
          <w:tcPr>
            <w:tcW w:w="1388" w:type="dxa"/>
            <w:tcBorders>
              <w:top w:val="nil"/>
              <w:left w:val="nil"/>
              <w:bottom w:val="single" w:sz="8" w:space="0" w:color="auto"/>
              <w:right w:val="single" w:sz="8" w:space="0" w:color="auto"/>
            </w:tcBorders>
            <w:shd w:val="clear" w:color="auto" w:fill="auto"/>
            <w:noWrap/>
            <w:vAlign w:val="center"/>
            <w:hideMark/>
          </w:tcPr>
          <w:p w14:paraId="4DACCA8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10</w:t>
            </w:r>
          </w:p>
        </w:tc>
        <w:tc>
          <w:tcPr>
            <w:tcW w:w="970" w:type="dxa"/>
            <w:tcBorders>
              <w:top w:val="nil"/>
              <w:left w:val="nil"/>
              <w:bottom w:val="single" w:sz="8" w:space="0" w:color="auto"/>
              <w:right w:val="single" w:sz="8" w:space="0" w:color="auto"/>
            </w:tcBorders>
            <w:shd w:val="clear" w:color="auto" w:fill="auto"/>
            <w:noWrap/>
            <w:vAlign w:val="center"/>
            <w:hideMark/>
          </w:tcPr>
          <w:p w14:paraId="78E3B14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5.6</w:t>
            </w:r>
          </w:p>
        </w:tc>
        <w:tc>
          <w:tcPr>
            <w:tcW w:w="1015" w:type="dxa"/>
            <w:tcBorders>
              <w:top w:val="nil"/>
              <w:left w:val="nil"/>
              <w:bottom w:val="single" w:sz="8" w:space="0" w:color="auto"/>
              <w:right w:val="single" w:sz="8" w:space="0" w:color="auto"/>
            </w:tcBorders>
            <w:shd w:val="clear" w:color="auto" w:fill="auto"/>
            <w:noWrap/>
            <w:vAlign w:val="center"/>
            <w:hideMark/>
          </w:tcPr>
          <w:p w14:paraId="5214EF1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2.562</w:t>
            </w:r>
          </w:p>
        </w:tc>
        <w:tc>
          <w:tcPr>
            <w:tcW w:w="975" w:type="dxa"/>
            <w:tcBorders>
              <w:top w:val="nil"/>
              <w:left w:val="nil"/>
              <w:bottom w:val="single" w:sz="8" w:space="0" w:color="auto"/>
              <w:right w:val="single" w:sz="8" w:space="0" w:color="auto"/>
            </w:tcBorders>
            <w:shd w:val="clear" w:color="auto" w:fill="auto"/>
            <w:noWrap/>
            <w:vAlign w:val="center"/>
            <w:hideMark/>
          </w:tcPr>
          <w:p w14:paraId="08265BB2"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0.437</w:t>
            </w:r>
          </w:p>
        </w:tc>
        <w:tc>
          <w:tcPr>
            <w:tcW w:w="1157" w:type="dxa"/>
            <w:tcBorders>
              <w:top w:val="nil"/>
              <w:left w:val="nil"/>
              <w:bottom w:val="single" w:sz="8" w:space="0" w:color="auto"/>
              <w:right w:val="single" w:sz="8" w:space="0" w:color="auto"/>
            </w:tcBorders>
            <w:shd w:val="clear" w:color="auto" w:fill="auto"/>
            <w:noWrap/>
            <w:vAlign w:val="center"/>
            <w:hideMark/>
          </w:tcPr>
          <w:p w14:paraId="4298709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0.218</w:t>
            </w:r>
          </w:p>
        </w:tc>
      </w:tr>
      <w:tr w:rsidR="00C716BC" w:rsidRPr="00F733D5" w14:paraId="42B8EF98"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78A7400F"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&gt;960 to 2,690 MHz</w:t>
            </w:r>
          </w:p>
        </w:tc>
        <w:tc>
          <w:tcPr>
            <w:tcW w:w="1388" w:type="dxa"/>
            <w:tcBorders>
              <w:top w:val="nil"/>
              <w:left w:val="nil"/>
              <w:bottom w:val="single" w:sz="8" w:space="0" w:color="auto"/>
              <w:right w:val="single" w:sz="8" w:space="0" w:color="auto"/>
            </w:tcBorders>
            <w:shd w:val="clear" w:color="auto" w:fill="auto"/>
            <w:noWrap/>
            <w:vAlign w:val="center"/>
            <w:hideMark/>
          </w:tcPr>
          <w:p w14:paraId="43517B28"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9.985</w:t>
            </w:r>
          </w:p>
        </w:tc>
        <w:tc>
          <w:tcPr>
            <w:tcW w:w="970" w:type="dxa"/>
            <w:tcBorders>
              <w:top w:val="nil"/>
              <w:left w:val="nil"/>
              <w:bottom w:val="single" w:sz="8" w:space="0" w:color="auto"/>
              <w:right w:val="single" w:sz="8" w:space="0" w:color="auto"/>
            </w:tcBorders>
            <w:shd w:val="clear" w:color="auto" w:fill="auto"/>
            <w:noWrap/>
            <w:vAlign w:val="center"/>
            <w:hideMark/>
          </w:tcPr>
          <w:p w14:paraId="27EE832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2.241</w:t>
            </w:r>
          </w:p>
        </w:tc>
        <w:tc>
          <w:tcPr>
            <w:tcW w:w="1015" w:type="dxa"/>
            <w:tcBorders>
              <w:top w:val="nil"/>
              <w:left w:val="nil"/>
              <w:bottom w:val="single" w:sz="8" w:space="0" w:color="auto"/>
              <w:right w:val="single" w:sz="8" w:space="0" w:color="auto"/>
            </w:tcBorders>
            <w:shd w:val="clear" w:color="auto" w:fill="auto"/>
            <w:noWrap/>
            <w:vAlign w:val="center"/>
            <w:hideMark/>
          </w:tcPr>
          <w:p w14:paraId="042B206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1.036</w:t>
            </w:r>
          </w:p>
        </w:tc>
        <w:tc>
          <w:tcPr>
            <w:tcW w:w="975" w:type="dxa"/>
            <w:tcBorders>
              <w:top w:val="nil"/>
              <w:left w:val="nil"/>
              <w:bottom w:val="single" w:sz="8" w:space="0" w:color="auto"/>
              <w:right w:val="single" w:sz="8" w:space="0" w:color="auto"/>
            </w:tcBorders>
            <w:shd w:val="clear" w:color="auto" w:fill="auto"/>
            <w:noWrap/>
            <w:vAlign w:val="center"/>
            <w:hideMark/>
          </w:tcPr>
          <w:p w14:paraId="0587CF9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0.521</w:t>
            </w:r>
          </w:p>
        </w:tc>
        <w:tc>
          <w:tcPr>
            <w:tcW w:w="1157" w:type="dxa"/>
            <w:tcBorders>
              <w:top w:val="nil"/>
              <w:left w:val="nil"/>
              <w:bottom w:val="single" w:sz="8" w:space="0" w:color="auto"/>
              <w:right w:val="single" w:sz="8" w:space="0" w:color="auto"/>
            </w:tcBorders>
            <w:shd w:val="clear" w:color="auto" w:fill="auto"/>
            <w:noWrap/>
            <w:vAlign w:val="center"/>
            <w:hideMark/>
          </w:tcPr>
          <w:p w14:paraId="46338D1A"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0.26</w:t>
            </w:r>
          </w:p>
        </w:tc>
      </w:tr>
      <w:tr w:rsidR="00C716BC" w:rsidRPr="00F733D5" w14:paraId="3A20B764"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4BCC6931"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&gt;2,690 to 5,000 MHz</w:t>
            </w:r>
          </w:p>
        </w:tc>
        <w:tc>
          <w:tcPr>
            <w:tcW w:w="1388" w:type="dxa"/>
            <w:tcBorders>
              <w:top w:val="nil"/>
              <w:left w:val="nil"/>
              <w:bottom w:val="single" w:sz="8" w:space="0" w:color="auto"/>
              <w:right w:val="single" w:sz="8" w:space="0" w:color="auto"/>
            </w:tcBorders>
            <w:shd w:val="clear" w:color="auto" w:fill="auto"/>
            <w:noWrap/>
            <w:vAlign w:val="center"/>
            <w:hideMark/>
          </w:tcPr>
          <w:p w14:paraId="7BEC67D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9.974</w:t>
            </w:r>
          </w:p>
        </w:tc>
        <w:tc>
          <w:tcPr>
            <w:tcW w:w="970" w:type="dxa"/>
            <w:tcBorders>
              <w:top w:val="nil"/>
              <w:left w:val="nil"/>
              <w:bottom w:val="single" w:sz="8" w:space="0" w:color="auto"/>
              <w:right w:val="single" w:sz="8" w:space="0" w:color="auto"/>
            </w:tcBorders>
            <w:shd w:val="clear" w:color="auto" w:fill="auto"/>
            <w:noWrap/>
            <w:vAlign w:val="center"/>
            <w:hideMark/>
          </w:tcPr>
          <w:p w14:paraId="3759C582"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1.853</w:t>
            </w:r>
          </w:p>
        </w:tc>
        <w:tc>
          <w:tcPr>
            <w:tcW w:w="1015" w:type="dxa"/>
            <w:tcBorders>
              <w:top w:val="nil"/>
              <w:left w:val="nil"/>
              <w:bottom w:val="single" w:sz="8" w:space="0" w:color="auto"/>
              <w:right w:val="single" w:sz="8" w:space="0" w:color="auto"/>
            </w:tcBorders>
            <w:shd w:val="clear" w:color="auto" w:fill="auto"/>
            <w:noWrap/>
            <w:vAlign w:val="center"/>
            <w:hideMark/>
          </w:tcPr>
          <w:p w14:paraId="09FACA7F"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0.751</w:t>
            </w:r>
          </w:p>
        </w:tc>
        <w:tc>
          <w:tcPr>
            <w:tcW w:w="975" w:type="dxa"/>
            <w:tcBorders>
              <w:top w:val="nil"/>
              <w:left w:val="nil"/>
              <w:bottom w:val="single" w:sz="8" w:space="0" w:color="auto"/>
              <w:right w:val="single" w:sz="8" w:space="0" w:color="auto"/>
            </w:tcBorders>
            <w:shd w:val="clear" w:color="auto" w:fill="auto"/>
            <w:noWrap/>
            <w:vAlign w:val="center"/>
            <w:hideMark/>
          </w:tcPr>
          <w:p w14:paraId="75371B7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0.622</w:t>
            </w:r>
          </w:p>
        </w:tc>
        <w:tc>
          <w:tcPr>
            <w:tcW w:w="1157" w:type="dxa"/>
            <w:tcBorders>
              <w:top w:val="nil"/>
              <w:left w:val="nil"/>
              <w:bottom w:val="single" w:sz="8" w:space="0" w:color="auto"/>
              <w:right w:val="single" w:sz="8" w:space="0" w:color="auto"/>
            </w:tcBorders>
            <w:shd w:val="clear" w:color="auto" w:fill="auto"/>
            <w:noWrap/>
            <w:vAlign w:val="center"/>
            <w:hideMark/>
          </w:tcPr>
          <w:p w14:paraId="5E248575"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0.311</w:t>
            </w:r>
          </w:p>
        </w:tc>
      </w:tr>
      <w:tr w:rsidR="00C716BC" w:rsidRPr="00F733D5" w14:paraId="4F458579"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42841A9"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&gt;5.0 to 8.5 GHz</w:t>
            </w:r>
          </w:p>
        </w:tc>
        <w:tc>
          <w:tcPr>
            <w:tcW w:w="1388" w:type="dxa"/>
            <w:tcBorders>
              <w:top w:val="nil"/>
              <w:left w:val="nil"/>
              <w:bottom w:val="single" w:sz="8" w:space="0" w:color="auto"/>
              <w:right w:val="single" w:sz="8" w:space="0" w:color="auto"/>
            </w:tcBorders>
            <w:shd w:val="clear" w:color="auto" w:fill="auto"/>
            <w:noWrap/>
            <w:vAlign w:val="center"/>
            <w:hideMark/>
          </w:tcPr>
          <w:p w14:paraId="676BAB1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8.421</w:t>
            </w:r>
          </w:p>
        </w:tc>
        <w:tc>
          <w:tcPr>
            <w:tcW w:w="970" w:type="dxa"/>
            <w:tcBorders>
              <w:top w:val="nil"/>
              <w:left w:val="nil"/>
              <w:bottom w:val="single" w:sz="8" w:space="0" w:color="auto"/>
              <w:right w:val="single" w:sz="8" w:space="0" w:color="auto"/>
            </w:tcBorders>
            <w:shd w:val="clear" w:color="auto" w:fill="auto"/>
            <w:noWrap/>
            <w:vAlign w:val="center"/>
            <w:hideMark/>
          </w:tcPr>
          <w:p w14:paraId="288E6745"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1.557</w:t>
            </w:r>
          </w:p>
        </w:tc>
        <w:tc>
          <w:tcPr>
            <w:tcW w:w="1015" w:type="dxa"/>
            <w:tcBorders>
              <w:top w:val="nil"/>
              <w:left w:val="nil"/>
              <w:bottom w:val="single" w:sz="8" w:space="0" w:color="auto"/>
              <w:right w:val="single" w:sz="8" w:space="0" w:color="auto"/>
            </w:tcBorders>
            <w:shd w:val="clear" w:color="auto" w:fill="auto"/>
            <w:noWrap/>
            <w:vAlign w:val="center"/>
            <w:hideMark/>
          </w:tcPr>
          <w:p w14:paraId="7A1C8F77"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0.725</w:t>
            </w:r>
          </w:p>
        </w:tc>
        <w:tc>
          <w:tcPr>
            <w:tcW w:w="975" w:type="dxa"/>
            <w:tcBorders>
              <w:top w:val="nil"/>
              <w:left w:val="nil"/>
              <w:bottom w:val="single" w:sz="8" w:space="0" w:color="auto"/>
              <w:right w:val="single" w:sz="8" w:space="0" w:color="auto"/>
            </w:tcBorders>
            <w:shd w:val="clear" w:color="auto" w:fill="auto"/>
            <w:noWrap/>
            <w:vAlign w:val="center"/>
            <w:hideMark/>
          </w:tcPr>
          <w:p w14:paraId="34B8BA6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0.33</w:t>
            </w:r>
          </w:p>
        </w:tc>
        <w:tc>
          <w:tcPr>
            <w:tcW w:w="1157" w:type="dxa"/>
            <w:tcBorders>
              <w:top w:val="nil"/>
              <w:left w:val="nil"/>
              <w:bottom w:val="single" w:sz="8" w:space="0" w:color="auto"/>
              <w:right w:val="single" w:sz="8" w:space="0" w:color="auto"/>
            </w:tcBorders>
            <w:shd w:val="clear" w:color="auto" w:fill="auto"/>
            <w:noWrap/>
            <w:vAlign w:val="center"/>
            <w:hideMark/>
          </w:tcPr>
          <w:p w14:paraId="2DD4942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0.16</w:t>
            </w:r>
          </w:p>
        </w:tc>
      </w:tr>
      <w:tr w:rsidR="00C716BC" w:rsidRPr="00F733D5" w14:paraId="18D0BDFA"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391E47DA"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&gt;8.5 to 14.5 GHz</w:t>
            </w:r>
          </w:p>
        </w:tc>
        <w:tc>
          <w:tcPr>
            <w:tcW w:w="1388" w:type="dxa"/>
            <w:tcBorders>
              <w:top w:val="nil"/>
              <w:left w:val="nil"/>
              <w:bottom w:val="single" w:sz="8" w:space="0" w:color="auto"/>
              <w:right w:val="single" w:sz="8" w:space="0" w:color="auto"/>
            </w:tcBorders>
            <w:shd w:val="clear" w:color="auto" w:fill="auto"/>
            <w:noWrap/>
            <w:vAlign w:val="center"/>
            <w:hideMark/>
          </w:tcPr>
          <w:p w14:paraId="59B7485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3.711</w:t>
            </w:r>
          </w:p>
        </w:tc>
        <w:tc>
          <w:tcPr>
            <w:tcW w:w="970" w:type="dxa"/>
            <w:tcBorders>
              <w:top w:val="nil"/>
              <w:left w:val="nil"/>
              <w:bottom w:val="single" w:sz="8" w:space="0" w:color="auto"/>
              <w:right w:val="single" w:sz="8" w:space="0" w:color="auto"/>
            </w:tcBorders>
            <w:shd w:val="clear" w:color="auto" w:fill="auto"/>
            <w:noWrap/>
            <w:vAlign w:val="center"/>
            <w:hideMark/>
          </w:tcPr>
          <w:p w14:paraId="675E2843"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1.336</w:t>
            </w:r>
          </w:p>
        </w:tc>
        <w:tc>
          <w:tcPr>
            <w:tcW w:w="1015" w:type="dxa"/>
            <w:tcBorders>
              <w:top w:val="nil"/>
              <w:left w:val="nil"/>
              <w:bottom w:val="single" w:sz="8" w:space="0" w:color="auto"/>
              <w:right w:val="single" w:sz="8" w:space="0" w:color="auto"/>
            </w:tcBorders>
            <w:shd w:val="clear" w:color="auto" w:fill="auto"/>
            <w:noWrap/>
            <w:vAlign w:val="center"/>
            <w:hideMark/>
          </w:tcPr>
          <w:p w14:paraId="223B6E34"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0.316</w:t>
            </w:r>
          </w:p>
        </w:tc>
        <w:tc>
          <w:tcPr>
            <w:tcW w:w="975" w:type="dxa"/>
            <w:tcBorders>
              <w:top w:val="nil"/>
              <w:left w:val="nil"/>
              <w:bottom w:val="single" w:sz="8" w:space="0" w:color="auto"/>
              <w:right w:val="single" w:sz="8" w:space="0" w:color="auto"/>
            </w:tcBorders>
            <w:shd w:val="clear" w:color="auto" w:fill="auto"/>
            <w:noWrap/>
            <w:vAlign w:val="center"/>
            <w:hideMark/>
          </w:tcPr>
          <w:p w14:paraId="5CFF8EE4"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0.023</w:t>
            </w:r>
          </w:p>
        </w:tc>
        <w:tc>
          <w:tcPr>
            <w:tcW w:w="1157" w:type="dxa"/>
            <w:tcBorders>
              <w:top w:val="nil"/>
              <w:left w:val="nil"/>
              <w:bottom w:val="single" w:sz="8" w:space="0" w:color="auto"/>
              <w:right w:val="single" w:sz="8" w:space="0" w:color="auto"/>
            </w:tcBorders>
            <w:shd w:val="clear" w:color="auto" w:fill="auto"/>
            <w:noWrap/>
            <w:vAlign w:val="center"/>
            <w:hideMark/>
          </w:tcPr>
          <w:p w14:paraId="53199E0A"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0.011</w:t>
            </w:r>
          </w:p>
        </w:tc>
      </w:tr>
      <w:tr w:rsidR="00C716BC" w:rsidRPr="00F733D5" w14:paraId="0E6CB6DF"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1B14D938"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&gt;14.5 to 31.3 GHz</w:t>
            </w:r>
          </w:p>
        </w:tc>
        <w:tc>
          <w:tcPr>
            <w:tcW w:w="1388" w:type="dxa"/>
            <w:tcBorders>
              <w:top w:val="nil"/>
              <w:left w:val="nil"/>
              <w:bottom w:val="single" w:sz="8" w:space="0" w:color="auto"/>
              <w:right w:val="single" w:sz="8" w:space="0" w:color="auto"/>
            </w:tcBorders>
            <w:shd w:val="clear" w:color="auto" w:fill="auto"/>
            <w:noWrap/>
            <w:vAlign w:val="center"/>
            <w:hideMark/>
          </w:tcPr>
          <w:p w14:paraId="09DDF21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3.711</w:t>
            </w:r>
          </w:p>
        </w:tc>
        <w:tc>
          <w:tcPr>
            <w:tcW w:w="970" w:type="dxa"/>
            <w:tcBorders>
              <w:top w:val="nil"/>
              <w:left w:val="nil"/>
              <w:bottom w:val="single" w:sz="8" w:space="0" w:color="auto"/>
              <w:right w:val="single" w:sz="8" w:space="0" w:color="auto"/>
            </w:tcBorders>
            <w:shd w:val="clear" w:color="auto" w:fill="auto"/>
            <w:noWrap/>
            <w:vAlign w:val="center"/>
            <w:hideMark/>
          </w:tcPr>
          <w:p w14:paraId="229C3CE9"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0.988</w:t>
            </w:r>
          </w:p>
        </w:tc>
        <w:tc>
          <w:tcPr>
            <w:tcW w:w="1015" w:type="dxa"/>
            <w:tcBorders>
              <w:top w:val="nil"/>
              <w:left w:val="nil"/>
              <w:bottom w:val="single" w:sz="8" w:space="0" w:color="auto"/>
              <w:right w:val="single" w:sz="8" w:space="0" w:color="auto"/>
            </w:tcBorders>
            <w:shd w:val="clear" w:color="auto" w:fill="auto"/>
            <w:noWrap/>
            <w:vAlign w:val="center"/>
            <w:hideMark/>
          </w:tcPr>
          <w:p w14:paraId="5ED97C1A"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0.217</w:t>
            </w:r>
          </w:p>
        </w:tc>
        <w:tc>
          <w:tcPr>
            <w:tcW w:w="975" w:type="dxa"/>
            <w:tcBorders>
              <w:top w:val="nil"/>
              <w:left w:val="nil"/>
              <w:bottom w:val="single" w:sz="8" w:space="0" w:color="auto"/>
              <w:right w:val="single" w:sz="8" w:space="0" w:color="auto"/>
            </w:tcBorders>
            <w:shd w:val="clear" w:color="auto" w:fill="auto"/>
            <w:noWrap/>
            <w:vAlign w:val="center"/>
            <w:hideMark/>
          </w:tcPr>
          <w:p w14:paraId="587AD9E5"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0.023</w:t>
            </w:r>
          </w:p>
        </w:tc>
        <w:tc>
          <w:tcPr>
            <w:tcW w:w="1157" w:type="dxa"/>
            <w:tcBorders>
              <w:top w:val="nil"/>
              <w:left w:val="nil"/>
              <w:bottom w:val="single" w:sz="8" w:space="0" w:color="auto"/>
              <w:right w:val="single" w:sz="8" w:space="0" w:color="auto"/>
            </w:tcBorders>
            <w:shd w:val="clear" w:color="auto" w:fill="auto"/>
            <w:noWrap/>
            <w:vAlign w:val="center"/>
            <w:hideMark/>
          </w:tcPr>
          <w:p w14:paraId="7C0607F8"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0.011</w:t>
            </w:r>
          </w:p>
        </w:tc>
      </w:tr>
      <w:tr w:rsidR="00C716BC" w:rsidRPr="00F733D5" w14:paraId="1C585EC4"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7BB05390"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&gt;31.3 to 51.4 GHz</w:t>
            </w:r>
          </w:p>
        </w:tc>
        <w:tc>
          <w:tcPr>
            <w:tcW w:w="1388" w:type="dxa"/>
            <w:tcBorders>
              <w:top w:val="nil"/>
              <w:left w:val="nil"/>
              <w:bottom w:val="single" w:sz="8" w:space="0" w:color="auto"/>
              <w:right w:val="single" w:sz="8" w:space="0" w:color="auto"/>
            </w:tcBorders>
            <w:shd w:val="clear" w:color="auto" w:fill="auto"/>
            <w:noWrap/>
            <w:vAlign w:val="center"/>
            <w:hideMark/>
          </w:tcPr>
          <w:p w14:paraId="3682B140"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1.012</w:t>
            </w:r>
          </w:p>
        </w:tc>
        <w:tc>
          <w:tcPr>
            <w:tcW w:w="970" w:type="dxa"/>
            <w:tcBorders>
              <w:top w:val="nil"/>
              <w:left w:val="nil"/>
              <w:bottom w:val="single" w:sz="8" w:space="0" w:color="auto"/>
              <w:right w:val="single" w:sz="8" w:space="0" w:color="auto"/>
            </w:tcBorders>
            <w:shd w:val="clear" w:color="auto" w:fill="auto"/>
            <w:noWrap/>
            <w:vAlign w:val="center"/>
            <w:hideMark/>
          </w:tcPr>
          <w:p w14:paraId="4ED6BA7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0.539</w:t>
            </w:r>
          </w:p>
        </w:tc>
        <w:tc>
          <w:tcPr>
            <w:tcW w:w="1015" w:type="dxa"/>
            <w:tcBorders>
              <w:top w:val="nil"/>
              <w:left w:val="nil"/>
              <w:bottom w:val="single" w:sz="8" w:space="0" w:color="auto"/>
              <w:right w:val="single" w:sz="8" w:space="0" w:color="auto"/>
            </w:tcBorders>
            <w:shd w:val="clear" w:color="auto" w:fill="auto"/>
            <w:noWrap/>
            <w:vAlign w:val="center"/>
            <w:hideMark/>
          </w:tcPr>
          <w:p w14:paraId="1EBD503D"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0.117</w:t>
            </w:r>
          </w:p>
        </w:tc>
        <w:tc>
          <w:tcPr>
            <w:tcW w:w="975" w:type="dxa"/>
            <w:tcBorders>
              <w:top w:val="nil"/>
              <w:left w:val="nil"/>
              <w:bottom w:val="single" w:sz="8" w:space="0" w:color="auto"/>
              <w:right w:val="single" w:sz="8" w:space="0" w:color="auto"/>
            </w:tcBorders>
            <w:shd w:val="clear" w:color="auto" w:fill="auto"/>
            <w:noWrap/>
            <w:vAlign w:val="center"/>
            <w:hideMark/>
          </w:tcPr>
          <w:p w14:paraId="5FBBED2E"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0.004</w:t>
            </w:r>
          </w:p>
        </w:tc>
        <w:tc>
          <w:tcPr>
            <w:tcW w:w="1157" w:type="dxa"/>
            <w:tcBorders>
              <w:top w:val="nil"/>
              <w:left w:val="nil"/>
              <w:bottom w:val="single" w:sz="8" w:space="0" w:color="auto"/>
              <w:right w:val="single" w:sz="8" w:space="0" w:color="auto"/>
            </w:tcBorders>
            <w:shd w:val="clear" w:color="auto" w:fill="auto"/>
            <w:noWrap/>
            <w:vAlign w:val="center"/>
            <w:hideMark/>
          </w:tcPr>
          <w:p w14:paraId="4786E051"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0.002</w:t>
            </w:r>
          </w:p>
        </w:tc>
      </w:tr>
      <w:tr w:rsidR="00C716BC" w:rsidRPr="00F733D5" w14:paraId="55315DE9" w14:textId="77777777" w:rsidTr="00C80AAD">
        <w:trPr>
          <w:trHeight w:val="242"/>
        </w:trPr>
        <w:tc>
          <w:tcPr>
            <w:tcW w:w="2146" w:type="dxa"/>
            <w:tcBorders>
              <w:top w:val="nil"/>
              <w:left w:val="single" w:sz="8" w:space="0" w:color="auto"/>
              <w:bottom w:val="single" w:sz="8" w:space="0" w:color="auto"/>
              <w:right w:val="single" w:sz="8" w:space="0" w:color="auto"/>
            </w:tcBorders>
            <w:shd w:val="clear" w:color="auto" w:fill="auto"/>
            <w:noWrap/>
            <w:vAlign w:val="center"/>
            <w:hideMark/>
          </w:tcPr>
          <w:p w14:paraId="053848CB" w14:textId="77777777" w:rsidR="00C716BC" w:rsidRPr="00F71814" w:rsidRDefault="00C716BC" w:rsidP="00C80AAD">
            <w:pPr>
              <w:spacing w:after="0" w:line="240" w:lineRule="auto"/>
              <w:rPr>
                <w:rFonts w:cs="Arial"/>
                <w:color w:val="000000"/>
                <w:sz w:val="18"/>
                <w:szCs w:val="22"/>
              </w:rPr>
            </w:pPr>
            <w:r w:rsidRPr="00F71814">
              <w:rPr>
                <w:rFonts w:cs="Arial"/>
                <w:color w:val="000000"/>
                <w:sz w:val="18"/>
                <w:szCs w:val="22"/>
              </w:rPr>
              <w:t>Above 51.4 GHz</w:t>
            </w:r>
          </w:p>
        </w:tc>
        <w:tc>
          <w:tcPr>
            <w:tcW w:w="1388" w:type="dxa"/>
            <w:tcBorders>
              <w:top w:val="nil"/>
              <w:left w:val="nil"/>
              <w:bottom w:val="single" w:sz="8" w:space="0" w:color="auto"/>
              <w:right w:val="single" w:sz="8" w:space="0" w:color="auto"/>
            </w:tcBorders>
            <w:shd w:val="clear" w:color="auto" w:fill="auto"/>
            <w:noWrap/>
            <w:vAlign w:val="center"/>
            <w:hideMark/>
          </w:tcPr>
          <w:p w14:paraId="5B4D4114"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0.1</w:t>
            </w:r>
          </w:p>
        </w:tc>
        <w:tc>
          <w:tcPr>
            <w:tcW w:w="970" w:type="dxa"/>
            <w:tcBorders>
              <w:top w:val="nil"/>
              <w:left w:val="nil"/>
              <w:bottom w:val="single" w:sz="8" w:space="0" w:color="auto"/>
              <w:right w:val="single" w:sz="8" w:space="0" w:color="auto"/>
            </w:tcBorders>
            <w:shd w:val="clear" w:color="auto" w:fill="auto"/>
            <w:noWrap/>
            <w:vAlign w:val="center"/>
            <w:hideMark/>
          </w:tcPr>
          <w:p w14:paraId="3DC671FC"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0.01</w:t>
            </w:r>
          </w:p>
        </w:tc>
        <w:tc>
          <w:tcPr>
            <w:tcW w:w="1015" w:type="dxa"/>
            <w:tcBorders>
              <w:top w:val="nil"/>
              <w:left w:val="nil"/>
              <w:bottom w:val="single" w:sz="8" w:space="0" w:color="auto"/>
              <w:right w:val="single" w:sz="8" w:space="0" w:color="auto"/>
            </w:tcBorders>
            <w:shd w:val="clear" w:color="auto" w:fill="auto"/>
            <w:noWrap/>
            <w:vAlign w:val="center"/>
            <w:hideMark/>
          </w:tcPr>
          <w:p w14:paraId="010FA299"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0.01</w:t>
            </w:r>
          </w:p>
        </w:tc>
        <w:tc>
          <w:tcPr>
            <w:tcW w:w="975" w:type="dxa"/>
            <w:tcBorders>
              <w:top w:val="nil"/>
              <w:left w:val="nil"/>
              <w:bottom w:val="single" w:sz="8" w:space="0" w:color="auto"/>
              <w:right w:val="single" w:sz="8" w:space="0" w:color="auto"/>
            </w:tcBorders>
            <w:shd w:val="clear" w:color="auto" w:fill="auto"/>
            <w:noWrap/>
            <w:vAlign w:val="center"/>
            <w:hideMark/>
          </w:tcPr>
          <w:p w14:paraId="4FDD7716"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0.001</w:t>
            </w:r>
          </w:p>
        </w:tc>
        <w:tc>
          <w:tcPr>
            <w:tcW w:w="1157" w:type="dxa"/>
            <w:tcBorders>
              <w:top w:val="nil"/>
              <w:left w:val="nil"/>
              <w:bottom w:val="single" w:sz="8" w:space="0" w:color="auto"/>
              <w:right w:val="single" w:sz="8" w:space="0" w:color="auto"/>
            </w:tcBorders>
            <w:shd w:val="clear" w:color="auto" w:fill="auto"/>
            <w:noWrap/>
            <w:vAlign w:val="center"/>
            <w:hideMark/>
          </w:tcPr>
          <w:p w14:paraId="7E2E66F9" w14:textId="77777777" w:rsidR="00C716BC" w:rsidRPr="00F71814" w:rsidRDefault="00C716BC" w:rsidP="00C80AAD">
            <w:pPr>
              <w:spacing w:after="0" w:line="240" w:lineRule="auto"/>
              <w:jc w:val="right"/>
              <w:rPr>
                <w:rFonts w:cs="Arial"/>
                <w:color w:val="000000"/>
                <w:sz w:val="18"/>
                <w:szCs w:val="22"/>
              </w:rPr>
            </w:pPr>
            <w:r w:rsidRPr="00F71814">
              <w:rPr>
                <w:rFonts w:cs="Arial"/>
                <w:color w:val="000000"/>
                <w:sz w:val="18"/>
                <w:szCs w:val="22"/>
              </w:rPr>
              <w:t>0.001</w:t>
            </w:r>
          </w:p>
        </w:tc>
      </w:tr>
    </w:tbl>
    <w:p w14:paraId="61EC8C6F" w14:textId="77777777" w:rsidR="00C716BC" w:rsidRDefault="00C716BC" w:rsidP="00C716BC">
      <w:pPr>
        <w:pStyle w:val="Paragraph"/>
      </w:pPr>
      <w:r>
        <w:br/>
        <w:t>The following sections provide more detail about these proposals.</w:t>
      </w:r>
    </w:p>
    <w:p w14:paraId="5CF4FF6A" w14:textId="77777777" w:rsidR="00782E1C" w:rsidRDefault="00782E1C" w:rsidP="00C716BC">
      <w:pPr>
        <w:pStyle w:val="Paragraph"/>
        <w:rPr>
          <w:rFonts w:eastAsia="Arial"/>
          <w:color w:val="000000" w:themeColor="text1"/>
          <w:sz w:val="22"/>
          <w:szCs w:val="22"/>
        </w:rPr>
      </w:pPr>
    </w:p>
    <w:p w14:paraId="4306C504" w14:textId="77777777" w:rsidR="00E80462" w:rsidRPr="006E6ED7" w:rsidRDefault="00E80462" w:rsidP="006E6ED7">
      <w:pPr>
        <w:pStyle w:val="Heading4"/>
      </w:pPr>
      <w:bookmarkStart w:id="39" w:name="_Toc86153494"/>
      <w:r w:rsidRPr="006E6ED7">
        <w:t>Amalgamate the &gt;30 to 403 MHz range into a single band</w:t>
      </w:r>
      <w:bookmarkEnd w:id="39"/>
    </w:p>
    <w:p w14:paraId="384C22E9" w14:textId="214C36DB" w:rsidR="00B11C0E" w:rsidRDefault="00B11C0E" w:rsidP="00B11C0E">
      <w:pPr>
        <w:pStyle w:val="Paragraph"/>
      </w:pPr>
      <w:r>
        <w:t>T</w:t>
      </w:r>
      <w:r w:rsidRPr="77B20063">
        <w:t>he ACMA propose</w:t>
      </w:r>
      <w:r w:rsidR="00D12AB4">
        <w:t>d</w:t>
      </w:r>
      <w:r w:rsidRPr="77B20063">
        <w:t xml:space="preserve"> to simplify the</w:t>
      </w:r>
      <w:r>
        <w:t xml:space="preserve"> location weightings</w:t>
      </w:r>
      <w:r w:rsidRPr="77B20063">
        <w:t xml:space="preserve"> table by combining the &gt;30 to 403</w:t>
      </w:r>
      <w:r>
        <w:t> </w:t>
      </w:r>
      <w:r w:rsidRPr="77B20063">
        <w:t>MHz range</w:t>
      </w:r>
      <w:r>
        <w:t xml:space="preserve"> (marked in blue </w:t>
      </w:r>
      <w:r w:rsidR="00943E54">
        <w:t xml:space="preserve">in Table </w:t>
      </w:r>
      <w:r w:rsidR="00884C4D">
        <w:t>6</w:t>
      </w:r>
      <w:r w:rsidR="00943E54">
        <w:t xml:space="preserve"> </w:t>
      </w:r>
      <w:r>
        <w:t>below) into one spectrum location</w:t>
      </w:r>
      <w:r w:rsidR="003F76F7">
        <w:t xml:space="preserve"> (</w:t>
      </w:r>
      <w:r w:rsidR="00995825">
        <w:t>a single line</w:t>
      </w:r>
      <w:r w:rsidR="003321E9">
        <w:t xml:space="preserve"> in the table</w:t>
      </w:r>
      <w:proofErr w:type="gramStart"/>
      <w:r w:rsidR="003321E9">
        <w:t>)</w:t>
      </w:r>
      <w:r>
        <w:t>,</w:t>
      </w:r>
      <w:r w:rsidRPr="77B20063">
        <w:t xml:space="preserve"> and</w:t>
      </w:r>
      <w:proofErr w:type="gramEnd"/>
      <w:r w:rsidRPr="77B20063">
        <w:t xml:space="preserve"> use the lowest common location weight</w:t>
      </w:r>
      <w:r>
        <w:t xml:space="preserve">ing for each geographic location (see Table </w:t>
      </w:r>
      <w:r w:rsidR="00884C4D">
        <w:t>5</w:t>
      </w:r>
      <w:r>
        <w:t>)</w:t>
      </w:r>
      <w:r w:rsidRPr="77B20063">
        <w:t xml:space="preserve">. </w:t>
      </w:r>
    </w:p>
    <w:p w14:paraId="1118B343" w14:textId="017EA734" w:rsidR="00CC21B6" w:rsidRDefault="00CC21B6" w:rsidP="00CF0BD3">
      <w:pPr>
        <w:pStyle w:val="Paragraph"/>
      </w:pPr>
      <w:r>
        <w:t>The ACMA propose</w:t>
      </w:r>
      <w:r w:rsidR="00C94A98">
        <w:t>d</w:t>
      </w:r>
      <w:r>
        <w:t xml:space="preserve"> this</w:t>
      </w:r>
      <w:r w:rsidR="0063157B">
        <w:t xml:space="preserve"> amalgamation</w:t>
      </w:r>
      <w:r>
        <w:t xml:space="preserve"> because the number of </w:t>
      </w:r>
      <w:r w:rsidR="000A5265">
        <w:t xml:space="preserve">licence </w:t>
      </w:r>
      <w:r>
        <w:t xml:space="preserve">assignments </w:t>
      </w:r>
      <w:r w:rsidR="000A5265">
        <w:t xml:space="preserve">in </w:t>
      </w:r>
      <w:r w:rsidR="005E2A35">
        <w:t xml:space="preserve">the </w:t>
      </w:r>
      <w:r w:rsidR="005E2A35" w:rsidRPr="77B20063">
        <w:t xml:space="preserve">&gt;30 to 70 MHz </w:t>
      </w:r>
      <w:r w:rsidR="005E2A35" w:rsidRPr="007D6758">
        <w:t>range (predominantly land mobile licences) and the &gt;399.9 to 403 MHz range (mostly radiodetermination and fixed services)</w:t>
      </w:r>
      <w:r w:rsidR="005E2A35" w:rsidRPr="77B20063">
        <w:t xml:space="preserve"> </w:t>
      </w:r>
      <w:r w:rsidR="005E2A35">
        <w:t xml:space="preserve">are much lower than neighbouring </w:t>
      </w:r>
      <w:proofErr w:type="gramStart"/>
      <w:r w:rsidR="005E2A35">
        <w:t>bands</w:t>
      </w:r>
      <w:r w:rsidR="00851349">
        <w:t>, and</w:t>
      </w:r>
      <w:proofErr w:type="gramEnd"/>
      <w:r w:rsidR="005E2A35">
        <w:t xml:space="preserve"> </w:t>
      </w:r>
      <w:r w:rsidR="00851349">
        <w:t xml:space="preserve">may </w:t>
      </w:r>
      <w:r w:rsidR="005E2A35" w:rsidRPr="77B20063">
        <w:t xml:space="preserve">not justify separate </w:t>
      </w:r>
      <w:r w:rsidR="005E2A35">
        <w:t xml:space="preserve">spectrum </w:t>
      </w:r>
      <w:r w:rsidR="005E2A35" w:rsidRPr="77B20063">
        <w:t>location weightings.</w:t>
      </w:r>
    </w:p>
    <w:p w14:paraId="75C0FFB8" w14:textId="2299D49A" w:rsidR="00E80462" w:rsidRDefault="00E80462" w:rsidP="00CF0BD3">
      <w:pPr>
        <w:pStyle w:val="Paragraph"/>
        <w:rPr>
          <w:rFonts w:eastAsia="Arial"/>
          <w:color w:val="000000" w:themeColor="text1"/>
          <w:sz w:val="22"/>
          <w:szCs w:val="22"/>
        </w:rPr>
      </w:pPr>
      <w:r w:rsidRPr="77B20063">
        <w:t xml:space="preserve">This view is further </w:t>
      </w:r>
      <w:r>
        <w:t>supported</w:t>
      </w:r>
      <w:r w:rsidRPr="77B20063">
        <w:t xml:space="preserve"> by the fact that the weightings for these bands differ only marginally with the location weightings for the &gt;70 to 399.9 MHz range</w:t>
      </w:r>
      <w:r>
        <w:t xml:space="preserve"> (see Table </w:t>
      </w:r>
      <w:r w:rsidR="00884C4D">
        <w:t>5</w:t>
      </w:r>
      <w:r>
        <w:t>)</w:t>
      </w:r>
      <w:r w:rsidRPr="77B20063">
        <w:t>.</w:t>
      </w:r>
    </w:p>
    <w:p w14:paraId="2EBA0F82" w14:textId="1DDCBB2B" w:rsidR="00E80462" w:rsidRDefault="003726A9" w:rsidP="006E6ED7">
      <w:pPr>
        <w:pStyle w:val="Caption"/>
        <w:rPr>
          <w:rFonts w:eastAsia="Arial"/>
        </w:rPr>
      </w:pPr>
      <w:r>
        <w:rPr>
          <w:rFonts w:eastAsia="Arial"/>
        </w:rPr>
        <w:t>T</w:t>
      </w:r>
      <w:r w:rsidR="00E80462" w:rsidRPr="77B20063">
        <w:rPr>
          <w:rFonts w:eastAsia="Arial"/>
        </w:rPr>
        <w:t>otal assignments (2020)</w:t>
      </w:r>
    </w:p>
    <w:tbl>
      <w:tblPr>
        <w:tblW w:w="7687" w:type="dxa"/>
        <w:tblCellMar>
          <w:top w:w="57" w:type="dxa"/>
          <w:bottom w:w="57" w:type="dxa"/>
        </w:tblCellMar>
        <w:tblLook w:val="04A0" w:firstRow="1" w:lastRow="0" w:firstColumn="1" w:lastColumn="0" w:noHBand="0" w:noVBand="1"/>
      </w:tblPr>
      <w:tblGrid>
        <w:gridCol w:w="2007"/>
        <w:gridCol w:w="1077"/>
        <w:gridCol w:w="837"/>
        <w:gridCol w:w="956"/>
        <w:gridCol w:w="907"/>
        <w:gridCol w:w="919"/>
        <w:gridCol w:w="984"/>
      </w:tblGrid>
      <w:tr w:rsidR="00E80462" w:rsidRPr="00F71814" w14:paraId="30CF71AB" w14:textId="77777777" w:rsidTr="00C80AAD">
        <w:trPr>
          <w:cantSplit/>
          <w:trHeight w:val="136"/>
        </w:trPr>
        <w:tc>
          <w:tcPr>
            <w:tcW w:w="2007" w:type="dxa"/>
            <w:tcBorders>
              <w:top w:val="single" w:sz="8" w:space="0" w:color="auto"/>
              <w:left w:val="single" w:sz="8" w:space="0" w:color="auto"/>
              <w:bottom w:val="single" w:sz="8" w:space="0" w:color="auto"/>
              <w:right w:val="single" w:sz="8" w:space="0" w:color="auto"/>
            </w:tcBorders>
            <w:shd w:val="clear" w:color="000000" w:fill="404040"/>
            <w:noWrap/>
            <w:vAlign w:val="center"/>
            <w:hideMark/>
          </w:tcPr>
          <w:p w14:paraId="32F1AC91" w14:textId="77777777" w:rsidR="00E80462" w:rsidRPr="00F71814" w:rsidRDefault="00E80462" w:rsidP="00CF0BD3">
            <w:pPr>
              <w:spacing w:after="0" w:line="240" w:lineRule="auto"/>
              <w:rPr>
                <w:rFonts w:cs="Arial"/>
                <w:b/>
                <w:bCs/>
                <w:color w:val="FFFFFF"/>
                <w:sz w:val="18"/>
                <w:szCs w:val="22"/>
              </w:rPr>
            </w:pPr>
            <w:r w:rsidRPr="00F71814">
              <w:rPr>
                <w:rFonts w:cs="Arial"/>
                <w:b/>
                <w:bCs/>
                <w:color w:val="FFFFFF"/>
                <w:sz w:val="18"/>
                <w:szCs w:val="22"/>
              </w:rPr>
              <w:t> </w:t>
            </w:r>
          </w:p>
        </w:tc>
        <w:tc>
          <w:tcPr>
            <w:tcW w:w="4696" w:type="dxa"/>
            <w:gridSpan w:val="5"/>
            <w:tcBorders>
              <w:top w:val="single" w:sz="8" w:space="0" w:color="auto"/>
              <w:left w:val="nil"/>
              <w:bottom w:val="single" w:sz="8" w:space="0" w:color="auto"/>
              <w:right w:val="single" w:sz="8" w:space="0" w:color="000000"/>
            </w:tcBorders>
            <w:shd w:val="clear" w:color="000000" w:fill="404040"/>
            <w:noWrap/>
            <w:vAlign w:val="center"/>
            <w:hideMark/>
          </w:tcPr>
          <w:p w14:paraId="7C76154F" w14:textId="582A3142" w:rsidR="00E80462" w:rsidRPr="00F71814" w:rsidRDefault="00E80462" w:rsidP="00CF0BD3">
            <w:pPr>
              <w:spacing w:after="0" w:line="240" w:lineRule="auto"/>
              <w:jc w:val="center"/>
              <w:rPr>
                <w:rFonts w:cs="Arial"/>
                <w:b/>
                <w:bCs/>
                <w:color w:val="FFFFFF"/>
                <w:sz w:val="18"/>
                <w:szCs w:val="22"/>
              </w:rPr>
            </w:pPr>
            <w:r w:rsidRPr="00F71814">
              <w:rPr>
                <w:rFonts w:cs="Arial"/>
                <w:b/>
                <w:bCs/>
                <w:color w:val="FFFFFF"/>
                <w:sz w:val="18"/>
                <w:szCs w:val="22"/>
              </w:rPr>
              <w:t>Geographic location</w:t>
            </w:r>
            <w:r w:rsidR="000B648D">
              <w:rPr>
                <w:rFonts w:cs="Arial"/>
                <w:b/>
                <w:bCs/>
                <w:color w:val="FFFFFF"/>
                <w:sz w:val="18"/>
                <w:szCs w:val="22"/>
              </w:rPr>
              <w:t xml:space="preserve"> / density area</w:t>
            </w:r>
          </w:p>
        </w:tc>
        <w:tc>
          <w:tcPr>
            <w:tcW w:w="984" w:type="dxa"/>
            <w:tcBorders>
              <w:top w:val="nil"/>
              <w:left w:val="nil"/>
              <w:bottom w:val="nil"/>
              <w:right w:val="nil"/>
            </w:tcBorders>
            <w:shd w:val="clear" w:color="auto" w:fill="404040" w:themeFill="text1" w:themeFillTint="BF"/>
            <w:noWrap/>
            <w:vAlign w:val="bottom"/>
            <w:hideMark/>
          </w:tcPr>
          <w:p w14:paraId="591C6159" w14:textId="77777777" w:rsidR="00E80462" w:rsidRPr="00F71814" w:rsidRDefault="00E80462" w:rsidP="00CF0BD3">
            <w:pPr>
              <w:spacing w:after="0" w:line="240" w:lineRule="auto"/>
              <w:jc w:val="center"/>
              <w:rPr>
                <w:rFonts w:cs="Arial"/>
                <w:b/>
                <w:bCs/>
                <w:color w:val="FFFFFF"/>
                <w:sz w:val="18"/>
                <w:szCs w:val="22"/>
              </w:rPr>
            </w:pPr>
          </w:p>
        </w:tc>
      </w:tr>
      <w:tr w:rsidR="00E80462" w:rsidRPr="00F71814" w14:paraId="22AD68F8" w14:textId="77777777" w:rsidTr="00C80AAD">
        <w:trPr>
          <w:cantSplit/>
          <w:trHeight w:val="132"/>
        </w:trPr>
        <w:tc>
          <w:tcPr>
            <w:tcW w:w="2007" w:type="dxa"/>
            <w:tcBorders>
              <w:top w:val="nil"/>
              <w:left w:val="single" w:sz="8" w:space="0" w:color="auto"/>
              <w:bottom w:val="single" w:sz="8" w:space="0" w:color="auto"/>
              <w:right w:val="single" w:sz="8" w:space="0" w:color="auto"/>
            </w:tcBorders>
            <w:shd w:val="clear" w:color="000000" w:fill="404040"/>
            <w:noWrap/>
            <w:vAlign w:val="center"/>
            <w:hideMark/>
          </w:tcPr>
          <w:p w14:paraId="21487AE6" w14:textId="77777777" w:rsidR="00E80462" w:rsidRPr="00F71814" w:rsidRDefault="00E80462" w:rsidP="00CF0BD3">
            <w:pPr>
              <w:spacing w:after="0" w:line="240" w:lineRule="auto"/>
              <w:rPr>
                <w:rFonts w:cs="Arial"/>
                <w:b/>
                <w:bCs/>
                <w:color w:val="FFFFFF"/>
                <w:sz w:val="18"/>
                <w:szCs w:val="22"/>
              </w:rPr>
            </w:pPr>
            <w:r w:rsidRPr="00F71814">
              <w:rPr>
                <w:rFonts w:cs="Arial"/>
                <w:b/>
                <w:bCs/>
                <w:color w:val="FFFFFF"/>
                <w:sz w:val="18"/>
                <w:szCs w:val="22"/>
              </w:rPr>
              <w:t>Spectrum location</w:t>
            </w:r>
          </w:p>
        </w:tc>
        <w:tc>
          <w:tcPr>
            <w:tcW w:w="1077" w:type="dxa"/>
            <w:tcBorders>
              <w:top w:val="nil"/>
              <w:left w:val="nil"/>
              <w:bottom w:val="single" w:sz="8" w:space="0" w:color="auto"/>
              <w:right w:val="single" w:sz="8" w:space="0" w:color="auto"/>
            </w:tcBorders>
            <w:shd w:val="clear" w:color="000000" w:fill="404040"/>
            <w:noWrap/>
            <w:vAlign w:val="center"/>
            <w:hideMark/>
          </w:tcPr>
          <w:p w14:paraId="749F91DC" w14:textId="77777777" w:rsidR="00E80462" w:rsidRPr="00F71814" w:rsidRDefault="00E80462" w:rsidP="00CF0BD3">
            <w:pPr>
              <w:spacing w:after="0" w:line="240" w:lineRule="auto"/>
              <w:jc w:val="center"/>
              <w:rPr>
                <w:rFonts w:cs="Arial"/>
                <w:b/>
                <w:bCs/>
                <w:color w:val="FFFFFF"/>
                <w:sz w:val="18"/>
                <w:szCs w:val="22"/>
              </w:rPr>
            </w:pPr>
            <w:proofErr w:type="spellStart"/>
            <w:r w:rsidRPr="00F71814">
              <w:rPr>
                <w:rFonts w:cs="Arial"/>
                <w:b/>
                <w:bCs/>
                <w:color w:val="FFFFFF"/>
                <w:sz w:val="18"/>
                <w:szCs w:val="22"/>
              </w:rPr>
              <w:t>Aus</w:t>
            </w:r>
            <w:proofErr w:type="spellEnd"/>
            <w:r w:rsidRPr="00F71814">
              <w:rPr>
                <w:rFonts w:cs="Arial"/>
                <w:b/>
                <w:bCs/>
                <w:color w:val="FFFFFF"/>
                <w:sz w:val="18"/>
                <w:szCs w:val="22"/>
              </w:rPr>
              <w:t>-wide</w:t>
            </w:r>
          </w:p>
        </w:tc>
        <w:tc>
          <w:tcPr>
            <w:tcW w:w="837" w:type="dxa"/>
            <w:tcBorders>
              <w:top w:val="nil"/>
              <w:left w:val="nil"/>
              <w:bottom w:val="single" w:sz="8" w:space="0" w:color="auto"/>
              <w:right w:val="single" w:sz="8" w:space="0" w:color="auto"/>
            </w:tcBorders>
            <w:shd w:val="clear" w:color="000000" w:fill="404040"/>
            <w:noWrap/>
            <w:vAlign w:val="center"/>
            <w:hideMark/>
          </w:tcPr>
          <w:p w14:paraId="28AB89A1" w14:textId="77777777" w:rsidR="00E80462" w:rsidRPr="00F71814" w:rsidRDefault="00E80462" w:rsidP="00CF0BD3">
            <w:pPr>
              <w:spacing w:after="0" w:line="240" w:lineRule="auto"/>
              <w:jc w:val="center"/>
              <w:rPr>
                <w:rFonts w:cs="Arial"/>
                <w:b/>
                <w:bCs/>
                <w:color w:val="FFFFFF"/>
                <w:sz w:val="18"/>
                <w:szCs w:val="22"/>
              </w:rPr>
            </w:pPr>
            <w:r w:rsidRPr="00F71814">
              <w:rPr>
                <w:rFonts w:cs="Arial"/>
                <w:b/>
                <w:bCs/>
                <w:color w:val="FFFFFF"/>
                <w:sz w:val="18"/>
                <w:szCs w:val="22"/>
              </w:rPr>
              <w:t>High</w:t>
            </w:r>
          </w:p>
        </w:tc>
        <w:tc>
          <w:tcPr>
            <w:tcW w:w="956" w:type="dxa"/>
            <w:tcBorders>
              <w:top w:val="nil"/>
              <w:left w:val="nil"/>
              <w:bottom w:val="single" w:sz="8" w:space="0" w:color="auto"/>
              <w:right w:val="single" w:sz="8" w:space="0" w:color="auto"/>
            </w:tcBorders>
            <w:shd w:val="clear" w:color="000000" w:fill="404040"/>
            <w:noWrap/>
            <w:vAlign w:val="center"/>
            <w:hideMark/>
          </w:tcPr>
          <w:p w14:paraId="57CB9DC2" w14:textId="77777777" w:rsidR="00E80462" w:rsidRPr="00F71814" w:rsidRDefault="00E80462" w:rsidP="00CF0BD3">
            <w:pPr>
              <w:spacing w:after="0" w:line="240" w:lineRule="auto"/>
              <w:jc w:val="center"/>
              <w:rPr>
                <w:rFonts w:cs="Arial"/>
                <w:b/>
                <w:bCs/>
                <w:color w:val="FFFFFF"/>
                <w:sz w:val="18"/>
                <w:szCs w:val="22"/>
              </w:rPr>
            </w:pPr>
            <w:r w:rsidRPr="00F71814">
              <w:rPr>
                <w:rFonts w:cs="Arial"/>
                <w:b/>
                <w:bCs/>
                <w:color w:val="FFFFFF"/>
                <w:sz w:val="18"/>
                <w:szCs w:val="22"/>
              </w:rPr>
              <w:t>Medium</w:t>
            </w:r>
          </w:p>
        </w:tc>
        <w:tc>
          <w:tcPr>
            <w:tcW w:w="907" w:type="dxa"/>
            <w:tcBorders>
              <w:top w:val="nil"/>
              <w:left w:val="nil"/>
              <w:bottom w:val="single" w:sz="8" w:space="0" w:color="auto"/>
              <w:right w:val="single" w:sz="8" w:space="0" w:color="auto"/>
            </w:tcBorders>
            <w:shd w:val="clear" w:color="000000" w:fill="404040"/>
            <w:noWrap/>
            <w:vAlign w:val="center"/>
            <w:hideMark/>
          </w:tcPr>
          <w:p w14:paraId="39700520" w14:textId="77777777" w:rsidR="00E80462" w:rsidRPr="00F71814" w:rsidRDefault="00E80462" w:rsidP="00CF0BD3">
            <w:pPr>
              <w:spacing w:after="0" w:line="240" w:lineRule="auto"/>
              <w:jc w:val="center"/>
              <w:rPr>
                <w:rFonts w:cs="Arial"/>
                <w:b/>
                <w:bCs/>
                <w:color w:val="FFFFFF"/>
                <w:sz w:val="18"/>
                <w:szCs w:val="22"/>
              </w:rPr>
            </w:pPr>
            <w:r w:rsidRPr="00F71814">
              <w:rPr>
                <w:rFonts w:cs="Arial"/>
                <w:b/>
                <w:bCs/>
                <w:color w:val="FFFFFF"/>
                <w:sz w:val="18"/>
                <w:szCs w:val="22"/>
              </w:rPr>
              <w:t>Low</w:t>
            </w:r>
          </w:p>
        </w:tc>
        <w:tc>
          <w:tcPr>
            <w:tcW w:w="918" w:type="dxa"/>
            <w:tcBorders>
              <w:top w:val="nil"/>
              <w:left w:val="nil"/>
              <w:bottom w:val="single" w:sz="8" w:space="0" w:color="auto"/>
              <w:right w:val="single" w:sz="8" w:space="0" w:color="auto"/>
            </w:tcBorders>
            <w:shd w:val="clear" w:color="000000" w:fill="404040"/>
            <w:noWrap/>
            <w:vAlign w:val="center"/>
            <w:hideMark/>
          </w:tcPr>
          <w:p w14:paraId="19817AD0" w14:textId="77777777" w:rsidR="00E80462" w:rsidRPr="00F71814" w:rsidRDefault="00E80462" w:rsidP="00CF0BD3">
            <w:pPr>
              <w:spacing w:after="0" w:line="240" w:lineRule="auto"/>
              <w:jc w:val="center"/>
              <w:rPr>
                <w:rFonts w:cs="Arial"/>
                <w:b/>
                <w:bCs/>
                <w:color w:val="FFFFFF"/>
                <w:sz w:val="18"/>
                <w:szCs w:val="22"/>
              </w:rPr>
            </w:pPr>
            <w:r w:rsidRPr="00F71814">
              <w:rPr>
                <w:rFonts w:cs="Arial"/>
                <w:b/>
                <w:bCs/>
                <w:color w:val="FFFFFF"/>
                <w:sz w:val="18"/>
                <w:szCs w:val="22"/>
              </w:rPr>
              <w:t>Remote</w:t>
            </w:r>
          </w:p>
        </w:tc>
        <w:tc>
          <w:tcPr>
            <w:tcW w:w="984" w:type="dxa"/>
            <w:tcBorders>
              <w:top w:val="nil"/>
              <w:left w:val="nil"/>
              <w:bottom w:val="single" w:sz="8" w:space="0" w:color="auto"/>
              <w:right w:val="nil"/>
            </w:tcBorders>
            <w:shd w:val="clear" w:color="auto" w:fill="404040" w:themeFill="text1" w:themeFillTint="BF"/>
            <w:noWrap/>
            <w:vAlign w:val="center"/>
            <w:hideMark/>
          </w:tcPr>
          <w:p w14:paraId="17513D67"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w:t>
            </w:r>
          </w:p>
        </w:tc>
      </w:tr>
      <w:tr w:rsidR="00E80462" w:rsidRPr="00F71814" w14:paraId="47E043E8" w14:textId="77777777" w:rsidTr="00C80AAD">
        <w:trPr>
          <w:cantSplit/>
          <w:trHeight w:val="277"/>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71A0AFAF"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30 MHz and below</w:t>
            </w:r>
          </w:p>
        </w:tc>
        <w:tc>
          <w:tcPr>
            <w:tcW w:w="1077" w:type="dxa"/>
            <w:tcBorders>
              <w:top w:val="nil"/>
              <w:left w:val="nil"/>
              <w:bottom w:val="single" w:sz="8" w:space="0" w:color="auto"/>
              <w:right w:val="single" w:sz="8" w:space="0" w:color="auto"/>
            </w:tcBorders>
            <w:shd w:val="clear" w:color="auto" w:fill="auto"/>
            <w:noWrap/>
            <w:vAlign w:val="center"/>
            <w:hideMark/>
          </w:tcPr>
          <w:p w14:paraId="3C80B241"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1,259 </w:t>
            </w:r>
          </w:p>
        </w:tc>
        <w:tc>
          <w:tcPr>
            <w:tcW w:w="837" w:type="dxa"/>
            <w:tcBorders>
              <w:top w:val="nil"/>
              <w:left w:val="nil"/>
              <w:bottom w:val="single" w:sz="8" w:space="0" w:color="auto"/>
              <w:right w:val="single" w:sz="8" w:space="0" w:color="auto"/>
            </w:tcBorders>
            <w:shd w:val="clear" w:color="auto" w:fill="auto"/>
            <w:noWrap/>
            <w:vAlign w:val="center"/>
            <w:hideMark/>
          </w:tcPr>
          <w:p w14:paraId="30432DD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2,039 </w:t>
            </w:r>
          </w:p>
        </w:tc>
        <w:tc>
          <w:tcPr>
            <w:tcW w:w="956" w:type="dxa"/>
            <w:tcBorders>
              <w:top w:val="nil"/>
              <w:left w:val="nil"/>
              <w:bottom w:val="single" w:sz="8" w:space="0" w:color="auto"/>
              <w:right w:val="single" w:sz="8" w:space="0" w:color="auto"/>
            </w:tcBorders>
            <w:shd w:val="clear" w:color="auto" w:fill="auto"/>
            <w:noWrap/>
            <w:vAlign w:val="center"/>
            <w:hideMark/>
          </w:tcPr>
          <w:p w14:paraId="1C41B2B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815 </w:t>
            </w:r>
          </w:p>
        </w:tc>
        <w:tc>
          <w:tcPr>
            <w:tcW w:w="907" w:type="dxa"/>
            <w:tcBorders>
              <w:top w:val="nil"/>
              <w:left w:val="nil"/>
              <w:bottom w:val="single" w:sz="8" w:space="0" w:color="auto"/>
              <w:right w:val="single" w:sz="8" w:space="0" w:color="auto"/>
            </w:tcBorders>
            <w:shd w:val="clear" w:color="auto" w:fill="auto"/>
            <w:noWrap/>
            <w:vAlign w:val="center"/>
            <w:hideMark/>
          </w:tcPr>
          <w:p w14:paraId="1F71359A"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10,412</w:t>
            </w:r>
          </w:p>
        </w:tc>
        <w:tc>
          <w:tcPr>
            <w:tcW w:w="918" w:type="dxa"/>
            <w:tcBorders>
              <w:top w:val="nil"/>
              <w:left w:val="nil"/>
              <w:bottom w:val="single" w:sz="8" w:space="0" w:color="auto"/>
              <w:right w:val="single" w:sz="8" w:space="0" w:color="auto"/>
            </w:tcBorders>
            <w:shd w:val="clear" w:color="auto" w:fill="auto"/>
            <w:noWrap/>
            <w:vAlign w:val="center"/>
            <w:hideMark/>
          </w:tcPr>
          <w:p w14:paraId="55220DBD"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10,934 </w:t>
            </w:r>
          </w:p>
        </w:tc>
        <w:tc>
          <w:tcPr>
            <w:tcW w:w="984" w:type="dxa"/>
            <w:tcBorders>
              <w:top w:val="nil"/>
              <w:left w:val="nil"/>
              <w:bottom w:val="single" w:sz="8" w:space="0" w:color="auto"/>
              <w:right w:val="single" w:sz="8" w:space="0" w:color="auto"/>
            </w:tcBorders>
            <w:shd w:val="clear" w:color="auto" w:fill="auto"/>
            <w:noWrap/>
            <w:vAlign w:val="center"/>
            <w:hideMark/>
          </w:tcPr>
          <w:p w14:paraId="1675FFBA"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25,459 </w:t>
            </w:r>
          </w:p>
        </w:tc>
      </w:tr>
      <w:tr w:rsidR="00E80462" w:rsidRPr="00F71814" w14:paraId="60BFED9B"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000000" w:fill="BDD7EE"/>
            <w:noWrap/>
            <w:vAlign w:val="center"/>
            <w:hideMark/>
          </w:tcPr>
          <w:p w14:paraId="019A041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&gt;30 to 70 MHz</w:t>
            </w:r>
          </w:p>
        </w:tc>
        <w:tc>
          <w:tcPr>
            <w:tcW w:w="1077" w:type="dxa"/>
            <w:tcBorders>
              <w:top w:val="nil"/>
              <w:left w:val="nil"/>
              <w:bottom w:val="single" w:sz="8" w:space="0" w:color="auto"/>
              <w:right w:val="single" w:sz="8" w:space="0" w:color="auto"/>
            </w:tcBorders>
            <w:shd w:val="clear" w:color="000000" w:fill="BDD7EE"/>
            <w:noWrap/>
            <w:vAlign w:val="center"/>
            <w:hideMark/>
          </w:tcPr>
          <w:p w14:paraId="0C9C5E1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602 </w:t>
            </w:r>
          </w:p>
        </w:tc>
        <w:tc>
          <w:tcPr>
            <w:tcW w:w="837" w:type="dxa"/>
            <w:tcBorders>
              <w:top w:val="nil"/>
              <w:left w:val="nil"/>
              <w:bottom w:val="single" w:sz="8" w:space="0" w:color="auto"/>
              <w:right w:val="single" w:sz="8" w:space="0" w:color="auto"/>
            </w:tcBorders>
            <w:shd w:val="clear" w:color="000000" w:fill="BDD7EE"/>
            <w:noWrap/>
            <w:vAlign w:val="center"/>
            <w:hideMark/>
          </w:tcPr>
          <w:p w14:paraId="65D19F58"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147 </w:t>
            </w:r>
          </w:p>
        </w:tc>
        <w:tc>
          <w:tcPr>
            <w:tcW w:w="956" w:type="dxa"/>
            <w:tcBorders>
              <w:top w:val="nil"/>
              <w:left w:val="nil"/>
              <w:bottom w:val="single" w:sz="8" w:space="0" w:color="auto"/>
              <w:right w:val="single" w:sz="8" w:space="0" w:color="auto"/>
            </w:tcBorders>
            <w:shd w:val="clear" w:color="000000" w:fill="BDD7EE"/>
            <w:noWrap/>
            <w:vAlign w:val="center"/>
            <w:hideMark/>
          </w:tcPr>
          <w:p w14:paraId="35DAF14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28 </w:t>
            </w:r>
          </w:p>
        </w:tc>
        <w:tc>
          <w:tcPr>
            <w:tcW w:w="907" w:type="dxa"/>
            <w:tcBorders>
              <w:top w:val="nil"/>
              <w:left w:val="nil"/>
              <w:bottom w:val="single" w:sz="8" w:space="0" w:color="auto"/>
              <w:right w:val="single" w:sz="8" w:space="0" w:color="auto"/>
            </w:tcBorders>
            <w:shd w:val="clear" w:color="000000" w:fill="BDD7EE"/>
            <w:noWrap/>
            <w:vAlign w:val="center"/>
            <w:hideMark/>
          </w:tcPr>
          <w:p w14:paraId="2B6663EB"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429 </w:t>
            </w:r>
          </w:p>
        </w:tc>
        <w:tc>
          <w:tcPr>
            <w:tcW w:w="918" w:type="dxa"/>
            <w:tcBorders>
              <w:top w:val="nil"/>
              <w:left w:val="nil"/>
              <w:bottom w:val="single" w:sz="8" w:space="0" w:color="auto"/>
              <w:right w:val="single" w:sz="8" w:space="0" w:color="auto"/>
            </w:tcBorders>
            <w:shd w:val="clear" w:color="000000" w:fill="BDD7EE"/>
            <w:noWrap/>
            <w:vAlign w:val="center"/>
            <w:hideMark/>
          </w:tcPr>
          <w:p w14:paraId="1213FA47"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60 </w:t>
            </w:r>
          </w:p>
        </w:tc>
        <w:tc>
          <w:tcPr>
            <w:tcW w:w="984" w:type="dxa"/>
            <w:tcBorders>
              <w:top w:val="nil"/>
              <w:left w:val="nil"/>
              <w:bottom w:val="single" w:sz="8" w:space="0" w:color="auto"/>
              <w:right w:val="single" w:sz="8" w:space="0" w:color="auto"/>
            </w:tcBorders>
            <w:shd w:val="clear" w:color="000000" w:fill="BDD7EE"/>
            <w:noWrap/>
            <w:vAlign w:val="center"/>
            <w:hideMark/>
          </w:tcPr>
          <w:p w14:paraId="23752959"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1,266 </w:t>
            </w:r>
          </w:p>
        </w:tc>
      </w:tr>
      <w:tr w:rsidR="00E80462" w:rsidRPr="00F71814" w14:paraId="62A5C858"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000000" w:fill="BDD7EE"/>
            <w:noWrap/>
            <w:vAlign w:val="center"/>
            <w:hideMark/>
          </w:tcPr>
          <w:p w14:paraId="3E0B4EF1"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&gt;70 to 399.9 MHz</w:t>
            </w:r>
          </w:p>
        </w:tc>
        <w:tc>
          <w:tcPr>
            <w:tcW w:w="1077" w:type="dxa"/>
            <w:tcBorders>
              <w:top w:val="nil"/>
              <w:left w:val="nil"/>
              <w:bottom w:val="single" w:sz="8" w:space="0" w:color="auto"/>
              <w:right w:val="single" w:sz="8" w:space="0" w:color="auto"/>
            </w:tcBorders>
            <w:shd w:val="clear" w:color="000000" w:fill="BDD7EE"/>
            <w:noWrap/>
            <w:vAlign w:val="center"/>
            <w:hideMark/>
          </w:tcPr>
          <w:p w14:paraId="52E04226"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560 </w:t>
            </w:r>
          </w:p>
        </w:tc>
        <w:tc>
          <w:tcPr>
            <w:tcW w:w="837" w:type="dxa"/>
            <w:tcBorders>
              <w:top w:val="nil"/>
              <w:left w:val="nil"/>
              <w:bottom w:val="single" w:sz="8" w:space="0" w:color="auto"/>
              <w:right w:val="single" w:sz="8" w:space="0" w:color="auto"/>
            </w:tcBorders>
            <w:shd w:val="clear" w:color="000000" w:fill="BDD7EE"/>
            <w:noWrap/>
            <w:vAlign w:val="center"/>
            <w:hideMark/>
          </w:tcPr>
          <w:p w14:paraId="00569A67"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9,836 </w:t>
            </w:r>
          </w:p>
        </w:tc>
        <w:tc>
          <w:tcPr>
            <w:tcW w:w="956" w:type="dxa"/>
            <w:tcBorders>
              <w:top w:val="nil"/>
              <w:left w:val="nil"/>
              <w:bottom w:val="single" w:sz="8" w:space="0" w:color="auto"/>
              <w:right w:val="single" w:sz="8" w:space="0" w:color="auto"/>
            </w:tcBorders>
            <w:shd w:val="clear" w:color="000000" w:fill="BDD7EE"/>
            <w:noWrap/>
            <w:vAlign w:val="center"/>
            <w:hideMark/>
          </w:tcPr>
          <w:p w14:paraId="156E18CB"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2,337 </w:t>
            </w:r>
          </w:p>
        </w:tc>
        <w:tc>
          <w:tcPr>
            <w:tcW w:w="907" w:type="dxa"/>
            <w:tcBorders>
              <w:top w:val="nil"/>
              <w:left w:val="nil"/>
              <w:bottom w:val="single" w:sz="8" w:space="0" w:color="auto"/>
              <w:right w:val="single" w:sz="8" w:space="0" w:color="auto"/>
            </w:tcBorders>
            <w:shd w:val="clear" w:color="000000" w:fill="BDD7EE"/>
            <w:noWrap/>
            <w:vAlign w:val="center"/>
            <w:hideMark/>
          </w:tcPr>
          <w:p w14:paraId="3BB9E024"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35,307 </w:t>
            </w:r>
          </w:p>
        </w:tc>
        <w:tc>
          <w:tcPr>
            <w:tcW w:w="918" w:type="dxa"/>
            <w:tcBorders>
              <w:top w:val="nil"/>
              <w:left w:val="nil"/>
              <w:bottom w:val="single" w:sz="8" w:space="0" w:color="auto"/>
              <w:right w:val="single" w:sz="8" w:space="0" w:color="auto"/>
            </w:tcBorders>
            <w:shd w:val="clear" w:color="000000" w:fill="BDD7EE"/>
            <w:noWrap/>
            <w:vAlign w:val="center"/>
            <w:hideMark/>
          </w:tcPr>
          <w:p w14:paraId="64D8965B"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16,392 </w:t>
            </w:r>
          </w:p>
        </w:tc>
        <w:tc>
          <w:tcPr>
            <w:tcW w:w="984" w:type="dxa"/>
            <w:tcBorders>
              <w:top w:val="nil"/>
              <w:left w:val="nil"/>
              <w:bottom w:val="single" w:sz="8" w:space="0" w:color="auto"/>
              <w:right w:val="single" w:sz="8" w:space="0" w:color="auto"/>
            </w:tcBorders>
            <w:shd w:val="clear" w:color="000000" w:fill="BDD7EE"/>
            <w:noWrap/>
            <w:vAlign w:val="center"/>
            <w:hideMark/>
          </w:tcPr>
          <w:p w14:paraId="640D05D6"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64,432 </w:t>
            </w:r>
          </w:p>
        </w:tc>
      </w:tr>
      <w:tr w:rsidR="00E80462" w:rsidRPr="00F71814" w14:paraId="5B2A0464" w14:textId="77777777" w:rsidTr="00C80AAD">
        <w:trPr>
          <w:cantSplit/>
          <w:trHeight w:val="277"/>
        </w:trPr>
        <w:tc>
          <w:tcPr>
            <w:tcW w:w="2007" w:type="dxa"/>
            <w:tcBorders>
              <w:top w:val="nil"/>
              <w:left w:val="single" w:sz="8" w:space="0" w:color="auto"/>
              <w:bottom w:val="single" w:sz="8" w:space="0" w:color="auto"/>
              <w:right w:val="single" w:sz="8" w:space="0" w:color="auto"/>
            </w:tcBorders>
            <w:shd w:val="clear" w:color="000000" w:fill="BDD7EE"/>
            <w:noWrap/>
            <w:vAlign w:val="center"/>
            <w:hideMark/>
          </w:tcPr>
          <w:p w14:paraId="0D03BD80"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&gt;399.9 to 403 MHz</w:t>
            </w:r>
          </w:p>
        </w:tc>
        <w:tc>
          <w:tcPr>
            <w:tcW w:w="1077" w:type="dxa"/>
            <w:tcBorders>
              <w:top w:val="nil"/>
              <w:left w:val="nil"/>
              <w:bottom w:val="single" w:sz="8" w:space="0" w:color="auto"/>
              <w:right w:val="single" w:sz="8" w:space="0" w:color="auto"/>
            </w:tcBorders>
            <w:shd w:val="clear" w:color="000000" w:fill="BDD7EE"/>
            <w:noWrap/>
            <w:vAlign w:val="center"/>
            <w:hideMark/>
          </w:tcPr>
          <w:p w14:paraId="63898FB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62 </w:t>
            </w:r>
          </w:p>
        </w:tc>
        <w:tc>
          <w:tcPr>
            <w:tcW w:w="837" w:type="dxa"/>
            <w:tcBorders>
              <w:top w:val="nil"/>
              <w:left w:val="nil"/>
              <w:bottom w:val="single" w:sz="8" w:space="0" w:color="auto"/>
              <w:right w:val="single" w:sz="8" w:space="0" w:color="auto"/>
            </w:tcBorders>
            <w:shd w:val="clear" w:color="000000" w:fill="BDD7EE"/>
            <w:noWrap/>
            <w:vAlign w:val="center"/>
            <w:hideMark/>
          </w:tcPr>
          <w:p w14:paraId="2F5A825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9 </w:t>
            </w:r>
          </w:p>
        </w:tc>
        <w:tc>
          <w:tcPr>
            <w:tcW w:w="956" w:type="dxa"/>
            <w:tcBorders>
              <w:top w:val="nil"/>
              <w:left w:val="nil"/>
              <w:bottom w:val="single" w:sz="8" w:space="0" w:color="auto"/>
              <w:right w:val="single" w:sz="8" w:space="0" w:color="auto"/>
            </w:tcBorders>
            <w:shd w:val="clear" w:color="000000" w:fill="BDD7EE"/>
            <w:noWrap/>
            <w:vAlign w:val="center"/>
            <w:hideMark/>
          </w:tcPr>
          <w:p w14:paraId="3E474C46"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8 </w:t>
            </w:r>
          </w:p>
        </w:tc>
        <w:tc>
          <w:tcPr>
            <w:tcW w:w="907" w:type="dxa"/>
            <w:tcBorders>
              <w:top w:val="nil"/>
              <w:left w:val="nil"/>
              <w:bottom w:val="single" w:sz="8" w:space="0" w:color="auto"/>
              <w:right w:val="single" w:sz="8" w:space="0" w:color="auto"/>
            </w:tcBorders>
            <w:shd w:val="clear" w:color="000000" w:fill="BDD7EE"/>
            <w:noWrap/>
            <w:vAlign w:val="center"/>
            <w:hideMark/>
          </w:tcPr>
          <w:p w14:paraId="5045FF4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33 </w:t>
            </w:r>
          </w:p>
        </w:tc>
        <w:tc>
          <w:tcPr>
            <w:tcW w:w="918" w:type="dxa"/>
            <w:tcBorders>
              <w:top w:val="nil"/>
              <w:left w:val="nil"/>
              <w:bottom w:val="single" w:sz="8" w:space="0" w:color="auto"/>
              <w:right w:val="single" w:sz="8" w:space="0" w:color="auto"/>
            </w:tcBorders>
            <w:shd w:val="clear" w:color="000000" w:fill="BDD7EE"/>
            <w:noWrap/>
            <w:vAlign w:val="center"/>
            <w:hideMark/>
          </w:tcPr>
          <w:p w14:paraId="285E5B0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72 </w:t>
            </w:r>
          </w:p>
        </w:tc>
        <w:tc>
          <w:tcPr>
            <w:tcW w:w="984" w:type="dxa"/>
            <w:tcBorders>
              <w:top w:val="nil"/>
              <w:left w:val="nil"/>
              <w:bottom w:val="single" w:sz="8" w:space="0" w:color="auto"/>
              <w:right w:val="single" w:sz="8" w:space="0" w:color="auto"/>
            </w:tcBorders>
            <w:shd w:val="clear" w:color="000000" w:fill="BDD7EE"/>
            <w:noWrap/>
            <w:vAlign w:val="center"/>
            <w:hideMark/>
          </w:tcPr>
          <w:p w14:paraId="46D7AD8E"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184 </w:t>
            </w:r>
          </w:p>
        </w:tc>
      </w:tr>
      <w:tr w:rsidR="00E80462" w:rsidRPr="00F71814" w14:paraId="2AB223E7"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75F74811"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&gt;403 to 520 MHz</w:t>
            </w:r>
          </w:p>
        </w:tc>
        <w:tc>
          <w:tcPr>
            <w:tcW w:w="1077" w:type="dxa"/>
            <w:tcBorders>
              <w:top w:val="nil"/>
              <w:left w:val="nil"/>
              <w:bottom w:val="single" w:sz="8" w:space="0" w:color="auto"/>
              <w:right w:val="single" w:sz="8" w:space="0" w:color="auto"/>
            </w:tcBorders>
            <w:shd w:val="clear" w:color="auto" w:fill="auto"/>
            <w:noWrap/>
            <w:vAlign w:val="center"/>
            <w:hideMark/>
          </w:tcPr>
          <w:p w14:paraId="2A94A8EA"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3,339 </w:t>
            </w:r>
          </w:p>
        </w:tc>
        <w:tc>
          <w:tcPr>
            <w:tcW w:w="837" w:type="dxa"/>
            <w:tcBorders>
              <w:top w:val="nil"/>
              <w:left w:val="nil"/>
              <w:bottom w:val="single" w:sz="8" w:space="0" w:color="auto"/>
              <w:right w:val="single" w:sz="8" w:space="0" w:color="auto"/>
            </w:tcBorders>
            <w:shd w:val="clear" w:color="auto" w:fill="auto"/>
            <w:noWrap/>
            <w:vAlign w:val="center"/>
            <w:hideMark/>
          </w:tcPr>
          <w:p w14:paraId="2420F2D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40,959 </w:t>
            </w:r>
          </w:p>
        </w:tc>
        <w:tc>
          <w:tcPr>
            <w:tcW w:w="956" w:type="dxa"/>
            <w:tcBorders>
              <w:top w:val="nil"/>
              <w:left w:val="nil"/>
              <w:bottom w:val="single" w:sz="8" w:space="0" w:color="auto"/>
              <w:right w:val="single" w:sz="8" w:space="0" w:color="auto"/>
            </w:tcBorders>
            <w:shd w:val="clear" w:color="auto" w:fill="auto"/>
            <w:noWrap/>
            <w:vAlign w:val="center"/>
            <w:hideMark/>
          </w:tcPr>
          <w:p w14:paraId="1F11408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12,368 </w:t>
            </w:r>
          </w:p>
        </w:tc>
        <w:tc>
          <w:tcPr>
            <w:tcW w:w="907" w:type="dxa"/>
            <w:tcBorders>
              <w:top w:val="nil"/>
              <w:left w:val="nil"/>
              <w:bottom w:val="single" w:sz="8" w:space="0" w:color="auto"/>
              <w:right w:val="single" w:sz="8" w:space="0" w:color="auto"/>
            </w:tcBorders>
            <w:shd w:val="clear" w:color="auto" w:fill="auto"/>
            <w:noWrap/>
            <w:vAlign w:val="center"/>
            <w:hideMark/>
          </w:tcPr>
          <w:p w14:paraId="73E46E40"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64,107 </w:t>
            </w:r>
          </w:p>
        </w:tc>
        <w:tc>
          <w:tcPr>
            <w:tcW w:w="918" w:type="dxa"/>
            <w:tcBorders>
              <w:top w:val="nil"/>
              <w:left w:val="nil"/>
              <w:bottom w:val="single" w:sz="8" w:space="0" w:color="auto"/>
              <w:right w:val="single" w:sz="8" w:space="0" w:color="auto"/>
            </w:tcBorders>
            <w:shd w:val="clear" w:color="auto" w:fill="auto"/>
            <w:noWrap/>
            <w:vAlign w:val="center"/>
            <w:hideMark/>
          </w:tcPr>
          <w:p w14:paraId="1D6681D7"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29,197 </w:t>
            </w:r>
          </w:p>
        </w:tc>
        <w:tc>
          <w:tcPr>
            <w:tcW w:w="984" w:type="dxa"/>
            <w:tcBorders>
              <w:top w:val="nil"/>
              <w:left w:val="nil"/>
              <w:bottom w:val="single" w:sz="8" w:space="0" w:color="auto"/>
              <w:right w:val="single" w:sz="8" w:space="0" w:color="auto"/>
            </w:tcBorders>
            <w:shd w:val="clear" w:color="auto" w:fill="auto"/>
            <w:noWrap/>
            <w:vAlign w:val="center"/>
            <w:hideMark/>
          </w:tcPr>
          <w:p w14:paraId="008FE0DD"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149,970 </w:t>
            </w:r>
          </w:p>
        </w:tc>
      </w:tr>
      <w:tr w:rsidR="00E80462" w:rsidRPr="00F71814" w14:paraId="74DBB3DB"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0F180F71"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&gt;520 to 960 MHz</w:t>
            </w:r>
          </w:p>
        </w:tc>
        <w:tc>
          <w:tcPr>
            <w:tcW w:w="1077" w:type="dxa"/>
            <w:tcBorders>
              <w:top w:val="nil"/>
              <w:left w:val="nil"/>
              <w:bottom w:val="single" w:sz="8" w:space="0" w:color="auto"/>
              <w:right w:val="single" w:sz="8" w:space="0" w:color="auto"/>
            </w:tcBorders>
            <w:shd w:val="clear" w:color="auto" w:fill="auto"/>
            <w:noWrap/>
            <w:vAlign w:val="center"/>
            <w:hideMark/>
          </w:tcPr>
          <w:p w14:paraId="29151BB6"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10 </w:t>
            </w:r>
          </w:p>
        </w:tc>
        <w:tc>
          <w:tcPr>
            <w:tcW w:w="837" w:type="dxa"/>
            <w:tcBorders>
              <w:top w:val="nil"/>
              <w:left w:val="nil"/>
              <w:bottom w:val="single" w:sz="8" w:space="0" w:color="auto"/>
              <w:right w:val="single" w:sz="8" w:space="0" w:color="auto"/>
            </w:tcBorders>
            <w:shd w:val="clear" w:color="auto" w:fill="auto"/>
            <w:noWrap/>
            <w:vAlign w:val="center"/>
            <w:hideMark/>
          </w:tcPr>
          <w:p w14:paraId="29D4D30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1,738 </w:t>
            </w:r>
          </w:p>
        </w:tc>
        <w:tc>
          <w:tcPr>
            <w:tcW w:w="956" w:type="dxa"/>
            <w:tcBorders>
              <w:top w:val="nil"/>
              <w:left w:val="nil"/>
              <w:bottom w:val="single" w:sz="8" w:space="0" w:color="auto"/>
              <w:right w:val="single" w:sz="8" w:space="0" w:color="auto"/>
            </w:tcBorders>
            <w:shd w:val="clear" w:color="auto" w:fill="auto"/>
            <w:noWrap/>
            <w:vAlign w:val="center"/>
            <w:hideMark/>
          </w:tcPr>
          <w:p w14:paraId="64B13ED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569 </w:t>
            </w:r>
          </w:p>
        </w:tc>
        <w:tc>
          <w:tcPr>
            <w:tcW w:w="907" w:type="dxa"/>
            <w:tcBorders>
              <w:top w:val="nil"/>
              <w:left w:val="nil"/>
              <w:bottom w:val="single" w:sz="8" w:space="0" w:color="auto"/>
              <w:right w:val="single" w:sz="8" w:space="0" w:color="auto"/>
            </w:tcBorders>
            <w:shd w:val="clear" w:color="auto" w:fill="auto"/>
            <w:noWrap/>
            <w:vAlign w:val="center"/>
            <w:hideMark/>
          </w:tcPr>
          <w:p w14:paraId="7EC4F7F6"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6,749 </w:t>
            </w:r>
          </w:p>
        </w:tc>
        <w:tc>
          <w:tcPr>
            <w:tcW w:w="918" w:type="dxa"/>
            <w:tcBorders>
              <w:top w:val="nil"/>
              <w:left w:val="nil"/>
              <w:bottom w:val="single" w:sz="8" w:space="0" w:color="auto"/>
              <w:right w:val="single" w:sz="8" w:space="0" w:color="auto"/>
            </w:tcBorders>
            <w:shd w:val="clear" w:color="auto" w:fill="auto"/>
            <w:noWrap/>
            <w:vAlign w:val="center"/>
            <w:hideMark/>
          </w:tcPr>
          <w:p w14:paraId="65699AE4"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1,933 </w:t>
            </w:r>
          </w:p>
        </w:tc>
        <w:tc>
          <w:tcPr>
            <w:tcW w:w="984" w:type="dxa"/>
            <w:tcBorders>
              <w:top w:val="nil"/>
              <w:left w:val="nil"/>
              <w:bottom w:val="single" w:sz="8" w:space="0" w:color="auto"/>
              <w:right w:val="single" w:sz="8" w:space="0" w:color="auto"/>
            </w:tcBorders>
            <w:shd w:val="clear" w:color="auto" w:fill="auto"/>
            <w:noWrap/>
            <w:vAlign w:val="center"/>
            <w:hideMark/>
          </w:tcPr>
          <w:p w14:paraId="1F6806DB"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10,999 </w:t>
            </w:r>
          </w:p>
        </w:tc>
      </w:tr>
      <w:tr w:rsidR="00E80462" w:rsidRPr="00F71814" w14:paraId="277C74E3" w14:textId="77777777" w:rsidTr="00C80AAD">
        <w:trPr>
          <w:cantSplit/>
          <w:trHeight w:val="277"/>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2B8FD085"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lastRenderedPageBreak/>
              <w:t>&gt;960 to 2,690 MHz</w:t>
            </w:r>
          </w:p>
        </w:tc>
        <w:tc>
          <w:tcPr>
            <w:tcW w:w="1077" w:type="dxa"/>
            <w:tcBorders>
              <w:top w:val="nil"/>
              <w:left w:val="nil"/>
              <w:bottom w:val="single" w:sz="8" w:space="0" w:color="auto"/>
              <w:right w:val="single" w:sz="8" w:space="0" w:color="auto"/>
            </w:tcBorders>
            <w:shd w:val="clear" w:color="auto" w:fill="auto"/>
            <w:noWrap/>
            <w:vAlign w:val="center"/>
            <w:hideMark/>
          </w:tcPr>
          <w:p w14:paraId="473F50D0"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137 </w:t>
            </w:r>
          </w:p>
        </w:tc>
        <w:tc>
          <w:tcPr>
            <w:tcW w:w="837" w:type="dxa"/>
            <w:tcBorders>
              <w:top w:val="nil"/>
              <w:left w:val="nil"/>
              <w:bottom w:val="single" w:sz="8" w:space="0" w:color="auto"/>
              <w:right w:val="single" w:sz="8" w:space="0" w:color="auto"/>
            </w:tcBorders>
            <w:shd w:val="clear" w:color="auto" w:fill="auto"/>
            <w:noWrap/>
            <w:vAlign w:val="center"/>
            <w:hideMark/>
          </w:tcPr>
          <w:p w14:paraId="630C14E0"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572 </w:t>
            </w:r>
          </w:p>
        </w:tc>
        <w:tc>
          <w:tcPr>
            <w:tcW w:w="956" w:type="dxa"/>
            <w:tcBorders>
              <w:top w:val="nil"/>
              <w:left w:val="nil"/>
              <w:bottom w:val="single" w:sz="8" w:space="0" w:color="auto"/>
              <w:right w:val="single" w:sz="8" w:space="0" w:color="auto"/>
            </w:tcBorders>
            <w:shd w:val="clear" w:color="auto" w:fill="auto"/>
            <w:noWrap/>
            <w:vAlign w:val="center"/>
            <w:hideMark/>
          </w:tcPr>
          <w:p w14:paraId="6189C2FE"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230 </w:t>
            </w:r>
          </w:p>
        </w:tc>
        <w:tc>
          <w:tcPr>
            <w:tcW w:w="907" w:type="dxa"/>
            <w:tcBorders>
              <w:top w:val="nil"/>
              <w:left w:val="nil"/>
              <w:bottom w:val="single" w:sz="8" w:space="0" w:color="auto"/>
              <w:right w:val="single" w:sz="8" w:space="0" w:color="auto"/>
            </w:tcBorders>
            <w:shd w:val="clear" w:color="auto" w:fill="auto"/>
            <w:noWrap/>
            <w:vAlign w:val="center"/>
            <w:hideMark/>
          </w:tcPr>
          <w:p w14:paraId="7D0A808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13,012 </w:t>
            </w:r>
          </w:p>
        </w:tc>
        <w:tc>
          <w:tcPr>
            <w:tcW w:w="918" w:type="dxa"/>
            <w:tcBorders>
              <w:top w:val="nil"/>
              <w:left w:val="nil"/>
              <w:bottom w:val="single" w:sz="8" w:space="0" w:color="auto"/>
              <w:right w:val="single" w:sz="8" w:space="0" w:color="auto"/>
            </w:tcBorders>
            <w:shd w:val="clear" w:color="auto" w:fill="auto"/>
            <w:noWrap/>
            <w:vAlign w:val="center"/>
            <w:hideMark/>
          </w:tcPr>
          <w:p w14:paraId="16F0ED3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11,643 </w:t>
            </w:r>
          </w:p>
        </w:tc>
        <w:tc>
          <w:tcPr>
            <w:tcW w:w="984" w:type="dxa"/>
            <w:tcBorders>
              <w:top w:val="nil"/>
              <w:left w:val="nil"/>
              <w:bottom w:val="single" w:sz="8" w:space="0" w:color="auto"/>
              <w:right w:val="single" w:sz="8" w:space="0" w:color="auto"/>
            </w:tcBorders>
            <w:shd w:val="clear" w:color="auto" w:fill="auto"/>
            <w:noWrap/>
            <w:vAlign w:val="center"/>
            <w:hideMark/>
          </w:tcPr>
          <w:p w14:paraId="33C85548"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25,594 </w:t>
            </w:r>
          </w:p>
        </w:tc>
      </w:tr>
      <w:tr w:rsidR="00E80462" w:rsidRPr="00F71814" w14:paraId="7A4681F6"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6C9CF81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&gt;2,690 to 5,000 MHz</w:t>
            </w:r>
          </w:p>
        </w:tc>
        <w:tc>
          <w:tcPr>
            <w:tcW w:w="1077" w:type="dxa"/>
            <w:tcBorders>
              <w:top w:val="nil"/>
              <w:left w:val="nil"/>
              <w:bottom w:val="single" w:sz="8" w:space="0" w:color="auto"/>
              <w:right w:val="single" w:sz="8" w:space="0" w:color="auto"/>
            </w:tcBorders>
            <w:shd w:val="clear" w:color="auto" w:fill="auto"/>
            <w:noWrap/>
            <w:vAlign w:val="center"/>
            <w:hideMark/>
          </w:tcPr>
          <w:p w14:paraId="5CE74D98"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14 </w:t>
            </w:r>
          </w:p>
        </w:tc>
        <w:tc>
          <w:tcPr>
            <w:tcW w:w="837" w:type="dxa"/>
            <w:tcBorders>
              <w:top w:val="nil"/>
              <w:left w:val="nil"/>
              <w:bottom w:val="single" w:sz="8" w:space="0" w:color="auto"/>
              <w:right w:val="single" w:sz="8" w:space="0" w:color="auto"/>
            </w:tcBorders>
            <w:shd w:val="clear" w:color="auto" w:fill="auto"/>
            <w:noWrap/>
            <w:vAlign w:val="center"/>
            <w:hideMark/>
          </w:tcPr>
          <w:p w14:paraId="3098B12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4,494 </w:t>
            </w:r>
          </w:p>
        </w:tc>
        <w:tc>
          <w:tcPr>
            <w:tcW w:w="956" w:type="dxa"/>
            <w:tcBorders>
              <w:top w:val="nil"/>
              <w:left w:val="nil"/>
              <w:bottom w:val="single" w:sz="8" w:space="0" w:color="auto"/>
              <w:right w:val="single" w:sz="8" w:space="0" w:color="auto"/>
            </w:tcBorders>
            <w:shd w:val="clear" w:color="auto" w:fill="auto"/>
            <w:noWrap/>
            <w:vAlign w:val="center"/>
            <w:hideMark/>
          </w:tcPr>
          <w:p w14:paraId="6CD05B4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1,487 </w:t>
            </w:r>
          </w:p>
        </w:tc>
        <w:tc>
          <w:tcPr>
            <w:tcW w:w="907" w:type="dxa"/>
            <w:tcBorders>
              <w:top w:val="nil"/>
              <w:left w:val="nil"/>
              <w:bottom w:val="single" w:sz="8" w:space="0" w:color="auto"/>
              <w:right w:val="single" w:sz="8" w:space="0" w:color="auto"/>
            </w:tcBorders>
            <w:shd w:val="clear" w:color="auto" w:fill="auto"/>
            <w:noWrap/>
            <w:vAlign w:val="center"/>
            <w:hideMark/>
          </w:tcPr>
          <w:p w14:paraId="104AFBFB"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15,680 </w:t>
            </w:r>
          </w:p>
        </w:tc>
        <w:tc>
          <w:tcPr>
            <w:tcW w:w="918" w:type="dxa"/>
            <w:tcBorders>
              <w:top w:val="nil"/>
              <w:left w:val="nil"/>
              <w:bottom w:val="single" w:sz="8" w:space="0" w:color="auto"/>
              <w:right w:val="single" w:sz="8" w:space="0" w:color="auto"/>
            </w:tcBorders>
            <w:shd w:val="clear" w:color="auto" w:fill="auto"/>
            <w:noWrap/>
            <w:vAlign w:val="center"/>
            <w:hideMark/>
          </w:tcPr>
          <w:p w14:paraId="27B1746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2,386 </w:t>
            </w:r>
          </w:p>
        </w:tc>
        <w:tc>
          <w:tcPr>
            <w:tcW w:w="984" w:type="dxa"/>
            <w:tcBorders>
              <w:top w:val="nil"/>
              <w:left w:val="nil"/>
              <w:bottom w:val="single" w:sz="8" w:space="0" w:color="auto"/>
              <w:right w:val="single" w:sz="8" w:space="0" w:color="auto"/>
            </w:tcBorders>
            <w:shd w:val="clear" w:color="auto" w:fill="auto"/>
            <w:noWrap/>
            <w:vAlign w:val="center"/>
            <w:hideMark/>
          </w:tcPr>
          <w:p w14:paraId="5DCC1B77"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24,061 </w:t>
            </w:r>
          </w:p>
        </w:tc>
      </w:tr>
      <w:tr w:rsidR="00E80462" w:rsidRPr="00F71814" w14:paraId="04277AAA"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7DF4C37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&gt;5.0 to 8.5 GHz</w:t>
            </w:r>
          </w:p>
        </w:tc>
        <w:tc>
          <w:tcPr>
            <w:tcW w:w="1077" w:type="dxa"/>
            <w:tcBorders>
              <w:top w:val="nil"/>
              <w:left w:val="nil"/>
              <w:bottom w:val="single" w:sz="8" w:space="0" w:color="auto"/>
              <w:right w:val="single" w:sz="8" w:space="0" w:color="auto"/>
            </w:tcBorders>
            <w:shd w:val="clear" w:color="auto" w:fill="auto"/>
            <w:noWrap/>
            <w:vAlign w:val="center"/>
            <w:hideMark/>
          </w:tcPr>
          <w:p w14:paraId="31FC557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33 </w:t>
            </w:r>
          </w:p>
        </w:tc>
        <w:tc>
          <w:tcPr>
            <w:tcW w:w="837" w:type="dxa"/>
            <w:tcBorders>
              <w:top w:val="nil"/>
              <w:left w:val="nil"/>
              <w:bottom w:val="single" w:sz="8" w:space="0" w:color="auto"/>
              <w:right w:val="single" w:sz="8" w:space="0" w:color="auto"/>
            </w:tcBorders>
            <w:shd w:val="clear" w:color="auto" w:fill="auto"/>
            <w:noWrap/>
            <w:vAlign w:val="center"/>
            <w:hideMark/>
          </w:tcPr>
          <w:p w14:paraId="3867CC50"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2,771 </w:t>
            </w:r>
          </w:p>
        </w:tc>
        <w:tc>
          <w:tcPr>
            <w:tcW w:w="956" w:type="dxa"/>
            <w:tcBorders>
              <w:top w:val="nil"/>
              <w:left w:val="nil"/>
              <w:bottom w:val="single" w:sz="8" w:space="0" w:color="auto"/>
              <w:right w:val="single" w:sz="8" w:space="0" w:color="auto"/>
            </w:tcBorders>
            <w:shd w:val="clear" w:color="auto" w:fill="auto"/>
            <w:noWrap/>
            <w:vAlign w:val="center"/>
            <w:hideMark/>
          </w:tcPr>
          <w:p w14:paraId="0115EC3D"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898 </w:t>
            </w:r>
          </w:p>
        </w:tc>
        <w:tc>
          <w:tcPr>
            <w:tcW w:w="907" w:type="dxa"/>
            <w:tcBorders>
              <w:top w:val="nil"/>
              <w:left w:val="nil"/>
              <w:bottom w:val="single" w:sz="8" w:space="0" w:color="auto"/>
              <w:right w:val="single" w:sz="8" w:space="0" w:color="auto"/>
            </w:tcBorders>
            <w:shd w:val="clear" w:color="auto" w:fill="auto"/>
            <w:noWrap/>
            <w:vAlign w:val="center"/>
            <w:hideMark/>
          </w:tcPr>
          <w:p w14:paraId="4114851A"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26,571 </w:t>
            </w:r>
          </w:p>
        </w:tc>
        <w:tc>
          <w:tcPr>
            <w:tcW w:w="918" w:type="dxa"/>
            <w:tcBorders>
              <w:top w:val="nil"/>
              <w:left w:val="nil"/>
              <w:bottom w:val="single" w:sz="8" w:space="0" w:color="auto"/>
              <w:right w:val="single" w:sz="8" w:space="0" w:color="auto"/>
            </w:tcBorders>
            <w:shd w:val="clear" w:color="auto" w:fill="auto"/>
            <w:noWrap/>
            <w:vAlign w:val="center"/>
            <w:hideMark/>
          </w:tcPr>
          <w:p w14:paraId="4B42FEFA"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7,216 </w:t>
            </w:r>
          </w:p>
        </w:tc>
        <w:tc>
          <w:tcPr>
            <w:tcW w:w="984" w:type="dxa"/>
            <w:tcBorders>
              <w:top w:val="nil"/>
              <w:left w:val="nil"/>
              <w:bottom w:val="single" w:sz="8" w:space="0" w:color="auto"/>
              <w:right w:val="single" w:sz="8" w:space="0" w:color="auto"/>
            </w:tcBorders>
            <w:shd w:val="clear" w:color="auto" w:fill="auto"/>
            <w:noWrap/>
            <w:vAlign w:val="center"/>
            <w:hideMark/>
          </w:tcPr>
          <w:p w14:paraId="643C9B87"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37,489 </w:t>
            </w:r>
          </w:p>
        </w:tc>
      </w:tr>
      <w:tr w:rsidR="00E80462" w:rsidRPr="00F71814" w14:paraId="15606B02" w14:textId="77777777" w:rsidTr="00C80AAD">
        <w:trPr>
          <w:cantSplit/>
          <w:trHeight w:val="277"/>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79997F75"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&gt;8.5 to 14.5 GHz</w:t>
            </w:r>
          </w:p>
        </w:tc>
        <w:tc>
          <w:tcPr>
            <w:tcW w:w="1077" w:type="dxa"/>
            <w:tcBorders>
              <w:top w:val="nil"/>
              <w:left w:val="nil"/>
              <w:bottom w:val="single" w:sz="8" w:space="0" w:color="auto"/>
              <w:right w:val="single" w:sz="8" w:space="0" w:color="auto"/>
            </w:tcBorders>
            <w:shd w:val="clear" w:color="auto" w:fill="auto"/>
            <w:noWrap/>
            <w:vAlign w:val="center"/>
            <w:hideMark/>
          </w:tcPr>
          <w:p w14:paraId="10BB9215"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50 </w:t>
            </w:r>
          </w:p>
        </w:tc>
        <w:tc>
          <w:tcPr>
            <w:tcW w:w="837" w:type="dxa"/>
            <w:tcBorders>
              <w:top w:val="nil"/>
              <w:left w:val="nil"/>
              <w:bottom w:val="single" w:sz="8" w:space="0" w:color="auto"/>
              <w:right w:val="single" w:sz="8" w:space="0" w:color="auto"/>
            </w:tcBorders>
            <w:shd w:val="clear" w:color="auto" w:fill="auto"/>
            <w:noWrap/>
            <w:vAlign w:val="center"/>
            <w:hideMark/>
          </w:tcPr>
          <w:p w14:paraId="06DFFCB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3,714 </w:t>
            </w:r>
          </w:p>
        </w:tc>
        <w:tc>
          <w:tcPr>
            <w:tcW w:w="956" w:type="dxa"/>
            <w:tcBorders>
              <w:top w:val="nil"/>
              <w:left w:val="nil"/>
              <w:bottom w:val="single" w:sz="8" w:space="0" w:color="auto"/>
              <w:right w:val="single" w:sz="8" w:space="0" w:color="auto"/>
            </w:tcBorders>
            <w:shd w:val="clear" w:color="auto" w:fill="auto"/>
            <w:noWrap/>
            <w:vAlign w:val="center"/>
            <w:hideMark/>
          </w:tcPr>
          <w:p w14:paraId="59EF6840"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1,973 </w:t>
            </w:r>
          </w:p>
        </w:tc>
        <w:tc>
          <w:tcPr>
            <w:tcW w:w="907" w:type="dxa"/>
            <w:tcBorders>
              <w:top w:val="nil"/>
              <w:left w:val="nil"/>
              <w:bottom w:val="single" w:sz="8" w:space="0" w:color="auto"/>
              <w:right w:val="single" w:sz="8" w:space="0" w:color="auto"/>
            </w:tcBorders>
            <w:shd w:val="clear" w:color="auto" w:fill="auto"/>
            <w:noWrap/>
            <w:vAlign w:val="center"/>
            <w:hideMark/>
          </w:tcPr>
          <w:p w14:paraId="507F42AE"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28,978 </w:t>
            </w:r>
          </w:p>
        </w:tc>
        <w:tc>
          <w:tcPr>
            <w:tcW w:w="918" w:type="dxa"/>
            <w:tcBorders>
              <w:top w:val="nil"/>
              <w:left w:val="nil"/>
              <w:bottom w:val="single" w:sz="8" w:space="0" w:color="auto"/>
              <w:right w:val="single" w:sz="8" w:space="0" w:color="auto"/>
            </w:tcBorders>
            <w:shd w:val="clear" w:color="auto" w:fill="auto"/>
            <w:noWrap/>
            <w:vAlign w:val="center"/>
            <w:hideMark/>
          </w:tcPr>
          <w:p w14:paraId="3D2DE87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4,400 </w:t>
            </w:r>
          </w:p>
        </w:tc>
        <w:tc>
          <w:tcPr>
            <w:tcW w:w="984" w:type="dxa"/>
            <w:tcBorders>
              <w:top w:val="nil"/>
              <w:left w:val="nil"/>
              <w:bottom w:val="single" w:sz="8" w:space="0" w:color="auto"/>
              <w:right w:val="single" w:sz="8" w:space="0" w:color="auto"/>
            </w:tcBorders>
            <w:shd w:val="clear" w:color="auto" w:fill="auto"/>
            <w:noWrap/>
            <w:vAlign w:val="center"/>
            <w:hideMark/>
          </w:tcPr>
          <w:p w14:paraId="253C4CF0"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39,115 </w:t>
            </w:r>
          </w:p>
        </w:tc>
      </w:tr>
      <w:tr w:rsidR="00E80462" w:rsidRPr="00F71814" w14:paraId="58966B2D"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2EF5DAB5"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&gt;14.5 to 31.3 GHz</w:t>
            </w:r>
          </w:p>
        </w:tc>
        <w:tc>
          <w:tcPr>
            <w:tcW w:w="1077" w:type="dxa"/>
            <w:tcBorders>
              <w:top w:val="nil"/>
              <w:left w:val="nil"/>
              <w:bottom w:val="single" w:sz="8" w:space="0" w:color="auto"/>
              <w:right w:val="single" w:sz="8" w:space="0" w:color="auto"/>
            </w:tcBorders>
            <w:shd w:val="clear" w:color="auto" w:fill="auto"/>
            <w:noWrap/>
            <w:vAlign w:val="center"/>
            <w:hideMark/>
          </w:tcPr>
          <w:p w14:paraId="28D4275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22 </w:t>
            </w:r>
          </w:p>
        </w:tc>
        <w:tc>
          <w:tcPr>
            <w:tcW w:w="837" w:type="dxa"/>
            <w:tcBorders>
              <w:top w:val="nil"/>
              <w:left w:val="nil"/>
              <w:bottom w:val="single" w:sz="8" w:space="0" w:color="auto"/>
              <w:right w:val="single" w:sz="8" w:space="0" w:color="auto"/>
            </w:tcBorders>
            <w:shd w:val="clear" w:color="auto" w:fill="auto"/>
            <w:noWrap/>
            <w:vAlign w:val="center"/>
            <w:hideMark/>
          </w:tcPr>
          <w:p w14:paraId="6DF55F4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6,617 </w:t>
            </w:r>
          </w:p>
        </w:tc>
        <w:tc>
          <w:tcPr>
            <w:tcW w:w="956" w:type="dxa"/>
            <w:tcBorders>
              <w:top w:val="nil"/>
              <w:left w:val="nil"/>
              <w:bottom w:val="single" w:sz="8" w:space="0" w:color="auto"/>
              <w:right w:val="single" w:sz="8" w:space="0" w:color="auto"/>
            </w:tcBorders>
            <w:shd w:val="clear" w:color="auto" w:fill="auto"/>
            <w:noWrap/>
            <w:vAlign w:val="center"/>
            <w:hideMark/>
          </w:tcPr>
          <w:p w14:paraId="79546B7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2,425 </w:t>
            </w:r>
          </w:p>
        </w:tc>
        <w:tc>
          <w:tcPr>
            <w:tcW w:w="907" w:type="dxa"/>
            <w:tcBorders>
              <w:top w:val="nil"/>
              <w:left w:val="nil"/>
              <w:bottom w:val="single" w:sz="8" w:space="0" w:color="auto"/>
              <w:right w:val="single" w:sz="8" w:space="0" w:color="auto"/>
            </w:tcBorders>
            <w:shd w:val="clear" w:color="auto" w:fill="auto"/>
            <w:noWrap/>
            <w:vAlign w:val="center"/>
            <w:hideMark/>
          </w:tcPr>
          <w:p w14:paraId="36AAFA0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15,268 </w:t>
            </w:r>
          </w:p>
        </w:tc>
        <w:tc>
          <w:tcPr>
            <w:tcW w:w="918" w:type="dxa"/>
            <w:tcBorders>
              <w:top w:val="nil"/>
              <w:left w:val="nil"/>
              <w:bottom w:val="single" w:sz="8" w:space="0" w:color="auto"/>
              <w:right w:val="single" w:sz="8" w:space="0" w:color="auto"/>
            </w:tcBorders>
            <w:shd w:val="clear" w:color="auto" w:fill="auto"/>
            <w:noWrap/>
            <w:vAlign w:val="center"/>
            <w:hideMark/>
          </w:tcPr>
          <w:p w14:paraId="584619D5"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3,831 </w:t>
            </w:r>
          </w:p>
        </w:tc>
        <w:tc>
          <w:tcPr>
            <w:tcW w:w="984" w:type="dxa"/>
            <w:tcBorders>
              <w:top w:val="nil"/>
              <w:left w:val="nil"/>
              <w:bottom w:val="single" w:sz="8" w:space="0" w:color="auto"/>
              <w:right w:val="single" w:sz="8" w:space="0" w:color="auto"/>
            </w:tcBorders>
            <w:shd w:val="clear" w:color="auto" w:fill="auto"/>
            <w:noWrap/>
            <w:vAlign w:val="center"/>
            <w:hideMark/>
          </w:tcPr>
          <w:p w14:paraId="1459EAEE"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28,163 </w:t>
            </w:r>
          </w:p>
        </w:tc>
      </w:tr>
      <w:tr w:rsidR="00E80462" w:rsidRPr="00F71814" w14:paraId="366E4009" w14:textId="77777777" w:rsidTr="00C80AAD">
        <w:trPr>
          <w:cantSplit/>
          <w:trHeight w:val="274"/>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1D9A7876"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&gt;31.3 to 51.4 GHz</w:t>
            </w:r>
          </w:p>
        </w:tc>
        <w:tc>
          <w:tcPr>
            <w:tcW w:w="1077" w:type="dxa"/>
            <w:tcBorders>
              <w:top w:val="nil"/>
              <w:left w:val="nil"/>
              <w:bottom w:val="single" w:sz="8" w:space="0" w:color="auto"/>
              <w:right w:val="single" w:sz="8" w:space="0" w:color="auto"/>
            </w:tcBorders>
            <w:shd w:val="clear" w:color="auto" w:fill="auto"/>
            <w:noWrap/>
            <w:vAlign w:val="center"/>
            <w:hideMark/>
          </w:tcPr>
          <w:p w14:paraId="4A0C1BE9"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8 </w:t>
            </w:r>
          </w:p>
        </w:tc>
        <w:tc>
          <w:tcPr>
            <w:tcW w:w="837" w:type="dxa"/>
            <w:tcBorders>
              <w:top w:val="nil"/>
              <w:left w:val="nil"/>
              <w:bottom w:val="single" w:sz="8" w:space="0" w:color="auto"/>
              <w:right w:val="single" w:sz="8" w:space="0" w:color="auto"/>
            </w:tcBorders>
            <w:shd w:val="clear" w:color="auto" w:fill="auto"/>
            <w:noWrap/>
            <w:vAlign w:val="center"/>
            <w:hideMark/>
          </w:tcPr>
          <w:p w14:paraId="4D9799B4"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4,238 </w:t>
            </w:r>
          </w:p>
        </w:tc>
        <w:tc>
          <w:tcPr>
            <w:tcW w:w="956" w:type="dxa"/>
            <w:tcBorders>
              <w:top w:val="nil"/>
              <w:left w:val="nil"/>
              <w:bottom w:val="single" w:sz="8" w:space="0" w:color="auto"/>
              <w:right w:val="single" w:sz="8" w:space="0" w:color="auto"/>
            </w:tcBorders>
            <w:shd w:val="clear" w:color="auto" w:fill="auto"/>
            <w:noWrap/>
            <w:vAlign w:val="center"/>
            <w:hideMark/>
          </w:tcPr>
          <w:p w14:paraId="4BF062FC"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81 </w:t>
            </w:r>
          </w:p>
        </w:tc>
        <w:tc>
          <w:tcPr>
            <w:tcW w:w="907" w:type="dxa"/>
            <w:tcBorders>
              <w:top w:val="nil"/>
              <w:left w:val="nil"/>
              <w:bottom w:val="single" w:sz="8" w:space="0" w:color="auto"/>
              <w:right w:val="single" w:sz="8" w:space="0" w:color="auto"/>
            </w:tcBorders>
            <w:shd w:val="clear" w:color="auto" w:fill="auto"/>
            <w:noWrap/>
            <w:vAlign w:val="center"/>
            <w:hideMark/>
          </w:tcPr>
          <w:p w14:paraId="60123A28"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370 </w:t>
            </w:r>
          </w:p>
        </w:tc>
        <w:tc>
          <w:tcPr>
            <w:tcW w:w="918" w:type="dxa"/>
            <w:tcBorders>
              <w:top w:val="nil"/>
              <w:left w:val="nil"/>
              <w:bottom w:val="single" w:sz="8" w:space="0" w:color="auto"/>
              <w:right w:val="single" w:sz="8" w:space="0" w:color="auto"/>
            </w:tcBorders>
            <w:shd w:val="clear" w:color="auto" w:fill="auto"/>
            <w:noWrap/>
            <w:vAlign w:val="center"/>
            <w:hideMark/>
          </w:tcPr>
          <w:p w14:paraId="364DFDDA"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130 </w:t>
            </w:r>
          </w:p>
        </w:tc>
        <w:tc>
          <w:tcPr>
            <w:tcW w:w="984" w:type="dxa"/>
            <w:tcBorders>
              <w:top w:val="nil"/>
              <w:left w:val="nil"/>
              <w:bottom w:val="single" w:sz="8" w:space="0" w:color="auto"/>
              <w:right w:val="single" w:sz="8" w:space="0" w:color="auto"/>
            </w:tcBorders>
            <w:shd w:val="clear" w:color="auto" w:fill="auto"/>
            <w:noWrap/>
            <w:vAlign w:val="center"/>
            <w:hideMark/>
          </w:tcPr>
          <w:p w14:paraId="69106E8F"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4,827 </w:t>
            </w:r>
          </w:p>
        </w:tc>
      </w:tr>
      <w:tr w:rsidR="00E80462" w:rsidRPr="00F71814" w14:paraId="06E38D03" w14:textId="77777777" w:rsidTr="00C80AAD">
        <w:trPr>
          <w:cantSplit/>
          <w:trHeight w:val="277"/>
        </w:trPr>
        <w:tc>
          <w:tcPr>
            <w:tcW w:w="2007" w:type="dxa"/>
            <w:tcBorders>
              <w:top w:val="nil"/>
              <w:left w:val="single" w:sz="8" w:space="0" w:color="auto"/>
              <w:bottom w:val="single" w:sz="8" w:space="0" w:color="auto"/>
              <w:right w:val="single" w:sz="8" w:space="0" w:color="auto"/>
            </w:tcBorders>
            <w:shd w:val="clear" w:color="auto" w:fill="auto"/>
            <w:noWrap/>
            <w:vAlign w:val="center"/>
            <w:hideMark/>
          </w:tcPr>
          <w:p w14:paraId="3E9B7C2D"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Above 51.4 GHz</w:t>
            </w:r>
          </w:p>
        </w:tc>
        <w:tc>
          <w:tcPr>
            <w:tcW w:w="1077" w:type="dxa"/>
            <w:tcBorders>
              <w:top w:val="nil"/>
              <w:left w:val="nil"/>
              <w:bottom w:val="single" w:sz="8" w:space="0" w:color="auto"/>
              <w:right w:val="single" w:sz="8" w:space="0" w:color="auto"/>
            </w:tcBorders>
            <w:shd w:val="clear" w:color="auto" w:fill="auto"/>
            <w:noWrap/>
            <w:vAlign w:val="center"/>
            <w:hideMark/>
          </w:tcPr>
          <w:p w14:paraId="6DF79B31"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 </w:t>
            </w:r>
          </w:p>
        </w:tc>
        <w:tc>
          <w:tcPr>
            <w:tcW w:w="837" w:type="dxa"/>
            <w:tcBorders>
              <w:top w:val="nil"/>
              <w:left w:val="nil"/>
              <w:bottom w:val="single" w:sz="8" w:space="0" w:color="auto"/>
              <w:right w:val="single" w:sz="8" w:space="0" w:color="auto"/>
            </w:tcBorders>
            <w:shd w:val="clear" w:color="auto" w:fill="auto"/>
            <w:noWrap/>
            <w:vAlign w:val="center"/>
            <w:hideMark/>
          </w:tcPr>
          <w:p w14:paraId="4F09A6A1"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1,704 </w:t>
            </w:r>
          </w:p>
        </w:tc>
        <w:tc>
          <w:tcPr>
            <w:tcW w:w="956" w:type="dxa"/>
            <w:tcBorders>
              <w:top w:val="nil"/>
              <w:left w:val="nil"/>
              <w:bottom w:val="single" w:sz="8" w:space="0" w:color="auto"/>
              <w:right w:val="single" w:sz="8" w:space="0" w:color="auto"/>
            </w:tcBorders>
            <w:shd w:val="clear" w:color="auto" w:fill="auto"/>
            <w:noWrap/>
            <w:vAlign w:val="center"/>
            <w:hideMark/>
          </w:tcPr>
          <w:p w14:paraId="404A43D5"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232 </w:t>
            </w:r>
          </w:p>
        </w:tc>
        <w:tc>
          <w:tcPr>
            <w:tcW w:w="907" w:type="dxa"/>
            <w:tcBorders>
              <w:top w:val="nil"/>
              <w:left w:val="nil"/>
              <w:bottom w:val="single" w:sz="8" w:space="0" w:color="auto"/>
              <w:right w:val="single" w:sz="8" w:space="0" w:color="auto"/>
            </w:tcBorders>
            <w:shd w:val="clear" w:color="auto" w:fill="auto"/>
            <w:noWrap/>
            <w:vAlign w:val="center"/>
            <w:hideMark/>
          </w:tcPr>
          <w:p w14:paraId="7C1917F2"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784 </w:t>
            </w:r>
          </w:p>
        </w:tc>
        <w:tc>
          <w:tcPr>
            <w:tcW w:w="918" w:type="dxa"/>
            <w:tcBorders>
              <w:top w:val="nil"/>
              <w:left w:val="nil"/>
              <w:bottom w:val="single" w:sz="8" w:space="0" w:color="auto"/>
              <w:right w:val="single" w:sz="8" w:space="0" w:color="auto"/>
            </w:tcBorders>
            <w:shd w:val="clear" w:color="auto" w:fill="auto"/>
            <w:noWrap/>
            <w:vAlign w:val="center"/>
            <w:hideMark/>
          </w:tcPr>
          <w:p w14:paraId="69B88963"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xml:space="preserve">80 </w:t>
            </w:r>
          </w:p>
        </w:tc>
        <w:tc>
          <w:tcPr>
            <w:tcW w:w="984" w:type="dxa"/>
            <w:tcBorders>
              <w:top w:val="nil"/>
              <w:left w:val="nil"/>
              <w:bottom w:val="single" w:sz="8" w:space="0" w:color="auto"/>
              <w:right w:val="single" w:sz="8" w:space="0" w:color="auto"/>
            </w:tcBorders>
            <w:shd w:val="clear" w:color="auto" w:fill="auto"/>
            <w:noWrap/>
            <w:vAlign w:val="center"/>
            <w:hideMark/>
          </w:tcPr>
          <w:p w14:paraId="677B7926"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2,802 </w:t>
            </w:r>
          </w:p>
        </w:tc>
      </w:tr>
      <w:tr w:rsidR="00E80462" w:rsidRPr="00F71814" w14:paraId="2687D835" w14:textId="77777777" w:rsidTr="00C80AAD">
        <w:trPr>
          <w:cantSplit/>
          <w:trHeight w:val="274"/>
        </w:trPr>
        <w:tc>
          <w:tcPr>
            <w:tcW w:w="2007" w:type="dxa"/>
            <w:tcBorders>
              <w:top w:val="nil"/>
              <w:left w:val="nil"/>
              <w:bottom w:val="nil"/>
              <w:right w:val="single" w:sz="8" w:space="0" w:color="auto"/>
            </w:tcBorders>
            <w:shd w:val="clear" w:color="auto" w:fill="auto"/>
            <w:noWrap/>
            <w:vAlign w:val="center"/>
            <w:hideMark/>
          </w:tcPr>
          <w:p w14:paraId="62A55646" w14:textId="77777777" w:rsidR="00E80462" w:rsidRPr="00F71814" w:rsidRDefault="00E80462" w:rsidP="00CF0BD3">
            <w:pPr>
              <w:spacing w:after="0" w:line="240" w:lineRule="auto"/>
              <w:rPr>
                <w:rFonts w:cs="Arial"/>
                <w:color w:val="000000"/>
                <w:sz w:val="18"/>
                <w:szCs w:val="22"/>
              </w:rPr>
            </w:pPr>
            <w:r w:rsidRPr="00F71814">
              <w:rPr>
                <w:rFonts w:cs="Arial"/>
                <w:color w:val="000000"/>
                <w:sz w:val="18"/>
                <w:szCs w:val="22"/>
              </w:rPr>
              <w:t> </w:t>
            </w:r>
          </w:p>
        </w:tc>
        <w:tc>
          <w:tcPr>
            <w:tcW w:w="1077" w:type="dxa"/>
            <w:tcBorders>
              <w:top w:val="nil"/>
              <w:left w:val="nil"/>
              <w:bottom w:val="single" w:sz="8" w:space="0" w:color="auto"/>
              <w:right w:val="single" w:sz="8" w:space="0" w:color="auto"/>
            </w:tcBorders>
            <w:shd w:val="clear" w:color="auto" w:fill="auto"/>
            <w:noWrap/>
            <w:vAlign w:val="center"/>
            <w:hideMark/>
          </w:tcPr>
          <w:p w14:paraId="7BEB9F61"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6,098 </w:t>
            </w:r>
          </w:p>
        </w:tc>
        <w:tc>
          <w:tcPr>
            <w:tcW w:w="837" w:type="dxa"/>
            <w:tcBorders>
              <w:top w:val="nil"/>
              <w:left w:val="nil"/>
              <w:bottom w:val="single" w:sz="8" w:space="0" w:color="auto"/>
              <w:right w:val="single" w:sz="8" w:space="0" w:color="auto"/>
            </w:tcBorders>
            <w:shd w:val="clear" w:color="auto" w:fill="auto"/>
            <w:noWrap/>
            <w:vAlign w:val="center"/>
            <w:hideMark/>
          </w:tcPr>
          <w:p w14:paraId="194E5848"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78,838 </w:t>
            </w:r>
          </w:p>
        </w:tc>
        <w:tc>
          <w:tcPr>
            <w:tcW w:w="956" w:type="dxa"/>
            <w:tcBorders>
              <w:top w:val="nil"/>
              <w:left w:val="nil"/>
              <w:bottom w:val="single" w:sz="8" w:space="0" w:color="auto"/>
              <w:right w:val="single" w:sz="8" w:space="0" w:color="auto"/>
            </w:tcBorders>
            <w:shd w:val="clear" w:color="auto" w:fill="auto"/>
            <w:noWrap/>
            <w:vAlign w:val="center"/>
            <w:hideMark/>
          </w:tcPr>
          <w:p w14:paraId="6D9D885D"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23,451 </w:t>
            </w:r>
          </w:p>
        </w:tc>
        <w:tc>
          <w:tcPr>
            <w:tcW w:w="907" w:type="dxa"/>
            <w:tcBorders>
              <w:top w:val="nil"/>
              <w:left w:val="nil"/>
              <w:bottom w:val="single" w:sz="8" w:space="0" w:color="auto"/>
              <w:right w:val="single" w:sz="8" w:space="0" w:color="auto"/>
            </w:tcBorders>
            <w:shd w:val="clear" w:color="auto" w:fill="auto"/>
            <w:noWrap/>
            <w:vAlign w:val="center"/>
            <w:hideMark/>
          </w:tcPr>
          <w:p w14:paraId="4F853931"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217,700 </w:t>
            </w:r>
          </w:p>
        </w:tc>
        <w:tc>
          <w:tcPr>
            <w:tcW w:w="918" w:type="dxa"/>
            <w:tcBorders>
              <w:top w:val="nil"/>
              <w:left w:val="nil"/>
              <w:bottom w:val="single" w:sz="8" w:space="0" w:color="auto"/>
              <w:right w:val="single" w:sz="8" w:space="0" w:color="auto"/>
            </w:tcBorders>
            <w:shd w:val="clear" w:color="auto" w:fill="auto"/>
            <w:noWrap/>
            <w:vAlign w:val="center"/>
            <w:hideMark/>
          </w:tcPr>
          <w:p w14:paraId="44EFEBBC" w14:textId="77777777" w:rsidR="00E80462" w:rsidRPr="00F71814" w:rsidRDefault="00E80462" w:rsidP="00CF0BD3">
            <w:pPr>
              <w:spacing w:after="0" w:line="240" w:lineRule="auto"/>
              <w:rPr>
                <w:rFonts w:cs="Arial"/>
                <w:b/>
                <w:bCs/>
                <w:color w:val="000000"/>
                <w:sz w:val="18"/>
                <w:szCs w:val="22"/>
              </w:rPr>
            </w:pPr>
            <w:r w:rsidRPr="00F71814">
              <w:rPr>
                <w:rFonts w:cs="Arial"/>
                <w:b/>
                <w:bCs/>
                <w:color w:val="000000"/>
                <w:sz w:val="18"/>
                <w:szCs w:val="22"/>
              </w:rPr>
              <w:t xml:space="preserve">88,274 </w:t>
            </w:r>
          </w:p>
        </w:tc>
        <w:tc>
          <w:tcPr>
            <w:tcW w:w="984" w:type="dxa"/>
            <w:tcBorders>
              <w:top w:val="nil"/>
              <w:left w:val="nil"/>
              <w:bottom w:val="single" w:sz="8" w:space="0" w:color="auto"/>
              <w:right w:val="single" w:sz="8" w:space="0" w:color="auto"/>
            </w:tcBorders>
            <w:shd w:val="clear" w:color="000000" w:fill="404040"/>
            <w:noWrap/>
            <w:vAlign w:val="center"/>
            <w:hideMark/>
          </w:tcPr>
          <w:p w14:paraId="43336A75" w14:textId="77777777" w:rsidR="00E80462" w:rsidRPr="00F71814" w:rsidRDefault="00E80462" w:rsidP="00CF0BD3">
            <w:pPr>
              <w:spacing w:after="0" w:line="240" w:lineRule="auto"/>
              <w:rPr>
                <w:rFonts w:cs="Arial"/>
                <w:b/>
                <w:bCs/>
                <w:color w:val="FFFFFF"/>
                <w:sz w:val="18"/>
                <w:szCs w:val="22"/>
              </w:rPr>
            </w:pPr>
            <w:r w:rsidRPr="00F71814">
              <w:rPr>
                <w:rFonts w:cs="Arial"/>
                <w:b/>
                <w:bCs/>
                <w:color w:val="FFFFFF"/>
                <w:sz w:val="18"/>
                <w:szCs w:val="22"/>
              </w:rPr>
              <w:t xml:space="preserve">414,361 </w:t>
            </w:r>
          </w:p>
        </w:tc>
      </w:tr>
    </w:tbl>
    <w:p w14:paraId="6DB39B5E" w14:textId="77777777" w:rsidR="00EC629B" w:rsidRDefault="00EC629B" w:rsidP="00CF0BD3">
      <w:pPr>
        <w:spacing w:before="120" w:after="120" w:line="240" w:lineRule="auto"/>
        <w:rPr>
          <w:rFonts w:cs="Arial"/>
          <w:iCs/>
          <w:color w:val="000000"/>
          <w:szCs w:val="20"/>
          <w:highlight w:val="yellow"/>
        </w:rPr>
      </w:pPr>
    </w:p>
    <w:p w14:paraId="0D7D10F2" w14:textId="01EF003C" w:rsidR="0009748D" w:rsidRPr="006E6ED7" w:rsidRDefault="0009748D" w:rsidP="006E6ED7">
      <w:pPr>
        <w:pStyle w:val="Heading4"/>
      </w:pPr>
      <w:bookmarkStart w:id="40" w:name="_Toc86153495"/>
      <w:r w:rsidRPr="006E6ED7">
        <w:t xml:space="preserve">Increase weightings </w:t>
      </w:r>
      <w:r w:rsidR="005A2A62" w:rsidRPr="006E6ED7">
        <w:t xml:space="preserve">in high and medium density areas </w:t>
      </w:r>
      <w:r w:rsidRPr="006E6ED7">
        <w:t>for the &gt;2,690 to 5,000 MHz spectrum location</w:t>
      </w:r>
      <w:bookmarkEnd w:id="40"/>
    </w:p>
    <w:p w14:paraId="11FFC765" w14:textId="424DA93E" w:rsidR="0009748D" w:rsidRPr="006E6ED7" w:rsidRDefault="0009748D" w:rsidP="0009748D">
      <w:pPr>
        <w:pStyle w:val="Paragraph"/>
      </w:pPr>
      <w:r w:rsidRPr="006E6ED7">
        <w:t>In addition to examining current assignments, the ACMA looked at assignment trends over time. In the period from 2005–</w:t>
      </w:r>
      <w:r w:rsidR="00602D3E" w:rsidRPr="006E6ED7">
        <w:t>20</w:t>
      </w:r>
      <w:r w:rsidRPr="006E6ED7">
        <w:t xml:space="preserve">20 the ACMA found an acceleration of new assignments in the &gt;2,690 to 5,000 MHz spectrum location for high and </w:t>
      </w:r>
      <w:r w:rsidRPr="006E6ED7" w:rsidDel="0039180A">
        <w:t>medium</w:t>
      </w:r>
      <w:r w:rsidRPr="006E6ED7">
        <w:t xml:space="preserve">-density geographic areas, which is significantly higher than in other spectrum locations (see Table </w:t>
      </w:r>
      <w:r w:rsidR="0086198D">
        <w:t>7</w:t>
      </w:r>
      <w:r w:rsidRPr="006E6ED7">
        <w:t xml:space="preserve"> below).</w:t>
      </w:r>
      <w:r w:rsidRPr="006E6ED7">
        <w:rPr>
          <w:rStyle w:val="FootnoteReference"/>
        </w:rPr>
        <w:footnoteReference w:id="17"/>
      </w:r>
      <w:r w:rsidRPr="006E6ED7">
        <w:t xml:space="preserve"> The location weightings in the tax formula are intended to provide relative price signals to balance and manage demand before congestion issues become acute, so we are considering increasing these location weightings. </w:t>
      </w:r>
      <w:r w:rsidR="00DE1776" w:rsidRPr="006E6ED7">
        <w:t xml:space="preserve">We </w:t>
      </w:r>
      <w:r w:rsidR="00885C01">
        <w:t xml:space="preserve">proposed </w:t>
      </w:r>
      <w:r w:rsidR="00DE1776" w:rsidRPr="006E6ED7">
        <w:t xml:space="preserve">to </w:t>
      </w:r>
      <w:r w:rsidR="0056160F" w:rsidRPr="006E6ED7">
        <w:t>increase</w:t>
      </w:r>
      <w:r w:rsidRPr="006E6ED7">
        <w:t xml:space="preserve"> prices in the</w:t>
      </w:r>
      <w:r w:rsidR="0056160F" w:rsidRPr="006E6ED7">
        <w:t xml:space="preserve"> relevant </w:t>
      </w:r>
      <w:r w:rsidRPr="006E6ED7">
        <w:t xml:space="preserve">spectrum locations to </w:t>
      </w:r>
      <w:r w:rsidR="0045246E" w:rsidRPr="006E6ED7">
        <w:t>incentivise</w:t>
      </w:r>
      <w:r w:rsidRPr="006E6ED7">
        <w:t xml:space="preserve"> licensees to obtain substitute spectrum,</w:t>
      </w:r>
      <w:r w:rsidRPr="006E6ED7" w:rsidDel="007E2011">
        <w:t xml:space="preserve"> </w:t>
      </w:r>
      <w:r w:rsidRPr="006E6ED7">
        <w:t xml:space="preserve">where possible, in either </w:t>
      </w:r>
      <w:r w:rsidRPr="006E6ED7" w:rsidDel="00240B13">
        <w:t>lower</w:t>
      </w:r>
      <w:r w:rsidRPr="006E6ED7">
        <w:t xml:space="preserve">-density areas or in neighbouring spectrum bands. </w:t>
      </w:r>
    </w:p>
    <w:p w14:paraId="1C911901" w14:textId="11968287" w:rsidR="0009748D" w:rsidRPr="006E6ED7" w:rsidRDefault="0009748D" w:rsidP="0009748D">
      <w:pPr>
        <w:pStyle w:val="CommentText"/>
        <w:tabs>
          <w:tab w:val="left" w:pos="426"/>
        </w:tabs>
        <w:spacing w:before="20" w:after="120"/>
      </w:pPr>
      <w:r w:rsidRPr="006E6ED7">
        <w:t xml:space="preserve">In addition to these assignment trends and relativities, there are several factors that the ACMA could </w:t>
      </w:r>
      <w:r w:rsidR="00B35589" w:rsidRPr="006E6ED7">
        <w:t>consider</w:t>
      </w:r>
      <w:r w:rsidRPr="006E6ED7">
        <w:t xml:space="preserve"> in determining an appropriate location weight. We note that recent high-value auctions in the band for services such as mobile broadband, might suggest a higher opportunity cost. For example, the 3.6 GHz band auction saw starting prices in metro areas set at $0.08/MHz/</w:t>
      </w:r>
      <w:r w:rsidR="00F567F7">
        <w:t>p</w:t>
      </w:r>
      <w:r w:rsidRPr="006E6ED7">
        <w:t xml:space="preserve">op and average prices in the auction of $0.29/MHz/pop. These are relative price increases when compared to the $0.03/MHz/pop set by the Minister for Communications, Information </w:t>
      </w:r>
      <w:proofErr w:type="gramStart"/>
      <w:r w:rsidRPr="006E6ED7">
        <w:t>Technology</w:t>
      </w:r>
      <w:proofErr w:type="gramEnd"/>
      <w:r w:rsidRPr="006E6ED7">
        <w:t xml:space="preserve"> and the Arts for the reissue of spectrum licences in the 3.</w:t>
      </w:r>
      <w:r w:rsidRPr="006E6ED7" w:rsidDel="00522EBB">
        <w:t>4</w:t>
      </w:r>
      <w:r w:rsidRPr="006E6ED7">
        <w:t xml:space="preserve"> GHz band. </w:t>
      </w:r>
    </w:p>
    <w:p w14:paraId="0578EE65" w14:textId="3760E4D3" w:rsidR="0009748D" w:rsidRPr="006E6ED7" w:rsidRDefault="0009748D" w:rsidP="0009748D">
      <w:pPr>
        <w:pStyle w:val="Paragraph"/>
      </w:pPr>
      <w:r w:rsidRPr="006E6ED7">
        <w:t xml:space="preserve">Consequently, given the information to date about assignments and demand for spectrum in the &gt;2,690 to 5,000 MHz band, the ACMA </w:t>
      </w:r>
      <w:r w:rsidR="001F4AC9">
        <w:t xml:space="preserve">proposed </w:t>
      </w:r>
      <w:r w:rsidRPr="006E6ED7">
        <w:t xml:space="preserve">raising the weightings for high and medium-density areas relative to other bands to reflect contemporary spectrum uses and values. </w:t>
      </w:r>
    </w:p>
    <w:p w14:paraId="478CFC95" w14:textId="736DBFBC" w:rsidR="0009748D" w:rsidRPr="00462C7E" w:rsidRDefault="0009748D" w:rsidP="006E6ED7">
      <w:pPr>
        <w:pStyle w:val="Caption"/>
        <w:rPr>
          <w:rFonts w:eastAsia="Arial"/>
        </w:rPr>
      </w:pPr>
      <w:r w:rsidRPr="006E6ED7">
        <w:rPr>
          <w:rFonts w:eastAsia="Arial"/>
        </w:rPr>
        <w:t>Changes in assignments by location weighting over time (2005–20)</w:t>
      </w:r>
    </w:p>
    <w:tbl>
      <w:tblPr>
        <w:tblW w:w="7617" w:type="dxa"/>
        <w:tblCellMar>
          <w:top w:w="57" w:type="dxa"/>
          <w:bottom w:w="57" w:type="dxa"/>
        </w:tblCellMar>
        <w:tblLook w:val="04A0" w:firstRow="1" w:lastRow="0" w:firstColumn="1" w:lastColumn="0" w:noHBand="0" w:noVBand="1"/>
      </w:tblPr>
      <w:tblGrid>
        <w:gridCol w:w="2015"/>
        <w:gridCol w:w="1082"/>
        <w:gridCol w:w="961"/>
        <w:gridCol w:w="897"/>
        <w:gridCol w:w="842"/>
        <w:gridCol w:w="918"/>
        <w:gridCol w:w="908"/>
      </w:tblGrid>
      <w:tr w:rsidR="0009748D" w:rsidRPr="00E97042" w14:paraId="36B21094" w14:textId="77777777" w:rsidTr="00C80AAD">
        <w:trPr>
          <w:trHeight w:val="236"/>
        </w:trPr>
        <w:tc>
          <w:tcPr>
            <w:tcW w:w="2015" w:type="dxa"/>
            <w:tcBorders>
              <w:top w:val="single" w:sz="8" w:space="0" w:color="auto"/>
              <w:left w:val="single" w:sz="8" w:space="0" w:color="auto"/>
              <w:bottom w:val="single" w:sz="8" w:space="0" w:color="auto"/>
              <w:right w:val="single" w:sz="8" w:space="0" w:color="auto"/>
            </w:tcBorders>
            <w:shd w:val="clear" w:color="000000" w:fill="404040"/>
            <w:noWrap/>
            <w:vAlign w:val="center"/>
            <w:hideMark/>
          </w:tcPr>
          <w:p w14:paraId="06C2C104" w14:textId="77777777" w:rsidR="0009748D" w:rsidRPr="006E6ED7" w:rsidRDefault="0009748D" w:rsidP="00C80AAD">
            <w:pPr>
              <w:spacing w:after="0" w:line="240" w:lineRule="auto"/>
              <w:rPr>
                <w:rFonts w:cs="Arial"/>
                <w:b/>
                <w:bCs/>
                <w:color w:val="FFFFFF"/>
                <w:sz w:val="18"/>
                <w:szCs w:val="22"/>
              </w:rPr>
            </w:pPr>
            <w:r w:rsidRPr="006E6ED7">
              <w:rPr>
                <w:rFonts w:cs="Arial"/>
                <w:b/>
                <w:bCs/>
                <w:color w:val="FFFFFF"/>
                <w:sz w:val="18"/>
                <w:szCs w:val="22"/>
              </w:rPr>
              <w:t> </w:t>
            </w:r>
          </w:p>
        </w:tc>
        <w:tc>
          <w:tcPr>
            <w:tcW w:w="4694" w:type="dxa"/>
            <w:gridSpan w:val="5"/>
            <w:tcBorders>
              <w:top w:val="single" w:sz="8" w:space="0" w:color="auto"/>
              <w:left w:val="nil"/>
              <w:bottom w:val="single" w:sz="8" w:space="0" w:color="auto"/>
              <w:right w:val="single" w:sz="8" w:space="0" w:color="000000"/>
            </w:tcBorders>
            <w:shd w:val="clear" w:color="000000" w:fill="404040"/>
            <w:noWrap/>
            <w:vAlign w:val="center"/>
            <w:hideMark/>
          </w:tcPr>
          <w:p w14:paraId="7873649B" w14:textId="4DAB67A2" w:rsidR="0009748D" w:rsidRPr="006E6ED7" w:rsidRDefault="0009748D" w:rsidP="00C80AAD">
            <w:pPr>
              <w:spacing w:after="0" w:line="240" w:lineRule="auto"/>
              <w:jc w:val="center"/>
              <w:rPr>
                <w:rFonts w:cs="Arial"/>
                <w:b/>
                <w:bCs/>
                <w:color w:val="FFFFFF"/>
                <w:sz w:val="18"/>
                <w:szCs w:val="22"/>
              </w:rPr>
            </w:pPr>
            <w:r w:rsidRPr="006E6ED7">
              <w:rPr>
                <w:rFonts w:cs="Arial"/>
                <w:b/>
                <w:bCs/>
                <w:color w:val="FFFFFF"/>
                <w:sz w:val="18"/>
                <w:szCs w:val="22"/>
              </w:rPr>
              <w:t>Geographic location</w:t>
            </w:r>
            <w:r w:rsidR="000B648D">
              <w:rPr>
                <w:rFonts w:cs="Arial"/>
                <w:b/>
                <w:bCs/>
                <w:color w:val="FFFFFF"/>
                <w:sz w:val="18"/>
                <w:szCs w:val="22"/>
              </w:rPr>
              <w:t xml:space="preserve"> / density area</w:t>
            </w:r>
          </w:p>
        </w:tc>
        <w:tc>
          <w:tcPr>
            <w:tcW w:w="908" w:type="dxa"/>
            <w:tcBorders>
              <w:top w:val="nil"/>
              <w:left w:val="nil"/>
              <w:bottom w:val="nil"/>
              <w:right w:val="nil"/>
            </w:tcBorders>
            <w:shd w:val="clear" w:color="auto" w:fill="404040" w:themeFill="text1" w:themeFillTint="BF"/>
            <w:noWrap/>
            <w:vAlign w:val="bottom"/>
            <w:hideMark/>
          </w:tcPr>
          <w:p w14:paraId="7DE78A50" w14:textId="77777777" w:rsidR="0009748D" w:rsidRPr="006E6ED7" w:rsidRDefault="0009748D" w:rsidP="00C80AAD">
            <w:pPr>
              <w:spacing w:after="0" w:line="240" w:lineRule="auto"/>
              <w:jc w:val="center"/>
              <w:rPr>
                <w:rFonts w:cs="Arial"/>
                <w:b/>
                <w:bCs/>
                <w:color w:val="FFFFFF"/>
                <w:sz w:val="18"/>
                <w:szCs w:val="22"/>
              </w:rPr>
            </w:pPr>
          </w:p>
        </w:tc>
      </w:tr>
      <w:tr w:rsidR="0009748D" w:rsidRPr="00E97042" w14:paraId="54DBC8EE" w14:textId="77777777" w:rsidTr="00C80AAD">
        <w:trPr>
          <w:trHeight w:val="236"/>
        </w:trPr>
        <w:tc>
          <w:tcPr>
            <w:tcW w:w="2015" w:type="dxa"/>
            <w:tcBorders>
              <w:top w:val="nil"/>
              <w:left w:val="single" w:sz="8" w:space="0" w:color="auto"/>
              <w:bottom w:val="single" w:sz="8" w:space="0" w:color="auto"/>
              <w:right w:val="single" w:sz="8" w:space="0" w:color="auto"/>
            </w:tcBorders>
            <w:shd w:val="clear" w:color="000000" w:fill="404040"/>
            <w:noWrap/>
            <w:vAlign w:val="center"/>
            <w:hideMark/>
          </w:tcPr>
          <w:p w14:paraId="6832DECC" w14:textId="77777777" w:rsidR="0009748D" w:rsidRPr="006E6ED7" w:rsidRDefault="0009748D" w:rsidP="00C80AAD">
            <w:pPr>
              <w:spacing w:after="0" w:line="240" w:lineRule="auto"/>
              <w:rPr>
                <w:rFonts w:cs="Arial"/>
                <w:b/>
                <w:bCs/>
                <w:color w:val="FFFFFF"/>
                <w:sz w:val="18"/>
                <w:szCs w:val="22"/>
              </w:rPr>
            </w:pPr>
            <w:r w:rsidRPr="006E6ED7">
              <w:rPr>
                <w:rFonts w:cs="Arial"/>
                <w:b/>
                <w:bCs/>
                <w:color w:val="FFFFFF"/>
                <w:sz w:val="18"/>
                <w:szCs w:val="22"/>
              </w:rPr>
              <w:t>Spectrum location</w:t>
            </w:r>
          </w:p>
        </w:tc>
        <w:tc>
          <w:tcPr>
            <w:tcW w:w="1082" w:type="dxa"/>
            <w:tcBorders>
              <w:top w:val="nil"/>
              <w:left w:val="nil"/>
              <w:bottom w:val="single" w:sz="8" w:space="0" w:color="auto"/>
              <w:right w:val="single" w:sz="8" w:space="0" w:color="auto"/>
            </w:tcBorders>
            <w:shd w:val="clear" w:color="000000" w:fill="404040"/>
            <w:noWrap/>
            <w:vAlign w:val="center"/>
            <w:hideMark/>
          </w:tcPr>
          <w:p w14:paraId="029A1A92" w14:textId="77777777" w:rsidR="0009748D" w:rsidRPr="006E6ED7" w:rsidRDefault="0009748D" w:rsidP="00C80AAD">
            <w:pPr>
              <w:spacing w:after="0" w:line="240" w:lineRule="auto"/>
              <w:jc w:val="center"/>
              <w:rPr>
                <w:rFonts w:cs="Arial"/>
                <w:b/>
                <w:bCs/>
                <w:color w:val="FFFFFF"/>
                <w:sz w:val="18"/>
                <w:szCs w:val="22"/>
              </w:rPr>
            </w:pPr>
            <w:proofErr w:type="spellStart"/>
            <w:r w:rsidRPr="006E6ED7">
              <w:rPr>
                <w:rFonts w:cs="Arial"/>
                <w:b/>
                <w:bCs/>
                <w:color w:val="FFFFFF"/>
                <w:sz w:val="18"/>
                <w:szCs w:val="22"/>
              </w:rPr>
              <w:t>Aus</w:t>
            </w:r>
            <w:proofErr w:type="spellEnd"/>
            <w:r w:rsidRPr="006E6ED7">
              <w:rPr>
                <w:rFonts w:cs="Arial"/>
                <w:b/>
                <w:bCs/>
                <w:color w:val="FFFFFF"/>
                <w:sz w:val="18"/>
                <w:szCs w:val="22"/>
              </w:rPr>
              <w:t>-wide</w:t>
            </w:r>
          </w:p>
        </w:tc>
        <w:tc>
          <w:tcPr>
            <w:tcW w:w="961" w:type="dxa"/>
            <w:tcBorders>
              <w:top w:val="nil"/>
              <w:left w:val="nil"/>
              <w:bottom w:val="single" w:sz="8" w:space="0" w:color="auto"/>
              <w:right w:val="single" w:sz="8" w:space="0" w:color="auto"/>
            </w:tcBorders>
            <w:shd w:val="clear" w:color="000000" w:fill="404040"/>
            <w:noWrap/>
            <w:vAlign w:val="center"/>
            <w:hideMark/>
          </w:tcPr>
          <w:p w14:paraId="6CF9FA13" w14:textId="77777777" w:rsidR="0009748D" w:rsidRPr="006E6ED7" w:rsidRDefault="0009748D" w:rsidP="00C80AAD">
            <w:pPr>
              <w:spacing w:after="0" w:line="240" w:lineRule="auto"/>
              <w:jc w:val="center"/>
              <w:rPr>
                <w:rFonts w:cs="Arial"/>
                <w:b/>
                <w:bCs/>
                <w:color w:val="FFFFFF"/>
                <w:sz w:val="18"/>
                <w:szCs w:val="22"/>
              </w:rPr>
            </w:pPr>
            <w:r w:rsidRPr="006E6ED7">
              <w:rPr>
                <w:rFonts w:cs="Arial"/>
                <w:b/>
                <w:bCs/>
                <w:color w:val="FFFFFF"/>
                <w:sz w:val="18"/>
                <w:szCs w:val="22"/>
              </w:rPr>
              <w:t>High</w:t>
            </w:r>
          </w:p>
        </w:tc>
        <w:tc>
          <w:tcPr>
            <w:tcW w:w="888" w:type="dxa"/>
            <w:tcBorders>
              <w:top w:val="nil"/>
              <w:left w:val="nil"/>
              <w:bottom w:val="single" w:sz="8" w:space="0" w:color="auto"/>
              <w:right w:val="single" w:sz="8" w:space="0" w:color="auto"/>
            </w:tcBorders>
            <w:shd w:val="clear" w:color="000000" w:fill="404040"/>
            <w:noWrap/>
            <w:vAlign w:val="center"/>
            <w:hideMark/>
          </w:tcPr>
          <w:p w14:paraId="4CFB9D18" w14:textId="77777777" w:rsidR="0009748D" w:rsidRPr="006E6ED7" w:rsidRDefault="0009748D" w:rsidP="00C80AAD">
            <w:pPr>
              <w:spacing w:after="0" w:line="240" w:lineRule="auto"/>
              <w:jc w:val="center"/>
              <w:rPr>
                <w:rFonts w:cs="Arial"/>
                <w:b/>
                <w:bCs/>
                <w:color w:val="FFFFFF"/>
                <w:sz w:val="18"/>
                <w:szCs w:val="22"/>
              </w:rPr>
            </w:pPr>
            <w:r w:rsidRPr="006E6ED7">
              <w:rPr>
                <w:rFonts w:cs="Arial"/>
                <w:b/>
                <w:bCs/>
                <w:color w:val="FFFFFF"/>
                <w:sz w:val="18"/>
                <w:szCs w:val="22"/>
              </w:rPr>
              <w:t>Medium</w:t>
            </w:r>
          </w:p>
        </w:tc>
        <w:tc>
          <w:tcPr>
            <w:tcW w:w="842" w:type="dxa"/>
            <w:tcBorders>
              <w:top w:val="nil"/>
              <w:left w:val="nil"/>
              <w:bottom w:val="single" w:sz="8" w:space="0" w:color="auto"/>
              <w:right w:val="single" w:sz="8" w:space="0" w:color="auto"/>
            </w:tcBorders>
            <w:shd w:val="clear" w:color="000000" w:fill="404040"/>
            <w:noWrap/>
            <w:vAlign w:val="center"/>
            <w:hideMark/>
          </w:tcPr>
          <w:p w14:paraId="6BC68BBD" w14:textId="77777777" w:rsidR="0009748D" w:rsidRPr="006E6ED7" w:rsidRDefault="0009748D" w:rsidP="00C80AAD">
            <w:pPr>
              <w:spacing w:after="0" w:line="240" w:lineRule="auto"/>
              <w:jc w:val="center"/>
              <w:rPr>
                <w:rFonts w:cs="Arial"/>
                <w:b/>
                <w:bCs/>
                <w:color w:val="FFFFFF"/>
                <w:sz w:val="18"/>
                <w:szCs w:val="22"/>
              </w:rPr>
            </w:pPr>
            <w:r w:rsidRPr="006E6ED7">
              <w:rPr>
                <w:rFonts w:cs="Arial"/>
                <w:b/>
                <w:bCs/>
                <w:color w:val="FFFFFF"/>
                <w:sz w:val="18"/>
                <w:szCs w:val="22"/>
              </w:rPr>
              <w:t>Low</w:t>
            </w:r>
          </w:p>
        </w:tc>
        <w:tc>
          <w:tcPr>
            <w:tcW w:w="918" w:type="dxa"/>
            <w:tcBorders>
              <w:top w:val="nil"/>
              <w:left w:val="nil"/>
              <w:bottom w:val="single" w:sz="8" w:space="0" w:color="auto"/>
              <w:right w:val="single" w:sz="8" w:space="0" w:color="auto"/>
            </w:tcBorders>
            <w:shd w:val="clear" w:color="000000" w:fill="404040"/>
            <w:noWrap/>
            <w:vAlign w:val="center"/>
            <w:hideMark/>
          </w:tcPr>
          <w:p w14:paraId="3AEBD2B0" w14:textId="77777777" w:rsidR="0009748D" w:rsidRPr="006E6ED7" w:rsidRDefault="0009748D" w:rsidP="00C80AAD">
            <w:pPr>
              <w:spacing w:after="0" w:line="240" w:lineRule="auto"/>
              <w:jc w:val="center"/>
              <w:rPr>
                <w:rFonts w:cs="Arial"/>
                <w:b/>
                <w:bCs/>
                <w:color w:val="FFFFFF"/>
                <w:sz w:val="18"/>
                <w:szCs w:val="22"/>
              </w:rPr>
            </w:pPr>
            <w:r w:rsidRPr="006E6ED7">
              <w:rPr>
                <w:rFonts w:cs="Arial"/>
                <w:b/>
                <w:bCs/>
                <w:color w:val="FFFFFF"/>
                <w:sz w:val="18"/>
                <w:szCs w:val="22"/>
              </w:rPr>
              <w:t>Remote</w:t>
            </w:r>
          </w:p>
        </w:tc>
        <w:tc>
          <w:tcPr>
            <w:tcW w:w="908" w:type="dxa"/>
            <w:tcBorders>
              <w:top w:val="nil"/>
              <w:left w:val="nil"/>
              <w:bottom w:val="single" w:sz="8" w:space="0" w:color="auto"/>
              <w:right w:val="nil"/>
            </w:tcBorders>
            <w:shd w:val="clear" w:color="auto" w:fill="404040" w:themeFill="text1" w:themeFillTint="BF"/>
            <w:noWrap/>
            <w:vAlign w:val="center"/>
            <w:hideMark/>
          </w:tcPr>
          <w:p w14:paraId="03FE7BB0"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 </w:t>
            </w:r>
          </w:p>
        </w:tc>
      </w:tr>
      <w:tr w:rsidR="0009748D" w:rsidRPr="00E97042" w14:paraId="1D5F8C9E"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0EB842EE"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30 MHz and below</w:t>
            </w:r>
          </w:p>
        </w:tc>
        <w:tc>
          <w:tcPr>
            <w:tcW w:w="1082" w:type="dxa"/>
            <w:tcBorders>
              <w:top w:val="nil"/>
              <w:left w:val="nil"/>
              <w:bottom w:val="single" w:sz="8" w:space="0" w:color="auto"/>
              <w:right w:val="single" w:sz="8" w:space="0" w:color="auto"/>
            </w:tcBorders>
            <w:shd w:val="clear" w:color="000000" w:fill="FFE784"/>
            <w:noWrap/>
            <w:vAlign w:val="center"/>
            <w:hideMark/>
          </w:tcPr>
          <w:p w14:paraId="4DEC709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98%</w:t>
            </w:r>
          </w:p>
        </w:tc>
        <w:tc>
          <w:tcPr>
            <w:tcW w:w="961" w:type="dxa"/>
            <w:tcBorders>
              <w:top w:val="nil"/>
              <w:left w:val="nil"/>
              <w:bottom w:val="single" w:sz="8" w:space="0" w:color="auto"/>
              <w:right w:val="single" w:sz="8" w:space="0" w:color="auto"/>
            </w:tcBorders>
            <w:shd w:val="clear" w:color="000000" w:fill="FFE683"/>
            <w:noWrap/>
            <w:vAlign w:val="center"/>
            <w:hideMark/>
          </w:tcPr>
          <w:p w14:paraId="02A81951"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108%</w:t>
            </w:r>
          </w:p>
        </w:tc>
        <w:tc>
          <w:tcPr>
            <w:tcW w:w="888" w:type="dxa"/>
            <w:tcBorders>
              <w:top w:val="nil"/>
              <w:left w:val="nil"/>
              <w:bottom w:val="single" w:sz="8" w:space="0" w:color="auto"/>
              <w:right w:val="single" w:sz="8" w:space="0" w:color="auto"/>
            </w:tcBorders>
            <w:shd w:val="clear" w:color="000000" w:fill="EAE482"/>
            <w:noWrap/>
            <w:vAlign w:val="center"/>
            <w:hideMark/>
          </w:tcPr>
          <w:p w14:paraId="05DFDE58"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19%</w:t>
            </w:r>
          </w:p>
        </w:tc>
        <w:tc>
          <w:tcPr>
            <w:tcW w:w="842" w:type="dxa"/>
            <w:tcBorders>
              <w:top w:val="nil"/>
              <w:left w:val="nil"/>
              <w:bottom w:val="single" w:sz="8" w:space="0" w:color="auto"/>
              <w:right w:val="single" w:sz="8" w:space="0" w:color="auto"/>
            </w:tcBorders>
            <w:shd w:val="clear" w:color="000000" w:fill="FFE784"/>
            <w:noWrap/>
            <w:vAlign w:val="center"/>
            <w:hideMark/>
          </w:tcPr>
          <w:p w14:paraId="786185FF"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93%</w:t>
            </w:r>
          </w:p>
        </w:tc>
        <w:tc>
          <w:tcPr>
            <w:tcW w:w="918" w:type="dxa"/>
            <w:tcBorders>
              <w:top w:val="nil"/>
              <w:left w:val="nil"/>
              <w:bottom w:val="single" w:sz="8" w:space="0" w:color="auto"/>
              <w:right w:val="single" w:sz="8" w:space="0" w:color="auto"/>
            </w:tcBorders>
            <w:shd w:val="clear" w:color="000000" w:fill="FFE784"/>
            <w:noWrap/>
            <w:vAlign w:val="center"/>
            <w:hideMark/>
          </w:tcPr>
          <w:p w14:paraId="505E8907"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102%</w:t>
            </w:r>
          </w:p>
        </w:tc>
        <w:tc>
          <w:tcPr>
            <w:tcW w:w="908" w:type="dxa"/>
            <w:tcBorders>
              <w:top w:val="nil"/>
              <w:left w:val="nil"/>
              <w:bottom w:val="single" w:sz="8" w:space="0" w:color="auto"/>
              <w:right w:val="single" w:sz="8" w:space="0" w:color="auto"/>
            </w:tcBorders>
            <w:shd w:val="clear" w:color="auto" w:fill="auto"/>
            <w:noWrap/>
            <w:vAlign w:val="center"/>
            <w:hideMark/>
          </w:tcPr>
          <w:p w14:paraId="55BBB6C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94%</w:t>
            </w:r>
          </w:p>
        </w:tc>
      </w:tr>
      <w:tr w:rsidR="0009748D" w:rsidRPr="00E97042" w14:paraId="025B732A"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75A25632"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&gt;30 to 70 MHz</w:t>
            </w:r>
          </w:p>
        </w:tc>
        <w:tc>
          <w:tcPr>
            <w:tcW w:w="1082" w:type="dxa"/>
            <w:tcBorders>
              <w:top w:val="nil"/>
              <w:left w:val="nil"/>
              <w:bottom w:val="single" w:sz="8" w:space="0" w:color="auto"/>
              <w:right w:val="single" w:sz="8" w:space="0" w:color="auto"/>
            </w:tcBorders>
            <w:shd w:val="clear" w:color="000000" w:fill="FFE784"/>
            <w:noWrap/>
            <w:vAlign w:val="center"/>
            <w:hideMark/>
          </w:tcPr>
          <w:p w14:paraId="6FD1C35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98%</w:t>
            </w:r>
          </w:p>
        </w:tc>
        <w:tc>
          <w:tcPr>
            <w:tcW w:w="961" w:type="dxa"/>
            <w:tcBorders>
              <w:top w:val="nil"/>
              <w:left w:val="nil"/>
              <w:bottom w:val="single" w:sz="8" w:space="0" w:color="auto"/>
              <w:right w:val="single" w:sz="8" w:space="0" w:color="auto"/>
            </w:tcBorders>
            <w:shd w:val="clear" w:color="000000" w:fill="89C97D"/>
            <w:noWrap/>
            <w:vAlign w:val="center"/>
            <w:hideMark/>
          </w:tcPr>
          <w:p w14:paraId="5D3F87CB"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-60%</w:t>
            </w:r>
          </w:p>
        </w:tc>
        <w:tc>
          <w:tcPr>
            <w:tcW w:w="888" w:type="dxa"/>
            <w:tcBorders>
              <w:top w:val="nil"/>
              <w:left w:val="nil"/>
              <w:bottom w:val="single" w:sz="8" w:space="0" w:color="auto"/>
              <w:right w:val="single" w:sz="8" w:space="0" w:color="auto"/>
            </w:tcBorders>
            <w:shd w:val="clear" w:color="000000" w:fill="84C77C"/>
            <w:noWrap/>
            <w:vAlign w:val="center"/>
            <w:hideMark/>
          </w:tcPr>
          <w:p w14:paraId="6949509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-64%</w:t>
            </w:r>
          </w:p>
        </w:tc>
        <w:tc>
          <w:tcPr>
            <w:tcW w:w="842" w:type="dxa"/>
            <w:tcBorders>
              <w:top w:val="nil"/>
              <w:left w:val="nil"/>
              <w:bottom w:val="single" w:sz="8" w:space="0" w:color="auto"/>
              <w:right w:val="single" w:sz="8" w:space="0" w:color="auto"/>
            </w:tcBorders>
            <w:shd w:val="clear" w:color="000000" w:fill="B2D47F"/>
            <w:noWrap/>
            <w:vAlign w:val="center"/>
            <w:hideMark/>
          </w:tcPr>
          <w:p w14:paraId="3CA55C2A"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-27%</w:t>
            </w:r>
          </w:p>
        </w:tc>
        <w:tc>
          <w:tcPr>
            <w:tcW w:w="918" w:type="dxa"/>
            <w:tcBorders>
              <w:top w:val="nil"/>
              <w:left w:val="nil"/>
              <w:bottom w:val="single" w:sz="8" w:space="0" w:color="auto"/>
              <w:right w:val="single" w:sz="8" w:space="0" w:color="auto"/>
            </w:tcBorders>
            <w:shd w:val="clear" w:color="000000" w:fill="FFEB84"/>
            <w:noWrap/>
            <w:vAlign w:val="center"/>
            <w:hideMark/>
          </w:tcPr>
          <w:p w14:paraId="2ECD90A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36%</w:t>
            </w:r>
          </w:p>
        </w:tc>
        <w:tc>
          <w:tcPr>
            <w:tcW w:w="908" w:type="dxa"/>
            <w:tcBorders>
              <w:top w:val="nil"/>
              <w:left w:val="nil"/>
              <w:bottom w:val="single" w:sz="8" w:space="0" w:color="auto"/>
              <w:right w:val="single" w:sz="8" w:space="0" w:color="auto"/>
            </w:tcBorders>
            <w:shd w:val="clear" w:color="auto" w:fill="auto"/>
            <w:noWrap/>
            <w:vAlign w:val="center"/>
            <w:hideMark/>
          </w:tcPr>
          <w:p w14:paraId="1F32FE88"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-8%</w:t>
            </w:r>
          </w:p>
        </w:tc>
      </w:tr>
      <w:tr w:rsidR="0009748D" w:rsidRPr="00E97042" w14:paraId="5B58BDC6"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095DB7E0"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&gt;70 to 399.9 MHz</w:t>
            </w:r>
          </w:p>
        </w:tc>
        <w:tc>
          <w:tcPr>
            <w:tcW w:w="1082" w:type="dxa"/>
            <w:tcBorders>
              <w:top w:val="nil"/>
              <w:left w:val="nil"/>
              <w:bottom w:val="single" w:sz="8" w:space="0" w:color="auto"/>
              <w:right w:val="single" w:sz="8" w:space="0" w:color="auto"/>
            </w:tcBorders>
            <w:shd w:val="clear" w:color="000000" w:fill="FFEB84"/>
            <w:noWrap/>
            <w:vAlign w:val="center"/>
            <w:hideMark/>
          </w:tcPr>
          <w:p w14:paraId="6B63C6E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42%</w:t>
            </w:r>
          </w:p>
        </w:tc>
        <w:tc>
          <w:tcPr>
            <w:tcW w:w="961" w:type="dxa"/>
            <w:tcBorders>
              <w:top w:val="nil"/>
              <w:left w:val="nil"/>
              <w:bottom w:val="single" w:sz="8" w:space="0" w:color="auto"/>
              <w:right w:val="single" w:sz="8" w:space="0" w:color="auto"/>
            </w:tcBorders>
            <w:shd w:val="clear" w:color="000000" w:fill="FAE983"/>
            <w:noWrap/>
            <w:vAlign w:val="center"/>
            <w:hideMark/>
          </w:tcPr>
          <w:p w14:paraId="6DD22AB4"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32%</w:t>
            </w:r>
          </w:p>
        </w:tc>
        <w:tc>
          <w:tcPr>
            <w:tcW w:w="888" w:type="dxa"/>
            <w:tcBorders>
              <w:top w:val="nil"/>
              <w:left w:val="nil"/>
              <w:bottom w:val="single" w:sz="8" w:space="0" w:color="auto"/>
              <w:right w:val="single" w:sz="8" w:space="0" w:color="auto"/>
            </w:tcBorders>
            <w:shd w:val="clear" w:color="000000" w:fill="E6E382"/>
            <w:noWrap/>
            <w:vAlign w:val="center"/>
            <w:hideMark/>
          </w:tcPr>
          <w:p w14:paraId="32BD1F1F"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16%</w:t>
            </w:r>
          </w:p>
        </w:tc>
        <w:tc>
          <w:tcPr>
            <w:tcW w:w="842" w:type="dxa"/>
            <w:tcBorders>
              <w:top w:val="nil"/>
              <w:left w:val="nil"/>
              <w:bottom w:val="single" w:sz="8" w:space="0" w:color="auto"/>
              <w:right w:val="single" w:sz="8" w:space="0" w:color="auto"/>
            </w:tcBorders>
            <w:shd w:val="clear" w:color="000000" w:fill="F4E883"/>
            <w:noWrap/>
            <w:vAlign w:val="center"/>
            <w:hideMark/>
          </w:tcPr>
          <w:p w14:paraId="1C5FB91D"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28%</w:t>
            </w:r>
          </w:p>
        </w:tc>
        <w:tc>
          <w:tcPr>
            <w:tcW w:w="918" w:type="dxa"/>
            <w:tcBorders>
              <w:top w:val="nil"/>
              <w:left w:val="nil"/>
              <w:bottom w:val="single" w:sz="8" w:space="0" w:color="auto"/>
              <w:right w:val="single" w:sz="8" w:space="0" w:color="auto"/>
            </w:tcBorders>
            <w:shd w:val="clear" w:color="000000" w:fill="D9E081"/>
            <w:noWrap/>
            <w:vAlign w:val="center"/>
            <w:hideMark/>
          </w:tcPr>
          <w:p w14:paraId="1F4D40A3"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w:t>
            </w:r>
          </w:p>
        </w:tc>
        <w:tc>
          <w:tcPr>
            <w:tcW w:w="908" w:type="dxa"/>
            <w:tcBorders>
              <w:top w:val="nil"/>
              <w:left w:val="nil"/>
              <w:bottom w:val="single" w:sz="8" w:space="0" w:color="auto"/>
              <w:right w:val="single" w:sz="8" w:space="0" w:color="auto"/>
            </w:tcBorders>
            <w:shd w:val="clear" w:color="auto" w:fill="auto"/>
            <w:noWrap/>
            <w:vAlign w:val="center"/>
            <w:hideMark/>
          </w:tcPr>
          <w:p w14:paraId="71B58268"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21%</w:t>
            </w:r>
          </w:p>
        </w:tc>
      </w:tr>
      <w:tr w:rsidR="0009748D" w:rsidRPr="00E97042" w14:paraId="139C96DA"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767547A4"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&gt;399.9 to 403 MHz</w:t>
            </w:r>
          </w:p>
        </w:tc>
        <w:tc>
          <w:tcPr>
            <w:tcW w:w="1082" w:type="dxa"/>
            <w:tcBorders>
              <w:top w:val="nil"/>
              <w:left w:val="nil"/>
              <w:bottom w:val="single" w:sz="8" w:space="0" w:color="auto"/>
              <w:right w:val="single" w:sz="8" w:space="0" w:color="auto"/>
            </w:tcBorders>
            <w:shd w:val="clear" w:color="000000" w:fill="FA8471"/>
            <w:noWrap/>
            <w:vAlign w:val="center"/>
            <w:hideMark/>
          </w:tcPr>
          <w:p w14:paraId="0C4A624E"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1450%</w:t>
            </w:r>
          </w:p>
        </w:tc>
        <w:tc>
          <w:tcPr>
            <w:tcW w:w="961" w:type="dxa"/>
            <w:tcBorders>
              <w:top w:val="nil"/>
              <w:left w:val="nil"/>
              <w:bottom w:val="single" w:sz="8" w:space="0" w:color="auto"/>
              <w:right w:val="single" w:sz="8" w:space="0" w:color="auto"/>
            </w:tcBorders>
            <w:shd w:val="clear" w:color="000000" w:fill="FFEA84"/>
            <w:noWrap/>
            <w:vAlign w:val="center"/>
            <w:hideMark/>
          </w:tcPr>
          <w:p w14:paraId="1CAA0A67"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50%</w:t>
            </w:r>
          </w:p>
        </w:tc>
        <w:tc>
          <w:tcPr>
            <w:tcW w:w="888" w:type="dxa"/>
            <w:tcBorders>
              <w:top w:val="nil"/>
              <w:left w:val="nil"/>
              <w:bottom w:val="single" w:sz="8" w:space="0" w:color="auto"/>
              <w:right w:val="single" w:sz="8" w:space="0" w:color="auto"/>
            </w:tcBorders>
            <w:shd w:val="clear" w:color="000000" w:fill="D3DE81"/>
            <w:noWrap/>
            <w:vAlign w:val="center"/>
            <w:hideMark/>
          </w:tcPr>
          <w:p w14:paraId="425DD08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0%</w:t>
            </w:r>
          </w:p>
        </w:tc>
        <w:tc>
          <w:tcPr>
            <w:tcW w:w="842" w:type="dxa"/>
            <w:tcBorders>
              <w:top w:val="nil"/>
              <w:left w:val="nil"/>
              <w:bottom w:val="single" w:sz="8" w:space="0" w:color="auto"/>
              <w:right w:val="single" w:sz="8" w:space="0" w:color="auto"/>
            </w:tcBorders>
            <w:shd w:val="clear" w:color="000000" w:fill="E9E482"/>
            <w:noWrap/>
            <w:vAlign w:val="center"/>
            <w:hideMark/>
          </w:tcPr>
          <w:p w14:paraId="2414E2D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18%</w:t>
            </w:r>
          </w:p>
        </w:tc>
        <w:tc>
          <w:tcPr>
            <w:tcW w:w="918" w:type="dxa"/>
            <w:tcBorders>
              <w:top w:val="nil"/>
              <w:left w:val="nil"/>
              <w:bottom w:val="single" w:sz="8" w:space="0" w:color="auto"/>
              <w:right w:val="single" w:sz="8" w:space="0" w:color="auto"/>
            </w:tcBorders>
            <w:shd w:val="clear" w:color="000000" w:fill="B0D47F"/>
            <w:noWrap/>
            <w:vAlign w:val="center"/>
            <w:hideMark/>
          </w:tcPr>
          <w:p w14:paraId="504E52BA"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-28%</w:t>
            </w:r>
          </w:p>
        </w:tc>
        <w:tc>
          <w:tcPr>
            <w:tcW w:w="908" w:type="dxa"/>
            <w:tcBorders>
              <w:top w:val="nil"/>
              <w:left w:val="nil"/>
              <w:bottom w:val="single" w:sz="8" w:space="0" w:color="auto"/>
              <w:right w:val="single" w:sz="8" w:space="0" w:color="auto"/>
            </w:tcBorders>
            <w:shd w:val="clear" w:color="auto" w:fill="auto"/>
            <w:noWrap/>
            <w:vAlign w:val="center"/>
            <w:hideMark/>
          </w:tcPr>
          <w:p w14:paraId="67C88B80"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26%</w:t>
            </w:r>
          </w:p>
        </w:tc>
      </w:tr>
      <w:tr w:rsidR="0009748D" w:rsidRPr="00E97042" w14:paraId="1F0A1A5E"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7953EB81"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&gt;403 to 520 MHz</w:t>
            </w:r>
          </w:p>
        </w:tc>
        <w:tc>
          <w:tcPr>
            <w:tcW w:w="1082" w:type="dxa"/>
            <w:tcBorders>
              <w:top w:val="nil"/>
              <w:left w:val="nil"/>
              <w:bottom w:val="single" w:sz="8" w:space="0" w:color="auto"/>
              <w:right w:val="single" w:sz="8" w:space="0" w:color="auto"/>
            </w:tcBorders>
            <w:shd w:val="clear" w:color="000000" w:fill="FFE784"/>
            <w:noWrap/>
            <w:vAlign w:val="center"/>
            <w:hideMark/>
          </w:tcPr>
          <w:p w14:paraId="237EAA8D"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101%</w:t>
            </w:r>
          </w:p>
        </w:tc>
        <w:tc>
          <w:tcPr>
            <w:tcW w:w="961" w:type="dxa"/>
            <w:tcBorders>
              <w:top w:val="nil"/>
              <w:left w:val="nil"/>
              <w:bottom w:val="single" w:sz="8" w:space="0" w:color="auto"/>
              <w:right w:val="single" w:sz="8" w:space="0" w:color="auto"/>
            </w:tcBorders>
            <w:shd w:val="clear" w:color="000000" w:fill="FFEB84"/>
            <w:noWrap/>
            <w:vAlign w:val="center"/>
            <w:hideMark/>
          </w:tcPr>
          <w:p w14:paraId="4D61B24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42%</w:t>
            </w:r>
          </w:p>
        </w:tc>
        <w:tc>
          <w:tcPr>
            <w:tcW w:w="888" w:type="dxa"/>
            <w:tcBorders>
              <w:top w:val="nil"/>
              <w:left w:val="nil"/>
              <w:bottom w:val="single" w:sz="8" w:space="0" w:color="auto"/>
              <w:right w:val="single" w:sz="8" w:space="0" w:color="auto"/>
            </w:tcBorders>
            <w:shd w:val="clear" w:color="000000" w:fill="FBEA83"/>
            <w:noWrap/>
            <w:vAlign w:val="center"/>
            <w:hideMark/>
          </w:tcPr>
          <w:p w14:paraId="3800F31C"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33%</w:t>
            </w:r>
          </w:p>
        </w:tc>
        <w:tc>
          <w:tcPr>
            <w:tcW w:w="842" w:type="dxa"/>
            <w:tcBorders>
              <w:top w:val="nil"/>
              <w:left w:val="nil"/>
              <w:bottom w:val="single" w:sz="8" w:space="0" w:color="auto"/>
              <w:right w:val="single" w:sz="8" w:space="0" w:color="auto"/>
            </w:tcBorders>
            <w:shd w:val="clear" w:color="000000" w:fill="F0E683"/>
            <w:noWrap/>
            <w:vAlign w:val="center"/>
            <w:hideMark/>
          </w:tcPr>
          <w:p w14:paraId="177B3E2F"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24%</w:t>
            </w:r>
          </w:p>
        </w:tc>
        <w:tc>
          <w:tcPr>
            <w:tcW w:w="918" w:type="dxa"/>
            <w:tcBorders>
              <w:top w:val="nil"/>
              <w:left w:val="nil"/>
              <w:bottom w:val="single" w:sz="8" w:space="0" w:color="auto"/>
              <w:right w:val="single" w:sz="8" w:space="0" w:color="auto"/>
            </w:tcBorders>
            <w:shd w:val="clear" w:color="000000" w:fill="F7E883"/>
            <w:noWrap/>
            <w:vAlign w:val="center"/>
            <w:hideMark/>
          </w:tcPr>
          <w:p w14:paraId="6E0D4FB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30%</w:t>
            </w:r>
          </w:p>
        </w:tc>
        <w:tc>
          <w:tcPr>
            <w:tcW w:w="908" w:type="dxa"/>
            <w:tcBorders>
              <w:top w:val="nil"/>
              <w:left w:val="nil"/>
              <w:bottom w:val="single" w:sz="8" w:space="0" w:color="auto"/>
              <w:right w:val="single" w:sz="8" w:space="0" w:color="auto"/>
            </w:tcBorders>
            <w:shd w:val="clear" w:color="auto" w:fill="auto"/>
            <w:noWrap/>
            <w:vAlign w:val="center"/>
            <w:hideMark/>
          </w:tcPr>
          <w:p w14:paraId="0FB7F3A1"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32%</w:t>
            </w:r>
          </w:p>
        </w:tc>
      </w:tr>
      <w:tr w:rsidR="0009748D" w:rsidRPr="00E97042" w14:paraId="001DF363"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61A2486F"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lastRenderedPageBreak/>
              <w:t>&gt;520 to 960 MHz</w:t>
            </w:r>
          </w:p>
        </w:tc>
        <w:tc>
          <w:tcPr>
            <w:tcW w:w="1082" w:type="dxa"/>
            <w:tcBorders>
              <w:top w:val="nil"/>
              <w:left w:val="nil"/>
              <w:bottom w:val="single" w:sz="8" w:space="0" w:color="auto"/>
              <w:right w:val="single" w:sz="8" w:space="0" w:color="auto"/>
            </w:tcBorders>
            <w:shd w:val="clear" w:color="000000" w:fill="FFEB84"/>
            <w:noWrap/>
            <w:vAlign w:val="center"/>
            <w:hideMark/>
          </w:tcPr>
          <w:p w14:paraId="29C1C4AF"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43%</w:t>
            </w:r>
          </w:p>
        </w:tc>
        <w:tc>
          <w:tcPr>
            <w:tcW w:w="961" w:type="dxa"/>
            <w:tcBorders>
              <w:top w:val="nil"/>
              <w:left w:val="nil"/>
              <w:bottom w:val="single" w:sz="8" w:space="0" w:color="auto"/>
              <w:right w:val="single" w:sz="8" w:space="0" w:color="auto"/>
            </w:tcBorders>
            <w:shd w:val="clear" w:color="000000" w:fill="64BE7B"/>
            <w:noWrap/>
            <w:vAlign w:val="center"/>
            <w:hideMark/>
          </w:tcPr>
          <w:p w14:paraId="09A338CE"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-90%</w:t>
            </w:r>
          </w:p>
        </w:tc>
        <w:tc>
          <w:tcPr>
            <w:tcW w:w="888" w:type="dxa"/>
            <w:tcBorders>
              <w:top w:val="nil"/>
              <w:left w:val="nil"/>
              <w:bottom w:val="single" w:sz="8" w:space="0" w:color="auto"/>
              <w:right w:val="single" w:sz="8" w:space="0" w:color="auto"/>
            </w:tcBorders>
            <w:shd w:val="clear" w:color="000000" w:fill="6AC07B"/>
            <w:noWrap/>
            <w:vAlign w:val="center"/>
            <w:hideMark/>
          </w:tcPr>
          <w:p w14:paraId="55C6F86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-85%</w:t>
            </w:r>
          </w:p>
        </w:tc>
        <w:tc>
          <w:tcPr>
            <w:tcW w:w="842" w:type="dxa"/>
            <w:tcBorders>
              <w:top w:val="nil"/>
              <w:left w:val="nil"/>
              <w:bottom w:val="single" w:sz="8" w:space="0" w:color="auto"/>
              <w:right w:val="single" w:sz="8" w:space="0" w:color="auto"/>
            </w:tcBorders>
            <w:shd w:val="clear" w:color="000000" w:fill="7AC47C"/>
            <w:noWrap/>
            <w:vAlign w:val="center"/>
            <w:hideMark/>
          </w:tcPr>
          <w:p w14:paraId="4D34386C"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-72%</w:t>
            </w:r>
          </w:p>
        </w:tc>
        <w:tc>
          <w:tcPr>
            <w:tcW w:w="918" w:type="dxa"/>
            <w:tcBorders>
              <w:top w:val="nil"/>
              <w:left w:val="nil"/>
              <w:bottom w:val="single" w:sz="8" w:space="0" w:color="auto"/>
              <w:right w:val="single" w:sz="8" w:space="0" w:color="auto"/>
            </w:tcBorders>
            <w:shd w:val="clear" w:color="000000" w:fill="78C47C"/>
            <w:noWrap/>
            <w:vAlign w:val="center"/>
            <w:hideMark/>
          </w:tcPr>
          <w:p w14:paraId="67655921"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-74%</w:t>
            </w:r>
          </w:p>
        </w:tc>
        <w:tc>
          <w:tcPr>
            <w:tcW w:w="908" w:type="dxa"/>
            <w:tcBorders>
              <w:top w:val="nil"/>
              <w:left w:val="nil"/>
              <w:bottom w:val="single" w:sz="8" w:space="0" w:color="auto"/>
              <w:right w:val="single" w:sz="8" w:space="0" w:color="auto"/>
            </w:tcBorders>
            <w:shd w:val="clear" w:color="auto" w:fill="auto"/>
            <w:noWrap/>
            <w:vAlign w:val="center"/>
            <w:hideMark/>
          </w:tcPr>
          <w:p w14:paraId="36193549"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-80%</w:t>
            </w:r>
          </w:p>
        </w:tc>
      </w:tr>
      <w:tr w:rsidR="0009748D" w:rsidRPr="00E97042" w14:paraId="18CDFB58"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180EC37B"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&gt;960 to 2,690 MHz</w:t>
            </w:r>
          </w:p>
        </w:tc>
        <w:tc>
          <w:tcPr>
            <w:tcW w:w="1082" w:type="dxa"/>
            <w:tcBorders>
              <w:top w:val="nil"/>
              <w:left w:val="nil"/>
              <w:bottom w:val="single" w:sz="8" w:space="0" w:color="auto"/>
              <w:right w:val="single" w:sz="8" w:space="0" w:color="auto"/>
            </w:tcBorders>
            <w:shd w:val="clear" w:color="000000" w:fill="FFE984"/>
            <w:noWrap/>
            <w:vAlign w:val="center"/>
            <w:hideMark/>
          </w:tcPr>
          <w:p w14:paraId="096E071A"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76%</w:t>
            </w:r>
          </w:p>
        </w:tc>
        <w:tc>
          <w:tcPr>
            <w:tcW w:w="961" w:type="dxa"/>
            <w:tcBorders>
              <w:top w:val="nil"/>
              <w:left w:val="nil"/>
              <w:bottom w:val="single" w:sz="8" w:space="0" w:color="auto"/>
              <w:right w:val="single" w:sz="8" w:space="0" w:color="auto"/>
            </w:tcBorders>
            <w:shd w:val="clear" w:color="000000" w:fill="DEE182"/>
            <w:noWrap/>
            <w:vAlign w:val="center"/>
            <w:hideMark/>
          </w:tcPr>
          <w:p w14:paraId="5D1321E1"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10%</w:t>
            </w:r>
          </w:p>
        </w:tc>
        <w:tc>
          <w:tcPr>
            <w:tcW w:w="888" w:type="dxa"/>
            <w:tcBorders>
              <w:top w:val="nil"/>
              <w:left w:val="nil"/>
              <w:bottom w:val="single" w:sz="8" w:space="0" w:color="auto"/>
              <w:right w:val="single" w:sz="8" w:space="0" w:color="auto"/>
            </w:tcBorders>
            <w:shd w:val="clear" w:color="000000" w:fill="CEDD81"/>
            <w:noWrap/>
            <w:vAlign w:val="center"/>
            <w:hideMark/>
          </w:tcPr>
          <w:p w14:paraId="420791EE"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w:t>
            </w:r>
          </w:p>
        </w:tc>
        <w:tc>
          <w:tcPr>
            <w:tcW w:w="842" w:type="dxa"/>
            <w:tcBorders>
              <w:top w:val="nil"/>
              <w:left w:val="nil"/>
              <w:bottom w:val="single" w:sz="8" w:space="0" w:color="auto"/>
              <w:right w:val="single" w:sz="8" w:space="0" w:color="auto"/>
            </w:tcBorders>
            <w:shd w:val="clear" w:color="000000" w:fill="FFDF82"/>
            <w:noWrap/>
            <w:vAlign w:val="center"/>
            <w:hideMark/>
          </w:tcPr>
          <w:p w14:paraId="377637AB"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209%</w:t>
            </w:r>
          </w:p>
        </w:tc>
        <w:tc>
          <w:tcPr>
            <w:tcW w:w="918" w:type="dxa"/>
            <w:tcBorders>
              <w:top w:val="nil"/>
              <w:left w:val="nil"/>
              <w:bottom w:val="single" w:sz="8" w:space="0" w:color="auto"/>
              <w:right w:val="single" w:sz="8" w:space="0" w:color="auto"/>
            </w:tcBorders>
            <w:shd w:val="clear" w:color="000000" w:fill="FFEB84"/>
            <w:noWrap/>
            <w:vAlign w:val="center"/>
            <w:hideMark/>
          </w:tcPr>
          <w:p w14:paraId="4D427DA7"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42%</w:t>
            </w:r>
          </w:p>
        </w:tc>
        <w:tc>
          <w:tcPr>
            <w:tcW w:w="908" w:type="dxa"/>
            <w:tcBorders>
              <w:top w:val="nil"/>
              <w:left w:val="nil"/>
              <w:bottom w:val="single" w:sz="8" w:space="0" w:color="auto"/>
              <w:right w:val="single" w:sz="8" w:space="0" w:color="auto"/>
            </w:tcBorders>
            <w:shd w:val="clear" w:color="auto" w:fill="auto"/>
            <w:noWrap/>
            <w:vAlign w:val="center"/>
            <w:hideMark/>
          </w:tcPr>
          <w:p w14:paraId="0ADB440A"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93%</w:t>
            </w:r>
          </w:p>
        </w:tc>
      </w:tr>
      <w:tr w:rsidR="0009748D" w:rsidRPr="00E97042" w14:paraId="348B6AA7"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31300BED"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&gt;2,690 to 5,000 MHz</w:t>
            </w:r>
          </w:p>
        </w:tc>
        <w:tc>
          <w:tcPr>
            <w:tcW w:w="1082" w:type="dxa"/>
            <w:tcBorders>
              <w:top w:val="nil"/>
              <w:left w:val="nil"/>
              <w:bottom w:val="single" w:sz="8" w:space="0" w:color="auto"/>
              <w:right w:val="single" w:sz="8" w:space="0" w:color="auto"/>
            </w:tcBorders>
            <w:shd w:val="clear" w:color="000000" w:fill="FFE483"/>
            <w:noWrap/>
            <w:vAlign w:val="center"/>
            <w:hideMark/>
          </w:tcPr>
          <w:p w14:paraId="1B465C57"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133%</w:t>
            </w:r>
          </w:p>
        </w:tc>
        <w:tc>
          <w:tcPr>
            <w:tcW w:w="961" w:type="dxa"/>
            <w:tcBorders>
              <w:top w:val="nil"/>
              <w:left w:val="nil"/>
              <w:bottom w:val="single" w:sz="8" w:space="0" w:color="auto"/>
              <w:right w:val="single" w:sz="8" w:space="0" w:color="auto"/>
            </w:tcBorders>
            <w:shd w:val="clear" w:color="000000" w:fill="FB9073"/>
            <w:noWrap/>
            <w:vAlign w:val="center"/>
            <w:hideMark/>
          </w:tcPr>
          <w:p w14:paraId="755135E4"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1287%</w:t>
            </w:r>
          </w:p>
        </w:tc>
        <w:tc>
          <w:tcPr>
            <w:tcW w:w="888" w:type="dxa"/>
            <w:tcBorders>
              <w:top w:val="nil"/>
              <w:left w:val="nil"/>
              <w:bottom w:val="single" w:sz="8" w:space="0" w:color="auto"/>
              <w:right w:val="single" w:sz="8" w:space="0" w:color="auto"/>
            </w:tcBorders>
            <w:shd w:val="clear" w:color="000000" w:fill="F8696B"/>
            <w:noWrap/>
            <w:vAlign w:val="center"/>
            <w:hideMark/>
          </w:tcPr>
          <w:p w14:paraId="478D6630"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1806%</w:t>
            </w:r>
          </w:p>
        </w:tc>
        <w:tc>
          <w:tcPr>
            <w:tcW w:w="842" w:type="dxa"/>
            <w:tcBorders>
              <w:top w:val="nil"/>
              <w:left w:val="nil"/>
              <w:bottom w:val="single" w:sz="8" w:space="0" w:color="auto"/>
              <w:right w:val="single" w:sz="8" w:space="0" w:color="auto"/>
            </w:tcBorders>
            <w:shd w:val="clear" w:color="000000" w:fill="FDBA7B"/>
            <w:noWrap/>
            <w:vAlign w:val="center"/>
            <w:hideMark/>
          </w:tcPr>
          <w:p w14:paraId="16960ABE"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704%</w:t>
            </w:r>
          </w:p>
        </w:tc>
        <w:tc>
          <w:tcPr>
            <w:tcW w:w="918" w:type="dxa"/>
            <w:tcBorders>
              <w:top w:val="nil"/>
              <w:left w:val="nil"/>
              <w:bottom w:val="single" w:sz="8" w:space="0" w:color="auto"/>
              <w:right w:val="single" w:sz="8" w:space="0" w:color="auto"/>
            </w:tcBorders>
            <w:shd w:val="clear" w:color="000000" w:fill="FEC77D"/>
            <w:noWrap/>
            <w:vAlign w:val="center"/>
            <w:hideMark/>
          </w:tcPr>
          <w:p w14:paraId="1526E38F"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540%</w:t>
            </w:r>
          </w:p>
        </w:tc>
        <w:tc>
          <w:tcPr>
            <w:tcW w:w="908" w:type="dxa"/>
            <w:tcBorders>
              <w:top w:val="nil"/>
              <w:left w:val="nil"/>
              <w:bottom w:val="single" w:sz="8" w:space="0" w:color="auto"/>
              <w:right w:val="single" w:sz="8" w:space="0" w:color="auto"/>
            </w:tcBorders>
            <w:shd w:val="clear" w:color="auto" w:fill="auto"/>
            <w:noWrap/>
            <w:vAlign w:val="center"/>
            <w:hideMark/>
          </w:tcPr>
          <w:p w14:paraId="0FF491D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781%</w:t>
            </w:r>
          </w:p>
        </w:tc>
      </w:tr>
      <w:tr w:rsidR="0009748D" w:rsidRPr="00E97042" w14:paraId="02EE3012"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63874D13"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&gt;5.0 to 8.5 GHz</w:t>
            </w:r>
          </w:p>
        </w:tc>
        <w:tc>
          <w:tcPr>
            <w:tcW w:w="1082" w:type="dxa"/>
            <w:tcBorders>
              <w:top w:val="nil"/>
              <w:left w:val="nil"/>
              <w:bottom w:val="single" w:sz="8" w:space="0" w:color="auto"/>
              <w:right w:val="single" w:sz="8" w:space="0" w:color="auto"/>
            </w:tcBorders>
            <w:shd w:val="clear" w:color="000000" w:fill="D6DF81"/>
            <w:noWrap/>
            <w:vAlign w:val="center"/>
            <w:hideMark/>
          </w:tcPr>
          <w:p w14:paraId="58A4CBE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w:t>
            </w:r>
          </w:p>
        </w:tc>
        <w:tc>
          <w:tcPr>
            <w:tcW w:w="961" w:type="dxa"/>
            <w:tcBorders>
              <w:top w:val="nil"/>
              <w:left w:val="nil"/>
              <w:bottom w:val="single" w:sz="8" w:space="0" w:color="auto"/>
              <w:right w:val="single" w:sz="8" w:space="0" w:color="auto"/>
            </w:tcBorders>
            <w:shd w:val="clear" w:color="000000" w:fill="B9D67F"/>
            <w:noWrap/>
            <w:vAlign w:val="center"/>
            <w:hideMark/>
          </w:tcPr>
          <w:p w14:paraId="452E9237"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-21%</w:t>
            </w:r>
          </w:p>
        </w:tc>
        <w:tc>
          <w:tcPr>
            <w:tcW w:w="888" w:type="dxa"/>
            <w:tcBorders>
              <w:top w:val="nil"/>
              <w:left w:val="nil"/>
              <w:bottom w:val="single" w:sz="8" w:space="0" w:color="auto"/>
              <w:right w:val="single" w:sz="8" w:space="0" w:color="auto"/>
            </w:tcBorders>
            <w:shd w:val="clear" w:color="000000" w:fill="CDDC81"/>
            <w:noWrap/>
            <w:vAlign w:val="center"/>
            <w:hideMark/>
          </w:tcPr>
          <w:p w14:paraId="26AC1E2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w:t>
            </w:r>
          </w:p>
        </w:tc>
        <w:tc>
          <w:tcPr>
            <w:tcW w:w="842" w:type="dxa"/>
            <w:tcBorders>
              <w:top w:val="nil"/>
              <w:left w:val="nil"/>
              <w:bottom w:val="single" w:sz="8" w:space="0" w:color="auto"/>
              <w:right w:val="single" w:sz="8" w:space="0" w:color="auto"/>
            </w:tcBorders>
            <w:shd w:val="clear" w:color="000000" w:fill="FFE984"/>
            <w:noWrap/>
            <w:vAlign w:val="center"/>
            <w:hideMark/>
          </w:tcPr>
          <w:p w14:paraId="340D6D4D"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63%</w:t>
            </w:r>
          </w:p>
        </w:tc>
        <w:tc>
          <w:tcPr>
            <w:tcW w:w="918" w:type="dxa"/>
            <w:tcBorders>
              <w:top w:val="nil"/>
              <w:left w:val="nil"/>
              <w:bottom w:val="single" w:sz="8" w:space="0" w:color="auto"/>
              <w:right w:val="single" w:sz="8" w:space="0" w:color="auto"/>
            </w:tcBorders>
            <w:shd w:val="clear" w:color="000000" w:fill="FFE683"/>
            <w:noWrap/>
            <w:vAlign w:val="center"/>
            <w:hideMark/>
          </w:tcPr>
          <w:p w14:paraId="0226E01E"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113%</w:t>
            </w:r>
          </w:p>
        </w:tc>
        <w:tc>
          <w:tcPr>
            <w:tcW w:w="908" w:type="dxa"/>
            <w:tcBorders>
              <w:top w:val="nil"/>
              <w:left w:val="nil"/>
              <w:bottom w:val="single" w:sz="8" w:space="0" w:color="auto"/>
              <w:right w:val="single" w:sz="8" w:space="0" w:color="auto"/>
            </w:tcBorders>
            <w:shd w:val="clear" w:color="auto" w:fill="auto"/>
            <w:noWrap/>
            <w:vAlign w:val="center"/>
            <w:hideMark/>
          </w:tcPr>
          <w:p w14:paraId="28709AC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55%</w:t>
            </w:r>
          </w:p>
        </w:tc>
      </w:tr>
      <w:tr w:rsidR="0009748D" w:rsidRPr="00E97042" w14:paraId="2BA165F9"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06B6C503"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&gt;8.5 to 14.5 GHz</w:t>
            </w:r>
          </w:p>
        </w:tc>
        <w:tc>
          <w:tcPr>
            <w:tcW w:w="1082" w:type="dxa"/>
            <w:tcBorders>
              <w:top w:val="nil"/>
              <w:left w:val="nil"/>
              <w:bottom w:val="single" w:sz="8" w:space="0" w:color="auto"/>
              <w:right w:val="single" w:sz="8" w:space="0" w:color="auto"/>
            </w:tcBorders>
            <w:shd w:val="clear" w:color="000000" w:fill="A5D17E"/>
            <w:noWrap/>
            <w:vAlign w:val="center"/>
            <w:hideMark/>
          </w:tcPr>
          <w:p w14:paraId="2CB0A67C"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-38%</w:t>
            </w:r>
          </w:p>
        </w:tc>
        <w:tc>
          <w:tcPr>
            <w:tcW w:w="961" w:type="dxa"/>
            <w:tcBorders>
              <w:top w:val="nil"/>
              <w:left w:val="nil"/>
              <w:bottom w:val="single" w:sz="8" w:space="0" w:color="auto"/>
              <w:right w:val="single" w:sz="8" w:space="0" w:color="auto"/>
            </w:tcBorders>
            <w:shd w:val="clear" w:color="000000" w:fill="FEEA83"/>
            <w:noWrap/>
            <w:vAlign w:val="center"/>
            <w:hideMark/>
          </w:tcPr>
          <w:p w14:paraId="0FEFBBD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35%</w:t>
            </w:r>
          </w:p>
        </w:tc>
        <w:tc>
          <w:tcPr>
            <w:tcW w:w="888" w:type="dxa"/>
            <w:tcBorders>
              <w:top w:val="nil"/>
              <w:left w:val="nil"/>
              <w:bottom w:val="single" w:sz="8" w:space="0" w:color="auto"/>
              <w:right w:val="single" w:sz="8" w:space="0" w:color="auto"/>
            </w:tcBorders>
            <w:shd w:val="clear" w:color="000000" w:fill="FFE784"/>
            <w:noWrap/>
            <w:vAlign w:val="center"/>
            <w:hideMark/>
          </w:tcPr>
          <w:p w14:paraId="7B0587F8"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100%</w:t>
            </w:r>
          </w:p>
        </w:tc>
        <w:tc>
          <w:tcPr>
            <w:tcW w:w="842" w:type="dxa"/>
            <w:tcBorders>
              <w:top w:val="nil"/>
              <w:left w:val="nil"/>
              <w:bottom w:val="single" w:sz="8" w:space="0" w:color="auto"/>
              <w:right w:val="single" w:sz="8" w:space="0" w:color="auto"/>
            </w:tcBorders>
            <w:shd w:val="clear" w:color="000000" w:fill="FECA7E"/>
            <w:noWrap/>
            <w:vAlign w:val="center"/>
            <w:hideMark/>
          </w:tcPr>
          <w:p w14:paraId="1E3E3663"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496%</w:t>
            </w:r>
          </w:p>
        </w:tc>
        <w:tc>
          <w:tcPr>
            <w:tcW w:w="918" w:type="dxa"/>
            <w:tcBorders>
              <w:top w:val="nil"/>
              <w:left w:val="nil"/>
              <w:bottom w:val="single" w:sz="8" w:space="0" w:color="auto"/>
              <w:right w:val="single" w:sz="8" w:space="0" w:color="auto"/>
            </w:tcBorders>
            <w:shd w:val="clear" w:color="000000" w:fill="FEC87E"/>
            <w:noWrap/>
            <w:vAlign w:val="center"/>
            <w:hideMark/>
          </w:tcPr>
          <w:p w14:paraId="53B92471"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522%</w:t>
            </w:r>
          </w:p>
        </w:tc>
        <w:tc>
          <w:tcPr>
            <w:tcW w:w="908" w:type="dxa"/>
            <w:tcBorders>
              <w:top w:val="nil"/>
              <w:left w:val="nil"/>
              <w:bottom w:val="single" w:sz="8" w:space="0" w:color="auto"/>
              <w:right w:val="single" w:sz="8" w:space="0" w:color="auto"/>
            </w:tcBorders>
            <w:shd w:val="clear" w:color="auto" w:fill="auto"/>
            <w:noWrap/>
            <w:vAlign w:val="center"/>
            <w:hideMark/>
          </w:tcPr>
          <w:p w14:paraId="00B7F0E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317%</w:t>
            </w:r>
          </w:p>
        </w:tc>
      </w:tr>
      <w:tr w:rsidR="0009748D" w:rsidRPr="00E97042" w14:paraId="773B2C19"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69D1C0B2"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&gt;14.5 to 31.3 GHz</w:t>
            </w:r>
          </w:p>
        </w:tc>
        <w:tc>
          <w:tcPr>
            <w:tcW w:w="1082" w:type="dxa"/>
            <w:tcBorders>
              <w:top w:val="nil"/>
              <w:left w:val="nil"/>
              <w:bottom w:val="single" w:sz="8" w:space="0" w:color="auto"/>
              <w:right w:val="single" w:sz="8" w:space="0" w:color="auto"/>
            </w:tcBorders>
            <w:shd w:val="clear" w:color="000000" w:fill="FFDB81"/>
            <w:noWrap/>
            <w:vAlign w:val="center"/>
            <w:hideMark/>
          </w:tcPr>
          <w:p w14:paraId="2EDA5DB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267%</w:t>
            </w:r>
          </w:p>
        </w:tc>
        <w:tc>
          <w:tcPr>
            <w:tcW w:w="961" w:type="dxa"/>
            <w:tcBorders>
              <w:top w:val="nil"/>
              <w:left w:val="nil"/>
              <w:bottom w:val="single" w:sz="8" w:space="0" w:color="auto"/>
              <w:right w:val="single" w:sz="8" w:space="0" w:color="auto"/>
            </w:tcBorders>
            <w:shd w:val="clear" w:color="000000" w:fill="84C77C"/>
            <w:noWrap/>
            <w:vAlign w:val="center"/>
            <w:hideMark/>
          </w:tcPr>
          <w:p w14:paraId="0A493C8D"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-64%</w:t>
            </w:r>
          </w:p>
        </w:tc>
        <w:tc>
          <w:tcPr>
            <w:tcW w:w="888" w:type="dxa"/>
            <w:tcBorders>
              <w:top w:val="nil"/>
              <w:left w:val="nil"/>
              <w:bottom w:val="single" w:sz="8" w:space="0" w:color="auto"/>
              <w:right w:val="single" w:sz="8" w:space="0" w:color="auto"/>
            </w:tcBorders>
            <w:shd w:val="clear" w:color="000000" w:fill="8DCA7D"/>
            <w:noWrap/>
            <w:vAlign w:val="center"/>
            <w:hideMark/>
          </w:tcPr>
          <w:p w14:paraId="36A49A41"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-57%</w:t>
            </w:r>
          </w:p>
        </w:tc>
        <w:tc>
          <w:tcPr>
            <w:tcW w:w="842" w:type="dxa"/>
            <w:tcBorders>
              <w:top w:val="nil"/>
              <w:left w:val="nil"/>
              <w:bottom w:val="single" w:sz="8" w:space="0" w:color="auto"/>
              <w:right w:val="single" w:sz="8" w:space="0" w:color="auto"/>
            </w:tcBorders>
            <w:shd w:val="clear" w:color="000000" w:fill="FFE884"/>
            <w:noWrap/>
            <w:vAlign w:val="center"/>
            <w:hideMark/>
          </w:tcPr>
          <w:p w14:paraId="63BE8FD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78%</w:t>
            </w:r>
          </w:p>
        </w:tc>
        <w:tc>
          <w:tcPr>
            <w:tcW w:w="918" w:type="dxa"/>
            <w:tcBorders>
              <w:top w:val="nil"/>
              <w:left w:val="nil"/>
              <w:bottom w:val="single" w:sz="8" w:space="0" w:color="auto"/>
              <w:right w:val="single" w:sz="8" w:space="0" w:color="auto"/>
            </w:tcBorders>
            <w:shd w:val="clear" w:color="000000" w:fill="FFE182"/>
            <w:noWrap/>
            <w:vAlign w:val="center"/>
            <w:hideMark/>
          </w:tcPr>
          <w:p w14:paraId="20A04DD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184%</w:t>
            </w:r>
          </w:p>
        </w:tc>
        <w:tc>
          <w:tcPr>
            <w:tcW w:w="908" w:type="dxa"/>
            <w:tcBorders>
              <w:top w:val="nil"/>
              <w:left w:val="nil"/>
              <w:bottom w:val="single" w:sz="8" w:space="0" w:color="auto"/>
              <w:right w:val="single" w:sz="8" w:space="0" w:color="auto"/>
            </w:tcBorders>
            <w:shd w:val="clear" w:color="auto" w:fill="auto"/>
            <w:noWrap/>
            <w:vAlign w:val="center"/>
            <w:hideMark/>
          </w:tcPr>
          <w:p w14:paraId="40D645A9"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-17%</w:t>
            </w:r>
          </w:p>
        </w:tc>
      </w:tr>
      <w:tr w:rsidR="0009748D" w:rsidRPr="00E97042" w14:paraId="49269D49"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3417B4C4"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&gt;31.3 to 51.4 GHz</w:t>
            </w:r>
          </w:p>
        </w:tc>
        <w:tc>
          <w:tcPr>
            <w:tcW w:w="1082" w:type="dxa"/>
            <w:tcBorders>
              <w:top w:val="nil"/>
              <w:left w:val="nil"/>
              <w:bottom w:val="single" w:sz="8" w:space="0" w:color="auto"/>
              <w:right w:val="single" w:sz="8" w:space="0" w:color="auto"/>
            </w:tcBorders>
            <w:shd w:val="clear" w:color="000000" w:fill="FFEA84"/>
            <w:noWrap/>
            <w:vAlign w:val="center"/>
            <w:hideMark/>
          </w:tcPr>
          <w:p w14:paraId="0C7E9C72"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60%</w:t>
            </w:r>
          </w:p>
        </w:tc>
        <w:tc>
          <w:tcPr>
            <w:tcW w:w="961" w:type="dxa"/>
            <w:tcBorders>
              <w:top w:val="nil"/>
              <w:left w:val="nil"/>
              <w:bottom w:val="single" w:sz="8" w:space="0" w:color="auto"/>
              <w:right w:val="single" w:sz="8" w:space="0" w:color="auto"/>
            </w:tcBorders>
            <w:shd w:val="clear" w:color="000000" w:fill="C7DB80"/>
            <w:noWrap/>
            <w:vAlign w:val="center"/>
            <w:hideMark/>
          </w:tcPr>
          <w:p w14:paraId="704481B3"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w:t>
            </w:r>
          </w:p>
        </w:tc>
        <w:tc>
          <w:tcPr>
            <w:tcW w:w="888" w:type="dxa"/>
            <w:tcBorders>
              <w:top w:val="nil"/>
              <w:left w:val="nil"/>
              <w:bottom w:val="single" w:sz="8" w:space="0" w:color="auto"/>
              <w:right w:val="single" w:sz="8" w:space="0" w:color="auto"/>
            </w:tcBorders>
            <w:shd w:val="clear" w:color="000000" w:fill="63BE7B"/>
            <w:noWrap/>
            <w:vAlign w:val="center"/>
            <w:hideMark/>
          </w:tcPr>
          <w:p w14:paraId="0F30AA63"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-91%</w:t>
            </w:r>
          </w:p>
        </w:tc>
        <w:tc>
          <w:tcPr>
            <w:tcW w:w="842" w:type="dxa"/>
            <w:tcBorders>
              <w:top w:val="nil"/>
              <w:left w:val="nil"/>
              <w:bottom w:val="single" w:sz="8" w:space="0" w:color="auto"/>
              <w:right w:val="single" w:sz="8" w:space="0" w:color="auto"/>
            </w:tcBorders>
            <w:shd w:val="clear" w:color="000000" w:fill="ACD37F"/>
            <w:noWrap/>
            <w:vAlign w:val="center"/>
            <w:hideMark/>
          </w:tcPr>
          <w:p w14:paraId="59056344"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-32%</w:t>
            </w:r>
          </w:p>
        </w:tc>
        <w:tc>
          <w:tcPr>
            <w:tcW w:w="918" w:type="dxa"/>
            <w:tcBorders>
              <w:top w:val="nil"/>
              <w:left w:val="nil"/>
              <w:bottom w:val="single" w:sz="8" w:space="0" w:color="auto"/>
              <w:right w:val="single" w:sz="8" w:space="0" w:color="auto"/>
            </w:tcBorders>
            <w:shd w:val="clear" w:color="000000" w:fill="FFE383"/>
            <w:noWrap/>
            <w:vAlign w:val="center"/>
            <w:hideMark/>
          </w:tcPr>
          <w:p w14:paraId="3EBE1699"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150%</w:t>
            </w:r>
          </w:p>
        </w:tc>
        <w:tc>
          <w:tcPr>
            <w:tcW w:w="908" w:type="dxa"/>
            <w:tcBorders>
              <w:top w:val="nil"/>
              <w:left w:val="nil"/>
              <w:bottom w:val="single" w:sz="8" w:space="0" w:color="auto"/>
              <w:right w:val="single" w:sz="8" w:space="0" w:color="auto"/>
            </w:tcBorders>
            <w:shd w:val="clear" w:color="auto" w:fill="auto"/>
            <w:noWrap/>
            <w:vAlign w:val="center"/>
            <w:hideMark/>
          </w:tcPr>
          <w:p w14:paraId="1D75BED4"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-22%</w:t>
            </w:r>
          </w:p>
        </w:tc>
      </w:tr>
      <w:tr w:rsidR="0009748D" w:rsidRPr="00E97042" w14:paraId="42ED9093" w14:textId="77777777" w:rsidTr="00C80AAD">
        <w:trPr>
          <w:trHeight w:val="236"/>
        </w:trPr>
        <w:tc>
          <w:tcPr>
            <w:tcW w:w="2015" w:type="dxa"/>
            <w:tcBorders>
              <w:top w:val="nil"/>
              <w:left w:val="single" w:sz="8" w:space="0" w:color="auto"/>
              <w:bottom w:val="single" w:sz="8" w:space="0" w:color="auto"/>
              <w:right w:val="single" w:sz="8" w:space="0" w:color="auto"/>
            </w:tcBorders>
            <w:shd w:val="clear" w:color="auto" w:fill="auto"/>
            <w:noWrap/>
            <w:vAlign w:val="center"/>
            <w:hideMark/>
          </w:tcPr>
          <w:p w14:paraId="696CE44A"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Above 51.4 GHz</w:t>
            </w:r>
          </w:p>
        </w:tc>
        <w:tc>
          <w:tcPr>
            <w:tcW w:w="1082" w:type="dxa"/>
            <w:tcBorders>
              <w:top w:val="nil"/>
              <w:left w:val="nil"/>
              <w:bottom w:val="single" w:sz="8" w:space="0" w:color="auto"/>
              <w:right w:val="single" w:sz="8" w:space="0" w:color="auto"/>
            </w:tcBorders>
            <w:shd w:val="clear" w:color="auto" w:fill="auto"/>
            <w:noWrap/>
            <w:vAlign w:val="center"/>
            <w:hideMark/>
          </w:tcPr>
          <w:p w14:paraId="117EE4DF" w14:textId="77777777" w:rsidR="0009748D" w:rsidRPr="006E6ED7" w:rsidRDefault="0009748D" w:rsidP="00C80AAD">
            <w:pPr>
              <w:spacing w:after="0" w:line="240" w:lineRule="auto"/>
              <w:jc w:val="center"/>
              <w:rPr>
                <w:rFonts w:cs="Arial"/>
                <w:color w:val="000000"/>
                <w:sz w:val="18"/>
                <w:szCs w:val="22"/>
              </w:rPr>
            </w:pPr>
            <w:r w:rsidRPr="006E6ED7">
              <w:rPr>
                <w:rFonts w:cs="Arial"/>
                <w:color w:val="000000"/>
                <w:sz w:val="18"/>
                <w:szCs w:val="22"/>
              </w:rPr>
              <w:t>-</w:t>
            </w:r>
          </w:p>
        </w:tc>
        <w:tc>
          <w:tcPr>
            <w:tcW w:w="961" w:type="dxa"/>
            <w:tcBorders>
              <w:top w:val="nil"/>
              <w:left w:val="nil"/>
              <w:bottom w:val="single" w:sz="8" w:space="0" w:color="auto"/>
              <w:right w:val="single" w:sz="8" w:space="0" w:color="auto"/>
            </w:tcBorders>
            <w:shd w:val="clear" w:color="auto" w:fill="auto"/>
            <w:noWrap/>
            <w:vAlign w:val="center"/>
            <w:hideMark/>
          </w:tcPr>
          <w:p w14:paraId="4C1EE766"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879%</w:t>
            </w:r>
          </w:p>
        </w:tc>
        <w:tc>
          <w:tcPr>
            <w:tcW w:w="888" w:type="dxa"/>
            <w:tcBorders>
              <w:top w:val="nil"/>
              <w:left w:val="nil"/>
              <w:bottom w:val="single" w:sz="8" w:space="0" w:color="auto"/>
              <w:right w:val="single" w:sz="8" w:space="0" w:color="auto"/>
            </w:tcBorders>
            <w:shd w:val="clear" w:color="auto" w:fill="auto"/>
            <w:noWrap/>
            <w:vAlign w:val="center"/>
            <w:hideMark/>
          </w:tcPr>
          <w:p w14:paraId="58A00A39" w14:textId="77777777" w:rsidR="0009748D" w:rsidRPr="006E6ED7" w:rsidRDefault="0009748D" w:rsidP="00C80AAD">
            <w:pPr>
              <w:spacing w:after="0" w:line="240" w:lineRule="auto"/>
              <w:jc w:val="center"/>
              <w:rPr>
                <w:rFonts w:cs="Arial"/>
                <w:color w:val="000000"/>
                <w:sz w:val="18"/>
                <w:szCs w:val="22"/>
              </w:rPr>
            </w:pPr>
            <w:r w:rsidRPr="006E6ED7">
              <w:rPr>
                <w:rFonts w:cs="Arial"/>
                <w:color w:val="000000"/>
                <w:sz w:val="18"/>
                <w:szCs w:val="22"/>
              </w:rPr>
              <w:t>-</w:t>
            </w:r>
          </w:p>
        </w:tc>
        <w:tc>
          <w:tcPr>
            <w:tcW w:w="842" w:type="dxa"/>
            <w:tcBorders>
              <w:top w:val="nil"/>
              <w:left w:val="nil"/>
              <w:bottom w:val="single" w:sz="8" w:space="0" w:color="auto"/>
              <w:right w:val="single" w:sz="8" w:space="0" w:color="auto"/>
            </w:tcBorders>
            <w:shd w:val="clear" w:color="auto" w:fill="auto"/>
            <w:noWrap/>
            <w:vAlign w:val="center"/>
            <w:hideMark/>
          </w:tcPr>
          <w:p w14:paraId="0EB50234"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4256%</w:t>
            </w:r>
          </w:p>
        </w:tc>
        <w:tc>
          <w:tcPr>
            <w:tcW w:w="918" w:type="dxa"/>
            <w:tcBorders>
              <w:top w:val="nil"/>
              <w:left w:val="nil"/>
              <w:bottom w:val="single" w:sz="8" w:space="0" w:color="auto"/>
              <w:right w:val="single" w:sz="8" w:space="0" w:color="auto"/>
            </w:tcBorders>
            <w:shd w:val="clear" w:color="auto" w:fill="auto"/>
            <w:noWrap/>
            <w:vAlign w:val="center"/>
            <w:hideMark/>
          </w:tcPr>
          <w:p w14:paraId="51224208" w14:textId="77777777" w:rsidR="0009748D" w:rsidRPr="006E6ED7" w:rsidRDefault="0009748D" w:rsidP="00C80AAD">
            <w:pPr>
              <w:spacing w:after="0" w:line="240" w:lineRule="auto"/>
              <w:jc w:val="center"/>
              <w:rPr>
                <w:rFonts w:cs="Arial"/>
                <w:color w:val="000000"/>
                <w:sz w:val="18"/>
                <w:szCs w:val="22"/>
              </w:rPr>
            </w:pPr>
            <w:r w:rsidRPr="006E6ED7">
              <w:rPr>
                <w:rFonts w:cs="Arial"/>
                <w:color w:val="000000"/>
                <w:sz w:val="18"/>
                <w:szCs w:val="22"/>
              </w:rPr>
              <w:t>-</w:t>
            </w:r>
          </w:p>
        </w:tc>
        <w:tc>
          <w:tcPr>
            <w:tcW w:w="908" w:type="dxa"/>
            <w:tcBorders>
              <w:top w:val="nil"/>
              <w:left w:val="nil"/>
              <w:bottom w:val="single" w:sz="8" w:space="0" w:color="auto"/>
              <w:right w:val="single" w:sz="8" w:space="0" w:color="auto"/>
            </w:tcBorders>
            <w:shd w:val="clear" w:color="auto" w:fill="auto"/>
            <w:noWrap/>
            <w:vAlign w:val="center"/>
            <w:hideMark/>
          </w:tcPr>
          <w:p w14:paraId="2A4C0F24"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1359%</w:t>
            </w:r>
          </w:p>
        </w:tc>
      </w:tr>
      <w:tr w:rsidR="0009748D" w:rsidRPr="00E97042" w14:paraId="09DD7D30" w14:textId="77777777" w:rsidTr="00C80AAD">
        <w:trPr>
          <w:trHeight w:val="236"/>
        </w:trPr>
        <w:tc>
          <w:tcPr>
            <w:tcW w:w="2015" w:type="dxa"/>
            <w:tcBorders>
              <w:top w:val="nil"/>
              <w:left w:val="nil"/>
              <w:bottom w:val="nil"/>
              <w:right w:val="single" w:sz="8" w:space="0" w:color="auto"/>
            </w:tcBorders>
            <w:shd w:val="clear" w:color="auto" w:fill="auto"/>
            <w:noWrap/>
            <w:vAlign w:val="center"/>
            <w:hideMark/>
          </w:tcPr>
          <w:p w14:paraId="2ED02F98" w14:textId="77777777" w:rsidR="0009748D" w:rsidRPr="006E6ED7" w:rsidRDefault="0009748D" w:rsidP="00C80AAD">
            <w:pPr>
              <w:spacing w:after="0" w:line="240" w:lineRule="auto"/>
              <w:rPr>
                <w:rFonts w:cs="Arial"/>
                <w:color w:val="000000"/>
                <w:sz w:val="18"/>
                <w:szCs w:val="22"/>
              </w:rPr>
            </w:pPr>
            <w:r w:rsidRPr="006E6ED7">
              <w:rPr>
                <w:rFonts w:cs="Arial"/>
                <w:color w:val="000000"/>
                <w:sz w:val="18"/>
                <w:szCs w:val="22"/>
              </w:rPr>
              <w:t> </w:t>
            </w:r>
          </w:p>
        </w:tc>
        <w:tc>
          <w:tcPr>
            <w:tcW w:w="1082" w:type="dxa"/>
            <w:tcBorders>
              <w:top w:val="nil"/>
              <w:left w:val="nil"/>
              <w:bottom w:val="single" w:sz="8" w:space="0" w:color="auto"/>
              <w:right w:val="single" w:sz="8" w:space="0" w:color="auto"/>
            </w:tcBorders>
            <w:shd w:val="clear" w:color="auto" w:fill="auto"/>
            <w:noWrap/>
            <w:vAlign w:val="center"/>
            <w:hideMark/>
          </w:tcPr>
          <w:p w14:paraId="03BEAC0B"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90%</w:t>
            </w:r>
          </w:p>
        </w:tc>
        <w:tc>
          <w:tcPr>
            <w:tcW w:w="961" w:type="dxa"/>
            <w:tcBorders>
              <w:top w:val="nil"/>
              <w:left w:val="nil"/>
              <w:bottom w:val="single" w:sz="8" w:space="0" w:color="auto"/>
              <w:right w:val="single" w:sz="8" w:space="0" w:color="auto"/>
            </w:tcBorders>
            <w:shd w:val="clear" w:color="auto" w:fill="auto"/>
            <w:noWrap/>
            <w:vAlign w:val="center"/>
            <w:hideMark/>
          </w:tcPr>
          <w:p w14:paraId="44DAE2F5"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-8%</w:t>
            </w:r>
          </w:p>
        </w:tc>
        <w:tc>
          <w:tcPr>
            <w:tcW w:w="888" w:type="dxa"/>
            <w:tcBorders>
              <w:top w:val="nil"/>
              <w:left w:val="nil"/>
              <w:bottom w:val="single" w:sz="8" w:space="0" w:color="auto"/>
              <w:right w:val="single" w:sz="8" w:space="0" w:color="auto"/>
            </w:tcBorders>
            <w:shd w:val="clear" w:color="auto" w:fill="auto"/>
            <w:noWrap/>
            <w:vAlign w:val="center"/>
            <w:hideMark/>
          </w:tcPr>
          <w:p w14:paraId="1C41BD5A"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-5%</w:t>
            </w:r>
          </w:p>
        </w:tc>
        <w:tc>
          <w:tcPr>
            <w:tcW w:w="842" w:type="dxa"/>
            <w:tcBorders>
              <w:top w:val="nil"/>
              <w:left w:val="nil"/>
              <w:bottom w:val="single" w:sz="8" w:space="0" w:color="auto"/>
              <w:right w:val="single" w:sz="8" w:space="0" w:color="auto"/>
            </w:tcBorders>
            <w:shd w:val="clear" w:color="auto" w:fill="auto"/>
            <w:noWrap/>
            <w:vAlign w:val="center"/>
            <w:hideMark/>
          </w:tcPr>
          <w:p w14:paraId="2109F233"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49%</w:t>
            </w:r>
          </w:p>
        </w:tc>
        <w:tc>
          <w:tcPr>
            <w:tcW w:w="918" w:type="dxa"/>
            <w:tcBorders>
              <w:top w:val="nil"/>
              <w:left w:val="nil"/>
              <w:bottom w:val="single" w:sz="8" w:space="0" w:color="auto"/>
              <w:right w:val="single" w:sz="8" w:space="0" w:color="auto"/>
            </w:tcBorders>
            <w:shd w:val="clear" w:color="auto" w:fill="auto"/>
            <w:noWrap/>
            <w:vAlign w:val="center"/>
            <w:hideMark/>
          </w:tcPr>
          <w:p w14:paraId="159D5377" w14:textId="77777777" w:rsidR="0009748D" w:rsidRPr="006E6ED7" w:rsidRDefault="0009748D" w:rsidP="00C80AAD">
            <w:pPr>
              <w:spacing w:after="0" w:line="240" w:lineRule="auto"/>
              <w:jc w:val="right"/>
              <w:rPr>
                <w:rFonts w:cs="Arial"/>
                <w:color w:val="000000"/>
                <w:sz w:val="18"/>
                <w:szCs w:val="22"/>
              </w:rPr>
            </w:pPr>
            <w:r w:rsidRPr="006E6ED7">
              <w:rPr>
                <w:rFonts w:cs="Arial"/>
                <w:color w:val="000000"/>
                <w:sz w:val="18"/>
                <w:szCs w:val="22"/>
              </w:rPr>
              <w:t>35%</w:t>
            </w:r>
          </w:p>
        </w:tc>
        <w:tc>
          <w:tcPr>
            <w:tcW w:w="908" w:type="dxa"/>
            <w:tcBorders>
              <w:top w:val="nil"/>
              <w:left w:val="nil"/>
              <w:bottom w:val="single" w:sz="8" w:space="0" w:color="auto"/>
              <w:right w:val="single" w:sz="8" w:space="0" w:color="auto"/>
            </w:tcBorders>
            <w:shd w:val="clear" w:color="000000" w:fill="404040"/>
            <w:noWrap/>
            <w:vAlign w:val="center"/>
            <w:hideMark/>
          </w:tcPr>
          <w:p w14:paraId="4F97B3E7" w14:textId="77777777" w:rsidR="0009748D" w:rsidRPr="006E6ED7" w:rsidRDefault="0009748D" w:rsidP="00C80AAD">
            <w:pPr>
              <w:spacing w:after="0" w:line="240" w:lineRule="auto"/>
              <w:jc w:val="right"/>
              <w:rPr>
                <w:rFonts w:cs="Arial"/>
                <w:b/>
                <w:bCs/>
                <w:color w:val="FFFFFF"/>
                <w:sz w:val="18"/>
                <w:szCs w:val="22"/>
              </w:rPr>
            </w:pPr>
            <w:r w:rsidRPr="006E6ED7">
              <w:rPr>
                <w:rFonts w:cs="Arial"/>
                <w:b/>
                <w:bCs/>
                <w:color w:val="FFFFFF"/>
                <w:sz w:val="18"/>
                <w:szCs w:val="22"/>
              </w:rPr>
              <w:t>42%</w:t>
            </w:r>
          </w:p>
        </w:tc>
      </w:tr>
    </w:tbl>
    <w:p w14:paraId="11184CDE" w14:textId="77777777" w:rsidR="0009748D" w:rsidRPr="006E6ED7" w:rsidRDefault="0009748D" w:rsidP="0009748D">
      <w:pPr>
        <w:pStyle w:val="Tableorfigurenote"/>
      </w:pPr>
      <w:r w:rsidRPr="006E6ED7">
        <w:t xml:space="preserve">Note: The dark red in the Table 4 colour scheme denotes the highest increases; the darkest green denotes the largest reductions; the yellow denotes the midpoint, and shades between these colours denote grades between these points. </w:t>
      </w:r>
    </w:p>
    <w:p w14:paraId="4A410B52" w14:textId="57ACAD28" w:rsidR="0032480C" w:rsidRPr="006E6ED7" w:rsidRDefault="00D60CC8" w:rsidP="006E6ED7">
      <w:pPr>
        <w:pStyle w:val="Heading4"/>
      </w:pPr>
      <w:bookmarkStart w:id="41" w:name="_Toc86153496"/>
      <w:r w:rsidRPr="006E6ED7">
        <w:t xml:space="preserve">Apply the minimum tax in a </w:t>
      </w:r>
      <w:r w:rsidR="0032480C" w:rsidRPr="006E6ED7">
        <w:t>new spectrum location band for services above 100</w:t>
      </w:r>
      <w:r w:rsidRPr="006E6ED7">
        <w:t> </w:t>
      </w:r>
      <w:r w:rsidR="0032480C" w:rsidRPr="006E6ED7">
        <w:t>GHz</w:t>
      </w:r>
      <w:bookmarkEnd w:id="41"/>
    </w:p>
    <w:p w14:paraId="3C5C24A7" w14:textId="75152139" w:rsidR="0032480C" w:rsidRDefault="0032480C" w:rsidP="0032480C">
      <w:pPr>
        <w:pStyle w:val="Paragraph"/>
      </w:pPr>
      <w:r>
        <w:t xml:space="preserve">The ACMA </w:t>
      </w:r>
      <w:r w:rsidR="00537BCF">
        <w:t xml:space="preserve">proposed </w:t>
      </w:r>
      <w:r>
        <w:t xml:space="preserve">to create a new band above 100 GHz and set tax rates for these services at the </w:t>
      </w:r>
      <w:r w:rsidRPr="77B20063">
        <w:t>minimum tax (currently $41.37)</w:t>
      </w:r>
      <w:r>
        <w:t>. Submissions demonstrate that there are innovative services emerging in these high frequencies (such as optical communications for satellite services) that operate with very large bandwidths, although with a limited spectrum denia</w:t>
      </w:r>
      <w:r w:rsidR="00DA464F">
        <w:t>l/</w:t>
      </w:r>
      <w:r w:rsidR="00935C78">
        <w:t xml:space="preserve">geographical </w:t>
      </w:r>
      <w:r>
        <w:t>footprint</w:t>
      </w:r>
      <w:r w:rsidR="00C00849">
        <w:rPr>
          <w:rStyle w:val="FootnoteReference"/>
        </w:rPr>
        <w:footnoteReference w:id="18"/>
      </w:r>
      <w:r>
        <w:t>. Even with the tax reductions of 90% implemented above 8.5 GHz as part of the first tranche of tax reforms, services with bandwidths in the tens or hundreds of GHz have the potential for licence taxes to be prohibitive and stifl</w:t>
      </w:r>
      <w:r w:rsidR="00EA30BD">
        <w:t>ing of</w:t>
      </w:r>
      <w:r>
        <w:t xml:space="preserve"> innovation</w:t>
      </w:r>
      <w:r w:rsidR="00B834D1">
        <w:t xml:space="preserve"> in this </w:t>
      </w:r>
      <w:r w:rsidR="00326F39">
        <w:t xml:space="preserve">to date </w:t>
      </w:r>
      <w:r w:rsidR="00B834D1">
        <w:t>un</w:t>
      </w:r>
      <w:r w:rsidR="00326F39">
        <w:t>used band</w:t>
      </w:r>
      <w:r>
        <w:t xml:space="preserve">. </w:t>
      </w:r>
    </w:p>
    <w:p w14:paraId="35F6E8AB" w14:textId="2F1F4EE8" w:rsidR="0032480C" w:rsidRDefault="0032480C" w:rsidP="0032480C">
      <w:pPr>
        <w:pStyle w:val="Paragraph"/>
      </w:pPr>
      <w:r w:rsidRPr="77B20063">
        <w:t xml:space="preserve">A </w:t>
      </w:r>
      <w:r w:rsidR="00326F39">
        <w:t xml:space="preserve">new band above </w:t>
      </w:r>
      <w:r w:rsidRPr="77B20063">
        <w:t xml:space="preserve">100 GHz </w:t>
      </w:r>
      <w:r>
        <w:t xml:space="preserve">is </w:t>
      </w:r>
      <w:r w:rsidR="00277A52">
        <w:t xml:space="preserve">consistent with </w:t>
      </w:r>
      <w:r>
        <w:t xml:space="preserve">recent activity in other jurisdictions including the United Kingdom and United States to facilitate </w:t>
      </w:r>
      <w:r w:rsidRPr="77B20063">
        <w:t>greater access to frequencies above this range.</w:t>
      </w:r>
      <w:r>
        <w:t xml:space="preserve"> Charging the minimum tax in this band also acknowledges lower potential for interference in this range. </w:t>
      </w:r>
    </w:p>
    <w:p w14:paraId="5C91B0A6" w14:textId="77777777" w:rsidR="00FB05AF" w:rsidRPr="006E6ED7" w:rsidRDefault="00FB05AF" w:rsidP="006E6ED7">
      <w:pPr>
        <w:pStyle w:val="Heading4"/>
      </w:pPr>
      <w:bookmarkStart w:id="42" w:name="_Toc86153497"/>
      <w:r w:rsidRPr="006E6ED7">
        <w:t>Cease annual CPI updates to taxes, and instead regularly update taxes based on annual population data updates</w:t>
      </w:r>
      <w:bookmarkEnd w:id="42"/>
    </w:p>
    <w:p w14:paraId="5C32A56C" w14:textId="77777777" w:rsidR="00FB05AF" w:rsidRDefault="00FB05AF" w:rsidP="00FB05AF">
      <w:pPr>
        <w:pStyle w:val="Paragraph"/>
      </w:pPr>
      <w:r w:rsidRPr="77B20063">
        <w:t xml:space="preserve">In the assigned licence tax formula, the normalisation factor is a constant that converts the relative spectrum values provided by the rest of the formula to a dollar figure. </w:t>
      </w:r>
      <w:r>
        <w:t xml:space="preserve">The ACMA has </w:t>
      </w:r>
      <w:r w:rsidRPr="77B20063">
        <w:t>update</w:t>
      </w:r>
      <w:r>
        <w:t>d it</w:t>
      </w:r>
      <w:r w:rsidRPr="77B20063">
        <w:t xml:space="preserve"> in line with adjustments to </w:t>
      </w:r>
      <w:r>
        <w:t>the consumer price index (</w:t>
      </w:r>
      <w:r w:rsidRPr="77B20063">
        <w:t>CPI</w:t>
      </w:r>
      <w:r>
        <w:t>)</w:t>
      </w:r>
      <w:r w:rsidRPr="77B20063">
        <w:t xml:space="preserve"> each year</w:t>
      </w:r>
      <w:r>
        <w:t>,</w:t>
      </w:r>
      <w:r w:rsidRPr="77B20063">
        <w:t xml:space="preserve"> with the aim of keeping licence taxes constant in real terms. </w:t>
      </w:r>
    </w:p>
    <w:p w14:paraId="1E010743" w14:textId="7D200D97" w:rsidR="00FB05AF" w:rsidRDefault="00FB05AF" w:rsidP="00FB05AF">
      <w:pPr>
        <w:pStyle w:val="Paragraph"/>
        <w:rPr>
          <w:rFonts w:eastAsia="Arial"/>
          <w:color w:val="000000" w:themeColor="text1"/>
          <w:sz w:val="22"/>
          <w:szCs w:val="22"/>
        </w:rPr>
      </w:pPr>
      <w:r w:rsidRPr="77B20063">
        <w:t>One of the issues with this approach to updating taxes is that it treats all licences equally regardless of the different d</w:t>
      </w:r>
      <w:r>
        <w:t xml:space="preserve">emand for spectrum </w:t>
      </w:r>
      <w:r w:rsidRPr="77B20063">
        <w:t xml:space="preserve">in different areas. This was highlighted by stakeholders in </w:t>
      </w:r>
      <w:r w:rsidRPr="77B20063" w:rsidDel="00240B13">
        <w:t>lower</w:t>
      </w:r>
      <w:r>
        <w:t>-</w:t>
      </w:r>
      <w:r w:rsidRPr="77B20063">
        <w:t>density areas continuing to face increases on their licence taxes despite spectrum availability remaining high</w:t>
      </w:r>
      <w:r w:rsidR="00926024">
        <w:t>,</w:t>
      </w:r>
      <w:r>
        <w:t xml:space="preserve"> and </w:t>
      </w:r>
      <w:r w:rsidR="00187EF6">
        <w:t xml:space="preserve">there being </w:t>
      </w:r>
      <w:r>
        <w:t>limited or no change to the spectrum denial characteristics of their spectrum use</w:t>
      </w:r>
      <w:r w:rsidRPr="77B20063">
        <w:t xml:space="preserve">. </w:t>
      </w:r>
    </w:p>
    <w:p w14:paraId="0DBDD276" w14:textId="59651FC0" w:rsidR="00934F9A" w:rsidRDefault="00FB05AF" w:rsidP="00FB05AF">
      <w:pPr>
        <w:pStyle w:val="Paragraphbeforelist"/>
      </w:pPr>
      <w:r w:rsidRPr="77B20063">
        <w:t>Based on this feedback</w:t>
      </w:r>
      <w:r>
        <w:t>,</w:t>
      </w:r>
      <w:r w:rsidRPr="77B20063">
        <w:t xml:space="preserve"> the ACMA </w:t>
      </w:r>
      <w:r>
        <w:t>considers</w:t>
      </w:r>
      <w:r w:rsidRPr="77B20063">
        <w:t xml:space="preserve"> that a better approach to regularly updating taxes </w:t>
      </w:r>
      <w:r w:rsidR="00934F9A">
        <w:t xml:space="preserve">is to link </w:t>
      </w:r>
      <w:r w:rsidR="00A81016">
        <w:t xml:space="preserve">tax </w:t>
      </w:r>
      <w:r w:rsidR="00934F9A">
        <w:t xml:space="preserve">updates with </w:t>
      </w:r>
      <w:r w:rsidR="00A81016">
        <w:t>underlying changes in population, rather th</w:t>
      </w:r>
      <w:r w:rsidR="00F4476A">
        <w:t>a</w:t>
      </w:r>
      <w:r w:rsidR="00A81016">
        <w:t>n CPI</w:t>
      </w:r>
      <w:r w:rsidR="00896647">
        <w:t>, because population is a good proxy for spectrum</w:t>
      </w:r>
      <w:r w:rsidR="00EB5622">
        <w:t xml:space="preserve"> demand</w:t>
      </w:r>
      <w:r w:rsidR="00896647">
        <w:t xml:space="preserve">. </w:t>
      </w:r>
      <w:r w:rsidR="001E3B78">
        <w:t xml:space="preserve">The following maps of Australia show this relationship. </w:t>
      </w:r>
      <w:r w:rsidR="006F238A">
        <w:t>Figure 1 shows the population density of Australia</w:t>
      </w:r>
      <w:r w:rsidR="00EE11EF">
        <w:t xml:space="preserve"> and Figure 2 shows the spectrum density </w:t>
      </w:r>
      <w:r w:rsidR="00FC670B">
        <w:t xml:space="preserve">that accords well with population. </w:t>
      </w:r>
    </w:p>
    <w:p w14:paraId="7CF2616E" w14:textId="77777777" w:rsidR="00EB5622" w:rsidRDefault="00EB5622" w:rsidP="00FB05AF">
      <w:pPr>
        <w:pStyle w:val="Paragraphbeforelist"/>
      </w:pPr>
    </w:p>
    <w:p w14:paraId="4726EDDA" w14:textId="7A9D22A9" w:rsidR="001E3B78" w:rsidRDefault="001E3B78" w:rsidP="00552C66">
      <w:pPr>
        <w:pStyle w:val="Caption"/>
        <w:keepNext/>
        <w:numPr>
          <w:ilvl w:val="0"/>
          <w:numId w:val="0"/>
        </w:numPr>
        <w:ind w:left="964" w:hanging="964"/>
      </w:pPr>
      <w:r>
        <w:t xml:space="preserve">Figure </w:t>
      </w:r>
      <w:r w:rsidR="00C35894">
        <w:fldChar w:fldCharType="begin"/>
      </w:r>
      <w:r w:rsidR="00C35894">
        <w:instrText xml:space="preserve"> SEQ Figure \* ARABIC </w:instrText>
      </w:r>
      <w:r w:rsidR="00C35894">
        <w:fldChar w:fldCharType="separate"/>
      </w:r>
      <w:r w:rsidR="00FE0943">
        <w:rPr>
          <w:noProof/>
        </w:rPr>
        <w:t>1</w:t>
      </w:r>
      <w:r w:rsidR="00C35894">
        <w:rPr>
          <w:noProof/>
        </w:rPr>
        <w:fldChar w:fldCharType="end"/>
      </w:r>
      <w:r>
        <w:t xml:space="preserve">: </w:t>
      </w:r>
      <w:r w:rsidR="00FC670B">
        <w:t>population density</w:t>
      </w:r>
    </w:p>
    <w:p w14:paraId="14E5D095" w14:textId="5000BB86" w:rsidR="00934F9A" w:rsidRDefault="001F3C1B" w:rsidP="00FB05AF">
      <w:pPr>
        <w:pStyle w:val="Paragraphbeforelist"/>
      </w:pPr>
      <w:r>
        <w:rPr>
          <w:noProof/>
        </w:rPr>
        <w:drawing>
          <wp:inline distT="0" distB="0" distL="0" distR="0" wp14:anchorId="59F8F129" wp14:editId="45D38B1E">
            <wp:extent cx="4871085" cy="341757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71085" cy="3417570"/>
                    </a:xfrm>
                    <a:prstGeom prst="rect">
                      <a:avLst/>
                    </a:prstGeom>
                  </pic:spPr>
                </pic:pic>
              </a:graphicData>
            </a:graphic>
          </wp:inline>
        </w:drawing>
      </w:r>
    </w:p>
    <w:p w14:paraId="3862C929" w14:textId="29D0AED8" w:rsidR="001F3C1B" w:rsidRDefault="001E3B78" w:rsidP="006E6ED7">
      <w:pPr>
        <w:pStyle w:val="Caption"/>
        <w:numPr>
          <w:ilvl w:val="0"/>
          <w:numId w:val="0"/>
        </w:numPr>
        <w:ind w:left="964" w:hanging="964"/>
      </w:pPr>
      <w:r>
        <w:t xml:space="preserve">Figure </w:t>
      </w:r>
      <w:r w:rsidR="00C35894">
        <w:fldChar w:fldCharType="begin"/>
      </w:r>
      <w:r w:rsidR="00C35894">
        <w:instrText xml:space="preserve"> SEQ Figure \* ARABIC </w:instrText>
      </w:r>
      <w:r w:rsidR="00C35894">
        <w:fldChar w:fldCharType="separate"/>
      </w:r>
      <w:r w:rsidR="00FE0943">
        <w:rPr>
          <w:noProof/>
        </w:rPr>
        <w:t>2</w:t>
      </w:r>
      <w:r w:rsidR="00C35894">
        <w:rPr>
          <w:noProof/>
        </w:rPr>
        <w:fldChar w:fldCharType="end"/>
      </w:r>
      <w:r w:rsidR="00FC670B">
        <w:t>: spectrum density</w:t>
      </w:r>
    </w:p>
    <w:p w14:paraId="6E984AE1" w14:textId="17DC0EB0" w:rsidR="001F3C1B" w:rsidRDefault="0097438B" w:rsidP="00FB05AF">
      <w:pPr>
        <w:pStyle w:val="Paragraphbeforelist"/>
      </w:pPr>
      <w:r>
        <w:rPr>
          <w:noProof/>
        </w:rPr>
        <w:drawing>
          <wp:inline distT="0" distB="0" distL="0" distR="0" wp14:anchorId="702C278A" wp14:editId="7F75471A">
            <wp:extent cx="4871085" cy="3388360"/>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71085" cy="3388360"/>
                    </a:xfrm>
                    <a:prstGeom prst="rect">
                      <a:avLst/>
                    </a:prstGeom>
                  </pic:spPr>
                </pic:pic>
              </a:graphicData>
            </a:graphic>
          </wp:inline>
        </w:drawing>
      </w:r>
    </w:p>
    <w:p w14:paraId="703046A4" w14:textId="77777777" w:rsidR="001F3C1B" w:rsidRDefault="001F3C1B" w:rsidP="00FB05AF">
      <w:pPr>
        <w:pStyle w:val="Paragraphbeforelist"/>
      </w:pPr>
    </w:p>
    <w:p w14:paraId="288065D1" w14:textId="4BC42159" w:rsidR="00FB05AF" w:rsidRDefault="00FC670B" w:rsidP="00FB05AF">
      <w:pPr>
        <w:pStyle w:val="Paragraphbeforelist"/>
        <w:rPr>
          <w:rFonts w:eastAsia="Arial"/>
          <w:color w:val="000000" w:themeColor="text1"/>
          <w:sz w:val="22"/>
          <w:szCs w:val="22"/>
        </w:rPr>
      </w:pPr>
      <w:r>
        <w:t xml:space="preserve">The ACMA’s </w:t>
      </w:r>
      <w:r w:rsidR="005C17CE">
        <w:t xml:space="preserve">proposed approach to updating taxes </w:t>
      </w:r>
      <w:r w:rsidR="00FB05AF" w:rsidRPr="77B20063">
        <w:t>include</w:t>
      </w:r>
      <w:r w:rsidR="00FB05AF">
        <w:t>s</w:t>
      </w:r>
      <w:r w:rsidR="00FB05AF" w:rsidRPr="77B20063">
        <w:t xml:space="preserve"> the following:</w:t>
      </w:r>
    </w:p>
    <w:p w14:paraId="60CEB98C" w14:textId="77777777" w:rsidR="00FB05AF" w:rsidRDefault="00FB05AF" w:rsidP="00FB05AF">
      <w:pPr>
        <w:pStyle w:val="Bulletlevel1"/>
        <w:tabs>
          <w:tab w:val="num" w:pos="295"/>
        </w:tabs>
        <w:ind w:left="295" w:hanging="295"/>
        <w:rPr>
          <w:rFonts w:eastAsia="Arial"/>
          <w:color w:val="000000" w:themeColor="text1"/>
          <w:sz w:val="22"/>
          <w:szCs w:val="22"/>
        </w:rPr>
      </w:pPr>
      <w:r w:rsidRPr="77B20063">
        <w:t>Remov</w:t>
      </w:r>
      <w:r>
        <w:t>ing</w:t>
      </w:r>
      <w:r w:rsidRPr="77B20063">
        <w:t xml:space="preserve"> the link between the normalisation factor and adjustments to CPI.</w:t>
      </w:r>
    </w:p>
    <w:p w14:paraId="75B119A8" w14:textId="77777777" w:rsidR="00FB05AF" w:rsidRDefault="00FB05AF" w:rsidP="00FB05AF">
      <w:pPr>
        <w:pStyle w:val="Bulletlevel1"/>
        <w:tabs>
          <w:tab w:val="num" w:pos="295"/>
        </w:tabs>
        <w:ind w:left="295" w:hanging="295"/>
        <w:rPr>
          <w:rFonts w:eastAsia="Arial"/>
          <w:color w:val="000000" w:themeColor="text1"/>
          <w:sz w:val="22"/>
          <w:szCs w:val="22"/>
        </w:rPr>
      </w:pPr>
      <w:r w:rsidRPr="77B20063">
        <w:t>Introduc</w:t>
      </w:r>
      <w:r>
        <w:t>ing</w:t>
      </w:r>
      <w:r w:rsidRPr="77B20063">
        <w:t xml:space="preserve"> unique normalisation factor</w:t>
      </w:r>
      <w:r>
        <w:t>s</w:t>
      </w:r>
      <w:r w:rsidRPr="77B20063">
        <w:t xml:space="preserve"> for high, medium, </w:t>
      </w:r>
      <w:proofErr w:type="gramStart"/>
      <w:r w:rsidRPr="77B20063">
        <w:t>low</w:t>
      </w:r>
      <w:proofErr w:type="gramEnd"/>
      <w:r w:rsidRPr="77B20063">
        <w:t xml:space="preserve"> and </w:t>
      </w:r>
      <w:r w:rsidRPr="77B20063" w:rsidDel="00240B13">
        <w:t>remote</w:t>
      </w:r>
      <w:r>
        <w:t>-</w:t>
      </w:r>
      <w:r w:rsidRPr="77B20063">
        <w:t>density areas and Australia-wide linked to adjustments in population.</w:t>
      </w:r>
    </w:p>
    <w:p w14:paraId="26322E28" w14:textId="77777777" w:rsidR="00FB05AF" w:rsidRDefault="00FB05AF" w:rsidP="00FB05AF">
      <w:pPr>
        <w:pStyle w:val="Bulletlevel1"/>
        <w:tabs>
          <w:tab w:val="num" w:pos="295"/>
        </w:tabs>
        <w:ind w:left="295" w:hanging="295"/>
        <w:rPr>
          <w:rFonts w:eastAsia="Arial"/>
          <w:color w:val="000000" w:themeColor="text1"/>
          <w:sz w:val="22"/>
          <w:szCs w:val="22"/>
        </w:rPr>
      </w:pPr>
      <w:r w:rsidRPr="77B20063">
        <w:t>Adjust</w:t>
      </w:r>
      <w:r>
        <w:t>ing</w:t>
      </w:r>
      <w:r w:rsidRPr="77B20063">
        <w:t xml:space="preserve"> each normalisation factor annually on a more granular level by changes in area-specific population for each density classification.</w:t>
      </w:r>
    </w:p>
    <w:p w14:paraId="6E216C33" w14:textId="77777777" w:rsidR="00FB05AF" w:rsidRDefault="00FB05AF" w:rsidP="00FB05AF">
      <w:pPr>
        <w:pStyle w:val="Bulletlevel1last"/>
        <w:tabs>
          <w:tab w:val="num" w:pos="295"/>
        </w:tabs>
        <w:ind w:left="295" w:hanging="295"/>
        <w:rPr>
          <w:rFonts w:eastAsia="Arial"/>
          <w:color w:val="000000" w:themeColor="text1"/>
          <w:sz w:val="22"/>
          <w:szCs w:val="22"/>
        </w:rPr>
      </w:pPr>
      <w:r w:rsidRPr="77B20063">
        <w:lastRenderedPageBreak/>
        <w:t>Us</w:t>
      </w:r>
      <w:r>
        <w:t>ing</w:t>
      </w:r>
      <w:r w:rsidRPr="77B20063">
        <w:t xml:space="preserve"> </w:t>
      </w:r>
      <w:r>
        <w:t>Australian Bureau of Statistics (</w:t>
      </w:r>
      <w:r w:rsidRPr="77B20063">
        <w:t>ABS</w:t>
      </w:r>
      <w:r>
        <w:t>)</w:t>
      </w:r>
      <w:r w:rsidRPr="77B20063">
        <w:t xml:space="preserve"> dataset ‘Population estimates by significant urban areas’ to track </w:t>
      </w:r>
      <w:r>
        <w:t xml:space="preserve">annual changes in </w:t>
      </w:r>
      <w:r w:rsidRPr="77B20063">
        <w:t>area-specific population.</w:t>
      </w:r>
    </w:p>
    <w:p w14:paraId="1E94A8F2" w14:textId="1464DEA6" w:rsidR="00FD0E3B" w:rsidRDefault="00FB05AF" w:rsidP="00FB05AF">
      <w:pPr>
        <w:pStyle w:val="Paragraph"/>
      </w:pPr>
      <w:r>
        <w:t xml:space="preserve">These proposals will smooth annual changes to </w:t>
      </w:r>
      <w:r w:rsidR="00A768D2">
        <w:t>taxes since</w:t>
      </w:r>
      <w:r>
        <w:t xml:space="preserve"> annual changes in population are more stable than CPI</w:t>
      </w:r>
      <w:r w:rsidR="003B61E0">
        <w:t xml:space="preserve">, and </w:t>
      </w:r>
      <w:r>
        <w:t>better reflect changes in demand for spectrum</w:t>
      </w:r>
      <w:r w:rsidR="00CF0494">
        <w:t xml:space="preserve">, since population is a good </w:t>
      </w:r>
      <w:r w:rsidR="0045395D">
        <w:t xml:space="preserve">proxy for spectrum </w:t>
      </w:r>
      <w:r w:rsidR="00D02951">
        <w:t>demand</w:t>
      </w:r>
      <w:r>
        <w:t>.</w:t>
      </w:r>
      <w:r w:rsidR="00192E43">
        <w:t xml:space="preserve"> </w:t>
      </w:r>
      <w:r>
        <w:t>Table</w:t>
      </w:r>
      <w:r w:rsidR="000A7568">
        <w:t xml:space="preserve"> </w:t>
      </w:r>
      <w:r w:rsidR="005C17CE">
        <w:t>8</w:t>
      </w:r>
      <w:r>
        <w:t xml:space="preserve"> below shows </w:t>
      </w:r>
      <w:r w:rsidR="00D5795D">
        <w:t xml:space="preserve">that if we were to use the proposed </w:t>
      </w:r>
      <w:r w:rsidR="005B1442">
        <w:t xml:space="preserve">‘population-adjusted’ </w:t>
      </w:r>
      <w:r w:rsidR="00D5795D">
        <w:t>method</w:t>
      </w:r>
      <w:r w:rsidR="005B1442">
        <w:t xml:space="preserve">, then </w:t>
      </w:r>
      <w:r>
        <w:t xml:space="preserve">the change in tax between the years 2010 and 2020 implied for each density area classification </w:t>
      </w:r>
      <w:r w:rsidR="005B1442">
        <w:t>would be more granularly applied/targeted</w:t>
      </w:r>
      <w:r w:rsidR="00192E43">
        <w:t xml:space="preserve">, reflecting that underlying change in </w:t>
      </w:r>
      <w:r>
        <w:t>population</w:t>
      </w:r>
      <w:r w:rsidR="0081660F">
        <w:t xml:space="preserve"> specific to each density area</w:t>
      </w:r>
      <w:r>
        <w:t>.</w:t>
      </w:r>
      <w:r w:rsidR="0081660F">
        <w:t xml:space="preserve"> </w:t>
      </w:r>
      <w:r>
        <w:t xml:space="preserve">This is compared to the uniform change across all density areas of </w:t>
      </w:r>
      <w:r w:rsidRPr="77B20063">
        <w:t xml:space="preserve">19.35% over the same period using CPI. </w:t>
      </w:r>
    </w:p>
    <w:p w14:paraId="1340DF29" w14:textId="7CBE3D00" w:rsidR="00FB05AF" w:rsidRDefault="0098628B" w:rsidP="00FB05AF">
      <w:pPr>
        <w:pStyle w:val="Paragraph"/>
      </w:pPr>
      <w:r>
        <w:t>If</w:t>
      </w:r>
      <w:r w:rsidR="00FB05AF">
        <w:t xml:space="preserve"> these population changes move along a similar trajectory in future, adjusting prices based on population changes will mean that tax increases will be applied where there is higher likelihood of underlying demand for spectrum. </w:t>
      </w:r>
    </w:p>
    <w:p w14:paraId="3ABDDA79" w14:textId="3F430D33" w:rsidR="00FB05AF" w:rsidRDefault="007B6653" w:rsidP="006E6ED7">
      <w:pPr>
        <w:pStyle w:val="Caption"/>
        <w:rPr>
          <w:rFonts w:eastAsia="Arial"/>
        </w:rPr>
      </w:pPr>
      <w:r>
        <w:rPr>
          <w:rFonts w:eastAsia="Arial"/>
        </w:rPr>
        <w:t>P</w:t>
      </w:r>
      <w:r w:rsidR="00FB05AF" w:rsidRPr="77B20063">
        <w:rPr>
          <w:rFonts w:eastAsia="Arial"/>
        </w:rPr>
        <w:t xml:space="preserve">opulation </w:t>
      </w:r>
      <w:r>
        <w:rPr>
          <w:rFonts w:eastAsia="Arial"/>
        </w:rPr>
        <w:t xml:space="preserve">growth </w:t>
      </w:r>
      <w:r w:rsidRPr="77B20063">
        <w:rPr>
          <w:rFonts w:eastAsia="Arial"/>
        </w:rPr>
        <w:t xml:space="preserve">by </w:t>
      </w:r>
      <w:r w:rsidR="00E07ACF">
        <w:rPr>
          <w:rFonts w:eastAsia="Arial"/>
        </w:rPr>
        <w:t>density area</w:t>
      </w:r>
      <w:r w:rsidR="0074388E">
        <w:rPr>
          <w:rFonts w:eastAsia="Arial"/>
        </w:rPr>
        <w:t xml:space="preserve"> </w:t>
      </w:r>
      <w:r w:rsidR="0074388E" w:rsidRPr="77B20063">
        <w:rPr>
          <w:rFonts w:eastAsia="Arial"/>
        </w:rPr>
        <w:t>(2010–20)</w:t>
      </w:r>
    </w:p>
    <w:tbl>
      <w:tblPr>
        <w:tblW w:w="7696" w:type="dxa"/>
        <w:tblInd w:w="-10" w:type="dxa"/>
        <w:tblCellMar>
          <w:top w:w="57" w:type="dxa"/>
          <w:bottom w:w="57" w:type="dxa"/>
        </w:tblCellMar>
        <w:tblLook w:val="04A0" w:firstRow="1" w:lastRow="0" w:firstColumn="1" w:lastColumn="0" w:noHBand="0" w:noVBand="1"/>
      </w:tblPr>
      <w:tblGrid>
        <w:gridCol w:w="1617"/>
        <w:gridCol w:w="1452"/>
        <w:gridCol w:w="1609"/>
        <w:gridCol w:w="1452"/>
        <w:gridCol w:w="1566"/>
      </w:tblGrid>
      <w:tr w:rsidR="00FB05AF" w:rsidRPr="00F733D5" w14:paraId="7B6EF6C6" w14:textId="77777777" w:rsidTr="00C80AAD">
        <w:trPr>
          <w:trHeight w:val="230"/>
        </w:trPr>
        <w:tc>
          <w:tcPr>
            <w:tcW w:w="7696" w:type="dxa"/>
            <w:gridSpan w:val="5"/>
            <w:tcBorders>
              <w:top w:val="single" w:sz="8" w:space="0" w:color="auto"/>
              <w:left w:val="single" w:sz="8" w:space="0" w:color="auto"/>
              <w:bottom w:val="single" w:sz="8" w:space="0" w:color="auto"/>
              <w:right w:val="single" w:sz="8" w:space="0" w:color="000000"/>
            </w:tcBorders>
            <w:shd w:val="clear" w:color="000000" w:fill="404040"/>
            <w:noWrap/>
            <w:vAlign w:val="center"/>
            <w:hideMark/>
          </w:tcPr>
          <w:p w14:paraId="20731EBD" w14:textId="62EA926D" w:rsidR="00FB05AF" w:rsidRPr="00E14798" w:rsidRDefault="00FB05AF" w:rsidP="00C80AAD">
            <w:pPr>
              <w:spacing w:after="0" w:line="240" w:lineRule="auto"/>
              <w:jc w:val="center"/>
              <w:rPr>
                <w:rFonts w:cs="Arial"/>
                <w:b/>
                <w:bCs/>
                <w:color w:val="FFFFFF"/>
                <w:sz w:val="18"/>
                <w:szCs w:val="22"/>
              </w:rPr>
            </w:pPr>
            <w:r w:rsidRPr="00E14798">
              <w:rPr>
                <w:rFonts w:cs="Arial"/>
                <w:b/>
                <w:bCs/>
                <w:color w:val="FFFFFF"/>
                <w:sz w:val="18"/>
                <w:szCs w:val="22"/>
              </w:rPr>
              <w:t>Geographic location</w:t>
            </w:r>
            <w:r w:rsidR="009B0916">
              <w:rPr>
                <w:rFonts w:cs="Arial"/>
                <w:b/>
                <w:bCs/>
                <w:color w:val="FFFFFF"/>
                <w:sz w:val="18"/>
                <w:szCs w:val="22"/>
              </w:rPr>
              <w:t xml:space="preserve"> / density area</w:t>
            </w:r>
          </w:p>
        </w:tc>
      </w:tr>
      <w:tr w:rsidR="00CE5E88" w:rsidRPr="00F733D5" w14:paraId="3482794D" w14:textId="77777777" w:rsidTr="00CA4AA9">
        <w:trPr>
          <w:trHeight w:val="230"/>
        </w:trPr>
        <w:tc>
          <w:tcPr>
            <w:tcW w:w="1617" w:type="dxa"/>
            <w:tcBorders>
              <w:top w:val="nil"/>
              <w:left w:val="single" w:sz="8" w:space="0" w:color="auto"/>
              <w:bottom w:val="single" w:sz="8" w:space="0" w:color="auto"/>
              <w:right w:val="single" w:sz="8" w:space="0" w:color="auto"/>
            </w:tcBorders>
            <w:shd w:val="clear" w:color="000000" w:fill="404040"/>
            <w:noWrap/>
            <w:vAlign w:val="center"/>
            <w:hideMark/>
          </w:tcPr>
          <w:p w14:paraId="6AFDFA05" w14:textId="77777777" w:rsidR="00FB05AF" w:rsidRPr="00E14798" w:rsidRDefault="00FB05AF" w:rsidP="00C80AAD">
            <w:pPr>
              <w:spacing w:after="0" w:line="240" w:lineRule="auto"/>
              <w:jc w:val="center"/>
              <w:rPr>
                <w:rFonts w:cs="Arial"/>
                <w:b/>
                <w:bCs/>
                <w:color w:val="FFFFFF"/>
                <w:sz w:val="18"/>
                <w:szCs w:val="22"/>
              </w:rPr>
            </w:pPr>
            <w:r w:rsidRPr="00E14798">
              <w:rPr>
                <w:rFonts w:cs="Arial"/>
                <w:b/>
                <w:bCs/>
                <w:color w:val="FFFFFF"/>
                <w:sz w:val="18"/>
                <w:szCs w:val="22"/>
              </w:rPr>
              <w:t>Aus</w:t>
            </w:r>
            <w:r>
              <w:rPr>
                <w:rFonts w:cs="Arial"/>
                <w:b/>
                <w:bCs/>
                <w:color w:val="FFFFFF"/>
                <w:sz w:val="18"/>
                <w:szCs w:val="22"/>
              </w:rPr>
              <w:t>tralia-wide</w:t>
            </w:r>
          </w:p>
        </w:tc>
        <w:tc>
          <w:tcPr>
            <w:tcW w:w="1452" w:type="dxa"/>
            <w:tcBorders>
              <w:top w:val="nil"/>
              <w:left w:val="nil"/>
              <w:bottom w:val="single" w:sz="8" w:space="0" w:color="auto"/>
              <w:right w:val="single" w:sz="8" w:space="0" w:color="auto"/>
            </w:tcBorders>
            <w:shd w:val="clear" w:color="000000" w:fill="404040"/>
            <w:noWrap/>
            <w:vAlign w:val="center"/>
            <w:hideMark/>
          </w:tcPr>
          <w:p w14:paraId="2C6D87D4" w14:textId="77777777" w:rsidR="00FB05AF" w:rsidRPr="00E14798" w:rsidRDefault="00FB05AF" w:rsidP="00C80AAD">
            <w:pPr>
              <w:spacing w:after="0" w:line="240" w:lineRule="auto"/>
              <w:jc w:val="center"/>
              <w:rPr>
                <w:rFonts w:cs="Arial"/>
                <w:b/>
                <w:bCs/>
                <w:color w:val="FFFFFF"/>
                <w:sz w:val="18"/>
                <w:szCs w:val="22"/>
              </w:rPr>
            </w:pPr>
            <w:r w:rsidRPr="00E14798">
              <w:rPr>
                <w:rFonts w:cs="Arial"/>
                <w:b/>
                <w:bCs/>
                <w:color w:val="FFFFFF"/>
                <w:sz w:val="18"/>
                <w:szCs w:val="22"/>
              </w:rPr>
              <w:t>High</w:t>
            </w:r>
          </w:p>
        </w:tc>
        <w:tc>
          <w:tcPr>
            <w:tcW w:w="1609" w:type="dxa"/>
            <w:tcBorders>
              <w:top w:val="nil"/>
              <w:left w:val="nil"/>
              <w:bottom w:val="single" w:sz="8" w:space="0" w:color="auto"/>
              <w:right w:val="single" w:sz="8" w:space="0" w:color="auto"/>
            </w:tcBorders>
            <w:shd w:val="clear" w:color="000000" w:fill="404040"/>
            <w:noWrap/>
            <w:vAlign w:val="center"/>
            <w:hideMark/>
          </w:tcPr>
          <w:p w14:paraId="0100AD28" w14:textId="77777777" w:rsidR="00FB05AF" w:rsidRPr="00E14798" w:rsidRDefault="00FB05AF" w:rsidP="00C80AAD">
            <w:pPr>
              <w:spacing w:after="0" w:line="240" w:lineRule="auto"/>
              <w:jc w:val="center"/>
              <w:rPr>
                <w:rFonts w:cs="Arial"/>
                <w:b/>
                <w:bCs/>
                <w:color w:val="FFFFFF"/>
                <w:sz w:val="18"/>
                <w:szCs w:val="22"/>
              </w:rPr>
            </w:pPr>
            <w:r w:rsidRPr="00E14798">
              <w:rPr>
                <w:rFonts w:cs="Arial"/>
                <w:b/>
                <w:bCs/>
                <w:color w:val="FFFFFF"/>
                <w:sz w:val="18"/>
                <w:szCs w:val="22"/>
              </w:rPr>
              <w:t>Medium</w:t>
            </w:r>
          </w:p>
        </w:tc>
        <w:tc>
          <w:tcPr>
            <w:tcW w:w="1452" w:type="dxa"/>
            <w:tcBorders>
              <w:top w:val="nil"/>
              <w:left w:val="nil"/>
              <w:bottom w:val="single" w:sz="8" w:space="0" w:color="auto"/>
              <w:right w:val="single" w:sz="8" w:space="0" w:color="auto"/>
            </w:tcBorders>
            <w:shd w:val="clear" w:color="000000" w:fill="404040"/>
            <w:noWrap/>
            <w:vAlign w:val="center"/>
            <w:hideMark/>
          </w:tcPr>
          <w:p w14:paraId="11FF828B" w14:textId="77777777" w:rsidR="00FB05AF" w:rsidRPr="00E14798" w:rsidRDefault="00FB05AF" w:rsidP="00C80AAD">
            <w:pPr>
              <w:spacing w:after="0" w:line="240" w:lineRule="auto"/>
              <w:jc w:val="center"/>
              <w:rPr>
                <w:rFonts w:cs="Arial"/>
                <w:b/>
                <w:bCs/>
                <w:color w:val="FFFFFF"/>
                <w:sz w:val="18"/>
                <w:szCs w:val="22"/>
              </w:rPr>
            </w:pPr>
            <w:r w:rsidRPr="00E14798">
              <w:rPr>
                <w:rFonts w:cs="Arial"/>
                <w:b/>
                <w:bCs/>
                <w:color w:val="FFFFFF"/>
                <w:sz w:val="18"/>
                <w:szCs w:val="22"/>
              </w:rPr>
              <w:t>Low</w:t>
            </w:r>
          </w:p>
        </w:tc>
        <w:tc>
          <w:tcPr>
            <w:tcW w:w="1566" w:type="dxa"/>
            <w:tcBorders>
              <w:top w:val="nil"/>
              <w:left w:val="nil"/>
              <w:bottom w:val="single" w:sz="8" w:space="0" w:color="auto"/>
              <w:right w:val="single" w:sz="8" w:space="0" w:color="auto"/>
            </w:tcBorders>
            <w:shd w:val="clear" w:color="000000" w:fill="404040"/>
            <w:noWrap/>
            <w:vAlign w:val="center"/>
            <w:hideMark/>
          </w:tcPr>
          <w:p w14:paraId="123FCC04" w14:textId="77777777" w:rsidR="00FB05AF" w:rsidRPr="00E14798" w:rsidRDefault="00FB05AF" w:rsidP="00C80AAD">
            <w:pPr>
              <w:spacing w:after="0" w:line="240" w:lineRule="auto"/>
              <w:jc w:val="center"/>
              <w:rPr>
                <w:rFonts w:cs="Arial"/>
                <w:b/>
                <w:bCs/>
                <w:color w:val="FFFFFF"/>
                <w:sz w:val="18"/>
                <w:szCs w:val="22"/>
              </w:rPr>
            </w:pPr>
            <w:r w:rsidRPr="00E14798">
              <w:rPr>
                <w:rFonts w:cs="Arial"/>
                <w:b/>
                <w:bCs/>
                <w:color w:val="FFFFFF"/>
                <w:sz w:val="18"/>
                <w:szCs w:val="22"/>
              </w:rPr>
              <w:t>Remote</w:t>
            </w:r>
          </w:p>
        </w:tc>
      </w:tr>
      <w:tr w:rsidR="00FB05AF" w:rsidRPr="00F733D5" w14:paraId="31D59DED" w14:textId="77777777" w:rsidTr="00CA4AA9">
        <w:trPr>
          <w:trHeight w:val="230"/>
        </w:trPr>
        <w:tc>
          <w:tcPr>
            <w:tcW w:w="1617" w:type="dxa"/>
            <w:tcBorders>
              <w:top w:val="nil"/>
              <w:left w:val="single" w:sz="8" w:space="0" w:color="auto"/>
              <w:bottom w:val="single" w:sz="8" w:space="0" w:color="auto"/>
              <w:right w:val="single" w:sz="8" w:space="0" w:color="auto"/>
            </w:tcBorders>
            <w:shd w:val="clear" w:color="auto" w:fill="auto"/>
            <w:noWrap/>
            <w:vAlign w:val="center"/>
            <w:hideMark/>
          </w:tcPr>
          <w:p w14:paraId="0C7457E1" w14:textId="77777777" w:rsidR="00FB05AF" w:rsidRPr="00E14798" w:rsidRDefault="00FB05AF" w:rsidP="00C80AAD">
            <w:pPr>
              <w:spacing w:after="0" w:line="240" w:lineRule="auto"/>
              <w:jc w:val="center"/>
              <w:rPr>
                <w:rFonts w:cs="Arial"/>
                <w:color w:val="000000"/>
                <w:sz w:val="18"/>
                <w:szCs w:val="22"/>
              </w:rPr>
            </w:pPr>
            <w:r w:rsidRPr="00E14798">
              <w:rPr>
                <w:rFonts w:cs="Arial"/>
                <w:color w:val="000000"/>
                <w:sz w:val="18"/>
                <w:szCs w:val="22"/>
              </w:rPr>
              <w:t>16.64%</w:t>
            </w:r>
          </w:p>
        </w:tc>
        <w:tc>
          <w:tcPr>
            <w:tcW w:w="1452" w:type="dxa"/>
            <w:tcBorders>
              <w:top w:val="nil"/>
              <w:left w:val="nil"/>
              <w:bottom w:val="single" w:sz="8" w:space="0" w:color="auto"/>
              <w:right w:val="single" w:sz="8" w:space="0" w:color="auto"/>
            </w:tcBorders>
            <w:shd w:val="clear" w:color="auto" w:fill="auto"/>
            <w:noWrap/>
            <w:vAlign w:val="center"/>
            <w:hideMark/>
          </w:tcPr>
          <w:p w14:paraId="665C06D9" w14:textId="77777777" w:rsidR="00FB05AF" w:rsidRPr="00E14798" w:rsidRDefault="00FB05AF" w:rsidP="00C80AAD">
            <w:pPr>
              <w:spacing w:after="0" w:line="240" w:lineRule="auto"/>
              <w:jc w:val="center"/>
              <w:rPr>
                <w:rFonts w:cs="Arial"/>
                <w:color w:val="000000"/>
                <w:sz w:val="18"/>
                <w:szCs w:val="22"/>
              </w:rPr>
            </w:pPr>
            <w:r w:rsidRPr="00E14798">
              <w:rPr>
                <w:rFonts w:cs="Arial"/>
                <w:color w:val="000000"/>
                <w:sz w:val="18"/>
                <w:szCs w:val="22"/>
              </w:rPr>
              <w:t>21.69%</w:t>
            </w:r>
          </w:p>
        </w:tc>
        <w:tc>
          <w:tcPr>
            <w:tcW w:w="1609" w:type="dxa"/>
            <w:tcBorders>
              <w:top w:val="nil"/>
              <w:left w:val="nil"/>
              <w:bottom w:val="single" w:sz="8" w:space="0" w:color="auto"/>
              <w:right w:val="single" w:sz="8" w:space="0" w:color="auto"/>
            </w:tcBorders>
            <w:shd w:val="clear" w:color="auto" w:fill="auto"/>
            <w:noWrap/>
            <w:vAlign w:val="center"/>
            <w:hideMark/>
          </w:tcPr>
          <w:p w14:paraId="737FAC8D" w14:textId="77777777" w:rsidR="00FB05AF" w:rsidRPr="00E14798" w:rsidRDefault="00FB05AF" w:rsidP="00C80AAD">
            <w:pPr>
              <w:spacing w:after="0" w:line="240" w:lineRule="auto"/>
              <w:jc w:val="center"/>
              <w:rPr>
                <w:rFonts w:cs="Arial"/>
                <w:color w:val="000000"/>
                <w:sz w:val="18"/>
                <w:szCs w:val="22"/>
              </w:rPr>
            </w:pPr>
            <w:r w:rsidRPr="00E14798">
              <w:rPr>
                <w:rFonts w:cs="Arial"/>
                <w:color w:val="000000"/>
                <w:sz w:val="18"/>
                <w:szCs w:val="22"/>
              </w:rPr>
              <w:t>14.68%</w:t>
            </w:r>
          </w:p>
        </w:tc>
        <w:tc>
          <w:tcPr>
            <w:tcW w:w="1452" w:type="dxa"/>
            <w:tcBorders>
              <w:top w:val="nil"/>
              <w:left w:val="nil"/>
              <w:bottom w:val="single" w:sz="8" w:space="0" w:color="auto"/>
              <w:right w:val="single" w:sz="8" w:space="0" w:color="auto"/>
            </w:tcBorders>
            <w:shd w:val="clear" w:color="auto" w:fill="auto"/>
            <w:noWrap/>
            <w:vAlign w:val="center"/>
            <w:hideMark/>
          </w:tcPr>
          <w:p w14:paraId="040B8D2B" w14:textId="77777777" w:rsidR="00FB05AF" w:rsidRPr="00E14798" w:rsidRDefault="00FB05AF" w:rsidP="00C80AAD">
            <w:pPr>
              <w:spacing w:after="0" w:line="240" w:lineRule="auto"/>
              <w:jc w:val="center"/>
              <w:rPr>
                <w:rFonts w:cs="Arial"/>
                <w:color w:val="000000"/>
                <w:sz w:val="18"/>
                <w:szCs w:val="22"/>
              </w:rPr>
            </w:pPr>
            <w:r w:rsidRPr="00E14798">
              <w:rPr>
                <w:rFonts w:cs="Arial"/>
                <w:color w:val="000000"/>
                <w:sz w:val="18"/>
                <w:szCs w:val="22"/>
              </w:rPr>
              <w:t>12.20%</w:t>
            </w:r>
          </w:p>
        </w:tc>
        <w:tc>
          <w:tcPr>
            <w:tcW w:w="1566" w:type="dxa"/>
            <w:tcBorders>
              <w:top w:val="nil"/>
              <w:left w:val="nil"/>
              <w:bottom w:val="single" w:sz="8" w:space="0" w:color="auto"/>
              <w:right w:val="single" w:sz="8" w:space="0" w:color="auto"/>
            </w:tcBorders>
            <w:shd w:val="clear" w:color="auto" w:fill="auto"/>
            <w:noWrap/>
            <w:vAlign w:val="center"/>
            <w:hideMark/>
          </w:tcPr>
          <w:p w14:paraId="4A336C7C" w14:textId="77777777" w:rsidR="00FB05AF" w:rsidRPr="00E14798" w:rsidRDefault="00FB05AF" w:rsidP="00C80AAD">
            <w:pPr>
              <w:spacing w:after="0" w:line="240" w:lineRule="auto"/>
              <w:jc w:val="center"/>
              <w:rPr>
                <w:rFonts w:cs="Arial"/>
                <w:color w:val="000000"/>
                <w:sz w:val="18"/>
                <w:szCs w:val="22"/>
              </w:rPr>
            </w:pPr>
            <w:r w:rsidRPr="00E14798">
              <w:rPr>
                <w:rFonts w:cs="Arial"/>
                <w:color w:val="000000"/>
                <w:sz w:val="18"/>
                <w:szCs w:val="22"/>
              </w:rPr>
              <w:t>6.58%</w:t>
            </w:r>
          </w:p>
        </w:tc>
      </w:tr>
    </w:tbl>
    <w:p w14:paraId="7CED8B38" w14:textId="77777777" w:rsidR="001E2E4E" w:rsidRDefault="001E2E4E" w:rsidP="00CA4AA9">
      <w:pPr>
        <w:spacing w:after="160" w:line="259" w:lineRule="auto"/>
        <w:rPr>
          <w:rFonts w:eastAsia="Arial"/>
          <w:highlight w:val="yellow"/>
        </w:rPr>
      </w:pPr>
    </w:p>
    <w:p w14:paraId="42566B73" w14:textId="1A66BAF2" w:rsidR="0027374D" w:rsidRPr="006E6ED7" w:rsidRDefault="00484667" w:rsidP="006E6ED7">
      <w:pPr>
        <w:pStyle w:val="Heading4"/>
      </w:pPr>
      <w:bookmarkStart w:id="43" w:name="_Toc86153498"/>
      <w:r w:rsidRPr="006E6ED7">
        <w:t xml:space="preserve">Expand the </w:t>
      </w:r>
      <w:r w:rsidR="0027374D" w:rsidRPr="006E6ED7">
        <w:t>Perth and Adelaide</w:t>
      </w:r>
      <w:bookmarkEnd w:id="43"/>
      <w:r w:rsidRPr="006E6ED7">
        <w:t xml:space="preserve"> medium density areas</w:t>
      </w:r>
    </w:p>
    <w:p w14:paraId="0864FFC9" w14:textId="439D9877" w:rsidR="0027374D" w:rsidRDefault="0027374D" w:rsidP="0027374D">
      <w:pPr>
        <w:pStyle w:val="Paragraph"/>
      </w:pPr>
      <w:r w:rsidRPr="77B20063">
        <w:t xml:space="preserve">Geographic density area classifications are used in tandem with location weightings to determine the tax </w:t>
      </w:r>
      <w:r>
        <w:t xml:space="preserve">for </w:t>
      </w:r>
      <w:r w:rsidRPr="77B20063">
        <w:t xml:space="preserve">apparatus licences. Each geographic location in Australia is assigned a density of either high, medium, low, or remote, reflecting their spectrum </w:t>
      </w:r>
      <w:r>
        <w:t>and population densities</w:t>
      </w:r>
      <w:r w:rsidRPr="77B20063">
        <w:t xml:space="preserve">, which then informs which location weighting is applicable when calculating taxes due. See </w:t>
      </w:r>
      <w:r w:rsidRPr="006E6ED7">
        <w:rPr>
          <w:b/>
          <w:bCs/>
        </w:rPr>
        <w:t xml:space="preserve">Appendix </w:t>
      </w:r>
      <w:r w:rsidR="00C3021C" w:rsidRPr="006E6ED7">
        <w:rPr>
          <w:b/>
          <w:bCs/>
        </w:rPr>
        <w:t>B</w:t>
      </w:r>
      <w:r w:rsidR="00C3021C">
        <w:t xml:space="preserve"> for d</w:t>
      </w:r>
      <w:r w:rsidR="00A53F02">
        <w:t xml:space="preserve">ensity area </w:t>
      </w:r>
      <w:r w:rsidRPr="77B20063">
        <w:t>detail</w:t>
      </w:r>
      <w:r>
        <w:t>s</w:t>
      </w:r>
      <w:r w:rsidRPr="77B20063">
        <w:t xml:space="preserve">. </w:t>
      </w:r>
    </w:p>
    <w:p w14:paraId="2C87C996" w14:textId="77777777" w:rsidR="00A50449" w:rsidRDefault="0027374D" w:rsidP="0027374D">
      <w:pPr>
        <w:pStyle w:val="Paragraph"/>
      </w:pPr>
      <w:r>
        <w:t xml:space="preserve">The ACMA has reviewed the density areas and considers that they continue to be useful in providing incentives for efficient spectrum uses by setting relatively higher taxes where there is higher demand and higher potential for congestion and interference, and vice versa. </w:t>
      </w:r>
    </w:p>
    <w:p w14:paraId="3C8EE4A3" w14:textId="5FC58725" w:rsidR="0027374D" w:rsidRDefault="0027374D" w:rsidP="0027374D">
      <w:pPr>
        <w:pStyle w:val="Paragraph"/>
      </w:pPr>
      <w:r>
        <w:t>However, it was apparent that there are some anomalies with how the density areas are defined. One observation is that t</w:t>
      </w:r>
      <w:r w:rsidRPr="00990BFC">
        <w:t xml:space="preserve">he current Perth and Adelaide </w:t>
      </w:r>
      <w:r w:rsidRPr="00990BFC" w:rsidDel="00DD0833">
        <w:t>medium</w:t>
      </w:r>
      <w:r>
        <w:t>-</w:t>
      </w:r>
      <w:r w:rsidRPr="00990BFC">
        <w:t xml:space="preserve">density areas </w:t>
      </w:r>
      <w:r>
        <w:t xml:space="preserve">(see Figure </w:t>
      </w:r>
      <w:r w:rsidR="00D02310">
        <w:t>3</w:t>
      </w:r>
      <w:r>
        <w:t xml:space="preserve"> below) </w:t>
      </w:r>
      <w:r w:rsidRPr="00990BFC">
        <w:t xml:space="preserve">are drawn relatively close to </w:t>
      </w:r>
      <w:r>
        <w:t xml:space="preserve">their </w:t>
      </w:r>
      <w:r w:rsidRPr="00990BFC">
        <w:t>suburban boundaries</w:t>
      </w:r>
      <w:r>
        <w:t xml:space="preserve">, and do not capture the urban growth and increased density that has occurred in recent years. This is in stark contrast to </w:t>
      </w:r>
      <w:r w:rsidRPr="00990BFC">
        <w:t xml:space="preserve">the Melbourne, Sydney, and Brisbane </w:t>
      </w:r>
      <w:r w:rsidRPr="00990BFC" w:rsidDel="00DD0833">
        <w:t>high</w:t>
      </w:r>
      <w:r>
        <w:t>-</w:t>
      </w:r>
      <w:r w:rsidRPr="00990BFC">
        <w:t>density areas</w:t>
      </w:r>
      <w:r>
        <w:t xml:space="preserve"> that are significantly larger and include the growth in these cities in the last two decades</w:t>
      </w:r>
      <w:r w:rsidRPr="00990BFC">
        <w:t>. For reference, the Adelaide area covers 3,179</w:t>
      </w:r>
      <w:r>
        <w:t> </w:t>
      </w:r>
      <w:r w:rsidRPr="00990BFC">
        <w:t>sqm and</w:t>
      </w:r>
      <w:r>
        <w:t xml:space="preserve"> the</w:t>
      </w:r>
      <w:r w:rsidRPr="00990BFC">
        <w:t xml:space="preserve"> Perth</w:t>
      </w:r>
      <w:r>
        <w:t xml:space="preserve"> area</w:t>
      </w:r>
      <w:r w:rsidRPr="00990BFC">
        <w:t xml:space="preserve"> covers 3,852 sqm, while the Melbourne area covers 15,524 sqm and </w:t>
      </w:r>
      <w:r>
        <w:t xml:space="preserve">the </w:t>
      </w:r>
      <w:r w:rsidRPr="00990BFC">
        <w:t xml:space="preserve">Sydney area covers 15,538 sqm. </w:t>
      </w:r>
    </w:p>
    <w:p w14:paraId="50E620E6" w14:textId="5049163D" w:rsidR="0027374D" w:rsidRPr="00990BFC" w:rsidRDefault="00624A33" w:rsidP="00624A33">
      <w:pPr>
        <w:pStyle w:val="Caption"/>
        <w:keepNext/>
        <w:numPr>
          <w:ilvl w:val="0"/>
          <w:numId w:val="0"/>
        </w:numPr>
        <w:ind w:left="964" w:hanging="964"/>
      </w:pPr>
      <w:r>
        <w:lastRenderedPageBreak/>
        <w:t xml:space="preserve">Figure </w:t>
      </w:r>
      <w:r w:rsidR="00C35894">
        <w:fldChar w:fldCharType="begin"/>
      </w:r>
      <w:r w:rsidR="00C35894">
        <w:instrText xml:space="preserve"> SEQ Figure \* ARABIC </w:instrText>
      </w:r>
      <w:r w:rsidR="00C35894">
        <w:fldChar w:fldCharType="separate"/>
      </w:r>
      <w:r w:rsidR="00FE0943">
        <w:rPr>
          <w:noProof/>
        </w:rPr>
        <w:t>3</w:t>
      </w:r>
      <w:r w:rsidR="00C35894">
        <w:rPr>
          <w:noProof/>
        </w:rPr>
        <w:fldChar w:fldCharType="end"/>
      </w:r>
      <w:r>
        <w:t xml:space="preserve">: </w:t>
      </w:r>
      <w:r w:rsidR="0027374D">
        <w:t xml:space="preserve">Current boundaries for Adelaide and Perth </w:t>
      </w:r>
      <w:r w:rsidR="0027374D">
        <w:br/>
        <w:t xml:space="preserve">(classified as </w:t>
      </w:r>
      <w:r w:rsidR="0027374D" w:rsidDel="00DD0833">
        <w:t>medium</w:t>
      </w:r>
      <w:r w:rsidR="0027374D">
        <w:t>-density areas)</w:t>
      </w:r>
    </w:p>
    <w:p w14:paraId="2788EFAC" w14:textId="77777777" w:rsidR="0027374D" w:rsidRDefault="0027374D" w:rsidP="0027374D">
      <w:pPr>
        <w:pStyle w:val="Paragraph"/>
      </w:pPr>
      <w:r>
        <w:rPr>
          <w:noProof/>
        </w:rPr>
        <w:drawing>
          <wp:inline distT="0" distB="0" distL="0" distR="0" wp14:anchorId="068341B3" wp14:editId="747C25E6">
            <wp:extent cx="4266000" cy="2782800"/>
            <wp:effectExtent l="0" t="0" r="1270" b="0"/>
            <wp:docPr id="10" name="Picture 10" descr="Figure 1: Current boundaries for Adelaide and Perth (classified as medium-dens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Current boundaries for Adelaide and Perth (classified as medium-density area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66000" cy="2782800"/>
                    </a:xfrm>
                    <a:prstGeom prst="rect">
                      <a:avLst/>
                    </a:prstGeom>
                    <a:noFill/>
                    <a:ln>
                      <a:noFill/>
                    </a:ln>
                  </pic:spPr>
                </pic:pic>
              </a:graphicData>
            </a:graphic>
          </wp:inline>
        </w:drawing>
      </w:r>
    </w:p>
    <w:p w14:paraId="4B5F6456" w14:textId="660FFACB" w:rsidR="0027374D" w:rsidRDefault="0027374D" w:rsidP="0027374D">
      <w:pPr>
        <w:pStyle w:val="Paragraph"/>
      </w:pPr>
      <w:r>
        <w:t xml:space="preserve">As a result of the current application of medium density, Perth and Adelaide stand out as anomalies when mapping each density area against total assignment density and population density. Given current geographic area classifications, </w:t>
      </w:r>
      <w:proofErr w:type="gramStart"/>
      <w:r>
        <w:t>Perth</w:t>
      </w:r>
      <w:proofErr w:type="gramEnd"/>
      <w:r>
        <w:t xml:space="preserve"> and Adelaide both have higher population density and assignment density compared to the high-density areas of Melbourne, Sydney, and Brisbane (see Figure </w:t>
      </w:r>
      <w:r w:rsidR="00D02310">
        <w:t>4</w:t>
      </w:r>
      <w:r>
        <w:t xml:space="preserve"> below). </w:t>
      </w:r>
    </w:p>
    <w:p w14:paraId="259922B1" w14:textId="5E074B49" w:rsidR="0027374D" w:rsidRDefault="00624A33" w:rsidP="00D02310">
      <w:pPr>
        <w:pStyle w:val="Caption"/>
        <w:numPr>
          <w:ilvl w:val="0"/>
          <w:numId w:val="0"/>
        </w:numPr>
        <w:ind w:left="964" w:hanging="964"/>
      </w:pPr>
      <w:r>
        <w:t xml:space="preserve">Figure </w:t>
      </w:r>
      <w:r w:rsidR="00C35894">
        <w:fldChar w:fldCharType="begin"/>
      </w:r>
      <w:r w:rsidR="00C35894">
        <w:instrText xml:space="preserve"> SEQ Figure \* ARABIC </w:instrText>
      </w:r>
      <w:r w:rsidR="00C35894">
        <w:fldChar w:fldCharType="separate"/>
      </w:r>
      <w:r w:rsidR="00FE0943">
        <w:rPr>
          <w:noProof/>
        </w:rPr>
        <w:t>4</w:t>
      </w:r>
      <w:r w:rsidR="00C35894">
        <w:rPr>
          <w:noProof/>
        </w:rPr>
        <w:fldChar w:fldCharType="end"/>
      </w:r>
      <w:r w:rsidR="00D02310">
        <w:t xml:space="preserve">: </w:t>
      </w:r>
      <w:r w:rsidR="0027374D">
        <w:t>Current transmitter and population density</w:t>
      </w:r>
    </w:p>
    <w:p w14:paraId="7ED4A5E8" w14:textId="77777777" w:rsidR="0027374D" w:rsidRDefault="0027374D" w:rsidP="0027374D">
      <w:pPr>
        <w:pStyle w:val="Paragraph"/>
      </w:pPr>
      <w:r>
        <w:rPr>
          <w:noProof/>
        </w:rPr>
        <w:drawing>
          <wp:inline distT="0" distB="0" distL="0" distR="0" wp14:anchorId="59C6D965" wp14:editId="3C8EE6D0">
            <wp:extent cx="3056400" cy="3056400"/>
            <wp:effectExtent l="19050" t="19050" r="10795" b="10795"/>
            <wp:docPr id="11" name="Picture 11" descr="Figure 2:  Current transmitter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Current transmitter and population density"/>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56400" cy="3056400"/>
                    </a:xfrm>
                    <a:prstGeom prst="rect">
                      <a:avLst/>
                    </a:prstGeom>
                    <a:noFill/>
                    <a:ln>
                      <a:solidFill>
                        <a:schemeClr val="tx1"/>
                      </a:solidFill>
                    </a:ln>
                  </pic:spPr>
                </pic:pic>
              </a:graphicData>
            </a:graphic>
          </wp:inline>
        </w:drawing>
      </w:r>
      <w:r>
        <w:br/>
      </w:r>
    </w:p>
    <w:p w14:paraId="3EEDABAB" w14:textId="65A524EA" w:rsidR="0027374D" w:rsidRDefault="0027374D" w:rsidP="0027374D">
      <w:pPr>
        <w:pStyle w:val="Paragraphbeforelist"/>
      </w:pPr>
      <w:r>
        <w:t>To align the densities of each of the areas and provide more coherent tax relativities, the ACMA propose</w:t>
      </w:r>
      <w:r w:rsidR="00DE31B4">
        <w:t>d</w:t>
      </w:r>
      <w:r>
        <w:t xml:space="preserve"> the following:</w:t>
      </w:r>
    </w:p>
    <w:p w14:paraId="3EDF98A9" w14:textId="01672B96" w:rsidR="0027374D" w:rsidRDefault="0027374D" w:rsidP="0027374D">
      <w:pPr>
        <w:pStyle w:val="Bulletlevel1"/>
        <w:tabs>
          <w:tab w:val="num" w:pos="295"/>
        </w:tabs>
        <w:ind w:left="295" w:hanging="295"/>
      </w:pPr>
      <w:r>
        <w:t>Increase of the geographic area for Perth and Adelaide to reflect the growth of these cities (primarily to the north and south of each</w:t>
      </w:r>
      <w:r w:rsidR="00135AA5">
        <w:t xml:space="preserve"> city</w:t>
      </w:r>
      <w:r>
        <w:t xml:space="preserve">). </w:t>
      </w:r>
    </w:p>
    <w:p w14:paraId="22F0678F" w14:textId="54CE9794" w:rsidR="0027374D" w:rsidRDefault="0027374D" w:rsidP="0027374D">
      <w:pPr>
        <w:pStyle w:val="Bulletlevel1"/>
        <w:tabs>
          <w:tab w:val="num" w:pos="295"/>
        </w:tabs>
        <w:ind w:left="295" w:hanging="295"/>
      </w:pPr>
      <w:r>
        <w:t xml:space="preserve">The proposed boundaries cover an area more comparable to Melbourne, </w:t>
      </w:r>
      <w:proofErr w:type="gramStart"/>
      <w:r>
        <w:t>Sydney</w:t>
      </w:r>
      <w:proofErr w:type="gramEnd"/>
      <w:r>
        <w:t xml:space="preserve"> and Brisbane. In redrawing these boundaries, the </w:t>
      </w:r>
      <w:r w:rsidDel="00E33CBA">
        <w:t>medium</w:t>
      </w:r>
      <w:r>
        <w:t xml:space="preserve">-density cities of Perth, </w:t>
      </w:r>
      <w:r>
        <w:lastRenderedPageBreak/>
        <w:t xml:space="preserve">Adelaide and Newcastle now have similar densities that cluster </w:t>
      </w:r>
      <w:r w:rsidRPr="00236B17">
        <w:t>together</w:t>
      </w:r>
      <w:r>
        <w:t xml:space="preserve"> below the </w:t>
      </w:r>
      <w:r w:rsidDel="006774D7">
        <w:t>high</w:t>
      </w:r>
      <w:r>
        <w:t xml:space="preserve">-density cities of Melbourne, </w:t>
      </w:r>
      <w:proofErr w:type="gramStart"/>
      <w:r>
        <w:t>Sydney</w:t>
      </w:r>
      <w:proofErr w:type="gramEnd"/>
      <w:r>
        <w:t xml:space="preserve"> and Brisbane (see Figure </w:t>
      </w:r>
      <w:r w:rsidR="00D02310">
        <w:t>5</w:t>
      </w:r>
      <w:r>
        <w:t xml:space="preserve"> below for proposed Adelaide and Perth areas, and Figure </w:t>
      </w:r>
      <w:r w:rsidR="00D02310">
        <w:t>6</w:t>
      </w:r>
      <w:r>
        <w:t xml:space="preserve"> for the new expected relative densities).</w:t>
      </w:r>
    </w:p>
    <w:p w14:paraId="7BC19C75" w14:textId="266A965F" w:rsidR="0027374D" w:rsidRDefault="0027374D" w:rsidP="0027374D">
      <w:pPr>
        <w:pStyle w:val="Bulletlevel1last"/>
        <w:tabs>
          <w:tab w:val="num" w:pos="295"/>
        </w:tabs>
        <w:ind w:left="295" w:hanging="295"/>
      </w:pPr>
      <w:r>
        <w:t xml:space="preserve">Publish the population density and assignment density metrics that we use to classify geographic areas. These metrics are intended to provide transparency of the density area </w:t>
      </w:r>
      <w:proofErr w:type="gramStart"/>
      <w:r>
        <w:t>definitions, and</w:t>
      </w:r>
      <w:proofErr w:type="gramEnd"/>
      <w:r w:rsidR="001D2C37">
        <w:t xml:space="preserve"> provide greater certainty for existing and potential</w:t>
      </w:r>
      <w:r w:rsidR="000E676D">
        <w:t xml:space="preserve"> licensees</w:t>
      </w:r>
      <w:r w:rsidR="00146423">
        <w:t>.</w:t>
      </w:r>
      <w:r w:rsidR="001D2C37">
        <w:t xml:space="preserve"> </w:t>
      </w:r>
      <w:r>
        <w:t xml:space="preserve">  </w:t>
      </w:r>
    </w:p>
    <w:p w14:paraId="4D9C2798" w14:textId="456DBBDF" w:rsidR="0027374D" w:rsidRPr="00D83486" w:rsidRDefault="00D02310" w:rsidP="00D02310">
      <w:pPr>
        <w:pStyle w:val="Caption"/>
        <w:numPr>
          <w:ilvl w:val="0"/>
          <w:numId w:val="0"/>
        </w:numPr>
        <w:ind w:left="964" w:hanging="964"/>
      </w:pPr>
      <w:r>
        <w:t xml:space="preserve">Figure </w:t>
      </w:r>
      <w:r w:rsidR="00C35894">
        <w:fldChar w:fldCharType="begin"/>
      </w:r>
      <w:r w:rsidR="00C35894">
        <w:instrText xml:space="preserve"> SEQ Figure \* ARABIC </w:instrText>
      </w:r>
      <w:r w:rsidR="00C35894">
        <w:fldChar w:fldCharType="separate"/>
      </w:r>
      <w:r w:rsidR="00FE0943">
        <w:rPr>
          <w:noProof/>
        </w:rPr>
        <w:t>5</w:t>
      </w:r>
      <w:r w:rsidR="00C35894">
        <w:rPr>
          <w:noProof/>
        </w:rPr>
        <w:fldChar w:fldCharType="end"/>
      </w:r>
      <w:r>
        <w:t xml:space="preserve">: </w:t>
      </w:r>
      <w:r w:rsidR="0027374D">
        <w:t xml:space="preserve">Proposed boundaries for Adelaide and Perth </w:t>
      </w:r>
      <w:r w:rsidR="0027374D">
        <w:br/>
        <w:t xml:space="preserve">(classified as </w:t>
      </w:r>
      <w:r w:rsidR="0027374D" w:rsidDel="00E33CBA">
        <w:t>medium</w:t>
      </w:r>
      <w:r w:rsidR="0027374D">
        <w:t>-density areas)</w:t>
      </w:r>
    </w:p>
    <w:p w14:paraId="7AA7CC0E" w14:textId="77777777" w:rsidR="0027374D" w:rsidRDefault="0027374D" w:rsidP="0027374D">
      <w:r>
        <w:rPr>
          <w:noProof/>
        </w:rPr>
        <w:drawing>
          <wp:inline distT="0" distB="0" distL="0" distR="0" wp14:anchorId="51397B59" wp14:editId="253DF19B">
            <wp:extent cx="4265930" cy="2750185"/>
            <wp:effectExtent l="0" t="0" r="1270" b="0"/>
            <wp:docPr id="7" name="Picture 7" descr="Figure 3: Proposed boundaries for Adelaide and Perth &#10;(classified as medium-density areas)&#10;"/>
            <wp:cNvGraphicFramePr/>
            <a:graphic xmlns:a="http://schemas.openxmlformats.org/drawingml/2006/main">
              <a:graphicData uri="http://schemas.openxmlformats.org/drawingml/2006/picture">
                <pic:pic xmlns:pic="http://schemas.openxmlformats.org/drawingml/2006/picture">
                  <pic:nvPicPr>
                    <pic:cNvPr id="7" name="Picture 7" descr="Figure 3: Proposed boundaries for Adelaide and Perth &#10;(classified as medium-density areas)&#10;"/>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65930" cy="2750185"/>
                    </a:xfrm>
                    <a:prstGeom prst="rect">
                      <a:avLst/>
                    </a:prstGeom>
                    <a:noFill/>
                    <a:ln>
                      <a:noFill/>
                    </a:ln>
                  </pic:spPr>
                </pic:pic>
              </a:graphicData>
            </a:graphic>
          </wp:inline>
        </w:drawing>
      </w:r>
    </w:p>
    <w:p w14:paraId="124C2D20" w14:textId="3C252731" w:rsidR="0027374D" w:rsidRDefault="00D02310" w:rsidP="00D02310">
      <w:pPr>
        <w:pStyle w:val="Caption"/>
        <w:numPr>
          <w:ilvl w:val="0"/>
          <w:numId w:val="0"/>
        </w:numPr>
        <w:ind w:left="964" w:hanging="964"/>
      </w:pPr>
      <w:r>
        <w:t xml:space="preserve">Figure </w:t>
      </w:r>
      <w:r w:rsidR="00C35894">
        <w:fldChar w:fldCharType="begin"/>
      </w:r>
      <w:r w:rsidR="00C35894">
        <w:instrText xml:space="preserve"> SEQ Figure \* ARABIC </w:instrText>
      </w:r>
      <w:r w:rsidR="00C35894">
        <w:fldChar w:fldCharType="separate"/>
      </w:r>
      <w:r w:rsidR="00FE0943">
        <w:rPr>
          <w:noProof/>
        </w:rPr>
        <w:t>6</w:t>
      </w:r>
      <w:r w:rsidR="00C35894">
        <w:rPr>
          <w:noProof/>
        </w:rPr>
        <w:fldChar w:fldCharType="end"/>
      </w:r>
      <w:r>
        <w:t xml:space="preserve">: </w:t>
      </w:r>
      <w:r w:rsidR="0027374D">
        <w:t>Proposed transmitter and population density</w:t>
      </w:r>
    </w:p>
    <w:p w14:paraId="0F6BD7CE" w14:textId="77777777" w:rsidR="0027374D" w:rsidRDefault="0027374D" w:rsidP="0027374D">
      <w:r>
        <w:rPr>
          <w:noProof/>
        </w:rPr>
        <w:drawing>
          <wp:inline distT="0" distB="0" distL="0" distR="0" wp14:anchorId="546A8CD7" wp14:editId="16AA0387">
            <wp:extent cx="3349792" cy="3142047"/>
            <wp:effectExtent l="19050" t="19050" r="22225" b="20320"/>
            <wp:docPr id="12" name="Picture 12" descr="Figure 4: Proposed transmitter and population density"/>
            <wp:cNvGraphicFramePr/>
            <a:graphic xmlns:a="http://schemas.openxmlformats.org/drawingml/2006/main">
              <a:graphicData uri="http://schemas.openxmlformats.org/drawingml/2006/picture">
                <pic:pic xmlns:pic="http://schemas.openxmlformats.org/drawingml/2006/picture">
                  <pic:nvPicPr>
                    <pic:cNvPr id="5" name="Picture 5" descr="Figure 4: Proposed transmitter and population density"/>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57095" cy="3148897"/>
                    </a:xfrm>
                    <a:prstGeom prst="rect">
                      <a:avLst/>
                    </a:prstGeom>
                    <a:noFill/>
                    <a:ln>
                      <a:solidFill>
                        <a:schemeClr val="tx1"/>
                      </a:solidFill>
                    </a:ln>
                  </pic:spPr>
                </pic:pic>
              </a:graphicData>
            </a:graphic>
          </wp:inline>
        </w:drawing>
      </w:r>
    </w:p>
    <w:p w14:paraId="3742AFA3" w14:textId="77777777" w:rsidR="0027374D" w:rsidRDefault="0027374D" w:rsidP="0027374D">
      <w:pPr>
        <w:pStyle w:val="Paragraphbeforelist"/>
      </w:pPr>
      <w:r>
        <w:t xml:space="preserve">The ACMA proposes to classify geographic areas using the following metrics for population density and assignment density: </w:t>
      </w:r>
    </w:p>
    <w:p w14:paraId="1458C3BA" w14:textId="1EB54126" w:rsidR="0027374D" w:rsidRDefault="0027374D" w:rsidP="0027374D">
      <w:pPr>
        <w:pStyle w:val="Bulletlevel1"/>
        <w:tabs>
          <w:tab w:val="num" w:pos="295"/>
        </w:tabs>
        <w:ind w:left="295" w:hanging="295"/>
      </w:pPr>
      <w:r>
        <w:lastRenderedPageBreak/>
        <w:t xml:space="preserve">High-density areas are defined as an area with a population density of greater than 220 people per square km and an assignment density of greater than 70 per square km (red </w:t>
      </w:r>
      <w:r w:rsidR="00113A5D">
        <w:t xml:space="preserve">area </w:t>
      </w:r>
      <w:r>
        <w:t xml:space="preserve">in Figure </w:t>
      </w:r>
      <w:r w:rsidR="00D02310">
        <w:t>6</w:t>
      </w:r>
      <w:r>
        <w:t xml:space="preserve">). </w:t>
      </w:r>
    </w:p>
    <w:p w14:paraId="2C59834C" w14:textId="1A2DBD84" w:rsidR="0027374D" w:rsidRDefault="0027374D" w:rsidP="0027374D">
      <w:pPr>
        <w:pStyle w:val="Bulletlevel1"/>
        <w:tabs>
          <w:tab w:val="num" w:pos="295"/>
        </w:tabs>
        <w:ind w:left="295" w:hanging="295"/>
      </w:pPr>
      <w:r>
        <w:t xml:space="preserve">Medium-density areas are defined as an area with a population density greater than 70 people per square km and an assignment density of greater than 30 per square km, that does not meet the definition of a high-density area (blue area in Figure </w:t>
      </w:r>
      <w:r w:rsidR="00D02310">
        <w:t>6</w:t>
      </w:r>
      <w:r>
        <w:t xml:space="preserve">). </w:t>
      </w:r>
    </w:p>
    <w:p w14:paraId="010ED474" w14:textId="222D6D21" w:rsidR="0027374D" w:rsidRDefault="0027374D" w:rsidP="0027374D">
      <w:pPr>
        <w:pStyle w:val="Bulletlevel1"/>
        <w:tabs>
          <w:tab w:val="num" w:pos="295"/>
        </w:tabs>
        <w:ind w:left="295" w:hanging="295"/>
      </w:pPr>
      <w:r>
        <w:t xml:space="preserve">Low-density areas are defined as an area with a population density greater than 2 people per square km and an assignment density of greater than 2 per square km, that does not meet the definition of either medium or high-density area (green area in Figure </w:t>
      </w:r>
      <w:r w:rsidR="00D02310">
        <w:t>6</w:t>
      </w:r>
      <w:r>
        <w:t xml:space="preserve">). </w:t>
      </w:r>
    </w:p>
    <w:p w14:paraId="30F91173" w14:textId="4B4AA264" w:rsidR="0027374D" w:rsidRDefault="0027374D" w:rsidP="0027374D">
      <w:pPr>
        <w:pStyle w:val="Bulletlevel1last"/>
        <w:tabs>
          <w:tab w:val="num" w:pos="295"/>
        </w:tabs>
        <w:ind w:left="295" w:hanging="295"/>
      </w:pPr>
      <w:r>
        <w:t xml:space="preserve">Remote-density areas are defined as areas that do not meet the definition of low, medium, or high-density areas (small orange area in the lower part of Figure </w:t>
      </w:r>
      <w:r w:rsidR="00D02310">
        <w:t>6</w:t>
      </w:r>
      <w:r>
        <w:t>).</w:t>
      </w:r>
    </w:p>
    <w:p w14:paraId="3A7B897F" w14:textId="77C10640" w:rsidR="00EC629B" w:rsidRDefault="0027374D" w:rsidP="00DD1C18">
      <w:pPr>
        <w:rPr>
          <w:rFonts w:cs="Arial"/>
          <w:color w:val="000000"/>
          <w:sz w:val="22"/>
          <w:szCs w:val="22"/>
        </w:rPr>
      </w:pPr>
      <w:r w:rsidRPr="006E6ED7">
        <w:t>The ACMA believes that these proposed changes provide a logical framework for the density areas</w:t>
      </w:r>
      <w:r w:rsidR="007406CB" w:rsidRPr="00A125A7">
        <w:t>.</w:t>
      </w:r>
      <w:r w:rsidRPr="00A125A7">
        <w:t xml:space="preserve"> </w:t>
      </w:r>
      <w:r w:rsidR="007406CB" w:rsidRPr="00A125A7">
        <w:t>However,</w:t>
      </w:r>
      <w:r w:rsidRPr="006E6ED7">
        <w:t xml:space="preserve"> we acknowledge that this is complex and may not fully account for potential spectrum denial of services which can be influenced by different technologies, </w:t>
      </w:r>
      <w:proofErr w:type="gramStart"/>
      <w:r w:rsidRPr="006E6ED7">
        <w:t>geography</w:t>
      </w:r>
      <w:proofErr w:type="gramEnd"/>
      <w:r w:rsidRPr="006E6ED7">
        <w:t xml:space="preserve"> and topography. As such, it is difficult to have a completely formulaic approach to the setting of geographic </w:t>
      </w:r>
      <w:r w:rsidR="001C3132" w:rsidRPr="00A125A7">
        <w:t xml:space="preserve">density </w:t>
      </w:r>
      <w:r w:rsidRPr="006E6ED7">
        <w:t>areas.</w:t>
      </w:r>
      <w:r>
        <w:t xml:space="preserve"> </w:t>
      </w:r>
    </w:p>
    <w:p w14:paraId="743A9B60" w14:textId="4CE3AECC" w:rsidR="001C183D" w:rsidRPr="00747A3E" w:rsidRDefault="005F3AA2" w:rsidP="006E6ED7">
      <w:pPr>
        <w:pStyle w:val="Heading3"/>
      </w:pPr>
      <w:bookmarkStart w:id="44" w:name="_Toc109035842"/>
      <w:bookmarkStart w:id="45" w:name="_Hlk99378051"/>
      <w:r>
        <w:t xml:space="preserve">Proposal to reform </w:t>
      </w:r>
      <w:r w:rsidR="00747A3E" w:rsidRPr="00747A3E">
        <w:t>HPON</w:t>
      </w:r>
      <w:r w:rsidR="00384EB4">
        <w:t xml:space="preserve"> tax</w:t>
      </w:r>
      <w:r>
        <w:t>es</w:t>
      </w:r>
      <w:bookmarkEnd w:id="44"/>
    </w:p>
    <w:p w14:paraId="567C12A6" w14:textId="64DC4335" w:rsidR="00E44C95" w:rsidRDefault="00E44C95" w:rsidP="00E44C95">
      <w:pPr>
        <w:spacing w:after="80"/>
      </w:pPr>
      <w:bookmarkStart w:id="46" w:name="_Toc32833692"/>
      <w:bookmarkStart w:id="47" w:name="_Toc32833747"/>
      <w:bookmarkStart w:id="48" w:name="_Toc32833820"/>
      <w:bookmarkStart w:id="49" w:name="_Toc33176375"/>
      <w:bookmarkStart w:id="50" w:name="_Hlk30167323"/>
      <w:bookmarkEnd w:id="26"/>
      <w:bookmarkEnd w:id="33"/>
      <w:bookmarkEnd w:id="34"/>
      <w:bookmarkEnd w:id="35"/>
      <w:bookmarkEnd w:id="36"/>
      <w:bookmarkEnd w:id="45"/>
      <w:r>
        <w:t>One of the salient pricing issues that stakeholders highlighted in</w:t>
      </w:r>
      <w:r w:rsidR="000F2F3D">
        <w:t xml:space="preserve"> </w:t>
      </w:r>
      <w:r w:rsidR="009C2905">
        <w:t>submissions to</w:t>
      </w:r>
      <w:r>
        <w:t xml:space="preserve"> </w:t>
      </w:r>
      <w:r w:rsidR="009C2905">
        <w:t>the ACMA</w:t>
      </w:r>
      <w:r>
        <w:t xml:space="preserve">, was the disparity of taxes for high-powered open narrowcasting (HPON) licences. </w:t>
      </w:r>
    </w:p>
    <w:p w14:paraId="489DD66C" w14:textId="0B929376" w:rsidR="00C17BAB" w:rsidRDefault="00C17BAB" w:rsidP="00C17BAB">
      <w:pPr>
        <w:rPr>
          <w:snapToGrid w:val="0"/>
          <w:lang w:eastAsia="en-US"/>
        </w:rPr>
      </w:pPr>
      <w:r>
        <w:rPr>
          <w:bCs/>
          <w:snapToGrid w:val="0"/>
          <w:lang w:eastAsia="en-US"/>
        </w:rPr>
        <w:t>Narrowcasting services</w:t>
      </w:r>
      <w:r w:rsidR="00F75677">
        <w:rPr>
          <w:rStyle w:val="FootnoteReference"/>
          <w:rFonts w:cs="Arial"/>
        </w:rPr>
        <w:footnoteReference w:id="19"/>
      </w:r>
      <w:r>
        <w:rPr>
          <w:bCs/>
          <w:snapToGrid w:val="0"/>
          <w:lang w:eastAsia="en-US"/>
        </w:rPr>
        <w:t xml:space="preserve"> are broadcasting services which are limited in reception in one or more ways, including by being targeted to special interest groups or intended for limited geographical locations</w:t>
      </w:r>
      <w:r>
        <w:rPr>
          <w:snapToGrid w:val="0"/>
          <w:lang w:eastAsia="en-US"/>
        </w:rPr>
        <w:t xml:space="preserve">. </w:t>
      </w:r>
    </w:p>
    <w:p w14:paraId="6A37D48F" w14:textId="77777777" w:rsidR="00C17BAB" w:rsidRPr="00343E2B" w:rsidRDefault="00C17BAB" w:rsidP="00C17BAB">
      <w:pPr>
        <w:pStyle w:val="Paragraphbeforelist"/>
        <w:rPr>
          <w:snapToGrid w:val="0"/>
          <w:lang w:eastAsia="en-US"/>
        </w:rPr>
      </w:pPr>
      <w:r w:rsidRPr="00343E2B">
        <w:rPr>
          <w:snapToGrid w:val="0"/>
          <w:lang w:eastAsia="en-US"/>
        </w:rPr>
        <w:t>For example, reception may be limited because the program content is:</w:t>
      </w:r>
    </w:p>
    <w:p w14:paraId="7AE25E4B" w14:textId="77777777" w:rsidR="00C17BAB" w:rsidRDefault="00C17BAB" w:rsidP="00C17BAB">
      <w:pPr>
        <w:pStyle w:val="Bulletlevel1"/>
        <w:tabs>
          <w:tab w:val="num" w:pos="295"/>
        </w:tabs>
        <w:ind w:left="295" w:hanging="295"/>
        <w:rPr>
          <w:snapToGrid w:val="0"/>
          <w:lang w:eastAsia="en-US"/>
        </w:rPr>
      </w:pPr>
      <w:r>
        <w:rPr>
          <w:snapToGrid w:val="0"/>
          <w:lang w:eastAsia="en-US"/>
        </w:rPr>
        <w:t>targeted to special interest groups – for example, people choosing to follow a particular religion</w:t>
      </w:r>
    </w:p>
    <w:p w14:paraId="5948561C" w14:textId="77777777" w:rsidR="00C17BAB" w:rsidRDefault="00C17BAB" w:rsidP="00C17BAB">
      <w:pPr>
        <w:pStyle w:val="Bulletlevel1"/>
        <w:tabs>
          <w:tab w:val="num" w:pos="295"/>
        </w:tabs>
        <w:ind w:left="295" w:hanging="295"/>
        <w:rPr>
          <w:snapToGrid w:val="0"/>
          <w:lang w:eastAsia="en-US"/>
        </w:rPr>
      </w:pPr>
      <w:r>
        <w:rPr>
          <w:snapToGrid w:val="0"/>
          <w:lang w:eastAsia="en-US"/>
        </w:rPr>
        <w:t>intended for reception in limited locations – for example, arenas or business premises</w:t>
      </w:r>
    </w:p>
    <w:p w14:paraId="471C5B8B" w14:textId="77777777" w:rsidR="00C17BAB" w:rsidRDefault="00C17BAB" w:rsidP="00C17BAB">
      <w:pPr>
        <w:pStyle w:val="Bulletlevel1"/>
        <w:tabs>
          <w:tab w:val="num" w:pos="295"/>
        </w:tabs>
        <w:ind w:left="295" w:hanging="295"/>
        <w:rPr>
          <w:snapToGrid w:val="0"/>
          <w:lang w:eastAsia="en-US"/>
        </w:rPr>
      </w:pPr>
      <w:r>
        <w:rPr>
          <w:snapToGrid w:val="0"/>
          <w:lang w:eastAsia="en-US"/>
        </w:rPr>
        <w:t>provided during a limited period to cover a special event – for example, a community fair</w:t>
      </w:r>
    </w:p>
    <w:p w14:paraId="25F0C880" w14:textId="77777777" w:rsidR="00C17BAB" w:rsidRDefault="00C17BAB" w:rsidP="00C17BAB">
      <w:pPr>
        <w:pStyle w:val="Bulletlevel1last"/>
        <w:tabs>
          <w:tab w:val="num" w:pos="295"/>
        </w:tabs>
        <w:ind w:left="295" w:hanging="295"/>
        <w:rPr>
          <w:snapToGrid w:val="0"/>
          <w:lang w:eastAsia="en-US"/>
        </w:rPr>
      </w:pPr>
      <w:r>
        <w:rPr>
          <w:snapToGrid w:val="0"/>
          <w:lang w:eastAsia="en-US"/>
        </w:rPr>
        <w:t>of limited appeal – for example, a language program other than English.</w:t>
      </w:r>
    </w:p>
    <w:p w14:paraId="0258D71F" w14:textId="00EA1E50" w:rsidR="00E44C95" w:rsidRPr="00AC6069" w:rsidRDefault="00E44C95" w:rsidP="00E44C95">
      <w:pPr>
        <w:rPr>
          <w:rFonts w:cs="Arial"/>
        </w:rPr>
      </w:pPr>
      <w:r w:rsidRPr="00AC6069">
        <w:rPr>
          <w:rFonts w:cs="Arial"/>
        </w:rPr>
        <w:t>HPON licence</w:t>
      </w:r>
      <w:r>
        <w:rPr>
          <w:rFonts w:cs="Arial"/>
        </w:rPr>
        <w:t>s</w:t>
      </w:r>
      <w:r w:rsidRPr="00AC6069">
        <w:rPr>
          <w:rFonts w:cs="Arial"/>
        </w:rPr>
        <w:t xml:space="preserve"> </w:t>
      </w:r>
      <w:r>
        <w:rPr>
          <w:rFonts w:cs="Arial"/>
        </w:rPr>
        <w:t xml:space="preserve">are </w:t>
      </w:r>
      <w:r w:rsidRPr="00AC6069">
        <w:rPr>
          <w:rFonts w:cs="Arial"/>
        </w:rPr>
        <w:t>transmitter licence</w:t>
      </w:r>
      <w:r>
        <w:rPr>
          <w:rFonts w:cs="Arial"/>
        </w:rPr>
        <w:t>s</w:t>
      </w:r>
      <w:r w:rsidRPr="00AC6069">
        <w:rPr>
          <w:rFonts w:cs="Arial"/>
        </w:rPr>
        <w:t xml:space="preserve"> which authorise the operation of a transmitter for the provision of an open narrowcasting service at a maximum power which exceeds:</w:t>
      </w:r>
    </w:p>
    <w:p w14:paraId="25418306" w14:textId="77777777" w:rsidR="00E44C95" w:rsidRPr="00AC6069" w:rsidRDefault="00E44C95" w:rsidP="00E44C95">
      <w:pPr>
        <w:pStyle w:val="ListBulletLast"/>
        <w:tabs>
          <w:tab w:val="num" w:pos="295"/>
        </w:tabs>
        <w:ind w:left="295" w:hanging="295"/>
      </w:pPr>
      <w:r w:rsidRPr="00AC6069">
        <w:t xml:space="preserve">if the transmitter is operated in a residential area – 1 </w:t>
      </w:r>
      <w:proofErr w:type="gramStart"/>
      <w:r w:rsidRPr="00AC6069">
        <w:t>watt;</w:t>
      </w:r>
      <w:proofErr w:type="gramEnd"/>
    </w:p>
    <w:p w14:paraId="5D4C50F3" w14:textId="77777777" w:rsidR="00E44C95" w:rsidRDefault="00E44C95" w:rsidP="00E44C95">
      <w:pPr>
        <w:pStyle w:val="ListBulletLast"/>
        <w:tabs>
          <w:tab w:val="num" w:pos="295"/>
        </w:tabs>
        <w:ind w:left="295" w:hanging="295"/>
      </w:pPr>
      <w:r w:rsidRPr="00AC6069">
        <w:t>if the transmitter is operated in a non-residential area – 10 watts.</w:t>
      </w:r>
    </w:p>
    <w:p w14:paraId="396A6624" w14:textId="0D44D469" w:rsidR="00E44C95" w:rsidRDefault="00070C14" w:rsidP="00875520">
      <w:pPr>
        <w:spacing w:before="120" w:after="120" w:line="240" w:lineRule="auto"/>
        <w:rPr>
          <w:rFonts w:cs="Arial"/>
        </w:rPr>
      </w:pPr>
      <w:r>
        <w:rPr>
          <w:rFonts w:cs="Arial"/>
        </w:rPr>
        <w:t xml:space="preserve">The ACMA </w:t>
      </w:r>
      <w:r w:rsidR="003E7802">
        <w:rPr>
          <w:rFonts w:cs="Arial"/>
        </w:rPr>
        <w:t>currently</w:t>
      </w:r>
      <w:r>
        <w:rPr>
          <w:rFonts w:cs="Arial"/>
        </w:rPr>
        <w:t xml:space="preserve"> applies </w:t>
      </w:r>
      <w:r w:rsidR="0016033C">
        <w:rPr>
          <w:rFonts w:cs="Arial"/>
        </w:rPr>
        <w:t xml:space="preserve">generally applies higher </w:t>
      </w:r>
      <w:r w:rsidR="00B238AF">
        <w:rPr>
          <w:rFonts w:cs="Arial"/>
        </w:rPr>
        <w:t xml:space="preserve">tax rates for </w:t>
      </w:r>
      <w:r w:rsidR="00A944AC">
        <w:rPr>
          <w:rFonts w:cs="Arial"/>
        </w:rPr>
        <w:t xml:space="preserve">more populated </w:t>
      </w:r>
      <w:r w:rsidR="00B238AF">
        <w:rPr>
          <w:rFonts w:cs="Arial"/>
        </w:rPr>
        <w:t>locations</w:t>
      </w:r>
      <w:r>
        <w:rPr>
          <w:rFonts w:cs="Arial"/>
        </w:rPr>
        <w:t xml:space="preserve"> </w:t>
      </w:r>
      <w:r w:rsidR="00875520">
        <w:rPr>
          <w:rFonts w:cs="Arial"/>
        </w:rPr>
        <w:t xml:space="preserve">(see table </w:t>
      </w:r>
      <w:r w:rsidR="00EA3B1B">
        <w:rPr>
          <w:rFonts w:cs="Arial"/>
        </w:rPr>
        <w:t>9</w:t>
      </w:r>
      <w:r w:rsidR="00875520">
        <w:rPr>
          <w:rFonts w:cs="Arial"/>
        </w:rPr>
        <w:t xml:space="preserve"> below)</w:t>
      </w:r>
      <w:r w:rsidR="00E44C95">
        <w:rPr>
          <w:rFonts w:cs="Arial"/>
        </w:rPr>
        <w:t>.</w:t>
      </w:r>
      <w:r w:rsidR="00DD4D5D">
        <w:rPr>
          <w:rFonts w:cs="Arial"/>
        </w:rPr>
        <w:t xml:space="preserve"> We also apply the same tax rate regardless of whether services are FM or AM.</w:t>
      </w:r>
      <w:r w:rsidR="00875520">
        <w:rPr>
          <w:rFonts w:cs="Arial"/>
        </w:rPr>
        <w:t xml:space="preserve"> </w:t>
      </w:r>
      <w:r w:rsidR="00E44C95">
        <w:rPr>
          <w:rFonts w:cs="Arial"/>
        </w:rPr>
        <w:t xml:space="preserve">Several </w:t>
      </w:r>
      <w:r>
        <w:rPr>
          <w:rFonts w:cs="Arial"/>
        </w:rPr>
        <w:t xml:space="preserve">submissions </w:t>
      </w:r>
      <w:r w:rsidR="00E44C95">
        <w:rPr>
          <w:rFonts w:cs="Arial"/>
        </w:rPr>
        <w:t>commented on the discrepancy in tax rates between HPON licence</w:t>
      </w:r>
      <w:r w:rsidR="00A1037F">
        <w:rPr>
          <w:rFonts w:cs="Arial"/>
        </w:rPr>
        <w:t>s</w:t>
      </w:r>
      <w:r w:rsidR="00E44C95">
        <w:rPr>
          <w:rFonts w:cs="Arial"/>
        </w:rPr>
        <w:t xml:space="preserve"> and comparable commercial broadcasting services</w:t>
      </w:r>
      <w:r w:rsidR="00E44C95">
        <w:rPr>
          <w:rStyle w:val="FootnoteReference"/>
          <w:rFonts w:cs="Arial"/>
        </w:rPr>
        <w:footnoteReference w:id="20"/>
      </w:r>
      <w:r w:rsidR="00E44C95">
        <w:rPr>
          <w:rFonts w:cs="Arial"/>
        </w:rPr>
        <w:t xml:space="preserve"> </w:t>
      </w:r>
      <w:r w:rsidR="00E44C95">
        <w:rPr>
          <w:rFonts w:cs="Arial"/>
        </w:rPr>
        <w:lastRenderedPageBreak/>
        <w:t xml:space="preserve">using similar spectrum. Current HPON licence tax rates are, at times, orders of magnitude higher than those charged for commercial broadcasting services. </w:t>
      </w:r>
    </w:p>
    <w:p w14:paraId="41DD4B92" w14:textId="77777777" w:rsidR="00E44C95" w:rsidRDefault="00E44C95" w:rsidP="006E6ED7">
      <w:pPr>
        <w:pStyle w:val="Caption"/>
      </w:pPr>
      <w:r>
        <w:t>Current HPON taxes</w:t>
      </w:r>
    </w:p>
    <w:tbl>
      <w:tblPr>
        <w:tblStyle w:val="ACMAtablestyle"/>
        <w:tblW w:w="3251" w:type="dxa"/>
        <w:tblCellMar>
          <w:top w:w="57" w:type="dxa"/>
          <w:bottom w:w="57" w:type="dxa"/>
        </w:tblCellMar>
        <w:tblLook w:val="04A0" w:firstRow="1" w:lastRow="0" w:firstColumn="1" w:lastColumn="0" w:noHBand="0" w:noVBand="1"/>
      </w:tblPr>
      <w:tblGrid>
        <w:gridCol w:w="1871"/>
        <w:gridCol w:w="1380"/>
      </w:tblGrid>
      <w:tr w:rsidR="00E44C95" w14:paraId="31EAB08B" w14:textId="77777777" w:rsidTr="00C80AAD">
        <w:trPr>
          <w:cnfStyle w:val="100000000000" w:firstRow="1" w:lastRow="0" w:firstColumn="0" w:lastColumn="0" w:oddVBand="0" w:evenVBand="0" w:oddHBand="0" w:evenHBand="0" w:firstRowFirstColumn="0" w:firstRowLastColumn="0" w:lastRowFirstColumn="0" w:lastRowLastColumn="0"/>
          <w:trHeight w:val="270"/>
        </w:trPr>
        <w:tc>
          <w:tcPr>
            <w:tcW w:w="0" w:type="dxa"/>
            <w:noWrap/>
            <w:hideMark/>
          </w:tcPr>
          <w:p w14:paraId="61A8E75E" w14:textId="77777777" w:rsidR="00E44C95" w:rsidRDefault="00E44C95" w:rsidP="00C80AAD">
            <w:pPr>
              <w:spacing w:after="0" w:line="240" w:lineRule="auto"/>
              <w:jc w:val="center"/>
              <w:rPr>
                <w:rFonts w:cs="Arial"/>
                <w:b/>
                <w:bCs/>
                <w:color w:val="FFFFFF"/>
              </w:rPr>
            </w:pPr>
            <w:r>
              <w:rPr>
                <w:rFonts w:cs="Arial"/>
                <w:b/>
                <w:bCs/>
                <w:color w:val="FFFFFF"/>
              </w:rPr>
              <w:t>Location</w:t>
            </w:r>
          </w:p>
        </w:tc>
        <w:tc>
          <w:tcPr>
            <w:tcW w:w="0" w:type="dxa"/>
            <w:noWrap/>
            <w:hideMark/>
          </w:tcPr>
          <w:p w14:paraId="27C0FE5B" w14:textId="77777777" w:rsidR="00E44C95" w:rsidRDefault="00E44C95" w:rsidP="00C80AAD">
            <w:pPr>
              <w:spacing w:after="0" w:line="240" w:lineRule="auto"/>
              <w:jc w:val="center"/>
              <w:rPr>
                <w:rFonts w:cs="Arial"/>
                <w:b/>
                <w:bCs/>
                <w:color w:val="FFFFFF"/>
              </w:rPr>
            </w:pPr>
            <w:r>
              <w:rPr>
                <w:rFonts w:cs="Arial"/>
                <w:b/>
                <w:bCs/>
                <w:color w:val="FFFFFF"/>
              </w:rPr>
              <w:t>HPON tax</w:t>
            </w:r>
          </w:p>
        </w:tc>
      </w:tr>
      <w:tr w:rsidR="00E44C95" w14:paraId="7B8FF869"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138382EA" w14:textId="77777777" w:rsidR="00E44C95" w:rsidRDefault="00E44C95" w:rsidP="00C80AAD">
            <w:pPr>
              <w:spacing w:after="0" w:line="240" w:lineRule="auto"/>
              <w:rPr>
                <w:rFonts w:cs="Arial"/>
                <w:color w:val="000000"/>
              </w:rPr>
            </w:pPr>
            <w:r>
              <w:rPr>
                <w:rFonts w:cs="Arial"/>
                <w:color w:val="000000"/>
              </w:rPr>
              <w:t>Sydney</w:t>
            </w:r>
          </w:p>
        </w:tc>
        <w:tc>
          <w:tcPr>
            <w:tcW w:w="0" w:type="dxa"/>
            <w:noWrap/>
            <w:hideMark/>
          </w:tcPr>
          <w:p w14:paraId="37420A40" w14:textId="77777777" w:rsidR="00E44C95" w:rsidRDefault="00E44C95" w:rsidP="00C80AAD">
            <w:pPr>
              <w:spacing w:after="0" w:line="240" w:lineRule="auto"/>
              <w:jc w:val="center"/>
              <w:rPr>
                <w:rFonts w:cs="Arial"/>
                <w:color w:val="000000"/>
              </w:rPr>
            </w:pPr>
            <w:r>
              <w:rPr>
                <w:rFonts w:cs="Arial"/>
                <w:color w:val="000000"/>
              </w:rPr>
              <w:t>$41,134</w:t>
            </w:r>
          </w:p>
        </w:tc>
      </w:tr>
      <w:tr w:rsidR="00E44C95" w14:paraId="08C2CA9C"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5D39D911" w14:textId="77777777" w:rsidR="00E44C95" w:rsidRDefault="00E44C95" w:rsidP="00C80AAD">
            <w:pPr>
              <w:spacing w:after="0" w:line="240" w:lineRule="auto"/>
              <w:rPr>
                <w:rFonts w:cs="Arial"/>
                <w:color w:val="000000"/>
              </w:rPr>
            </w:pPr>
            <w:r>
              <w:rPr>
                <w:rFonts w:cs="Arial"/>
                <w:color w:val="000000"/>
              </w:rPr>
              <w:t>Melbourne</w:t>
            </w:r>
          </w:p>
        </w:tc>
        <w:tc>
          <w:tcPr>
            <w:tcW w:w="0" w:type="dxa"/>
            <w:noWrap/>
            <w:hideMark/>
          </w:tcPr>
          <w:p w14:paraId="0F494402" w14:textId="77777777" w:rsidR="00E44C95" w:rsidRDefault="00E44C95" w:rsidP="00C80AAD">
            <w:pPr>
              <w:spacing w:after="0" w:line="240" w:lineRule="auto"/>
              <w:jc w:val="center"/>
              <w:rPr>
                <w:rFonts w:cs="Arial"/>
                <w:color w:val="000000"/>
              </w:rPr>
            </w:pPr>
            <w:r>
              <w:rPr>
                <w:rFonts w:cs="Arial"/>
                <w:color w:val="000000"/>
              </w:rPr>
              <w:t>$41,134</w:t>
            </w:r>
          </w:p>
        </w:tc>
      </w:tr>
      <w:tr w:rsidR="00E44C95" w14:paraId="6FC10D3E"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33E379E5" w14:textId="77777777" w:rsidR="00E44C95" w:rsidRDefault="00E44C95" w:rsidP="00C80AAD">
            <w:pPr>
              <w:spacing w:after="0" w:line="240" w:lineRule="auto"/>
              <w:rPr>
                <w:rFonts w:cs="Arial"/>
                <w:color w:val="000000"/>
              </w:rPr>
            </w:pPr>
            <w:r>
              <w:rPr>
                <w:rFonts w:cs="Arial"/>
                <w:color w:val="000000"/>
              </w:rPr>
              <w:t>Brisbane</w:t>
            </w:r>
          </w:p>
        </w:tc>
        <w:tc>
          <w:tcPr>
            <w:tcW w:w="0" w:type="dxa"/>
            <w:noWrap/>
            <w:hideMark/>
          </w:tcPr>
          <w:p w14:paraId="38C81B03" w14:textId="77777777" w:rsidR="00E44C95" w:rsidRDefault="00E44C95" w:rsidP="00C80AAD">
            <w:pPr>
              <w:spacing w:after="0" w:line="240" w:lineRule="auto"/>
              <w:jc w:val="center"/>
              <w:rPr>
                <w:rFonts w:cs="Arial"/>
                <w:color w:val="000000"/>
              </w:rPr>
            </w:pPr>
            <w:r>
              <w:rPr>
                <w:rFonts w:cs="Arial"/>
                <w:color w:val="000000"/>
              </w:rPr>
              <w:t>$14,930</w:t>
            </w:r>
          </w:p>
        </w:tc>
      </w:tr>
      <w:tr w:rsidR="00E44C95" w14:paraId="09870F40"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5C25E47B" w14:textId="77777777" w:rsidR="00E44C95" w:rsidRDefault="00E44C95" w:rsidP="00C80AAD">
            <w:pPr>
              <w:spacing w:after="0" w:line="240" w:lineRule="auto"/>
              <w:rPr>
                <w:rFonts w:cs="Arial"/>
                <w:color w:val="000000"/>
              </w:rPr>
            </w:pPr>
            <w:r>
              <w:rPr>
                <w:rFonts w:cs="Arial"/>
                <w:color w:val="000000"/>
              </w:rPr>
              <w:t>Adelaide</w:t>
            </w:r>
          </w:p>
        </w:tc>
        <w:tc>
          <w:tcPr>
            <w:tcW w:w="0" w:type="dxa"/>
            <w:noWrap/>
            <w:hideMark/>
          </w:tcPr>
          <w:p w14:paraId="34BB1E52" w14:textId="77777777" w:rsidR="00E44C95" w:rsidRDefault="00E44C95" w:rsidP="00C80AAD">
            <w:pPr>
              <w:spacing w:after="0" w:line="240" w:lineRule="auto"/>
              <w:jc w:val="center"/>
              <w:rPr>
                <w:rFonts w:cs="Arial"/>
                <w:color w:val="000000"/>
              </w:rPr>
            </w:pPr>
            <w:r>
              <w:rPr>
                <w:rFonts w:cs="Arial"/>
                <w:color w:val="000000"/>
              </w:rPr>
              <w:t>$14,930</w:t>
            </w:r>
          </w:p>
        </w:tc>
      </w:tr>
      <w:tr w:rsidR="00E44C95" w14:paraId="7864B2F3"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1D60CD77" w14:textId="77777777" w:rsidR="00E44C95" w:rsidRDefault="00E44C95" w:rsidP="00C80AAD">
            <w:pPr>
              <w:spacing w:after="0" w:line="240" w:lineRule="auto"/>
              <w:rPr>
                <w:rFonts w:cs="Arial"/>
                <w:color w:val="000000"/>
              </w:rPr>
            </w:pPr>
            <w:r>
              <w:rPr>
                <w:rFonts w:cs="Arial"/>
                <w:color w:val="000000"/>
              </w:rPr>
              <w:t>Perth</w:t>
            </w:r>
          </w:p>
        </w:tc>
        <w:tc>
          <w:tcPr>
            <w:tcW w:w="0" w:type="dxa"/>
            <w:noWrap/>
            <w:hideMark/>
          </w:tcPr>
          <w:p w14:paraId="25B6FF16" w14:textId="77777777" w:rsidR="00E44C95" w:rsidRDefault="00E44C95" w:rsidP="00C80AAD">
            <w:pPr>
              <w:spacing w:after="0" w:line="240" w:lineRule="auto"/>
              <w:jc w:val="center"/>
              <w:rPr>
                <w:rFonts w:cs="Arial"/>
                <w:color w:val="000000"/>
              </w:rPr>
            </w:pPr>
            <w:r>
              <w:rPr>
                <w:rFonts w:cs="Arial"/>
                <w:color w:val="000000"/>
              </w:rPr>
              <w:t>$14,930</w:t>
            </w:r>
          </w:p>
        </w:tc>
      </w:tr>
      <w:tr w:rsidR="00E44C95" w14:paraId="2D94D44C"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4A320AD0" w14:textId="77777777" w:rsidR="00E44C95" w:rsidRDefault="00E44C95" w:rsidP="00C80AAD">
            <w:pPr>
              <w:spacing w:after="0" w:line="240" w:lineRule="auto"/>
              <w:rPr>
                <w:rFonts w:cs="Arial"/>
                <w:color w:val="000000"/>
              </w:rPr>
            </w:pPr>
            <w:r>
              <w:rPr>
                <w:rFonts w:cs="Arial"/>
                <w:color w:val="000000"/>
              </w:rPr>
              <w:t>Perth city</w:t>
            </w:r>
          </w:p>
        </w:tc>
        <w:tc>
          <w:tcPr>
            <w:tcW w:w="0" w:type="dxa"/>
            <w:noWrap/>
            <w:hideMark/>
          </w:tcPr>
          <w:p w14:paraId="7CD5B52F" w14:textId="77777777" w:rsidR="00E44C95" w:rsidRDefault="00E44C95" w:rsidP="00C80AAD">
            <w:pPr>
              <w:spacing w:after="0" w:line="240" w:lineRule="auto"/>
              <w:jc w:val="center"/>
              <w:rPr>
                <w:rFonts w:cs="Arial"/>
                <w:color w:val="000000"/>
              </w:rPr>
            </w:pPr>
            <w:r>
              <w:rPr>
                <w:rFonts w:cs="Arial"/>
                <w:color w:val="000000"/>
              </w:rPr>
              <w:t>$14,930</w:t>
            </w:r>
          </w:p>
        </w:tc>
      </w:tr>
      <w:tr w:rsidR="00E44C95" w14:paraId="69A40A76"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41A123C7" w14:textId="77777777" w:rsidR="00E44C95" w:rsidRDefault="00E44C95" w:rsidP="00C80AAD">
            <w:pPr>
              <w:spacing w:after="0" w:line="240" w:lineRule="auto"/>
              <w:rPr>
                <w:rFonts w:cs="Arial"/>
                <w:color w:val="000000"/>
              </w:rPr>
            </w:pPr>
            <w:r>
              <w:rPr>
                <w:rFonts w:cs="Arial"/>
                <w:color w:val="000000"/>
              </w:rPr>
              <w:t>Newcastle</w:t>
            </w:r>
          </w:p>
        </w:tc>
        <w:tc>
          <w:tcPr>
            <w:tcW w:w="0" w:type="dxa"/>
            <w:noWrap/>
            <w:hideMark/>
          </w:tcPr>
          <w:p w14:paraId="5DE65DA9" w14:textId="77777777" w:rsidR="00E44C95" w:rsidRDefault="00E44C95" w:rsidP="00C80AAD">
            <w:pPr>
              <w:spacing w:after="0" w:line="240" w:lineRule="auto"/>
              <w:jc w:val="center"/>
              <w:rPr>
                <w:rFonts w:cs="Arial"/>
                <w:color w:val="000000"/>
              </w:rPr>
            </w:pPr>
            <w:r>
              <w:rPr>
                <w:rFonts w:cs="Arial"/>
                <w:color w:val="000000"/>
              </w:rPr>
              <w:t>$3,809</w:t>
            </w:r>
          </w:p>
        </w:tc>
      </w:tr>
      <w:tr w:rsidR="00E44C95" w14:paraId="3CB08185"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55324A8D" w14:textId="77777777" w:rsidR="00E44C95" w:rsidRDefault="00E44C95" w:rsidP="00C80AAD">
            <w:pPr>
              <w:spacing w:after="0" w:line="240" w:lineRule="auto"/>
              <w:rPr>
                <w:rFonts w:cs="Arial"/>
                <w:color w:val="000000"/>
              </w:rPr>
            </w:pPr>
            <w:r>
              <w:rPr>
                <w:rFonts w:cs="Arial"/>
                <w:color w:val="000000"/>
              </w:rPr>
              <w:t>Canberra</w:t>
            </w:r>
          </w:p>
        </w:tc>
        <w:tc>
          <w:tcPr>
            <w:tcW w:w="0" w:type="dxa"/>
            <w:noWrap/>
            <w:hideMark/>
          </w:tcPr>
          <w:p w14:paraId="0562DC77" w14:textId="77777777" w:rsidR="00E44C95" w:rsidRDefault="00E44C95" w:rsidP="00C80AAD">
            <w:pPr>
              <w:spacing w:after="0" w:line="240" w:lineRule="auto"/>
              <w:jc w:val="center"/>
              <w:rPr>
                <w:rFonts w:cs="Arial"/>
                <w:color w:val="000000"/>
              </w:rPr>
            </w:pPr>
            <w:r>
              <w:rPr>
                <w:rFonts w:cs="Arial"/>
                <w:color w:val="000000"/>
              </w:rPr>
              <w:t>$3,809</w:t>
            </w:r>
          </w:p>
        </w:tc>
      </w:tr>
      <w:tr w:rsidR="00E44C95" w14:paraId="41F57DCF"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5A659F4F" w14:textId="77777777" w:rsidR="00E44C95" w:rsidRDefault="00E44C95" w:rsidP="00C80AAD">
            <w:pPr>
              <w:spacing w:after="0" w:line="240" w:lineRule="auto"/>
              <w:rPr>
                <w:rFonts w:cs="Arial"/>
                <w:color w:val="000000"/>
              </w:rPr>
            </w:pPr>
            <w:r>
              <w:rPr>
                <w:rFonts w:cs="Arial"/>
                <w:color w:val="000000"/>
              </w:rPr>
              <w:t>Wollongong</w:t>
            </w:r>
          </w:p>
        </w:tc>
        <w:tc>
          <w:tcPr>
            <w:tcW w:w="0" w:type="dxa"/>
            <w:noWrap/>
            <w:hideMark/>
          </w:tcPr>
          <w:p w14:paraId="079D8B4B" w14:textId="77777777" w:rsidR="00E44C95" w:rsidRDefault="00E44C95" w:rsidP="00C80AAD">
            <w:pPr>
              <w:spacing w:after="0" w:line="240" w:lineRule="auto"/>
              <w:jc w:val="center"/>
              <w:rPr>
                <w:rFonts w:cs="Arial"/>
                <w:color w:val="000000"/>
              </w:rPr>
            </w:pPr>
            <w:r>
              <w:rPr>
                <w:rFonts w:cs="Arial"/>
                <w:color w:val="000000"/>
              </w:rPr>
              <w:t>$3,809</w:t>
            </w:r>
          </w:p>
        </w:tc>
      </w:tr>
      <w:tr w:rsidR="00E44C95" w14:paraId="0CC6D857"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01E84592" w14:textId="77777777" w:rsidR="00E44C95" w:rsidRDefault="00E44C95" w:rsidP="00C80AAD">
            <w:pPr>
              <w:spacing w:after="0" w:line="240" w:lineRule="auto"/>
              <w:rPr>
                <w:rFonts w:cs="Arial"/>
                <w:color w:val="000000"/>
              </w:rPr>
            </w:pPr>
            <w:r>
              <w:rPr>
                <w:rFonts w:cs="Arial"/>
                <w:color w:val="000000"/>
              </w:rPr>
              <w:t>Gold Coast</w:t>
            </w:r>
          </w:p>
        </w:tc>
        <w:tc>
          <w:tcPr>
            <w:tcW w:w="0" w:type="dxa"/>
            <w:noWrap/>
            <w:hideMark/>
          </w:tcPr>
          <w:p w14:paraId="46C19D93" w14:textId="77777777" w:rsidR="00E44C95" w:rsidRDefault="00E44C95" w:rsidP="00C80AAD">
            <w:pPr>
              <w:spacing w:after="0" w:line="240" w:lineRule="auto"/>
              <w:jc w:val="center"/>
              <w:rPr>
                <w:rFonts w:cs="Arial"/>
                <w:color w:val="000000"/>
              </w:rPr>
            </w:pPr>
            <w:r>
              <w:rPr>
                <w:rFonts w:cs="Arial"/>
                <w:color w:val="000000"/>
              </w:rPr>
              <w:t>$3,809</w:t>
            </w:r>
          </w:p>
        </w:tc>
      </w:tr>
      <w:tr w:rsidR="00E44C95" w14:paraId="205C5AC9"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4366341B" w14:textId="77777777" w:rsidR="00E44C95" w:rsidRDefault="00E44C95" w:rsidP="00C80AAD">
            <w:pPr>
              <w:spacing w:after="0" w:line="240" w:lineRule="auto"/>
              <w:rPr>
                <w:rFonts w:cs="Arial"/>
                <w:color w:val="000000"/>
              </w:rPr>
            </w:pPr>
            <w:r>
              <w:rPr>
                <w:rFonts w:cs="Arial"/>
                <w:color w:val="000000"/>
              </w:rPr>
              <w:t>Gosford</w:t>
            </w:r>
          </w:p>
        </w:tc>
        <w:tc>
          <w:tcPr>
            <w:tcW w:w="0" w:type="dxa"/>
            <w:noWrap/>
            <w:hideMark/>
          </w:tcPr>
          <w:p w14:paraId="42E9D9FB" w14:textId="77777777" w:rsidR="00E44C95" w:rsidRDefault="00E44C95" w:rsidP="00C80AAD">
            <w:pPr>
              <w:spacing w:after="0" w:line="240" w:lineRule="auto"/>
              <w:jc w:val="center"/>
              <w:rPr>
                <w:rFonts w:cs="Arial"/>
                <w:color w:val="000000"/>
              </w:rPr>
            </w:pPr>
            <w:r>
              <w:rPr>
                <w:rFonts w:cs="Arial"/>
                <w:color w:val="000000"/>
              </w:rPr>
              <w:t>$3,809</w:t>
            </w:r>
          </w:p>
        </w:tc>
      </w:tr>
      <w:tr w:rsidR="00E44C95" w14:paraId="0E0B1FAA"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12139A61" w14:textId="77777777" w:rsidR="00E44C95" w:rsidRDefault="00E44C95" w:rsidP="00C80AAD">
            <w:pPr>
              <w:spacing w:after="0" w:line="240" w:lineRule="auto"/>
              <w:rPr>
                <w:rFonts w:cs="Arial"/>
                <w:color w:val="000000"/>
              </w:rPr>
            </w:pPr>
            <w:r>
              <w:rPr>
                <w:rFonts w:cs="Arial"/>
                <w:color w:val="000000"/>
              </w:rPr>
              <w:t>Penrith</w:t>
            </w:r>
          </w:p>
        </w:tc>
        <w:tc>
          <w:tcPr>
            <w:tcW w:w="0" w:type="dxa"/>
            <w:noWrap/>
            <w:hideMark/>
          </w:tcPr>
          <w:p w14:paraId="1516280C" w14:textId="77777777" w:rsidR="00E44C95" w:rsidRDefault="00E44C95" w:rsidP="00C80AAD">
            <w:pPr>
              <w:spacing w:after="0" w:line="240" w:lineRule="auto"/>
              <w:jc w:val="center"/>
              <w:rPr>
                <w:rFonts w:cs="Arial"/>
                <w:color w:val="000000"/>
              </w:rPr>
            </w:pPr>
            <w:r>
              <w:rPr>
                <w:rFonts w:cs="Arial"/>
                <w:color w:val="000000"/>
              </w:rPr>
              <w:t>$3,809</w:t>
            </w:r>
          </w:p>
        </w:tc>
      </w:tr>
      <w:tr w:rsidR="00E44C95" w14:paraId="50B13342"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5BCA8549" w14:textId="77777777" w:rsidR="00E44C95" w:rsidRDefault="00E44C95" w:rsidP="00C80AAD">
            <w:pPr>
              <w:spacing w:after="0" w:line="240" w:lineRule="auto"/>
              <w:rPr>
                <w:rFonts w:cs="Arial"/>
                <w:color w:val="000000"/>
              </w:rPr>
            </w:pPr>
            <w:r>
              <w:rPr>
                <w:rFonts w:cs="Arial"/>
                <w:color w:val="000000"/>
              </w:rPr>
              <w:t>Hobart</w:t>
            </w:r>
          </w:p>
        </w:tc>
        <w:tc>
          <w:tcPr>
            <w:tcW w:w="0" w:type="dxa"/>
            <w:noWrap/>
            <w:hideMark/>
          </w:tcPr>
          <w:p w14:paraId="03683B22" w14:textId="77777777" w:rsidR="00E44C95" w:rsidRDefault="00E44C95" w:rsidP="00C80AAD">
            <w:pPr>
              <w:spacing w:after="0" w:line="240" w:lineRule="auto"/>
              <w:jc w:val="center"/>
              <w:rPr>
                <w:rFonts w:cs="Arial"/>
                <w:color w:val="000000"/>
              </w:rPr>
            </w:pPr>
            <w:r>
              <w:rPr>
                <w:rFonts w:cs="Arial"/>
                <w:color w:val="000000"/>
              </w:rPr>
              <w:t>$1,677</w:t>
            </w:r>
          </w:p>
        </w:tc>
      </w:tr>
      <w:tr w:rsidR="00E44C95" w14:paraId="7F395D42"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390855C0" w14:textId="77777777" w:rsidR="00E44C95" w:rsidRDefault="00E44C95" w:rsidP="00C80AAD">
            <w:pPr>
              <w:spacing w:after="0" w:line="240" w:lineRule="auto"/>
              <w:rPr>
                <w:rFonts w:cs="Arial"/>
                <w:color w:val="000000"/>
              </w:rPr>
            </w:pPr>
            <w:r>
              <w:rPr>
                <w:rFonts w:cs="Arial"/>
                <w:color w:val="000000"/>
              </w:rPr>
              <w:t>Geelong</w:t>
            </w:r>
          </w:p>
        </w:tc>
        <w:tc>
          <w:tcPr>
            <w:tcW w:w="0" w:type="dxa"/>
            <w:noWrap/>
            <w:hideMark/>
          </w:tcPr>
          <w:p w14:paraId="0FCE7A60" w14:textId="77777777" w:rsidR="00E44C95" w:rsidRDefault="00E44C95" w:rsidP="00C80AAD">
            <w:pPr>
              <w:spacing w:after="0" w:line="240" w:lineRule="auto"/>
              <w:jc w:val="center"/>
              <w:rPr>
                <w:rFonts w:cs="Arial"/>
                <w:color w:val="000000"/>
              </w:rPr>
            </w:pPr>
            <w:r>
              <w:rPr>
                <w:rFonts w:cs="Arial"/>
                <w:color w:val="000000"/>
              </w:rPr>
              <w:t>$1,677</w:t>
            </w:r>
          </w:p>
        </w:tc>
      </w:tr>
      <w:tr w:rsidR="00E44C95" w14:paraId="7DE7F716"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56BBA982" w14:textId="77777777" w:rsidR="00E44C95" w:rsidRDefault="00E44C95" w:rsidP="00C80AAD">
            <w:pPr>
              <w:spacing w:after="0" w:line="240" w:lineRule="auto"/>
              <w:rPr>
                <w:rFonts w:cs="Arial"/>
                <w:color w:val="000000"/>
              </w:rPr>
            </w:pPr>
            <w:r>
              <w:rPr>
                <w:rFonts w:cs="Arial"/>
                <w:color w:val="000000"/>
              </w:rPr>
              <w:t>Nambour</w:t>
            </w:r>
          </w:p>
        </w:tc>
        <w:tc>
          <w:tcPr>
            <w:tcW w:w="0" w:type="dxa"/>
            <w:noWrap/>
            <w:hideMark/>
          </w:tcPr>
          <w:p w14:paraId="7862B5DE" w14:textId="77777777" w:rsidR="00E44C95" w:rsidRDefault="00E44C95" w:rsidP="00C80AAD">
            <w:pPr>
              <w:spacing w:after="0" w:line="240" w:lineRule="auto"/>
              <w:jc w:val="center"/>
              <w:rPr>
                <w:rFonts w:cs="Arial"/>
                <w:color w:val="000000"/>
              </w:rPr>
            </w:pPr>
            <w:r>
              <w:rPr>
                <w:rFonts w:cs="Arial"/>
                <w:color w:val="000000"/>
              </w:rPr>
              <w:t>$1,677</w:t>
            </w:r>
          </w:p>
        </w:tc>
      </w:tr>
      <w:tr w:rsidR="00E44C95" w14:paraId="6DCBA490"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46FF077E" w14:textId="77777777" w:rsidR="00E44C95" w:rsidRDefault="00E44C95" w:rsidP="00C80AAD">
            <w:pPr>
              <w:spacing w:after="0" w:line="240" w:lineRule="auto"/>
              <w:rPr>
                <w:rFonts w:cs="Arial"/>
                <w:color w:val="000000"/>
              </w:rPr>
            </w:pPr>
            <w:r>
              <w:rPr>
                <w:rFonts w:cs="Arial"/>
                <w:color w:val="000000"/>
              </w:rPr>
              <w:t>Townsville</w:t>
            </w:r>
          </w:p>
        </w:tc>
        <w:tc>
          <w:tcPr>
            <w:tcW w:w="0" w:type="dxa"/>
            <w:noWrap/>
            <w:hideMark/>
          </w:tcPr>
          <w:p w14:paraId="40CF5A65" w14:textId="77777777" w:rsidR="00E44C95" w:rsidRDefault="00E44C95" w:rsidP="00C80AAD">
            <w:pPr>
              <w:spacing w:after="0" w:line="240" w:lineRule="auto"/>
              <w:jc w:val="center"/>
              <w:rPr>
                <w:rFonts w:cs="Arial"/>
                <w:color w:val="000000"/>
              </w:rPr>
            </w:pPr>
            <w:r>
              <w:rPr>
                <w:rFonts w:cs="Arial"/>
                <w:color w:val="000000"/>
              </w:rPr>
              <w:t>$1,677</w:t>
            </w:r>
          </w:p>
        </w:tc>
      </w:tr>
      <w:tr w:rsidR="00E44C95" w14:paraId="1EF71929" w14:textId="77777777" w:rsidTr="00C80AAD">
        <w:trPr>
          <w:cnfStyle w:val="000000100000" w:firstRow="0" w:lastRow="0" w:firstColumn="0" w:lastColumn="0" w:oddVBand="0" w:evenVBand="0" w:oddHBand="1" w:evenHBand="0" w:firstRowFirstColumn="0" w:firstRowLastColumn="0" w:lastRowFirstColumn="0" w:lastRowLastColumn="0"/>
          <w:trHeight w:val="263"/>
        </w:trPr>
        <w:tc>
          <w:tcPr>
            <w:tcW w:w="0" w:type="dxa"/>
            <w:noWrap/>
            <w:hideMark/>
          </w:tcPr>
          <w:p w14:paraId="38751A47" w14:textId="77777777" w:rsidR="00E44C95" w:rsidRDefault="00E44C95" w:rsidP="00C80AAD">
            <w:pPr>
              <w:spacing w:after="0" w:line="240" w:lineRule="auto"/>
              <w:rPr>
                <w:rFonts w:cs="Arial"/>
                <w:color w:val="000000"/>
              </w:rPr>
            </w:pPr>
            <w:r>
              <w:rPr>
                <w:rFonts w:cs="Arial"/>
                <w:color w:val="000000"/>
              </w:rPr>
              <w:t>Cairns</w:t>
            </w:r>
          </w:p>
        </w:tc>
        <w:tc>
          <w:tcPr>
            <w:tcW w:w="0" w:type="dxa"/>
            <w:noWrap/>
            <w:hideMark/>
          </w:tcPr>
          <w:p w14:paraId="7F7DFA45" w14:textId="77777777" w:rsidR="00E44C95" w:rsidRDefault="00E44C95" w:rsidP="00C80AAD">
            <w:pPr>
              <w:spacing w:after="0" w:line="240" w:lineRule="auto"/>
              <w:jc w:val="center"/>
              <w:rPr>
                <w:rFonts w:cs="Arial"/>
                <w:color w:val="000000"/>
              </w:rPr>
            </w:pPr>
            <w:r>
              <w:rPr>
                <w:rFonts w:cs="Arial"/>
                <w:color w:val="000000"/>
              </w:rPr>
              <w:t>$1,677</w:t>
            </w:r>
          </w:p>
        </w:tc>
      </w:tr>
      <w:tr w:rsidR="00E44C95" w14:paraId="0406965B" w14:textId="77777777" w:rsidTr="00C80AAD">
        <w:trPr>
          <w:cnfStyle w:val="000000010000" w:firstRow="0" w:lastRow="0" w:firstColumn="0" w:lastColumn="0" w:oddVBand="0" w:evenVBand="0" w:oddHBand="0" w:evenHBand="1" w:firstRowFirstColumn="0" w:firstRowLastColumn="0" w:lastRowFirstColumn="0" w:lastRowLastColumn="0"/>
          <w:trHeight w:val="263"/>
        </w:trPr>
        <w:tc>
          <w:tcPr>
            <w:tcW w:w="0" w:type="dxa"/>
            <w:noWrap/>
            <w:hideMark/>
          </w:tcPr>
          <w:p w14:paraId="088D098C" w14:textId="77777777" w:rsidR="00E44C95" w:rsidRDefault="00E44C95" w:rsidP="00C80AAD">
            <w:pPr>
              <w:spacing w:after="0" w:line="240" w:lineRule="auto"/>
              <w:rPr>
                <w:rFonts w:cs="Arial"/>
                <w:color w:val="000000"/>
              </w:rPr>
            </w:pPr>
            <w:r>
              <w:rPr>
                <w:rFonts w:cs="Arial"/>
                <w:color w:val="000000"/>
              </w:rPr>
              <w:t>Elsewhere</w:t>
            </w:r>
          </w:p>
        </w:tc>
        <w:tc>
          <w:tcPr>
            <w:tcW w:w="0" w:type="dxa"/>
            <w:noWrap/>
            <w:hideMark/>
          </w:tcPr>
          <w:p w14:paraId="25B3F68F" w14:textId="77777777" w:rsidR="00E44C95" w:rsidRDefault="00E44C95" w:rsidP="00C80AAD">
            <w:pPr>
              <w:spacing w:after="0" w:line="240" w:lineRule="auto"/>
              <w:jc w:val="center"/>
              <w:rPr>
                <w:rFonts w:cs="Arial"/>
                <w:color w:val="000000"/>
              </w:rPr>
            </w:pPr>
            <w:r>
              <w:rPr>
                <w:rFonts w:cs="Arial"/>
                <w:color w:val="000000"/>
              </w:rPr>
              <w:t>$989</w:t>
            </w:r>
          </w:p>
        </w:tc>
      </w:tr>
    </w:tbl>
    <w:p w14:paraId="0BC2E2B3" w14:textId="77777777" w:rsidR="00E44C95" w:rsidRDefault="00E44C95" w:rsidP="00E44C95">
      <w:pPr>
        <w:rPr>
          <w:rFonts w:cs="Arial"/>
        </w:rPr>
      </w:pPr>
    </w:p>
    <w:p w14:paraId="3E9B69B7" w14:textId="0CD33259" w:rsidR="005E4869" w:rsidRDefault="00662B83" w:rsidP="00747A3E">
      <w:pPr>
        <w:spacing w:before="120" w:after="120" w:line="240" w:lineRule="auto"/>
        <w:rPr>
          <w:rFonts w:cs="Arial"/>
          <w:iCs/>
          <w:szCs w:val="20"/>
        </w:rPr>
      </w:pPr>
      <w:r>
        <w:rPr>
          <w:rFonts w:cs="Arial"/>
          <w:iCs/>
          <w:szCs w:val="20"/>
        </w:rPr>
        <w:t xml:space="preserve">HPONs provide </w:t>
      </w:r>
      <w:r w:rsidR="00747A3E" w:rsidRPr="00886D90">
        <w:rPr>
          <w:rFonts w:cs="Arial"/>
          <w:iCs/>
          <w:szCs w:val="20"/>
        </w:rPr>
        <w:t xml:space="preserve">broadcasting services using similar </w:t>
      </w:r>
      <w:proofErr w:type="gramStart"/>
      <w:r w:rsidR="00747A3E" w:rsidRPr="00886D90">
        <w:rPr>
          <w:rFonts w:cs="Arial"/>
          <w:iCs/>
          <w:szCs w:val="20"/>
        </w:rPr>
        <w:t>spectrum, but</w:t>
      </w:r>
      <w:proofErr w:type="gramEnd"/>
      <w:r w:rsidR="00747A3E" w:rsidRPr="00886D90">
        <w:rPr>
          <w:rFonts w:cs="Arial"/>
          <w:iCs/>
          <w:szCs w:val="20"/>
        </w:rPr>
        <w:t xml:space="preserve"> </w:t>
      </w:r>
      <w:r w:rsidR="00747A3E">
        <w:rPr>
          <w:rFonts w:cs="Arial"/>
          <w:iCs/>
          <w:szCs w:val="20"/>
        </w:rPr>
        <w:t xml:space="preserve">are taxed via different regulation. Commercial broadcasting services are taxed under the </w:t>
      </w:r>
      <w:r w:rsidR="00747A3E" w:rsidRPr="00CF7DA4">
        <w:rPr>
          <w:rFonts w:cs="Arial"/>
          <w:i/>
          <w:szCs w:val="20"/>
        </w:rPr>
        <w:t>Commercial Broadcasting (Tax) Act 2017</w:t>
      </w:r>
      <w:r w:rsidR="00747A3E">
        <w:rPr>
          <w:rFonts w:cs="Arial"/>
          <w:iCs/>
          <w:szCs w:val="20"/>
        </w:rPr>
        <w:t xml:space="preserve">, whereas HPON services are taxed under the </w:t>
      </w:r>
      <w:r w:rsidR="00747A3E" w:rsidRPr="00CF7DA4">
        <w:rPr>
          <w:rFonts w:cs="Arial"/>
          <w:i/>
          <w:szCs w:val="20"/>
        </w:rPr>
        <w:t>Radiocommunications (Transmitter Licence Tax) Act 1983</w:t>
      </w:r>
      <w:r w:rsidR="00B223B3">
        <w:rPr>
          <w:rFonts w:cs="Arial"/>
          <w:i/>
          <w:szCs w:val="20"/>
        </w:rPr>
        <w:t xml:space="preserve"> </w:t>
      </w:r>
      <w:r w:rsidR="00B223B3" w:rsidRPr="00B223B3">
        <w:rPr>
          <w:rFonts w:cs="Arial"/>
          <w:iCs/>
          <w:szCs w:val="20"/>
        </w:rPr>
        <w:t>and the</w:t>
      </w:r>
      <w:r w:rsidR="00B223B3" w:rsidRPr="00B223B3">
        <w:t xml:space="preserve"> </w:t>
      </w:r>
      <w:r w:rsidR="00B223B3" w:rsidRPr="00B223B3">
        <w:rPr>
          <w:rFonts w:cs="Arial"/>
          <w:i/>
          <w:szCs w:val="20"/>
        </w:rPr>
        <w:t>Radiocommunications (transmitter licence tax) determination 2015</w:t>
      </w:r>
      <w:r w:rsidR="00747A3E" w:rsidRPr="006E2422">
        <w:rPr>
          <w:rFonts w:cs="Arial"/>
          <w:iCs/>
          <w:szCs w:val="20"/>
        </w:rPr>
        <w:t xml:space="preserve">. </w:t>
      </w:r>
    </w:p>
    <w:p w14:paraId="443E7B0F" w14:textId="71F23B10" w:rsidR="00747A3E" w:rsidRDefault="005E4869">
      <w:pPr>
        <w:spacing w:before="120" w:after="120" w:line="240" w:lineRule="auto"/>
        <w:rPr>
          <w:rFonts w:cs="Arial"/>
          <w:iCs/>
          <w:szCs w:val="20"/>
        </w:rPr>
      </w:pPr>
      <w:r>
        <w:rPr>
          <w:rFonts w:cs="Arial"/>
        </w:rPr>
        <w:t xml:space="preserve">One of the key recommendations of the SPR was </w:t>
      </w:r>
      <w:proofErr w:type="gramStart"/>
      <w:r>
        <w:rPr>
          <w:rFonts w:cs="Arial"/>
        </w:rPr>
        <w:t>that services</w:t>
      </w:r>
      <w:proofErr w:type="gramEnd"/>
      <w:r>
        <w:rPr>
          <w:rFonts w:cs="Arial"/>
        </w:rPr>
        <w:t xml:space="preserve"> using similar spectrum should be charged a similar tax rate. Consequently, </w:t>
      </w:r>
      <w:r w:rsidR="00177B95">
        <w:rPr>
          <w:rFonts w:cs="Arial"/>
          <w:iCs/>
          <w:szCs w:val="20"/>
        </w:rPr>
        <w:t>t</w:t>
      </w:r>
      <w:r w:rsidR="00747A3E" w:rsidRPr="006E2422">
        <w:rPr>
          <w:rFonts w:cs="Arial"/>
          <w:iCs/>
          <w:szCs w:val="20"/>
        </w:rPr>
        <w:t xml:space="preserve">he ACMA </w:t>
      </w:r>
      <w:r w:rsidR="00747A3E" w:rsidRPr="00186F05">
        <w:rPr>
          <w:rFonts w:cs="Arial"/>
          <w:iCs/>
          <w:szCs w:val="20"/>
        </w:rPr>
        <w:t>propos</w:t>
      </w:r>
      <w:r w:rsidR="00747A3E" w:rsidRPr="006E2422">
        <w:rPr>
          <w:rFonts w:cs="Arial"/>
          <w:iCs/>
          <w:szCs w:val="20"/>
        </w:rPr>
        <w:t>es</w:t>
      </w:r>
      <w:r w:rsidR="00747A3E" w:rsidRPr="00186F05">
        <w:rPr>
          <w:rFonts w:cs="Arial"/>
          <w:iCs/>
          <w:szCs w:val="20"/>
        </w:rPr>
        <w:t xml:space="preserve"> </w:t>
      </w:r>
      <w:r w:rsidR="00747A3E" w:rsidRPr="007F205C">
        <w:rPr>
          <w:rFonts w:cs="Arial"/>
          <w:iCs/>
          <w:szCs w:val="20"/>
        </w:rPr>
        <w:t>to reduce HPON taxes to bring them closer in line</w:t>
      </w:r>
      <w:r w:rsidR="00747A3E" w:rsidRPr="00E623BC">
        <w:rPr>
          <w:rFonts w:cs="Arial"/>
          <w:iCs/>
          <w:szCs w:val="20"/>
        </w:rPr>
        <w:t xml:space="preserve"> with commercial broadcasti</w:t>
      </w:r>
      <w:r w:rsidR="00747A3E" w:rsidRPr="00886D90">
        <w:rPr>
          <w:rFonts w:cs="Arial"/>
          <w:iCs/>
          <w:szCs w:val="20"/>
        </w:rPr>
        <w:t>ng taxes.</w:t>
      </w:r>
      <w:r w:rsidR="00747A3E">
        <w:rPr>
          <w:rFonts w:cs="Arial"/>
          <w:iCs/>
          <w:szCs w:val="20"/>
        </w:rPr>
        <w:t xml:space="preserve"> </w:t>
      </w:r>
      <w:r w:rsidR="00F14BC3">
        <w:rPr>
          <w:rFonts w:cs="Arial"/>
          <w:iCs/>
          <w:szCs w:val="20"/>
        </w:rPr>
        <w:t>The proposal specifically includes:</w:t>
      </w:r>
    </w:p>
    <w:p w14:paraId="5B0DC6BB" w14:textId="097499AE" w:rsidR="00570CF6" w:rsidRDefault="00570CF6" w:rsidP="00570CF6">
      <w:pPr>
        <w:pStyle w:val="Bulletlevel1"/>
        <w:tabs>
          <w:tab w:val="num" w:pos="295"/>
        </w:tabs>
        <w:ind w:left="295" w:hanging="295"/>
      </w:pPr>
      <w:r>
        <w:t>Identifying the location served by a HPON licence using significant urban areas as defined by the ABS.</w:t>
      </w:r>
    </w:p>
    <w:p w14:paraId="3A8DE873" w14:textId="584DFD19" w:rsidR="00570CF6" w:rsidRDefault="00570CF6" w:rsidP="00570CF6">
      <w:pPr>
        <w:pStyle w:val="Bulletlevel1"/>
        <w:tabs>
          <w:tab w:val="num" w:pos="295"/>
        </w:tabs>
        <w:ind w:left="295" w:hanging="295"/>
      </w:pPr>
      <w:r>
        <w:t xml:space="preserve">Updating HPON licence tax rates by aligning them with the commercial broadcasting taxes (CBT). We use a $0.077/MHz/pop price (which approximates current CBT price levels) that can be easily translated to HPON licences using the formula: </w:t>
      </w:r>
    </w:p>
    <w:p w14:paraId="711B488F" w14:textId="77777777" w:rsidR="00570CF6" w:rsidRDefault="00570CF6" w:rsidP="00570CF6">
      <w:pPr>
        <w:pStyle w:val="Bulletlevel1"/>
        <w:tabs>
          <w:tab w:val="num" w:pos="579"/>
        </w:tabs>
        <w:ind w:left="579" w:hanging="295"/>
      </w:pPr>
      <w:r>
        <w:t>Population (of the specific locations) x Bandwidth (MHz) x $0.077/MHz/pop x 0.1 Scaling factor.</w:t>
      </w:r>
    </w:p>
    <w:p w14:paraId="3EBB8C69" w14:textId="77777777" w:rsidR="00570CF6" w:rsidRDefault="00570CF6" w:rsidP="00570CF6">
      <w:pPr>
        <w:pStyle w:val="Bulletlevel1"/>
        <w:tabs>
          <w:tab w:val="num" w:pos="579"/>
        </w:tabs>
        <w:ind w:left="579" w:hanging="295"/>
      </w:pPr>
      <w:r>
        <w:t xml:space="preserve">The scaling factor is used to scale down the tax to individual HPON licences. </w:t>
      </w:r>
    </w:p>
    <w:p w14:paraId="3C0678BA" w14:textId="74D0C294" w:rsidR="00570CF6" w:rsidRDefault="00570CF6" w:rsidP="00570CF6">
      <w:pPr>
        <w:pStyle w:val="Bulletlevel1"/>
        <w:tabs>
          <w:tab w:val="num" w:pos="295"/>
        </w:tabs>
        <w:ind w:left="295" w:hanging="295"/>
      </w:pPr>
      <w:r>
        <w:lastRenderedPageBreak/>
        <w:t>Distinguish</w:t>
      </w:r>
      <w:r w:rsidR="00B22618">
        <w:t>ing</w:t>
      </w:r>
      <w:r>
        <w:t xml:space="preserve"> between television (7 MHz), FM (200 kHz) and AM (18 kHz) tax rates to adjust for the different bandwidth.</w:t>
      </w:r>
    </w:p>
    <w:p w14:paraId="5F525694" w14:textId="07C5AC05" w:rsidR="00570CF6" w:rsidRDefault="00570CF6" w:rsidP="00570CF6">
      <w:pPr>
        <w:pStyle w:val="Bulletlevel1"/>
        <w:tabs>
          <w:tab w:val="num" w:pos="295"/>
        </w:tabs>
        <w:ind w:left="295" w:hanging="295"/>
      </w:pPr>
      <w:r>
        <w:t>Chang</w:t>
      </w:r>
      <w:r w:rsidR="00B22618">
        <w:t>ing</w:t>
      </w:r>
      <w:r>
        <w:t xml:space="preserve"> the minimum tax to $41.37 in line with other apparatus licence taxes.</w:t>
      </w:r>
    </w:p>
    <w:p w14:paraId="74D051E4" w14:textId="26E32BCD" w:rsidR="00570CF6" w:rsidRDefault="00570CF6" w:rsidP="00570CF6">
      <w:pPr>
        <w:pStyle w:val="Bulletlevel1last"/>
        <w:tabs>
          <w:tab w:val="num" w:pos="295"/>
        </w:tabs>
        <w:ind w:left="295" w:hanging="295"/>
      </w:pPr>
      <w:r w:rsidRPr="77B20063">
        <w:t>Us</w:t>
      </w:r>
      <w:r w:rsidR="00B22618">
        <w:t>ing</w:t>
      </w:r>
      <w:r w:rsidRPr="77B20063">
        <w:t xml:space="preserve"> ABS dataset ‘Population estimates by significant urban areas’</w:t>
      </w:r>
      <w:r w:rsidR="00B0381B">
        <w:rPr>
          <w:rStyle w:val="FootnoteReference"/>
          <w:szCs w:val="20"/>
        </w:rPr>
        <w:footnoteReference w:id="21"/>
      </w:r>
      <w:r w:rsidRPr="77B20063">
        <w:t xml:space="preserve"> to </w:t>
      </w:r>
      <w:r>
        <w:t>update the tax rates each year</w:t>
      </w:r>
      <w:r w:rsidR="006458F3">
        <w:t>, instead of CPI</w:t>
      </w:r>
      <w:r w:rsidRPr="77B20063">
        <w:t>.</w:t>
      </w:r>
    </w:p>
    <w:p w14:paraId="76E287C5" w14:textId="22AD1E95" w:rsidR="00570CF6" w:rsidRDefault="00570CF6" w:rsidP="00570CF6">
      <w:pPr>
        <w:pStyle w:val="Bulletlevel1"/>
        <w:numPr>
          <w:ilvl w:val="0"/>
          <w:numId w:val="0"/>
        </w:numPr>
        <w:spacing w:after="240"/>
      </w:pPr>
      <w:r>
        <w:t xml:space="preserve">These proposals are summarised in Table </w:t>
      </w:r>
      <w:r w:rsidR="00EA3B1B">
        <w:t>10</w:t>
      </w:r>
      <w:r>
        <w:t xml:space="preserve"> below.</w:t>
      </w:r>
    </w:p>
    <w:p w14:paraId="6B7F78CA" w14:textId="77777777" w:rsidR="00570CF6" w:rsidRPr="00141F62" w:rsidRDefault="00570CF6" w:rsidP="008D7573">
      <w:pPr>
        <w:pStyle w:val="Caption"/>
        <w:keepNext/>
      </w:pPr>
      <w:r w:rsidRPr="00141F62">
        <w:t>Proposed HPON taxes</w:t>
      </w:r>
    </w:p>
    <w:tbl>
      <w:tblPr>
        <w:tblStyle w:val="ACMAtablestyle"/>
        <w:tblW w:w="5000" w:type="pct"/>
        <w:tblCellMar>
          <w:top w:w="57" w:type="dxa"/>
          <w:bottom w:w="57" w:type="dxa"/>
        </w:tblCellMar>
        <w:tblLook w:val="04A0" w:firstRow="1" w:lastRow="0" w:firstColumn="1" w:lastColumn="0" w:noHBand="0" w:noVBand="1"/>
      </w:tblPr>
      <w:tblGrid>
        <w:gridCol w:w="1120"/>
        <w:gridCol w:w="2784"/>
        <w:gridCol w:w="1967"/>
        <w:gridCol w:w="1790"/>
      </w:tblGrid>
      <w:tr w:rsidR="00570CF6" w:rsidRPr="002D1AAE" w14:paraId="05CAECB7" w14:textId="77777777" w:rsidTr="00C80AAD">
        <w:trPr>
          <w:cnfStyle w:val="100000000000" w:firstRow="1" w:lastRow="0" w:firstColumn="0" w:lastColumn="0" w:oddVBand="0" w:evenVBand="0" w:oddHBand="0" w:evenHBand="0" w:firstRowFirstColumn="0" w:firstRowLastColumn="0" w:lastRowFirstColumn="0" w:lastRowLastColumn="0"/>
          <w:trHeight w:val="20"/>
        </w:trPr>
        <w:tc>
          <w:tcPr>
            <w:tcW w:w="731" w:type="pct"/>
            <w:hideMark/>
          </w:tcPr>
          <w:p w14:paraId="1449D0B3" w14:textId="77777777" w:rsidR="00570CF6" w:rsidRPr="002D1AAE" w:rsidRDefault="00570CF6" w:rsidP="00C80AAD">
            <w:pPr>
              <w:pStyle w:val="TableColHead"/>
              <w:keepLines/>
              <w:jc w:val="center"/>
              <w:rPr>
                <w:rFonts w:cs="Arial"/>
                <w:sz w:val="20"/>
                <w:szCs w:val="20"/>
              </w:rPr>
            </w:pPr>
            <w:r w:rsidRPr="002D1AAE">
              <w:rPr>
                <w:rFonts w:cs="Arial"/>
                <w:sz w:val="20"/>
                <w:szCs w:val="20"/>
              </w:rPr>
              <w:t>Item</w:t>
            </w:r>
          </w:p>
        </w:tc>
        <w:tc>
          <w:tcPr>
            <w:tcW w:w="1817" w:type="pct"/>
            <w:hideMark/>
          </w:tcPr>
          <w:p w14:paraId="6ED82B7B" w14:textId="069BED16" w:rsidR="00570CF6" w:rsidRPr="002D1AAE" w:rsidRDefault="00570CF6" w:rsidP="00C80AAD">
            <w:pPr>
              <w:pStyle w:val="TableColHead"/>
              <w:jc w:val="center"/>
              <w:rPr>
                <w:rFonts w:cs="Arial"/>
                <w:sz w:val="20"/>
                <w:szCs w:val="20"/>
              </w:rPr>
            </w:pPr>
            <w:r w:rsidRPr="002D1AAE">
              <w:rPr>
                <w:rFonts w:cs="Arial"/>
                <w:sz w:val="20"/>
                <w:szCs w:val="20"/>
              </w:rPr>
              <w:t>Location of open narrowcasting service</w:t>
            </w:r>
            <w:r>
              <w:rPr>
                <w:rFonts w:cs="Arial"/>
                <w:sz w:val="20"/>
                <w:szCs w:val="20"/>
              </w:rPr>
              <w:t xml:space="preserve"> (significant urban area)</w:t>
            </w:r>
          </w:p>
        </w:tc>
        <w:tc>
          <w:tcPr>
            <w:tcW w:w="1284" w:type="pct"/>
            <w:hideMark/>
          </w:tcPr>
          <w:p w14:paraId="76090052" w14:textId="77777777" w:rsidR="00570CF6" w:rsidRPr="002D1AAE" w:rsidRDefault="00570CF6" w:rsidP="00C80AAD">
            <w:pPr>
              <w:pStyle w:val="TableColHead"/>
              <w:ind w:right="12"/>
              <w:jc w:val="center"/>
              <w:rPr>
                <w:rFonts w:cs="Arial"/>
                <w:sz w:val="20"/>
                <w:szCs w:val="20"/>
              </w:rPr>
            </w:pPr>
            <w:r w:rsidRPr="002D1AAE">
              <w:rPr>
                <w:rFonts w:cs="Arial"/>
                <w:sz w:val="20"/>
                <w:szCs w:val="20"/>
              </w:rPr>
              <w:t>FM/TV</w:t>
            </w:r>
            <w:r>
              <w:rPr>
                <w:rStyle w:val="FootnoteReference"/>
                <w:rFonts w:cs="Arial"/>
                <w:sz w:val="20"/>
                <w:szCs w:val="20"/>
              </w:rPr>
              <w:footnoteReference w:id="22"/>
            </w:r>
          </w:p>
        </w:tc>
        <w:tc>
          <w:tcPr>
            <w:tcW w:w="1168" w:type="pct"/>
            <w:hideMark/>
          </w:tcPr>
          <w:p w14:paraId="525E46B2" w14:textId="77777777" w:rsidR="00570CF6" w:rsidRPr="002D1AAE" w:rsidRDefault="00570CF6" w:rsidP="00C80AAD">
            <w:pPr>
              <w:pStyle w:val="TableColHead"/>
              <w:ind w:right="12"/>
              <w:jc w:val="center"/>
              <w:rPr>
                <w:rFonts w:cs="Arial"/>
                <w:sz w:val="20"/>
                <w:szCs w:val="20"/>
              </w:rPr>
            </w:pPr>
            <w:r w:rsidRPr="002D1AAE">
              <w:rPr>
                <w:rFonts w:cs="Arial"/>
                <w:sz w:val="20"/>
                <w:szCs w:val="20"/>
              </w:rPr>
              <w:t>AM</w:t>
            </w:r>
          </w:p>
        </w:tc>
      </w:tr>
      <w:tr w:rsidR="00570CF6" w:rsidRPr="002D1AAE" w14:paraId="4CF1DE29"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54E7D7FC"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w:t>
            </w:r>
          </w:p>
        </w:tc>
        <w:tc>
          <w:tcPr>
            <w:tcW w:w="1817" w:type="pct"/>
            <w:hideMark/>
          </w:tcPr>
          <w:p w14:paraId="5D55BE87"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Melbourne </w:t>
            </w:r>
          </w:p>
        </w:tc>
        <w:tc>
          <w:tcPr>
            <w:tcW w:w="1284" w:type="pct"/>
            <w:hideMark/>
          </w:tcPr>
          <w:p w14:paraId="3D7B3508"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$7,653</w:t>
            </w:r>
          </w:p>
        </w:tc>
        <w:tc>
          <w:tcPr>
            <w:tcW w:w="1168" w:type="pct"/>
            <w:hideMark/>
          </w:tcPr>
          <w:p w14:paraId="3AAE54A4"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$689</w:t>
            </w:r>
          </w:p>
        </w:tc>
      </w:tr>
      <w:tr w:rsidR="00570CF6" w:rsidRPr="002D1AAE" w14:paraId="59B3DE1B"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75E4A8C7"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2</w:t>
            </w:r>
          </w:p>
        </w:tc>
        <w:tc>
          <w:tcPr>
            <w:tcW w:w="1817" w:type="pct"/>
            <w:hideMark/>
          </w:tcPr>
          <w:p w14:paraId="602BCAFC"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Sydney</w:t>
            </w:r>
          </w:p>
        </w:tc>
        <w:tc>
          <w:tcPr>
            <w:tcW w:w="1284" w:type="pct"/>
            <w:hideMark/>
          </w:tcPr>
          <w:p w14:paraId="0B170695"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$7,649</w:t>
            </w:r>
          </w:p>
        </w:tc>
        <w:tc>
          <w:tcPr>
            <w:tcW w:w="1168" w:type="pct"/>
            <w:hideMark/>
          </w:tcPr>
          <w:p w14:paraId="0D643E3A"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$688</w:t>
            </w:r>
          </w:p>
        </w:tc>
      </w:tr>
      <w:tr w:rsidR="00570CF6" w:rsidRPr="002D1AAE" w14:paraId="0E038626"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645CA3FF"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3</w:t>
            </w:r>
          </w:p>
        </w:tc>
        <w:tc>
          <w:tcPr>
            <w:tcW w:w="1817" w:type="pct"/>
            <w:hideMark/>
          </w:tcPr>
          <w:p w14:paraId="510C66F2"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Brisbane</w:t>
            </w:r>
          </w:p>
        </w:tc>
        <w:tc>
          <w:tcPr>
            <w:tcW w:w="1284" w:type="pct"/>
            <w:hideMark/>
          </w:tcPr>
          <w:p w14:paraId="63D62EAC"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$3,813</w:t>
            </w:r>
          </w:p>
        </w:tc>
        <w:tc>
          <w:tcPr>
            <w:tcW w:w="1168" w:type="pct"/>
            <w:hideMark/>
          </w:tcPr>
          <w:p w14:paraId="2AC977BE"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$343</w:t>
            </w:r>
          </w:p>
        </w:tc>
      </w:tr>
      <w:tr w:rsidR="00570CF6" w:rsidRPr="002D1AAE" w14:paraId="5AE5AB3D"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383E1647"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4</w:t>
            </w:r>
          </w:p>
        </w:tc>
        <w:tc>
          <w:tcPr>
            <w:tcW w:w="1817" w:type="pct"/>
            <w:hideMark/>
          </w:tcPr>
          <w:p w14:paraId="40E97DA8"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Perth</w:t>
            </w:r>
          </w:p>
        </w:tc>
        <w:tc>
          <w:tcPr>
            <w:tcW w:w="1284" w:type="pct"/>
            <w:hideMark/>
          </w:tcPr>
          <w:p w14:paraId="58866408"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$3,209</w:t>
            </w:r>
          </w:p>
        </w:tc>
        <w:tc>
          <w:tcPr>
            <w:tcW w:w="1168" w:type="pct"/>
            <w:hideMark/>
          </w:tcPr>
          <w:p w14:paraId="36B8641E"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$289</w:t>
            </w:r>
          </w:p>
        </w:tc>
      </w:tr>
      <w:tr w:rsidR="00570CF6" w:rsidRPr="002D1AAE" w14:paraId="6C5071D9"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37E722EB"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5</w:t>
            </w:r>
          </w:p>
        </w:tc>
        <w:tc>
          <w:tcPr>
            <w:tcW w:w="1817" w:type="pct"/>
            <w:hideMark/>
          </w:tcPr>
          <w:p w14:paraId="39337075"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Adelaide</w:t>
            </w:r>
          </w:p>
        </w:tc>
        <w:tc>
          <w:tcPr>
            <w:tcW w:w="1284" w:type="pct"/>
            <w:hideMark/>
          </w:tcPr>
          <w:p w14:paraId="056DFF3D"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$2,091</w:t>
            </w:r>
          </w:p>
        </w:tc>
        <w:tc>
          <w:tcPr>
            <w:tcW w:w="1168" w:type="pct"/>
            <w:hideMark/>
          </w:tcPr>
          <w:p w14:paraId="67E58C9E"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$188</w:t>
            </w:r>
          </w:p>
        </w:tc>
      </w:tr>
      <w:tr w:rsidR="00570CF6" w:rsidRPr="002D1AAE" w14:paraId="464FE783"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652C739D"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6</w:t>
            </w:r>
          </w:p>
        </w:tc>
        <w:tc>
          <w:tcPr>
            <w:tcW w:w="1817" w:type="pct"/>
            <w:hideMark/>
          </w:tcPr>
          <w:p w14:paraId="755C2985"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Gold Coast – Tweed Heads</w:t>
            </w:r>
          </w:p>
        </w:tc>
        <w:tc>
          <w:tcPr>
            <w:tcW w:w="1284" w:type="pct"/>
            <w:hideMark/>
          </w:tcPr>
          <w:p w14:paraId="6BB1CB33"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$1,093 </w:t>
            </w:r>
          </w:p>
        </w:tc>
        <w:tc>
          <w:tcPr>
            <w:tcW w:w="1168" w:type="pct"/>
            <w:hideMark/>
          </w:tcPr>
          <w:p w14:paraId="1ECD5559"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$98 </w:t>
            </w:r>
          </w:p>
        </w:tc>
      </w:tr>
      <w:tr w:rsidR="00570CF6" w:rsidRPr="002D1AAE" w14:paraId="5F59530E"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02715E91"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7</w:t>
            </w:r>
          </w:p>
        </w:tc>
        <w:tc>
          <w:tcPr>
            <w:tcW w:w="1817" w:type="pct"/>
            <w:hideMark/>
          </w:tcPr>
          <w:p w14:paraId="52458936"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Newcastle – Maitland</w:t>
            </w:r>
          </w:p>
        </w:tc>
        <w:tc>
          <w:tcPr>
            <w:tcW w:w="1284" w:type="pct"/>
            <w:hideMark/>
          </w:tcPr>
          <w:p w14:paraId="50ADC0B9"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$767 </w:t>
            </w:r>
          </w:p>
        </w:tc>
        <w:tc>
          <w:tcPr>
            <w:tcW w:w="1168" w:type="pct"/>
            <w:hideMark/>
          </w:tcPr>
          <w:p w14:paraId="34C75D76"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$69 </w:t>
            </w:r>
          </w:p>
        </w:tc>
      </w:tr>
      <w:tr w:rsidR="00570CF6" w:rsidRPr="002D1AAE" w14:paraId="51FC0619"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00D41C1A"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8</w:t>
            </w:r>
          </w:p>
        </w:tc>
        <w:tc>
          <w:tcPr>
            <w:tcW w:w="1817" w:type="pct"/>
            <w:hideMark/>
          </w:tcPr>
          <w:p w14:paraId="6446C704"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Canberra – Queanbeyan</w:t>
            </w:r>
          </w:p>
        </w:tc>
        <w:tc>
          <w:tcPr>
            <w:tcW w:w="1284" w:type="pct"/>
            <w:hideMark/>
          </w:tcPr>
          <w:p w14:paraId="0A4DDFCA"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$716 </w:t>
            </w:r>
          </w:p>
        </w:tc>
        <w:tc>
          <w:tcPr>
            <w:tcW w:w="1168" w:type="pct"/>
            <w:hideMark/>
          </w:tcPr>
          <w:p w14:paraId="688F0692"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$64 </w:t>
            </w:r>
          </w:p>
        </w:tc>
      </w:tr>
      <w:tr w:rsidR="00570CF6" w:rsidRPr="002D1AAE" w14:paraId="784FB6D0"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4C82DEF9"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9</w:t>
            </w:r>
          </w:p>
        </w:tc>
        <w:tc>
          <w:tcPr>
            <w:tcW w:w="1817" w:type="pct"/>
            <w:hideMark/>
          </w:tcPr>
          <w:p w14:paraId="53B0D3E4"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Sunshine Coast  </w:t>
            </w:r>
          </w:p>
        </w:tc>
        <w:tc>
          <w:tcPr>
            <w:tcW w:w="1284" w:type="pct"/>
            <w:hideMark/>
          </w:tcPr>
          <w:p w14:paraId="41BDBF13"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$536 </w:t>
            </w:r>
          </w:p>
        </w:tc>
        <w:tc>
          <w:tcPr>
            <w:tcW w:w="1168" w:type="pct"/>
            <w:hideMark/>
          </w:tcPr>
          <w:p w14:paraId="27580F4D"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$48 </w:t>
            </w:r>
          </w:p>
        </w:tc>
      </w:tr>
      <w:tr w:rsidR="00570CF6" w:rsidRPr="002D1AAE" w14:paraId="73214AB8"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25255275"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10</w:t>
            </w:r>
          </w:p>
        </w:tc>
        <w:tc>
          <w:tcPr>
            <w:tcW w:w="1817" w:type="pct"/>
            <w:hideMark/>
          </w:tcPr>
          <w:p w14:paraId="23D926F3"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Central Coast  </w:t>
            </w:r>
          </w:p>
        </w:tc>
        <w:tc>
          <w:tcPr>
            <w:tcW w:w="1284" w:type="pct"/>
            <w:hideMark/>
          </w:tcPr>
          <w:p w14:paraId="5CB806F3"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$519 </w:t>
            </w:r>
          </w:p>
        </w:tc>
        <w:tc>
          <w:tcPr>
            <w:tcW w:w="1168" w:type="pct"/>
            <w:hideMark/>
          </w:tcPr>
          <w:p w14:paraId="1AEF8DD8"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$47 </w:t>
            </w:r>
          </w:p>
        </w:tc>
      </w:tr>
      <w:tr w:rsidR="00570CF6" w:rsidRPr="002D1AAE" w14:paraId="72CD9686"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5F3C57F9"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11</w:t>
            </w:r>
          </w:p>
        </w:tc>
        <w:tc>
          <w:tcPr>
            <w:tcW w:w="1817" w:type="pct"/>
            <w:hideMark/>
          </w:tcPr>
          <w:p w14:paraId="2907D149"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Wollongong </w:t>
            </w:r>
          </w:p>
        </w:tc>
        <w:tc>
          <w:tcPr>
            <w:tcW w:w="1284" w:type="pct"/>
            <w:hideMark/>
          </w:tcPr>
          <w:p w14:paraId="2BF4B197"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$476</w:t>
            </w:r>
          </w:p>
        </w:tc>
        <w:tc>
          <w:tcPr>
            <w:tcW w:w="1168" w:type="pct"/>
            <w:hideMark/>
          </w:tcPr>
          <w:p w14:paraId="654DC00D"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$43</w:t>
            </w:r>
          </w:p>
        </w:tc>
      </w:tr>
      <w:tr w:rsidR="00570CF6" w:rsidRPr="002D1AAE" w14:paraId="532DE927"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541490C8"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12</w:t>
            </w:r>
          </w:p>
        </w:tc>
        <w:tc>
          <w:tcPr>
            <w:tcW w:w="1817" w:type="pct"/>
            <w:hideMark/>
          </w:tcPr>
          <w:p w14:paraId="34033D78"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Geelong</w:t>
            </w:r>
          </w:p>
        </w:tc>
        <w:tc>
          <w:tcPr>
            <w:tcW w:w="1284" w:type="pct"/>
            <w:hideMark/>
          </w:tcPr>
          <w:p w14:paraId="7B5A053F"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$435 </w:t>
            </w:r>
          </w:p>
        </w:tc>
        <w:tc>
          <w:tcPr>
            <w:tcW w:w="1168" w:type="pct"/>
            <w:hideMark/>
          </w:tcPr>
          <w:p w14:paraId="47884E3A"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$41</w:t>
            </w:r>
          </w:p>
        </w:tc>
      </w:tr>
      <w:tr w:rsidR="00570CF6" w:rsidRPr="002D1AAE" w14:paraId="334F086C"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23564E18"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13</w:t>
            </w:r>
          </w:p>
        </w:tc>
        <w:tc>
          <w:tcPr>
            <w:tcW w:w="1817" w:type="pct"/>
            <w:hideMark/>
          </w:tcPr>
          <w:p w14:paraId="40FEA8CA"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Hobart </w:t>
            </w:r>
          </w:p>
        </w:tc>
        <w:tc>
          <w:tcPr>
            <w:tcW w:w="1284" w:type="pct"/>
            <w:hideMark/>
          </w:tcPr>
          <w:p w14:paraId="049E1E76"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$337 </w:t>
            </w:r>
          </w:p>
        </w:tc>
        <w:tc>
          <w:tcPr>
            <w:tcW w:w="1168" w:type="pct"/>
            <w:hideMark/>
          </w:tcPr>
          <w:p w14:paraId="41033683"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$41 </w:t>
            </w:r>
          </w:p>
        </w:tc>
      </w:tr>
      <w:tr w:rsidR="00570CF6" w:rsidRPr="002D1AAE" w14:paraId="54E6C7DC"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7A02DFFD"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14</w:t>
            </w:r>
          </w:p>
        </w:tc>
        <w:tc>
          <w:tcPr>
            <w:tcW w:w="1817" w:type="pct"/>
            <w:hideMark/>
          </w:tcPr>
          <w:p w14:paraId="5B57D50F"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Townsville </w:t>
            </w:r>
          </w:p>
        </w:tc>
        <w:tc>
          <w:tcPr>
            <w:tcW w:w="1284" w:type="pct"/>
            <w:hideMark/>
          </w:tcPr>
          <w:p w14:paraId="53958CDF"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$282 </w:t>
            </w:r>
          </w:p>
        </w:tc>
        <w:tc>
          <w:tcPr>
            <w:tcW w:w="1168" w:type="pct"/>
            <w:hideMark/>
          </w:tcPr>
          <w:p w14:paraId="2B4A1A7C"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$41 </w:t>
            </w:r>
          </w:p>
        </w:tc>
      </w:tr>
      <w:tr w:rsidR="00570CF6" w:rsidRPr="002D1AAE" w14:paraId="0C1F9069" w14:textId="77777777" w:rsidTr="00C80AAD">
        <w:trPr>
          <w:cnfStyle w:val="000000100000" w:firstRow="0" w:lastRow="0" w:firstColumn="0" w:lastColumn="0" w:oddVBand="0" w:evenVBand="0" w:oddHBand="1" w:evenHBand="0" w:firstRowFirstColumn="0" w:firstRowLastColumn="0" w:lastRowFirstColumn="0" w:lastRowLastColumn="0"/>
          <w:trHeight w:val="20"/>
        </w:trPr>
        <w:tc>
          <w:tcPr>
            <w:tcW w:w="731" w:type="pct"/>
            <w:hideMark/>
          </w:tcPr>
          <w:p w14:paraId="348E2155"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15</w:t>
            </w:r>
          </w:p>
        </w:tc>
        <w:tc>
          <w:tcPr>
            <w:tcW w:w="1817" w:type="pct"/>
            <w:hideMark/>
          </w:tcPr>
          <w:p w14:paraId="4BA18E9F"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Cairns </w:t>
            </w:r>
          </w:p>
        </w:tc>
        <w:tc>
          <w:tcPr>
            <w:tcW w:w="1284" w:type="pct"/>
            <w:hideMark/>
          </w:tcPr>
          <w:p w14:paraId="0FE95450"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$239</w:t>
            </w:r>
          </w:p>
        </w:tc>
        <w:tc>
          <w:tcPr>
            <w:tcW w:w="1168" w:type="pct"/>
            <w:hideMark/>
          </w:tcPr>
          <w:p w14:paraId="05543FC8"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 xml:space="preserve">$41 </w:t>
            </w:r>
          </w:p>
        </w:tc>
      </w:tr>
      <w:tr w:rsidR="00570CF6" w:rsidRPr="002D1AAE" w14:paraId="7D99C0C2" w14:textId="77777777" w:rsidTr="00C80AAD">
        <w:trPr>
          <w:cnfStyle w:val="000000010000" w:firstRow="0" w:lastRow="0" w:firstColumn="0" w:lastColumn="0" w:oddVBand="0" w:evenVBand="0" w:oddHBand="0" w:evenHBand="1" w:firstRowFirstColumn="0" w:firstRowLastColumn="0" w:lastRowFirstColumn="0" w:lastRowLastColumn="0"/>
          <w:trHeight w:val="20"/>
        </w:trPr>
        <w:tc>
          <w:tcPr>
            <w:tcW w:w="731" w:type="pct"/>
            <w:hideMark/>
          </w:tcPr>
          <w:p w14:paraId="31F3BAD3"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lastRenderedPageBreak/>
              <w:t>16</w:t>
            </w:r>
          </w:p>
        </w:tc>
        <w:tc>
          <w:tcPr>
            <w:tcW w:w="1817" w:type="pct"/>
            <w:hideMark/>
          </w:tcPr>
          <w:p w14:paraId="6E5310B5" w14:textId="77777777" w:rsidR="00570CF6" w:rsidRPr="002D1AAE" w:rsidRDefault="00570CF6" w:rsidP="00C80AAD">
            <w:pPr>
              <w:pStyle w:val="TableText"/>
              <w:ind w:left="284"/>
              <w:rPr>
                <w:rFonts w:ascii="Arial" w:hAnsi="Arial" w:cs="Arial"/>
                <w:sz w:val="20"/>
                <w:szCs w:val="20"/>
              </w:rPr>
            </w:pPr>
            <w:r w:rsidRPr="0011270F">
              <w:rPr>
                <w:rFonts w:ascii="Arial" w:hAnsi="Arial" w:cs="Arial"/>
                <w:sz w:val="20"/>
                <w:szCs w:val="20"/>
              </w:rPr>
              <w:t>A place in Australia not otherwise specified in this table</w:t>
            </w:r>
          </w:p>
        </w:tc>
        <w:tc>
          <w:tcPr>
            <w:tcW w:w="1284" w:type="pct"/>
            <w:hideMark/>
          </w:tcPr>
          <w:p w14:paraId="03B4EAB7"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 xml:space="preserve">$41 </w:t>
            </w:r>
          </w:p>
        </w:tc>
        <w:tc>
          <w:tcPr>
            <w:tcW w:w="1168" w:type="pct"/>
            <w:hideMark/>
          </w:tcPr>
          <w:p w14:paraId="4E9D24CE" w14:textId="77777777" w:rsidR="00570CF6" w:rsidRPr="002D1AAE" w:rsidRDefault="00570CF6" w:rsidP="00C80AAD">
            <w:pPr>
              <w:pStyle w:val="TableText"/>
              <w:ind w:left="284"/>
              <w:rPr>
                <w:rFonts w:ascii="Arial" w:hAnsi="Arial" w:cs="Arial"/>
                <w:sz w:val="20"/>
                <w:szCs w:val="20"/>
              </w:rPr>
            </w:pPr>
            <w:r w:rsidRPr="002D1AAE">
              <w:rPr>
                <w:rFonts w:ascii="Arial" w:hAnsi="Arial" w:cs="Arial"/>
                <w:sz w:val="20"/>
                <w:szCs w:val="20"/>
              </w:rPr>
              <w:t xml:space="preserve">$41 </w:t>
            </w:r>
          </w:p>
        </w:tc>
      </w:tr>
    </w:tbl>
    <w:p w14:paraId="0E84CF16" w14:textId="77777777" w:rsidR="00570CF6" w:rsidRDefault="00570CF6" w:rsidP="00570CF6">
      <w:pPr>
        <w:rPr>
          <w:rFonts w:cs="Arial"/>
        </w:rPr>
      </w:pPr>
    </w:p>
    <w:p w14:paraId="7075ED63" w14:textId="0D81262E" w:rsidR="002A183B" w:rsidRPr="002A183B" w:rsidRDefault="00392B31" w:rsidP="006E6ED7">
      <w:pPr>
        <w:pStyle w:val="Heading3"/>
      </w:pPr>
      <w:bookmarkStart w:id="51" w:name="_Toc109035843"/>
      <w:r>
        <w:t>P</w:t>
      </w:r>
      <w:r w:rsidR="00384EB4">
        <w:t>roposals</w:t>
      </w:r>
      <w:r>
        <w:t xml:space="preserve"> to adjust tranche 1 reforms</w:t>
      </w:r>
      <w:bookmarkEnd w:id="51"/>
    </w:p>
    <w:p w14:paraId="324F06A3" w14:textId="49847D4B" w:rsidR="00D34DB6" w:rsidRDefault="00D34DB6" w:rsidP="00D34DB6">
      <w:r>
        <w:t xml:space="preserve">Since implementing the first tranche of reforms, the ACMA received useful additional feedback on them. Consequently, we </w:t>
      </w:r>
      <w:r w:rsidR="00B57593">
        <w:t xml:space="preserve">proposed </w:t>
      </w:r>
      <w:r>
        <w:t xml:space="preserve">some changes to the tranche 1 reforms by amending the definition of low-power and micro-power spectrum </w:t>
      </w:r>
      <w:proofErr w:type="gramStart"/>
      <w:r>
        <w:t>accesses, and</w:t>
      </w:r>
      <w:proofErr w:type="gramEnd"/>
      <w:r>
        <w:t xml:space="preserve"> allowing for more flexible system configurations eligible for the ‘system price’.</w:t>
      </w:r>
    </w:p>
    <w:p w14:paraId="794FE164" w14:textId="77777777" w:rsidR="00A60B29" w:rsidRPr="006E6ED7" w:rsidRDefault="00A60B29" w:rsidP="006E6ED7">
      <w:pPr>
        <w:pStyle w:val="Heading4"/>
      </w:pPr>
      <w:bookmarkStart w:id="52" w:name="_Toc86153501"/>
      <w:r w:rsidRPr="006E6ED7">
        <w:t>Definitions of low-power and micro-power spectrum accesses</w:t>
      </w:r>
      <w:bookmarkEnd w:id="52"/>
    </w:p>
    <w:p w14:paraId="0886B44A" w14:textId="11E5F733" w:rsidR="00A60B29" w:rsidRDefault="00A60B29" w:rsidP="00A60B29">
      <w:pPr>
        <w:pStyle w:val="Paragraph"/>
      </w:pPr>
      <w:r>
        <w:t xml:space="preserve">The ACMA introduced a tax discount for ‘micro-power spectrum access’ in the first tranche of reforms. In doing so, we updated the definition of the ‘low-power spectrum </w:t>
      </w:r>
      <w:proofErr w:type="gramStart"/>
      <w:r>
        <w:t>access’</w:t>
      </w:r>
      <w:proofErr w:type="gramEnd"/>
      <w:r>
        <w:t xml:space="preserve"> for consistency of wording across the two service models. However, we have received feedback </w:t>
      </w:r>
      <w:r w:rsidR="00A63923">
        <w:t xml:space="preserve">that </w:t>
      </w:r>
      <w:r>
        <w:t>the new definitions</w:t>
      </w:r>
      <w:r w:rsidR="00A63923">
        <w:t xml:space="preserve"> were unclear</w:t>
      </w:r>
      <w:r>
        <w:t xml:space="preserve">. </w:t>
      </w:r>
    </w:p>
    <w:p w14:paraId="32BF3135" w14:textId="2F056F9C" w:rsidR="00A60B29" w:rsidRDefault="00A60B29" w:rsidP="00A60B29">
      <w:pPr>
        <w:pStyle w:val="Paragraph"/>
      </w:pPr>
      <w:r>
        <w:t>Our intent was and continues to be that the low-power discount (90% discount) applies to the l</w:t>
      </w:r>
      <w:r w:rsidRPr="00F80D6C">
        <w:rPr>
          <w:rFonts w:eastAsia="Calibri"/>
          <w:szCs w:val="20"/>
          <w:lang w:val="en-GB"/>
        </w:rPr>
        <w:t>ow-power land mobile radio system (LPMRS)</w:t>
      </w:r>
      <w:r>
        <w:rPr>
          <w:rFonts w:eastAsia="Calibri"/>
          <w:szCs w:val="20"/>
          <w:lang w:val="en-GB"/>
        </w:rPr>
        <w:t xml:space="preserve"> service model, and the ‘micro-power’ discount (95% discount) applies to the ‘</w:t>
      </w:r>
      <w:r w:rsidRPr="00F80D6C">
        <w:rPr>
          <w:rFonts w:eastAsia="Calibri"/>
          <w:szCs w:val="20"/>
          <w:lang w:val="en-GB"/>
        </w:rPr>
        <w:t xml:space="preserve">Enclosed and </w:t>
      </w:r>
      <w:r>
        <w:rPr>
          <w:rFonts w:eastAsia="Calibri"/>
          <w:szCs w:val="20"/>
          <w:lang w:val="en-GB"/>
        </w:rPr>
        <w:t>s</w:t>
      </w:r>
      <w:r w:rsidRPr="00F80D6C">
        <w:rPr>
          <w:rFonts w:eastAsia="Calibri"/>
          <w:szCs w:val="20"/>
          <w:lang w:val="en-GB"/>
        </w:rPr>
        <w:t xml:space="preserve">hort-range </w:t>
      </w:r>
      <w:r>
        <w:rPr>
          <w:rFonts w:eastAsia="Calibri"/>
          <w:szCs w:val="20"/>
          <w:lang w:val="en-GB"/>
        </w:rPr>
        <w:t>d</w:t>
      </w:r>
      <w:r w:rsidRPr="00F80D6C">
        <w:rPr>
          <w:rFonts w:eastAsia="Calibri"/>
          <w:szCs w:val="20"/>
          <w:lang w:val="en-GB"/>
        </w:rPr>
        <w:t xml:space="preserve">igital </w:t>
      </w:r>
      <w:r>
        <w:rPr>
          <w:rFonts w:eastAsia="Calibri"/>
          <w:szCs w:val="20"/>
          <w:lang w:val="en-GB"/>
        </w:rPr>
        <w:t>s</w:t>
      </w:r>
      <w:r w:rsidRPr="00F80D6C">
        <w:rPr>
          <w:rFonts w:eastAsia="Calibri"/>
          <w:szCs w:val="20"/>
          <w:lang w:val="en-GB"/>
        </w:rPr>
        <w:t>ervice</w:t>
      </w:r>
      <w:r>
        <w:rPr>
          <w:rFonts w:eastAsia="Calibri"/>
          <w:szCs w:val="20"/>
          <w:lang w:val="en-GB"/>
        </w:rPr>
        <w:t xml:space="preserve"> model’ (see Table </w:t>
      </w:r>
      <w:r w:rsidR="00C50602">
        <w:rPr>
          <w:rFonts w:eastAsia="Calibri"/>
          <w:szCs w:val="20"/>
          <w:lang w:val="en-GB"/>
        </w:rPr>
        <w:t>11</w:t>
      </w:r>
      <w:r>
        <w:rPr>
          <w:rFonts w:eastAsia="Calibri"/>
          <w:szCs w:val="20"/>
          <w:lang w:val="en-GB"/>
        </w:rPr>
        <w:t xml:space="preserve"> below, and see </w:t>
      </w:r>
      <w:hyperlink r:id="rId118" w:history="1">
        <w:r w:rsidRPr="00513132">
          <w:rPr>
            <w:rStyle w:val="Hyperlink"/>
            <w:rFonts w:eastAsia="Calibri"/>
            <w:szCs w:val="20"/>
            <w:lang w:val="en-GB"/>
          </w:rPr>
          <w:t>Radiocommunications Assignment and Licensing Instruction (RALI) LM8</w:t>
        </w:r>
      </w:hyperlink>
      <w:r>
        <w:rPr>
          <w:rFonts w:eastAsia="Calibri"/>
          <w:szCs w:val="20"/>
          <w:lang w:val="en-GB"/>
        </w:rPr>
        <w:t xml:space="preserve"> for detail of the service models). </w:t>
      </w:r>
      <w:r>
        <w:t>The intent is that, for those services that use a low power and for which the licensee acknowledges that interference protection will be limited to a small radius, a discount will be applied to the tax rates.</w:t>
      </w:r>
    </w:p>
    <w:p w14:paraId="6BCF8C2D" w14:textId="77777777" w:rsidR="00A60B29" w:rsidRDefault="00A60B29" w:rsidP="006E6ED7">
      <w:pPr>
        <w:pStyle w:val="Caption"/>
        <w:rPr>
          <w:lang w:val="en-GB"/>
        </w:rPr>
      </w:pPr>
      <w:r w:rsidRPr="000C1687">
        <w:rPr>
          <w:lang w:val="en-GB"/>
        </w:rPr>
        <w:t>Land mobile services models and price factors</w:t>
      </w:r>
    </w:p>
    <w:tbl>
      <w:tblPr>
        <w:tblStyle w:val="ACMAtablestyle"/>
        <w:tblW w:w="5000" w:type="pct"/>
        <w:tblCellMar>
          <w:top w:w="57" w:type="dxa"/>
          <w:bottom w:w="57" w:type="dxa"/>
        </w:tblCellMar>
        <w:tblLook w:val="06A0" w:firstRow="1" w:lastRow="0" w:firstColumn="1" w:lastColumn="0" w:noHBand="1" w:noVBand="1"/>
      </w:tblPr>
      <w:tblGrid>
        <w:gridCol w:w="1912"/>
        <w:gridCol w:w="1926"/>
        <w:gridCol w:w="1912"/>
        <w:gridCol w:w="1911"/>
      </w:tblGrid>
      <w:tr w:rsidR="00A60B29" w14:paraId="2456254E" w14:textId="77777777" w:rsidTr="00C80AAD">
        <w:trPr>
          <w:cnfStyle w:val="100000000000" w:firstRow="1" w:lastRow="0" w:firstColumn="0" w:lastColumn="0" w:oddVBand="0" w:evenVBand="0" w:oddHBand="0" w:evenHBand="0" w:firstRowFirstColumn="0" w:firstRowLastColumn="0" w:lastRowFirstColumn="0" w:lastRowLastColumn="0"/>
        </w:trPr>
        <w:tc>
          <w:tcPr>
            <w:tcW w:w="1248" w:type="pct"/>
          </w:tcPr>
          <w:p w14:paraId="144196F5" w14:textId="77777777" w:rsidR="00A60B29" w:rsidRPr="00F80D6C" w:rsidRDefault="00A60B29" w:rsidP="00C80AAD">
            <w:pPr>
              <w:spacing w:line="240" w:lineRule="auto"/>
              <w:jc w:val="center"/>
              <w:rPr>
                <w:rFonts w:cs="Arial"/>
                <w:szCs w:val="20"/>
              </w:rPr>
            </w:pPr>
            <w:r w:rsidRPr="00F80D6C">
              <w:rPr>
                <w:rFonts w:eastAsia="Calibri" w:cs="Arial"/>
                <w:b/>
                <w:bCs/>
                <w:szCs w:val="20"/>
                <w:lang w:val="en-GB"/>
              </w:rPr>
              <w:t>Land mobile service model</w:t>
            </w:r>
          </w:p>
        </w:tc>
        <w:tc>
          <w:tcPr>
            <w:tcW w:w="1257" w:type="pct"/>
          </w:tcPr>
          <w:p w14:paraId="3348EB2E" w14:textId="77777777" w:rsidR="00A60B29" w:rsidRPr="00F80D6C" w:rsidRDefault="00A60B29" w:rsidP="00C80AAD">
            <w:pPr>
              <w:spacing w:line="240" w:lineRule="auto"/>
              <w:jc w:val="center"/>
              <w:rPr>
                <w:rFonts w:cs="Arial"/>
                <w:szCs w:val="20"/>
              </w:rPr>
            </w:pPr>
            <w:r w:rsidRPr="00F80D6C">
              <w:rPr>
                <w:rFonts w:eastAsia="Calibri" w:cs="Arial"/>
                <w:b/>
                <w:bCs/>
                <w:szCs w:val="20"/>
                <w:lang w:val="en-GB"/>
              </w:rPr>
              <w:t>Notional service area radius (km)</w:t>
            </w:r>
          </w:p>
        </w:tc>
        <w:tc>
          <w:tcPr>
            <w:tcW w:w="1248" w:type="pct"/>
          </w:tcPr>
          <w:p w14:paraId="0F7303B4" w14:textId="77777777" w:rsidR="00A60B29" w:rsidRPr="00F80D6C" w:rsidRDefault="00A60B29" w:rsidP="00C80AAD">
            <w:pPr>
              <w:spacing w:line="240" w:lineRule="auto"/>
              <w:jc w:val="center"/>
              <w:rPr>
                <w:rFonts w:cs="Arial"/>
                <w:szCs w:val="20"/>
              </w:rPr>
            </w:pPr>
            <w:r w:rsidRPr="00F80D6C">
              <w:rPr>
                <w:rFonts w:eastAsia="Calibri" w:cs="Arial"/>
                <w:b/>
                <w:bCs/>
                <w:szCs w:val="20"/>
                <w:lang w:val="en-GB"/>
              </w:rPr>
              <w:t>Reuse distance (km)</w:t>
            </w:r>
          </w:p>
        </w:tc>
        <w:tc>
          <w:tcPr>
            <w:tcW w:w="1248" w:type="pct"/>
          </w:tcPr>
          <w:p w14:paraId="4A61C883" w14:textId="77777777" w:rsidR="00A60B29" w:rsidRPr="00F80D6C" w:rsidRDefault="00A60B29" w:rsidP="00C80AAD">
            <w:pPr>
              <w:spacing w:line="240" w:lineRule="auto"/>
              <w:jc w:val="center"/>
              <w:rPr>
                <w:rFonts w:cs="Arial"/>
                <w:szCs w:val="20"/>
              </w:rPr>
            </w:pPr>
            <w:r w:rsidRPr="00F80D6C">
              <w:rPr>
                <w:rFonts w:eastAsia="Calibri" w:cs="Arial"/>
                <w:b/>
                <w:bCs/>
                <w:szCs w:val="20"/>
                <w:lang w:val="en-GB"/>
              </w:rPr>
              <w:t>Price factor</w:t>
            </w:r>
          </w:p>
        </w:tc>
      </w:tr>
      <w:tr w:rsidR="00A60B29" w14:paraId="57E01280" w14:textId="77777777" w:rsidTr="00C80AAD">
        <w:tc>
          <w:tcPr>
            <w:tcW w:w="1248" w:type="pct"/>
          </w:tcPr>
          <w:p w14:paraId="17E1E167" w14:textId="77777777" w:rsidR="00A60B29" w:rsidRPr="00F80D6C" w:rsidRDefault="00A60B29" w:rsidP="00C80AAD">
            <w:pPr>
              <w:spacing w:line="240" w:lineRule="auto"/>
              <w:jc w:val="center"/>
              <w:rPr>
                <w:rFonts w:cs="Arial"/>
                <w:szCs w:val="20"/>
              </w:rPr>
            </w:pPr>
            <w:r>
              <w:rPr>
                <w:rFonts w:eastAsia="Calibri" w:cs="Arial"/>
                <w:szCs w:val="20"/>
                <w:lang w:val="en-GB"/>
              </w:rPr>
              <w:t>L</w:t>
            </w:r>
            <w:r w:rsidRPr="00F80D6C">
              <w:rPr>
                <w:rFonts w:eastAsia="Calibri" w:cs="Arial"/>
                <w:szCs w:val="20"/>
                <w:lang w:val="en-GB"/>
              </w:rPr>
              <w:t>and mobile radio systems (LMRS)</w:t>
            </w:r>
          </w:p>
        </w:tc>
        <w:tc>
          <w:tcPr>
            <w:tcW w:w="1257" w:type="pct"/>
          </w:tcPr>
          <w:p w14:paraId="4F90EB82" w14:textId="77777777" w:rsidR="00A60B29" w:rsidRPr="00F80D6C" w:rsidRDefault="00A60B29" w:rsidP="00C80AAD">
            <w:pPr>
              <w:spacing w:line="240" w:lineRule="auto"/>
              <w:jc w:val="center"/>
              <w:rPr>
                <w:rFonts w:cs="Arial"/>
                <w:szCs w:val="20"/>
              </w:rPr>
            </w:pPr>
            <w:r w:rsidRPr="00F80D6C">
              <w:rPr>
                <w:rFonts w:eastAsia="Calibri" w:cs="Arial"/>
                <w:szCs w:val="20"/>
                <w:lang w:val="en-GB"/>
              </w:rPr>
              <w:t>40</w:t>
            </w:r>
          </w:p>
        </w:tc>
        <w:tc>
          <w:tcPr>
            <w:tcW w:w="1248" w:type="pct"/>
          </w:tcPr>
          <w:p w14:paraId="05A7B1D2" w14:textId="77777777" w:rsidR="00A60B29" w:rsidRPr="00F80D6C" w:rsidRDefault="00A60B29" w:rsidP="00C80AAD">
            <w:pPr>
              <w:spacing w:line="240" w:lineRule="auto"/>
              <w:jc w:val="center"/>
              <w:rPr>
                <w:rFonts w:cs="Arial"/>
                <w:szCs w:val="20"/>
              </w:rPr>
            </w:pPr>
            <w:r w:rsidRPr="00F80D6C">
              <w:rPr>
                <w:rFonts w:eastAsia="Calibri" w:cs="Arial"/>
                <w:szCs w:val="20"/>
                <w:lang w:val="en-GB"/>
              </w:rPr>
              <w:t>~100</w:t>
            </w:r>
          </w:p>
        </w:tc>
        <w:tc>
          <w:tcPr>
            <w:tcW w:w="1248" w:type="pct"/>
          </w:tcPr>
          <w:p w14:paraId="0D5D85BB" w14:textId="77777777" w:rsidR="00A60B29" w:rsidRPr="00F80D6C" w:rsidRDefault="00A60B29" w:rsidP="00C80AAD">
            <w:pPr>
              <w:spacing w:line="240" w:lineRule="auto"/>
              <w:jc w:val="center"/>
              <w:rPr>
                <w:rFonts w:cs="Arial"/>
                <w:szCs w:val="20"/>
              </w:rPr>
            </w:pPr>
            <w:r w:rsidRPr="00F80D6C">
              <w:rPr>
                <w:rFonts w:eastAsia="Calibri" w:cs="Arial"/>
                <w:szCs w:val="20"/>
                <w:lang w:val="en-GB"/>
              </w:rPr>
              <w:t>1</w:t>
            </w:r>
          </w:p>
        </w:tc>
      </w:tr>
      <w:tr w:rsidR="00A60B29" w14:paraId="06ECEE30" w14:textId="77777777" w:rsidTr="00C80AAD">
        <w:tc>
          <w:tcPr>
            <w:tcW w:w="1248" w:type="pct"/>
            <w:shd w:val="clear" w:color="auto" w:fill="D9D9D9" w:themeFill="background1" w:themeFillShade="D9"/>
          </w:tcPr>
          <w:p w14:paraId="4A32A1D9" w14:textId="77777777" w:rsidR="00A60B29" w:rsidRPr="00F80D6C" w:rsidRDefault="00A60B29" w:rsidP="00C80AAD">
            <w:pPr>
              <w:spacing w:line="240" w:lineRule="auto"/>
              <w:jc w:val="center"/>
              <w:rPr>
                <w:rFonts w:cs="Arial"/>
                <w:szCs w:val="20"/>
              </w:rPr>
            </w:pPr>
            <w:r w:rsidRPr="00F80D6C">
              <w:rPr>
                <w:rFonts w:eastAsia="Calibri" w:cs="Arial"/>
                <w:szCs w:val="20"/>
                <w:lang w:val="en-GB"/>
              </w:rPr>
              <w:t>Low-power land mobile radio systems (LPMRS)</w:t>
            </w:r>
          </w:p>
        </w:tc>
        <w:tc>
          <w:tcPr>
            <w:tcW w:w="1257" w:type="pct"/>
            <w:shd w:val="clear" w:color="auto" w:fill="D9D9D9" w:themeFill="background1" w:themeFillShade="D9"/>
          </w:tcPr>
          <w:p w14:paraId="1377EA83" w14:textId="77777777" w:rsidR="00A60B29" w:rsidRPr="00F80D6C" w:rsidRDefault="00A60B29" w:rsidP="00C80AAD">
            <w:pPr>
              <w:spacing w:line="240" w:lineRule="auto"/>
              <w:jc w:val="center"/>
              <w:rPr>
                <w:rFonts w:cs="Arial"/>
                <w:szCs w:val="20"/>
              </w:rPr>
            </w:pPr>
            <w:r w:rsidRPr="00F80D6C">
              <w:rPr>
                <w:rFonts w:eastAsia="Calibri" w:cs="Arial"/>
                <w:szCs w:val="20"/>
                <w:lang w:val="en-GB"/>
              </w:rPr>
              <w:t>2</w:t>
            </w:r>
          </w:p>
        </w:tc>
        <w:tc>
          <w:tcPr>
            <w:tcW w:w="1248" w:type="pct"/>
            <w:shd w:val="clear" w:color="auto" w:fill="D9D9D9" w:themeFill="background1" w:themeFillShade="D9"/>
          </w:tcPr>
          <w:p w14:paraId="7A6C4D8C" w14:textId="77777777" w:rsidR="00A60B29" w:rsidRPr="00F80D6C" w:rsidRDefault="00A60B29" w:rsidP="00C80AAD">
            <w:pPr>
              <w:spacing w:line="240" w:lineRule="auto"/>
              <w:jc w:val="center"/>
              <w:rPr>
                <w:rFonts w:cs="Arial"/>
                <w:szCs w:val="20"/>
              </w:rPr>
            </w:pPr>
            <w:r w:rsidRPr="00F80D6C">
              <w:rPr>
                <w:rFonts w:eastAsia="Calibri" w:cs="Arial"/>
                <w:szCs w:val="20"/>
                <w:lang w:val="en-GB"/>
              </w:rPr>
              <w:t>10</w:t>
            </w:r>
          </w:p>
        </w:tc>
        <w:tc>
          <w:tcPr>
            <w:tcW w:w="1248" w:type="pct"/>
            <w:shd w:val="clear" w:color="auto" w:fill="D9D9D9" w:themeFill="background1" w:themeFillShade="D9"/>
          </w:tcPr>
          <w:p w14:paraId="27E7E946" w14:textId="77777777" w:rsidR="00A60B29" w:rsidRPr="00F80D6C" w:rsidRDefault="00A60B29" w:rsidP="00C80AAD">
            <w:pPr>
              <w:spacing w:line="240" w:lineRule="auto"/>
              <w:jc w:val="center"/>
              <w:rPr>
                <w:rFonts w:cs="Arial"/>
                <w:szCs w:val="20"/>
              </w:rPr>
            </w:pPr>
            <w:r w:rsidRPr="00F80D6C">
              <w:rPr>
                <w:rFonts w:eastAsia="Calibri" w:cs="Arial"/>
                <w:szCs w:val="20"/>
                <w:lang w:val="en-GB"/>
              </w:rPr>
              <w:t>0.1</w:t>
            </w:r>
          </w:p>
        </w:tc>
      </w:tr>
      <w:tr w:rsidR="00A60B29" w14:paraId="0E8B9DF3" w14:textId="77777777" w:rsidTr="00C80AAD">
        <w:tc>
          <w:tcPr>
            <w:tcW w:w="1248" w:type="pct"/>
          </w:tcPr>
          <w:p w14:paraId="4A7A4D0D" w14:textId="77777777" w:rsidR="00A60B29" w:rsidRPr="00F80D6C" w:rsidRDefault="00A60B29" w:rsidP="00C80AAD">
            <w:pPr>
              <w:spacing w:line="240" w:lineRule="auto"/>
              <w:jc w:val="center"/>
              <w:rPr>
                <w:rFonts w:eastAsia="Calibri" w:cs="Arial"/>
                <w:szCs w:val="20"/>
                <w:lang w:val="en-GB"/>
              </w:rPr>
            </w:pPr>
            <w:r w:rsidRPr="00F80D6C">
              <w:rPr>
                <w:rFonts w:eastAsia="Calibri" w:cs="Arial"/>
                <w:szCs w:val="20"/>
                <w:lang w:val="en-GB"/>
              </w:rPr>
              <w:t>‘</w:t>
            </w:r>
            <w:r>
              <w:rPr>
                <w:rFonts w:eastAsia="Calibri" w:cs="Arial"/>
                <w:szCs w:val="20"/>
                <w:lang w:val="en-GB"/>
              </w:rPr>
              <w:t>M</w:t>
            </w:r>
            <w:r w:rsidRPr="00F80D6C">
              <w:rPr>
                <w:rFonts w:eastAsia="Calibri" w:cs="Arial"/>
                <w:szCs w:val="20"/>
                <w:lang w:val="en-GB"/>
              </w:rPr>
              <w:t>icro’ model</w:t>
            </w:r>
          </w:p>
          <w:p w14:paraId="50EACC9B" w14:textId="77777777" w:rsidR="00A60B29" w:rsidRPr="00F80D6C" w:rsidRDefault="00A60B29" w:rsidP="00C80AAD">
            <w:pPr>
              <w:spacing w:line="240" w:lineRule="auto"/>
              <w:jc w:val="center"/>
              <w:rPr>
                <w:rFonts w:cs="Arial"/>
                <w:szCs w:val="20"/>
              </w:rPr>
            </w:pPr>
            <w:r w:rsidRPr="00F80D6C">
              <w:rPr>
                <w:rFonts w:eastAsia="Calibri" w:cs="Arial"/>
                <w:szCs w:val="20"/>
                <w:lang w:val="en-GB"/>
              </w:rPr>
              <w:t xml:space="preserve">(Enclosed and </w:t>
            </w:r>
            <w:r>
              <w:rPr>
                <w:rFonts w:eastAsia="Calibri" w:cs="Arial"/>
                <w:szCs w:val="20"/>
                <w:lang w:val="en-GB"/>
              </w:rPr>
              <w:t>s</w:t>
            </w:r>
            <w:r w:rsidRPr="00F80D6C">
              <w:rPr>
                <w:rFonts w:eastAsia="Calibri" w:cs="Arial"/>
                <w:szCs w:val="20"/>
                <w:lang w:val="en-GB"/>
              </w:rPr>
              <w:t xml:space="preserve">hort-range </w:t>
            </w:r>
            <w:r>
              <w:rPr>
                <w:rFonts w:eastAsia="Calibri" w:cs="Arial"/>
                <w:szCs w:val="20"/>
                <w:lang w:val="en-GB"/>
              </w:rPr>
              <w:t>d</w:t>
            </w:r>
            <w:r w:rsidRPr="00F80D6C">
              <w:rPr>
                <w:rFonts w:eastAsia="Calibri" w:cs="Arial"/>
                <w:szCs w:val="20"/>
                <w:lang w:val="en-GB"/>
              </w:rPr>
              <w:t xml:space="preserve">igital </w:t>
            </w:r>
            <w:r>
              <w:rPr>
                <w:rFonts w:eastAsia="Calibri" w:cs="Arial"/>
                <w:szCs w:val="20"/>
                <w:lang w:val="en-GB"/>
              </w:rPr>
              <w:t>s</w:t>
            </w:r>
            <w:r w:rsidRPr="00F80D6C">
              <w:rPr>
                <w:rFonts w:eastAsia="Calibri" w:cs="Arial"/>
                <w:szCs w:val="20"/>
                <w:lang w:val="en-GB"/>
              </w:rPr>
              <w:t>ervice)</w:t>
            </w:r>
          </w:p>
        </w:tc>
        <w:tc>
          <w:tcPr>
            <w:tcW w:w="1257" w:type="pct"/>
          </w:tcPr>
          <w:p w14:paraId="5AB82AD4" w14:textId="77777777" w:rsidR="00A60B29" w:rsidRPr="00F80D6C" w:rsidRDefault="00A60B29" w:rsidP="00C80AAD">
            <w:pPr>
              <w:spacing w:line="240" w:lineRule="auto"/>
              <w:jc w:val="center"/>
              <w:rPr>
                <w:rFonts w:cs="Arial"/>
                <w:szCs w:val="20"/>
              </w:rPr>
            </w:pPr>
            <w:r w:rsidRPr="00F80D6C">
              <w:rPr>
                <w:rFonts w:eastAsia="Calibri" w:cs="Arial"/>
                <w:szCs w:val="20"/>
                <w:lang w:val="en-GB"/>
              </w:rPr>
              <w:t>0.2</w:t>
            </w:r>
          </w:p>
        </w:tc>
        <w:tc>
          <w:tcPr>
            <w:tcW w:w="1248" w:type="pct"/>
          </w:tcPr>
          <w:p w14:paraId="664FDCA8" w14:textId="77777777" w:rsidR="00A60B29" w:rsidRPr="00F80D6C" w:rsidRDefault="00A60B29" w:rsidP="00C80AAD">
            <w:pPr>
              <w:spacing w:line="240" w:lineRule="auto"/>
              <w:jc w:val="center"/>
              <w:rPr>
                <w:rFonts w:cs="Arial"/>
                <w:szCs w:val="20"/>
              </w:rPr>
            </w:pPr>
            <w:r w:rsidRPr="00F80D6C">
              <w:rPr>
                <w:rFonts w:eastAsia="Calibri" w:cs="Arial"/>
                <w:szCs w:val="20"/>
                <w:lang w:val="en-GB"/>
              </w:rPr>
              <w:t>0.5</w:t>
            </w:r>
          </w:p>
        </w:tc>
        <w:tc>
          <w:tcPr>
            <w:tcW w:w="1248" w:type="pct"/>
          </w:tcPr>
          <w:p w14:paraId="20D10A7A" w14:textId="77777777" w:rsidR="00A60B29" w:rsidRPr="00F80D6C" w:rsidRDefault="00A60B29" w:rsidP="00C80AAD">
            <w:pPr>
              <w:spacing w:line="240" w:lineRule="auto"/>
              <w:jc w:val="center"/>
              <w:rPr>
                <w:rFonts w:cs="Arial"/>
                <w:szCs w:val="20"/>
                <w:highlight w:val="yellow"/>
              </w:rPr>
            </w:pPr>
            <w:r w:rsidRPr="00F80D6C">
              <w:rPr>
                <w:rFonts w:eastAsia="Calibri" w:cs="Arial"/>
                <w:szCs w:val="20"/>
                <w:lang w:val="en-GB"/>
              </w:rPr>
              <w:t>0.05</w:t>
            </w:r>
          </w:p>
        </w:tc>
      </w:tr>
    </w:tbl>
    <w:p w14:paraId="1D372C86" w14:textId="77777777" w:rsidR="00A60B29" w:rsidRDefault="00A60B29" w:rsidP="00A60B29">
      <w:pPr>
        <w:pStyle w:val="Paragraph"/>
      </w:pPr>
    </w:p>
    <w:p w14:paraId="43AD26C6" w14:textId="4FA8E14A" w:rsidR="0062644A" w:rsidRDefault="001F336F" w:rsidP="00A60B29">
      <w:pPr>
        <w:pStyle w:val="Paragraph"/>
      </w:pPr>
      <w:r>
        <w:t>The ACMA received feedback that t</w:t>
      </w:r>
      <w:r w:rsidR="00A60B29">
        <w:t xml:space="preserve">he </w:t>
      </w:r>
      <w:r w:rsidR="003A1958">
        <w:t xml:space="preserve">current definition (introduced in </w:t>
      </w:r>
      <w:r>
        <w:t>2021 as part of the 1</w:t>
      </w:r>
      <w:r w:rsidRPr="001F336F">
        <w:rPr>
          <w:vertAlign w:val="superscript"/>
        </w:rPr>
        <w:t>st</w:t>
      </w:r>
      <w:r>
        <w:t xml:space="preserve"> tranche of SPR reforms</w:t>
      </w:r>
      <w:r w:rsidR="003A1958">
        <w:t xml:space="preserve">) </w:t>
      </w:r>
      <w:r w:rsidR="0089152F">
        <w:t>was confusing</w:t>
      </w:r>
      <w:r w:rsidR="00EA389F">
        <w:t xml:space="preserve"> for current assignment practice. Consequently</w:t>
      </w:r>
      <w:r w:rsidR="00886F07">
        <w:t>,</w:t>
      </w:r>
      <w:r w:rsidR="001B39AE">
        <w:t xml:space="preserve"> the</w:t>
      </w:r>
      <w:r w:rsidR="00EA389F">
        <w:t xml:space="preserve"> </w:t>
      </w:r>
      <w:r w:rsidR="00A60B29">
        <w:t>ACMA propose</w:t>
      </w:r>
      <w:r w:rsidR="00BC6B62">
        <w:t>d</w:t>
      </w:r>
      <w:r w:rsidR="00A60B29">
        <w:t xml:space="preserve"> </w:t>
      </w:r>
      <w:r w:rsidR="0062644A">
        <w:t xml:space="preserve">the </w:t>
      </w:r>
      <w:r w:rsidR="00A60B29">
        <w:t xml:space="preserve">revised definitions </w:t>
      </w:r>
      <w:r w:rsidR="0062644A">
        <w:t xml:space="preserve">below which are </w:t>
      </w:r>
      <w:r w:rsidR="008D761A">
        <w:t xml:space="preserve">more in line with the definitions before </w:t>
      </w:r>
      <w:r w:rsidR="0062644A">
        <w:t xml:space="preserve">implementation </w:t>
      </w:r>
      <w:r w:rsidR="00F96A68">
        <w:t>of tranche 1</w:t>
      </w:r>
      <w:r w:rsidR="00580770">
        <w:t xml:space="preserve"> and </w:t>
      </w:r>
      <w:r w:rsidR="00F3469E">
        <w:t>clearer for current assignment practice</w:t>
      </w:r>
      <w:r w:rsidR="00F96A68">
        <w:t>.</w:t>
      </w:r>
    </w:p>
    <w:p w14:paraId="476D88CB" w14:textId="66D19AAF" w:rsidR="00DD7E54" w:rsidRPr="002B4252" w:rsidRDefault="002B4252" w:rsidP="00A60B29">
      <w:pPr>
        <w:pStyle w:val="Paragraph"/>
        <w:rPr>
          <w:b/>
          <w:bCs/>
        </w:rPr>
      </w:pPr>
      <w:r>
        <w:rPr>
          <w:b/>
          <w:bCs/>
        </w:rPr>
        <w:lastRenderedPageBreak/>
        <w:t>C</w:t>
      </w:r>
      <w:r w:rsidR="00057B48" w:rsidRPr="002B4252">
        <w:rPr>
          <w:b/>
          <w:bCs/>
        </w:rPr>
        <w:t>urrent definition</w:t>
      </w:r>
      <w:r w:rsidR="001F336F" w:rsidRPr="002B4252">
        <w:rPr>
          <w:b/>
          <w:bCs/>
        </w:rPr>
        <w:t>s</w:t>
      </w:r>
      <w:r w:rsidR="00BF7902">
        <w:rPr>
          <w:b/>
          <w:bCs/>
        </w:rPr>
        <w:t xml:space="preserve"> (see Dictionary in the </w:t>
      </w:r>
      <w:hyperlink r:id="rId119" w:history="1">
        <w:r w:rsidR="00B91E54" w:rsidRPr="00D732B9">
          <w:rPr>
            <w:rStyle w:val="Hyperlink"/>
            <w:b/>
            <w:bCs/>
          </w:rPr>
          <w:t xml:space="preserve">Radiocommunications (Transmitter Licence Tax) Determination 2015, compilation </w:t>
        </w:r>
        <w:r w:rsidR="00D732B9" w:rsidRPr="00D732B9">
          <w:rPr>
            <w:rStyle w:val="Hyperlink"/>
            <w:b/>
            <w:bCs/>
          </w:rPr>
          <w:t>no. 15</w:t>
        </w:r>
      </w:hyperlink>
      <w:r w:rsidR="00D732B9">
        <w:rPr>
          <w:b/>
          <w:bCs/>
        </w:rPr>
        <w:t>)</w:t>
      </w:r>
      <w:r w:rsidRPr="002B4252">
        <w:rPr>
          <w:b/>
          <w:bCs/>
        </w:rPr>
        <w:t>:</w:t>
      </w:r>
    </w:p>
    <w:p w14:paraId="0B1013A5" w14:textId="078D992D" w:rsidR="006900ED" w:rsidRPr="006900ED" w:rsidRDefault="006900ED" w:rsidP="006900ED">
      <w:pPr>
        <w:shd w:val="clear" w:color="auto" w:fill="FFFFFF"/>
        <w:spacing w:before="180" w:after="0" w:line="240" w:lineRule="auto"/>
        <w:ind w:left="1134"/>
        <w:rPr>
          <w:rFonts w:ascii="Times New Roman" w:hAnsi="Times New Roman"/>
          <w:color w:val="000000"/>
          <w:sz w:val="22"/>
          <w:szCs w:val="22"/>
        </w:rPr>
      </w:pPr>
      <w:r w:rsidRPr="006900ED">
        <w:rPr>
          <w:rFonts w:ascii="Times New Roman" w:hAnsi="Times New Roman"/>
          <w:b/>
          <w:bCs/>
          <w:i/>
          <w:iCs/>
          <w:color w:val="000000"/>
          <w:sz w:val="22"/>
          <w:szCs w:val="22"/>
        </w:rPr>
        <w:t>micro power spectrum access</w:t>
      </w:r>
      <w:r w:rsidRPr="006900ED">
        <w:rPr>
          <w:rFonts w:ascii="Times New Roman" w:hAnsi="Times New Roman"/>
          <w:color w:val="000000"/>
          <w:sz w:val="22"/>
          <w:szCs w:val="22"/>
        </w:rPr>
        <w:t> means a spectrum access that:</w:t>
      </w:r>
      <w:r w:rsidR="00475301">
        <w:rPr>
          <w:rStyle w:val="FootnoteReference"/>
          <w:color w:val="000000"/>
          <w:sz w:val="22"/>
          <w:szCs w:val="22"/>
        </w:rPr>
        <w:footnoteReference w:id="23"/>
      </w:r>
    </w:p>
    <w:p w14:paraId="7A7B7F46" w14:textId="77777777" w:rsidR="006900ED" w:rsidRPr="006900ED" w:rsidRDefault="006900ED" w:rsidP="006900ED">
      <w:pPr>
        <w:shd w:val="clear" w:color="auto" w:fill="FFFFFF"/>
        <w:spacing w:before="40" w:after="0" w:line="240" w:lineRule="auto"/>
        <w:ind w:left="1644" w:hanging="510"/>
        <w:rPr>
          <w:rFonts w:ascii="Times New Roman" w:hAnsi="Times New Roman"/>
          <w:color w:val="000000"/>
          <w:sz w:val="22"/>
          <w:szCs w:val="22"/>
        </w:rPr>
      </w:pPr>
      <w:r w:rsidRPr="006900ED">
        <w:rPr>
          <w:rFonts w:ascii="Times New Roman" w:hAnsi="Times New Roman"/>
          <w:color w:val="000000"/>
          <w:sz w:val="22"/>
          <w:szCs w:val="22"/>
        </w:rPr>
        <w:t>(b)    permits the operation of 1 or more devices:</w:t>
      </w:r>
    </w:p>
    <w:p w14:paraId="6ECEA8F2" w14:textId="77777777" w:rsidR="006900ED" w:rsidRPr="006900ED" w:rsidRDefault="006900ED" w:rsidP="006900ED">
      <w:pPr>
        <w:shd w:val="clear" w:color="auto" w:fill="FFFFFF"/>
        <w:spacing w:before="40" w:after="0" w:line="240" w:lineRule="auto"/>
        <w:ind w:left="2127" w:hanging="426"/>
        <w:rPr>
          <w:rFonts w:ascii="Times New Roman" w:hAnsi="Times New Roman"/>
          <w:color w:val="000000"/>
          <w:sz w:val="22"/>
          <w:szCs w:val="22"/>
        </w:rPr>
      </w:pPr>
      <w:r w:rsidRPr="006900ED">
        <w:rPr>
          <w:rFonts w:ascii="Times New Roman" w:hAnsi="Times New Roman"/>
          <w:color w:val="000000"/>
          <w:sz w:val="22"/>
          <w:szCs w:val="22"/>
        </w:rPr>
        <w:t>(i)</w:t>
      </w:r>
      <w:r w:rsidRPr="006900ED">
        <w:rPr>
          <w:rFonts w:ascii="Times New Roman" w:hAnsi="Times New Roman"/>
          <w:color w:val="000000"/>
          <w:sz w:val="14"/>
          <w:szCs w:val="14"/>
        </w:rPr>
        <w:t>        </w:t>
      </w:r>
      <w:r w:rsidRPr="006900ED">
        <w:rPr>
          <w:rFonts w:ascii="Times New Roman" w:hAnsi="Times New Roman"/>
          <w:color w:val="000000"/>
          <w:sz w:val="22"/>
          <w:szCs w:val="22"/>
        </w:rPr>
        <w:t>each with a maximum permitted radiated power level of 1.7 watts EIRP; and</w:t>
      </w:r>
    </w:p>
    <w:p w14:paraId="09344A52" w14:textId="77777777" w:rsidR="006900ED" w:rsidRPr="006900ED" w:rsidRDefault="006900ED" w:rsidP="006900ED">
      <w:pPr>
        <w:shd w:val="clear" w:color="auto" w:fill="FFFFFF"/>
        <w:spacing w:before="40" w:after="0" w:line="240" w:lineRule="auto"/>
        <w:ind w:left="2127" w:hanging="426"/>
        <w:rPr>
          <w:rFonts w:ascii="Times New Roman" w:hAnsi="Times New Roman"/>
          <w:color w:val="000000"/>
          <w:sz w:val="22"/>
          <w:szCs w:val="22"/>
        </w:rPr>
      </w:pPr>
      <w:r w:rsidRPr="006900ED">
        <w:rPr>
          <w:rFonts w:ascii="Times New Roman" w:hAnsi="Times New Roman"/>
          <w:color w:val="000000"/>
          <w:sz w:val="22"/>
          <w:szCs w:val="22"/>
        </w:rPr>
        <w:t>(ii)</w:t>
      </w:r>
      <w:r w:rsidRPr="006900ED">
        <w:rPr>
          <w:rFonts w:ascii="Times New Roman" w:hAnsi="Times New Roman"/>
          <w:color w:val="000000"/>
          <w:sz w:val="14"/>
          <w:szCs w:val="14"/>
        </w:rPr>
        <w:t>      </w:t>
      </w:r>
      <w:r w:rsidRPr="006900ED">
        <w:rPr>
          <w:rFonts w:ascii="Times New Roman" w:hAnsi="Times New Roman"/>
          <w:color w:val="000000"/>
          <w:sz w:val="22"/>
          <w:szCs w:val="22"/>
        </w:rPr>
        <w:t>radio emissions from each of which do not, or are not likely to, cause interference to radiocommunications at any point more than 200 metres from:</w:t>
      </w:r>
    </w:p>
    <w:p w14:paraId="3613EFC0" w14:textId="77777777" w:rsidR="006900ED" w:rsidRPr="006900ED" w:rsidRDefault="006900ED" w:rsidP="006900ED">
      <w:pPr>
        <w:shd w:val="clear" w:color="auto" w:fill="FFFFFF"/>
        <w:spacing w:before="40" w:after="0" w:line="240" w:lineRule="auto"/>
        <w:ind w:left="2835" w:hanging="708"/>
        <w:rPr>
          <w:rFonts w:ascii="Times New Roman" w:hAnsi="Times New Roman"/>
          <w:color w:val="000000"/>
          <w:sz w:val="22"/>
          <w:szCs w:val="22"/>
        </w:rPr>
      </w:pPr>
      <w:r w:rsidRPr="006900ED">
        <w:rPr>
          <w:rFonts w:ascii="Times New Roman" w:hAnsi="Times New Roman"/>
          <w:color w:val="000000"/>
          <w:sz w:val="22"/>
          <w:szCs w:val="22"/>
        </w:rPr>
        <w:t>(A)       if the spectrum access involves a particular site – that site; or</w:t>
      </w:r>
    </w:p>
    <w:p w14:paraId="35E168ED" w14:textId="77777777" w:rsidR="006900ED" w:rsidRPr="006900ED" w:rsidRDefault="006900ED" w:rsidP="006900ED">
      <w:pPr>
        <w:shd w:val="clear" w:color="auto" w:fill="FFFFFF"/>
        <w:spacing w:before="40" w:after="0" w:line="240" w:lineRule="auto"/>
        <w:ind w:left="2835" w:hanging="708"/>
        <w:rPr>
          <w:rFonts w:ascii="Times New Roman" w:hAnsi="Times New Roman"/>
          <w:color w:val="000000"/>
          <w:sz w:val="22"/>
          <w:szCs w:val="22"/>
        </w:rPr>
      </w:pPr>
      <w:r w:rsidRPr="006900ED">
        <w:rPr>
          <w:rFonts w:ascii="Times New Roman" w:hAnsi="Times New Roman"/>
          <w:color w:val="000000"/>
          <w:sz w:val="22"/>
          <w:szCs w:val="22"/>
        </w:rPr>
        <w:t>(B)       if the spectrum access involves a particular area – the centre of that area.</w:t>
      </w:r>
    </w:p>
    <w:p w14:paraId="02BDCB37" w14:textId="77777777" w:rsidR="00057B48" w:rsidRDefault="00057B48" w:rsidP="00A60B29">
      <w:pPr>
        <w:pStyle w:val="Paragraph"/>
      </w:pPr>
    </w:p>
    <w:p w14:paraId="26989580" w14:textId="3AD8172C" w:rsidR="00475301" w:rsidRPr="00475301" w:rsidRDefault="00475301" w:rsidP="00475301">
      <w:pPr>
        <w:shd w:val="clear" w:color="auto" w:fill="FFFFFF"/>
        <w:spacing w:before="180" w:after="0" w:line="240" w:lineRule="auto"/>
        <w:ind w:left="1134"/>
        <w:rPr>
          <w:rFonts w:ascii="Calibri" w:hAnsi="Calibri" w:cs="Calibri"/>
          <w:color w:val="000000"/>
          <w:sz w:val="22"/>
          <w:szCs w:val="22"/>
        </w:rPr>
      </w:pPr>
      <w:r w:rsidRPr="00475301">
        <w:rPr>
          <w:rFonts w:ascii="Times New Roman" w:hAnsi="Times New Roman"/>
          <w:b/>
          <w:bCs/>
          <w:i/>
          <w:iCs/>
          <w:color w:val="000000"/>
          <w:sz w:val="22"/>
          <w:szCs w:val="22"/>
        </w:rPr>
        <w:t>low power spectrum access </w:t>
      </w:r>
      <w:r w:rsidRPr="00475301">
        <w:rPr>
          <w:rFonts w:ascii="Times New Roman" w:hAnsi="Times New Roman"/>
          <w:color w:val="000000"/>
          <w:sz w:val="22"/>
          <w:szCs w:val="22"/>
        </w:rPr>
        <w:t>means a spectrum access that:</w:t>
      </w:r>
      <w:r w:rsidR="00FA21D5">
        <w:rPr>
          <w:rStyle w:val="FootnoteReference"/>
          <w:color w:val="000000"/>
          <w:sz w:val="22"/>
          <w:szCs w:val="22"/>
        </w:rPr>
        <w:footnoteReference w:id="24"/>
      </w:r>
      <w:r w:rsidRPr="00475301">
        <w:rPr>
          <w:rFonts w:ascii="Times New Roman" w:hAnsi="Times New Roman"/>
          <w:color w:val="000000"/>
          <w:sz w:val="22"/>
          <w:szCs w:val="22"/>
        </w:rPr>
        <w:t>         </w:t>
      </w:r>
    </w:p>
    <w:p w14:paraId="36F787E3" w14:textId="77777777" w:rsidR="00475301" w:rsidRPr="00475301" w:rsidRDefault="00475301" w:rsidP="00475301">
      <w:pPr>
        <w:shd w:val="clear" w:color="auto" w:fill="FFFFFF"/>
        <w:spacing w:before="40" w:after="0" w:line="240" w:lineRule="auto"/>
        <w:ind w:left="1644" w:hanging="510"/>
        <w:rPr>
          <w:rFonts w:ascii="Times New Roman" w:hAnsi="Times New Roman"/>
          <w:color w:val="000000"/>
          <w:sz w:val="22"/>
          <w:szCs w:val="22"/>
        </w:rPr>
      </w:pPr>
      <w:r w:rsidRPr="00475301">
        <w:rPr>
          <w:rFonts w:ascii="Times New Roman" w:hAnsi="Times New Roman"/>
          <w:color w:val="000000"/>
          <w:sz w:val="22"/>
          <w:szCs w:val="22"/>
        </w:rPr>
        <w:t>(b)    permits the operation of 1 or more devices:</w:t>
      </w:r>
    </w:p>
    <w:p w14:paraId="5124EB40" w14:textId="77777777" w:rsidR="00475301" w:rsidRPr="00475301" w:rsidRDefault="00475301" w:rsidP="00475301">
      <w:pPr>
        <w:shd w:val="clear" w:color="auto" w:fill="FFFFFF"/>
        <w:spacing w:before="40" w:after="0" w:line="240" w:lineRule="auto"/>
        <w:ind w:left="2835" w:hanging="708"/>
        <w:rPr>
          <w:rFonts w:ascii="Times New Roman" w:hAnsi="Times New Roman"/>
          <w:color w:val="000000"/>
          <w:sz w:val="22"/>
          <w:szCs w:val="22"/>
        </w:rPr>
      </w:pPr>
      <w:r w:rsidRPr="00475301">
        <w:rPr>
          <w:rFonts w:ascii="Times New Roman" w:hAnsi="Times New Roman"/>
          <w:color w:val="000000"/>
          <w:sz w:val="22"/>
          <w:szCs w:val="22"/>
        </w:rPr>
        <w:t>(i)        each with a maximum permitted radiated power level of 8.3 watts EIRP; and</w:t>
      </w:r>
    </w:p>
    <w:p w14:paraId="1061E3A6" w14:textId="77777777" w:rsidR="00475301" w:rsidRPr="00475301" w:rsidRDefault="00475301" w:rsidP="00475301">
      <w:pPr>
        <w:shd w:val="clear" w:color="auto" w:fill="FFFFFF"/>
        <w:spacing w:before="40" w:after="0" w:line="240" w:lineRule="auto"/>
        <w:ind w:left="2835" w:hanging="708"/>
        <w:rPr>
          <w:rFonts w:ascii="Times New Roman" w:hAnsi="Times New Roman"/>
          <w:color w:val="000000"/>
          <w:sz w:val="22"/>
          <w:szCs w:val="22"/>
        </w:rPr>
      </w:pPr>
      <w:r w:rsidRPr="00475301">
        <w:rPr>
          <w:rFonts w:ascii="Times New Roman" w:hAnsi="Times New Roman"/>
          <w:color w:val="000000"/>
          <w:sz w:val="22"/>
          <w:szCs w:val="22"/>
        </w:rPr>
        <w:t>(ii)       radio emissions from each of which do not, or are not likely to, cause interference to radiocommunications at any point more than 2 kilometres from:</w:t>
      </w:r>
    </w:p>
    <w:p w14:paraId="16671247" w14:textId="77777777" w:rsidR="00475301" w:rsidRPr="00475301" w:rsidRDefault="00475301" w:rsidP="00475301">
      <w:pPr>
        <w:shd w:val="clear" w:color="auto" w:fill="FFFFFF"/>
        <w:spacing w:before="40" w:after="0" w:line="240" w:lineRule="auto"/>
        <w:ind w:left="3402" w:hanging="567"/>
        <w:rPr>
          <w:rFonts w:ascii="Times New Roman" w:hAnsi="Times New Roman"/>
          <w:color w:val="000000"/>
          <w:sz w:val="22"/>
          <w:szCs w:val="22"/>
        </w:rPr>
      </w:pPr>
      <w:r w:rsidRPr="00475301">
        <w:rPr>
          <w:rFonts w:ascii="Times New Roman" w:hAnsi="Times New Roman"/>
          <w:color w:val="000000"/>
          <w:sz w:val="22"/>
          <w:szCs w:val="22"/>
        </w:rPr>
        <w:t>(A)    if the spectrum access involves a particular site – that site; or</w:t>
      </w:r>
    </w:p>
    <w:p w14:paraId="0B34DF66" w14:textId="77777777" w:rsidR="00475301" w:rsidRPr="00475301" w:rsidRDefault="00475301" w:rsidP="00475301">
      <w:pPr>
        <w:shd w:val="clear" w:color="auto" w:fill="FFFFFF"/>
        <w:spacing w:before="40" w:after="0" w:line="240" w:lineRule="auto"/>
        <w:ind w:left="3402" w:hanging="567"/>
        <w:rPr>
          <w:rFonts w:ascii="Times New Roman" w:hAnsi="Times New Roman"/>
          <w:color w:val="000000"/>
          <w:sz w:val="22"/>
          <w:szCs w:val="22"/>
        </w:rPr>
      </w:pPr>
      <w:r w:rsidRPr="00475301">
        <w:rPr>
          <w:rFonts w:ascii="Times New Roman" w:hAnsi="Times New Roman"/>
          <w:color w:val="000000"/>
          <w:sz w:val="22"/>
          <w:szCs w:val="22"/>
        </w:rPr>
        <w:t>(B)     if the spectrum access involves a particular area – the centre of that area; and</w:t>
      </w:r>
    </w:p>
    <w:p w14:paraId="066B08FA" w14:textId="77777777" w:rsidR="00475301" w:rsidRPr="00475301" w:rsidRDefault="00475301" w:rsidP="00475301">
      <w:pPr>
        <w:shd w:val="clear" w:color="auto" w:fill="FFFFFF"/>
        <w:spacing w:before="40" w:after="0" w:line="240" w:lineRule="auto"/>
        <w:ind w:left="1644" w:hanging="510"/>
        <w:rPr>
          <w:rFonts w:ascii="Times New Roman" w:hAnsi="Times New Roman"/>
          <w:color w:val="000000"/>
          <w:sz w:val="22"/>
          <w:szCs w:val="22"/>
        </w:rPr>
      </w:pPr>
      <w:r w:rsidRPr="00475301">
        <w:rPr>
          <w:rFonts w:ascii="Times New Roman" w:hAnsi="Times New Roman"/>
          <w:color w:val="000000"/>
          <w:sz w:val="22"/>
          <w:szCs w:val="22"/>
        </w:rPr>
        <w:t>(c)    is not a micro power spectrum access.</w:t>
      </w:r>
    </w:p>
    <w:p w14:paraId="3A391DE5" w14:textId="77777777" w:rsidR="00475301" w:rsidRDefault="00475301" w:rsidP="00A60B29">
      <w:pPr>
        <w:pStyle w:val="Paragraph"/>
      </w:pPr>
    </w:p>
    <w:p w14:paraId="4882E8C1" w14:textId="1CAD1B3D" w:rsidR="00057B48" w:rsidRPr="002B4252" w:rsidRDefault="00057B48" w:rsidP="00A60B29">
      <w:pPr>
        <w:pStyle w:val="Paragraph"/>
        <w:rPr>
          <w:b/>
          <w:bCs/>
        </w:rPr>
      </w:pPr>
      <w:r w:rsidRPr="002B4252">
        <w:rPr>
          <w:b/>
          <w:bCs/>
        </w:rPr>
        <w:t>Proposed definition</w:t>
      </w:r>
      <w:r w:rsidR="001F336F" w:rsidRPr="002B4252">
        <w:rPr>
          <w:b/>
          <w:bCs/>
        </w:rPr>
        <w:t>s</w:t>
      </w:r>
      <w:r w:rsidR="002B4252">
        <w:rPr>
          <w:b/>
          <w:bCs/>
        </w:rPr>
        <w:t>:</w:t>
      </w:r>
    </w:p>
    <w:p w14:paraId="163FD4A1" w14:textId="77777777" w:rsidR="00576DBB" w:rsidRPr="006900ED" w:rsidRDefault="00576DBB" w:rsidP="00576DBB">
      <w:pPr>
        <w:shd w:val="clear" w:color="auto" w:fill="FFFFFF"/>
        <w:spacing w:before="180" w:after="0" w:line="240" w:lineRule="auto"/>
        <w:ind w:left="1134"/>
        <w:rPr>
          <w:rFonts w:ascii="Times New Roman" w:hAnsi="Times New Roman"/>
          <w:color w:val="000000"/>
          <w:sz w:val="22"/>
          <w:szCs w:val="22"/>
        </w:rPr>
      </w:pPr>
      <w:r w:rsidRPr="006900ED">
        <w:rPr>
          <w:rFonts w:ascii="Times New Roman" w:hAnsi="Times New Roman"/>
          <w:b/>
          <w:bCs/>
          <w:i/>
          <w:iCs/>
          <w:color w:val="000000"/>
          <w:sz w:val="22"/>
          <w:szCs w:val="22"/>
        </w:rPr>
        <w:t>micro power spectrum access</w:t>
      </w:r>
      <w:r w:rsidRPr="006900ED">
        <w:rPr>
          <w:rFonts w:ascii="Times New Roman" w:hAnsi="Times New Roman"/>
          <w:color w:val="000000"/>
          <w:sz w:val="22"/>
          <w:szCs w:val="22"/>
        </w:rPr>
        <w:t> means a spectrum access that:</w:t>
      </w:r>
    </w:p>
    <w:p w14:paraId="58348291" w14:textId="77777777" w:rsidR="00A601C6" w:rsidRPr="00A601C6" w:rsidRDefault="00A601C6" w:rsidP="00A601C6">
      <w:pPr>
        <w:shd w:val="clear" w:color="auto" w:fill="FFFFFF"/>
        <w:spacing w:before="40" w:after="0" w:line="240" w:lineRule="auto"/>
        <w:ind w:left="1644" w:hanging="510"/>
        <w:rPr>
          <w:rFonts w:ascii="Times New Roman" w:hAnsi="Times New Roman"/>
          <w:color w:val="000000"/>
          <w:sz w:val="22"/>
          <w:szCs w:val="22"/>
        </w:rPr>
      </w:pPr>
      <w:r w:rsidRPr="00A601C6">
        <w:rPr>
          <w:rFonts w:ascii="Times New Roman" w:hAnsi="Times New Roman"/>
          <w:color w:val="000000"/>
          <w:sz w:val="22"/>
          <w:szCs w:val="22"/>
        </w:rPr>
        <w:tab/>
        <w:t>(b)</w:t>
      </w:r>
      <w:r w:rsidRPr="00A601C6">
        <w:rPr>
          <w:rFonts w:ascii="Times New Roman" w:hAnsi="Times New Roman"/>
          <w:color w:val="000000"/>
          <w:sz w:val="22"/>
          <w:szCs w:val="22"/>
        </w:rPr>
        <w:tab/>
        <w:t>permits the operation of 1 or more devices, each with a maximum permitted radiated power level of 1.7 watts EIRP; and:</w:t>
      </w:r>
    </w:p>
    <w:p w14:paraId="7181E6F0" w14:textId="77777777" w:rsidR="00A601C6" w:rsidRPr="00A601C6" w:rsidRDefault="00A601C6" w:rsidP="00A601C6">
      <w:pPr>
        <w:shd w:val="clear" w:color="auto" w:fill="FFFFFF"/>
        <w:spacing w:before="40" w:after="0" w:line="240" w:lineRule="auto"/>
        <w:ind w:left="1644" w:hanging="510"/>
        <w:rPr>
          <w:rFonts w:ascii="Times New Roman" w:hAnsi="Times New Roman"/>
          <w:color w:val="000000"/>
          <w:sz w:val="22"/>
          <w:szCs w:val="22"/>
        </w:rPr>
      </w:pPr>
      <w:r w:rsidRPr="00A601C6">
        <w:rPr>
          <w:rFonts w:ascii="Times New Roman" w:hAnsi="Times New Roman"/>
          <w:color w:val="000000"/>
          <w:sz w:val="22"/>
          <w:szCs w:val="22"/>
        </w:rPr>
        <w:tab/>
        <w:t>(</w:t>
      </w:r>
      <w:proofErr w:type="spellStart"/>
      <w:r w:rsidRPr="00A601C6">
        <w:rPr>
          <w:rFonts w:ascii="Times New Roman" w:hAnsi="Times New Roman"/>
          <w:color w:val="000000"/>
          <w:sz w:val="22"/>
          <w:szCs w:val="22"/>
        </w:rPr>
        <w:t>ba</w:t>
      </w:r>
      <w:proofErr w:type="spellEnd"/>
      <w:r w:rsidRPr="00A601C6">
        <w:rPr>
          <w:rFonts w:ascii="Times New Roman" w:hAnsi="Times New Roman"/>
          <w:color w:val="000000"/>
          <w:sz w:val="22"/>
          <w:szCs w:val="22"/>
        </w:rPr>
        <w:t>)</w:t>
      </w:r>
      <w:r w:rsidRPr="00A601C6">
        <w:rPr>
          <w:rFonts w:ascii="Times New Roman" w:hAnsi="Times New Roman"/>
          <w:color w:val="000000"/>
          <w:sz w:val="22"/>
          <w:szCs w:val="22"/>
        </w:rPr>
        <w:tab/>
        <w:t>is authorised under a licence in relation to which either:</w:t>
      </w:r>
    </w:p>
    <w:p w14:paraId="1F858578" w14:textId="77777777" w:rsidR="00A601C6" w:rsidRDefault="00A601C6" w:rsidP="00A601C6">
      <w:pPr>
        <w:pStyle w:val="paragraphsub"/>
        <w:shd w:val="clear" w:color="auto" w:fill="FFFFFF"/>
        <w:spacing w:before="40" w:beforeAutospacing="0" w:after="0" w:afterAutospacing="0"/>
        <w:ind w:left="2835" w:hanging="708"/>
        <w:rPr>
          <w:color w:val="000000"/>
          <w:sz w:val="22"/>
          <w:szCs w:val="22"/>
        </w:rPr>
      </w:pPr>
      <w:r>
        <w:rPr>
          <w:color w:val="000000"/>
          <w:sz w:val="22"/>
          <w:szCs w:val="22"/>
        </w:rPr>
        <w:t>(i)</w:t>
      </w:r>
      <w:r>
        <w:rPr>
          <w:color w:val="000000"/>
          <w:sz w:val="22"/>
          <w:szCs w:val="22"/>
        </w:rPr>
        <w:tab/>
        <w:t>the applicant, in its application for the licence; or</w:t>
      </w:r>
    </w:p>
    <w:p w14:paraId="605DFEDE" w14:textId="77777777" w:rsidR="00A601C6" w:rsidRDefault="00A601C6" w:rsidP="00A601C6">
      <w:pPr>
        <w:pStyle w:val="paragraphsub"/>
        <w:shd w:val="clear" w:color="auto" w:fill="FFFFFF"/>
        <w:spacing w:before="40" w:beforeAutospacing="0" w:after="0" w:afterAutospacing="0"/>
        <w:ind w:left="2835" w:hanging="708"/>
        <w:rPr>
          <w:color w:val="000000"/>
          <w:sz w:val="22"/>
          <w:szCs w:val="22"/>
        </w:rPr>
      </w:pPr>
      <w:r>
        <w:rPr>
          <w:color w:val="000000"/>
          <w:sz w:val="22"/>
          <w:szCs w:val="22"/>
        </w:rPr>
        <w:t>(ii)</w:t>
      </w:r>
      <w:r>
        <w:rPr>
          <w:color w:val="000000"/>
          <w:sz w:val="22"/>
          <w:szCs w:val="22"/>
        </w:rPr>
        <w:tab/>
        <w:t xml:space="preserve">the licensee, in writing given to the </w:t>
      </w:r>
      <w:proofErr w:type="gramStart"/>
      <w:r>
        <w:rPr>
          <w:color w:val="000000"/>
          <w:sz w:val="22"/>
          <w:szCs w:val="22"/>
        </w:rPr>
        <w:t>ACMA;</w:t>
      </w:r>
      <w:proofErr w:type="gramEnd"/>
    </w:p>
    <w:p w14:paraId="11078649" w14:textId="4E51FB52" w:rsidR="00A601C6" w:rsidRPr="00823E11" w:rsidRDefault="00A601C6" w:rsidP="00823E11">
      <w:pPr>
        <w:shd w:val="clear" w:color="auto" w:fill="FFFFFF"/>
        <w:spacing w:before="40" w:after="0" w:line="240" w:lineRule="auto"/>
        <w:ind w:left="2127" w:firstLine="35"/>
        <w:rPr>
          <w:rFonts w:ascii="Times New Roman" w:hAnsi="Times New Roman"/>
          <w:color w:val="000000"/>
          <w:sz w:val="22"/>
          <w:szCs w:val="22"/>
        </w:rPr>
      </w:pPr>
      <w:r w:rsidRPr="00823E11">
        <w:rPr>
          <w:rFonts w:ascii="Times New Roman" w:hAnsi="Times New Roman"/>
          <w:color w:val="000000"/>
          <w:sz w:val="22"/>
          <w:szCs w:val="22"/>
        </w:rPr>
        <w:t>requests that the ACMA treats the licence as having a notional service area that consists of every point no more than 200 metres from:</w:t>
      </w:r>
    </w:p>
    <w:p w14:paraId="68B746C1" w14:textId="77777777" w:rsidR="00A601C6" w:rsidRDefault="00A601C6" w:rsidP="00A601C6">
      <w:pPr>
        <w:pStyle w:val="paragraphsub"/>
        <w:shd w:val="clear" w:color="auto" w:fill="FFFFFF"/>
        <w:spacing w:before="40" w:beforeAutospacing="0" w:after="0" w:afterAutospacing="0"/>
        <w:ind w:left="2835" w:hanging="708"/>
        <w:rPr>
          <w:color w:val="000000"/>
          <w:sz w:val="22"/>
          <w:szCs w:val="22"/>
        </w:rPr>
      </w:pPr>
      <w:r>
        <w:rPr>
          <w:color w:val="000000"/>
          <w:sz w:val="22"/>
          <w:szCs w:val="22"/>
        </w:rPr>
        <w:t>(iii)</w:t>
      </w:r>
      <w:r>
        <w:rPr>
          <w:color w:val="000000"/>
          <w:sz w:val="22"/>
          <w:szCs w:val="22"/>
        </w:rPr>
        <w:tab/>
        <w:t>if the spectrum access involves a particular site – that site; or</w:t>
      </w:r>
    </w:p>
    <w:p w14:paraId="5A2248B5" w14:textId="77777777" w:rsidR="00A601C6" w:rsidRDefault="00A601C6" w:rsidP="00A601C6">
      <w:pPr>
        <w:pStyle w:val="paragraphsub"/>
        <w:shd w:val="clear" w:color="auto" w:fill="FFFFFF"/>
        <w:spacing w:before="40" w:beforeAutospacing="0" w:after="0" w:afterAutospacing="0"/>
        <w:ind w:left="2835" w:hanging="708"/>
        <w:rPr>
          <w:color w:val="000000"/>
          <w:sz w:val="22"/>
          <w:szCs w:val="22"/>
        </w:rPr>
      </w:pPr>
      <w:r>
        <w:rPr>
          <w:color w:val="000000"/>
          <w:sz w:val="22"/>
          <w:szCs w:val="22"/>
        </w:rPr>
        <w:t>(iv)</w:t>
      </w:r>
      <w:r>
        <w:rPr>
          <w:color w:val="000000"/>
          <w:sz w:val="22"/>
          <w:szCs w:val="22"/>
        </w:rPr>
        <w:tab/>
        <w:t>if the spectrum access involves a particular area – the centre of that area; and</w:t>
      </w:r>
    </w:p>
    <w:p w14:paraId="0D2AB141" w14:textId="77777777" w:rsidR="00843CEF" w:rsidRDefault="00843CEF" w:rsidP="00843CEF">
      <w:pPr>
        <w:pStyle w:val="LI-BodyTextNote"/>
        <w:spacing w:before="122"/>
      </w:pPr>
      <w:r>
        <w:t>Note:</w:t>
      </w:r>
      <w:r>
        <w:tab/>
        <w:t>For paragraph (</w:t>
      </w:r>
      <w:proofErr w:type="spellStart"/>
      <w:r>
        <w:t>ba</w:t>
      </w:r>
      <w:proofErr w:type="spellEnd"/>
      <w:r>
        <w:t>):</w:t>
      </w:r>
    </w:p>
    <w:p w14:paraId="39DEB3E6" w14:textId="77777777" w:rsidR="00843CEF" w:rsidRDefault="00843CEF" w:rsidP="00843CEF">
      <w:pPr>
        <w:pStyle w:val="LI-BodyTextNote"/>
        <w:numPr>
          <w:ilvl w:val="0"/>
          <w:numId w:val="28"/>
        </w:numPr>
        <w:spacing w:before="0"/>
        <w:ind w:left="1894" w:hanging="357"/>
      </w:pPr>
      <w:r>
        <w:t xml:space="preserve">a request of an applicant or a licensee may be made, on their behalf, by an accredited </w:t>
      </w:r>
      <w:proofErr w:type="gramStart"/>
      <w:r>
        <w:t>person;</w:t>
      </w:r>
      <w:proofErr w:type="gramEnd"/>
    </w:p>
    <w:p w14:paraId="2FA85B9E" w14:textId="77777777" w:rsidR="00843CEF" w:rsidRDefault="00843CEF" w:rsidP="00843CEF">
      <w:pPr>
        <w:pStyle w:val="LI-BodyTextNote"/>
        <w:numPr>
          <w:ilvl w:val="0"/>
          <w:numId w:val="28"/>
        </w:numPr>
        <w:spacing w:before="0"/>
        <w:ind w:left="1894" w:hanging="357"/>
      </w:pPr>
      <w:r>
        <w:t xml:space="preserve">no form of words is prescribed or required to be used for making the </w:t>
      </w:r>
      <w:proofErr w:type="gramStart"/>
      <w:r>
        <w:t>request;</w:t>
      </w:r>
      <w:proofErr w:type="gramEnd"/>
    </w:p>
    <w:p w14:paraId="68CF86CD" w14:textId="77777777" w:rsidR="00843CEF" w:rsidRPr="00EB5AE2" w:rsidRDefault="00843CEF" w:rsidP="00843CEF">
      <w:pPr>
        <w:pStyle w:val="LI-BodyTextNote"/>
        <w:numPr>
          <w:ilvl w:val="0"/>
          <w:numId w:val="28"/>
        </w:numPr>
        <w:spacing w:before="0"/>
        <w:ind w:left="1894" w:hanging="357"/>
      </w:pPr>
      <w:r>
        <w:lastRenderedPageBreak/>
        <w:t>the ‘notional service area’ is used by the ACMA and accredited persons in planning and coordinating radiocommunications.</w:t>
      </w:r>
    </w:p>
    <w:p w14:paraId="70AB092F" w14:textId="77777777" w:rsidR="00057B48" w:rsidRDefault="00057B48" w:rsidP="00A60B29">
      <w:pPr>
        <w:pStyle w:val="Paragraph"/>
      </w:pPr>
    </w:p>
    <w:p w14:paraId="1DDBD95A" w14:textId="77777777" w:rsidR="00F3469E" w:rsidRPr="00475301" w:rsidRDefault="00F3469E" w:rsidP="00F3469E">
      <w:pPr>
        <w:shd w:val="clear" w:color="auto" w:fill="FFFFFF"/>
        <w:spacing w:before="180" w:after="0" w:line="240" w:lineRule="auto"/>
        <w:ind w:left="1134"/>
        <w:rPr>
          <w:rFonts w:ascii="Calibri" w:hAnsi="Calibri" w:cs="Calibri"/>
          <w:color w:val="000000"/>
          <w:sz w:val="22"/>
          <w:szCs w:val="22"/>
        </w:rPr>
      </w:pPr>
      <w:r w:rsidRPr="00475301">
        <w:rPr>
          <w:rFonts w:ascii="Times New Roman" w:hAnsi="Times New Roman"/>
          <w:b/>
          <w:bCs/>
          <w:i/>
          <w:iCs/>
          <w:color w:val="000000"/>
          <w:sz w:val="22"/>
          <w:szCs w:val="22"/>
        </w:rPr>
        <w:t>low power spectrum access </w:t>
      </w:r>
      <w:r w:rsidRPr="00475301">
        <w:rPr>
          <w:rFonts w:ascii="Times New Roman" w:hAnsi="Times New Roman"/>
          <w:color w:val="000000"/>
          <w:sz w:val="22"/>
          <w:szCs w:val="22"/>
        </w:rPr>
        <w:t>means a spectrum access that:</w:t>
      </w:r>
      <w:r>
        <w:rPr>
          <w:rStyle w:val="FootnoteReference"/>
          <w:color w:val="000000"/>
          <w:sz w:val="22"/>
          <w:szCs w:val="22"/>
        </w:rPr>
        <w:footnoteReference w:id="25"/>
      </w:r>
      <w:r w:rsidRPr="00475301">
        <w:rPr>
          <w:rFonts w:ascii="Times New Roman" w:hAnsi="Times New Roman"/>
          <w:color w:val="000000"/>
          <w:sz w:val="22"/>
          <w:szCs w:val="22"/>
        </w:rPr>
        <w:t>         </w:t>
      </w:r>
    </w:p>
    <w:p w14:paraId="479B0D35" w14:textId="77777777" w:rsidR="00027EE9" w:rsidRPr="00027EE9" w:rsidRDefault="00027EE9" w:rsidP="00027EE9">
      <w:pPr>
        <w:shd w:val="clear" w:color="auto" w:fill="FFFFFF"/>
        <w:spacing w:before="40" w:after="0" w:line="240" w:lineRule="auto"/>
        <w:ind w:left="1644" w:hanging="510"/>
        <w:rPr>
          <w:rFonts w:ascii="Times New Roman" w:hAnsi="Times New Roman"/>
          <w:color w:val="000000"/>
          <w:sz w:val="22"/>
          <w:szCs w:val="22"/>
        </w:rPr>
      </w:pPr>
      <w:r w:rsidRPr="00027EE9">
        <w:rPr>
          <w:rFonts w:ascii="Times New Roman" w:hAnsi="Times New Roman"/>
          <w:color w:val="000000"/>
          <w:sz w:val="22"/>
          <w:szCs w:val="22"/>
        </w:rPr>
        <w:tab/>
        <w:t>(b)</w:t>
      </w:r>
      <w:r w:rsidRPr="00027EE9">
        <w:rPr>
          <w:rFonts w:ascii="Times New Roman" w:hAnsi="Times New Roman"/>
          <w:color w:val="000000"/>
          <w:sz w:val="22"/>
          <w:szCs w:val="22"/>
        </w:rPr>
        <w:tab/>
        <w:t>permits the operation of 1 or more devices, each with a maximum permitted radiated power level of 8.3 watts EIRP; and:</w:t>
      </w:r>
    </w:p>
    <w:p w14:paraId="22568DFC" w14:textId="77777777" w:rsidR="00027EE9" w:rsidRPr="00027EE9" w:rsidRDefault="00027EE9" w:rsidP="00027EE9">
      <w:pPr>
        <w:shd w:val="clear" w:color="auto" w:fill="FFFFFF"/>
        <w:spacing w:before="40" w:after="0" w:line="240" w:lineRule="auto"/>
        <w:ind w:left="1644" w:hanging="510"/>
        <w:rPr>
          <w:rFonts w:ascii="Times New Roman" w:hAnsi="Times New Roman"/>
          <w:color w:val="000000"/>
          <w:sz w:val="22"/>
          <w:szCs w:val="22"/>
        </w:rPr>
      </w:pPr>
      <w:r w:rsidRPr="00027EE9">
        <w:rPr>
          <w:rFonts w:ascii="Times New Roman" w:hAnsi="Times New Roman"/>
          <w:color w:val="000000"/>
          <w:sz w:val="22"/>
          <w:szCs w:val="22"/>
        </w:rPr>
        <w:tab/>
        <w:t>(</w:t>
      </w:r>
      <w:proofErr w:type="spellStart"/>
      <w:r w:rsidRPr="00027EE9">
        <w:rPr>
          <w:rFonts w:ascii="Times New Roman" w:hAnsi="Times New Roman"/>
          <w:color w:val="000000"/>
          <w:sz w:val="22"/>
          <w:szCs w:val="22"/>
        </w:rPr>
        <w:t>ba</w:t>
      </w:r>
      <w:proofErr w:type="spellEnd"/>
      <w:r w:rsidRPr="00027EE9">
        <w:rPr>
          <w:rFonts w:ascii="Times New Roman" w:hAnsi="Times New Roman"/>
          <w:color w:val="000000"/>
          <w:sz w:val="22"/>
          <w:szCs w:val="22"/>
        </w:rPr>
        <w:t>)</w:t>
      </w:r>
      <w:r w:rsidRPr="00027EE9">
        <w:rPr>
          <w:rFonts w:ascii="Times New Roman" w:hAnsi="Times New Roman"/>
          <w:color w:val="000000"/>
          <w:sz w:val="22"/>
          <w:szCs w:val="22"/>
        </w:rPr>
        <w:tab/>
        <w:t>is authorised under a licence in relation to which either:</w:t>
      </w:r>
    </w:p>
    <w:p w14:paraId="6D91CD51" w14:textId="77777777" w:rsidR="00027EE9" w:rsidRDefault="00027EE9" w:rsidP="00027EE9">
      <w:pPr>
        <w:pStyle w:val="paragraphsub"/>
        <w:shd w:val="clear" w:color="auto" w:fill="FFFFFF"/>
        <w:spacing w:before="40" w:beforeAutospacing="0" w:after="0" w:afterAutospacing="0"/>
        <w:ind w:left="2835" w:hanging="708"/>
        <w:rPr>
          <w:color w:val="000000"/>
          <w:sz w:val="22"/>
          <w:szCs w:val="22"/>
        </w:rPr>
      </w:pPr>
      <w:r>
        <w:rPr>
          <w:color w:val="000000"/>
          <w:sz w:val="22"/>
          <w:szCs w:val="22"/>
        </w:rPr>
        <w:t>(i)</w:t>
      </w:r>
      <w:r>
        <w:rPr>
          <w:color w:val="000000"/>
          <w:sz w:val="22"/>
          <w:szCs w:val="22"/>
        </w:rPr>
        <w:tab/>
        <w:t>the applicant, in its application for the licence; or</w:t>
      </w:r>
    </w:p>
    <w:p w14:paraId="0D7E954A" w14:textId="77777777" w:rsidR="00027EE9" w:rsidRDefault="00027EE9" w:rsidP="00027EE9">
      <w:pPr>
        <w:pStyle w:val="paragraphsub"/>
        <w:shd w:val="clear" w:color="auto" w:fill="FFFFFF"/>
        <w:spacing w:before="40" w:beforeAutospacing="0" w:after="0" w:afterAutospacing="0"/>
        <w:ind w:left="2835" w:hanging="708"/>
        <w:rPr>
          <w:color w:val="000000"/>
          <w:sz w:val="22"/>
          <w:szCs w:val="22"/>
        </w:rPr>
      </w:pPr>
      <w:r>
        <w:rPr>
          <w:color w:val="000000"/>
          <w:sz w:val="22"/>
          <w:szCs w:val="22"/>
        </w:rPr>
        <w:t>(ii)</w:t>
      </w:r>
      <w:r>
        <w:rPr>
          <w:color w:val="000000"/>
          <w:sz w:val="22"/>
          <w:szCs w:val="22"/>
        </w:rPr>
        <w:tab/>
        <w:t xml:space="preserve">the licensee, in writing given to the </w:t>
      </w:r>
      <w:proofErr w:type="gramStart"/>
      <w:r>
        <w:rPr>
          <w:color w:val="000000"/>
          <w:sz w:val="22"/>
          <w:szCs w:val="22"/>
        </w:rPr>
        <w:t>ACMA;</w:t>
      </w:r>
      <w:proofErr w:type="gramEnd"/>
    </w:p>
    <w:p w14:paraId="4C31EAE9" w14:textId="77777777" w:rsidR="00027EE9" w:rsidRPr="00027EE9" w:rsidRDefault="00027EE9" w:rsidP="00027EE9">
      <w:pPr>
        <w:shd w:val="clear" w:color="auto" w:fill="FFFFFF"/>
        <w:spacing w:before="40" w:after="0" w:line="240" w:lineRule="auto"/>
        <w:ind w:left="1644" w:hanging="510"/>
        <w:rPr>
          <w:rFonts w:ascii="Times New Roman" w:hAnsi="Times New Roman"/>
          <w:color w:val="000000"/>
          <w:sz w:val="22"/>
          <w:szCs w:val="22"/>
        </w:rPr>
      </w:pPr>
      <w:r w:rsidRPr="00027EE9">
        <w:rPr>
          <w:rFonts w:ascii="Times New Roman" w:hAnsi="Times New Roman"/>
          <w:color w:val="000000"/>
          <w:sz w:val="22"/>
          <w:szCs w:val="22"/>
        </w:rPr>
        <w:tab/>
      </w:r>
      <w:r w:rsidRPr="00027EE9">
        <w:rPr>
          <w:rFonts w:ascii="Times New Roman" w:hAnsi="Times New Roman"/>
          <w:color w:val="000000"/>
          <w:sz w:val="22"/>
          <w:szCs w:val="22"/>
        </w:rPr>
        <w:tab/>
        <w:t>requests that the ACMA treats the licence as having a notional service area that consists of every point no more than 2 kilometres from:</w:t>
      </w:r>
    </w:p>
    <w:p w14:paraId="320DBADF" w14:textId="77777777" w:rsidR="00027EE9" w:rsidRDefault="00027EE9" w:rsidP="00027EE9">
      <w:pPr>
        <w:pStyle w:val="paragraphsub"/>
        <w:shd w:val="clear" w:color="auto" w:fill="FFFFFF"/>
        <w:spacing w:before="40" w:beforeAutospacing="0" w:after="0" w:afterAutospacing="0"/>
        <w:ind w:left="2835" w:hanging="708"/>
        <w:rPr>
          <w:color w:val="000000"/>
          <w:sz w:val="22"/>
          <w:szCs w:val="22"/>
        </w:rPr>
      </w:pPr>
      <w:r>
        <w:rPr>
          <w:color w:val="000000"/>
          <w:sz w:val="22"/>
          <w:szCs w:val="22"/>
        </w:rPr>
        <w:t>(iii)</w:t>
      </w:r>
      <w:r>
        <w:rPr>
          <w:color w:val="000000"/>
          <w:sz w:val="22"/>
          <w:szCs w:val="22"/>
        </w:rPr>
        <w:tab/>
        <w:t>if the spectrum access involves a particular site – that site; or</w:t>
      </w:r>
    </w:p>
    <w:p w14:paraId="53C6C8C3" w14:textId="77777777" w:rsidR="00027EE9" w:rsidRDefault="00027EE9" w:rsidP="00027EE9">
      <w:pPr>
        <w:pStyle w:val="paragraphsub"/>
        <w:shd w:val="clear" w:color="auto" w:fill="FFFFFF"/>
        <w:spacing w:before="40" w:beforeAutospacing="0" w:after="0" w:afterAutospacing="0"/>
        <w:ind w:left="2835" w:hanging="708"/>
        <w:rPr>
          <w:color w:val="000000"/>
          <w:sz w:val="22"/>
          <w:szCs w:val="22"/>
        </w:rPr>
      </w:pPr>
      <w:r>
        <w:rPr>
          <w:color w:val="000000"/>
          <w:sz w:val="22"/>
          <w:szCs w:val="22"/>
        </w:rPr>
        <w:t>(iv)</w:t>
      </w:r>
      <w:r>
        <w:rPr>
          <w:color w:val="000000"/>
          <w:sz w:val="22"/>
          <w:szCs w:val="22"/>
        </w:rPr>
        <w:tab/>
        <w:t>if the spectrum access involves a particular area – the centre of that area; and</w:t>
      </w:r>
    </w:p>
    <w:p w14:paraId="71F9EF42" w14:textId="77777777" w:rsidR="002B4252" w:rsidRDefault="002B4252" w:rsidP="002B4252">
      <w:pPr>
        <w:pStyle w:val="LI-BodyTextNote"/>
        <w:spacing w:before="122"/>
      </w:pPr>
      <w:r>
        <w:t>Note:</w:t>
      </w:r>
      <w:r>
        <w:tab/>
        <w:t>For paragraph (</w:t>
      </w:r>
      <w:proofErr w:type="spellStart"/>
      <w:r>
        <w:t>ba</w:t>
      </w:r>
      <w:proofErr w:type="spellEnd"/>
      <w:r>
        <w:t>):</w:t>
      </w:r>
    </w:p>
    <w:p w14:paraId="1C5CA3C6" w14:textId="77777777" w:rsidR="002B4252" w:rsidRDefault="002B4252" w:rsidP="002B4252">
      <w:pPr>
        <w:pStyle w:val="LI-BodyTextNote"/>
        <w:numPr>
          <w:ilvl w:val="0"/>
          <w:numId w:val="28"/>
        </w:numPr>
        <w:spacing w:before="0"/>
        <w:ind w:left="1894" w:hanging="357"/>
      </w:pPr>
      <w:r>
        <w:t xml:space="preserve">a request of an applicant or a licensee may be made, on their behalf, by an accredited </w:t>
      </w:r>
      <w:proofErr w:type="gramStart"/>
      <w:r>
        <w:t>person;</w:t>
      </w:r>
      <w:proofErr w:type="gramEnd"/>
    </w:p>
    <w:p w14:paraId="2903B2E1" w14:textId="77777777" w:rsidR="002B4252" w:rsidRDefault="002B4252" w:rsidP="002B4252">
      <w:pPr>
        <w:pStyle w:val="LI-BodyTextNote"/>
        <w:numPr>
          <w:ilvl w:val="0"/>
          <w:numId w:val="28"/>
        </w:numPr>
        <w:spacing w:before="0"/>
        <w:ind w:left="1894" w:hanging="357"/>
      </w:pPr>
      <w:r>
        <w:t xml:space="preserve">no form of words is prescribed or required to be used for making the </w:t>
      </w:r>
      <w:proofErr w:type="gramStart"/>
      <w:r>
        <w:t>request;</w:t>
      </w:r>
      <w:proofErr w:type="gramEnd"/>
    </w:p>
    <w:p w14:paraId="0DF23450" w14:textId="77777777" w:rsidR="002B4252" w:rsidRDefault="002B4252" w:rsidP="002B4252">
      <w:pPr>
        <w:pStyle w:val="LI-BodyTextNote"/>
        <w:numPr>
          <w:ilvl w:val="0"/>
          <w:numId w:val="28"/>
        </w:numPr>
        <w:spacing w:before="0"/>
        <w:ind w:left="1894" w:hanging="357"/>
      </w:pPr>
      <w:r>
        <w:t>the ‘notional service area’ is used by the ACMA and accredited persons in planning and coordinating radiocommunications.</w:t>
      </w:r>
    </w:p>
    <w:p w14:paraId="127EB2C0" w14:textId="77777777" w:rsidR="00057B48" w:rsidRDefault="00057B48" w:rsidP="00A60B29">
      <w:pPr>
        <w:pStyle w:val="Paragraph"/>
      </w:pPr>
    </w:p>
    <w:p w14:paraId="57EB50FD" w14:textId="77777777" w:rsidR="00A60B29" w:rsidRPr="006E6ED7" w:rsidRDefault="00A60B29" w:rsidP="006E6ED7">
      <w:pPr>
        <w:pStyle w:val="Heading4"/>
      </w:pPr>
      <w:bookmarkStart w:id="53" w:name="_Toc86153502"/>
      <w:r w:rsidRPr="006E6ED7">
        <w:t>Adjustment to the earth station systems price</w:t>
      </w:r>
      <w:bookmarkEnd w:id="53"/>
    </w:p>
    <w:p w14:paraId="798EE4FB" w14:textId="005FB6C1" w:rsidR="00A60B29" w:rsidRDefault="00327D2B" w:rsidP="00A60B29">
      <w:r>
        <w:t>In tranche 1 t</w:t>
      </w:r>
      <w:r w:rsidR="00A60B29">
        <w:t xml:space="preserve">he ACMA also introduced a </w:t>
      </w:r>
      <w:r w:rsidR="00A60B29" w:rsidRPr="00A50087">
        <w:t>‘systems' price for apparatus licences with multiple co-located co-frequency earth stations (GSO or NGSO</w:t>
      </w:r>
      <w:r w:rsidR="00A60B29">
        <w:t>)</w:t>
      </w:r>
      <w:r w:rsidR="00A60B29">
        <w:rPr>
          <w:rStyle w:val="FootnoteReference"/>
        </w:rPr>
        <w:footnoteReference w:id="26"/>
      </w:r>
      <w:r w:rsidR="00A60B29" w:rsidRPr="00A50087">
        <w:t xml:space="preserve"> communicating with related </w:t>
      </w:r>
      <w:r w:rsidR="00B30133">
        <w:t xml:space="preserve">satellite systems filed with </w:t>
      </w:r>
      <w:r w:rsidR="00A60B29" w:rsidRPr="00A50087">
        <w:t>I</w:t>
      </w:r>
      <w:r w:rsidR="00A60B29">
        <w:t xml:space="preserve">nternational </w:t>
      </w:r>
      <w:r w:rsidR="00A60B29" w:rsidRPr="00A50087">
        <w:t>T</w:t>
      </w:r>
      <w:r w:rsidR="00A60B29">
        <w:t xml:space="preserve">elecommunication </w:t>
      </w:r>
      <w:r w:rsidR="00A60B29" w:rsidRPr="00A50087">
        <w:t>U</w:t>
      </w:r>
      <w:r w:rsidR="00A60B29">
        <w:t>nion</w:t>
      </w:r>
      <w:r w:rsidR="00A60B29" w:rsidRPr="00A50087">
        <w:t xml:space="preserve">, without </w:t>
      </w:r>
      <w:r w:rsidR="00A60B29">
        <w:t>incurring a higher rate of tax</w:t>
      </w:r>
      <w:r w:rsidR="00A60B29" w:rsidRPr="00A50087">
        <w:t>.</w:t>
      </w:r>
      <w:r w:rsidR="00A60B29">
        <w:t xml:space="preserve"> </w:t>
      </w:r>
    </w:p>
    <w:p w14:paraId="79F360AC" w14:textId="67BEA03D" w:rsidR="00A60B29" w:rsidRDefault="00A60B29" w:rsidP="00A60B29">
      <w:r>
        <w:t>The ACMA received feedback from stakeholders asking why co</w:t>
      </w:r>
      <w:r w:rsidR="00F23424">
        <w:t>-</w:t>
      </w:r>
      <w:r>
        <w:t xml:space="preserve">located </w:t>
      </w:r>
      <w:r w:rsidRPr="008B52B0">
        <w:t>earth station</w:t>
      </w:r>
      <w:r>
        <w:t>s</w:t>
      </w:r>
      <w:r w:rsidRPr="008B52B0">
        <w:t xml:space="preserve"> </w:t>
      </w:r>
      <w:r>
        <w:t xml:space="preserve">operating within the licenced bandwidth but on different centre frequencies could not be included in the system price. We agree that these earth stations should be included, so we propose removing the clause requiring earth stations to have the </w:t>
      </w:r>
      <w:r w:rsidRPr="00EC5300">
        <w:t xml:space="preserve">same centre frequency </w:t>
      </w:r>
      <w:r w:rsidR="002878AB" w:rsidRPr="00EC5300">
        <w:t>to</w:t>
      </w:r>
      <w:r w:rsidRPr="00EC5300">
        <w:t xml:space="preserve"> be eligible for the discount.</w:t>
      </w:r>
    </w:p>
    <w:p w14:paraId="7FC58DD7" w14:textId="1130F558" w:rsidR="00072535" w:rsidRDefault="00072535" w:rsidP="00072535">
      <w:pPr>
        <w:pStyle w:val="Paragraph"/>
        <w:rPr>
          <w:b/>
          <w:bCs/>
        </w:rPr>
      </w:pPr>
      <w:r>
        <w:rPr>
          <w:b/>
          <w:bCs/>
        </w:rPr>
        <w:t>C</w:t>
      </w:r>
      <w:r w:rsidRPr="002B4252">
        <w:rPr>
          <w:b/>
          <w:bCs/>
        </w:rPr>
        <w:t xml:space="preserve">urrent </w:t>
      </w:r>
      <w:r w:rsidR="00356522">
        <w:rPr>
          <w:b/>
          <w:bCs/>
        </w:rPr>
        <w:t>clause</w:t>
      </w:r>
      <w:r w:rsidR="00E56CF4">
        <w:rPr>
          <w:b/>
          <w:bCs/>
        </w:rPr>
        <w:t xml:space="preserve"> (see </w:t>
      </w:r>
      <w:r w:rsidR="00661F15">
        <w:rPr>
          <w:b/>
          <w:bCs/>
        </w:rPr>
        <w:t xml:space="preserve">clause 804AA </w:t>
      </w:r>
      <w:r w:rsidR="00E56CF4">
        <w:rPr>
          <w:b/>
          <w:bCs/>
        </w:rPr>
        <w:t xml:space="preserve">in the </w:t>
      </w:r>
      <w:hyperlink r:id="rId120" w:history="1">
        <w:r w:rsidR="00E56CF4" w:rsidRPr="00D732B9">
          <w:rPr>
            <w:rStyle w:val="Hyperlink"/>
            <w:b/>
            <w:bCs/>
          </w:rPr>
          <w:t>Radiocommunications (Transmitter Licence Tax) Determination 2015, compilation no. 15</w:t>
        </w:r>
      </w:hyperlink>
      <w:r w:rsidR="00E56CF4">
        <w:rPr>
          <w:b/>
          <w:bCs/>
        </w:rPr>
        <w:t>)</w:t>
      </w:r>
      <w:r w:rsidRPr="002B4252">
        <w:rPr>
          <w:b/>
          <w:bCs/>
        </w:rPr>
        <w:t>:</w:t>
      </w:r>
    </w:p>
    <w:p w14:paraId="08AD9E7D" w14:textId="77777777" w:rsidR="00536638" w:rsidRPr="00536638" w:rsidRDefault="00536638" w:rsidP="00536638">
      <w:pPr>
        <w:shd w:val="clear" w:color="auto" w:fill="FFFFFF"/>
        <w:spacing w:before="40" w:after="0" w:line="240" w:lineRule="auto"/>
        <w:ind w:left="1644" w:hanging="1644"/>
        <w:rPr>
          <w:rFonts w:ascii="Times New Roman" w:hAnsi="Times New Roman"/>
          <w:color w:val="000000"/>
          <w:sz w:val="22"/>
          <w:szCs w:val="22"/>
        </w:rPr>
      </w:pPr>
      <w:r w:rsidRPr="00536638">
        <w:rPr>
          <w:rFonts w:ascii="Times New Roman" w:hAnsi="Times New Roman"/>
          <w:color w:val="000000"/>
          <w:sz w:val="22"/>
          <w:szCs w:val="22"/>
        </w:rPr>
        <w:t>                     (b)  each of the co-located earth stations is authorised to operate:</w:t>
      </w:r>
    </w:p>
    <w:p w14:paraId="07A5C442" w14:textId="77777777" w:rsidR="00536638" w:rsidRPr="00536638" w:rsidRDefault="00536638" w:rsidP="00536638">
      <w:pPr>
        <w:shd w:val="clear" w:color="auto" w:fill="FFFFFF"/>
        <w:spacing w:before="40" w:after="0" w:line="240" w:lineRule="auto"/>
        <w:ind w:left="2098" w:hanging="2098"/>
        <w:rPr>
          <w:rFonts w:ascii="Times New Roman" w:hAnsi="Times New Roman"/>
          <w:color w:val="000000"/>
          <w:sz w:val="22"/>
          <w:szCs w:val="22"/>
        </w:rPr>
      </w:pPr>
      <w:r w:rsidRPr="00536638">
        <w:rPr>
          <w:rFonts w:ascii="Times New Roman" w:hAnsi="Times New Roman"/>
          <w:color w:val="000000"/>
          <w:sz w:val="22"/>
          <w:szCs w:val="22"/>
        </w:rPr>
        <w:t>                              (i)  on the one centre frequency; and</w:t>
      </w:r>
    </w:p>
    <w:p w14:paraId="7D66CDD6" w14:textId="77777777" w:rsidR="00536638" w:rsidRPr="00536638" w:rsidRDefault="00536638" w:rsidP="00536638">
      <w:pPr>
        <w:shd w:val="clear" w:color="auto" w:fill="FFFFFF"/>
        <w:spacing w:before="40" w:after="0" w:line="240" w:lineRule="auto"/>
        <w:ind w:left="2098" w:hanging="2098"/>
        <w:rPr>
          <w:rFonts w:ascii="Times New Roman" w:hAnsi="Times New Roman"/>
          <w:color w:val="000000"/>
          <w:sz w:val="22"/>
          <w:szCs w:val="22"/>
        </w:rPr>
      </w:pPr>
      <w:r w:rsidRPr="00536638">
        <w:rPr>
          <w:rFonts w:ascii="Times New Roman" w:hAnsi="Times New Roman"/>
          <w:color w:val="000000"/>
          <w:sz w:val="22"/>
          <w:szCs w:val="22"/>
        </w:rPr>
        <w:t>                             (ii)  using the same bandwidth.</w:t>
      </w:r>
    </w:p>
    <w:p w14:paraId="570B76EC" w14:textId="77777777" w:rsidR="00072535" w:rsidRDefault="00072535" w:rsidP="00A60B29"/>
    <w:p w14:paraId="07E22A8A" w14:textId="19C6E8B5" w:rsidR="00072535" w:rsidRPr="002B4252" w:rsidRDefault="00072535" w:rsidP="006E6ED7">
      <w:pPr>
        <w:pStyle w:val="Paragraph"/>
        <w:keepNext/>
        <w:rPr>
          <w:b/>
          <w:bCs/>
        </w:rPr>
      </w:pPr>
      <w:r w:rsidRPr="002B4252">
        <w:rPr>
          <w:b/>
          <w:bCs/>
        </w:rPr>
        <w:t xml:space="preserve">Proposed </w:t>
      </w:r>
      <w:r w:rsidR="00356522">
        <w:rPr>
          <w:b/>
          <w:bCs/>
        </w:rPr>
        <w:t>clause</w:t>
      </w:r>
      <w:r>
        <w:rPr>
          <w:b/>
          <w:bCs/>
        </w:rPr>
        <w:t>:</w:t>
      </w:r>
    </w:p>
    <w:p w14:paraId="226E98A1" w14:textId="019DC629" w:rsidR="00072535" w:rsidRPr="00661F15" w:rsidRDefault="00A5111F" w:rsidP="00661F15">
      <w:pPr>
        <w:shd w:val="clear" w:color="auto" w:fill="FFFFFF"/>
        <w:spacing w:before="40" w:after="0" w:line="240" w:lineRule="auto"/>
        <w:ind w:left="1644" w:hanging="510"/>
        <w:rPr>
          <w:rFonts w:ascii="Times New Roman" w:hAnsi="Times New Roman"/>
          <w:color w:val="000000"/>
          <w:sz w:val="22"/>
          <w:szCs w:val="22"/>
        </w:rPr>
      </w:pPr>
      <w:r w:rsidRPr="00661F15">
        <w:rPr>
          <w:rFonts w:ascii="Times New Roman" w:hAnsi="Times New Roman"/>
          <w:color w:val="000000"/>
          <w:sz w:val="22"/>
          <w:szCs w:val="22"/>
        </w:rPr>
        <w:t>(b)</w:t>
      </w:r>
      <w:r w:rsidRPr="00661F15">
        <w:rPr>
          <w:rFonts w:ascii="Times New Roman" w:hAnsi="Times New Roman"/>
          <w:color w:val="000000"/>
          <w:sz w:val="22"/>
          <w:szCs w:val="22"/>
        </w:rPr>
        <w:tab/>
        <w:t>the spectrum access for each of the co-located earth stations is within a frequency range within which the licence authorises the operation of a radiocommunications transmitter.</w:t>
      </w:r>
    </w:p>
    <w:p w14:paraId="200BD958" w14:textId="77777777" w:rsidR="00A5111F" w:rsidRDefault="00A5111F" w:rsidP="00A60B29"/>
    <w:p w14:paraId="08D0B17B" w14:textId="75A5917C" w:rsidR="00A60B29" w:rsidRPr="00023A36" w:rsidRDefault="00A60B29" w:rsidP="00A60B29">
      <w:r>
        <w:lastRenderedPageBreak/>
        <w:t xml:space="preserve">We expect that the proposed change will allow for more flexibility with earth station system configurations. </w:t>
      </w:r>
    </w:p>
    <w:p w14:paraId="3020B258" w14:textId="739C57FC" w:rsidR="00C317D1" w:rsidRDefault="00C317D1">
      <w:pPr>
        <w:spacing w:after="160" w:line="259" w:lineRule="auto"/>
        <w:rPr>
          <w:rFonts w:cs="Arial"/>
          <w:b/>
          <w:bCs/>
          <w:iCs/>
          <w:sz w:val="28"/>
          <w:szCs w:val="28"/>
        </w:rPr>
      </w:pPr>
      <w:r>
        <w:br w:type="page"/>
      </w:r>
    </w:p>
    <w:p w14:paraId="58A883D9" w14:textId="5B1355B4" w:rsidR="008C132C" w:rsidRDefault="008A23F0" w:rsidP="006E6ED7">
      <w:pPr>
        <w:pStyle w:val="Heading1"/>
      </w:pPr>
      <w:bookmarkStart w:id="54" w:name="_Ref99372977"/>
      <w:bookmarkStart w:id="55" w:name="_Toc99632511"/>
      <w:bookmarkStart w:id="56" w:name="_Toc109035844"/>
      <w:bookmarkEnd w:id="2"/>
      <w:bookmarkEnd w:id="3"/>
      <w:bookmarkEnd w:id="4"/>
      <w:bookmarkEnd w:id="46"/>
      <w:bookmarkEnd w:id="47"/>
      <w:bookmarkEnd w:id="48"/>
      <w:bookmarkEnd w:id="49"/>
      <w:bookmarkEnd w:id="50"/>
      <w:r>
        <w:lastRenderedPageBreak/>
        <w:t>4</w:t>
      </w:r>
      <w:r w:rsidR="0070571F">
        <w:t xml:space="preserve">. </w:t>
      </w:r>
      <w:r w:rsidR="008C132C">
        <w:t>Who did you consult and how did you incorporate their feedback?</w:t>
      </w:r>
      <w:bookmarkEnd w:id="54"/>
      <w:bookmarkEnd w:id="55"/>
      <w:bookmarkEnd w:id="56"/>
      <w:r w:rsidR="008C132C">
        <w:t xml:space="preserve"> </w:t>
      </w:r>
    </w:p>
    <w:p w14:paraId="3286519F" w14:textId="77777777" w:rsidR="007F188A" w:rsidRDefault="007F188A" w:rsidP="007F188A">
      <w:pPr>
        <w:pStyle w:val="Paragraph"/>
      </w:pPr>
    </w:p>
    <w:p w14:paraId="0E9E2412" w14:textId="4D10AEB6" w:rsidR="008C4167" w:rsidRDefault="00B86AE5" w:rsidP="00D5428E">
      <w:pPr>
        <w:spacing w:after="80"/>
      </w:pPr>
      <w:r>
        <w:t xml:space="preserve">As mentioned in section </w:t>
      </w:r>
      <w:r w:rsidR="00A100C1">
        <w:t xml:space="preserve">1 </w:t>
      </w:r>
      <w:r w:rsidR="00DD2AA3">
        <w:t xml:space="preserve">the ACMA has consulted on </w:t>
      </w:r>
      <w:proofErr w:type="gramStart"/>
      <w:r w:rsidR="00DD2AA3">
        <w:t>a number of</w:t>
      </w:r>
      <w:proofErr w:type="gramEnd"/>
      <w:r w:rsidR="00DD2AA3">
        <w:t xml:space="preserve"> aspects of its implementation of the SPR</w:t>
      </w:r>
      <w:r w:rsidR="000A7B89">
        <w:t xml:space="preserve">. This includes </w:t>
      </w:r>
      <w:r w:rsidR="00FC10D7">
        <w:t>the</w:t>
      </w:r>
      <w:r w:rsidR="00FC10D7" w:rsidRPr="00D157A3">
        <w:t xml:space="preserve"> </w:t>
      </w:r>
      <w:r w:rsidR="00FC10D7">
        <w:t>ACMA consult</w:t>
      </w:r>
      <w:r w:rsidR="000A7B89">
        <w:t>ing</w:t>
      </w:r>
      <w:r w:rsidR="00FC10D7">
        <w:t xml:space="preserve"> on tranche 2 proposals in </w:t>
      </w:r>
      <w:r w:rsidR="000A7B89" w:rsidRPr="00D157A3">
        <w:t>October 2021</w:t>
      </w:r>
      <w:r w:rsidR="000A7B89">
        <w:t xml:space="preserve"> in</w:t>
      </w:r>
      <w:r w:rsidR="00A100C1">
        <w:t xml:space="preserve"> </w:t>
      </w:r>
      <w:r w:rsidR="008C4167" w:rsidRPr="00D157A3">
        <w:t xml:space="preserve">its </w:t>
      </w:r>
      <w:hyperlink r:id="rId121" w:history="1">
        <w:r w:rsidR="008C4167" w:rsidRPr="008C77B5">
          <w:rPr>
            <w:rStyle w:val="Hyperlink"/>
          </w:rPr>
          <w:t>Response to the Implementation of the Spectrum Pricing Review (part 2)</w:t>
        </w:r>
      </w:hyperlink>
      <w:r w:rsidR="008C4167" w:rsidRPr="00D157A3">
        <w:t xml:space="preserve"> (the Response Paper part 2)</w:t>
      </w:r>
      <w:r w:rsidR="00DD2AA3">
        <w:t xml:space="preserve">. </w:t>
      </w:r>
    </w:p>
    <w:p w14:paraId="3B2F4A1F" w14:textId="6DF84162" w:rsidR="00CD54A3" w:rsidRDefault="005F7C02" w:rsidP="000A7B89">
      <w:pPr>
        <w:pStyle w:val="Paragraph"/>
      </w:pPr>
      <w:r w:rsidRPr="005F7C02">
        <w:t xml:space="preserve">The ACMA received </w:t>
      </w:r>
      <w:hyperlink r:id="rId122" w:anchor="submissions" w:history="1">
        <w:r w:rsidRPr="005F7C02">
          <w:rPr>
            <w:rStyle w:val="Hyperlink"/>
          </w:rPr>
          <w:t>10 submissions</w:t>
        </w:r>
      </w:hyperlink>
      <w:r w:rsidRPr="005F7C02">
        <w:t>.</w:t>
      </w:r>
      <w:r w:rsidR="00F071E7">
        <w:t xml:space="preserve"> </w:t>
      </w:r>
      <w:r w:rsidR="000A7B89">
        <w:t xml:space="preserve">This section provides detail about those submissions and how the ACMA has considered that feedback. </w:t>
      </w:r>
    </w:p>
    <w:p w14:paraId="6049C717" w14:textId="0018E3A7" w:rsidR="0041254A" w:rsidRDefault="005A2A62" w:rsidP="0041254A">
      <w:pPr>
        <w:pStyle w:val="Heading3"/>
      </w:pPr>
      <w:bookmarkStart w:id="57" w:name="_Toc99632512"/>
      <w:bookmarkStart w:id="58" w:name="_Toc109035845"/>
      <w:r w:rsidRPr="005A2A62">
        <w:t>Amalgamate the &gt;30 to 403 MHz range into a single band</w:t>
      </w:r>
      <w:bookmarkEnd w:id="57"/>
      <w:bookmarkEnd w:id="58"/>
    </w:p>
    <w:p w14:paraId="09679A92" w14:textId="77777777" w:rsidR="0041254A" w:rsidRPr="005A53B3" w:rsidRDefault="0041254A" w:rsidP="0041254A">
      <w:pPr>
        <w:contextualSpacing/>
        <w:rPr>
          <w:rFonts w:cs="Arial"/>
          <w:bCs/>
        </w:rPr>
      </w:pPr>
      <w:r>
        <w:rPr>
          <w:rFonts w:cs="Arial"/>
          <w:bCs/>
        </w:rPr>
        <w:t>The ACMA received two submissions that commented on the proposal to amalgamate some location weightings, both of which were supportive.</w:t>
      </w:r>
    </w:p>
    <w:p w14:paraId="66A18504" w14:textId="77777777" w:rsidR="0041254A" w:rsidRPr="00645A83" w:rsidRDefault="0041254A" w:rsidP="00926AD6">
      <w:pPr>
        <w:pStyle w:val="ListParagraph"/>
        <w:ind w:left="792"/>
        <w:rPr>
          <w:rFonts w:ascii="Arial" w:hAnsi="Arial" w:cs="Arial"/>
          <w:i/>
          <w:sz w:val="20"/>
          <w:szCs w:val="20"/>
        </w:rPr>
      </w:pPr>
      <w:r w:rsidRPr="00645A83">
        <w:rPr>
          <w:rFonts w:ascii="Arial" w:hAnsi="Arial" w:cs="Arial"/>
          <w:i/>
          <w:sz w:val="20"/>
          <w:szCs w:val="20"/>
        </w:rPr>
        <w:t>The proposal to amalgamate location weightings is supported.</w:t>
      </w:r>
    </w:p>
    <w:p w14:paraId="5D78CA36" w14:textId="77777777" w:rsidR="0041254A" w:rsidRPr="00645A83" w:rsidRDefault="0041254A" w:rsidP="007E7817">
      <w:pPr>
        <w:pStyle w:val="ListParagraph"/>
        <w:numPr>
          <w:ilvl w:val="0"/>
          <w:numId w:val="20"/>
        </w:numPr>
        <w:rPr>
          <w:rFonts w:ascii="Arial" w:hAnsi="Arial" w:cs="Arial"/>
          <w:sz w:val="20"/>
          <w:szCs w:val="20"/>
        </w:rPr>
      </w:pPr>
      <w:r w:rsidRPr="00645A83">
        <w:rPr>
          <w:rFonts w:ascii="Arial" w:hAnsi="Arial" w:cs="Arial"/>
          <w:sz w:val="20"/>
          <w:szCs w:val="20"/>
        </w:rPr>
        <w:t>DB Telecommunications supports the proposed of bands in the range 30 to 403 MHz for licence tax purposes. (DB Telecommunications)</w:t>
      </w:r>
    </w:p>
    <w:p w14:paraId="7DF258B3" w14:textId="3198BCE9" w:rsidR="0041254A" w:rsidRPr="00645A83" w:rsidRDefault="0041254A" w:rsidP="007E7817">
      <w:pPr>
        <w:pStyle w:val="ListParagraph"/>
        <w:numPr>
          <w:ilvl w:val="0"/>
          <w:numId w:val="20"/>
        </w:numPr>
        <w:rPr>
          <w:rFonts w:ascii="Arial" w:hAnsi="Arial" w:cs="Arial"/>
          <w:sz w:val="20"/>
          <w:szCs w:val="20"/>
        </w:rPr>
      </w:pPr>
      <w:r w:rsidRPr="00645A83">
        <w:rPr>
          <w:rFonts w:ascii="Arial" w:hAnsi="Arial" w:cs="Arial"/>
          <w:sz w:val="20"/>
          <w:szCs w:val="20"/>
        </w:rPr>
        <w:t>We see no issues involved in this proposed change. (Australian Radio Communications Industry Association)</w:t>
      </w:r>
    </w:p>
    <w:p w14:paraId="5541B81F" w14:textId="13A71BA2" w:rsidR="0041254A" w:rsidRPr="00645A83" w:rsidRDefault="00034BCA" w:rsidP="007E7817">
      <w:pPr>
        <w:pStyle w:val="ListParagraph"/>
        <w:numPr>
          <w:ilvl w:val="0"/>
          <w:numId w:val="20"/>
        </w:numPr>
        <w:rPr>
          <w:rFonts w:ascii="Arial" w:hAnsi="Arial" w:cs="Arial"/>
          <w:sz w:val="20"/>
          <w:szCs w:val="20"/>
        </w:rPr>
      </w:pPr>
      <w:r w:rsidRPr="00645A83">
        <w:rPr>
          <w:rFonts w:ascii="Arial" w:hAnsi="Arial" w:cs="Arial"/>
          <w:sz w:val="20"/>
          <w:szCs w:val="20"/>
        </w:rPr>
        <w:t>No submissions disagreed or opposed the proposal.</w:t>
      </w:r>
    </w:p>
    <w:p w14:paraId="301830C5" w14:textId="449D6AA1" w:rsidR="005A2A62" w:rsidRDefault="005A2A62" w:rsidP="0041254A">
      <w:pPr>
        <w:pStyle w:val="Heading3"/>
      </w:pPr>
      <w:bookmarkStart w:id="59" w:name="_Toc99632513"/>
      <w:bookmarkStart w:id="60" w:name="_Toc109035846"/>
      <w:r w:rsidRPr="005A2A62">
        <w:t>Increase weightings</w:t>
      </w:r>
      <w:r>
        <w:t xml:space="preserve"> </w:t>
      </w:r>
      <w:r w:rsidRPr="005A2A62">
        <w:t>in high and medium density areas for the &gt;2,690 to 5,000 MHz spectrum location</w:t>
      </w:r>
      <w:bookmarkEnd w:id="59"/>
      <w:bookmarkEnd w:id="60"/>
      <w:r w:rsidRPr="005A2A62">
        <w:t xml:space="preserve"> </w:t>
      </w:r>
    </w:p>
    <w:p w14:paraId="49693314" w14:textId="77777777" w:rsidR="0041254A" w:rsidRPr="0068623A" w:rsidRDefault="0041254A" w:rsidP="0041254A">
      <w:pPr>
        <w:contextualSpacing/>
        <w:rPr>
          <w:rFonts w:cs="Arial"/>
          <w:bCs/>
        </w:rPr>
      </w:pPr>
      <w:r w:rsidRPr="002D0BB7">
        <w:rPr>
          <w:rFonts w:cs="Arial"/>
          <w:bCs/>
        </w:rPr>
        <w:t>The ACMA received two submissions that commented on the proposal to increase some location weightings, one of which was supportive and another not supportive.</w:t>
      </w:r>
    </w:p>
    <w:p w14:paraId="63D9680C" w14:textId="77777777" w:rsidR="0041254A" w:rsidRPr="00645A83" w:rsidRDefault="0041254A" w:rsidP="00926AD6">
      <w:pPr>
        <w:pStyle w:val="ListParagraph"/>
        <w:ind w:left="792"/>
        <w:rPr>
          <w:rFonts w:ascii="Arial" w:hAnsi="Arial" w:cs="Arial"/>
          <w:i/>
          <w:sz w:val="20"/>
          <w:szCs w:val="20"/>
        </w:rPr>
      </w:pPr>
      <w:r w:rsidRPr="00645A83">
        <w:rPr>
          <w:rFonts w:ascii="Arial" w:hAnsi="Arial" w:cs="Arial"/>
          <w:i/>
          <w:sz w:val="20"/>
          <w:szCs w:val="20"/>
        </w:rPr>
        <w:t>The proposed increase will cause an unbalanced additional cost for satellite services provided to remote areas.</w:t>
      </w:r>
    </w:p>
    <w:p w14:paraId="26796FC6" w14:textId="77777777" w:rsidR="0041254A" w:rsidRPr="00645A83" w:rsidRDefault="0041254A" w:rsidP="007E7817">
      <w:pPr>
        <w:pStyle w:val="ListParagraph"/>
        <w:numPr>
          <w:ilvl w:val="0"/>
          <w:numId w:val="21"/>
        </w:numPr>
        <w:rPr>
          <w:rFonts w:ascii="Arial" w:hAnsi="Arial" w:cs="Arial"/>
          <w:sz w:val="20"/>
          <w:szCs w:val="20"/>
        </w:rPr>
      </w:pPr>
      <w:r w:rsidRPr="00645A83">
        <w:rPr>
          <w:rFonts w:ascii="Arial" w:hAnsi="Arial" w:cs="Arial"/>
          <w:sz w:val="20"/>
          <w:szCs w:val="20"/>
        </w:rPr>
        <w:t xml:space="preserve">We believe the proposed increase in the location weightings for FSS services provided in this frequency range should not be applied to high and medium-density areas as it will cause an unbalanced additional cost for satellite services provided to remote areas. The ACMA should instead consider applying the same fees established for low density areas to high and medium density areas for satellite services in the greater than 2,690 to 5,000 MHz range or at least the same fees as established for above 5,000 </w:t>
      </w:r>
      <w:proofErr w:type="spellStart"/>
      <w:r w:rsidRPr="00645A83">
        <w:rPr>
          <w:rFonts w:ascii="Arial" w:hAnsi="Arial" w:cs="Arial"/>
          <w:sz w:val="20"/>
          <w:szCs w:val="20"/>
        </w:rPr>
        <w:t>MHz.</w:t>
      </w:r>
      <w:proofErr w:type="spellEnd"/>
      <w:r w:rsidRPr="00645A83">
        <w:rPr>
          <w:rFonts w:ascii="Arial" w:hAnsi="Arial" w:cs="Arial"/>
          <w:sz w:val="20"/>
          <w:szCs w:val="20"/>
        </w:rPr>
        <w:t xml:space="preserve"> (Communications Alliance – SSWG)</w:t>
      </w:r>
    </w:p>
    <w:p w14:paraId="745B699E" w14:textId="77777777" w:rsidR="0041254A" w:rsidRPr="00CF51F0" w:rsidRDefault="0041254A" w:rsidP="00926AD6">
      <w:pPr>
        <w:pStyle w:val="ListParagraph"/>
        <w:ind w:left="792"/>
        <w:rPr>
          <w:rFonts w:ascii="Arial" w:hAnsi="Arial" w:cs="Arial"/>
          <w:i/>
          <w:sz w:val="20"/>
          <w:szCs w:val="20"/>
        </w:rPr>
      </w:pPr>
      <w:r w:rsidRPr="00CF51F0">
        <w:rPr>
          <w:rFonts w:ascii="Arial" w:hAnsi="Arial" w:cs="Arial"/>
          <w:i/>
          <w:sz w:val="20"/>
          <w:szCs w:val="20"/>
        </w:rPr>
        <w:t>The proposed increase should assist in reducing congestion.</w:t>
      </w:r>
    </w:p>
    <w:p w14:paraId="71EFCEDA" w14:textId="61AF4446" w:rsidR="0041254A" w:rsidRPr="00CF51F0" w:rsidRDefault="0041254A" w:rsidP="007E7817">
      <w:pPr>
        <w:pStyle w:val="ListParagraph"/>
        <w:numPr>
          <w:ilvl w:val="0"/>
          <w:numId w:val="22"/>
        </w:numPr>
        <w:rPr>
          <w:rFonts w:ascii="Arial" w:hAnsi="Arial" w:cs="Arial"/>
          <w:sz w:val="20"/>
          <w:szCs w:val="20"/>
        </w:rPr>
      </w:pPr>
      <w:r w:rsidRPr="00CF51F0">
        <w:rPr>
          <w:rFonts w:ascii="Arial" w:hAnsi="Arial" w:cs="Arial"/>
          <w:sz w:val="20"/>
          <w:szCs w:val="20"/>
        </w:rPr>
        <w:t>Optus supports changes that seek to optimise the use of spectrum in high demand frequency ranges. Optus considers that the proposed changes should assist in reducing the potential for congestion in the &gt;2,690 to 5,000 MHz range and ultimately supporting any reallocation of key spectrum to maximise its use for 5G services. Accordingly, Optus supports the ACMA’s proposed changes to the location weightings in these spectrum locations. (Optus)</w:t>
      </w:r>
    </w:p>
    <w:p w14:paraId="7735120D" w14:textId="631AC631" w:rsidR="00926AD6" w:rsidRPr="001508AD" w:rsidRDefault="0029258D" w:rsidP="001508AD">
      <w:pPr>
        <w:pStyle w:val="ListParagraph"/>
        <w:numPr>
          <w:ilvl w:val="0"/>
          <w:numId w:val="22"/>
        </w:numPr>
        <w:rPr>
          <w:rFonts w:ascii="Arial" w:hAnsi="Arial" w:cs="Arial"/>
          <w:sz w:val="20"/>
          <w:szCs w:val="20"/>
        </w:rPr>
      </w:pPr>
      <w:r w:rsidRPr="006177F1">
        <w:rPr>
          <w:rFonts w:cs="Arial"/>
          <w:bCs/>
          <w:noProof/>
        </w:rPr>
        <w:lastRenderedPageBreak/>
        <mc:AlternateContent>
          <mc:Choice Requires="wps">
            <w:drawing>
              <wp:anchor distT="45720" distB="45720" distL="114300" distR="114300" simplePos="0" relativeHeight="251658242" behindDoc="0" locked="0" layoutInCell="1" allowOverlap="1" wp14:anchorId="15389C08" wp14:editId="0515C3F6">
                <wp:simplePos x="0" y="0"/>
                <wp:positionH relativeFrom="margin">
                  <wp:posOffset>51435</wp:posOffset>
                </wp:positionH>
                <wp:positionV relativeFrom="paragraph">
                  <wp:posOffset>298450</wp:posOffset>
                </wp:positionV>
                <wp:extent cx="4853305" cy="2762250"/>
                <wp:effectExtent l="0" t="0" r="2349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305" cy="2762250"/>
                        </a:xfrm>
                        <a:prstGeom prst="rect">
                          <a:avLst/>
                        </a:prstGeom>
                        <a:solidFill>
                          <a:srgbClr val="FFFFFF"/>
                        </a:solidFill>
                        <a:ln w="9525">
                          <a:solidFill>
                            <a:srgbClr val="000000"/>
                          </a:solidFill>
                          <a:miter lim="800000"/>
                          <a:headEnd/>
                          <a:tailEnd/>
                        </a:ln>
                      </wps:spPr>
                      <wps:txbx>
                        <w:txbxContent>
                          <w:p w14:paraId="6BDAE727" w14:textId="77777777" w:rsidR="00D21611" w:rsidRPr="00536EC1" w:rsidRDefault="00D21611" w:rsidP="00D21611">
                            <w:pPr>
                              <w:pStyle w:val="CommentText"/>
                              <w:rPr>
                                <w:b/>
                                <w:bCs/>
                              </w:rPr>
                            </w:pPr>
                            <w:r w:rsidRPr="00536EC1">
                              <w:rPr>
                                <w:b/>
                                <w:bCs/>
                              </w:rPr>
                              <w:t xml:space="preserve">ACMA response: </w:t>
                            </w:r>
                          </w:p>
                          <w:p w14:paraId="62E5EB66" w14:textId="26CAA497" w:rsidR="0064112C" w:rsidRDefault="00D21611" w:rsidP="006E6ED7">
                            <w:r w:rsidRPr="00F1118D">
                              <w:t xml:space="preserve">The ACMA </w:t>
                            </w:r>
                            <w:r w:rsidR="003B49A6">
                              <w:t xml:space="preserve">does not intend to </w:t>
                            </w:r>
                            <w:r w:rsidRPr="00F1118D">
                              <w:t xml:space="preserve">proceed with the proposed increase. </w:t>
                            </w:r>
                            <w:r w:rsidR="001300AE">
                              <w:t>After receiving submission</w:t>
                            </w:r>
                            <w:r w:rsidR="003878B8">
                              <w:t>s</w:t>
                            </w:r>
                            <w:r w:rsidR="001300AE">
                              <w:t xml:space="preserve"> w</w:t>
                            </w:r>
                            <w:r w:rsidR="00B82063">
                              <w:t xml:space="preserve">e relooked at </w:t>
                            </w:r>
                            <w:r w:rsidR="00C878FD">
                              <w:t>assignment levels in the band</w:t>
                            </w:r>
                            <w:r w:rsidR="00D36E71">
                              <w:t xml:space="preserve">. </w:t>
                            </w:r>
                            <w:r w:rsidR="003878B8">
                              <w:t>Updated an</w:t>
                            </w:r>
                            <w:r w:rsidR="001300AE" w:rsidRPr="001300AE">
                              <w:t>alysis shows that growth in the band in recent years ha</w:t>
                            </w:r>
                            <w:r w:rsidR="00D36E71">
                              <w:t>d</w:t>
                            </w:r>
                            <w:r w:rsidR="001300AE" w:rsidRPr="001300AE">
                              <w:t xml:space="preserve"> been driven by NBN PMTS Class B licences in the 3.4 GHz band. These licences have since been converted to spectrum licences and the number of frequency assignments for apparatus licences in this band have returned to levels seen in the early 2000s.</w:t>
                            </w:r>
                          </w:p>
                          <w:p w14:paraId="00B2ED09" w14:textId="15F5C615" w:rsidR="00D21611" w:rsidRPr="00F1118D" w:rsidRDefault="00D21611" w:rsidP="006E6ED7">
                            <w:r w:rsidRPr="00F1118D">
                              <w:t xml:space="preserve">The ACMA is </w:t>
                            </w:r>
                            <w:r w:rsidR="00276231">
                              <w:t xml:space="preserve">also </w:t>
                            </w:r>
                            <w:r w:rsidRPr="00F1118D">
                              <w:t>currently administ</w:t>
                            </w:r>
                            <w:r w:rsidR="003E42AB">
                              <w:t>er</w:t>
                            </w:r>
                            <w:r w:rsidRPr="00F1118D">
                              <w:t>ing a number of large changes in this band including the recent conversion of NBN’s 3.4 GHz licences to spectrum licences,</w:t>
                            </w:r>
                            <w:r w:rsidR="00D875D8">
                              <w:t xml:space="preserve"> future </w:t>
                            </w:r>
                            <w:r w:rsidRPr="00F1118D">
                              <w:t xml:space="preserve">allocation of new spectrum licences, and </w:t>
                            </w:r>
                            <w:r w:rsidR="00D875D8">
                              <w:t xml:space="preserve">future </w:t>
                            </w:r>
                            <w:r w:rsidRPr="00F1118D">
                              <w:t>allocation of area-wide licences (AWLs) later in 2022. Consequently</w:t>
                            </w:r>
                            <w:r w:rsidR="00D875D8">
                              <w:t>,</w:t>
                            </w:r>
                            <w:r w:rsidRPr="00F1118D">
                              <w:t xml:space="preserve"> the ACMA prefers to </w:t>
                            </w:r>
                            <w:r w:rsidR="00D875D8">
                              <w:t xml:space="preserve">monitor </w:t>
                            </w:r>
                            <w:r w:rsidRPr="00F1118D">
                              <w:t xml:space="preserve">the band to see where licence assignments stabilise.  </w:t>
                            </w:r>
                          </w:p>
                          <w:p w14:paraId="47E2A673" w14:textId="29D58DF0" w:rsidR="00D21611" w:rsidRDefault="00D21611" w:rsidP="00D21611">
                            <w:pPr>
                              <w:pStyle w:val="CommentText"/>
                              <w:rPr>
                                <w:rFonts w:cs="Arial"/>
                                <w:b/>
                              </w:rPr>
                            </w:pPr>
                          </w:p>
                          <w:p w14:paraId="5D18572D" w14:textId="77777777" w:rsidR="00D21611" w:rsidRDefault="00D21611" w:rsidP="00D2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89C08" id="_x0000_t202" coordsize="21600,21600" o:spt="202" path="m,l,21600r21600,l21600,xe">
                <v:stroke joinstyle="miter"/>
                <v:path gradientshapeok="t" o:connecttype="rect"/>
              </v:shapetype>
              <v:shape id="Text Box 2" o:spid="_x0000_s1026" type="#_x0000_t202" style="position:absolute;left:0;text-align:left;margin-left:4.05pt;margin-top:23.5pt;width:382.15pt;height:21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fEgIAACAEAAAOAAAAZHJzL2Uyb0RvYy54bWysU21v2yAQ/j5p/wHxfbHjxm1qxam6dJkm&#10;dS9Stx+AMY7RgGNAYne/fgdO06jbvkzjA+K44+HuuedWN6NW5CCcl2BqOp/llAjDoZVmV9NvX7dv&#10;lpT4wEzLFBhR00fh6c369avVYCtRQA+qFY4giPHVYGvah2CrLPO8F5r5GVhh0NmB0yyg6XZZ69iA&#10;6FplRZ5fZgO41jrgwnu8vZucdJ3wu07w8LnrvAhE1RRzC2l3aW/inq1XrNo5ZnvJj2mwf8hCM2nw&#10;0xPUHQuM7J38DUpL7sBDF2YcdAZdJ7lINWA18/xFNQ89syLVguR4e6LJ/z9Y/unwYL84Esa3MGID&#10;UxHe3gP/7omBTc/MTtw6B0MvWIsfzyNl2WB9dXwaqfaVjyDN8BFabDLbB0hAY+d0ZAXrJIiODXg8&#10;kS7GQDheLpblxUVeUsLRV1xdFkWZ2pKx6um5dT68F6BJPNTUYVcTPDvc+xDTYdVTSPzNg5LtViqV&#10;DLdrNsqRA0MFbNNKFbwIU4YMNb0ui3Ji4K8QeVp/gtAyoJSV1DVdnoJYFXl7Z9oktMCkms6YsjJH&#10;IiN3E4thbEYMjIQ20D4ipQ4myeKI4aEH95OSAeVaU/9jz5ygRH0w2Jbr+WIR9Z2MRXlVoOHOPc25&#10;hxmOUDUNlEzHTUgzEQkzcIvt62Qi9jmTY64ow8T3cWSizs/tFPU82OtfAAAA//8DAFBLAwQUAAYA&#10;CAAAACEACCY4pN4AAAAIAQAADwAAAGRycy9kb3ducmV2LnhtbEyPwU7DMBBE70j8g7VIXBB1GqIm&#10;hDgVQgLBDQpqr268TSLidbDdNPw9ywmOOzN6O1OtZzuICX3oHSlYLhIQSI0zPbUKPt4frwsQIWoy&#10;enCECr4xwLo+P6t0adyJ3nDaxFYwhEKpFXQxjqWUoenQ6rBwIxJ7B+etjnz6VhqvTwy3g0yTZCWt&#10;7ok/dHrEhw6bz83RKiiy52kXXm5et83qMNzGq3x6+vJKXV7M93cgIs7xLwy/9bk61Nxp745kghiY&#10;seSggiznRWzneZqB2LNQpAnIupL/B9Q/AAAA//8DAFBLAQItABQABgAIAAAAIQC2gziS/gAAAOEB&#10;AAATAAAAAAAAAAAAAAAAAAAAAABbQ29udGVudF9UeXBlc10ueG1sUEsBAi0AFAAGAAgAAAAhADj9&#10;If/WAAAAlAEAAAsAAAAAAAAAAAAAAAAALwEAAF9yZWxzLy5yZWxzUEsBAi0AFAAGAAgAAAAhACp4&#10;b58SAgAAIAQAAA4AAAAAAAAAAAAAAAAALgIAAGRycy9lMm9Eb2MueG1sUEsBAi0AFAAGAAgAAAAh&#10;AAgmOKTeAAAACAEAAA8AAAAAAAAAAAAAAAAAbAQAAGRycy9kb3ducmV2LnhtbFBLBQYAAAAABAAE&#10;APMAAAB3BQAAAAA=&#10;">
                <v:textbox>
                  <w:txbxContent>
                    <w:p w14:paraId="6BDAE727" w14:textId="77777777" w:rsidR="00D21611" w:rsidRPr="00536EC1" w:rsidRDefault="00D21611" w:rsidP="00D21611">
                      <w:pPr>
                        <w:pStyle w:val="CommentText"/>
                        <w:rPr>
                          <w:b/>
                          <w:bCs/>
                        </w:rPr>
                      </w:pPr>
                      <w:r w:rsidRPr="00536EC1">
                        <w:rPr>
                          <w:b/>
                          <w:bCs/>
                        </w:rPr>
                        <w:t xml:space="preserve">ACMA response: </w:t>
                      </w:r>
                    </w:p>
                    <w:p w14:paraId="62E5EB66" w14:textId="26CAA497" w:rsidR="0064112C" w:rsidRDefault="00D21611" w:rsidP="006E6ED7">
                      <w:r w:rsidRPr="00F1118D">
                        <w:t xml:space="preserve">The ACMA </w:t>
                      </w:r>
                      <w:r w:rsidR="003B49A6">
                        <w:t xml:space="preserve">does not intend to </w:t>
                      </w:r>
                      <w:r w:rsidRPr="00F1118D">
                        <w:t xml:space="preserve">proceed with the proposed increase. </w:t>
                      </w:r>
                      <w:r w:rsidR="001300AE">
                        <w:t>After receiving submission</w:t>
                      </w:r>
                      <w:r w:rsidR="003878B8">
                        <w:t>s</w:t>
                      </w:r>
                      <w:r w:rsidR="001300AE">
                        <w:t xml:space="preserve"> w</w:t>
                      </w:r>
                      <w:r w:rsidR="00B82063">
                        <w:t xml:space="preserve">e relooked at </w:t>
                      </w:r>
                      <w:r w:rsidR="00C878FD">
                        <w:t>assignment levels in the band</w:t>
                      </w:r>
                      <w:r w:rsidR="00D36E71">
                        <w:t xml:space="preserve">. </w:t>
                      </w:r>
                      <w:r w:rsidR="003878B8">
                        <w:t>Updated an</w:t>
                      </w:r>
                      <w:r w:rsidR="001300AE" w:rsidRPr="001300AE">
                        <w:t>alysis shows that growth in the band in recent years ha</w:t>
                      </w:r>
                      <w:r w:rsidR="00D36E71">
                        <w:t>d</w:t>
                      </w:r>
                      <w:r w:rsidR="001300AE" w:rsidRPr="001300AE">
                        <w:t xml:space="preserve"> been driven by NBN PMTS Class B licences in the 3.4 GHz band. These licences have since been converted to spectrum licences and the number of frequency assignments for apparatus licences in this band have returned to levels seen in the early 2000s.</w:t>
                      </w:r>
                    </w:p>
                    <w:p w14:paraId="00B2ED09" w14:textId="15F5C615" w:rsidR="00D21611" w:rsidRPr="00F1118D" w:rsidRDefault="00D21611" w:rsidP="006E6ED7">
                      <w:r w:rsidRPr="00F1118D">
                        <w:t xml:space="preserve">The ACMA is </w:t>
                      </w:r>
                      <w:r w:rsidR="00276231">
                        <w:t xml:space="preserve">also </w:t>
                      </w:r>
                      <w:r w:rsidRPr="00F1118D">
                        <w:t>currently administ</w:t>
                      </w:r>
                      <w:r w:rsidR="003E42AB">
                        <w:t>er</w:t>
                      </w:r>
                      <w:r w:rsidRPr="00F1118D">
                        <w:t>ing a number of large changes in this band including the recent conversion of NBN’s 3.4 GHz licences to spectrum licences,</w:t>
                      </w:r>
                      <w:r w:rsidR="00D875D8">
                        <w:t xml:space="preserve"> future </w:t>
                      </w:r>
                      <w:r w:rsidRPr="00F1118D">
                        <w:t xml:space="preserve">allocation of new spectrum licences, and </w:t>
                      </w:r>
                      <w:r w:rsidR="00D875D8">
                        <w:t xml:space="preserve">future </w:t>
                      </w:r>
                      <w:r w:rsidRPr="00F1118D">
                        <w:t>allocation of area-wide licences (AWLs) later in 2022. Consequently</w:t>
                      </w:r>
                      <w:r w:rsidR="00D875D8">
                        <w:t>,</w:t>
                      </w:r>
                      <w:r w:rsidRPr="00F1118D">
                        <w:t xml:space="preserve"> the ACMA prefers to </w:t>
                      </w:r>
                      <w:r w:rsidR="00D875D8">
                        <w:t xml:space="preserve">monitor </w:t>
                      </w:r>
                      <w:r w:rsidRPr="00F1118D">
                        <w:t xml:space="preserve">the band to see where licence assignments stabilise.  </w:t>
                      </w:r>
                    </w:p>
                    <w:p w14:paraId="47E2A673" w14:textId="29D58DF0" w:rsidR="00D21611" w:rsidRDefault="00D21611" w:rsidP="00D21611">
                      <w:pPr>
                        <w:pStyle w:val="CommentText"/>
                        <w:rPr>
                          <w:rFonts w:cs="Arial"/>
                          <w:b/>
                        </w:rPr>
                      </w:pPr>
                    </w:p>
                    <w:p w14:paraId="5D18572D" w14:textId="77777777" w:rsidR="00D21611" w:rsidRDefault="00D21611" w:rsidP="00D21611"/>
                  </w:txbxContent>
                </v:textbox>
                <w10:wrap type="square" anchorx="margin"/>
              </v:shape>
            </w:pict>
          </mc:Fallback>
        </mc:AlternateContent>
      </w:r>
      <w:r w:rsidR="00926AD6" w:rsidRPr="001508AD">
        <w:rPr>
          <w:rFonts w:ascii="Arial" w:hAnsi="Arial" w:cs="Arial"/>
          <w:sz w:val="20"/>
          <w:szCs w:val="20"/>
        </w:rPr>
        <w:t xml:space="preserve">The remaining submissions did not comment on this </w:t>
      </w:r>
      <w:r w:rsidR="00743516" w:rsidRPr="001508AD">
        <w:rPr>
          <w:rFonts w:ascii="Arial" w:hAnsi="Arial" w:cs="Arial"/>
          <w:sz w:val="20"/>
          <w:szCs w:val="20"/>
        </w:rPr>
        <w:t>proposal.</w:t>
      </w:r>
    </w:p>
    <w:p w14:paraId="17DF7629" w14:textId="0F33858F" w:rsidR="0041254A" w:rsidRPr="00AB174E" w:rsidRDefault="0041254A" w:rsidP="0041254A">
      <w:pPr>
        <w:rPr>
          <w:rFonts w:cs="Arial"/>
        </w:rPr>
      </w:pPr>
    </w:p>
    <w:p w14:paraId="72C4CB33" w14:textId="5147638B" w:rsidR="0041254A" w:rsidRPr="0041254A" w:rsidRDefault="00D60CC8" w:rsidP="0041254A">
      <w:pPr>
        <w:pStyle w:val="Heading3"/>
      </w:pPr>
      <w:bookmarkStart w:id="61" w:name="_Toc99632514"/>
      <w:bookmarkStart w:id="62" w:name="_Toc109035847"/>
      <w:r w:rsidRPr="00D60CC8">
        <w:t>Apply the minimum tax in a new spectrum location band for services above 100</w:t>
      </w:r>
      <w:r>
        <w:t> </w:t>
      </w:r>
      <w:r w:rsidRPr="00D60CC8">
        <w:t>GHz</w:t>
      </w:r>
      <w:bookmarkEnd w:id="61"/>
      <w:bookmarkEnd w:id="62"/>
    </w:p>
    <w:p w14:paraId="02B4483C" w14:textId="77777777" w:rsidR="0041254A" w:rsidRPr="00376996" w:rsidRDefault="0041254A" w:rsidP="0041254A">
      <w:pPr>
        <w:contextualSpacing/>
        <w:rPr>
          <w:rFonts w:cs="Arial"/>
          <w:bCs/>
        </w:rPr>
      </w:pPr>
      <w:r w:rsidRPr="00376996">
        <w:rPr>
          <w:rFonts w:cs="Arial"/>
          <w:bCs/>
        </w:rPr>
        <w:t>The</w:t>
      </w:r>
      <w:r>
        <w:rPr>
          <w:rFonts w:cs="Arial"/>
          <w:bCs/>
        </w:rPr>
        <w:t xml:space="preserve"> ACMA received four submissions that commented on the proposal to set services above 100GHz at minimum tax, all of which were supportive.</w:t>
      </w:r>
    </w:p>
    <w:p w14:paraId="5943DE11" w14:textId="77777777" w:rsidR="0041254A" w:rsidRPr="0029258D" w:rsidRDefault="0041254A" w:rsidP="00743516">
      <w:pPr>
        <w:pStyle w:val="ListParagraph"/>
        <w:ind w:left="792"/>
        <w:rPr>
          <w:rFonts w:ascii="Arial" w:hAnsi="Arial" w:cs="Arial"/>
          <w:i/>
          <w:sz w:val="20"/>
          <w:szCs w:val="20"/>
        </w:rPr>
      </w:pPr>
      <w:r w:rsidRPr="0029258D">
        <w:rPr>
          <w:rFonts w:ascii="Arial" w:hAnsi="Arial" w:cs="Arial"/>
          <w:i/>
          <w:sz w:val="20"/>
          <w:szCs w:val="20"/>
        </w:rPr>
        <w:t>Applying the minimum tax to services above 100GHz is appropriate.</w:t>
      </w:r>
    </w:p>
    <w:p w14:paraId="1BAB1BD4" w14:textId="77777777" w:rsidR="0041254A" w:rsidRPr="0029258D" w:rsidRDefault="0041254A" w:rsidP="007E7817">
      <w:pPr>
        <w:pStyle w:val="ListParagraph"/>
        <w:numPr>
          <w:ilvl w:val="0"/>
          <w:numId w:val="26"/>
        </w:numPr>
        <w:spacing w:after="0" w:line="240" w:lineRule="auto"/>
        <w:rPr>
          <w:rFonts w:ascii="Arial" w:hAnsi="Arial" w:cs="Arial"/>
          <w:sz w:val="20"/>
          <w:szCs w:val="20"/>
        </w:rPr>
      </w:pPr>
      <w:r w:rsidRPr="0029258D">
        <w:rPr>
          <w:rFonts w:ascii="Arial" w:hAnsi="Arial" w:cs="Arial"/>
          <w:sz w:val="20"/>
          <w:szCs w:val="20"/>
        </w:rPr>
        <w:t xml:space="preserve">Given the limited communications distances that will apply to services above 100 GHz and the greater scope for frequency re-use, DB Telecommunications believes that it would be appropriate to set the licence tax at the minimum level for these services. DB Telecommunications does not believe that it should be necessary to restrict the minimum tax to </w:t>
      </w:r>
      <w:proofErr w:type="gramStart"/>
      <w:r w:rsidRPr="0029258D">
        <w:rPr>
          <w:rFonts w:ascii="Arial" w:hAnsi="Arial" w:cs="Arial"/>
          <w:sz w:val="20"/>
          <w:szCs w:val="20"/>
        </w:rPr>
        <w:t>particular technologies</w:t>
      </w:r>
      <w:proofErr w:type="gramEnd"/>
      <w:r w:rsidRPr="0029258D">
        <w:rPr>
          <w:rFonts w:ascii="Arial" w:hAnsi="Arial" w:cs="Arial"/>
          <w:sz w:val="20"/>
          <w:szCs w:val="20"/>
        </w:rPr>
        <w:t xml:space="preserve"> or types of services. Perhaps services above 100 GHz could be classified as self-coordinated, in a similar vein to millimetre wave services in the 57 to 86 GHz range. (DB Telecommunications)</w:t>
      </w:r>
    </w:p>
    <w:p w14:paraId="0E5762D8" w14:textId="77777777" w:rsidR="0041254A" w:rsidRPr="0029258D" w:rsidRDefault="0041254A" w:rsidP="007E7817">
      <w:pPr>
        <w:pStyle w:val="ListParagraph"/>
        <w:numPr>
          <w:ilvl w:val="0"/>
          <w:numId w:val="26"/>
        </w:numPr>
        <w:rPr>
          <w:rFonts w:ascii="Arial" w:hAnsi="Arial" w:cs="Arial"/>
          <w:sz w:val="20"/>
          <w:szCs w:val="20"/>
        </w:rPr>
      </w:pPr>
      <w:r w:rsidRPr="0029258D">
        <w:rPr>
          <w:rFonts w:ascii="Arial" w:hAnsi="Arial" w:cs="Arial"/>
          <w:sz w:val="20"/>
          <w:szCs w:val="20"/>
        </w:rPr>
        <w:t>A fee-free structure for greater than 100 GHz would seem appropriate provided it is supported with a form of technical structure that would ensure a single or a few applications would not prevent others from operating. 100 GHz is at such a high frequency, that antenna performance is excellent and propagation losses are high. Provided some power limits are adopted that would allow economic use of the band there is no reason to limit the minimum tax to optical devices. (Communications Alliance – SSWG)</w:t>
      </w:r>
    </w:p>
    <w:p w14:paraId="4977AF3E" w14:textId="77777777" w:rsidR="0041254A" w:rsidRPr="0029258D" w:rsidRDefault="0041254A" w:rsidP="007E7817">
      <w:pPr>
        <w:pStyle w:val="ListParagraph"/>
        <w:numPr>
          <w:ilvl w:val="0"/>
          <w:numId w:val="26"/>
        </w:numPr>
        <w:rPr>
          <w:rFonts w:ascii="Arial" w:hAnsi="Arial" w:cs="Arial"/>
          <w:sz w:val="20"/>
          <w:szCs w:val="20"/>
        </w:rPr>
      </w:pPr>
      <w:r w:rsidRPr="0029258D">
        <w:rPr>
          <w:rFonts w:ascii="Arial" w:hAnsi="Arial" w:cs="Arial"/>
          <w:sz w:val="20"/>
          <w:szCs w:val="20"/>
        </w:rPr>
        <w:t>Optus supports the proposal to create a new band above 100 GHz and set tax rates for these services at the minimum tax rate. Optus agrees there is a lower interference potential in these frequency ranges and considers that the proposed amendment will facilitate greater access to frequencies above 100 GHz and ultimately support the business case for technology onboarding in high band spectrum across Australia. Optus notes that, in general, 100 GHz is at such a high frequency, antenna performance is excellent and propagation losses are high, so provided some power limits are adopted that allow economic use of the band, Optus considers there may be no reason to limit use to optical devices. (Optus)</w:t>
      </w:r>
    </w:p>
    <w:p w14:paraId="56646B12" w14:textId="165F0EEC" w:rsidR="0041254A" w:rsidRPr="00AB174E" w:rsidRDefault="0041254A" w:rsidP="00DD1C18">
      <w:pPr>
        <w:pStyle w:val="ListParagraph"/>
        <w:numPr>
          <w:ilvl w:val="0"/>
          <w:numId w:val="26"/>
        </w:numPr>
        <w:rPr>
          <w:rFonts w:cs="Arial"/>
        </w:rPr>
      </w:pPr>
      <w:r w:rsidRPr="0029258D">
        <w:rPr>
          <w:rFonts w:ascii="Arial" w:hAnsi="Arial" w:cs="Arial"/>
          <w:sz w:val="20"/>
          <w:szCs w:val="20"/>
        </w:rPr>
        <w:lastRenderedPageBreak/>
        <w:t xml:space="preserve">ANU </w:t>
      </w:r>
      <w:proofErr w:type="spellStart"/>
      <w:r w:rsidRPr="0029258D">
        <w:rPr>
          <w:rFonts w:ascii="Arial" w:hAnsi="Arial" w:cs="Arial"/>
          <w:sz w:val="20"/>
          <w:szCs w:val="20"/>
        </w:rPr>
        <w:t>InSpace</w:t>
      </w:r>
      <w:proofErr w:type="spellEnd"/>
      <w:r w:rsidRPr="0029258D">
        <w:rPr>
          <w:rFonts w:ascii="Arial" w:hAnsi="Arial" w:cs="Arial"/>
          <w:sz w:val="20"/>
          <w:szCs w:val="20"/>
        </w:rPr>
        <w:t xml:space="preserve"> welcomes the proposal to introduce a new spectrum location band for services above 100 GHz with a tax rate at the minimum tax. However, there is still a significant disparity between ACMA's treatment of optical communications spectrum compared to that of other countries and the International Telecommunications Union (ITU). ACMA regulates and taxes spectrum up to 420 THz, whereas the ITU only regulates for frequencies up to 3 THz. While the proposed minimum tax for the new &gt;100 GHz band is a positive step forward, the requirement to apply for a licence still places a burden on companies and universities wanting to establish optical ground stations in Australia that is not present in other countries. (ANU </w:t>
      </w:r>
      <w:proofErr w:type="spellStart"/>
      <w:r w:rsidRPr="0029258D">
        <w:rPr>
          <w:rFonts w:ascii="Arial" w:hAnsi="Arial" w:cs="Arial"/>
          <w:sz w:val="20"/>
          <w:szCs w:val="20"/>
        </w:rPr>
        <w:t>Inspace</w:t>
      </w:r>
      <w:proofErr w:type="spellEnd"/>
      <w:r w:rsidRPr="0029258D">
        <w:rPr>
          <w:rFonts w:ascii="Arial" w:hAnsi="Arial" w:cs="Arial"/>
          <w:sz w:val="20"/>
          <w:szCs w:val="20"/>
        </w:rPr>
        <w:t>)</w:t>
      </w:r>
      <w:r w:rsidR="00327B12">
        <w:rPr>
          <w:rFonts w:ascii="Arial" w:hAnsi="Arial" w:cs="Arial"/>
          <w:sz w:val="20"/>
          <w:szCs w:val="20"/>
        </w:rPr>
        <w:t>.</w:t>
      </w:r>
    </w:p>
    <w:p w14:paraId="656C703F" w14:textId="69E73348" w:rsidR="0041254A" w:rsidRPr="0041254A" w:rsidRDefault="00F341EC" w:rsidP="0041254A">
      <w:pPr>
        <w:pStyle w:val="Heading3"/>
      </w:pPr>
      <w:bookmarkStart w:id="63" w:name="_Toc99632515"/>
      <w:bookmarkStart w:id="64" w:name="_Toc109035848"/>
      <w:r w:rsidRPr="00F341EC">
        <w:t>Cease annual CPI updates to taxes, and instead regularly update taxes based on annual population data updates</w:t>
      </w:r>
      <w:bookmarkEnd w:id="63"/>
      <w:bookmarkEnd w:id="64"/>
    </w:p>
    <w:p w14:paraId="0C1B1182" w14:textId="77777777" w:rsidR="0041254A" w:rsidRPr="00B54BFB" w:rsidRDefault="0041254A" w:rsidP="0041254A">
      <w:pPr>
        <w:contextualSpacing/>
        <w:rPr>
          <w:rFonts w:cs="Arial"/>
          <w:bCs/>
        </w:rPr>
      </w:pPr>
      <w:r w:rsidRPr="00B54BFB">
        <w:rPr>
          <w:rFonts w:cs="Arial"/>
          <w:bCs/>
        </w:rPr>
        <w:t>The ACMA received seven submissions that commented on the proposal to replace the use of CPI with population data in updating the normalisation factor each year. Of the submissions received, five were supportive and two were unsupportive.</w:t>
      </w:r>
    </w:p>
    <w:p w14:paraId="057B5BEE" w14:textId="77777777" w:rsidR="0041254A" w:rsidRPr="0029258D" w:rsidRDefault="0041254A" w:rsidP="00DD715D">
      <w:pPr>
        <w:pStyle w:val="ListParagraph"/>
        <w:ind w:left="792"/>
        <w:rPr>
          <w:rFonts w:ascii="Arial" w:hAnsi="Arial" w:cs="Arial"/>
          <w:i/>
          <w:sz w:val="20"/>
          <w:szCs w:val="20"/>
        </w:rPr>
      </w:pPr>
      <w:r w:rsidRPr="0029258D">
        <w:rPr>
          <w:rFonts w:ascii="Arial" w:hAnsi="Arial" w:cs="Arial"/>
          <w:i/>
          <w:sz w:val="20"/>
          <w:szCs w:val="20"/>
        </w:rPr>
        <w:t>The proposal to use population data to update the normalisation factor is appropriate and supported.</w:t>
      </w:r>
    </w:p>
    <w:p w14:paraId="688279AC" w14:textId="77777777" w:rsidR="0041254A" w:rsidRPr="0029258D" w:rsidRDefault="0041254A" w:rsidP="007E7817">
      <w:pPr>
        <w:pStyle w:val="ListParagraph"/>
        <w:numPr>
          <w:ilvl w:val="0"/>
          <w:numId w:val="23"/>
        </w:numPr>
        <w:rPr>
          <w:rFonts w:ascii="Arial" w:hAnsi="Arial" w:cs="Arial"/>
          <w:sz w:val="20"/>
          <w:szCs w:val="20"/>
        </w:rPr>
      </w:pPr>
      <w:proofErr w:type="spellStart"/>
      <w:r w:rsidRPr="0029258D">
        <w:rPr>
          <w:rFonts w:ascii="Arial" w:hAnsi="Arial" w:cs="Arial"/>
          <w:sz w:val="20"/>
          <w:szCs w:val="20"/>
        </w:rPr>
        <w:t>nbn</w:t>
      </w:r>
      <w:proofErr w:type="spellEnd"/>
      <w:r w:rsidRPr="0029258D">
        <w:rPr>
          <w:rFonts w:ascii="Arial" w:hAnsi="Arial" w:cs="Arial"/>
          <w:sz w:val="20"/>
          <w:szCs w:val="20"/>
        </w:rPr>
        <w:t xml:space="preserve"> supports the proposed method to update taxes by reference to population change based on the available information. We note that </w:t>
      </w:r>
      <w:proofErr w:type="spellStart"/>
      <w:r w:rsidRPr="0029258D">
        <w:rPr>
          <w:rFonts w:ascii="Arial" w:hAnsi="Arial" w:cs="Arial"/>
          <w:sz w:val="20"/>
          <w:szCs w:val="20"/>
        </w:rPr>
        <w:t>nbn</w:t>
      </w:r>
      <w:proofErr w:type="spellEnd"/>
      <w:r w:rsidRPr="0029258D">
        <w:rPr>
          <w:rFonts w:ascii="Arial" w:hAnsi="Arial" w:cs="Arial"/>
          <w:sz w:val="20"/>
          <w:szCs w:val="20"/>
        </w:rPr>
        <w:t xml:space="preserve"> is required under the satellite class licensing regime to acquire Australia-wide licences for our space stations given the need to generally ensure coverage to Australians where other </w:t>
      </w:r>
      <w:proofErr w:type="spellStart"/>
      <w:r w:rsidRPr="0029258D">
        <w:rPr>
          <w:rFonts w:ascii="Arial" w:hAnsi="Arial" w:cs="Arial"/>
          <w:sz w:val="20"/>
          <w:szCs w:val="20"/>
        </w:rPr>
        <w:t>nbn</w:t>
      </w:r>
      <w:proofErr w:type="spellEnd"/>
      <w:r w:rsidRPr="0029258D">
        <w:rPr>
          <w:rFonts w:ascii="Arial" w:hAnsi="Arial" w:cs="Arial"/>
          <w:sz w:val="20"/>
          <w:szCs w:val="20"/>
        </w:rPr>
        <w:t xml:space="preserve"> technologies are not available. (</w:t>
      </w:r>
      <w:proofErr w:type="spellStart"/>
      <w:r w:rsidRPr="0029258D">
        <w:rPr>
          <w:rFonts w:ascii="Arial" w:hAnsi="Arial" w:cs="Arial"/>
          <w:sz w:val="20"/>
          <w:szCs w:val="20"/>
        </w:rPr>
        <w:t>nbn</w:t>
      </w:r>
      <w:proofErr w:type="spellEnd"/>
      <w:r w:rsidRPr="0029258D">
        <w:rPr>
          <w:rFonts w:ascii="Arial" w:hAnsi="Arial" w:cs="Arial"/>
          <w:sz w:val="20"/>
          <w:szCs w:val="20"/>
        </w:rPr>
        <w:t>)</w:t>
      </w:r>
    </w:p>
    <w:p w14:paraId="7082AEDF" w14:textId="77777777" w:rsidR="0041254A" w:rsidRPr="0029258D" w:rsidRDefault="0041254A" w:rsidP="007E7817">
      <w:pPr>
        <w:pStyle w:val="ListParagraph"/>
        <w:numPr>
          <w:ilvl w:val="0"/>
          <w:numId w:val="23"/>
        </w:numPr>
        <w:rPr>
          <w:rFonts w:ascii="Arial" w:hAnsi="Arial" w:cs="Arial"/>
          <w:sz w:val="20"/>
          <w:szCs w:val="20"/>
        </w:rPr>
      </w:pPr>
      <w:r w:rsidRPr="0029258D">
        <w:rPr>
          <w:rFonts w:ascii="Arial" w:hAnsi="Arial" w:cs="Arial"/>
          <w:sz w:val="20"/>
          <w:szCs w:val="20"/>
        </w:rPr>
        <w:t xml:space="preserve">ANRA supports the removal of CPI and the use of ABS dataset ‘Population estimates by significant urban areas’ to update the tax rates each year where the HPON LAP covers the whole of the licensed city/town. It should be noted that there are some HPON services that only cover a portion (half or third) of the city or town and, therefore, this should be </w:t>
      </w:r>
      <w:proofErr w:type="gramStart"/>
      <w:r w:rsidRPr="0029258D">
        <w:rPr>
          <w:rFonts w:ascii="Arial" w:hAnsi="Arial" w:cs="Arial"/>
          <w:sz w:val="20"/>
          <w:szCs w:val="20"/>
        </w:rPr>
        <w:t>taken into account</w:t>
      </w:r>
      <w:proofErr w:type="gramEnd"/>
      <w:r w:rsidRPr="0029258D">
        <w:rPr>
          <w:rFonts w:ascii="Arial" w:hAnsi="Arial" w:cs="Arial"/>
          <w:sz w:val="20"/>
          <w:szCs w:val="20"/>
        </w:rPr>
        <w:t xml:space="preserve"> when determining the population. (Australian Narrowcast Radio Association)</w:t>
      </w:r>
    </w:p>
    <w:p w14:paraId="607B96B9" w14:textId="77777777" w:rsidR="0041254A" w:rsidRPr="0029258D" w:rsidRDefault="0041254A" w:rsidP="007E7817">
      <w:pPr>
        <w:pStyle w:val="ListParagraph"/>
        <w:numPr>
          <w:ilvl w:val="0"/>
          <w:numId w:val="23"/>
        </w:numPr>
        <w:rPr>
          <w:rFonts w:ascii="Arial" w:hAnsi="Arial" w:cs="Arial"/>
          <w:sz w:val="20"/>
          <w:szCs w:val="20"/>
        </w:rPr>
      </w:pPr>
      <w:r w:rsidRPr="0029258D">
        <w:rPr>
          <w:rFonts w:ascii="Arial" w:hAnsi="Arial" w:cs="Arial"/>
          <w:sz w:val="20"/>
          <w:szCs w:val="20"/>
        </w:rPr>
        <w:t>We support the removal of CPI as noted in ANRA’s submission. (Sports Entertainment Network)</w:t>
      </w:r>
    </w:p>
    <w:p w14:paraId="6975B33C" w14:textId="0B70014C" w:rsidR="0041254A" w:rsidRPr="00CA1352" w:rsidRDefault="0041254A" w:rsidP="00DD1C18">
      <w:pPr>
        <w:pStyle w:val="ListParagraph"/>
        <w:numPr>
          <w:ilvl w:val="0"/>
          <w:numId w:val="23"/>
        </w:numPr>
        <w:rPr>
          <w:rFonts w:cs="Arial"/>
          <w:b/>
          <w:szCs w:val="20"/>
        </w:rPr>
      </w:pPr>
      <w:r w:rsidRPr="00CA1352">
        <w:rPr>
          <w:rFonts w:ascii="Arial" w:hAnsi="Arial" w:cs="Arial"/>
          <w:sz w:val="20"/>
          <w:szCs w:val="20"/>
        </w:rPr>
        <w:t>This is in line with our support of $/MHz/pop fee structures for area-based licensing. Therefore, the SSWG supports this approach. (Communications Alliance – SSWG)</w:t>
      </w:r>
    </w:p>
    <w:p w14:paraId="640C3E2E" w14:textId="77777777" w:rsidR="00CA1352" w:rsidRDefault="00CA1352" w:rsidP="00622290">
      <w:pPr>
        <w:pStyle w:val="ListParagraph"/>
        <w:ind w:left="792"/>
        <w:rPr>
          <w:rFonts w:ascii="Arial" w:hAnsi="Arial" w:cs="Arial"/>
          <w:i/>
          <w:sz w:val="20"/>
          <w:szCs w:val="20"/>
        </w:rPr>
      </w:pPr>
    </w:p>
    <w:p w14:paraId="6369E72D" w14:textId="0B695C72" w:rsidR="0041254A" w:rsidRPr="0029258D" w:rsidRDefault="0041254A" w:rsidP="00622290">
      <w:pPr>
        <w:pStyle w:val="ListParagraph"/>
        <w:ind w:left="792"/>
        <w:rPr>
          <w:rFonts w:ascii="Arial" w:hAnsi="Arial" w:cs="Arial"/>
          <w:i/>
          <w:sz w:val="20"/>
          <w:szCs w:val="20"/>
        </w:rPr>
      </w:pPr>
      <w:r w:rsidRPr="0029258D">
        <w:rPr>
          <w:rFonts w:ascii="Arial" w:hAnsi="Arial" w:cs="Arial"/>
          <w:i/>
          <w:sz w:val="20"/>
          <w:szCs w:val="20"/>
        </w:rPr>
        <w:t>The ACMA should provide greater transparency with regards to exactly how the normalisation factor will be updated.</w:t>
      </w:r>
    </w:p>
    <w:p w14:paraId="70D6A487" w14:textId="76313AD7" w:rsidR="0041254A" w:rsidRPr="0029258D" w:rsidRDefault="0041254A" w:rsidP="007E7817">
      <w:pPr>
        <w:pStyle w:val="ListParagraph"/>
        <w:numPr>
          <w:ilvl w:val="0"/>
          <w:numId w:val="23"/>
        </w:numPr>
        <w:rPr>
          <w:rFonts w:ascii="Arial" w:hAnsi="Arial" w:cs="Arial"/>
          <w:sz w:val="20"/>
          <w:szCs w:val="20"/>
        </w:rPr>
      </w:pPr>
      <w:r w:rsidRPr="0029258D">
        <w:rPr>
          <w:rFonts w:ascii="Arial" w:hAnsi="Arial" w:cs="Arial"/>
          <w:sz w:val="20"/>
          <w:szCs w:val="20"/>
        </w:rPr>
        <w:t>While Optus agrees in principle that the introduction of normalisation factors reflecting local population density and ultimately spectrum demand should help promote the efficient use of spectrum, this support is conditional on the ACMA providing greater transparency over what the normalisation factors will be and how the annual adjustments may be made and communicated. (Optus)</w:t>
      </w:r>
    </w:p>
    <w:p w14:paraId="71605152" w14:textId="77777777" w:rsidR="00CA1352" w:rsidRPr="00DD1C18" w:rsidRDefault="00CA1352" w:rsidP="00CA1352">
      <w:pPr>
        <w:pStyle w:val="ListParagraph"/>
        <w:ind w:left="792"/>
        <w:rPr>
          <w:rFonts w:ascii="Arial" w:hAnsi="Arial" w:cs="Arial"/>
          <w:i/>
          <w:sz w:val="20"/>
          <w:szCs w:val="20"/>
        </w:rPr>
      </w:pPr>
    </w:p>
    <w:p w14:paraId="4E520EFB" w14:textId="77777777" w:rsidR="0041254A" w:rsidRPr="0029258D" w:rsidRDefault="0041254A" w:rsidP="00CA1352">
      <w:pPr>
        <w:pStyle w:val="ListParagraph"/>
        <w:ind w:left="792"/>
        <w:rPr>
          <w:rFonts w:ascii="Arial" w:hAnsi="Arial" w:cs="Arial"/>
          <w:i/>
          <w:sz w:val="20"/>
          <w:szCs w:val="20"/>
        </w:rPr>
      </w:pPr>
      <w:r w:rsidRPr="00DD1C18">
        <w:rPr>
          <w:rFonts w:ascii="Arial" w:hAnsi="Arial" w:cs="Arial"/>
          <w:i/>
          <w:sz w:val="20"/>
          <w:szCs w:val="20"/>
        </w:rPr>
        <w:t>The proposal has the potential to significantly increase fees in high and medium density areas and thus there are strong reservations.</w:t>
      </w:r>
    </w:p>
    <w:p w14:paraId="3D1595B7" w14:textId="30C74881" w:rsidR="0041254A" w:rsidRPr="0029258D" w:rsidRDefault="0041254A" w:rsidP="007E7817">
      <w:pPr>
        <w:pStyle w:val="ListParagraph"/>
        <w:numPr>
          <w:ilvl w:val="0"/>
          <w:numId w:val="25"/>
        </w:numPr>
        <w:rPr>
          <w:rFonts w:ascii="Arial" w:hAnsi="Arial" w:cs="Arial"/>
          <w:sz w:val="20"/>
          <w:szCs w:val="20"/>
        </w:rPr>
      </w:pPr>
      <w:r w:rsidRPr="0029258D">
        <w:rPr>
          <w:rFonts w:ascii="Arial" w:hAnsi="Arial" w:cs="Arial"/>
          <w:sz w:val="20"/>
          <w:szCs w:val="20"/>
        </w:rPr>
        <w:t xml:space="preserve">DB Telecommunications has strong reservations about the proposed changes. Unlike services such as cellular mobile networks servicing the mass consumer market, DB Telecommunications does not believe that the demand for spectrum for land mobile services and </w:t>
      </w:r>
      <w:r w:rsidRPr="0029258D">
        <w:rPr>
          <w:rFonts w:ascii="Arial" w:hAnsi="Arial" w:cs="Arial"/>
          <w:sz w:val="20"/>
          <w:szCs w:val="20"/>
        </w:rPr>
        <w:lastRenderedPageBreak/>
        <w:t>the like can be as easily correlated to changes in population density. Linking licence tax increases to population changes has the potential to significantly increase licence fee costs in high density areas, which could begin to significantly impact the economic viability of these businesses. (DB Telecommunications)</w:t>
      </w:r>
    </w:p>
    <w:p w14:paraId="001D61DB" w14:textId="0E153D99" w:rsidR="0041254A" w:rsidRPr="0029258D" w:rsidRDefault="00B73F73" w:rsidP="007E7817">
      <w:pPr>
        <w:pStyle w:val="ListParagraph"/>
        <w:numPr>
          <w:ilvl w:val="0"/>
          <w:numId w:val="25"/>
        </w:numPr>
        <w:rPr>
          <w:rFonts w:ascii="Arial" w:hAnsi="Arial" w:cs="Arial"/>
          <w:sz w:val="20"/>
          <w:szCs w:val="20"/>
        </w:rPr>
      </w:pPr>
      <w:r w:rsidRPr="0029258D">
        <w:rPr>
          <w:rFonts w:cs="Arial"/>
          <w:bCs/>
          <w:noProof/>
          <w:sz w:val="20"/>
          <w:szCs w:val="20"/>
        </w:rPr>
        <mc:AlternateContent>
          <mc:Choice Requires="wps">
            <w:drawing>
              <wp:anchor distT="45720" distB="45720" distL="114300" distR="114300" simplePos="0" relativeHeight="251658240" behindDoc="0" locked="0" layoutInCell="1" allowOverlap="1" wp14:anchorId="62146F71" wp14:editId="75ADDA2F">
                <wp:simplePos x="0" y="0"/>
                <wp:positionH relativeFrom="column">
                  <wp:posOffset>41910</wp:posOffset>
                </wp:positionH>
                <wp:positionV relativeFrom="paragraph">
                  <wp:posOffset>1720215</wp:posOffset>
                </wp:positionV>
                <wp:extent cx="4762500" cy="2867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867025"/>
                        </a:xfrm>
                        <a:prstGeom prst="rect">
                          <a:avLst/>
                        </a:prstGeom>
                        <a:solidFill>
                          <a:srgbClr val="FFFFFF"/>
                        </a:solidFill>
                        <a:ln w="9525">
                          <a:solidFill>
                            <a:srgbClr val="000000"/>
                          </a:solidFill>
                          <a:miter lim="800000"/>
                          <a:headEnd/>
                          <a:tailEnd/>
                        </a:ln>
                      </wps:spPr>
                      <wps:txbx>
                        <w:txbxContent>
                          <w:p w14:paraId="56D7C8BA" w14:textId="77777777" w:rsidR="00442659" w:rsidRPr="00536EC1" w:rsidRDefault="00442659" w:rsidP="00442659">
                            <w:pPr>
                              <w:pStyle w:val="CommentText"/>
                              <w:rPr>
                                <w:b/>
                                <w:bCs/>
                              </w:rPr>
                            </w:pPr>
                            <w:r w:rsidRPr="00536EC1">
                              <w:rPr>
                                <w:b/>
                                <w:bCs/>
                              </w:rPr>
                              <w:t xml:space="preserve">ACMA response: </w:t>
                            </w:r>
                          </w:p>
                          <w:p w14:paraId="50F52044" w14:textId="47680412" w:rsidR="00A608F9" w:rsidRDefault="00A608F9" w:rsidP="000C7988">
                            <w:pPr>
                              <w:pStyle w:val="CommentText"/>
                            </w:pPr>
                            <w:r>
                              <w:t xml:space="preserve">The ACMA has decided to </w:t>
                            </w:r>
                            <w:r w:rsidR="00B34B51">
                              <w:t xml:space="preserve">implement the proposed approach to updating taxes based on population changes. </w:t>
                            </w:r>
                          </w:p>
                          <w:p w14:paraId="2ADEA8E1" w14:textId="0B548852" w:rsidR="006177F1" w:rsidRDefault="006C31CC" w:rsidP="000C7988">
                            <w:pPr>
                              <w:pStyle w:val="CommentText"/>
                            </w:pPr>
                            <w:r>
                              <w:t>Th</w:t>
                            </w:r>
                            <w:r w:rsidR="00866513">
                              <w:t>e ACMA acknowledges th</w:t>
                            </w:r>
                            <w:r w:rsidR="00C544F4">
                              <w:t xml:space="preserve">e concern that some stakeholder have expressed about potentially higher taxes in some areas under the proposed methodology </w:t>
                            </w:r>
                            <w:r w:rsidR="00FC5147">
                              <w:t xml:space="preserve">over some periods, however, the long-term data </w:t>
                            </w:r>
                            <w:r w:rsidR="00612E7C">
                              <w:t xml:space="preserve">(see figure 7 in section 5) </w:t>
                            </w:r>
                            <w:r w:rsidR="00442659">
                              <w:t>show</w:t>
                            </w:r>
                            <w:r w:rsidR="000C7988">
                              <w:t>s</w:t>
                            </w:r>
                            <w:r w:rsidR="00442659">
                              <w:t xml:space="preserve"> that it is unlikely for the proposed methodology to result in relatively higher taxes</w:t>
                            </w:r>
                            <w:r w:rsidR="00D121DC">
                              <w:t xml:space="preserve"> in the long term</w:t>
                            </w:r>
                            <w:r w:rsidR="00442659">
                              <w:t>.</w:t>
                            </w:r>
                            <w:r w:rsidR="00D121DC">
                              <w:t xml:space="preserve"> </w:t>
                            </w:r>
                            <w:r w:rsidR="00442659">
                              <w:t xml:space="preserve">The ACMA </w:t>
                            </w:r>
                            <w:r w:rsidR="00304351">
                              <w:t xml:space="preserve">will also provide </w:t>
                            </w:r>
                            <w:r w:rsidR="008E7A7F">
                              <w:t xml:space="preserve">more information on the approach </w:t>
                            </w:r>
                            <w:r w:rsidR="00DA3506">
                              <w:t xml:space="preserve">in a </w:t>
                            </w:r>
                            <w:r w:rsidR="008E7A7F">
                              <w:t>consult</w:t>
                            </w:r>
                            <w:r w:rsidR="00DA3506">
                              <w:t xml:space="preserve">ation paper </w:t>
                            </w:r>
                            <w:r w:rsidR="007F3DCF">
                              <w:t xml:space="preserve">when </w:t>
                            </w:r>
                            <w:r w:rsidR="008E7A7F">
                              <w:t>implementing the first priced update based on the new method</w:t>
                            </w:r>
                            <w:r w:rsidR="00DA3506">
                              <w:t xml:space="preserve">. </w:t>
                            </w:r>
                          </w:p>
                          <w:p w14:paraId="4E2B3AB2" w14:textId="5BF79306" w:rsidR="00D121DC" w:rsidRDefault="00D121DC" w:rsidP="000C7988">
                            <w:pPr>
                              <w:pStyle w:val="CommentText"/>
                            </w:pPr>
                            <w:r>
                              <w:t xml:space="preserve">If it becomes apparent that </w:t>
                            </w:r>
                            <w:r w:rsidR="00F67BF5">
                              <w:t xml:space="preserve">the new methodology is consistent producing higher taxes, then the ACMA may relook at the </w:t>
                            </w:r>
                            <w:r w:rsidR="00A608F9">
                              <w:t xml:space="preserve">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46F71" id="_x0000_s1027" type="#_x0000_t202" style="position:absolute;left:0;text-align:left;margin-left:3.3pt;margin-top:135.45pt;width:375pt;height:22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QuEQIAACc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9ny0Uxz9HE0VasFsu8mKcYrHz6bp0PbyV0JAoVddjVBM+ODz7EdFj55BKjedBK7JTWSXH7&#10;eqsdOTKcgF06I/pPbtqQvqI3c4z9d4g8nT9BdCrgKGvVVXR1cWJl5O2NEWnQAlP6LGPK2oxERu7O&#10;LIahHogSI8uR1xrECZl1cJ5c3DQUWnDfKelxaivqvx2Yk5Todwa7czOdzeKYJ2U2XxaouGtLfW1h&#10;hiNURQMlZ3Eb0mpEBgzcYRcblfh9zmRMGacx0T5uThz3az15Pe/35gcAAAD//wMAUEsDBBQABgAI&#10;AAAAIQDu3SWe3wAAAAkBAAAPAAAAZHJzL2Rvd25yZXYueG1sTI9BT8MwDIXvSPyHyEhcEEspo91K&#10;0wkhgeAG2wTXrPHaisYpSdaVf493gpvt9/T8vXI12V6M6EPnSMHNLAGBVDvTUaNgu3m6XoAIUZPR&#10;vSNU8IMBVtX5WakL4470juM6NoJDKBRaQRvjUEgZ6hatDjM3ILG2d97qyKtvpPH6yOG2l2mSZNLq&#10;jvhDqwd8bLH+Wh+sgsX8ZfwMr7dvH3W275fxKh+fv71SlxfTwz2IiFP8M8MJn9GhYqadO5AJoleQ&#10;ZWxUkObJEgTr+d3psuMhTecgq1L+b1D9AgAA//8DAFBLAQItABQABgAIAAAAIQC2gziS/gAAAOEB&#10;AAATAAAAAAAAAAAAAAAAAAAAAABbQ29udGVudF9UeXBlc10ueG1sUEsBAi0AFAAGAAgAAAAhADj9&#10;If/WAAAAlAEAAAsAAAAAAAAAAAAAAAAALwEAAF9yZWxzLy5yZWxzUEsBAi0AFAAGAAgAAAAhAH3y&#10;RC4RAgAAJwQAAA4AAAAAAAAAAAAAAAAALgIAAGRycy9lMm9Eb2MueG1sUEsBAi0AFAAGAAgAAAAh&#10;AO7dJZ7fAAAACQEAAA8AAAAAAAAAAAAAAAAAawQAAGRycy9kb3ducmV2LnhtbFBLBQYAAAAABAAE&#10;APMAAAB3BQAAAAA=&#10;">
                <v:textbox>
                  <w:txbxContent>
                    <w:p w14:paraId="56D7C8BA" w14:textId="77777777" w:rsidR="00442659" w:rsidRPr="00536EC1" w:rsidRDefault="00442659" w:rsidP="00442659">
                      <w:pPr>
                        <w:pStyle w:val="CommentText"/>
                        <w:rPr>
                          <w:b/>
                          <w:bCs/>
                        </w:rPr>
                      </w:pPr>
                      <w:r w:rsidRPr="00536EC1">
                        <w:rPr>
                          <w:b/>
                          <w:bCs/>
                        </w:rPr>
                        <w:t xml:space="preserve">ACMA response: </w:t>
                      </w:r>
                    </w:p>
                    <w:p w14:paraId="50F52044" w14:textId="47680412" w:rsidR="00A608F9" w:rsidRDefault="00A608F9" w:rsidP="000C7988">
                      <w:pPr>
                        <w:pStyle w:val="CommentText"/>
                      </w:pPr>
                      <w:r>
                        <w:t xml:space="preserve">The ACMA has decided to </w:t>
                      </w:r>
                      <w:r w:rsidR="00B34B51">
                        <w:t xml:space="preserve">implement the proposed approach to updating taxes based on population changes. </w:t>
                      </w:r>
                    </w:p>
                    <w:p w14:paraId="2ADEA8E1" w14:textId="0B548852" w:rsidR="006177F1" w:rsidRDefault="006C31CC" w:rsidP="000C7988">
                      <w:pPr>
                        <w:pStyle w:val="CommentText"/>
                      </w:pPr>
                      <w:r>
                        <w:t>Th</w:t>
                      </w:r>
                      <w:r w:rsidR="00866513">
                        <w:t>e ACMA acknowledges th</w:t>
                      </w:r>
                      <w:r w:rsidR="00C544F4">
                        <w:t xml:space="preserve">e concern that some stakeholder have expressed about potentially higher taxes in some areas under the proposed methodology </w:t>
                      </w:r>
                      <w:r w:rsidR="00FC5147">
                        <w:t xml:space="preserve">over some periods, however, the long-term data </w:t>
                      </w:r>
                      <w:r w:rsidR="00612E7C">
                        <w:t xml:space="preserve">(see figure 7 in section 5) </w:t>
                      </w:r>
                      <w:r w:rsidR="00442659">
                        <w:t>show</w:t>
                      </w:r>
                      <w:r w:rsidR="000C7988">
                        <w:t>s</w:t>
                      </w:r>
                      <w:r w:rsidR="00442659">
                        <w:t xml:space="preserve"> that it is unlikely for the proposed methodology to result in relatively higher taxes</w:t>
                      </w:r>
                      <w:r w:rsidR="00D121DC">
                        <w:t xml:space="preserve"> in the long term</w:t>
                      </w:r>
                      <w:r w:rsidR="00442659">
                        <w:t>.</w:t>
                      </w:r>
                      <w:r w:rsidR="00D121DC">
                        <w:t xml:space="preserve"> </w:t>
                      </w:r>
                      <w:r w:rsidR="00442659">
                        <w:t xml:space="preserve">The ACMA </w:t>
                      </w:r>
                      <w:r w:rsidR="00304351">
                        <w:t xml:space="preserve">will also provide </w:t>
                      </w:r>
                      <w:r w:rsidR="008E7A7F">
                        <w:t xml:space="preserve">more information on the approach </w:t>
                      </w:r>
                      <w:r w:rsidR="00DA3506">
                        <w:t xml:space="preserve">in a </w:t>
                      </w:r>
                      <w:r w:rsidR="008E7A7F">
                        <w:t>consult</w:t>
                      </w:r>
                      <w:r w:rsidR="00DA3506">
                        <w:t xml:space="preserve">ation paper </w:t>
                      </w:r>
                      <w:r w:rsidR="007F3DCF">
                        <w:t xml:space="preserve">when </w:t>
                      </w:r>
                      <w:r w:rsidR="008E7A7F">
                        <w:t>implementing the first priced update based on the new method</w:t>
                      </w:r>
                      <w:r w:rsidR="00DA3506">
                        <w:t xml:space="preserve">. </w:t>
                      </w:r>
                    </w:p>
                    <w:p w14:paraId="4E2B3AB2" w14:textId="5BF79306" w:rsidR="00D121DC" w:rsidRDefault="00D121DC" w:rsidP="000C7988">
                      <w:pPr>
                        <w:pStyle w:val="CommentText"/>
                      </w:pPr>
                      <w:r>
                        <w:t xml:space="preserve">If it becomes apparent that </w:t>
                      </w:r>
                      <w:r w:rsidR="00F67BF5">
                        <w:t xml:space="preserve">the new methodology is consistent producing higher taxes, then the ACMA may relook at the </w:t>
                      </w:r>
                      <w:r w:rsidR="00A608F9">
                        <w:t xml:space="preserve">approach. </w:t>
                      </w:r>
                    </w:p>
                  </w:txbxContent>
                </v:textbox>
                <w10:wrap type="square"/>
              </v:shape>
            </w:pict>
          </mc:Fallback>
        </mc:AlternateContent>
      </w:r>
      <w:r w:rsidR="0041254A" w:rsidRPr="0029258D">
        <w:rPr>
          <w:rFonts w:ascii="Arial" w:hAnsi="Arial" w:cs="Arial"/>
          <w:sz w:val="20"/>
          <w:szCs w:val="20"/>
        </w:rPr>
        <w:t>We have serious concerns around this proposal. It would almost seem as though the ACMA have decided that after several years of small increases in CPI factors that there needs to be an alternate measuring methodology to give greater income from the spectrum. There are also serious concerns regarding the fact that proposed licence fee increases will be based on reference to population density which is not a factor in any/many other relevant calculations. The CPI reference is utilised in almost every commercial contract and is a reference that is easily available. (Australian Radio Communications Industry Association)</w:t>
      </w:r>
    </w:p>
    <w:p w14:paraId="6B600616" w14:textId="77777777" w:rsidR="00733A68" w:rsidRPr="003E3100" w:rsidRDefault="00733A68" w:rsidP="00A95986"/>
    <w:p w14:paraId="604C043D" w14:textId="56EE4CD4" w:rsidR="0041254A" w:rsidRPr="0041254A" w:rsidRDefault="0041254A" w:rsidP="0041254A">
      <w:pPr>
        <w:pStyle w:val="Heading3"/>
      </w:pPr>
      <w:bookmarkStart w:id="65" w:name="_Toc99632516"/>
      <w:bookmarkStart w:id="66" w:name="_Toc109035849"/>
      <w:r>
        <w:t>Expand the Perth and Adelaide medium density areas</w:t>
      </w:r>
      <w:bookmarkEnd w:id="65"/>
      <w:bookmarkEnd w:id="66"/>
    </w:p>
    <w:p w14:paraId="6E71B0DC" w14:textId="38AFF324" w:rsidR="0041254A" w:rsidRPr="00286B8C" w:rsidRDefault="0041254A" w:rsidP="0041254A">
      <w:pPr>
        <w:contextualSpacing/>
        <w:rPr>
          <w:rFonts w:cs="Arial"/>
          <w:bCs/>
        </w:rPr>
      </w:pPr>
      <w:r w:rsidRPr="00286B8C">
        <w:rPr>
          <w:rFonts w:cs="Arial"/>
          <w:bCs/>
        </w:rPr>
        <w:t xml:space="preserve">The ACMA received </w:t>
      </w:r>
      <w:r>
        <w:rPr>
          <w:rFonts w:cs="Arial"/>
          <w:bCs/>
        </w:rPr>
        <w:t xml:space="preserve">five submissions that commented on the proposal to expand the Perth and Adelaide medium density areas, one of which was supportive and four of which were neutral. </w:t>
      </w:r>
    </w:p>
    <w:p w14:paraId="1A9AD146" w14:textId="77777777" w:rsidR="0041254A" w:rsidRPr="00B73F73" w:rsidRDefault="0041254A" w:rsidP="009116CD">
      <w:pPr>
        <w:pStyle w:val="ListParagraph"/>
        <w:ind w:left="792"/>
        <w:rPr>
          <w:rFonts w:ascii="Arial" w:hAnsi="Arial" w:cs="Arial"/>
          <w:i/>
          <w:sz w:val="20"/>
          <w:szCs w:val="20"/>
        </w:rPr>
      </w:pPr>
      <w:r w:rsidRPr="00B73F73">
        <w:rPr>
          <w:rFonts w:ascii="Arial" w:hAnsi="Arial" w:cs="Arial"/>
          <w:i/>
          <w:sz w:val="20"/>
          <w:szCs w:val="20"/>
        </w:rPr>
        <w:t>The proposal to expand Perth and Adelaide medium density areas is appropriate and supported.</w:t>
      </w:r>
    </w:p>
    <w:p w14:paraId="405B2CE4" w14:textId="77777777" w:rsidR="0041254A" w:rsidRPr="00B73F73" w:rsidRDefault="0041254A" w:rsidP="007E7817">
      <w:pPr>
        <w:pStyle w:val="ListParagraph"/>
        <w:numPr>
          <w:ilvl w:val="0"/>
          <w:numId w:val="23"/>
        </w:numPr>
        <w:rPr>
          <w:rFonts w:ascii="Arial" w:hAnsi="Arial" w:cs="Arial"/>
          <w:i/>
          <w:sz w:val="20"/>
          <w:szCs w:val="20"/>
        </w:rPr>
      </w:pPr>
      <w:proofErr w:type="spellStart"/>
      <w:r w:rsidRPr="00B73F73">
        <w:rPr>
          <w:rFonts w:ascii="Arial" w:hAnsi="Arial" w:cs="Arial"/>
          <w:sz w:val="20"/>
          <w:szCs w:val="20"/>
        </w:rPr>
        <w:t>nbn</w:t>
      </w:r>
      <w:proofErr w:type="spellEnd"/>
      <w:r w:rsidRPr="00B73F73">
        <w:rPr>
          <w:rFonts w:ascii="Arial" w:hAnsi="Arial" w:cs="Arial"/>
          <w:sz w:val="20"/>
          <w:szCs w:val="20"/>
        </w:rPr>
        <w:t xml:space="preserve"> supports the proposed density area framework, density area definitions and changes to the Perth and Adelaide medium-density areas based on the available information. We note that </w:t>
      </w:r>
      <w:proofErr w:type="spellStart"/>
      <w:r w:rsidRPr="00B73F73">
        <w:rPr>
          <w:rFonts w:ascii="Arial" w:hAnsi="Arial" w:cs="Arial"/>
          <w:sz w:val="20"/>
          <w:szCs w:val="20"/>
        </w:rPr>
        <w:t>nbn’s</w:t>
      </w:r>
      <w:proofErr w:type="spellEnd"/>
      <w:r w:rsidRPr="00B73F73">
        <w:rPr>
          <w:rFonts w:ascii="Arial" w:hAnsi="Arial" w:cs="Arial"/>
          <w:sz w:val="20"/>
          <w:szCs w:val="20"/>
        </w:rPr>
        <w:t xml:space="preserve"> fixed wireless network coverage areas fall within the existing geographic boundaries for Perth and Adelaide </w:t>
      </w:r>
      <w:proofErr w:type="gramStart"/>
      <w:r w:rsidRPr="00B73F73">
        <w:rPr>
          <w:rFonts w:ascii="Arial" w:hAnsi="Arial" w:cs="Arial"/>
          <w:sz w:val="20"/>
          <w:szCs w:val="20"/>
        </w:rPr>
        <w:t>and also</w:t>
      </w:r>
      <w:proofErr w:type="gramEnd"/>
      <w:r w:rsidRPr="00B73F73">
        <w:rPr>
          <w:rFonts w:ascii="Arial" w:hAnsi="Arial" w:cs="Arial"/>
          <w:sz w:val="20"/>
          <w:szCs w:val="20"/>
        </w:rPr>
        <w:t xml:space="preserve"> the adjacent areas proposed to be included in the larger geographic boundaries for Perth and Adelaide. (</w:t>
      </w:r>
      <w:proofErr w:type="spellStart"/>
      <w:r w:rsidRPr="00B73F73">
        <w:rPr>
          <w:rFonts w:ascii="Arial" w:hAnsi="Arial" w:cs="Arial"/>
          <w:sz w:val="20"/>
          <w:szCs w:val="20"/>
        </w:rPr>
        <w:t>nbn</w:t>
      </w:r>
      <w:proofErr w:type="spellEnd"/>
      <w:r w:rsidRPr="00B73F73">
        <w:rPr>
          <w:rFonts w:ascii="Arial" w:hAnsi="Arial" w:cs="Arial"/>
          <w:sz w:val="20"/>
          <w:szCs w:val="20"/>
        </w:rPr>
        <w:t>)</w:t>
      </w:r>
    </w:p>
    <w:p w14:paraId="349F3D33" w14:textId="77777777" w:rsidR="00CA1352" w:rsidRPr="00923E63" w:rsidRDefault="00CA1352" w:rsidP="00DD1C18">
      <w:pPr>
        <w:rPr>
          <w:rFonts w:cs="Arial"/>
          <w:i/>
          <w:szCs w:val="20"/>
        </w:rPr>
      </w:pPr>
    </w:p>
    <w:p w14:paraId="218E0A2A" w14:textId="77777777" w:rsidR="0041254A" w:rsidRPr="00B73F73" w:rsidRDefault="0041254A" w:rsidP="00B5399B">
      <w:pPr>
        <w:pStyle w:val="ListParagraph"/>
        <w:ind w:left="792"/>
        <w:rPr>
          <w:rFonts w:ascii="Arial" w:hAnsi="Arial" w:cs="Arial"/>
          <w:i/>
          <w:sz w:val="20"/>
          <w:szCs w:val="20"/>
        </w:rPr>
      </w:pPr>
      <w:r w:rsidRPr="00B73F73">
        <w:rPr>
          <w:rFonts w:ascii="Arial" w:hAnsi="Arial" w:cs="Arial"/>
          <w:i/>
          <w:sz w:val="20"/>
          <w:szCs w:val="20"/>
        </w:rPr>
        <w:lastRenderedPageBreak/>
        <w:t>Though the reasoning and framework for the proposal is understood, the ACMA should consider the implementation to minimise the shock and provide greater clarity around density area classifications.</w:t>
      </w:r>
    </w:p>
    <w:p w14:paraId="6128B9AF" w14:textId="77777777" w:rsidR="0041254A" w:rsidRPr="00B73F73" w:rsidRDefault="0041254A" w:rsidP="007E7817">
      <w:pPr>
        <w:pStyle w:val="ListParagraph"/>
        <w:numPr>
          <w:ilvl w:val="0"/>
          <w:numId w:val="23"/>
        </w:numPr>
        <w:rPr>
          <w:rFonts w:ascii="Arial" w:hAnsi="Arial" w:cs="Arial"/>
          <w:iCs/>
          <w:sz w:val="20"/>
          <w:szCs w:val="20"/>
        </w:rPr>
      </w:pPr>
      <w:r w:rsidRPr="00B73F73">
        <w:rPr>
          <w:rFonts w:ascii="Arial" w:hAnsi="Arial" w:cs="Arial"/>
          <w:sz w:val="20"/>
          <w:szCs w:val="20"/>
        </w:rPr>
        <w:t xml:space="preserve">DB Telecommunications does not have any major objections to this proposal, but </w:t>
      </w:r>
      <w:proofErr w:type="gramStart"/>
      <w:r w:rsidRPr="00B73F73">
        <w:rPr>
          <w:rFonts w:ascii="Arial" w:hAnsi="Arial" w:cs="Arial"/>
          <w:sz w:val="20"/>
          <w:szCs w:val="20"/>
        </w:rPr>
        <w:t>in order to</w:t>
      </w:r>
      <w:proofErr w:type="gramEnd"/>
      <w:r w:rsidRPr="00B73F73">
        <w:rPr>
          <w:rFonts w:ascii="Arial" w:hAnsi="Arial" w:cs="Arial"/>
          <w:sz w:val="20"/>
          <w:szCs w:val="20"/>
        </w:rPr>
        <w:t xml:space="preserve"> minimise the economic shock of the changes on the affected licensees, would recommend that the changes be phased in over a 2–3-year period. (DB Telecommunications)</w:t>
      </w:r>
    </w:p>
    <w:p w14:paraId="726852E7" w14:textId="77777777" w:rsidR="0041254A" w:rsidRPr="00B73F73" w:rsidRDefault="0041254A" w:rsidP="007E7817">
      <w:pPr>
        <w:pStyle w:val="ListParagraph"/>
        <w:numPr>
          <w:ilvl w:val="0"/>
          <w:numId w:val="23"/>
        </w:numPr>
        <w:rPr>
          <w:rFonts w:ascii="Arial" w:hAnsi="Arial" w:cs="Arial"/>
          <w:iCs/>
          <w:sz w:val="20"/>
          <w:szCs w:val="20"/>
        </w:rPr>
      </w:pPr>
      <w:r w:rsidRPr="00B73F73">
        <w:rPr>
          <w:rFonts w:ascii="Arial" w:hAnsi="Arial" w:cs="Arial"/>
          <w:iCs/>
          <w:sz w:val="20"/>
          <w:szCs w:val="20"/>
        </w:rPr>
        <w:t>Optus acknowledges that the realignment of the geographic boundaries more accurately reflect the growth of Adelaide and Perth and results in a more up to date geographic area classification for these cities. Optus welcomes the publication of the population and assignment density metrics that the ACMA intends to use to classify geographic areas. However, Optus would welcome further information on the source of these definitions. (Optus)</w:t>
      </w:r>
    </w:p>
    <w:p w14:paraId="27414A13" w14:textId="77777777" w:rsidR="0041254A" w:rsidRPr="00B73F73" w:rsidRDefault="0041254A" w:rsidP="007E7817">
      <w:pPr>
        <w:pStyle w:val="ListParagraph"/>
        <w:numPr>
          <w:ilvl w:val="0"/>
          <w:numId w:val="23"/>
        </w:numPr>
        <w:rPr>
          <w:rFonts w:ascii="Arial" w:hAnsi="Arial" w:cs="Arial"/>
          <w:iCs/>
          <w:sz w:val="20"/>
          <w:szCs w:val="20"/>
        </w:rPr>
      </w:pPr>
      <w:r w:rsidRPr="00B73F73">
        <w:rPr>
          <w:rFonts w:ascii="Arial" w:hAnsi="Arial" w:cs="Arial"/>
          <w:iCs/>
          <w:sz w:val="20"/>
          <w:szCs w:val="20"/>
        </w:rPr>
        <w:t xml:space="preserve">Although we do understand the logic behind this proposal, we feel that it is important that we at least look towards the longer-term impacts on the existing licensees that have services in the affected area. We would suggest that if the change to area boundaries is to go ahead, then the fee increase for existing licensees should be phased in over a </w:t>
      </w:r>
      <w:proofErr w:type="gramStart"/>
      <w:r w:rsidRPr="00B73F73">
        <w:rPr>
          <w:rFonts w:ascii="Arial" w:hAnsi="Arial" w:cs="Arial"/>
          <w:iCs/>
          <w:sz w:val="20"/>
          <w:szCs w:val="20"/>
        </w:rPr>
        <w:t>five year</w:t>
      </w:r>
      <w:proofErr w:type="gramEnd"/>
      <w:r w:rsidRPr="00B73F73">
        <w:rPr>
          <w:rFonts w:ascii="Arial" w:hAnsi="Arial" w:cs="Arial"/>
          <w:iCs/>
          <w:sz w:val="20"/>
          <w:szCs w:val="20"/>
        </w:rPr>
        <w:t xml:space="preserve"> period with equal increases each renewal over that time. (Australian Radio Communications Industry Association)</w:t>
      </w:r>
    </w:p>
    <w:p w14:paraId="7FE911CC" w14:textId="351B9E68" w:rsidR="0041254A" w:rsidRPr="00A63D5F" w:rsidRDefault="0041254A" w:rsidP="00B5399B">
      <w:pPr>
        <w:pStyle w:val="ListParagraph"/>
        <w:ind w:left="792"/>
        <w:rPr>
          <w:rFonts w:ascii="Arial" w:hAnsi="Arial" w:cs="Arial"/>
          <w:i/>
          <w:sz w:val="20"/>
          <w:szCs w:val="20"/>
        </w:rPr>
      </w:pPr>
      <w:r w:rsidRPr="00A63D5F">
        <w:rPr>
          <w:rFonts w:ascii="Arial" w:hAnsi="Arial" w:cs="Arial"/>
          <w:i/>
          <w:sz w:val="20"/>
          <w:szCs w:val="20"/>
        </w:rPr>
        <w:t>Density areas as a concept are a course measure and a more granular approach should be utilised.</w:t>
      </w:r>
    </w:p>
    <w:p w14:paraId="2B5CAEAE" w14:textId="78898047" w:rsidR="0041254A" w:rsidRPr="00A63D5F" w:rsidRDefault="00A63D5F" w:rsidP="007E7817">
      <w:pPr>
        <w:pStyle w:val="ListParagraph"/>
        <w:numPr>
          <w:ilvl w:val="0"/>
          <w:numId w:val="24"/>
        </w:numPr>
        <w:rPr>
          <w:rFonts w:ascii="Arial" w:hAnsi="Arial" w:cs="Arial"/>
          <w:sz w:val="20"/>
          <w:szCs w:val="20"/>
        </w:rPr>
      </w:pPr>
      <w:r w:rsidRPr="006177F1">
        <w:rPr>
          <w:rFonts w:cs="Arial"/>
          <w:bCs/>
          <w:noProof/>
        </w:rPr>
        <mc:AlternateContent>
          <mc:Choice Requires="wps">
            <w:drawing>
              <wp:anchor distT="45720" distB="45720" distL="114300" distR="114300" simplePos="0" relativeHeight="251658241" behindDoc="0" locked="0" layoutInCell="1" allowOverlap="1" wp14:anchorId="06175603" wp14:editId="6D7BB613">
                <wp:simplePos x="0" y="0"/>
                <wp:positionH relativeFrom="margin">
                  <wp:posOffset>32385</wp:posOffset>
                </wp:positionH>
                <wp:positionV relativeFrom="paragraph">
                  <wp:posOffset>1148080</wp:posOffset>
                </wp:positionV>
                <wp:extent cx="4762500" cy="25527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552700"/>
                        </a:xfrm>
                        <a:prstGeom prst="rect">
                          <a:avLst/>
                        </a:prstGeom>
                        <a:solidFill>
                          <a:srgbClr val="FFFFFF"/>
                        </a:solidFill>
                        <a:ln w="9525">
                          <a:solidFill>
                            <a:srgbClr val="000000"/>
                          </a:solidFill>
                          <a:miter lim="800000"/>
                          <a:headEnd/>
                          <a:tailEnd/>
                        </a:ln>
                      </wps:spPr>
                      <wps:txbx>
                        <w:txbxContent>
                          <w:p w14:paraId="15CE446A" w14:textId="77777777" w:rsidR="00661E56" w:rsidRPr="00536EC1" w:rsidRDefault="00661E56" w:rsidP="00661E56">
                            <w:pPr>
                              <w:pStyle w:val="CommentText"/>
                              <w:rPr>
                                <w:b/>
                                <w:bCs/>
                              </w:rPr>
                            </w:pPr>
                            <w:r w:rsidRPr="00536EC1">
                              <w:rPr>
                                <w:b/>
                                <w:bCs/>
                              </w:rPr>
                              <w:t xml:space="preserve">ACMA response: </w:t>
                            </w:r>
                          </w:p>
                          <w:p w14:paraId="54C626A2" w14:textId="126B7533" w:rsidR="00661E56" w:rsidRDefault="00661E56" w:rsidP="00661E56">
                            <w:r>
                              <w:t xml:space="preserve">The ACMA </w:t>
                            </w:r>
                            <w:r w:rsidR="00423EBA">
                              <w:t xml:space="preserve">acknowledges that the tax increase </w:t>
                            </w:r>
                            <w:r w:rsidR="00463FFC">
                              <w:t xml:space="preserve">on impacted licensees as a result of the </w:t>
                            </w:r>
                            <w:r w:rsidR="00946982">
                              <w:t xml:space="preserve">Perth and Adelaide </w:t>
                            </w:r>
                            <w:r w:rsidR="00463FFC">
                              <w:t>boundary change is large</w:t>
                            </w:r>
                            <w:r w:rsidR="008E6C85">
                              <w:t xml:space="preserve"> (a jump from low density area prices to medium density area prices). Consequent</w:t>
                            </w:r>
                            <w:r w:rsidR="00AC49DE">
                              <w:t xml:space="preserve"> we have decided </w:t>
                            </w:r>
                            <w:r>
                              <w:t>to delay the implementation of this change by 3 years so that affected licensees have some time to absorb the higher cost of licences.</w:t>
                            </w:r>
                          </w:p>
                          <w:p w14:paraId="453E570F" w14:textId="56395559" w:rsidR="000A05C5" w:rsidRDefault="000A05C5" w:rsidP="00661E56">
                            <w:r>
                              <w:t xml:space="preserve">The ACMA will flag this change in the </w:t>
                            </w:r>
                            <w:hyperlink r:id="rId123" w:history="1">
                              <w:r w:rsidR="004B462A" w:rsidRPr="00224B28">
                                <w:rPr>
                                  <w:rStyle w:val="Hyperlink"/>
                                </w:rPr>
                                <w:t>five-year spectrum outlook</w:t>
                              </w:r>
                            </w:hyperlink>
                            <w:r w:rsidR="004B462A">
                              <w:t xml:space="preserve"> (</w:t>
                            </w:r>
                            <w:r w:rsidR="004B462A" w:rsidRPr="00674353">
                              <w:t>FYSO</w:t>
                            </w:r>
                            <w:r w:rsidR="004B462A">
                              <w:t>)</w:t>
                            </w:r>
                            <w:r w:rsidR="004B462A" w:rsidRPr="00674353">
                              <w:t xml:space="preserve"> </w:t>
                            </w:r>
                            <w:r w:rsidR="007A783B">
                              <w:t>so that stakeholders remain aware in the lead up to this change in mid</w:t>
                            </w:r>
                            <w:r w:rsidR="0014503C">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5603" id="_x0000_s1028" type="#_x0000_t202" style="position:absolute;left:0;text-align:left;margin-left:2.55pt;margin-top:90.4pt;width:375pt;height:20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JuEgIAACcEAAAOAAAAZHJzL2Uyb0RvYy54bWysU9tu2zAMfR+wfxD0vtgx4qY14hRdugwD&#10;ugvQ7QNkWbaFyaImKbGzrx8lu2l2exmmB4EUqUPykNzcjr0iR2GdBF3S5SKlRGgOtdRtSb983r+6&#10;psR5pmumQIuSnoSjt9uXLzaDKUQGHahaWIIg2hWDKWnnvSmSxPFO9MwtwAiNxgZszzyqtk1qywZE&#10;71WSpelVMoCtjQUunMPX+8lItxG/aQT3H5vGCU9USTE3H28b7yrcyXbDitYy00k+p8H+IYueSY1B&#10;z1D3zDNysPI3qF5yCw4av+DQJ9A0kotYA1azTH+p5rFjRsRakBxnzjS5/wfLPxwfzSdL/PgaRmxg&#10;LMKZB+BfHdGw65huxZ21MHSC1Rh4GShLBuOK+Wug2hUugFTDe6ixyezgIQKNje0DK1gnQXRswOlM&#10;uhg94fi4Wl9leYomjrYsz7M1KiEGK56+G+v8WwE9CUJJLXY1wrPjg/OT65NLiOZAyXovlYqKbaud&#10;suTIcAL28czoP7kpTYaS3uRZPjHwV4g0nj9B9NLjKCvZl/T67MSKwNsbXcdB80yqScbqlJ6JDNxN&#10;LPqxGomskYcQIPBaQX1CZi1Mk4ubhkIH9jslA05tSd23A7OCEvVOY3dulqtVGPOorPJ1hoq9tFSX&#10;FqY5QpXUUzKJOx9XI/Cm4Q672MjI73Mmc8o4jbFD8+aEcb/Uo9fzfm9/AAAA//8DAFBLAwQUAAYA&#10;CAAAACEAKIlUrt4AAAAJAQAADwAAAGRycy9kb3ducmV2LnhtbEyPwU7DMBBE70j8g7VIXBB1Wmhr&#10;QpwKIYHgBm0FVzfZJhH2OthuGv6e7QmOO280O1OsRmfFgCF2njRMJxkIpMrXHTUatpunawUiJkO1&#10;sZ5Qww9GWJXnZ4XJa3+kdxzWqREcQjE3GtqU+lzKWLXoTJz4HonZ3gdnEp+hkXUwRw53Vs6ybCGd&#10;6Yg/tKbHxxarr/XBaVC3L8NnfL15+6gWe3uXrpbD83fQ+vJifLgHkXBMf2Y41efqUHKnnT9QHYXV&#10;MJ+ykWWV8QLmy/lJ2TFQMwWyLOT/BeUvAAAA//8DAFBLAQItABQABgAIAAAAIQC2gziS/gAAAOEB&#10;AAATAAAAAAAAAAAAAAAAAAAAAABbQ29udGVudF9UeXBlc10ueG1sUEsBAi0AFAAGAAgAAAAhADj9&#10;If/WAAAAlAEAAAsAAAAAAAAAAAAAAAAALwEAAF9yZWxzLy5yZWxzUEsBAi0AFAAGAAgAAAAhAJJf&#10;Um4SAgAAJwQAAA4AAAAAAAAAAAAAAAAALgIAAGRycy9lMm9Eb2MueG1sUEsBAi0AFAAGAAgAAAAh&#10;ACiJVK7eAAAACQEAAA8AAAAAAAAAAAAAAAAAbAQAAGRycy9kb3ducmV2LnhtbFBLBQYAAAAABAAE&#10;APMAAAB3BQAAAAA=&#10;">
                <v:textbox>
                  <w:txbxContent>
                    <w:p w14:paraId="15CE446A" w14:textId="77777777" w:rsidR="00661E56" w:rsidRPr="00536EC1" w:rsidRDefault="00661E56" w:rsidP="00661E56">
                      <w:pPr>
                        <w:pStyle w:val="CommentText"/>
                        <w:rPr>
                          <w:b/>
                          <w:bCs/>
                        </w:rPr>
                      </w:pPr>
                      <w:r w:rsidRPr="00536EC1">
                        <w:rPr>
                          <w:b/>
                          <w:bCs/>
                        </w:rPr>
                        <w:t xml:space="preserve">ACMA response: </w:t>
                      </w:r>
                    </w:p>
                    <w:p w14:paraId="54C626A2" w14:textId="126B7533" w:rsidR="00661E56" w:rsidRDefault="00661E56" w:rsidP="00661E56">
                      <w:r>
                        <w:t xml:space="preserve">The ACMA </w:t>
                      </w:r>
                      <w:r w:rsidR="00423EBA">
                        <w:t xml:space="preserve">acknowledges that the tax increase </w:t>
                      </w:r>
                      <w:r w:rsidR="00463FFC">
                        <w:t xml:space="preserve">on impacted licensees as a result of the </w:t>
                      </w:r>
                      <w:r w:rsidR="00946982">
                        <w:t xml:space="preserve">Perth and Adelaide </w:t>
                      </w:r>
                      <w:r w:rsidR="00463FFC">
                        <w:t>boundary change is large</w:t>
                      </w:r>
                      <w:r w:rsidR="008E6C85">
                        <w:t xml:space="preserve"> (a jump from low density area prices to medium density area prices). Consequent</w:t>
                      </w:r>
                      <w:r w:rsidR="00AC49DE">
                        <w:t xml:space="preserve"> we have decided </w:t>
                      </w:r>
                      <w:r>
                        <w:t>to delay the implementation of this change by 3 years so that affected licensees have some time to absorb the higher cost of licences.</w:t>
                      </w:r>
                    </w:p>
                    <w:p w14:paraId="453E570F" w14:textId="56395559" w:rsidR="000A05C5" w:rsidRDefault="000A05C5" w:rsidP="00661E56">
                      <w:r>
                        <w:t xml:space="preserve">The ACMA will flag this change in the </w:t>
                      </w:r>
                      <w:hyperlink r:id="rId124" w:history="1">
                        <w:r w:rsidR="004B462A" w:rsidRPr="00224B28">
                          <w:rPr>
                            <w:rStyle w:val="Hyperlink"/>
                          </w:rPr>
                          <w:t>five-year spectrum outlook</w:t>
                        </w:r>
                      </w:hyperlink>
                      <w:r w:rsidR="004B462A">
                        <w:t xml:space="preserve"> (</w:t>
                      </w:r>
                      <w:r w:rsidR="004B462A" w:rsidRPr="00674353">
                        <w:t>FYSO</w:t>
                      </w:r>
                      <w:r w:rsidR="004B462A">
                        <w:t>)</w:t>
                      </w:r>
                      <w:r w:rsidR="004B462A" w:rsidRPr="00674353">
                        <w:t xml:space="preserve"> </w:t>
                      </w:r>
                      <w:r w:rsidR="007A783B">
                        <w:t>so that stakeholders remain aware in the lead up to this change in mid</w:t>
                      </w:r>
                      <w:r w:rsidR="0014503C">
                        <w:t xml:space="preserve"> 2025.</w:t>
                      </w:r>
                    </w:p>
                  </w:txbxContent>
                </v:textbox>
                <w10:wrap type="square" anchorx="margin"/>
              </v:shape>
            </w:pict>
          </mc:Fallback>
        </mc:AlternateContent>
      </w:r>
      <w:r w:rsidR="0041254A" w:rsidRPr="00A63D5F">
        <w:rPr>
          <w:rFonts w:ascii="Arial" w:hAnsi="Arial" w:cs="Arial"/>
          <w:sz w:val="20"/>
          <w:szCs w:val="20"/>
        </w:rPr>
        <w:t>Density areas are a very coarse measurement of spectrum denial. A more granular approach, such as that used in the 28 GHz AWL pricing would enable better use of area-based licensing systems which, in themselves, more accurately reflect the opportunity cost of the spectrum area ‘denied’ by a system and thus are a more efficient form of licensing. (Communications Alliance – SSWG)</w:t>
      </w:r>
    </w:p>
    <w:p w14:paraId="1DA60E86" w14:textId="77777777" w:rsidR="0041254A" w:rsidRDefault="0041254A" w:rsidP="0041254A">
      <w:pPr>
        <w:contextualSpacing/>
        <w:rPr>
          <w:rFonts w:cs="Arial"/>
        </w:rPr>
      </w:pPr>
    </w:p>
    <w:p w14:paraId="0687DED5" w14:textId="5B6FC275" w:rsidR="0041254A" w:rsidRPr="0041254A" w:rsidRDefault="005F3AA2" w:rsidP="0041254A">
      <w:pPr>
        <w:pStyle w:val="Heading3"/>
      </w:pPr>
      <w:bookmarkStart w:id="67" w:name="_Toc99632517"/>
      <w:bookmarkStart w:id="68" w:name="_Toc109035850"/>
      <w:r w:rsidRPr="005F3AA2">
        <w:t>Proposal to reform HPON taxes</w:t>
      </w:r>
      <w:bookmarkEnd w:id="67"/>
      <w:bookmarkEnd w:id="68"/>
    </w:p>
    <w:p w14:paraId="257C550B" w14:textId="7F009D76" w:rsidR="0041254A" w:rsidRPr="00E53E30" w:rsidRDefault="0041254A" w:rsidP="0041254A">
      <w:pPr>
        <w:contextualSpacing/>
        <w:rPr>
          <w:rFonts w:cs="Arial"/>
          <w:bCs/>
        </w:rPr>
      </w:pPr>
      <w:r w:rsidRPr="00E53E30">
        <w:rPr>
          <w:rFonts w:cs="Arial"/>
          <w:bCs/>
        </w:rPr>
        <w:t xml:space="preserve">The ACMA received </w:t>
      </w:r>
      <w:r w:rsidR="003C7B2A">
        <w:rPr>
          <w:rFonts w:cs="Arial"/>
          <w:bCs/>
        </w:rPr>
        <w:t xml:space="preserve">three </w:t>
      </w:r>
      <w:r w:rsidRPr="00E53E30">
        <w:rPr>
          <w:rFonts w:cs="Arial"/>
          <w:bCs/>
        </w:rPr>
        <w:t>submissions that commented on the proposal to introduce a new set of HPON tax tables, both of which were supportive.</w:t>
      </w:r>
    </w:p>
    <w:p w14:paraId="2DD73B4C" w14:textId="56D14669"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lastRenderedPageBreak/>
        <w:t>The proposal to introduce new HPON tax tables is appropriate and supported.</w:t>
      </w:r>
    </w:p>
    <w:p w14:paraId="350AA435" w14:textId="75C77296" w:rsidR="0041254A" w:rsidRPr="00A63D5F" w:rsidRDefault="0041254A" w:rsidP="007E7817">
      <w:pPr>
        <w:pStyle w:val="ListParagraph"/>
        <w:numPr>
          <w:ilvl w:val="0"/>
          <w:numId w:val="23"/>
        </w:numPr>
        <w:rPr>
          <w:rFonts w:ascii="Arial" w:hAnsi="Arial" w:cs="Arial"/>
          <w:i/>
          <w:sz w:val="20"/>
          <w:szCs w:val="20"/>
        </w:rPr>
      </w:pPr>
      <w:r w:rsidRPr="00A63D5F">
        <w:rPr>
          <w:rFonts w:ascii="Arial" w:hAnsi="Arial" w:cs="Arial"/>
          <w:sz w:val="20"/>
          <w:szCs w:val="20"/>
        </w:rPr>
        <w:t xml:space="preserve">ANRA supports the Proposal for reduced tax rates for HPON licences. From the outset when the Spectrum Pricing Review was raised, ANRA has maintained the view that HPON fees and taxes </w:t>
      </w:r>
      <w:proofErr w:type="gramStart"/>
      <w:r w:rsidRPr="00A63D5F">
        <w:rPr>
          <w:rFonts w:ascii="Arial" w:hAnsi="Arial" w:cs="Arial"/>
          <w:sz w:val="20"/>
          <w:szCs w:val="20"/>
        </w:rPr>
        <w:t>were in need of</w:t>
      </w:r>
      <w:proofErr w:type="gramEnd"/>
      <w:r w:rsidRPr="00A63D5F">
        <w:rPr>
          <w:rFonts w:ascii="Arial" w:hAnsi="Arial" w:cs="Arial"/>
          <w:sz w:val="20"/>
          <w:szCs w:val="20"/>
        </w:rPr>
        <w:t xml:space="preserve"> a review. (Australian Narrowcast Radio Association)</w:t>
      </w:r>
    </w:p>
    <w:p w14:paraId="744A57AC" w14:textId="182379D8"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t xml:space="preserve">SEN supports the ACMA proposal to reduce tax rates on transmitter licences used to provide high-power open narrowcasting (HPON) services to bring them closer in line with commercial broadcasting taxes and charge different tax rates for television, </w:t>
      </w:r>
      <w:proofErr w:type="gramStart"/>
      <w:r w:rsidRPr="00A63D5F">
        <w:rPr>
          <w:rFonts w:ascii="Arial" w:hAnsi="Arial" w:cs="Arial"/>
          <w:iCs/>
          <w:sz w:val="20"/>
          <w:szCs w:val="20"/>
        </w:rPr>
        <w:t>FM</w:t>
      </w:r>
      <w:proofErr w:type="gramEnd"/>
      <w:r w:rsidRPr="00A63D5F">
        <w:rPr>
          <w:rFonts w:ascii="Arial" w:hAnsi="Arial" w:cs="Arial"/>
          <w:iCs/>
          <w:sz w:val="20"/>
          <w:szCs w:val="20"/>
        </w:rPr>
        <w:t xml:space="preserve"> and AM HPON licences. (Sports Entertainment Network)</w:t>
      </w:r>
    </w:p>
    <w:p w14:paraId="25C8F361" w14:textId="7BB8F99E" w:rsidR="00BA591D" w:rsidRPr="00A63D5F" w:rsidRDefault="00CB5280" w:rsidP="007E7817">
      <w:pPr>
        <w:pStyle w:val="ListParagraph"/>
        <w:numPr>
          <w:ilvl w:val="0"/>
          <w:numId w:val="23"/>
        </w:numPr>
        <w:rPr>
          <w:rFonts w:ascii="Arial" w:hAnsi="Arial" w:cs="Arial"/>
          <w:iCs/>
          <w:sz w:val="20"/>
          <w:szCs w:val="20"/>
        </w:rPr>
      </w:pPr>
      <w:r w:rsidRPr="00A63D5F">
        <w:rPr>
          <w:rFonts w:ascii="Arial" w:hAnsi="Arial" w:cs="Arial"/>
          <w:iCs/>
          <w:sz w:val="20"/>
          <w:szCs w:val="20"/>
        </w:rPr>
        <w:t>Glenn Duncan supports the proposal</w:t>
      </w:r>
      <w:r w:rsidR="009B5AB4" w:rsidRPr="00A63D5F">
        <w:rPr>
          <w:rFonts w:ascii="Arial" w:hAnsi="Arial" w:cs="Arial"/>
          <w:iCs/>
          <w:sz w:val="20"/>
          <w:szCs w:val="20"/>
        </w:rPr>
        <w:t xml:space="preserve">. </w:t>
      </w:r>
    </w:p>
    <w:p w14:paraId="63125A31" w14:textId="77777777" w:rsidR="0041254A" w:rsidRDefault="0041254A" w:rsidP="0041254A">
      <w:pPr>
        <w:contextualSpacing/>
        <w:rPr>
          <w:rFonts w:cs="Arial"/>
        </w:rPr>
      </w:pPr>
    </w:p>
    <w:p w14:paraId="521AFB9E" w14:textId="75FF58B0" w:rsidR="0041254A" w:rsidRPr="0041254A" w:rsidRDefault="00A153F7" w:rsidP="0041254A">
      <w:pPr>
        <w:pStyle w:val="Heading3"/>
      </w:pPr>
      <w:bookmarkStart w:id="69" w:name="_Toc99632518"/>
      <w:bookmarkStart w:id="70" w:name="_Toc109035851"/>
      <w:r w:rsidRPr="00A153F7">
        <w:t>Proposals to adjust tranche 1 reforms</w:t>
      </w:r>
      <w:bookmarkEnd w:id="69"/>
      <w:bookmarkEnd w:id="70"/>
      <w:r w:rsidRPr="00A153F7">
        <w:t xml:space="preserve"> </w:t>
      </w:r>
    </w:p>
    <w:p w14:paraId="7033B2DD" w14:textId="77777777" w:rsidR="0041254A" w:rsidRPr="006A71B5" w:rsidRDefault="0041254A" w:rsidP="0041254A">
      <w:pPr>
        <w:contextualSpacing/>
        <w:rPr>
          <w:rFonts w:cs="Arial"/>
          <w:bCs/>
        </w:rPr>
      </w:pPr>
      <w:r w:rsidRPr="006A71B5">
        <w:rPr>
          <w:rFonts w:cs="Arial"/>
          <w:bCs/>
        </w:rPr>
        <w:t>The ACMA received several submissions commenting on adjustments to the first tranche of Spectrum Pricing Review reforms that have been implemented.</w:t>
      </w:r>
    </w:p>
    <w:p w14:paraId="0A61B9A8"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The earth station systems price is supported but with caveats.</w:t>
      </w:r>
    </w:p>
    <w:p w14:paraId="621C0EC3" w14:textId="1DEC2869" w:rsidR="0041254A" w:rsidRPr="00A63D5F" w:rsidRDefault="0041254A" w:rsidP="007E7817">
      <w:pPr>
        <w:pStyle w:val="ListParagraph"/>
        <w:numPr>
          <w:ilvl w:val="0"/>
          <w:numId w:val="23"/>
        </w:numPr>
        <w:rPr>
          <w:rFonts w:ascii="Arial" w:hAnsi="Arial" w:cs="Arial"/>
          <w:i/>
          <w:sz w:val="20"/>
          <w:szCs w:val="20"/>
        </w:rPr>
      </w:pPr>
      <w:proofErr w:type="spellStart"/>
      <w:r w:rsidRPr="00A63D5F">
        <w:rPr>
          <w:rFonts w:ascii="Arial" w:hAnsi="Arial" w:cs="Arial"/>
          <w:sz w:val="20"/>
          <w:szCs w:val="20"/>
        </w:rPr>
        <w:t>nbn</w:t>
      </w:r>
      <w:proofErr w:type="spellEnd"/>
      <w:r w:rsidRPr="00A63D5F">
        <w:rPr>
          <w:rFonts w:ascii="Arial" w:hAnsi="Arial" w:cs="Arial"/>
          <w:sz w:val="20"/>
          <w:szCs w:val="20"/>
        </w:rPr>
        <w:t xml:space="preserve"> supports the proposed adjustment to the earth station systems price to enable </w:t>
      </w:r>
      <w:r w:rsidR="00F23424" w:rsidRPr="00A63D5F">
        <w:rPr>
          <w:rFonts w:ascii="Arial" w:hAnsi="Arial" w:cs="Arial"/>
          <w:sz w:val="20"/>
          <w:szCs w:val="20"/>
        </w:rPr>
        <w:t>co-loc</w:t>
      </w:r>
      <w:r w:rsidRPr="00A63D5F">
        <w:rPr>
          <w:rFonts w:ascii="Arial" w:hAnsi="Arial" w:cs="Arial"/>
          <w:sz w:val="20"/>
          <w:szCs w:val="20"/>
        </w:rPr>
        <w:t xml:space="preserve">ated earth stations operating within the licenced bandwidth but on different centre frequencies to also obtain the discount offered by way of the ‘systems’ price. </w:t>
      </w:r>
      <w:proofErr w:type="spellStart"/>
      <w:r w:rsidRPr="00A63D5F">
        <w:rPr>
          <w:rFonts w:ascii="Arial" w:hAnsi="Arial" w:cs="Arial"/>
          <w:sz w:val="20"/>
          <w:szCs w:val="20"/>
        </w:rPr>
        <w:t>nbn</w:t>
      </w:r>
      <w:proofErr w:type="spellEnd"/>
      <w:r w:rsidRPr="00A63D5F">
        <w:rPr>
          <w:rFonts w:ascii="Arial" w:hAnsi="Arial" w:cs="Arial"/>
          <w:sz w:val="20"/>
          <w:szCs w:val="20"/>
        </w:rPr>
        <w:t xml:space="preserve"> agrees that the proposed change will allow for more flexibility with earth station system configurations. (</w:t>
      </w:r>
      <w:proofErr w:type="spellStart"/>
      <w:r w:rsidRPr="00A63D5F">
        <w:rPr>
          <w:rFonts w:ascii="Arial" w:hAnsi="Arial" w:cs="Arial"/>
          <w:sz w:val="20"/>
          <w:szCs w:val="20"/>
        </w:rPr>
        <w:t>nbn</w:t>
      </w:r>
      <w:proofErr w:type="spellEnd"/>
      <w:r w:rsidRPr="00A63D5F">
        <w:rPr>
          <w:rFonts w:ascii="Arial" w:hAnsi="Arial" w:cs="Arial"/>
          <w:sz w:val="20"/>
          <w:szCs w:val="20"/>
        </w:rPr>
        <w:t>)</w:t>
      </w:r>
    </w:p>
    <w:p w14:paraId="696F3989" w14:textId="77777777"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t>The SSWG supports the proposed change to the Earth Station Systems Licence that would enable all earth stations within a frequency band to be covered by a single licence. (</w:t>
      </w:r>
      <w:r w:rsidRPr="00A63D5F">
        <w:rPr>
          <w:rFonts w:ascii="Arial" w:hAnsi="Arial" w:cs="Arial"/>
          <w:sz w:val="20"/>
          <w:szCs w:val="20"/>
        </w:rPr>
        <w:t>Communications Alliance – SSWG</w:t>
      </w:r>
      <w:r w:rsidRPr="00A63D5F">
        <w:rPr>
          <w:rFonts w:ascii="Arial" w:hAnsi="Arial" w:cs="Arial"/>
          <w:iCs/>
          <w:sz w:val="20"/>
          <w:szCs w:val="20"/>
        </w:rPr>
        <w:t>)</w:t>
      </w:r>
    </w:p>
    <w:p w14:paraId="6AFF2FC8" w14:textId="25D1C575"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t>We strongly support the removal of the condition for the spectrum accesses to have the same centre frequency, as per page 19 of the ACMA’s October 2021 consultation paper. We support this approach and we note that it accommodates for spectrum accesses which are only partially overlapping. The point is that licence tax is only paid for once for each MHz of licensed bandwidth, for multiple co-located earth station antennas. However, to fully support this approach, it is also necessary to make changes to sub-section (2) of s804AA/s404A. (Open Spectrum)</w:t>
      </w:r>
    </w:p>
    <w:p w14:paraId="5AD904E4" w14:textId="77777777" w:rsidR="0041254A" w:rsidRPr="00A63D5F" w:rsidRDefault="0041254A" w:rsidP="0041254A">
      <w:pPr>
        <w:pStyle w:val="ListParagraph"/>
        <w:ind w:left="792"/>
        <w:rPr>
          <w:rFonts w:ascii="Arial" w:hAnsi="Arial" w:cs="Arial"/>
          <w:i/>
          <w:sz w:val="20"/>
          <w:szCs w:val="20"/>
        </w:rPr>
      </w:pPr>
    </w:p>
    <w:p w14:paraId="529D74C5"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Adjustments to HPON tax structures are requested.</w:t>
      </w:r>
    </w:p>
    <w:p w14:paraId="7D959084" w14:textId="77777777" w:rsidR="0041254A" w:rsidRPr="00A63D5F" w:rsidRDefault="0041254A" w:rsidP="007E7817">
      <w:pPr>
        <w:pStyle w:val="ListParagraph"/>
        <w:numPr>
          <w:ilvl w:val="0"/>
          <w:numId w:val="24"/>
        </w:numPr>
        <w:spacing w:after="0" w:line="240" w:lineRule="auto"/>
        <w:rPr>
          <w:rFonts w:ascii="Arial" w:hAnsi="Arial" w:cs="Arial"/>
          <w:sz w:val="20"/>
          <w:szCs w:val="20"/>
        </w:rPr>
      </w:pPr>
      <w:r w:rsidRPr="00A63D5F">
        <w:rPr>
          <w:rFonts w:ascii="Arial" w:hAnsi="Arial" w:cs="Arial"/>
          <w:sz w:val="20"/>
          <w:szCs w:val="20"/>
        </w:rPr>
        <w:t>ANRA suggest that where a HPON has an output power of 10 Watts or less, that no matter where the HPON is located, the minimum fee should apply as the service would be limited in its coverage area. (Australian Narrowcast Radio Association)</w:t>
      </w:r>
    </w:p>
    <w:p w14:paraId="6DD607D2" w14:textId="77777777"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sz w:val="20"/>
          <w:szCs w:val="20"/>
        </w:rPr>
        <w:t>We provide our support for ANRA’s submission as they have noted. (Sports Entertainment Network)</w:t>
      </w:r>
    </w:p>
    <w:p w14:paraId="46F6E479" w14:textId="77777777" w:rsidR="0041254A" w:rsidRPr="00A63D5F" w:rsidRDefault="0041254A" w:rsidP="0041254A">
      <w:pPr>
        <w:pStyle w:val="ListParagraph"/>
        <w:ind w:left="792"/>
        <w:rPr>
          <w:rFonts w:ascii="Arial" w:hAnsi="Arial" w:cs="Arial"/>
          <w:i/>
          <w:sz w:val="20"/>
          <w:szCs w:val="20"/>
        </w:rPr>
      </w:pPr>
    </w:p>
    <w:p w14:paraId="08A7C011" w14:textId="03192DC9"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The introduction of a micro power discount is supported but the definition of micro power should be altered</w:t>
      </w:r>
    </w:p>
    <w:p w14:paraId="267FF1F1" w14:textId="3D6F381F" w:rsidR="0041254A" w:rsidRPr="00A63D5F" w:rsidRDefault="0041254A" w:rsidP="007E7817">
      <w:pPr>
        <w:pStyle w:val="ListParagraph"/>
        <w:numPr>
          <w:ilvl w:val="0"/>
          <w:numId w:val="23"/>
        </w:numPr>
        <w:rPr>
          <w:rFonts w:ascii="Arial" w:hAnsi="Arial" w:cs="Arial"/>
          <w:iCs/>
          <w:sz w:val="20"/>
          <w:szCs w:val="20"/>
        </w:rPr>
      </w:pPr>
      <w:proofErr w:type="gramStart"/>
      <w:r w:rsidRPr="00A63D5F">
        <w:rPr>
          <w:rFonts w:ascii="Arial" w:hAnsi="Arial" w:cs="Arial"/>
          <w:iCs/>
          <w:sz w:val="20"/>
          <w:szCs w:val="20"/>
        </w:rPr>
        <w:t>With regard to</w:t>
      </w:r>
      <w:proofErr w:type="gramEnd"/>
      <w:r w:rsidRPr="00A63D5F">
        <w:rPr>
          <w:rFonts w:ascii="Arial" w:hAnsi="Arial" w:cs="Arial"/>
          <w:iCs/>
          <w:sz w:val="20"/>
          <w:szCs w:val="20"/>
        </w:rPr>
        <w:t xml:space="preserve"> Clause 16 (</w:t>
      </w:r>
      <w:proofErr w:type="spellStart"/>
      <w:r w:rsidRPr="00A63D5F">
        <w:rPr>
          <w:rFonts w:ascii="Arial" w:hAnsi="Arial" w:cs="Arial"/>
          <w:iCs/>
          <w:sz w:val="20"/>
          <w:szCs w:val="20"/>
        </w:rPr>
        <w:t>ba</w:t>
      </w:r>
      <w:proofErr w:type="spellEnd"/>
      <w:r w:rsidRPr="00A63D5F">
        <w:rPr>
          <w:rFonts w:ascii="Arial" w:hAnsi="Arial" w:cs="Arial"/>
          <w:iCs/>
          <w:sz w:val="20"/>
          <w:szCs w:val="20"/>
        </w:rPr>
        <w:t xml:space="preserve">) (iv) in Attachment A, how appropriate is it to classify the service to be operating within a 2 km radius of the centre of that area. What if it was an Australia-wide or Victoria wide licence, that service could be operating anywhere within a large geographic area. This definition requires further thought. </w:t>
      </w:r>
      <w:proofErr w:type="gramStart"/>
      <w:r w:rsidRPr="00A63D5F">
        <w:rPr>
          <w:rFonts w:ascii="Arial" w:hAnsi="Arial" w:cs="Arial"/>
          <w:iCs/>
          <w:sz w:val="20"/>
          <w:szCs w:val="20"/>
        </w:rPr>
        <w:t xml:space="preserve">With regard </w:t>
      </w:r>
      <w:r w:rsidRPr="00A63D5F">
        <w:rPr>
          <w:rFonts w:ascii="Arial" w:hAnsi="Arial" w:cs="Arial"/>
          <w:iCs/>
          <w:sz w:val="20"/>
          <w:szCs w:val="20"/>
        </w:rPr>
        <w:lastRenderedPageBreak/>
        <w:t>to</w:t>
      </w:r>
      <w:proofErr w:type="gramEnd"/>
      <w:r w:rsidRPr="00A63D5F">
        <w:rPr>
          <w:rFonts w:ascii="Arial" w:hAnsi="Arial" w:cs="Arial"/>
          <w:iCs/>
          <w:sz w:val="20"/>
          <w:szCs w:val="20"/>
        </w:rPr>
        <w:t xml:space="preserve"> Clause 16 (</w:t>
      </w:r>
      <w:proofErr w:type="spellStart"/>
      <w:r w:rsidRPr="00A63D5F">
        <w:rPr>
          <w:rFonts w:ascii="Arial" w:hAnsi="Arial" w:cs="Arial"/>
          <w:iCs/>
          <w:sz w:val="20"/>
          <w:szCs w:val="20"/>
        </w:rPr>
        <w:t>ba</w:t>
      </w:r>
      <w:proofErr w:type="spellEnd"/>
      <w:r w:rsidRPr="00A63D5F">
        <w:rPr>
          <w:rFonts w:ascii="Arial" w:hAnsi="Arial" w:cs="Arial"/>
          <w:iCs/>
          <w:sz w:val="20"/>
          <w:szCs w:val="20"/>
        </w:rPr>
        <w:t xml:space="preserve">) (iv), micro powered services are supposed to operate within an enclosed site or very specific geographic location. Option (iv) is </w:t>
      </w:r>
      <w:proofErr w:type="gramStart"/>
      <w:r w:rsidRPr="00A63D5F">
        <w:rPr>
          <w:rFonts w:ascii="Arial" w:hAnsi="Arial" w:cs="Arial"/>
          <w:iCs/>
          <w:sz w:val="20"/>
          <w:szCs w:val="20"/>
        </w:rPr>
        <w:t>really not</w:t>
      </w:r>
      <w:proofErr w:type="gramEnd"/>
      <w:r w:rsidRPr="00A63D5F">
        <w:rPr>
          <w:rFonts w:ascii="Arial" w:hAnsi="Arial" w:cs="Arial"/>
          <w:iCs/>
          <w:sz w:val="20"/>
          <w:szCs w:val="20"/>
        </w:rPr>
        <w:t xml:space="preserve"> applicable. (DB Telecommunications)</w:t>
      </w:r>
    </w:p>
    <w:p w14:paraId="15717302" w14:textId="6EC8DBD2" w:rsidR="0041254A" w:rsidRPr="00A63D5F" w:rsidRDefault="00E80E1A" w:rsidP="007E7817">
      <w:pPr>
        <w:pStyle w:val="ListParagraph"/>
        <w:numPr>
          <w:ilvl w:val="0"/>
          <w:numId w:val="24"/>
        </w:numPr>
        <w:spacing w:after="0" w:line="240" w:lineRule="auto"/>
        <w:contextualSpacing w:val="0"/>
        <w:rPr>
          <w:rFonts w:ascii="Arial" w:hAnsi="Arial" w:cs="Arial"/>
          <w:sz w:val="20"/>
          <w:szCs w:val="20"/>
        </w:rPr>
      </w:pPr>
      <w:r w:rsidRPr="006177F1">
        <w:rPr>
          <w:rFonts w:cs="Arial"/>
          <w:bCs/>
          <w:noProof/>
        </w:rPr>
        <mc:AlternateContent>
          <mc:Choice Requires="wps">
            <w:drawing>
              <wp:anchor distT="45720" distB="45720" distL="114300" distR="114300" simplePos="0" relativeHeight="251658243" behindDoc="0" locked="0" layoutInCell="1" allowOverlap="1" wp14:anchorId="0598457B" wp14:editId="4B2D3B53">
                <wp:simplePos x="0" y="0"/>
                <wp:positionH relativeFrom="margin">
                  <wp:align>right</wp:align>
                </wp:positionH>
                <wp:positionV relativeFrom="paragraph">
                  <wp:posOffset>508635</wp:posOffset>
                </wp:positionV>
                <wp:extent cx="4775200" cy="238125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2381250"/>
                        </a:xfrm>
                        <a:prstGeom prst="rect">
                          <a:avLst/>
                        </a:prstGeom>
                        <a:solidFill>
                          <a:srgbClr val="FFFFFF"/>
                        </a:solidFill>
                        <a:ln w="9525">
                          <a:solidFill>
                            <a:srgbClr val="000000"/>
                          </a:solidFill>
                          <a:miter lim="800000"/>
                          <a:headEnd/>
                          <a:tailEnd/>
                        </a:ln>
                      </wps:spPr>
                      <wps:txbx>
                        <w:txbxContent>
                          <w:p w14:paraId="06D26FEB" w14:textId="77777777" w:rsidR="00CD5AA5" w:rsidRPr="00536EC1" w:rsidRDefault="00CD5AA5" w:rsidP="00CD5AA5">
                            <w:pPr>
                              <w:pStyle w:val="CommentText"/>
                              <w:rPr>
                                <w:b/>
                                <w:bCs/>
                              </w:rPr>
                            </w:pPr>
                            <w:r w:rsidRPr="00536EC1">
                              <w:rPr>
                                <w:b/>
                                <w:bCs/>
                              </w:rPr>
                              <w:t xml:space="preserve">ACMA response: </w:t>
                            </w:r>
                          </w:p>
                          <w:p w14:paraId="258D4DCB" w14:textId="6D3E2004" w:rsidR="00C57993" w:rsidRDefault="0014503C" w:rsidP="00CD5AA5">
                            <w:r>
                              <w:t xml:space="preserve">The ACMA received useful feedback </w:t>
                            </w:r>
                            <w:r w:rsidR="00C57993">
                              <w:t xml:space="preserve">to improve the utility </w:t>
                            </w:r>
                            <w:r w:rsidR="00FE1529">
                              <w:t xml:space="preserve">and clarity </w:t>
                            </w:r>
                            <w:r w:rsidR="00C57993">
                              <w:t xml:space="preserve">of </w:t>
                            </w:r>
                            <w:r>
                              <w:t xml:space="preserve">some of the </w:t>
                            </w:r>
                            <w:r w:rsidR="00B75954">
                              <w:t>SPR tranche 1 reforms</w:t>
                            </w:r>
                            <w:r w:rsidR="00EB5F12">
                              <w:t xml:space="preserve">. </w:t>
                            </w:r>
                            <w:r w:rsidR="00894F1F">
                              <w:t>The ACMA will remove the requirement for</w:t>
                            </w:r>
                            <w:r w:rsidR="000C3AFF" w:rsidRPr="000C3AFF">
                              <w:t xml:space="preserve"> co-located earth station to operate on the same centre frequency</w:t>
                            </w:r>
                            <w:r w:rsidR="000C3AFF">
                              <w:t xml:space="preserve"> in order to be eligible for the </w:t>
                            </w:r>
                            <w:r w:rsidR="004C5FCC">
                              <w:t>system price</w:t>
                            </w:r>
                            <w:r w:rsidR="000C3AFF" w:rsidRPr="000C3AFF">
                              <w:t>.</w:t>
                            </w:r>
                            <w:r w:rsidR="004C5FCC">
                              <w:t xml:space="preserve"> The ACMA expects this change </w:t>
                            </w:r>
                            <w:r w:rsidR="00FE1529">
                              <w:t>will</w:t>
                            </w:r>
                            <w:r w:rsidR="004C5FCC">
                              <w:t xml:space="preserve"> provide satellite operators with greater flexi</w:t>
                            </w:r>
                            <w:r w:rsidR="00CB31C7">
                              <w:t>bility in their system design and configuration when accessing this price.</w:t>
                            </w:r>
                          </w:p>
                          <w:p w14:paraId="234EFF0C" w14:textId="3F7BD9C1" w:rsidR="00CD5AA5" w:rsidRDefault="001144AB" w:rsidP="00CD5AA5">
                            <w:r>
                              <w:t>Based on feedback from an accredited person, t</w:t>
                            </w:r>
                            <w:r w:rsidR="00CD5AA5">
                              <w:t xml:space="preserve">he ACMA will </w:t>
                            </w:r>
                            <w:r>
                              <w:t xml:space="preserve">also </w:t>
                            </w:r>
                            <w:r w:rsidR="00452343">
                              <w:t>a</w:t>
                            </w:r>
                            <w:r w:rsidR="00452343" w:rsidRPr="00452343">
                              <w:t>mend the clauses that explain the way that the earth station system price is calculated, so that it is consistent with the policy intent and licensing practice.</w:t>
                            </w:r>
                          </w:p>
                          <w:p w14:paraId="3027B7E0" w14:textId="77777777" w:rsidR="0014503C" w:rsidRDefault="0014503C" w:rsidP="00CD5A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8457B" id="_x0000_s1029" type="#_x0000_t202" style="position:absolute;left:0;text-align:left;margin-left:324.8pt;margin-top:40.05pt;width:376pt;height:18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9tFgIAACcEAAAOAAAAZHJzL2Uyb0RvYy54bWysU81u2zAMvg/YOwi6L07cZEmNOEWXLsOA&#10;7gfo9gC0LMfCZFGTlNjZ05dS0jTotsswHQRSpD6SH8nlzdBptpfOKzQln4zGnEkjsFZmW/Lv3zZv&#10;Fpz5AKYGjUaW/CA9v1m9frXsbSFzbFHX0jECMb7obcnbEGyRZV60sgM/QisNGRt0HQRS3TarHfSE&#10;3uksH4/fZj262joU0nt6vTsa+SrhN40U4UvTeBmYLjnlFtLt0l3FO1stodg6sK0SpzTgH7LoQBkK&#10;eoa6gwBs59RvUJ0SDj02YSSwy7BplJCpBqpmMn5RzUMLVqZaiBxvzzT5/wcrPu8f7FfHwvAOB2pg&#10;KsLbexQ/PDO4bsFs5a1z2LcSago8iZRlvfXF6Wuk2hc+glT9J6ypybALmICGxnWRFaqTETo14HAm&#10;XQ6BCXqczucz6iRngmz51WKSz1JbMiievlvnwweJHYtCyR11NcHD/t6HmA4UTy4xmket6o3SOilu&#10;W621Y3ugCdikkyp44aYN60t+PctnRwb+CjFO508QnQo0ylp1JV+cnaCIvL03dRq0AEofZUpZmxOR&#10;kbsji2GoBqbqkl/FAJHXCusDMevwOLm0aSS06H5x1tPUltz/3IGTnOmPhrpzPZlO45gnZTqb56S4&#10;S0t1aQEjCKrkgbOjuA5pNSJvBm+pi41K/D5nckqZpjHRftqcOO6XevJ63u/VIwAAAP//AwBQSwME&#10;FAAGAAgAAAAhAIxLIMzdAAAABwEAAA8AAABkcnMvZG93bnJldi54bWxMj8FOwzAMhu9IvENkJC6I&#10;pR3rNkrTCSGB4AYDwTVrvLYicUqSdeXtMSc42v+vz5+rzeSsGDHE3pOCfJaBQGq86alV8PZ6f7kG&#10;EZMmo60nVPCNETb16UmlS+OP9ILjNrWCIRRLraBLaSiljE2HTseZH5A42/vgdOIxtNIEfWS4s3Ke&#10;ZUvpdE98odMD3nXYfG4PTsF68Th+xKer5/dmubfX6WI1PnwFpc7PptsbEAmn9FeGX31Wh5qddv5A&#10;JgqrgB9JTMpyEJyuijkvdgoWRZGDrCv537/+AQAA//8DAFBLAQItABQABgAIAAAAIQC2gziS/gAA&#10;AOEBAAATAAAAAAAAAAAAAAAAAAAAAABbQ29udGVudF9UeXBlc10ueG1sUEsBAi0AFAAGAAgAAAAh&#10;ADj9If/WAAAAlAEAAAsAAAAAAAAAAAAAAAAALwEAAF9yZWxzLy5yZWxzUEsBAi0AFAAGAAgAAAAh&#10;AF0fr20WAgAAJwQAAA4AAAAAAAAAAAAAAAAALgIAAGRycy9lMm9Eb2MueG1sUEsBAi0AFAAGAAgA&#10;AAAhAIxLIMzdAAAABwEAAA8AAAAAAAAAAAAAAAAAcAQAAGRycy9kb3ducmV2LnhtbFBLBQYAAAAA&#10;BAAEAPMAAAB6BQAAAAA=&#10;">
                <v:textbox>
                  <w:txbxContent>
                    <w:p w14:paraId="06D26FEB" w14:textId="77777777" w:rsidR="00CD5AA5" w:rsidRPr="00536EC1" w:rsidRDefault="00CD5AA5" w:rsidP="00CD5AA5">
                      <w:pPr>
                        <w:pStyle w:val="CommentText"/>
                        <w:rPr>
                          <w:b/>
                          <w:bCs/>
                        </w:rPr>
                      </w:pPr>
                      <w:r w:rsidRPr="00536EC1">
                        <w:rPr>
                          <w:b/>
                          <w:bCs/>
                        </w:rPr>
                        <w:t xml:space="preserve">ACMA response: </w:t>
                      </w:r>
                    </w:p>
                    <w:p w14:paraId="258D4DCB" w14:textId="6D3E2004" w:rsidR="00C57993" w:rsidRDefault="0014503C" w:rsidP="00CD5AA5">
                      <w:r>
                        <w:t xml:space="preserve">The ACMA received useful feedback </w:t>
                      </w:r>
                      <w:r w:rsidR="00C57993">
                        <w:t xml:space="preserve">to improve the utility </w:t>
                      </w:r>
                      <w:r w:rsidR="00FE1529">
                        <w:t xml:space="preserve">and clarity </w:t>
                      </w:r>
                      <w:r w:rsidR="00C57993">
                        <w:t xml:space="preserve">of </w:t>
                      </w:r>
                      <w:r>
                        <w:t xml:space="preserve">some of the </w:t>
                      </w:r>
                      <w:r w:rsidR="00B75954">
                        <w:t>SPR tranche 1 reforms</w:t>
                      </w:r>
                      <w:r w:rsidR="00EB5F12">
                        <w:t xml:space="preserve">. </w:t>
                      </w:r>
                      <w:r w:rsidR="00894F1F">
                        <w:t>The ACMA will remove the requirement for</w:t>
                      </w:r>
                      <w:r w:rsidR="000C3AFF" w:rsidRPr="000C3AFF">
                        <w:t xml:space="preserve"> co-located earth station to operate on the same centre frequency</w:t>
                      </w:r>
                      <w:r w:rsidR="000C3AFF">
                        <w:t xml:space="preserve"> in order to be eligible for the </w:t>
                      </w:r>
                      <w:r w:rsidR="004C5FCC">
                        <w:t>system price</w:t>
                      </w:r>
                      <w:r w:rsidR="000C3AFF" w:rsidRPr="000C3AFF">
                        <w:t>.</w:t>
                      </w:r>
                      <w:r w:rsidR="004C5FCC">
                        <w:t xml:space="preserve"> The ACMA expects this change </w:t>
                      </w:r>
                      <w:r w:rsidR="00FE1529">
                        <w:t>will</w:t>
                      </w:r>
                      <w:r w:rsidR="004C5FCC">
                        <w:t xml:space="preserve"> provide satellite operators with greater flexi</w:t>
                      </w:r>
                      <w:r w:rsidR="00CB31C7">
                        <w:t>bility in their system design and configuration when accessing this price.</w:t>
                      </w:r>
                    </w:p>
                    <w:p w14:paraId="234EFF0C" w14:textId="3F7BD9C1" w:rsidR="00CD5AA5" w:rsidRDefault="001144AB" w:rsidP="00CD5AA5">
                      <w:r>
                        <w:t>Based on feedback from an accredited person, t</w:t>
                      </w:r>
                      <w:r w:rsidR="00CD5AA5">
                        <w:t xml:space="preserve">he ACMA will </w:t>
                      </w:r>
                      <w:r>
                        <w:t xml:space="preserve">also </w:t>
                      </w:r>
                      <w:r w:rsidR="00452343">
                        <w:t>a</w:t>
                      </w:r>
                      <w:r w:rsidR="00452343" w:rsidRPr="00452343">
                        <w:t>mend the clauses that explain the way that the earth station system price is calculated, so that it is consistent with the policy intent and licensing practice.</w:t>
                      </w:r>
                    </w:p>
                    <w:p w14:paraId="3027B7E0" w14:textId="77777777" w:rsidR="0014503C" w:rsidRDefault="0014503C" w:rsidP="00CD5AA5"/>
                  </w:txbxContent>
                </v:textbox>
                <w10:wrap type="square" anchorx="margin"/>
              </v:shape>
            </w:pict>
          </mc:Fallback>
        </mc:AlternateContent>
      </w:r>
      <w:r w:rsidR="0041254A" w:rsidRPr="00A63D5F">
        <w:rPr>
          <w:rFonts w:ascii="Arial" w:hAnsi="Arial" w:cs="Arial"/>
          <w:sz w:val="20"/>
          <w:szCs w:val="20"/>
        </w:rPr>
        <w:t>ARCIA supports the proposals outlined for the LMR services, this is as per the position our Association has been pressing for over recent years. (Australian Radio Communications Industry Association)</w:t>
      </w:r>
    </w:p>
    <w:p w14:paraId="3C55E001" w14:textId="3075063F" w:rsidR="0041254A" w:rsidRDefault="0041254A" w:rsidP="0041254A">
      <w:pPr>
        <w:contextualSpacing/>
        <w:rPr>
          <w:rFonts w:cs="Arial"/>
        </w:rPr>
      </w:pPr>
    </w:p>
    <w:p w14:paraId="457F5CC1" w14:textId="1161E959" w:rsidR="0041254A" w:rsidRPr="00704BC0" w:rsidRDefault="0041254A" w:rsidP="00704BC0">
      <w:pPr>
        <w:rPr>
          <w:rFonts w:cs="Arial"/>
          <w:b/>
        </w:rPr>
      </w:pPr>
      <w:r w:rsidRPr="00704BC0">
        <w:rPr>
          <w:rFonts w:cs="Arial"/>
          <w:b/>
        </w:rPr>
        <w:t>Other comments</w:t>
      </w:r>
    </w:p>
    <w:p w14:paraId="42164283" w14:textId="59F72D65" w:rsidR="0041254A" w:rsidRPr="001E6A84" w:rsidRDefault="0041254A" w:rsidP="0041254A">
      <w:pPr>
        <w:contextualSpacing/>
        <w:rPr>
          <w:rFonts w:cs="Arial"/>
          <w:bCs/>
        </w:rPr>
      </w:pPr>
      <w:r w:rsidRPr="001E6A84">
        <w:rPr>
          <w:rFonts w:cs="Arial"/>
          <w:bCs/>
        </w:rPr>
        <w:t>The ACMA received several submissions commenting on other aspects of spectrum management and pricing.</w:t>
      </w:r>
    </w:p>
    <w:p w14:paraId="6B0272BB"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The pricing for Fixed/Point to Point 900MHz is disproportionate</w:t>
      </w:r>
    </w:p>
    <w:p w14:paraId="57F8534A" w14:textId="77777777" w:rsidR="0041254A" w:rsidRPr="00A63D5F" w:rsidRDefault="0041254A" w:rsidP="007E7817">
      <w:pPr>
        <w:pStyle w:val="ListParagraph"/>
        <w:numPr>
          <w:ilvl w:val="0"/>
          <w:numId w:val="23"/>
        </w:numPr>
        <w:rPr>
          <w:rFonts w:ascii="Arial" w:hAnsi="Arial" w:cs="Arial"/>
          <w:i/>
          <w:sz w:val="20"/>
          <w:szCs w:val="20"/>
        </w:rPr>
      </w:pPr>
      <w:r w:rsidRPr="00A63D5F">
        <w:rPr>
          <w:rFonts w:ascii="Arial" w:hAnsi="Arial" w:cs="Arial"/>
          <w:sz w:val="20"/>
          <w:szCs w:val="20"/>
        </w:rPr>
        <w:t xml:space="preserve">ANRA would like to raise the issue of Fixed/Point to Point 900MHz STL (studio to transmitter link) Licences. The current fees and taxes pricing, particularly </w:t>
      </w:r>
      <w:proofErr w:type="gramStart"/>
      <w:r w:rsidRPr="00A63D5F">
        <w:rPr>
          <w:rFonts w:ascii="Arial" w:hAnsi="Arial" w:cs="Arial"/>
          <w:sz w:val="20"/>
          <w:szCs w:val="20"/>
        </w:rPr>
        <w:t>in regard to</w:t>
      </w:r>
      <w:proofErr w:type="gramEnd"/>
      <w:r w:rsidRPr="00A63D5F">
        <w:rPr>
          <w:rFonts w:ascii="Arial" w:hAnsi="Arial" w:cs="Arial"/>
          <w:sz w:val="20"/>
          <w:szCs w:val="20"/>
        </w:rPr>
        <w:t xml:space="preserve"> Narrowcast licences, is disproportionate to the pricing of the actual licence under which the service operates. By way of example: LPON licence fee $45 pa, Fixed/Point to Point fee $638 pa. ANRA would request that the fees and taxes for 900MHz STL Licences be included as part of the ACMA Spectrum Pricing Review. (Australian Narrowcast Radio Association)</w:t>
      </w:r>
    </w:p>
    <w:p w14:paraId="6CA01253" w14:textId="77777777"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t>We would only suggest that as part of the ACMA research into the market for private LTE/5G services that the spectrum pricing considerations should not be gauged in direct comparison with the spectrum prices paid at auction by the public carriers. (Australian Radio Communications Industry Association)</w:t>
      </w:r>
    </w:p>
    <w:p w14:paraId="53EBEF31" w14:textId="77777777" w:rsidR="0041254A" w:rsidRPr="00A63D5F" w:rsidRDefault="0041254A" w:rsidP="0041254A">
      <w:pPr>
        <w:pStyle w:val="ListParagraph"/>
        <w:ind w:left="792"/>
        <w:rPr>
          <w:rFonts w:ascii="Arial" w:hAnsi="Arial" w:cs="Arial"/>
          <w:i/>
          <w:sz w:val="20"/>
          <w:szCs w:val="20"/>
        </w:rPr>
      </w:pPr>
    </w:p>
    <w:p w14:paraId="1D43FA27"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Licence tax changes are not the most effective way to encourage spectrally efficient technologies</w:t>
      </w:r>
    </w:p>
    <w:p w14:paraId="53E06B5B" w14:textId="77777777"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t>DB Telecommunications is of the view that use of licence tax changes is not the most effective way of encouraging the uptake of more spectrally efficient technologies. For many operators the increased license fee costs may be less significant than the capital cost of upgrading to a more spectrally efficient system, particularly where those licence fee increases can be passed on to customers. (DB Telecommunications)</w:t>
      </w:r>
    </w:p>
    <w:p w14:paraId="63835CF2" w14:textId="77777777" w:rsidR="0041254A" w:rsidRPr="00A63D5F" w:rsidRDefault="0041254A" w:rsidP="0041254A">
      <w:pPr>
        <w:pStyle w:val="ListParagraph"/>
        <w:ind w:left="792"/>
        <w:rPr>
          <w:rFonts w:ascii="Arial" w:hAnsi="Arial" w:cs="Arial"/>
          <w:i/>
          <w:sz w:val="20"/>
          <w:szCs w:val="20"/>
        </w:rPr>
      </w:pPr>
    </w:p>
    <w:p w14:paraId="4191966B"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The ACMA should investigate AWLs for FSS gateways in the 18 GHz band and MSS feeds in 7 GHz and to introduce a population-based fee structure</w:t>
      </w:r>
    </w:p>
    <w:p w14:paraId="09444CEF" w14:textId="77777777"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lastRenderedPageBreak/>
        <w:t xml:space="preserve">The SSWG would like to encourage the ACMA to investigate a similar form of area-based licensing for FSS gateways in the 18 GHz band and MSS feeders in 7 GHz and to introduce a population-based fee structure, </w:t>
      </w:r>
      <w:proofErr w:type="gramStart"/>
      <w:r w:rsidRPr="00A63D5F">
        <w:rPr>
          <w:rFonts w:ascii="Arial" w:hAnsi="Arial" w:cs="Arial"/>
          <w:iCs/>
          <w:sz w:val="20"/>
          <w:szCs w:val="20"/>
        </w:rPr>
        <w:t>so as to</w:t>
      </w:r>
      <w:proofErr w:type="gramEnd"/>
      <w:r w:rsidRPr="00A63D5F">
        <w:rPr>
          <w:rFonts w:ascii="Arial" w:hAnsi="Arial" w:cs="Arial"/>
          <w:iCs/>
          <w:sz w:val="20"/>
          <w:szCs w:val="20"/>
        </w:rPr>
        <w:t xml:space="preserve"> truly represent the very low opportunity cost of spectrum denial of these systems. Also, the current tax system does not adequately take account of situations when satellite network operators must use broad bandwidth because of the configuration of satellite systems, requiring use of the whole Ku band (or a substantial part thereof). Other than for area-wide systems, the use of ‘density area’ and bandwidth are a very coarse method of calculating spectrum fees. (</w:t>
      </w:r>
      <w:r w:rsidRPr="00A63D5F">
        <w:rPr>
          <w:rFonts w:ascii="Arial" w:hAnsi="Arial" w:cs="Arial"/>
          <w:sz w:val="20"/>
          <w:szCs w:val="20"/>
        </w:rPr>
        <w:t>Communications Alliance – SSWG</w:t>
      </w:r>
      <w:r w:rsidRPr="00A63D5F">
        <w:rPr>
          <w:rFonts w:ascii="Arial" w:hAnsi="Arial" w:cs="Arial"/>
          <w:iCs/>
          <w:sz w:val="20"/>
          <w:szCs w:val="20"/>
        </w:rPr>
        <w:t>)</w:t>
      </w:r>
    </w:p>
    <w:p w14:paraId="1C4819EF" w14:textId="77777777" w:rsidR="0041254A" w:rsidRPr="00A63D5F" w:rsidRDefault="0041254A" w:rsidP="0041254A">
      <w:pPr>
        <w:pStyle w:val="ListParagraph"/>
        <w:ind w:left="792"/>
        <w:rPr>
          <w:rFonts w:ascii="Arial" w:hAnsi="Arial" w:cs="Arial"/>
          <w:i/>
          <w:sz w:val="20"/>
          <w:szCs w:val="20"/>
        </w:rPr>
      </w:pPr>
    </w:p>
    <w:p w14:paraId="1517A6A4"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Spectrum pricing should have no role other than to ensure efficient allocation and cost recovery</w:t>
      </w:r>
    </w:p>
    <w:p w14:paraId="476099A0" w14:textId="11F78DA6" w:rsidR="0041254A" w:rsidRPr="00A63D5F" w:rsidRDefault="0041254A" w:rsidP="007E7817">
      <w:pPr>
        <w:pStyle w:val="ListParagraph"/>
        <w:numPr>
          <w:ilvl w:val="0"/>
          <w:numId w:val="23"/>
        </w:numPr>
        <w:rPr>
          <w:rFonts w:ascii="Arial" w:hAnsi="Arial" w:cs="Arial"/>
          <w:iCs/>
          <w:sz w:val="20"/>
          <w:szCs w:val="20"/>
        </w:rPr>
      </w:pPr>
      <w:r w:rsidRPr="00A63D5F">
        <w:rPr>
          <w:rFonts w:ascii="Arial" w:hAnsi="Arial" w:cs="Arial"/>
          <w:iCs/>
          <w:sz w:val="20"/>
          <w:szCs w:val="20"/>
        </w:rPr>
        <w:t xml:space="preserve">Optus wishes to reiterate </w:t>
      </w:r>
      <w:proofErr w:type="gramStart"/>
      <w:r w:rsidRPr="00A63D5F">
        <w:rPr>
          <w:rFonts w:ascii="Arial" w:hAnsi="Arial" w:cs="Arial"/>
          <w:iCs/>
          <w:sz w:val="20"/>
          <w:szCs w:val="20"/>
        </w:rPr>
        <w:t>a number of</w:t>
      </w:r>
      <w:proofErr w:type="gramEnd"/>
      <w:r w:rsidRPr="00A63D5F">
        <w:rPr>
          <w:rFonts w:ascii="Arial" w:hAnsi="Arial" w:cs="Arial"/>
          <w:iCs/>
          <w:sz w:val="20"/>
          <w:szCs w:val="20"/>
        </w:rPr>
        <w:t xml:space="preserve"> points that it has raised in previous submissions relating to the Spectrum Pricing Review. Optus stresses that spectrum pricing and tax arrangements serve as a tool to manage spectrum efficiently and effectively. Consistent with the requirements under the Radiocommunications Act, spectrum pricing should have no role other than to ensure the efficient allocation and use of spectrum; and to recover the cost of spectrum management. (Optus)</w:t>
      </w:r>
    </w:p>
    <w:p w14:paraId="5FF263DE" w14:textId="77777777" w:rsidR="0041254A" w:rsidRPr="00A63D5F" w:rsidRDefault="0041254A" w:rsidP="0041254A">
      <w:pPr>
        <w:pStyle w:val="ListParagraph"/>
        <w:ind w:left="792"/>
        <w:rPr>
          <w:rFonts w:ascii="Arial" w:hAnsi="Arial" w:cs="Arial"/>
          <w:i/>
          <w:sz w:val="20"/>
          <w:szCs w:val="20"/>
        </w:rPr>
      </w:pPr>
    </w:p>
    <w:p w14:paraId="70EE2632" w14:textId="77777777" w:rsidR="0041254A" w:rsidRPr="00A63D5F" w:rsidRDefault="0041254A" w:rsidP="00622290">
      <w:pPr>
        <w:pStyle w:val="ListParagraph"/>
        <w:ind w:left="792"/>
        <w:rPr>
          <w:rFonts w:ascii="Arial" w:hAnsi="Arial" w:cs="Arial"/>
          <w:i/>
          <w:sz w:val="20"/>
          <w:szCs w:val="20"/>
        </w:rPr>
      </w:pPr>
      <w:r w:rsidRPr="00A63D5F">
        <w:rPr>
          <w:rFonts w:ascii="Arial" w:hAnsi="Arial" w:cs="Arial"/>
          <w:i/>
          <w:sz w:val="20"/>
          <w:szCs w:val="20"/>
        </w:rPr>
        <w:t>When considering the market for private LTE/5G services the ACMA should not compare with prices paid at auction by public carriers.</w:t>
      </w:r>
    </w:p>
    <w:p w14:paraId="7B3C313D" w14:textId="77777777" w:rsidR="0041254A" w:rsidRPr="00A63D5F" w:rsidRDefault="0041254A" w:rsidP="007E7817">
      <w:pPr>
        <w:pStyle w:val="ListParagraph"/>
        <w:numPr>
          <w:ilvl w:val="0"/>
          <w:numId w:val="23"/>
        </w:numPr>
        <w:spacing w:after="0" w:line="240" w:lineRule="auto"/>
        <w:contextualSpacing w:val="0"/>
        <w:rPr>
          <w:rFonts w:ascii="Arial" w:hAnsi="Arial" w:cs="Arial"/>
          <w:iCs/>
          <w:sz w:val="20"/>
          <w:szCs w:val="20"/>
        </w:rPr>
      </w:pPr>
      <w:r w:rsidRPr="00A63D5F">
        <w:rPr>
          <w:rFonts w:ascii="Arial" w:hAnsi="Arial" w:cs="Arial"/>
          <w:iCs/>
          <w:sz w:val="20"/>
          <w:szCs w:val="20"/>
        </w:rPr>
        <w:t>We would only suggest that as part of the ACMA research into the market for private LTE/5G services that the spectrum pricing considerations should not be gauged in direct comparison with the spectrum prices paid at auction by the public carriers. (Australian Radio Communications Industry Association)</w:t>
      </w:r>
    </w:p>
    <w:p w14:paraId="7D210C33" w14:textId="77777777" w:rsidR="0041254A" w:rsidRPr="00AB6DDE" w:rsidRDefault="0041254A" w:rsidP="0041254A">
      <w:pPr>
        <w:contextualSpacing/>
        <w:rPr>
          <w:rFonts w:cs="Arial"/>
          <w:iCs/>
        </w:rPr>
      </w:pPr>
    </w:p>
    <w:p w14:paraId="4AC9F325" w14:textId="14AF12B9" w:rsidR="000D55DA" w:rsidRPr="000A3902" w:rsidRDefault="008A23F0" w:rsidP="006E6ED7">
      <w:pPr>
        <w:pStyle w:val="Heading1"/>
      </w:pPr>
      <w:bookmarkStart w:id="71" w:name="_Toc99632507"/>
      <w:bookmarkStart w:id="72" w:name="_Toc109035852"/>
      <w:bookmarkStart w:id="73" w:name="_Toc99632519"/>
      <w:r>
        <w:lastRenderedPageBreak/>
        <w:t>5</w:t>
      </w:r>
      <w:r w:rsidR="000D55DA" w:rsidRPr="000A3902">
        <w:t xml:space="preserve">. </w:t>
      </w:r>
      <w:r w:rsidR="000D55DA">
        <w:t>What are the expected benefits of the options?</w:t>
      </w:r>
      <w:bookmarkEnd w:id="71"/>
      <w:bookmarkEnd w:id="72"/>
    </w:p>
    <w:p w14:paraId="48AFC3DB" w14:textId="77777777" w:rsidR="000D55DA" w:rsidRDefault="000D55DA" w:rsidP="006E6ED7">
      <w:pPr>
        <w:pStyle w:val="Heading2"/>
      </w:pPr>
      <w:bookmarkStart w:id="74" w:name="_Toc99632508"/>
      <w:bookmarkStart w:id="75" w:name="_Toc109035853"/>
      <w:r w:rsidRPr="005D3200">
        <w:t xml:space="preserve">Option </w:t>
      </w:r>
      <w:r>
        <w:t>1</w:t>
      </w:r>
      <w:r w:rsidRPr="005D3200">
        <w:t xml:space="preserve"> (</w:t>
      </w:r>
      <w:r>
        <w:t>Status quo</w:t>
      </w:r>
      <w:r w:rsidRPr="005D3200">
        <w:t>)</w:t>
      </w:r>
      <w:bookmarkEnd w:id="74"/>
      <w:bookmarkEnd w:id="75"/>
    </w:p>
    <w:p w14:paraId="19F98193" w14:textId="77777777" w:rsidR="000D55DA" w:rsidRPr="008F47AF" w:rsidRDefault="000D55DA" w:rsidP="000D55DA">
      <w:pPr>
        <w:spacing w:before="120" w:after="120" w:line="240" w:lineRule="auto"/>
        <w:rPr>
          <w:rFonts w:cs="Arial"/>
          <w:bCs/>
          <w:color w:val="000000"/>
          <w:szCs w:val="20"/>
        </w:rPr>
      </w:pPr>
      <w:r w:rsidRPr="008F47AF">
        <w:rPr>
          <w:rFonts w:cs="Arial"/>
          <w:bCs/>
          <w:color w:val="000000"/>
          <w:szCs w:val="20"/>
        </w:rPr>
        <w:t xml:space="preserve">No regulatory change means that there will be </w:t>
      </w:r>
      <w:proofErr w:type="gramStart"/>
      <w:r w:rsidRPr="008F47AF">
        <w:rPr>
          <w:rFonts w:cs="Arial"/>
          <w:bCs/>
          <w:color w:val="000000"/>
          <w:szCs w:val="20"/>
        </w:rPr>
        <w:t>a number of</w:t>
      </w:r>
      <w:proofErr w:type="gramEnd"/>
      <w:r w:rsidRPr="008F47AF">
        <w:rPr>
          <w:rFonts w:cs="Arial"/>
          <w:bCs/>
          <w:color w:val="000000"/>
          <w:szCs w:val="20"/>
        </w:rPr>
        <w:t xml:space="preserve"> SPR recommendations and pricing issues left unaddressed, leaving potential benefits unrealised. </w:t>
      </w:r>
    </w:p>
    <w:p w14:paraId="4C63C3C9" w14:textId="7594CA45" w:rsidR="003C3027" w:rsidRDefault="003C3027" w:rsidP="000D55DA">
      <w:pPr>
        <w:spacing w:before="120" w:after="120" w:line="240" w:lineRule="auto"/>
        <w:rPr>
          <w:rFonts w:cs="Arial"/>
          <w:bCs/>
          <w:color w:val="000000"/>
          <w:szCs w:val="20"/>
        </w:rPr>
      </w:pPr>
      <w:r w:rsidRPr="008F47AF">
        <w:rPr>
          <w:rFonts w:cs="Arial"/>
          <w:bCs/>
          <w:color w:val="000000"/>
          <w:szCs w:val="20"/>
        </w:rPr>
        <w:t>T</w:t>
      </w:r>
      <w:r w:rsidR="00A06D17" w:rsidRPr="008F47AF">
        <w:rPr>
          <w:rFonts w:cs="Arial"/>
          <w:bCs/>
          <w:color w:val="000000"/>
          <w:szCs w:val="20"/>
        </w:rPr>
        <w:t>he consequences of maintaining the status quo are that the pricing structure will not be reflecting the most up</w:t>
      </w:r>
      <w:r w:rsidR="00B447E6" w:rsidRPr="008F47AF">
        <w:rPr>
          <w:rFonts w:cs="Arial"/>
          <w:bCs/>
          <w:color w:val="000000"/>
          <w:szCs w:val="20"/>
        </w:rPr>
        <w:t>-to-date efficient use of spectrum. Therefore, a reassessment will necessarily yield at least an improvement over the status quo because if the status quo did represent the optimal parameterisation, then no change would be necessary or proposed.</w:t>
      </w:r>
      <w:r w:rsidR="00B447E6">
        <w:rPr>
          <w:rFonts w:cs="Arial"/>
          <w:bCs/>
          <w:color w:val="000000"/>
          <w:szCs w:val="20"/>
        </w:rPr>
        <w:t xml:space="preserve"> </w:t>
      </w:r>
    </w:p>
    <w:p w14:paraId="7F558CFC" w14:textId="6BA8566E" w:rsidR="000D55DA" w:rsidRDefault="00800782" w:rsidP="000D55DA">
      <w:pPr>
        <w:rPr>
          <w:rFonts w:cs="Arial"/>
          <w:bCs/>
          <w:color w:val="000000"/>
          <w:szCs w:val="20"/>
        </w:rPr>
      </w:pPr>
      <w:r>
        <w:rPr>
          <w:rFonts w:cs="Arial"/>
          <w:bCs/>
          <w:color w:val="000000"/>
          <w:szCs w:val="20"/>
        </w:rPr>
        <w:t>Howeve</w:t>
      </w:r>
      <w:r w:rsidR="00EF2F30">
        <w:rPr>
          <w:rFonts w:cs="Arial"/>
          <w:bCs/>
          <w:color w:val="000000"/>
          <w:szCs w:val="20"/>
        </w:rPr>
        <w:t>r, t</w:t>
      </w:r>
      <w:r w:rsidR="000D55DA">
        <w:rPr>
          <w:rFonts w:cs="Arial"/>
          <w:bCs/>
          <w:color w:val="000000"/>
          <w:szCs w:val="20"/>
        </w:rPr>
        <w:t xml:space="preserve">he ACMA has/is addressing </w:t>
      </w:r>
      <w:proofErr w:type="gramStart"/>
      <w:r w:rsidR="000D55DA">
        <w:rPr>
          <w:rFonts w:cs="Arial"/>
          <w:bCs/>
          <w:color w:val="000000"/>
          <w:szCs w:val="20"/>
        </w:rPr>
        <w:t>a number of</w:t>
      </w:r>
      <w:proofErr w:type="gramEnd"/>
      <w:r w:rsidR="000D55DA">
        <w:rPr>
          <w:rFonts w:cs="Arial"/>
          <w:bCs/>
          <w:color w:val="000000"/>
          <w:szCs w:val="20"/>
        </w:rPr>
        <w:t xml:space="preserve"> the SPR recommendations that don’t require regulation:</w:t>
      </w:r>
    </w:p>
    <w:p w14:paraId="100E9556" w14:textId="77777777" w:rsidR="000D55DA" w:rsidRDefault="000D55DA" w:rsidP="00DD1C18">
      <w:pPr>
        <w:pStyle w:val="Bulletlevel1"/>
      </w:pPr>
      <w:r>
        <w:t>in the 1</w:t>
      </w:r>
      <w:r w:rsidRPr="00DD1C18">
        <w:t>st</w:t>
      </w:r>
      <w:r>
        <w:t xml:space="preserve"> tranche of </w:t>
      </w:r>
      <w:proofErr w:type="gramStart"/>
      <w:r>
        <w:t>reforms</w:t>
      </w:r>
      <w:proofErr w:type="gramEnd"/>
      <w:r>
        <w:t xml:space="preserve"> the ACMA published pricing principles that explain the foundation for the ACMA pricing decisions, providing stakeholders with more transparency (satisfying SPR recommendation 1</w:t>
      </w:r>
      <w:r w:rsidRPr="00B65FAD">
        <w:rPr>
          <w:rStyle w:val="FootnoteReference"/>
        </w:rPr>
        <w:footnoteReference w:id="27"/>
      </w:r>
      <w:r>
        <w:t xml:space="preserve">). </w:t>
      </w:r>
    </w:p>
    <w:p w14:paraId="1A83CC67" w14:textId="77777777" w:rsidR="000D55DA" w:rsidRPr="00DD1C18" w:rsidRDefault="000D55DA" w:rsidP="00DD1C18">
      <w:pPr>
        <w:pStyle w:val="Bulletlevel1"/>
      </w:pPr>
      <w:r>
        <w:t>regularly identifying spectrum bands expected to be auctioned and publishing them in the annual workplan / Five-year spectrum outlook (satisfying SPR recommendation 4</w:t>
      </w:r>
      <w:r w:rsidRPr="00DD1C18">
        <w:rPr>
          <w:rStyle w:val="FootnoteReference"/>
        </w:rPr>
        <w:footnoteReference w:id="28"/>
      </w:r>
      <w:r>
        <w:t xml:space="preserve">) </w:t>
      </w:r>
    </w:p>
    <w:p w14:paraId="4D453BD2" w14:textId="77777777" w:rsidR="000D55DA" w:rsidRDefault="000D55DA" w:rsidP="00DD1C18">
      <w:pPr>
        <w:pStyle w:val="Bulletlevel1"/>
      </w:pPr>
      <w:r>
        <w:t xml:space="preserve">rebuilt its publicly available tax/ calculator and added more transparent features to help stakeholders estimate their likely </w:t>
      </w:r>
      <w:proofErr w:type="gramStart"/>
      <w:r>
        <w:t>taxes, and</w:t>
      </w:r>
      <w:proofErr w:type="gramEnd"/>
      <w:r>
        <w:t xml:space="preserve"> explain the factors and variables that impact on taxes.</w:t>
      </w:r>
      <w:r w:rsidRPr="00DD1C18">
        <w:rPr>
          <w:vertAlign w:val="superscript"/>
        </w:rPr>
        <w:footnoteReference w:id="29"/>
      </w:r>
      <w:r>
        <w:t xml:space="preserve"> </w:t>
      </w:r>
    </w:p>
    <w:p w14:paraId="7414CE2A" w14:textId="044F7016" w:rsidR="000D55DA" w:rsidRDefault="000D55DA" w:rsidP="000D55DA">
      <w:pPr>
        <w:spacing w:before="120" w:after="120" w:line="240" w:lineRule="auto"/>
        <w:rPr>
          <w:rFonts w:cs="Arial"/>
          <w:bCs/>
          <w:color w:val="000000"/>
          <w:szCs w:val="20"/>
        </w:rPr>
      </w:pPr>
      <w:r>
        <w:rPr>
          <w:rFonts w:cs="Arial"/>
          <w:bCs/>
          <w:color w:val="000000"/>
          <w:szCs w:val="20"/>
        </w:rPr>
        <w:t>These initiatives benefit licensees and other interested stakeholders with enhanced transparency of the ACMA pricing principles, plans, processes, and decisions about spectrum pricing. This is expected to reduce time and costs associated with understanding spectrum pricing</w:t>
      </w:r>
      <w:r w:rsidR="005C4ACC">
        <w:rPr>
          <w:rFonts w:cs="Arial"/>
          <w:bCs/>
          <w:color w:val="000000"/>
          <w:szCs w:val="20"/>
        </w:rPr>
        <w:t xml:space="preserve"> and planning for auctions</w:t>
      </w:r>
      <w:r>
        <w:rPr>
          <w:rFonts w:cs="Arial"/>
          <w:bCs/>
          <w:color w:val="000000"/>
          <w:szCs w:val="20"/>
        </w:rPr>
        <w:t>, give these stakeholders greater confidence in the pricing framework, and facilitate greater stakeholder understanding and engagement.</w:t>
      </w:r>
    </w:p>
    <w:p w14:paraId="7D3085C2" w14:textId="3408AC3A" w:rsidR="000D55DA" w:rsidRDefault="000D55DA" w:rsidP="000D55DA">
      <w:r>
        <w:t xml:space="preserve">However, this option does not include the benefits associated with the regulatory proposals in option </w:t>
      </w:r>
      <w:r w:rsidR="0031204A">
        <w:t>2</w:t>
      </w:r>
      <w:r>
        <w:t xml:space="preserve">. </w:t>
      </w:r>
      <w:r w:rsidR="003217B2">
        <w:t>T</w:t>
      </w:r>
      <w:r>
        <w:t xml:space="preserve">he ACMA is pursuing all non-regulatory initiative that it can but believe that regulatory change is also required to make price setting more contemporary and fit for the current environment. </w:t>
      </w:r>
    </w:p>
    <w:p w14:paraId="58DE8D48" w14:textId="3A4FAA0F" w:rsidR="00800782" w:rsidRDefault="00800782" w:rsidP="00800782">
      <w:pPr>
        <w:spacing w:before="120" w:after="120" w:line="240" w:lineRule="auto"/>
        <w:rPr>
          <w:rFonts w:cs="Arial"/>
          <w:bCs/>
          <w:color w:val="000000"/>
          <w:szCs w:val="20"/>
        </w:rPr>
      </w:pPr>
      <w:bookmarkStart w:id="76" w:name="_Toc99632510"/>
      <w:r>
        <w:rPr>
          <w:rFonts w:cs="Arial"/>
          <w:bCs/>
          <w:color w:val="000000"/>
          <w:szCs w:val="20"/>
        </w:rPr>
        <w:t>The benefits of option</w:t>
      </w:r>
      <w:r w:rsidR="00E27069">
        <w:rPr>
          <w:rFonts w:cs="Arial"/>
          <w:bCs/>
          <w:color w:val="000000"/>
          <w:szCs w:val="20"/>
        </w:rPr>
        <w:t xml:space="preserve"> </w:t>
      </w:r>
      <w:r w:rsidR="00376369">
        <w:rPr>
          <w:rFonts w:cs="Arial"/>
          <w:bCs/>
          <w:color w:val="000000"/>
          <w:szCs w:val="20"/>
        </w:rPr>
        <w:t xml:space="preserve">2 is </w:t>
      </w:r>
      <w:r>
        <w:rPr>
          <w:rFonts w:cs="Arial"/>
          <w:bCs/>
          <w:color w:val="000000"/>
          <w:szCs w:val="20"/>
        </w:rPr>
        <w:t>compared to the status quo.</w:t>
      </w:r>
    </w:p>
    <w:p w14:paraId="49884C87" w14:textId="10CB8550" w:rsidR="000D55DA" w:rsidRDefault="000D55DA" w:rsidP="006E6ED7">
      <w:pPr>
        <w:pStyle w:val="Heading2"/>
      </w:pPr>
      <w:bookmarkStart w:id="77" w:name="_Toc109035854"/>
      <w:r w:rsidRPr="005D3200">
        <w:t xml:space="preserve">Option </w:t>
      </w:r>
      <w:r w:rsidR="0031204A">
        <w:t>2</w:t>
      </w:r>
      <w:r w:rsidR="0031204A" w:rsidRPr="005D3200">
        <w:t xml:space="preserve"> </w:t>
      </w:r>
      <w:r w:rsidRPr="005D3200">
        <w:t>(</w:t>
      </w:r>
      <w:r>
        <w:t xml:space="preserve">regulatory change - </w:t>
      </w:r>
      <w:r w:rsidRPr="005D3200">
        <w:t>preferred option)</w:t>
      </w:r>
      <w:bookmarkEnd w:id="76"/>
      <w:bookmarkEnd w:id="77"/>
    </w:p>
    <w:p w14:paraId="6004EBAA" w14:textId="6AC5FF5D" w:rsidR="00454CED" w:rsidRDefault="00454CED" w:rsidP="00454CED">
      <w:r>
        <w:t xml:space="preserve">The ACMA has adjusted </w:t>
      </w:r>
      <w:r w:rsidR="00E27069">
        <w:t xml:space="preserve">the </w:t>
      </w:r>
      <w:r w:rsidR="001D589E">
        <w:t xml:space="preserve">regulatory </w:t>
      </w:r>
      <w:r>
        <w:t xml:space="preserve">proposal </w:t>
      </w:r>
      <w:r w:rsidR="001D589E">
        <w:t xml:space="preserve">in Option 2 </w:t>
      </w:r>
      <w:r>
        <w:t xml:space="preserve">based on stakeholder feedback (discussed in Chapter </w:t>
      </w:r>
      <w:r w:rsidR="009C5258">
        <w:t>4</w:t>
      </w:r>
      <w:r>
        <w:t xml:space="preserve">). The analysis here reflects the </w:t>
      </w:r>
      <w:r w:rsidR="003D7ED7">
        <w:t xml:space="preserve">expected costs and benefits associated with the </w:t>
      </w:r>
      <w:r>
        <w:t>modified proposals.</w:t>
      </w:r>
    </w:p>
    <w:p w14:paraId="481AD501" w14:textId="456EBB83" w:rsidR="00BF469F" w:rsidRDefault="000D55DA" w:rsidP="000D55DA">
      <w:r w:rsidRPr="006E6ED7">
        <w:lastRenderedPageBreak/>
        <w:t xml:space="preserve">This section shows that each of the discrete </w:t>
      </w:r>
      <w:r w:rsidRPr="00E606BB">
        <w:t xml:space="preserve">regulatory </w:t>
      </w:r>
      <w:r w:rsidRPr="006E6ED7">
        <w:t xml:space="preserve">proposals </w:t>
      </w:r>
      <w:r w:rsidRPr="00E606BB">
        <w:t xml:space="preserve">impact </w:t>
      </w:r>
      <w:r w:rsidRPr="006E6ED7">
        <w:t xml:space="preserve">different </w:t>
      </w:r>
      <w:r w:rsidRPr="00E606BB">
        <w:t>licensees</w:t>
      </w:r>
      <w:r w:rsidR="001D589E">
        <w:t xml:space="preserve"> compared with the status quo</w:t>
      </w:r>
      <w:r w:rsidRPr="006E6ED7">
        <w:t>. T</w:t>
      </w:r>
      <w:r w:rsidRPr="00E606BB">
        <w:t>able 1</w:t>
      </w:r>
      <w:r w:rsidR="00436FC8">
        <w:t>2</w:t>
      </w:r>
      <w:r w:rsidRPr="006E6ED7">
        <w:t xml:space="preserve"> </w:t>
      </w:r>
      <w:r w:rsidRPr="00E606BB">
        <w:t>below</w:t>
      </w:r>
      <w:r w:rsidRPr="006E6ED7">
        <w:t xml:space="preserve"> shows that t</w:t>
      </w:r>
      <w:r w:rsidRPr="00E606BB">
        <w:t>he overall direct effect on licensees is net beneficial</w:t>
      </w:r>
      <w:r w:rsidR="00AD1A1F">
        <w:t xml:space="preserve"> </w:t>
      </w:r>
      <w:r w:rsidR="00BF469F">
        <w:t xml:space="preserve">to licensees </w:t>
      </w:r>
      <w:r w:rsidR="00AD1A1F">
        <w:t>in the order of around $1m each year</w:t>
      </w:r>
      <w:r w:rsidR="00BF469F">
        <w:t xml:space="preserve">. </w:t>
      </w:r>
    </w:p>
    <w:p w14:paraId="6D5C3604" w14:textId="62CE5E0E" w:rsidR="000D55DA" w:rsidRDefault="000D55DA" w:rsidP="000D55DA">
      <w:r>
        <w:t>These proposals adjust relative incentive pricing signals in the administrative pricing formula to better reflect current demand relativities and over time intends for demand to be smoothed across spectrum locations (</w:t>
      </w:r>
      <w:proofErr w:type="gramStart"/>
      <w:r>
        <w:t>e.g.</w:t>
      </w:r>
      <w:proofErr w:type="gramEnd"/>
      <w:r>
        <w:t xml:space="preserve"> to flow toward the &gt;30 to 403 MHz, and &gt;100 GHz bands) and geographic locations (find a new equilibrium across the new borders of Perth and Adelaide consistent with other density areas across Australia). </w:t>
      </w:r>
    </w:p>
    <w:p w14:paraId="2BFD5D37" w14:textId="10EE9C2D" w:rsidR="000D55DA" w:rsidRDefault="000D55DA" w:rsidP="000D55DA">
      <w:pPr>
        <w:rPr>
          <w:rFonts w:cs="Arial"/>
          <w:bCs/>
          <w:iCs/>
          <w:szCs w:val="20"/>
        </w:rPr>
      </w:pPr>
      <w:r>
        <w:rPr>
          <w:rFonts w:cs="Arial"/>
          <w:bCs/>
          <w:iCs/>
          <w:szCs w:val="20"/>
        </w:rPr>
        <w:t>No compliance costs or delay costs are expected from these proposals since licensing  procedures remain the same. The proposals, however, will change the mix of licence tax rates for some existing apparatus licence holders. For licensees that renew their licences each year some licensees will enjoy tax reductions (</w:t>
      </w:r>
      <w:proofErr w:type="gramStart"/>
      <w:r>
        <w:rPr>
          <w:rFonts w:cs="Arial"/>
          <w:bCs/>
          <w:iCs/>
          <w:szCs w:val="20"/>
        </w:rPr>
        <w:t>i.e.</w:t>
      </w:r>
      <w:proofErr w:type="gramEnd"/>
      <w:r>
        <w:rPr>
          <w:rFonts w:cs="Arial"/>
          <w:bCs/>
          <w:iCs/>
          <w:szCs w:val="20"/>
        </w:rPr>
        <w:t xml:space="preserve"> licences in the &gt;30 to 403 MHz band), while others will face tax increases (i.e. licensees that will fall within the Perth and Adelaide medium density areas as a result of the boundary changes). The technical details of existing licences will not change, but the new taxes will be automatically reflected in licence renewals; licensees will not be required to do anything differently. The ACMA will provide licensees with information about when and why tax rates are changing. </w:t>
      </w:r>
    </w:p>
    <w:p w14:paraId="0D6D23F5" w14:textId="13CB138A" w:rsidR="000D55DA" w:rsidRDefault="000D55DA" w:rsidP="000D55DA">
      <w:r>
        <w:t xml:space="preserve">Table 12 summarises the expected </w:t>
      </w:r>
      <w:r w:rsidR="0098224A">
        <w:t xml:space="preserve">annual </w:t>
      </w:r>
      <w:r>
        <w:t>impacts on existing licensees</w:t>
      </w:r>
      <w:r w:rsidR="0057685A">
        <w:t xml:space="preserve"> over the next 10 years</w:t>
      </w:r>
      <w:r>
        <w:t>.</w:t>
      </w:r>
    </w:p>
    <w:p w14:paraId="2F09168B" w14:textId="4AB48C17" w:rsidR="000D55DA" w:rsidRPr="00466676" w:rsidRDefault="000D55DA" w:rsidP="006E6ED7">
      <w:pPr>
        <w:pStyle w:val="Caption"/>
        <w:rPr>
          <w:lang w:val="en-GB"/>
        </w:rPr>
      </w:pPr>
      <w:r w:rsidRPr="00466676">
        <w:t>summary of annual costs/benefits</w:t>
      </w:r>
      <w:r w:rsidR="00993A02" w:rsidRPr="00466676">
        <w:t xml:space="preserve"> on existing licensees.</w:t>
      </w:r>
    </w:p>
    <w:tbl>
      <w:tblPr>
        <w:tblStyle w:val="TableGrid"/>
        <w:tblW w:w="0" w:type="auto"/>
        <w:tblLook w:val="04A0" w:firstRow="1" w:lastRow="0" w:firstColumn="1" w:lastColumn="0" w:noHBand="0" w:noVBand="1"/>
      </w:tblPr>
      <w:tblGrid>
        <w:gridCol w:w="3830"/>
        <w:gridCol w:w="3831"/>
      </w:tblGrid>
      <w:tr w:rsidR="000D55DA" w14:paraId="5E5E3D66" w14:textId="77777777" w:rsidTr="00E451A7">
        <w:tc>
          <w:tcPr>
            <w:tcW w:w="3830" w:type="dxa"/>
          </w:tcPr>
          <w:p w14:paraId="0AB2903E" w14:textId="77777777" w:rsidR="000D55DA" w:rsidRPr="00D679C6" w:rsidRDefault="000D55DA" w:rsidP="00E451A7">
            <w:pPr>
              <w:rPr>
                <w:rFonts w:cs="Arial"/>
                <w:b/>
                <w:iCs/>
                <w:szCs w:val="20"/>
              </w:rPr>
            </w:pPr>
            <w:r w:rsidRPr="00D679C6">
              <w:rPr>
                <w:rFonts w:cs="Arial"/>
                <w:b/>
                <w:iCs/>
                <w:szCs w:val="20"/>
              </w:rPr>
              <w:t>Regulatory proposal</w:t>
            </w:r>
          </w:p>
        </w:tc>
        <w:tc>
          <w:tcPr>
            <w:tcW w:w="3831" w:type="dxa"/>
          </w:tcPr>
          <w:p w14:paraId="7F544168" w14:textId="530AC6B2" w:rsidR="000D55DA" w:rsidRPr="00D679C6" w:rsidRDefault="000D55DA" w:rsidP="00E451A7">
            <w:pPr>
              <w:rPr>
                <w:rFonts w:cs="Arial"/>
                <w:b/>
                <w:iCs/>
                <w:szCs w:val="20"/>
              </w:rPr>
            </w:pPr>
            <w:r w:rsidRPr="00D679C6">
              <w:rPr>
                <w:rFonts w:cs="Arial"/>
                <w:b/>
                <w:iCs/>
                <w:szCs w:val="20"/>
              </w:rPr>
              <w:t>Costs/benefit</w:t>
            </w:r>
            <w:r>
              <w:rPr>
                <w:rFonts w:cs="Arial"/>
                <w:b/>
                <w:iCs/>
                <w:szCs w:val="20"/>
              </w:rPr>
              <w:t xml:space="preserve"> (to nearest $100,000)</w:t>
            </w:r>
          </w:p>
        </w:tc>
      </w:tr>
      <w:tr w:rsidR="000D55DA" w14:paraId="42897A7D" w14:textId="77777777" w:rsidTr="00E451A7">
        <w:tc>
          <w:tcPr>
            <w:tcW w:w="3830" w:type="dxa"/>
          </w:tcPr>
          <w:p w14:paraId="60664D64" w14:textId="77777777" w:rsidR="000D55DA" w:rsidRDefault="000D55DA" w:rsidP="00E451A7">
            <w:pPr>
              <w:rPr>
                <w:rFonts w:cs="Arial"/>
                <w:bCs/>
                <w:iCs/>
                <w:szCs w:val="20"/>
              </w:rPr>
            </w:pPr>
            <w:r>
              <w:rPr>
                <w:rFonts w:cs="Arial"/>
                <w:bCs/>
                <w:iCs/>
                <w:szCs w:val="20"/>
              </w:rPr>
              <w:t>Location weights</w:t>
            </w:r>
          </w:p>
        </w:tc>
        <w:tc>
          <w:tcPr>
            <w:tcW w:w="3831" w:type="dxa"/>
          </w:tcPr>
          <w:p w14:paraId="4FB3DF47" w14:textId="0FDA180F" w:rsidR="000D55DA" w:rsidRDefault="000D55DA" w:rsidP="00E451A7">
            <w:pPr>
              <w:rPr>
                <w:rFonts w:cs="Arial"/>
                <w:bCs/>
                <w:iCs/>
                <w:szCs w:val="20"/>
              </w:rPr>
            </w:pPr>
            <w:r>
              <w:rPr>
                <w:rFonts w:cs="Arial"/>
                <w:bCs/>
                <w:iCs/>
                <w:szCs w:val="20"/>
              </w:rPr>
              <w:t>$188,000</w:t>
            </w:r>
          </w:p>
        </w:tc>
      </w:tr>
      <w:tr w:rsidR="000D55DA" w14:paraId="1E6F9E24" w14:textId="77777777" w:rsidTr="00E451A7">
        <w:tc>
          <w:tcPr>
            <w:tcW w:w="3830" w:type="dxa"/>
          </w:tcPr>
          <w:p w14:paraId="2F2CE321" w14:textId="77777777" w:rsidR="000D55DA" w:rsidRDefault="000D55DA" w:rsidP="00E451A7">
            <w:pPr>
              <w:rPr>
                <w:rFonts w:cs="Arial"/>
                <w:bCs/>
                <w:iCs/>
                <w:szCs w:val="20"/>
              </w:rPr>
            </w:pPr>
            <w:r>
              <w:rPr>
                <w:rFonts w:cs="Arial"/>
                <w:bCs/>
                <w:iCs/>
                <w:szCs w:val="20"/>
              </w:rPr>
              <w:t>Annual update of taxes (based on population changes)</w:t>
            </w:r>
          </w:p>
        </w:tc>
        <w:tc>
          <w:tcPr>
            <w:tcW w:w="3831" w:type="dxa"/>
          </w:tcPr>
          <w:p w14:paraId="68123B08" w14:textId="3CD9B5A4" w:rsidR="000D55DA" w:rsidRDefault="000D55DA" w:rsidP="00E451A7">
            <w:pPr>
              <w:rPr>
                <w:rFonts w:cs="Arial"/>
                <w:bCs/>
                <w:iCs/>
                <w:szCs w:val="20"/>
              </w:rPr>
            </w:pPr>
            <w:r>
              <w:rPr>
                <w:rFonts w:cs="Arial"/>
                <w:bCs/>
                <w:iCs/>
                <w:szCs w:val="20"/>
              </w:rPr>
              <w:t>$736,000</w:t>
            </w:r>
          </w:p>
        </w:tc>
      </w:tr>
      <w:tr w:rsidR="000D55DA" w14:paraId="6348AB66" w14:textId="77777777" w:rsidTr="00E451A7">
        <w:tc>
          <w:tcPr>
            <w:tcW w:w="3830" w:type="dxa"/>
          </w:tcPr>
          <w:p w14:paraId="3B1284B3" w14:textId="77777777" w:rsidR="000D55DA" w:rsidRDefault="000D55DA" w:rsidP="00E451A7">
            <w:pPr>
              <w:rPr>
                <w:rFonts w:cs="Arial"/>
                <w:bCs/>
                <w:iCs/>
                <w:szCs w:val="20"/>
              </w:rPr>
            </w:pPr>
            <w:r>
              <w:rPr>
                <w:rFonts w:cs="Arial"/>
                <w:bCs/>
                <w:iCs/>
                <w:szCs w:val="20"/>
              </w:rPr>
              <w:t>Expand Perth and Adelaide MDAs</w:t>
            </w:r>
          </w:p>
        </w:tc>
        <w:tc>
          <w:tcPr>
            <w:tcW w:w="3831" w:type="dxa"/>
          </w:tcPr>
          <w:p w14:paraId="507994A7" w14:textId="071A2548" w:rsidR="000D55DA" w:rsidRDefault="000D55DA" w:rsidP="00E451A7">
            <w:pPr>
              <w:rPr>
                <w:rFonts w:cs="Arial"/>
                <w:bCs/>
                <w:iCs/>
                <w:szCs w:val="20"/>
              </w:rPr>
            </w:pPr>
            <w:r w:rsidRPr="007938EC">
              <w:rPr>
                <w:rFonts w:cs="Arial"/>
                <w:bCs/>
                <w:iCs/>
                <w:color w:val="FF0000"/>
                <w:szCs w:val="20"/>
              </w:rPr>
              <w:t>-$</w:t>
            </w:r>
            <w:r w:rsidR="007938EC" w:rsidRPr="007938EC">
              <w:rPr>
                <w:rFonts w:cs="Arial"/>
                <w:bCs/>
                <w:iCs/>
                <w:color w:val="FF0000"/>
                <w:szCs w:val="20"/>
              </w:rPr>
              <w:t>324,000</w:t>
            </w:r>
          </w:p>
        </w:tc>
      </w:tr>
      <w:tr w:rsidR="000D55DA" w14:paraId="65B0D4DE" w14:textId="77777777" w:rsidTr="00E451A7">
        <w:tc>
          <w:tcPr>
            <w:tcW w:w="3830" w:type="dxa"/>
          </w:tcPr>
          <w:p w14:paraId="75E454FF" w14:textId="77777777" w:rsidR="000D55DA" w:rsidRDefault="000D55DA" w:rsidP="00E451A7">
            <w:pPr>
              <w:rPr>
                <w:rFonts w:cs="Arial"/>
                <w:bCs/>
                <w:iCs/>
                <w:szCs w:val="20"/>
              </w:rPr>
            </w:pPr>
            <w:r>
              <w:rPr>
                <w:rFonts w:cs="Arial"/>
                <w:bCs/>
                <w:iCs/>
                <w:szCs w:val="20"/>
              </w:rPr>
              <w:t>HPON tax reforms</w:t>
            </w:r>
          </w:p>
        </w:tc>
        <w:tc>
          <w:tcPr>
            <w:tcW w:w="3831" w:type="dxa"/>
          </w:tcPr>
          <w:p w14:paraId="539DBEE2" w14:textId="68EE8739" w:rsidR="000D55DA" w:rsidRDefault="000D55DA" w:rsidP="00E451A7">
            <w:pPr>
              <w:rPr>
                <w:rFonts w:cs="Arial"/>
                <w:bCs/>
                <w:iCs/>
                <w:szCs w:val="20"/>
              </w:rPr>
            </w:pPr>
            <w:r>
              <w:rPr>
                <w:rFonts w:cs="Arial"/>
                <w:bCs/>
                <w:iCs/>
                <w:szCs w:val="20"/>
              </w:rPr>
              <w:t>$420,000</w:t>
            </w:r>
          </w:p>
        </w:tc>
      </w:tr>
      <w:tr w:rsidR="000D55DA" w14:paraId="31E0175B" w14:textId="77777777" w:rsidTr="00E451A7">
        <w:tc>
          <w:tcPr>
            <w:tcW w:w="3830" w:type="dxa"/>
          </w:tcPr>
          <w:p w14:paraId="4BE330A6" w14:textId="77777777" w:rsidR="000D55DA" w:rsidRDefault="000D55DA" w:rsidP="00E451A7">
            <w:pPr>
              <w:rPr>
                <w:rFonts w:cs="Arial"/>
                <w:bCs/>
                <w:iCs/>
                <w:szCs w:val="20"/>
              </w:rPr>
            </w:pPr>
            <w:r>
              <w:rPr>
                <w:rFonts w:cs="Arial"/>
                <w:bCs/>
                <w:iCs/>
                <w:szCs w:val="20"/>
              </w:rPr>
              <w:t>Adjustments to tranche 1</w:t>
            </w:r>
          </w:p>
        </w:tc>
        <w:tc>
          <w:tcPr>
            <w:tcW w:w="3831" w:type="dxa"/>
          </w:tcPr>
          <w:p w14:paraId="65CE2EA3" w14:textId="77777777" w:rsidR="000D55DA" w:rsidRDefault="000D55DA" w:rsidP="00E451A7">
            <w:pPr>
              <w:rPr>
                <w:rFonts w:cs="Arial"/>
                <w:bCs/>
                <w:iCs/>
                <w:szCs w:val="20"/>
              </w:rPr>
            </w:pPr>
            <w:r>
              <w:rPr>
                <w:rFonts w:cs="Arial"/>
                <w:bCs/>
                <w:iCs/>
                <w:szCs w:val="20"/>
              </w:rPr>
              <w:t>Increased clarity and flexibility of micro/low power, and earth station system licensing options.</w:t>
            </w:r>
          </w:p>
        </w:tc>
      </w:tr>
      <w:tr w:rsidR="00FE3E77" w14:paraId="5671BFE2" w14:textId="77777777" w:rsidTr="00E451A7">
        <w:tc>
          <w:tcPr>
            <w:tcW w:w="3830" w:type="dxa"/>
          </w:tcPr>
          <w:p w14:paraId="35CD9A89" w14:textId="0DAC4475" w:rsidR="00FE3E77" w:rsidRDefault="00FE3E77" w:rsidP="00E451A7">
            <w:pPr>
              <w:rPr>
                <w:rFonts w:cs="Arial"/>
                <w:bCs/>
                <w:iCs/>
                <w:szCs w:val="20"/>
              </w:rPr>
            </w:pPr>
            <w:r>
              <w:rPr>
                <w:rFonts w:cs="Arial"/>
                <w:bCs/>
                <w:iCs/>
                <w:szCs w:val="20"/>
              </w:rPr>
              <w:t>Total</w:t>
            </w:r>
          </w:p>
        </w:tc>
        <w:tc>
          <w:tcPr>
            <w:tcW w:w="3831" w:type="dxa"/>
          </w:tcPr>
          <w:p w14:paraId="2BAE3D48" w14:textId="14055506" w:rsidR="00FE3E77" w:rsidRDefault="00FE3E77" w:rsidP="00E451A7">
            <w:pPr>
              <w:rPr>
                <w:rFonts w:cs="Arial"/>
                <w:bCs/>
                <w:iCs/>
                <w:szCs w:val="20"/>
              </w:rPr>
            </w:pPr>
            <w:r>
              <w:rPr>
                <w:rFonts w:cs="Arial"/>
                <w:bCs/>
                <w:iCs/>
                <w:szCs w:val="20"/>
              </w:rPr>
              <w:t>$1,020,00</w:t>
            </w:r>
            <w:r w:rsidR="00436FC8">
              <w:rPr>
                <w:rFonts w:cs="Arial"/>
                <w:bCs/>
                <w:iCs/>
                <w:szCs w:val="20"/>
              </w:rPr>
              <w:t>0</w:t>
            </w:r>
          </w:p>
        </w:tc>
      </w:tr>
    </w:tbl>
    <w:p w14:paraId="7CECC65C" w14:textId="77777777" w:rsidR="000D55DA" w:rsidRDefault="000D55DA" w:rsidP="000D55DA">
      <w:pPr>
        <w:rPr>
          <w:rFonts w:cs="Arial"/>
          <w:bCs/>
          <w:iCs/>
          <w:szCs w:val="20"/>
        </w:rPr>
      </w:pPr>
    </w:p>
    <w:p w14:paraId="2282C27E" w14:textId="1D545FFA" w:rsidR="000D55DA" w:rsidRDefault="00326077" w:rsidP="00326077">
      <w:r w:rsidRPr="00326077">
        <w:rPr>
          <w:rFonts w:cs="Arial"/>
          <w:bCs/>
          <w:iCs/>
          <w:szCs w:val="20"/>
        </w:rPr>
        <w:t xml:space="preserve">A key assumption in this analysis is that future quantitative figures largely follow current trends. </w:t>
      </w:r>
      <w:r w:rsidRPr="00326077">
        <w:t>However, o</w:t>
      </w:r>
      <w:r w:rsidR="000D55DA" w:rsidRPr="00326077">
        <w:t xml:space="preserve">ver time the ACMA expects </w:t>
      </w:r>
      <w:r w:rsidR="00EA227D" w:rsidRPr="00326077">
        <w:t xml:space="preserve">the tax reductions to </w:t>
      </w:r>
      <w:r w:rsidR="00F14710" w:rsidRPr="00326077">
        <w:t>encourage</w:t>
      </w:r>
      <w:r w:rsidR="00F14710">
        <w:t xml:space="preserve"> more uptake of licences </w:t>
      </w:r>
      <w:r w:rsidR="000D55DA">
        <w:t>where we have reduced prices</w:t>
      </w:r>
      <w:r w:rsidR="00630251">
        <w:t xml:space="preserve"> (in the </w:t>
      </w:r>
      <w:r w:rsidR="00D16DFD">
        <w:t>&gt;30 to 403 band and the &gt;100 GHz band</w:t>
      </w:r>
      <w:r w:rsidR="002F18B6">
        <w:t>) deriving more producer and consumer surplus</w:t>
      </w:r>
      <w:r w:rsidR="002D1455">
        <w:t>. Similarly</w:t>
      </w:r>
      <w:r w:rsidR="007B476F">
        <w:t xml:space="preserve">, uptake of licences may </w:t>
      </w:r>
      <w:r w:rsidR="000D55DA">
        <w:t xml:space="preserve">decrease where we have increased prices. </w:t>
      </w:r>
      <w:r>
        <w:t>W</w:t>
      </w:r>
      <w:r w:rsidR="000D55DA">
        <w:t xml:space="preserve">e don’t </w:t>
      </w:r>
      <w:r>
        <w:t xml:space="preserve">currently </w:t>
      </w:r>
      <w:r w:rsidR="000D55DA">
        <w:t>have price elasticity information to precisely predict that change</w:t>
      </w:r>
      <w:r>
        <w:t xml:space="preserve">, but the </w:t>
      </w:r>
      <w:r w:rsidR="000D55DA">
        <w:t>ACMA intends to measure the impact of these price changes on licence volumes to inform future pricing proposals.</w:t>
      </w:r>
    </w:p>
    <w:p w14:paraId="6A0794D3" w14:textId="7C627F8C" w:rsidR="000D55DA" w:rsidRDefault="000D55DA" w:rsidP="000D55DA">
      <w:pPr>
        <w:spacing w:before="60" w:after="60" w:line="240" w:lineRule="auto"/>
        <w:rPr>
          <w:rFonts w:cs="Arial"/>
          <w:bCs/>
          <w:iCs/>
          <w:szCs w:val="20"/>
        </w:rPr>
      </w:pPr>
      <w:r>
        <w:rPr>
          <w:rFonts w:cs="Arial"/>
          <w:bCs/>
          <w:iCs/>
          <w:szCs w:val="20"/>
        </w:rPr>
        <w:t xml:space="preserve">Further detail about direct impacts to licensees is provided below. </w:t>
      </w:r>
    </w:p>
    <w:p w14:paraId="3948D2AD" w14:textId="3FC26D43" w:rsidR="00436FC8" w:rsidRDefault="00436FC8">
      <w:pPr>
        <w:spacing w:after="160" w:line="259" w:lineRule="auto"/>
        <w:rPr>
          <w:rFonts w:cs="Arial"/>
          <w:b/>
          <w:bCs/>
          <w:szCs w:val="26"/>
        </w:rPr>
      </w:pPr>
    </w:p>
    <w:p w14:paraId="3FE55990" w14:textId="07DCB643" w:rsidR="000D55DA" w:rsidRPr="00C26079" w:rsidRDefault="000D55DA" w:rsidP="006E6ED7">
      <w:pPr>
        <w:pStyle w:val="Heading3"/>
      </w:pPr>
      <w:bookmarkStart w:id="78" w:name="_Toc109035855"/>
      <w:r w:rsidRPr="00C26079">
        <w:lastRenderedPageBreak/>
        <w:t>Proposals for updating the tax formula</w:t>
      </w:r>
      <w:bookmarkEnd w:id="78"/>
    </w:p>
    <w:p w14:paraId="1313503A" w14:textId="77777777" w:rsidR="000D55DA" w:rsidRPr="006E6ED7" w:rsidRDefault="000D55DA" w:rsidP="006E6ED7">
      <w:pPr>
        <w:pStyle w:val="Heading4"/>
        <w:keepNext/>
        <w:rPr>
          <w:b w:val="0"/>
        </w:rPr>
      </w:pPr>
      <w:r>
        <w:t xml:space="preserve">Estimated </w:t>
      </w:r>
      <w:r w:rsidRPr="00DB70A9">
        <w:t>Impact of changes to location weights</w:t>
      </w:r>
    </w:p>
    <w:p w14:paraId="7E6CF2C1" w14:textId="77777777" w:rsidR="00A95986" w:rsidRDefault="000D55DA" w:rsidP="000D55DA">
      <w:pPr>
        <w:spacing w:before="60" w:after="60" w:line="240" w:lineRule="auto"/>
      </w:pPr>
      <w:r>
        <w:rPr>
          <w:rFonts w:cs="Arial"/>
          <w:bCs/>
          <w:iCs/>
          <w:szCs w:val="20"/>
        </w:rPr>
        <w:t xml:space="preserve">The ACMA has estimated the direct financial impact of the adjustments to location weights (see Table </w:t>
      </w:r>
      <w:r w:rsidR="00921741">
        <w:rPr>
          <w:rFonts w:cs="Arial"/>
          <w:bCs/>
          <w:iCs/>
          <w:szCs w:val="20"/>
        </w:rPr>
        <w:t>13</w:t>
      </w:r>
      <w:r>
        <w:rPr>
          <w:rFonts w:cs="Arial"/>
          <w:bCs/>
          <w:iCs/>
          <w:szCs w:val="20"/>
        </w:rPr>
        <w:t xml:space="preserve">) to existing licensees. Given the ACMA’s </w:t>
      </w:r>
      <w:r w:rsidR="0081795A">
        <w:rPr>
          <w:rFonts w:cs="Arial"/>
          <w:bCs/>
          <w:iCs/>
          <w:szCs w:val="20"/>
        </w:rPr>
        <w:t xml:space="preserve">inclination </w:t>
      </w:r>
      <w:r>
        <w:rPr>
          <w:rFonts w:cs="Arial"/>
          <w:bCs/>
          <w:iCs/>
          <w:szCs w:val="20"/>
        </w:rPr>
        <w:t xml:space="preserve">not to proceed with price increase in the </w:t>
      </w:r>
      <w:r w:rsidRPr="006E6ED7">
        <w:t>2,690 to 5,000 MHz spectrum location band for high and medium density geographic areas</w:t>
      </w:r>
      <w:r>
        <w:t xml:space="preserve">, the </w:t>
      </w:r>
      <w:r w:rsidR="0081795A">
        <w:t xml:space="preserve">expected </w:t>
      </w:r>
      <w:r>
        <w:t xml:space="preserve">impacts are isolated to licensees in the &gt;30 to 403 band. </w:t>
      </w:r>
      <w:r w:rsidR="00A95986">
        <w:t>T</w:t>
      </w:r>
      <w:r w:rsidR="00587302">
        <w:t xml:space="preserve">he </w:t>
      </w:r>
      <w:r w:rsidR="006E7AE1">
        <w:t xml:space="preserve">ACMA found that the degree of price granularity across this range was unnecessary and </w:t>
      </w:r>
      <w:r w:rsidR="00587302">
        <w:t xml:space="preserve">consolidation </w:t>
      </w:r>
      <w:r w:rsidR="008203D5">
        <w:t xml:space="preserve">of </w:t>
      </w:r>
      <w:r w:rsidR="00587302">
        <w:t>the</w:t>
      </w:r>
      <w:r w:rsidR="006E7AE1">
        <w:t xml:space="preserve"> range </w:t>
      </w:r>
      <w:r w:rsidR="008203D5">
        <w:t xml:space="preserve">is </w:t>
      </w:r>
      <w:r w:rsidR="0085718C">
        <w:t xml:space="preserve">also </w:t>
      </w:r>
      <w:r w:rsidR="008203D5">
        <w:t xml:space="preserve">intended make the </w:t>
      </w:r>
      <w:r w:rsidR="00F77D1A">
        <w:t>broader tax regime simpler and easier to use</w:t>
      </w:r>
      <w:r w:rsidR="00D269F7">
        <w:t>, and more efficient</w:t>
      </w:r>
      <w:r w:rsidR="00F77D1A">
        <w:t xml:space="preserve"> for licensees and the ACMA. </w:t>
      </w:r>
    </w:p>
    <w:p w14:paraId="1F6EC2D2" w14:textId="77777777" w:rsidR="00C00225" w:rsidRDefault="00C00225" w:rsidP="000D55DA">
      <w:pPr>
        <w:spacing w:before="60" w:after="60" w:line="240" w:lineRule="auto"/>
      </w:pPr>
    </w:p>
    <w:p w14:paraId="48B7E97B" w14:textId="30ECB251" w:rsidR="00FC1159" w:rsidRDefault="00FC1159" w:rsidP="000D55DA">
      <w:pPr>
        <w:spacing w:before="60" w:after="60" w:line="240" w:lineRule="auto"/>
      </w:pPr>
      <w:r>
        <w:t xml:space="preserve">Table 12 shows the estimated direct annual impact on licensees </w:t>
      </w:r>
      <w:r w:rsidR="00A903D5">
        <w:t>due to the consolidated location weightings (we’ve used the lowest comment location weight within this range)</w:t>
      </w:r>
    </w:p>
    <w:p w14:paraId="3BA23308" w14:textId="77777777" w:rsidR="00C00225" w:rsidRDefault="00C00225" w:rsidP="000D55DA">
      <w:pPr>
        <w:spacing w:before="60" w:after="60" w:line="240" w:lineRule="auto"/>
      </w:pPr>
    </w:p>
    <w:p w14:paraId="66F97C69" w14:textId="450AC652" w:rsidR="000D55DA" w:rsidRDefault="000D55DA" w:rsidP="000D55DA">
      <w:pPr>
        <w:spacing w:before="60" w:after="60" w:line="240" w:lineRule="auto"/>
      </w:pPr>
      <w:r>
        <w:t>Note that there are no measurable impact</w:t>
      </w:r>
      <w:r w:rsidR="00A547C4">
        <w:t>s</w:t>
      </w:r>
      <w:r>
        <w:t xml:space="preserve"> in the &gt;100 GHz band </w:t>
      </w:r>
      <w:proofErr w:type="gramStart"/>
      <w:r>
        <w:t>as yet</w:t>
      </w:r>
      <w:proofErr w:type="gramEnd"/>
      <w:r>
        <w:t xml:space="preserve"> because there are no licences that currently exist in that range. The ACMA </w:t>
      </w:r>
      <w:r w:rsidRPr="007B7C76">
        <w:t xml:space="preserve">is </w:t>
      </w:r>
      <w:r>
        <w:t xml:space="preserve">aware of </w:t>
      </w:r>
      <w:r w:rsidRPr="007B7C76">
        <w:t xml:space="preserve">emerging demand for </w:t>
      </w:r>
      <w:r>
        <w:t xml:space="preserve">spectrum in </w:t>
      </w:r>
      <w:r w:rsidRPr="007B7C76">
        <w:t>these bands, and the ACMA have plans to make these accessible.</w:t>
      </w:r>
      <w:r w:rsidR="00923EC2">
        <w:t xml:space="preserve"> </w:t>
      </w:r>
      <w:r w:rsidR="00C141FD">
        <w:t>The ACMA expects that the new low tax removes any potential barriers to entry for n</w:t>
      </w:r>
      <w:r w:rsidR="00923EC2">
        <w:t>ew services</w:t>
      </w:r>
      <w:r w:rsidR="00D26D0C">
        <w:t xml:space="preserve"> in this band, and that</w:t>
      </w:r>
      <w:r w:rsidR="00923EC2">
        <w:t xml:space="preserve"> </w:t>
      </w:r>
      <w:r w:rsidR="00D26D0C">
        <w:t xml:space="preserve">these services </w:t>
      </w:r>
      <w:r w:rsidR="00923EC2">
        <w:t>will generate benefits to those licensees and</w:t>
      </w:r>
      <w:r w:rsidR="00AD6078">
        <w:t xml:space="preserve"> downstream customers. </w:t>
      </w:r>
    </w:p>
    <w:p w14:paraId="22C0C039" w14:textId="77777777" w:rsidR="00843038" w:rsidRDefault="00843038" w:rsidP="000D55DA">
      <w:pPr>
        <w:spacing w:before="60" w:after="60" w:line="240" w:lineRule="auto"/>
      </w:pPr>
    </w:p>
    <w:p w14:paraId="3A4F76A2" w14:textId="4537DBC9" w:rsidR="00471D3C" w:rsidRDefault="00471D3C" w:rsidP="000D55DA">
      <w:pPr>
        <w:spacing w:before="60" w:after="60" w:line="240" w:lineRule="auto"/>
        <w:rPr>
          <w:rFonts w:cs="Arial"/>
          <w:bCs/>
          <w:iCs/>
          <w:szCs w:val="20"/>
        </w:rPr>
      </w:pPr>
      <w:r w:rsidRPr="00C441CD">
        <w:t xml:space="preserve">These changes directly link back to the </w:t>
      </w:r>
      <w:r w:rsidR="00564411" w:rsidRPr="00C441CD">
        <w:t xml:space="preserve">SPR’s </w:t>
      </w:r>
      <w:r w:rsidRPr="00C441CD">
        <w:t xml:space="preserve">stated objective of </w:t>
      </w:r>
      <w:r w:rsidR="009F5EB1" w:rsidRPr="00C441CD">
        <w:t>the efficient use of spectrum based on data-driven analysis.</w:t>
      </w:r>
    </w:p>
    <w:p w14:paraId="0C26C2F5" w14:textId="77777777" w:rsidR="000D55DA" w:rsidRDefault="000D55DA" w:rsidP="000D55DA">
      <w:pPr>
        <w:spacing w:before="60" w:after="60" w:line="240" w:lineRule="auto"/>
        <w:rPr>
          <w:rFonts w:cs="Arial"/>
          <w:b/>
          <w:iCs/>
          <w:szCs w:val="20"/>
        </w:rPr>
      </w:pPr>
    </w:p>
    <w:p w14:paraId="4611D951" w14:textId="4ECD87B6" w:rsidR="000D55DA" w:rsidRDefault="00466676" w:rsidP="006E6ED7">
      <w:pPr>
        <w:pStyle w:val="Caption"/>
        <w:rPr>
          <w:rFonts w:cs="Arial"/>
          <w:iCs/>
        </w:rPr>
      </w:pPr>
      <w:r>
        <w:rPr>
          <w:rFonts w:cs="Arial"/>
          <w:iCs/>
        </w:rPr>
        <w:t>Expected benefit to licensees due to location weight changes</w:t>
      </w:r>
    </w:p>
    <w:p w14:paraId="35CAC7A0" w14:textId="77777777" w:rsidR="000D55DA" w:rsidRDefault="000D55DA" w:rsidP="000D55DA">
      <w:pPr>
        <w:spacing w:before="60" w:after="60" w:line="240" w:lineRule="auto"/>
        <w:rPr>
          <w:rFonts w:cs="Arial"/>
          <w:b/>
          <w:iCs/>
          <w:szCs w:val="20"/>
        </w:rPr>
      </w:pPr>
      <w:r>
        <w:rPr>
          <w:noProof/>
        </w:rPr>
        <w:drawing>
          <wp:inline distT="0" distB="0" distL="0" distR="0" wp14:anchorId="03B2E4D4" wp14:editId="01015543">
            <wp:extent cx="4871085" cy="336550"/>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71085" cy="336550"/>
                    </a:xfrm>
                    <a:prstGeom prst="rect">
                      <a:avLst/>
                    </a:prstGeom>
                  </pic:spPr>
                </pic:pic>
              </a:graphicData>
            </a:graphic>
          </wp:inline>
        </w:drawing>
      </w:r>
    </w:p>
    <w:p w14:paraId="3F591EBD" w14:textId="77777777" w:rsidR="000D55DA" w:rsidRDefault="000D55DA" w:rsidP="000D55DA">
      <w:pPr>
        <w:spacing w:before="60" w:after="60" w:line="240" w:lineRule="auto"/>
        <w:rPr>
          <w:rFonts w:cs="Arial"/>
          <w:b/>
          <w:iCs/>
          <w:szCs w:val="20"/>
        </w:rPr>
      </w:pPr>
    </w:p>
    <w:p w14:paraId="58FD1BCA" w14:textId="7D993E22" w:rsidR="000D55DA" w:rsidRPr="004E5DA9" w:rsidRDefault="000D55DA">
      <w:pPr>
        <w:spacing w:before="60" w:after="60" w:line="240" w:lineRule="auto"/>
        <w:rPr>
          <w:rFonts w:cs="Arial"/>
          <w:bCs/>
          <w:iCs/>
          <w:szCs w:val="20"/>
        </w:rPr>
      </w:pPr>
      <w:r w:rsidRPr="00895833">
        <w:rPr>
          <w:rFonts w:cs="Arial"/>
          <w:bCs/>
          <w:iCs/>
          <w:szCs w:val="20"/>
        </w:rPr>
        <w:t>We expect these changes to impact a small number of licence assignments (</w:t>
      </w:r>
      <w:r w:rsidR="009B3127">
        <w:rPr>
          <w:rFonts w:cs="Arial"/>
          <w:bCs/>
          <w:iCs/>
          <w:szCs w:val="20"/>
        </w:rPr>
        <w:t>2</w:t>
      </w:r>
      <w:r w:rsidRPr="00895833">
        <w:rPr>
          <w:rFonts w:cs="Arial"/>
          <w:bCs/>
          <w:iCs/>
          <w:szCs w:val="20"/>
        </w:rPr>
        <w:t>,</w:t>
      </w:r>
      <w:r w:rsidR="009B3127">
        <w:rPr>
          <w:rFonts w:cs="Arial"/>
          <w:bCs/>
          <w:iCs/>
          <w:szCs w:val="20"/>
        </w:rPr>
        <w:t xml:space="preserve">390 </w:t>
      </w:r>
      <w:r w:rsidRPr="00895833">
        <w:rPr>
          <w:rFonts w:cs="Arial"/>
          <w:bCs/>
          <w:iCs/>
          <w:szCs w:val="20"/>
        </w:rPr>
        <w:t>out of approximately 170,000 apparatus licence assignments)</w:t>
      </w:r>
      <w:r w:rsidR="009B3127">
        <w:rPr>
          <w:rFonts w:cs="Arial"/>
          <w:bCs/>
          <w:iCs/>
          <w:szCs w:val="20"/>
        </w:rPr>
        <w:t xml:space="preserve"> and licensees (</w:t>
      </w:r>
      <w:r w:rsidR="00BF6F54">
        <w:rPr>
          <w:rFonts w:cs="Arial"/>
          <w:bCs/>
          <w:iCs/>
          <w:szCs w:val="20"/>
        </w:rPr>
        <w:t>461)</w:t>
      </w:r>
      <w:r w:rsidRPr="00895833">
        <w:rPr>
          <w:rFonts w:cs="Arial"/>
          <w:bCs/>
          <w:iCs/>
          <w:szCs w:val="20"/>
        </w:rPr>
        <w:t xml:space="preserve">. </w:t>
      </w:r>
      <w:r w:rsidRPr="006E6ED7">
        <w:rPr>
          <w:rFonts w:cs="Arial"/>
          <w:bCs/>
          <w:iCs/>
          <w:szCs w:val="20"/>
        </w:rPr>
        <w:t>The average expected tax reduction is $</w:t>
      </w:r>
      <w:r w:rsidR="009B3127">
        <w:rPr>
          <w:rFonts w:cs="Arial"/>
          <w:bCs/>
          <w:iCs/>
          <w:szCs w:val="20"/>
        </w:rPr>
        <w:t>7</w:t>
      </w:r>
      <w:r w:rsidRPr="006E6ED7">
        <w:rPr>
          <w:rFonts w:cs="Arial"/>
          <w:bCs/>
          <w:iCs/>
          <w:szCs w:val="20"/>
        </w:rPr>
        <w:t>9 affecting different licence types in different ways:</w:t>
      </w:r>
      <w:r>
        <w:rPr>
          <w:rFonts w:cs="Arial"/>
          <w:bCs/>
          <w:iCs/>
          <w:szCs w:val="20"/>
        </w:rPr>
        <w:t xml:space="preserve"> </w:t>
      </w:r>
    </w:p>
    <w:p w14:paraId="011FFA24" w14:textId="77777777" w:rsidR="000D55DA" w:rsidRDefault="000D55DA" w:rsidP="000D55DA">
      <w:pPr>
        <w:spacing w:before="60" w:after="60" w:line="240" w:lineRule="auto"/>
        <w:rPr>
          <w:rFonts w:cs="Arial"/>
          <w:b/>
          <w:iCs/>
          <w:szCs w:val="20"/>
        </w:rPr>
      </w:pPr>
    </w:p>
    <w:p w14:paraId="42CBDDD1" w14:textId="77777777" w:rsidR="000D55DA" w:rsidRPr="00E641D7" w:rsidRDefault="000D55DA" w:rsidP="006E6ED7">
      <w:pPr>
        <w:pStyle w:val="Caption"/>
        <w:rPr>
          <w:lang w:val="en-GB"/>
        </w:rPr>
      </w:pPr>
      <w:r>
        <w:rPr>
          <w:noProof/>
        </w:rPr>
        <w:t>distribution of impact by apparatus licence type</w:t>
      </w:r>
    </w:p>
    <w:p w14:paraId="6114CA23" w14:textId="175814BA" w:rsidR="0077165C" w:rsidRDefault="00292AFD" w:rsidP="000D55DA">
      <w:pPr>
        <w:spacing w:before="60" w:after="60" w:line="240" w:lineRule="auto"/>
        <w:rPr>
          <w:rFonts w:cs="Arial"/>
          <w:b/>
          <w:iCs/>
          <w:szCs w:val="20"/>
        </w:rPr>
      </w:pPr>
      <w:r>
        <w:rPr>
          <w:noProof/>
        </w:rPr>
        <w:drawing>
          <wp:inline distT="0" distB="0" distL="0" distR="0" wp14:anchorId="291FEEE0" wp14:editId="3BAE5968">
            <wp:extent cx="4871085" cy="269811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71085" cy="2698115"/>
                    </a:xfrm>
                    <a:prstGeom prst="rect">
                      <a:avLst/>
                    </a:prstGeom>
                  </pic:spPr>
                </pic:pic>
              </a:graphicData>
            </a:graphic>
          </wp:inline>
        </w:drawing>
      </w:r>
    </w:p>
    <w:p w14:paraId="697CE276" w14:textId="77777777" w:rsidR="0077165C" w:rsidRDefault="0077165C" w:rsidP="000D55DA">
      <w:pPr>
        <w:spacing w:before="60" w:after="60" w:line="240" w:lineRule="auto"/>
        <w:rPr>
          <w:rFonts w:cs="Arial"/>
          <w:b/>
          <w:iCs/>
          <w:szCs w:val="20"/>
        </w:rPr>
      </w:pPr>
    </w:p>
    <w:p w14:paraId="2AC31FAE" w14:textId="6C26DD2D" w:rsidR="00570BB0" w:rsidRPr="00A86F5C" w:rsidRDefault="00570BB0" w:rsidP="000D55DA">
      <w:pPr>
        <w:spacing w:before="60" w:after="60" w:line="240" w:lineRule="auto"/>
        <w:rPr>
          <w:rFonts w:cs="Arial"/>
          <w:bCs/>
          <w:iCs/>
          <w:szCs w:val="20"/>
        </w:rPr>
      </w:pPr>
      <w:r w:rsidRPr="00A86F5C">
        <w:rPr>
          <w:rFonts w:cs="Arial"/>
          <w:bCs/>
          <w:iCs/>
          <w:szCs w:val="20"/>
        </w:rPr>
        <w:t>This a</w:t>
      </w:r>
      <w:r>
        <w:rPr>
          <w:rFonts w:cs="Arial"/>
          <w:bCs/>
          <w:iCs/>
          <w:szCs w:val="20"/>
        </w:rPr>
        <w:t xml:space="preserve">nalysis is </w:t>
      </w:r>
      <w:r w:rsidR="0083765A">
        <w:rPr>
          <w:rFonts w:cs="Arial"/>
          <w:bCs/>
          <w:iCs/>
          <w:szCs w:val="20"/>
        </w:rPr>
        <w:t xml:space="preserve">a static </w:t>
      </w:r>
      <w:r w:rsidR="00A778A9">
        <w:rPr>
          <w:rFonts w:cs="Arial"/>
          <w:bCs/>
          <w:iCs/>
          <w:szCs w:val="20"/>
        </w:rPr>
        <w:t xml:space="preserve">comparison </w:t>
      </w:r>
      <w:r w:rsidR="0083765A">
        <w:rPr>
          <w:rFonts w:cs="Arial"/>
          <w:bCs/>
          <w:iCs/>
          <w:szCs w:val="20"/>
        </w:rPr>
        <w:t>of existing licensees</w:t>
      </w:r>
      <w:r w:rsidR="00A778A9">
        <w:rPr>
          <w:rFonts w:cs="Arial"/>
          <w:bCs/>
          <w:iCs/>
          <w:szCs w:val="20"/>
        </w:rPr>
        <w:t xml:space="preserve"> </w:t>
      </w:r>
      <w:r w:rsidR="006821F3">
        <w:rPr>
          <w:rFonts w:cs="Arial"/>
          <w:bCs/>
          <w:iCs/>
          <w:szCs w:val="20"/>
        </w:rPr>
        <w:t>with the current v proposed prices.</w:t>
      </w:r>
      <w:r w:rsidR="003D678C">
        <w:rPr>
          <w:rFonts w:cs="Arial"/>
          <w:bCs/>
          <w:iCs/>
          <w:szCs w:val="20"/>
        </w:rPr>
        <w:t xml:space="preserve"> </w:t>
      </w:r>
      <w:proofErr w:type="gramStart"/>
      <w:r w:rsidR="003D678C">
        <w:rPr>
          <w:rFonts w:cs="Arial"/>
          <w:bCs/>
          <w:iCs/>
          <w:szCs w:val="20"/>
        </w:rPr>
        <w:t>i.e.</w:t>
      </w:r>
      <w:proofErr w:type="gramEnd"/>
      <w:r w:rsidR="003D678C">
        <w:rPr>
          <w:rFonts w:cs="Arial"/>
          <w:bCs/>
          <w:iCs/>
          <w:szCs w:val="20"/>
        </w:rPr>
        <w:t xml:space="preserve"> it assumes that the number of licences in this band remain the same over time. </w:t>
      </w:r>
      <w:r w:rsidR="00C035E7">
        <w:rPr>
          <w:rFonts w:cs="Arial"/>
          <w:bCs/>
          <w:iCs/>
          <w:szCs w:val="20"/>
        </w:rPr>
        <w:t xml:space="preserve">This analysis is likely to underestimate the annual benefit each year given that the lower prices are likely to stimulate more demand </w:t>
      </w:r>
      <w:r w:rsidR="002646DA">
        <w:rPr>
          <w:rFonts w:cs="Arial"/>
          <w:bCs/>
          <w:iCs/>
          <w:szCs w:val="20"/>
        </w:rPr>
        <w:t xml:space="preserve">for licences </w:t>
      </w:r>
      <w:r w:rsidR="00C035E7">
        <w:rPr>
          <w:rFonts w:cs="Arial"/>
          <w:bCs/>
          <w:iCs/>
          <w:szCs w:val="20"/>
        </w:rPr>
        <w:t xml:space="preserve">in this band. </w:t>
      </w:r>
    </w:p>
    <w:p w14:paraId="7E3E3982" w14:textId="77777777" w:rsidR="00570BB0" w:rsidRDefault="00570BB0" w:rsidP="000D55DA">
      <w:pPr>
        <w:spacing w:before="60" w:after="60" w:line="240" w:lineRule="auto"/>
        <w:rPr>
          <w:rFonts w:cs="Arial"/>
          <w:b/>
          <w:iCs/>
          <w:szCs w:val="20"/>
        </w:rPr>
      </w:pPr>
    </w:p>
    <w:p w14:paraId="1E34332C" w14:textId="77777777" w:rsidR="000D55DA" w:rsidRPr="006E6ED7" w:rsidRDefault="000D55DA" w:rsidP="00152709">
      <w:pPr>
        <w:pStyle w:val="Heading4"/>
        <w:keepNext/>
      </w:pPr>
      <w:r w:rsidRPr="006E6ED7">
        <w:t>Cease annual CPI updates to taxes, and instead regularly update taxes based on annual population data updates</w:t>
      </w:r>
    </w:p>
    <w:p w14:paraId="539BE365" w14:textId="72615A5A" w:rsidR="000D55DA" w:rsidRDefault="000D55DA" w:rsidP="000D55DA">
      <w:pPr>
        <w:spacing w:before="60" w:after="60" w:line="240" w:lineRule="auto"/>
      </w:pPr>
      <w:r>
        <w:rPr>
          <w:rFonts w:cs="Arial"/>
          <w:bCs/>
          <w:iCs/>
          <w:szCs w:val="20"/>
        </w:rPr>
        <w:t>The ACMA has historically updated taxes each year for inflation, using the consumer price index (CPI). The ACMA proposes to abandon this practice and instead update taxes based on changes in population (as a proxy for changes in demand). This proposal will mean that annual changes to taxes will no longer be uniform across density areas</w:t>
      </w:r>
      <w:r w:rsidR="0001290A">
        <w:rPr>
          <w:rFonts w:cs="Arial"/>
          <w:bCs/>
          <w:iCs/>
          <w:szCs w:val="20"/>
        </w:rPr>
        <w:t xml:space="preserve"> but instead be based on the population growth specific to those density areas</w:t>
      </w:r>
      <w:r>
        <w:rPr>
          <w:rFonts w:cs="Arial"/>
          <w:bCs/>
          <w:iCs/>
          <w:szCs w:val="20"/>
        </w:rPr>
        <w:t xml:space="preserve"> (see table 1</w:t>
      </w:r>
      <w:r w:rsidR="00AD6078">
        <w:rPr>
          <w:rFonts w:cs="Arial"/>
          <w:bCs/>
          <w:iCs/>
          <w:szCs w:val="20"/>
        </w:rPr>
        <w:t>5</w:t>
      </w:r>
      <w:r>
        <w:rPr>
          <w:rFonts w:cs="Arial"/>
          <w:bCs/>
          <w:iCs/>
          <w:szCs w:val="20"/>
        </w:rPr>
        <w:t xml:space="preserve">). </w:t>
      </w:r>
      <w:r>
        <w:t xml:space="preserve">This is compared to the uniform change across all density areas of </w:t>
      </w:r>
      <w:r w:rsidRPr="77B20063">
        <w:t>19.35% over the same period using CPI.</w:t>
      </w:r>
    </w:p>
    <w:p w14:paraId="24A7EB7C" w14:textId="77777777" w:rsidR="00CA1352" w:rsidRDefault="00CA1352" w:rsidP="000D55DA">
      <w:pPr>
        <w:spacing w:before="60" w:after="60" w:line="240" w:lineRule="auto"/>
      </w:pPr>
    </w:p>
    <w:p w14:paraId="07F6BC6E" w14:textId="507E290A" w:rsidR="000D55DA" w:rsidRPr="004E6ADD" w:rsidRDefault="000D55DA" w:rsidP="006E6ED7">
      <w:pPr>
        <w:pStyle w:val="Caption"/>
        <w:rPr>
          <w:lang w:val="en-GB"/>
        </w:rPr>
      </w:pPr>
      <w:r w:rsidRPr="004E6ADD">
        <w:rPr>
          <w:rFonts w:eastAsia="Arial"/>
        </w:rPr>
        <w:t>changes in tax rates by location weightings using population (2010–20)</w:t>
      </w:r>
    </w:p>
    <w:tbl>
      <w:tblPr>
        <w:tblW w:w="7696" w:type="dxa"/>
        <w:tblInd w:w="-10" w:type="dxa"/>
        <w:tblCellMar>
          <w:top w:w="57" w:type="dxa"/>
          <w:bottom w:w="57" w:type="dxa"/>
        </w:tblCellMar>
        <w:tblLook w:val="04A0" w:firstRow="1" w:lastRow="0" w:firstColumn="1" w:lastColumn="0" w:noHBand="0" w:noVBand="1"/>
      </w:tblPr>
      <w:tblGrid>
        <w:gridCol w:w="1617"/>
        <w:gridCol w:w="1452"/>
        <w:gridCol w:w="1609"/>
        <w:gridCol w:w="1452"/>
        <w:gridCol w:w="1566"/>
      </w:tblGrid>
      <w:tr w:rsidR="000D55DA" w:rsidRPr="00F733D5" w14:paraId="78AA18AC" w14:textId="77777777" w:rsidTr="00E451A7">
        <w:trPr>
          <w:trHeight w:val="230"/>
        </w:trPr>
        <w:tc>
          <w:tcPr>
            <w:tcW w:w="7696" w:type="dxa"/>
            <w:gridSpan w:val="5"/>
            <w:tcBorders>
              <w:top w:val="single" w:sz="8" w:space="0" w:color="auto"/>
              <w:left w:val="single" w:sz="8" w:space="0" w:color="auto"/>
              <w:bottom w:val="single" w:sz="8" w:space="0" w:color="auto"/>
              <w:right w:val="single" w:sz="8" w:space="0" w:color="000000"/>
            </w:tcBorders>
            <w:shd w:val="clear" w:color="000000" w:fill="404040"/>
            <w:noWrap/>
            <w:vAlign w:val="center"/>
            <w:hideMark/>
          </w:tcPr>
          <w:p w14:paraId="1FA7851B" w14:textId="77777777" w:rsidR="000D55DA" w:rsidRPr="00E14798" w:rsidRDefault="000D55DA" w:rsidP="00E451A7">
            <w:pPr>
              <w:spacing w:after="0" w:line="240" w:lineRule="auto"/>
              <w:jc w:val="center"/>
              <w:rPr>
                <w:rFonts w:cs="Arial"/>
                <w:b/>
                <w:bCs/>
                <w:color w:val="FFFFFF"/>
                <w:sz w:val="18"/>
                <w:szCs w:val="22"/>
              </w:rPr>
            </w:pPr>
            <w:r w:rsidRPr="00E14798">
              <w:rPr>
                <w:rFonts w:cs="Arial"/>
                <w:b/>
                <w:bCs/>
                <w:color w:val="FFFFFF"/>
                <w:sz w:val="18"/>
                <w:szCs w:val="22"/>
              </w:rPr>
              <w:t>Geographic location</w:t>
            </w:r>
          </w:p>
        </w:tc>
      </w:tr>
      <w:tr w:rsidR="007118B2" w:rsidRPr="00F733D5" w14:paraId="06798332" w14:textId="77777777" w:rsidTr="00E451A7">
        <w:trPr>
          <w:trHeight w:val="230"/>
        </w:trPr>
        <w:tc>
          <w:tcPr>
            <w:tcW w:w="1617" w:type="dxa"/>
            <w:tcBorders>
              <w:top w:val="nil"/>
              <w:left w:val="single" w:sz="8" w:space="0" w:color="auto"/>
              <w:bottom w:val="single" w:sz="8" w:space="0" w:color="auto"/>
              <w:right w:val="single" w:sz="8" w:space="0" w:color="auto"/>
            </w:tcBorders>
            <w:shd w:val="clear" w:color="000000" w:fill="404040"/>
            <w:noWrap/>
            <w:vAlign w:val="center"/>
            <w:hideMark/>
          </w:tcPr>
          <w:p w14:paraId="308183B5" w14:textId="77777777" w:rsidR="000D55DA" w:rsidRPr="00E14798" w:rsidRDefault="000D55DA" w:rsidP="00E451A7">
            <w:pPr>
              <w:spacing w:after="0" w:line="240" w:lineRule="auto"/>
              <w:jc w:val="center"/>
              <w:rPr>
                <w:rFonts w:cs="Arial"/>
                <w:b/>
                <w:bCs/>
                <w:color w:val="FFFFFF"/>
                <w:sz w:val="18"/>
                <w:szCs w:val="22"/>
              </w:rPr>
            </w:pPr>
            <w:r w:rsidRPr="00E14798">
              <w:rPr>
                <w:rFonts w:cs="Arial"/>
                <w:b/>
                <w:bCs/>
                <w:color w:val="FFFFFF"/>
                <w:sz w:val="18"/>
                <w:szCs w:val="22"/>
              </w:rPr>
              <w:t>Aus</w:t>
            </w:r>
            <w:r>
              <w:rPr>
                <w:rFonts w:cs="Arial"/>
                <w:b/>
                <w:bCs/>
                <w:color w:val="FFFFFF"/>
                <w:sz w:val="18"/>
                <w:szCs w:val="22"/>
              </w:rPr>
              <w:t>tralia-wide</w:t>
            </w:r>
          </w:p>
        </w:tc>
        <w:tc>
          <w:tcPr>
            <w:tcW w:w="1452" w:type="dxa"/>
            <w:tcBorders>
              <w:top w:val="nil"/>
              <w:left w:val="nil"/>
              <w:bottom w:val="single" w:sz="8" w:space="0" w:color="auto"/>
              <w:right w:val="single" w:sz="8" w:space="0" w:color="auto"/>
            </w:tcBorders>
            <w:shd w:val="clear" w:color="000000" w:fill="404040"/>
            <w:noWrap/>
            <w:vAlign w:val="center"/>
            <w:hideMark/>
          </w:tcPr>
          <w:p w14:paraId="73A68F17" w14:textId="77777777" w:rsidR="000D55DA" w:rsidRPr="00E14798" w:rsidRDefault="000D55DA" w:rsidP="00E451A7">
            <w:pPr>
              <w:spacing w:after="0" w:line="240" w:lineRule="auto"/>
              <w:jc w:val="center"/>
              <w:rPr>
                <w:rFonts w:cs="Arial"/>
                <w:b/>
                <w:bCs/>
                <w:color w:val="FFFFFF"/>
                <w:sz w:val="18"/>
                <w:szCs w:val="22"/>
              </w:rPr>
            </w:pPr>
            <w:r w:rsidRPr="00E14798">
              <w:rPr>
                <w:rFonts w:cs="Arial"/>
                <w:b/>
                <w:bCs/>
                <w:color w:val="FFFFFF"/>
                <w:sz w:val="18"/>
                <w:szCs w:val="22"/>
              </w:rPr>
              <w:t>High</w:t>
            </w:r>
          </w:p>
        </w:tc>
        <w:tc>
          <w:tcPr>
            <w:tcW w:w="1609" w:type="dxa"/>
            <w:tcBorders>
              <w:top w:val="nil"/>
              <w:left w:val="nil"/>
              <w:bottom w:val="single" w:sz="8" w:space="0" w:color="auto"/>
              <w:right w:val="single" w:sz="8" w:space="0" w:color="auto"/>
            </w:tcBorders>
            <w:shd w:val="clear" w:color="000000" w:fill="404040"/>
            <w:noWrap/>
            <w:vAlign w:val="center"/>
            <w:hideMark/>
          </w:tcPr>
          <w:p w14:paraId="57CC6B7A" w14:textId="77777777" w:rsidR="000D55DA" w:rsidRPr="00E14798" w:rsidRDefault="000D55DA" w:rsidP="00E451A7">
            <w:pPr>
              <w:spacing w:after="0" w:line="240" w:lineRule="auto"/>
              <w:jc w:val="center"/>
              <w:rPr>
                <w:rFonts w:cs="Arial"/>
                <w:b/>
                <w:bCs/>
                <w:color w:val="FFFFFF"/>
                <w:sz w:val="18"/>
                <w:szCs w:val="22"/>
              </w:rPr>
            </w:pPr>
            <w:r w:rsidRPr="00E14798">
              <w:rPr>
                <w:rFonts w:cs="Arial"/>
                <w:b/>
                <w:bCs/>
                <w:color w:val="FFFFFF"/>
                <w:sz w:val="18"/>
                <w:szCs w:val="22"/>
              </w:rPr>
              <w:t>Medium</w:t>
            </w:r>
          </w:p>
        </w:tc>
        <w:tc>
          <w:tcPr>
            <w:tcW w:w="1452" w:type="dxa"/>
            <w:tcBorders>
              <w:top w:val="nil"/>
              <w:left w:val="nil"/>
              <w:bottom w:val="single" w:sz="8" w:space="0" w:color="auto"/>
              <w:right w:val="single" w:sz="8" w:space="0" w:color="auto"/>
            </w:tcBorders>
            <w:shd w:val="clear" w:color="000000" w:fill="404040"/>
            <w:noWrap/>
            <w:vAlign w:val="center"/>
            <w:hideMark/>
          </w:tcPr>
          <w:p w14:paraId="5844068E" w14:textId="77777777" w:rsidR="000D55DA" w:rsidRPr="00E14798" w:rsidRDefault="000D55DA" w:rsidP="00E451A7">
            <w:pPr>
              <w:spacing w:after="0" w:line="240" w:lineRule="auto"/>
              <w:jc w:val="center"/>
              <w:rPr>
                <w:rFonts w:cs="Arial"/>
                <w:b/>
                <w:bCs/>
                <w:color w:val="FFFFFF"/>
                <w:sz w:val="18"/>
                <w:szCs w:val="22"/>
              </w:rPr>
            </w:pPr>
            <w:r w:rsidRPr="00E14798">
              <w:rPr>
                <w:rFonts w:cs="Arial"/>
                <w:b/>
                <w:bCs/>
                <w:color w:val="FFFFFF"/>
                <w:sz w:val="18"/>
                <w:szCs w:val="22"/>
              </w:rPr>
              <w:t>Low</w:t>
            </w:r>
          </w:p>
        </w:tc>
        <w:tc>
          <w:tcPr>
            <w:tcW w:w="1566" w:type="dxa"/>
            <w:tcBorders>
              <w:top w:val="nil"/>
              <w:left w:val="nil"/>
              <w:bottom w:val="single" w:sz="8" w:space="0" w:color="auto"/>
              <w:right w:val="single" w:sz="8" w:space="0" w:color="auto"/>
            </w:tcBorders>
            <w:shd w:val="clear" w:color="000000" w:fill="404040"/>
            <w:noWrap/>
            <w:vAlign w:val="center"/>
            <w:hideMark/>
          </w:tcPr>
          <w:p w14:paraId="44BC4A41" w14:textId="77777777" w:rsidR="000D55DA" w:rsidRPr="00E14798" w:rsidRDefault="000D55DA" w:rsidP="00E451A7">
            <w:pPr>
              <w:spacing w:after="0" w:line="240" w:lineRule="auto"/>
              <w:jc w:val="center"/>
              <w:rPr>
                <w:rFonts w:cs="Arial"/>
                <w:b/>
                <w:bCs/>
                <w:color w:val="FFFFFF"/>
                <w:sz w:val="18"/>
                <w:szCs w:val="22"/>
              </w:rPr>
            </w:pPr>
            <w:r w:rsidRPr="00E14798">
              <w:rPr>
                <w:rFonts w:cs="Arial"/>
                <w:b/>
                <w:bCs/>
                <w:color w:val="FFFFFF"/>
                <w:sz w:val="18"/>
                <w:szCs w:val="22"/>
              </w:rPr>
              <w:t>Remote</w:t>
            </w:r>
          </w:p>
        </w:tc>
      </w:tr>
      <w:tr w:rsidR="000D55DA" w:rsidRPr="00F733D5" w14:paraId="7BBE72E5" w14:textId="77777777" w:rsidTr="00E451A7">
        <w:trPr>
          <w:trHeight w:val="230"/>
        </w:trPr>
        <w:tc>
          <w:tcPr>
            <w:tcW w:w="1617" w:type="dxa"/>
            <w:tcBorders>
              <w:top w:val="nil"/>
              <w:left w:val="single" w:sz="8" w:space="0" w:color="auto"/>
              <w:bottom w:val="single" w:sz="8" w:space="0" w:color="auto"/>
              <w:right w:val="single" w:sz="8" w:space="0" w:color="auto"/>
            </w:tcBorders>
            <w:shd w:val="clear" w:color="auto" w:fill="auto"/>
            <w:noWrap/>
            <w:vAlign w:val="center"/>
            <w:hideMark/>
          </w:tcPr>
          <w:p w14:paraId="7EAAD7FF" w14:textId="77777777" w:rsidR="000D55DA" w:rsidRPr="00E14798" w:rsidRDefault="000D55DA" w:rsidP="00E451A7">
            <w:pPr>
              <w:spacing w:after="0" w:line="240" w:lineRule="auto"/>
              <w:jc w:val="center"/>
              <w:rPr>
                <w:rFonts w:cs="Arial"/>
                <w:color w:val="000000"/>
                <w:sz w:val="18"/>
                <w:szCs w:val="22"/>
              </w:rPr>
            </w:pPr>
            <w:r w:rsidRPr="00E14798">
              <w:rPr>
                <w:rFonts w:cs="Arial"/>
                <w:color w:val="000000"/>
                <w:sz w:val="18"/>
                <w:szCs w:val="22"/>
              </w:rPr>
              <w:t>16.64%</w:t>
            </w:r>
          </w:p>
        </w:tc>
        <w:tc>
          <w:tcPr>
            <w:tcW w:w="1452" w:type="dxa"/>
            <w:tcBorders>
              <w:top w:val="nil"/>
              <w:left w:val="nil"/>
              <w:bottom w:val="single" w:sz="8" w:space="0" w:color="auto"/>
              <w:right w:val="single" w:sz="8" w:space="0" w:color="auto"/>
            </w:tcBorders>
            <w:shd w:val="clear" w:color="auto" w:fill="auto"/>
            <w:noWrap/>
            <w:vAlign w:val="center"/>
            <w:hideMark/>
          </w:tcPr>
          <w:p w14:paraId="7B2D52BC" w14:textId="77777777" w:rsidR="000D55DA" w:rsidRPr="00E14798" w:rsidRDefault="000D55DA" w:rsidP="00E451A7">
            <w:pPr>
              <w:spacing w:after="0" w:line="240" w:lineRule="auto"/>
              <w:jc w:val="center"/>
              <w:rPr>
                <w:rFonts w:cs="Arial"/>
                <w:color w:val="000000"/>
                <w:sz w:val="18"/>
                <w:szCs w:val="22"/>
              </w:rPr>
            </w:pPr>
            <w:r w:rsidRPr="00E14798">
              <w:rPr>
                <w:rFonts w:cs="Arial"/>
                <w:color w:val="000000"/>
                <w:sz w:val="18"/>
                <w:szCs w:val="22"/>
              </w:rPr>
              <w:t>21.69%</w:t>
            </w:r>
          </w:p>
        </w:tc>
        <w:tc>
          <w:tcPr>
            <w:tcW w:w="1609" w:type="dxa"/>
            <w:tcBorders>
              <w:top w:val="nil"/>
              <w:left w:val="nil"/>
              <w:bottom w:val="single" w:sz="8" w:space="0" w:color="auto"/>
              <w:right w:val="single" w:sz="8" w:space="0" w:color="auto"/>
            </w:tcBorders>
            <w:shd w:val="clear" w:color="auto" w:fill="auto"/>
            <w:noWrap/>
            <w:vAlign w:val="center"/>
            <w:hideMark/>
          </w:tcPr>
          <w:p w14:paraId="14CBF54E" w14:textId="77777777" w:rsidR="000D55DA" w:rsidRPr="00E14798" w:rsidRDefault="000D55DA" w:rsidP="00E451A7">
            <w:pPr>
              <w:spacing w:after="0" w:line="240" w:lineRule="auto"/>
              <w:jc w:val="center"/>
              <w:rPr>
                <w:rFonts w:cs="Arial"/>
                <w:color w:val="000000"/>
                <w:sz w:val="18"/>
                <w:szCs w:val="22"/>
              </w:rPr>
            </w:pPr>
            <w:r w:rsidRPr="00E14798">
              <w:rPr>
                <w:rFonts w:cs="Arial"/>
                <w:color w:val="000000"/>
                <w:sz w:val="18"/>
                <w:szCs w:val="22"/>
              </w:rPr>
              <w:t>14.68%</w:t>
            </w:r>
          </w:p>
        </w:tc>
        <w:tc>
          <w:tcPr>
            <w:tcW w:w="1452" w:type="dxa"/>
            <w:tcBorders>
              <w:top w:val="nil"/>
              <w:left w:val="nil"/>
              <w:bottom w:val="single" w:sz="8" w:space="0" w:color="auto"/>
              <w:right w:val="single" w:sz="8" w:space="0" w:color="auto"/>
            </w:tcBorders>
            <w:shd w:val="clear" w:color="auto" w:fill="auto"/>
            <w:noWrap/>
            <w:vAlign w:val="center"/>
            <w:hideMark/>
          </w:tcPr>
          <w:p w14:paraId="6F8E6050" w14:textId="77777777" w:rsidR="000D55DA" w:rsidRPr="00E14798" w:rsidRDefault="000D55DA" w:rsidP="00E451A7">
            <w:pPr>
              <w:spacing w:after="0" w:line="240" w:lineRule="auto"/>
              <w:jc w:val="center"/>
              <w:rPr>
                <w:rFonts w:cs="Arial"/>
                <w:color w:val="000000"/>
                <w:sz w:val="18"/>
                <w:szCs w:val="22"/>
              </w:rPr>
            </w:pPr>
            <w:r w:rsidRPr="00E14798">
              <w:rPr>
                <w:rFonts w:cs="Arial"/>
                <w:color w:val="000000"/>
                <w:sz w:val="18"/>
                <w:szCs w:val="22"/>
              </w:rPr>
              <w:t>12.20%</w:t>
            </w:r>
          </w:p>
        </w:tc>
        <w:tc>
          <w:tcPr>
            <w:tcW w:w="1566" w:type="dxa"/>
            <w:tcBorders>
              <w:top w:val="nil"/>
              <w:left w:val="nil"/>
              <w:bottom w:val="single" w:sz="8" w:space="0" w:color="auto"/>
              <w:right w:val="single" w:sz="8" w:space="0" w:color="auto"/>
            </w:tcBorders>
            <w:shd w:val="clear" w:color="auto" w:fill="auto"/>
            <w:noWrap/>
            <w:vAlign w:val="center"/>
            <w:hideMark/>
          </w:tcPr>
          <w:p w14:paraId="4411D8FE" w14:textId="77777777" w:rsidR="000D55DA" w:rsidRPr="00E14798" w:rsidRDefault="000D55DA" w:rsidP="00E451A7">
            <w:pPr>
              <w:spacing w:after="0" w:line="240" w:lineRule="auto"/>
              <w:jc w:val="center"/>
              <w:rPr>
                <w:rFonts w:cs="Arial"/>
                <w:color w:val="000000"/>
                <w:sz w:val="18"/>
                <w:szCs w:val="22"/>
              </w:rPr>
            </w:pPr>
            <w:r w:rsidRPr="00E14798">
              <w:rPr>
                <w:rFonts w:cs="Arial"/>
                <w:color w:val="000000"/>
                <w:sz w:val="18"/>
                <w:szCs w:val="22"/>
              </w:rPr>
              <w:t>6.58%</w:t>
            </w:r>
          </w:p>
        </w:tc>
      </w:tr>
    </w:tbl>
    <w:p w14:paraId="544AA73D" w14:textId="77777777" w:rsidR="000D55DA" w:rsidRDefault="000D55DA" w:rsidP="000D55DA">
      <w:pPr>
        <w:spacing w:before="60" w:after="60" w:line="240" w:lineRule="auto"/>
        <w:rPr>
          <w:rFonts w:cs="Arial"/>
          <w:bCs/>
          <w:iCs/>
          <w:szCs w:val="20"/>
        </w:rPr>
      </w:pPr>
    </w:p>
    <w:p w14:paraId="4EFEA64D" w14:textId="496721D0" w:rsidR="000D55DA" w:rsidRDefault="000D55DA" w:rsidP="000D55DA">
      <w:pPr>
        <w:spacing w:before="60" w:after="60" w:line="240" w:lineRule="auto"/>
        <w:rPr>
          <w:rFonts w:cs="Arial"/>
          <w:bCs/>
          <w:iCs/>
          <w:szCs w:val="20"/>
        </w:rPr>
      </w:pPr>
      <w:proofErr w:type="gramStart"/>
      <w:r>
        <w:rPr>
          <w:rFonts w:cs="Arial"/>
          <w:bCs/>
          <w:iCs/>
          <w:szCs w:val="20"/>
        </w:rPr>
        <w:t>Assuming that</w:t>
      </w:r>
      <w:proofErr w:type="gramEnd"/>
      <w:r>
        <w:rPr>
          <w:rFonts w:cs="Arial"/>
          <w:bCs/>
          <w:iCs/>
          <w:szCs w:val="20"/>
        </w:rPr>
        <w:t xml:space="preserve"> these historical changes in prices and population persist into the next decade and growth in assignments continue on the trajectory over the past 20 years</w:t>
      </w:r>
      <w:r w:rsidR="00EB2CAE">
        <w:rPr>
          <w:rStyle w:val="FootnoteReference"/>
          <w:rFonts w:cs="Arial"/>
          <w:bCs/>
          <w:iCs/>
          <w:szCs w:val="20"/>
        </w:rPr>
        <w:footnoteReference w:id="30"/>
      </w:r>
      <w:r>
        <w:rPr>
          <w:rFonts w:cs="Arial"/>
          <w:bCs/>
          <w:iCs/>
          <w:szCs w:val="20"/>
        </w:rPr>
        <w:t xml:space="preserve">, </w:t>
      </w:r>
      <w:r w:rsidR="000107EC">
        <w:rPr>
          <w:rFonts w:cs="Arial"/>
          <w:bCs/>
          <w:iCs/>
          <w:szCs w:val="20"/>
        </w:rPr>
        <w:t xml:space="preserve">we expect that </w:t>
      </w:r>
      <w:r w:rsidR="00370765">
        <w:rPr>
          <w:rFonts w:cs="Arial"/>
          <w:bCs/>
          <w:iCs/>
          <w:szCs w:val="20"/>
        </w:rPr>
        <w:t xml:space="preserve">price rises will be concentrated higher density areas, and vice versa. </w:t>
      </w:r>
      <w:r w:rsidR="00055CB5">
        <w:rPr>
          <w:rFonts w:cs="Arial"/>
          <w:bCs/>
          <w:iCs/>
          <w:szCs w:val="20"/>
        </w:rPr>
        <w:t xml:space="preserve">Consequently, we expect </w:t>
      </w:r>
      <w:r w:rsidR="00535EAE">
        <w:rPr>
          <w:rFonts w:cs="Arial"/>
          <w:bCs/>
          <w:iCs/>
          <w:szCs w:val="20"/>
        </w:rPr>
        <w:t xml:space="preserve">annual </w:t>
      </w:r>
      <w:r w:rsidR="00055CB5">
        <w:rPr>
          <w:rFonts w:cs="Arial"/>
          <w:bCs/>
          <w:iCs/>
          <w:szCs w:val="20"/>
        </w:rPr>
        <w:t>p</w:t>
      </w:r>
      <w:r w:rsidR="00BE1FA0">
        <w:rPr>
          <w:rFonts w:cs="Arial"/>
          <w:bCs/>
          <w:iCs/>
          <w:szCs w:val="20"/>
        </w:rPr>
        <w:t>rice</w:t>
      </w:r>
      <w:r w:rsidR="00535EAE">
        <w:rPr>
          <w:rFonts w:cs="Arial"/>
          <w:bCs/>
          <w:iCs/>
          <w:szCs w:val="20"/>
        </w:rPr>
        <w:t xml:space="preserve"> updates</w:t>
      </w:r>
      <w:r w:rsidR="00BE1FA0">
        <w:rPr>
          <w:rFonts w:cs="Arial"/>
          <w:bCs/>
          <w:iCs/>
          <w:szCs w:val="20"/>
        </w:rPr>
        <w:t xml:space="preserve"> </w:t>
      </w:r>
      <w:r w:rsidR="00055CB5">
        <w:rPr>
          <w:rFonts w:cs="Arial"/>
          <w:bCs/>
          <w:iCs/>
          <w:szCs w:val="20"/>
        </w:rPr>
        <w:t xml:space="preserve">to be more efficient as they </w:t>
      </w:r>
      <w:r w:rsidR="00BE1FA0">
        <w:rPr>
          <w:rFonts w:cs="Arial"/>
          <w:bCs/>
          <w:iCs/>
          <w:szCs w:val="20"/>
        </w:rPr>
        <w:t>will be more commensurate with the underlying population demand driver</w:t>
      </w:r>
      <w:r w:rsidR="00535EAE">
        <w:rPr>
          <w:rFonts w:cs="Arial"/>
          <w:bCs/>
          <w:iCs/>
          <w:szCs w:val="20"/>
        </w:rPr>
        <w:t>s. T</w:t>
      </w:r>
      <w:r>
        <w:rPr>
          <w:rFonts w:cs="Arial"/>
          <w:bCs/>
          <w:iCs/>
          <w:szCs w:val="20"/>
        </w:rPr>
        <w:t>able 1</w:t>
      </w:r>
      <w:r w:rsidR="00D34254">
        <w:rPr>
          <w:rFonts w:cs="Arial"/>
          <w:bCs/>
          <w:iCs/>
          <w:szCs w:val="20"/>
        </w:rPr>
        <w:t>6</w:t>
      </w:r>
      <w:r>
        <w:rPr>
          <w:rFonts w:cs="Arial"/>
          <w:bCs/>
          <w:iCs/>
          <w:szCs w:val="20"/>
        </w:rPr>
        <w:t xml:space="preserve"> shows a projection of licence tax revenues of CPI adjusted taxes v population adjusted taxes. </w:t>
      </w:r>
      <w:r w:rsidR="00271866">
        <w:rPr>
          <w:rFonts w:cs="Arial"/>
          <w:bCs/>
          <w:iCs/>
          <w:szCs w:val="20"/>
        </w:rPr>
        <w:t xml:space="preserve">This historical data </w:t>
      </w:r>
      <w:r>
        <w:rPr>
          <w:rFonts w:cs="Arial"/>
          <w:bCs/>
          <w:iCs/>
          <w:szCs w:val="20"/>
        </w:rPr>
        <w:t>shows that licensees in high</w:t>
      </w:r>
      <w:r w:rsidR="009977CF">
        <w:rPr>
          <w:rFonts w:cs="Arial"/>
          <w:bCs/>
          <w:iCs/>
          <w:szCs w:val="20"/>
        </w:rPr>
        <w:t>-</w:t>
      </w:r>
      <w:r>
        <w:rPr>
          <w:rFonts w:cs="Arial"/>
          <w:bCs/>
          <w:iCs/>
          <w:szCs w:val="20"/>
        </w:rPr>
        <w:t>density areas would be worse off</w:t>
      </w:r>
      <w:r w:rsidR="00D11D43">
        <w:rPr>
          <w:rFonts w:cs="Arial"/>
          <w:bCs/>
          <w:iCs/>
          <w:szCs w:val="20"/>
        </w:rPr>
        <w:t xml:space="preserve"> if the trend continued in the same fashion over time</w:t>
      </w:r>
      <w:r>
        <w:rPr>
          <w:rFonts w:cs="Arial"/>
          <w:bCs/>
          <w:iCs/>
          <w:szCs w:val="20"/>
        </w:rPr>
        <w:t xml:space="preserve">. This </w:t>
      </w:r>
      <w:r w:rsidRPr="00D34254">
        <w:rPr>
          <w:rFonts w:cs="Arial"/>
          <w:bCs/>
          <w:iCs/>
          <w:szCs w:val="20"/>
        </w:rPr>
        <w:t xml:space="preserve">is a concern that licensees expressed (see section </w:t>
      </w:r>
      <w:r w:rsidR="00D34254" w:rsidRPr="00D34254">
        <w:rPr>
          <w:rFonts w:cs="Arial"/>
          <w:bCs/>
          <w:iCs/>
          <w:szCs w:val="20"/>
        </w:rPr>
        <w:t>4</w:t>
      </w:r>
      <w:r w:rsidRPr="00D34254">
        <w:rPr>
          <w:rFonts w:cs="Arial"/>
          <w:bCs/>
          <w:iCs/>
          <w:szCs w:val="20"/>
        </w:rPr>
        <w:t>).</w:t>
      </w:r>
      <w:r>
        <w:rPr>
          <w:rFonts w:cs="Arial"/>
          <w:bCs/>
          <w:iCs/>
          <w:szCs w:val="20"/>
        </w:rPr>
        <w:t xml:space="preserve"> </w:t>
      </w:r>
    </w:p>
    <w:p w14:paraId="32D90160" w14:textId="3A1739E7" w:rsidR="000D55DA" w:rsidRDefault="000D55DA" w:rsidP="000D55DA">
      <w:pPr>
        <w:spacing w:before="60" w:after="60" w:line="240" w:lineRule="auto"/>
        <w:rPr>
          <w:rFonts w:cs="Arial"/>
          <w:bCs/>
          <w:iCs/>
          <w:szCs w:val="20"/>
        </w:rPr>
      </w:pPr>
    </w:p>
    <w:p w14:paraId="5CC6B92C" w14:textId="77777777" w:rsidR="000D55DA" w:rsidRPr="004E6ADD" w:rsidRDefault="000D55DA" w:rsidP="006E6ED7">
      <w:pPr>
        <w:pStyle w:val="Caption"/>
        <w:rPr>
          <w:lang w:val="en-GB"/>
        </w:rPr>
      </w:pPr>
      <w:r>
        <w:rPr>
          <w:rFonts w:eastAsia="Arial"/>
        </w:rPr>
        <w:t xml:space="preserve">Projected difference </w:t>
      </w:r>
      <w:r w:rsidRPr="004E6ADD">
        <w:rPr>
          <w:rFonts w:eastAsia="Arial"/>
        </w:rPr>
        <w:t>in tax by</w:t>
      </w:r>
      <w:r>
        <w:rPr>
          <w:rFonts w:eastAsia="Arial"/>
        </w:rPr>
        <w:t xml:space="preserve"> density area (CPI v pop method)</w:t>
      </w:r>
    </w:p>
    <w:tbl>
      <w:tblPr>
        <w:tblW w:w="8217" w:type="dxa"/>
        <w:tblLayout w:type="fixed"/>
        <w:tblLook w:val="04A0" w:firstRow="1" w:lastRow="0" w:firstColumn="1" w:lastColumn="0" w:noHBand="0" w:noVBand="1"/>
      </w:tblPr>
      <w:tblGrid>
        <w:gridCol w:w="988"/>
        <w:gridCol w:w="1559"/>
        <w:gridCol w:w="1559"/>
        <w:gridCol w:w="1545"/>
        <w:gridCol w:w="1290"/>
        <w:gridCol w:w="1276"/>
      </w:tblGrid>
      <w:tr w:rsidR="000D55DA" w:rsidRPr="00574964" w14:paraId="186A0CAE" w14:textId="77777777" w:rsidTr="00E451A7">
        <w:trPr>
          <w:trHeight w:val="7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ABCB4"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Density area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CE6188F" w14:textId="77777777" w:rsidR="000D55DA"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apparatus licence revenues </w:t>
            </w:r>
          </w:p>
          <w:p w14:paraId="5249179D"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2020-21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91BD101" w14:textId="77777777" w:rsidR="000D55DA"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projected growth to </w:t>
            </w:r>
          </w:p>
          <w:p w14:paraId="1B2DED94"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20</w:t>
            </w:r>
            <w:r>
              <w:rPr>
                <w:rFonts w:ascii="Calibri" w:hAnsi="Calibri" w:cs="Calibri"/>
                <w:color w:val="000000"/>
                <w:sz w:val="22"/>
                <w:szCs w:val="22"/>
              </w:rPr>
              <w:t>2</w:t>
            </w:r>
            <w:r w:rsidRPr="00574964">
              <w:rPr>
                <w:rFonts w:ascii="Calibri" w:hAnsi="Calibri" w:cs="Calibri"/>
                <w:color w:val="000000"/>
                <w:sz w:val="22"/>
                <w:szCs w:val="22"/>
              </w:rPr>
              <w:t>9-</w:t>
            </w:r>
            <w:r>
              <w:rPr>
                <w:rFonts w:ascii="Calibri" w:hAnsi="Calibri" w:cs="Calibri"/>
                <w:color w:val="000000"/>
                <w:sz w:val="22"/>
                <w:szCs w:val="22"/>
              </w:rPr>
              <w:t>3</w:t>
            </w:r>
            <w:r w:rsidRPr="00574964">
              <w:rPr>
                <w:rFonts w:ascii="Calibri" w:hAnsi="Calibri" w:cs="Calibri"/>
                <w:color w:val="000000"/>
                <w:sz w:val="22"/>
                <w:szCs w:val="22"/>
              </w:rPr>
              <w:t>0 (CPI)</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14:paraId="4C0014EA" w14:textId="77777777" w:rsidR="000D55DA"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projected growth to </w:t>
            </w:r>
          </w:p>
          <w:p w14:paraId="3A2F4028"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20</w:t>
            </w:r>
            <w:r>
              <w:rPr>
                <w:rFonts w:ascii="Calibri" w:hAnsi="Calibri" w:cs="Calibri"/>
                <w:color w:val="000000"/>
                <w:sz w:val="22"/>
                <w:szCs w:val="22"/>
              </w:rPr>
              <w:t>2</w:t>
            </w:r>
            <w:r w:rsidRPr="00574964">
              <w:rPr>
                <w:rFonts w:ascii="Calibri" w:hAnsi="Calibri" w:cs="Calibri"/>
                <w:color w:val="000000"/>
                <w:sz w:val="22"/>
                <w:szCs w:val="22"/>
              </w:rPr>
              <w:t>9-</w:t>
            </w:r>
            <w:r>
              <w:rPr>
                <w:rFonts w:ascii="Calibri" w:hAnsi="Calibri" w:cs="Calibri"/>
                <w:color w:val="000000"/>
                <w:sz w:val="22"/>
                <w:szCs w:val="22"/>
              </w:rPr>
              <w:t>3</w:t>
            </w:r>
            <w:r w:rsidRPr="00574964">
              <w:rPr>
                <w:rFonts w:ascii="Calibri" w:hAnsi="Calibri" w:cs="Calibri"/>
                <w:color w:val="000000"/>
                <w:sz w:val="22"/>
                <w:szCs w:val="22"/>
              </w:rPr>
              <w:t>0 (pop)</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41BD0EA1"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difference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CE71700"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annual difference</w:t>
            </w:r>
          </w:p>
        </w:tc>
      </w:tr>
      <w:tr w:rsidR="000D55DA" w:rsidRPr="00574964" w14:paraId="5615458E" w14:textId="77777777" w:rsidTr="00E451A7">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7753319"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AUS Wide</w:t>
            </w:r>
          </w:p>
        </w:tc>
        <w:tc>
          <w:tcPr>
            <w:tcW w:w="1559" w:type="dxa"/>
            <w:tcBorders>
              <w:top w:val="nil"/>
              <w:left w:val="nil"/>
              <w:bottom w:val="single" w:sz="4" w:space="0" w:color="auto"/>
              <w:right w:val="single" w:sz="4" w:space="0" w:color="auto"/>
            </w:tcBorders>
            <w:shd w:val="clear" w:color="auto" w:fill="auto"/>
            <w:noWrap/>
            <w:vAlign w:val="bottom"/>
            <w:hideMark/>
          </w:tcPr>
          <w:p w14:paraId="26360F4A" w14:textId="28152D35"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 $ 50,174,599 </w:t>
            </w:r>
          </w:p>
        </w:tc>
        <w:tc>
          <w:tcPr>
            <w:tcW w:w="1559" w:type="dxa"/>
            <w:tcBorders>
              <w:top w:val="nil"/>
              <w:left w:val="nil"/>
              <w:bottom w:val="single" w:sz="4" w:space="0" w:color="auto"/>
              <w:right w:val="single" w:sz="4" w:space="0" w:color="auto"/>
            </w:tcBorders>
            <w:shd w:val="clear" w:color="auto" w:fill="auto"/>
            <w:noWrap/>
            <w:vAlign w:val="bottom"/>
            <w:hideMark/>
          </w:tcPr>
          <w:p w14:paraId="02F54F1F" w14:textId="4F741F5F"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w:t>
            </w:r>
            <w:r>
              <w:rPr>
                <w:rFonts w:ascii="Calibri" w:hAnsi="Calibri" w:cs="Calibri"/>
                <w:color w:val="000000"/>
                <w:sz w:val="22"/>
                <w:szCs w:val="22"/>
              </w:rPr>
              <w:t xml:space="preserve"> </w:t>
            </w:r>
            <w:r w:rsidRPr="00C861DE">
              <w:rPr>
                <w:rFonts w:ascii="Calibri" w:hAnsi="Calibri" w:cs="Calibri"/>
                <w:color w:val="000000"/>
                <w:sz w:val="22"/>
                <w:szCs w:val="22"/>
              </w:rPr>
              <w:t>113,759,774</w:t>
            </w:r>
          </w:p>
        </w:tc>
        <w:tc>
          <w:tcPr>
            <w:tcW w:w="1545" w:type="dxa"/>
            <w:tcBorders>
              <w:top w:val="nil"/>
              <w:left w:val="nil"/>
              <w:bottom w:val="single" w:sz="4" w:space="0" w:color="auto"/>
              <w:right w:val="single" w:sz="4" w:space="0" w:color="auto"/>
            </w:tcBorders>
            <w:shd w:val="clear" w:color="auto" w:fill="auto"/>
            <w:noWrap/>
            <w:vAlign w:val="bottom"/>
            <w:hideMark/>
          </w:tcPr>
          <w:p w14:paraId="17E90572" w14:textId="34E4668A"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$111,176,707</w:t>
            </w:r>
          </w:p>
        </w:tc>
        <w:tc>
          <w:tcPr>
            <w:tcW w:w="1290" w:type="dxa"/>
            <w:tcBorders>
              <w:top w:val="nil"/>
              <w:left w:val="nil"/>
              <w:bottom w:val="single" w:sz="4" w:space="0" w:color="auto"/>
              <w:right w:val="single" w:sz="4" w:space="0" w:color="auto"/>
            </w:tcBorders>
            <w:shd w:val="clear" w:color="auto" w:fill="auto"/>
            <w:noWrap/>
            <w:vAlign w:val="bottom"/>
            <w:hideMark/>
          </w:tcPr>
          <w:p w14:paraId="6182AE32" w14:textId="393E8C9B"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$2,583,067</w:t>
            </w:r>
          </w:p>
        </w:tc>
        <w:tc>
          <w:tcPr>
            <w:tcW w:w="1276" w:type="dxa"/>
            <w:tcBorders>
              <w:top w:val="nil"/>
              <w:left w:val="nil"/>
              <w:bottom w:val="single" w:sz="4" w:space="0" w:color="auto"/>
              <w:right w:val="single" w:sz="4" w:space="0" w:color="auto"/>
            </w:tcBorders>
            <w:shd w:val="clear" w:color="auto" w:fill="auto"/>
            <w:noWrap/>
            <w:vAlign w:val="bottom"/>
            <w:hideMark/>
          </w:tcPr>
          <w:p w14:paraId="6D61A574" w14:textId="2FA4F34C" w:rsidR="000D55DA" w:rsidRPr="00574964" w:rsidRDefault="000D55DA" w:rsidP="00E451A7">
            <w:pPr>
              <w:spacing w:after="0" w:line="240" w:lineRule="auto"/>
              <w:rPr>
                <w:rFonts w:ascii="Calibri" w:hAnsi="Calibri" w:cs="Calibri"/>
                <w:color w:val="000000"/>
                <w:sz w:val="22"/>
                <w:szCs w:val="22"/>
              </w:rPr>
            </w:pPr>
            <w:r w:rsidRPr="00C80AAD">
              <w:rPr>
                <w:rFonts w:ascii="Calibri" w:hAnsi="Calibri" w:cs="Calibri"/>
                <w:color w:val="000000"/>
                <w:sz w:val="22"/>
                <w:szCs w:val="22"/>
              </w:rPr>
              <w:t>$258,307</w:t>
            </w:r>
          </w:p>
        </w:tc>
      </w:tr>
      <w:tr w:rsidR="000D55DA" w:rsidRPr="00574964" w14:paraId="4A38A1ED" w14:textId="77777777" w:rsidTr="00E451A7">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91A4084"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High    </w:t>
            </w:r>
          </w:p>
        </w:tc>
        <w:tc>
          <w:tcPr>
            <w:tcW w:w="1559" w:type="dxa"/>
            <w:tcBorders>
              <w:top w:val="nil"/>
              <w:left w:val="nil"/>
              <w:bottom w:val="single" w:sz="4" w:space="0" w:color="auto"/>
              <w:right w:val="single" w:sz="4" w:space="0" w:color="auto"/>
            </w:tcBorders>
            <w:shd w:val="clear" w:color="auto" w:fill="auto"/>
            <w:noWrap/>
            <w:vAlign w:val="bottom"/>
            <w:hideMark/>
          </w:tcPr>
          <w:p w14:paraId="4F29B8F5" w14:textId="66166E0B"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 $</w:t>
            </w:r>
            <w:r>
              <w:rPr>
                <w:rFonts w:ascii="Calibri" w:hAnsi="Calibri" w:cs="Calibri"/>
                <w:color w:val="000000"/>
                <w:sz w:val="22"/>
                <w:szCs w:val="22"/>
              </w:rPr>
              <w:t xml:space="preserve"> </w:t>
            </w:r>
            <w:r w:rsidRPr="00574964">
              <w:rPr>
                <w:rFonts w:ascii="Calibri" w:hAnsi="Calibri" w:cs="Calibri"/>
                <w:color w:val="000000"/>
                <w:sz w:val="22"/>
                <w:szCs w:val="22"/>
              </w:rPr>
              <w:t xml:space="preserve">121,984,404 </w:t>
            </w:r>
          </w:p>
        </w:tc>
        <w:tc>
          <w:tcPr>
            <w:tcW w:w="1559" w:type="dxa"/>
            <w:tcBorders>
              <w:top w:val="nil"/>
              <w:left w:val="nil"/>
              <w:bottom w:val="single" w:sz="4" w:space="0" w:color="auto"/>
              <w:right w:val="single" w:sz="4" w:space="0" w:color="auto"/>
            </w:tcBorders>
            <w:shd w:val="clear" w:color="auto" w:fill="auto"/>
            <w:noWrap/>
            <w:hideMark/>
          </w:tcPr>
          <w:p w14:paraId="0EA960E7" w14:textId="0588881F"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w:t>
            </w:r>
            <w:r>
              <w:rPr>
                <w:rFonts w:ascii="Calibri" w:hAnsi="Calibri" w:cs="Calibri"/>
                <w:color w:val="000000"/>
                <w:sz w:val="22"/>
                <w:szCs w:val="22"/>
              </w:rPr>
              <w:t xml:space="preserve"> </w:t>
            </w:r>
            <w:r w:rsidRPr="00C861DE">
              <w:rPr>
                <w:rFonts w:ascii="Calibri" w:hAnsi="Calibri" w:cs="Calibri"/>
                <w:color w:val="000000"/>
                <w:sz w:val="22"/>
                <w:szCs w:val="22"/>
              </w:rPr>
              <w:t>133,256,289</w:t>
            </w:r>
          </w:p>
        </w:tc>
        <w:tc>
          <w:tcPr>
            <w:tcW w:w="1545" w:type="dxa"/>
            <w:tcBorders>
              <w:top w:val="nil"/>
              <w:left w:val="nil"/>
              <w:bottom w:val="single" w:sz="4" w:space="0" w:color="auto"/>
              <w:right w:val="single" w:sz="4" w:space="0" w:color="auto"/>
            </w:tcBorders>
            <w:shd w:val="clear" w:color="auto" w:fill="auto"/>
            <w:noWrap/>
            <w:hideMark/>
          </w:tcPr>
          <w:p w14:paraId="12F745DA" w14:textId="61DAC4DB"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$135,868,938</w:t>
            </w:r>
          </w:p>
        </w:tc>
        <w:tc>
          <w:tcPr>
            <w:tcW w:w="1290" w:type="dxa"/>
            <w:tcBorders>
              <w:top w:val="nil"/>
              <w:left w:val="nil"/>
              <w:bottom w:val="single" w:sz="4" w:space="0" w:color="auto"/>
              <w:right w:val="single" w:sz="4" w:space="0" w:color="auto"/>
            </w:tcBorders>
            <w:shd w:val="clear" w:color="auto" w:fill="auto"/>
            <w:noWrap/>
            <w:hideMark/>
          </w:tcPr>
          <w:p w14:paraId="333F7E0F" w14:textId="5A052A41" w:rsidR="000D55DA" w:rsidRPr="00C80AAD" w:rsidRDefault="000D55DA" w:rsidP="00E451A7">
            <w:pPr>
              <w:spacing w:after="0" w:line="240" w:lineRule="auto"/>
              <w:rPr>
                <w:rFonts w:ascii="Calibri" w:hAnsi="Calibri" w:cs="Calibri"/>
                <w:color w:val="FF0000"/>
                <w:sz w:val="22"/>
                <w:szCs w:val="22"/>
              </w:rPr>
            </w:pPr>
            <w:r w:rsidRPr="00C80AAD">
              <w:rPr>
                <w:rFonts w:ascii="Calibri" w:hAnsi="Calibri" w:cs="Calibri"/>
                <w:color w:val="FF0000"/>
                <w:sz w:val="22"/>
                <w:szCs w:val="22"/>
              </w:rPr>
              <w:t>-$2,612,649</w:t>
            </w:r>
          </w:p>
        </w:tc>
        <w:tc>
          <w:tcPr>
            <w:tcW w:w="1276" w:type="dxa"/>
            <w:tcBorders>
              <w:top w:val="nil"/>
              <w:left w:val="nil"/>
              <w:bottom w:val="single" w:sz="4" w:space="0" w:color="auto"/>
              <w:right w:val="single" w:sz="4" w:space="0" w:color="auto"/>
            </w:tcBorders>
            <w:shd w:val="clear" w:color="auto" w:fill="auto"/>
            <w:noWrap/>
            <w:hideMark/>
          </w:tcPr>
          <w:p w14:paraId="25D3D254" w14:textId="1332E272" w:rsidR="000D55DA" w:rsidRPr="006E6ED7" w:rsidRDefault="000D55DA" w:rsidP="00E451A7">
            <w:pPr>
              <w:spacing w:after="0" w:line="240" w:lineRule="auto"/>
              <w:rPr>
                <w:rFonts w:ascii="Calibri" w:hAnsi="Calibri"/>
                <w:color w:val="FF0000"/>
                <w:sz w:val="22"/>
              </w:rPr>
            </w:pPr>
            <w:r w:rsidRPr="00C80AAD">
              <w:rPr>
                <w:rFonts w:ascii="Calibri" w:hAnsi="Calibri" w:cs="Calibri"/>
                <w:color w:val="FF0000"/>
                <w:sz w:val="22"/>
                <w:szCs w:val="22"/>
              </w:rPr>
              <w:t>-$261,265</w:t>
            </w:r>
          </w:p>
        </w:tc>
      </w:tr>
      <w:tr w:rsidR="000D55DA" w:rsidRPr="00574964" w14:paraId="23442E4F" w14:textId="77777777" w:rsidTr="00E451A7">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9A8F0E3"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Low     </w:t>
            </w:r>
          </w:p>
        </w:tc>
        <w:tc>
          <w:tcPr>
            <w:tcW w:w="1559" w:type="dxa"/>
            <w:tcBorders>
              <w:top w:val="nil"/>
              <w:left w:val="nil"/>
              <w:bottom w:val="single" w:sz="4" w:space="0" w:color="auto"/>
              <w:right w:val="single" w:sz="4" w:space="0" w:color="auto"/>
            </w:tcBorders>
            <w:shd w:val="clear" w:color="auto" w:fill="auto"/>
            <w:noWrap/>
            <w:vAlign w:val="bottom"/>
            <w:hideMark/>
          </w:tcPr>
          <w:p w14:paraId="612E34F7" w14:textId="2225F94C"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 $ 54,549,789 </w:t>
            </w:r>
          </w:p>
        </w:tc>
        <w:tc>
          <w:tcPr>
            <w:tcW w:w="1559" w:type="dxa"/>
            <w:tcBorders>
              <w:top w:val="nil"/>
              <w:left w:val="nil"/>
              <w:bottom w:val="single" w:sz="4" w:space="0" w:color="auto"/>
              <w:right w:val="single" w:sz="4" w:space="0" w:color="auto"/>
            </w:tcBorders>
            <w:shd w:val="clear" w:color="auto" w:fill="auto"/>
            <w:noWrap/>
            <w:hideMark/>
          </w:tcPr>
          <w:p w14:paraId="44B2D55A" w14:textId="25D98FD5"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w:t>
            </w:r>
            <w:r>
              <w:rPr>
                <w:rFonts w:ascii="Calibri" w:hAnsi="Calibri" w:cs="Calibri"/>
                <w:color w:val="000000"/>
                <w:sz w:val="22"/>
                <w:szCs w:val="22"/>
              </w:rPr>
              <w:t xml:space="preserve"> </w:t>
            </w:r>
            <w:r w:rsidRPr="00C861DE">
              <w:rPr>
                <w:rFonts w:ascii="Calibri" w:hAnsi="Calibri" w:cs="Calibri"/>
                <w:color w:val="000000"/>
                <w:sz w:val="22"/>
                <w:szCs w:val="22"/>
              </w:rPr>
              <w:t>96,985,057</w:t>
            </w:r>
          </w:p>
        </w:tc>
        <w:tc>
          <w:tcPr>
            <w:tcW w:w="1545" w:type="dxa"/>
            <w:tcBorders>
              <w:top w:val="nil"/>
              <w:left w:val="nil"/>
              <w:bottom w:val="single" w:sz="4" w:space="0" w:color="auto"/>
              <w:right w:val="single" w:sz="4" w:space="0" w:color="auto"/>
            </w:tcBorders>
            <w:shd w:val="clear" w:color="auto" w:fill="auto"/>
            <w:noWrap/>
            <w:hideMark/>
          </w:tcPr>
          <w:p w14:paraId="1BAFAD92" w14:textId="266FB333"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$93,190,166</w:t>
            </w:r>
          </w:p>
        </w:tc>
        <w:tc>
          <w:tcPr>
            <w:tcW w:w="1290" w:type="dxa"/>
            <w:tcBorders>
              <w:top w:val="nil"/>
              <w:left w:val="nil"/>
              <w:bottom w:val="single" w:sz="4" w:space="0" w:color="auto"/>
              <w:right w:val="single" w:sz="4" w:space="0" w:color="auto"/>
            </w:tcBorders>
            <w:shd w:val="clear" w:color="auto" w:fill="auto"/>
            <w:noWrap/>
            <w:hideMark/>
          </w:tcPr>
          <w:p w14:paraId="3DA285A4" w14:textId="263A76AF"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$3,794,891</w:t>
            </w:r>
          </w:p>
        </w:tc>
        <w:tc>
          <w:tcPr>
            <w:tcW w:w="1276" w:type="dxa"/>
            <w:tcBorders>
              <w:top w:val="nil"/>
              <w:left w:val="nil"/>
              <w:bottom w:val="single" w:sz="4" w:space="0" w:color="auto"/>
              <w:right w:val="single" w:sz="4" w:space="0" w:color="auto"/>
            </w:tcBorders>
            <w:shd w:val="clear" w:color="auto" w:fill="auto"/>
            <w:noWrap/>
            <w:hideMark/>
          </w:tcPr>
          <w:p w14:paraId="1EEDC8FC" w14:textId="2BE7D22B" w:rsidR="000D55DA" w:rsidRPr="00574964" w:rsidRDefault="000D55DA" w:rsidP="00E451A7">
            <w:pPr>
              <w:spacing w:after="0" w:line="240" w:lineRule="auto"/>
              <w:rPr>
                <w:rFonts w:ascii="Calibri" w:hAnsi="Calibri" w:cs="Calibri"/>
                <w:color w:val="000000"/>
                <w:sz w:val="22"/>
                <w:szCs w:val="22"/>
              </w:rPr>
            </w:pPr>
            <w:r w:rsidRPr="00C80AAD">
              <w:rPr>
                <w:rFonts w:ascii="Calibri" w:hAnsi="Calibri" w:cs="Calibri"/>
                <w:color w:val="000000"/>
                <w:sz w:val="22"/>
                <w:szCs w:val="22"/>
              </w:rPr>
              <w:t>$379,489</w:t>
            </w:r>
          </w:p>
        </w:tc>
      </w:tr>
      <w:tr w:rsidR="000D55DA" w:rsidRPr="00574964" w14:paraId="0D975F37" w14:textId="77777777" w:rsidTr="00E451A7">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9B16079"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Medium  </w:t>
            </w:r>
          </w:p>
        </w:tc>
        <w:tc>
          <w:tcPr>
            <w:tcW w:w="1559" w:type="dxa"/>
            <w:tcBorders>
              <w:top w:val="nil"/>
              <w:left w:val="nil"/>
              <w:bottom w:val="single" w:sz="4" w:space="0" w:color="auto"/>
              <w:right w:val="single" w:sz="4" w:space="0" w:color="auto"/>
            </w:tcBorders>
            <w:shd w:val="clear" w:color="auto" w:fill="auto"/>
            <w:noWrap/>
            <w:vAlign w:val="bottom"/>
            <w:hideMark/>
          </w:tcPr>
          <w:p w14:paraId="74CEB847" w14:textId="7776971B"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 $ 17,265,558 </w:t>
            </w:r>
          </w:p>
        </w:tc>
        <w:tc>
          <w:tcPr>
            <w:tcW w:w="1559" w:type="dxa"/>
            <w:tcBorders>
              <w:top w:val="nil"/>
              <w:left w:val="nil"/>
              <w:bottom w:val="single" w:sz="4" w:space="0" w:color="auto"/>
              <w:right w:val="single" w:sz="4" w:space="0" w:color="auto"/>
            </w:tcBorders>
            <w:shd w:val="clear" w:color="auto" w:fill="auto"/>
            <w:noWrap/>
            <w:hideMark/>
          </w:tcPr>
          <w:p w14:paraId="39807015" w14:textId="1B8FDEB2"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w:t>
            </w:r>
            <w:r>
              <w:rPr>
                <w:rFonts w:ascii="Calibri" w:hAnsi="Calibri" w:cs="Calibri"/>
                <w:color w:val="000000"/>
                <w:sz w:val="22"/>
                <w:szCs w:val="22"/>
              </w:rPr>
              <w:t xml:space="preserve"> </w:t>
            </w:r>
            <w:r w:rsidRPr="00C861DE">
              <w:rPr>
                <w:rFonts w:ascii="Calibri" w:hAnsi="Calibri" w:cs="Calibri"/>
                <w:color w:val="000000"/>
                <w:sz w:val="22"/>
                <w:szCs w:val="22"/>
              </w:rPr>
              <w:t>19,549,404</w:t>
            </w:r>
          </w:p>
        </w:tc>
        <w:tc>
          <w:tcPr>
            <w:tcW w:w="1545" w:type="dxa"/>
            <w:tcBorders>
              <w:top w:val="nil"/>
              <w:left w:val="nil"/>
              <w:bottom w:val="single" w:sz="4" w:space="0" w:color="auto"/>
              <w:right w:val="single" w:sz="4" w:space="0" w:color="auto"/>
            </w:tcBorders>
            <w:shd w:val="clear" w:color="auto" w:fill="auto"/>
            <w:noWrap/>
            <w:hideMark/>
          </w:tcPr>
          <w:p w14:paraId="0F58ABE0" w14:textId="795F1E1D"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$18,378,242</w:t>
            </w:r>
          </w:p>
        </w:tc>
        <w:tc>
          <w:tcPr>
            <w:tcW w:w="1290" w:type="dxa"/>
            <w:tcBorders>
              <w:top w:val="nil"/>
              <w:left w:val="nil"/>
              <w:bottom w:val="single" w:sz="4" w:space="0" w:color="auto"/>
              <w:right w:val="single" w:sz="4" w:space="0" w:color="auto"/>
            </w:tcBorders>
            <w:shd w:val="clear" w:color="auto" w:fill="auto"/>
            <w:noWrap/>
            <w:hideMark/>
          </w:tcPr>
          <w:p w14:paraId="57C66679" w14:textId="69D9504D"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$1,171,162</w:t>
            </w:r>
          </w:p>
        </w:tc>
        <w:tc>
          <w:tcPr>
            <w:tcW w:w="1276" w:type="dxa"/>
            <w:tcBorders>
              <w:top w:val="nil"/>
              <w:left w:val="nil"/>
              <w:bottom w:val="single" w:sz="4" w:space="0" w:color="auto"/>
              <w:right w:val="single" w:sz="4" w:space="0" w:color="auto"/>
            </w:tcBorders>
            <w:shd w:val="clear" w:color="auto" w:fill="auto"/>
            <w:noWrap/>
            <w:hideMark/>
          </w:tcPr>
          <w:p w14:paraId="71560F57" w14:textId="50EA7AEE" w:rsidR="000D55DA" w:rsidRPr="00574964" w:rsidRDefault="000D55DA" w:rsidP="00E451A7">
            <w:pPr>
              <w:spacing w:after="0" w:line="240" w:lineRule="auto"/>
              <w:rPr>
                <w:rFonts w:ascii="Calibri" w:hAnsi="Calibri" w:cs="Calibri"/>
                <w:color w:val="000000"/>
                <w:sz w:val="22"/>
                <w:szCs w:val="22"/>
              </w:rPr>
            </w:pPr>
            <w:r w:rsidRPr="00C80AAD">
              <w:rPr>
                <w:rFonts w:ascii="Calibri" w:hAnsi="Calibri" w:cs="Calibri"/>
                <w:color w:val="000000"/>
                <w:sz w:val="22"/>
                <w:szCs w:val="22"/>
              </w:rPr>
              <w:t>$117,116</w:t>
            </w:r>
          </w:p>
        </w:tc>
      </w:tr>
      <w:tr w:rsidR="000D55DA" w:rsidRPr="00574964" w14:paraId="56FC12E6" w14:textId="77777777" w:rsidTr="00E451A7">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32C75F5"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Remote  </w:t>
            </w:r>
          </w:p>
        </w:tc>
        <w:tc>
          <w:tcPr>
            <w:tcW w:w="1559" w:type="dxa"/>
            <w:tcBorders>
              <w:top w:val="nil"/>
              <w:left w:val="nil"/>
              <w:bottom w:val="single" w:sz="4" w:space="0" w:color="auto"/>
              <w:right w:val="single" w:sz="4" w:space="0" w:color="auto"/>
            </w:tcBorders>
            <w:shd w:val="clear" w:color="auto" w:fill="auto"/>
            <w:noWrap/>
            <w:vAlign w:val="bottom"/>
            <w:hideMark/>
          </w:tcPr>
          <w:p w14:paraId="5BB5FB96" w14:textId="4E7AD7F3"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 $ 14,025,650 </w:t>
            </w:r>
          </w:p>
        </w:tc>
        <w:tc>
          <w:tcPr>
            <w:tcW w:w="1559" w:type="dxa"/>
            <w:tcBorders>
              <w:top w:val="nil"/>
              <w:left w:val="nil"/>
              <w:bottom w:val="single" w:sz="4" w:space="0" w:color="auto"/>
              <w:right w:val="single" w:sz="4" w:space="0" w:color="auto"/>
            </w:tcBorders>
            <w:shd w:val="clear" w:color="auto" w:fill="auto"/>
            <w:noWrap/>
            <w:hideMark/>
          </w:tcPr>
          <w:p w14:paraId="6F81A38D" w14:textId="59BB56CC"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w:t>
            </w:r>
            <w:r>
              <w:rPr>
                <w:rFonts w:ascii="Calibri" w:hAnsi="Calibri" w:cs="Calibri"/>
                <w:color w:val="000000"/>
                <w:sz w:val="22"/>
                <w:szCs w:val="22"/>
              </w:rPr>
              <w:t xml:space="preserve"> </w:t>
            </w:r>
            <w:r w:rsidRPr="00C861DE">
              <w:rPr>
                <w:rFonts w:ascii="Calibri" w:hAnsi="Calibri" w:cs="Calibri"/>
                <w:color w:val="000000"/>
                <w:sz w:val="22"/>
                <w:szCs w:val="22"/>
              </w:rPr>
              <w:t>22,677,951</w:t>
            </w:r>
          </w:p>
        </w:tc>
        <w:tc>
          <w:tcPr>
            <w:tcW w:w="1545" w:type="dxa"/>
            <w:tcBorders>
              <w:top w:val="nil"/>
              <w:left w:val="nil"/>
              <w:bottom w:val="single" w:sz="4" w:space="0" w:color="auto"/>
              <w:right w:val="single" w:sz="4" w:space="0" w:color="auto"/>
            </w:tcBorders>
            <w:shd w:val="clear" w:color="auto" w:fill="auto"/>
            <w:noWrap/>
            <w:hideMark/>
          </w:tcPr>
          <w:p w14:paraId="5B6C44F1" w14:textId="02FDC1EE"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$20,251,496</w:t>
            </w:r>
          </w:p>
        </w:tc>
        <w:tc>
          <w:tcPr>
            <w:tcW w:w="1290" w:type="dxa"/>
            <w:tcBorders>
              <w:top w:val="nil"/>
              <w:left w:val="nil"/>
              <w:bottom w:val="single" w:sz="4" w:space="0" w:color="auto"/>
              <w:right w:val="single" w:sz="4" w:space="0" w:color="auto"/>
            </w:tcBorders>
            <w:shd w:val="clear" w:color="auto" w:fill="auto"/>
            <w:noWrap/>
            <w:hideMark/>
          </w:tcPr>
          <w:p w14:paraId="639DC0F8" w14:textId="5C057790"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$2,426,455</w:t>
            </w:r>
          </w:p>
        </w:tc>
        <w:tc>
          <w:tcPr>
            <w:tcW w:w="1276" w:type="dxa"/>
            <w:tcBorders>
              <w:top w:val="nil"/>
              <w:left w:val="nil"/>
              <w:bottom w:val="single" w:sz="4" w:space="0" w:color="auto"/>
              <w:right w:val="single" w:sz="4" w:space="0" w:color="auto"/>
            </w:tcBorders>
            <w:shd w:val="clear" w:color="auto" w:fill="auto"/>
            <w:noWrap/>
            <w:hideMark/>
          </w:tcPr>
          <w:p w14:paraId="3600C7C1" w14:textId="58C8C0AE" w:rsidR="000D55DA" w:rsidRPr="00574964" w:rsidRDefault="000D55DA" w:rsidP="00E451A7">
            <w:pPr>
              <w:spacing w:after="0" w:line="240" w:lineRule="auto"/>
              <w:rPr>
                <w:rFonts w:ascii="Calibri" w:hAnsi="Calibri" w:cs="Calibri"/>
                <w:color w:val="000000"/>
                <w:sz w:val="22"/>
                <w:szCs w:val="22"/>
              </w:rPr>
            </w:pPr>
            <w:r w:rsidRPr="00C80AAD">
              <w:rPr>
                <w:rFonts w:ascii="Calibri" w:hAnsi="Calibri" w:cs="Calibri"/>
                <w:color w:val="000000"/>
                <w:sz w:val="22"/>
                <w:szCs w:val="22"/>
              </w:rPr>
              <w:t>$242,645</w:t>
            </w:r>
          </w:p>
        </w:tc>
      </w:tr>
      <w:tr w:rsidR="000D55DA" w:rsidRPr="00574964" w14:paraId="73706D6B" w14:textId="77777777" w:rsidTr="00E451A7">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F6DEEF4" w14:textId="77777777"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5774C19C" w14:textId="2894BD3C" w:rsidR="000D55DA" w:rsidRPr="00574964" w:rsidRDefault="000D55DA" w:rsidP="00E451A7">
            <w:pPr>
              <w:spacing w:after="0" w:line="240" w:lineRule="auto"/>
              <w:rPr>
                <w:rFonts w:ascii="Calibri" w:hAnsi="Calibri" w:cs="Calibri"/>
                <w:color w:val="000000"/>
                <w:sz w:val="22"/>
                <w:szCs w:val="22"/>
              </w:rPr>
            </w:pPr>
            <w:r w:rsidRPr="00574964">
              <w:rPr>
                <w:rFonts w:ascii="Calibri" w:hAnsi="Calibri" w:cs="Calibri"/>
                <w:color w:val="000000"/>
                <w:sz w:val="22"/>
                <w:szCs w:val="22"/>
              </w:rPr>
              <w:t xml:space="preserve"> $ 258,000,000 </w:t>
            </w:r>
          </w:p>
        </w:tc>
        <w:tc>
          <w:tcPr>
            <w:tcW w:w="1559" w:type="dxa"/>
            <w:tcBorders>
              <w:top w:val="nil"/>
              <w:left w:val="nil"/>
              <w:bottom w:val="single" w:sz="4" w:space="0" w:color="auto"/>
              <w:right w:val="single" w:sz="4" w:space="0" w:color="auto"/>
            </w:tcBorders>
            <w:shd w:val="clear" w:color="auto" w:fill="auto"/>
            <w:noWrap/>
            <w:hideMark/>
          </w:tcPr>
          <w:p w14:paraId="353455A4" w14:textId="6D2C8175"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w:t>
            </w:r>
            <w:r>
              <w:rPr>
                <w:rFonts w:ascii="Calibri" w:hAnsi="Calibri" w:cs="Calibri"/>
                <w:color w:val="000000"/>
                <w:sz w:val="22"/>
                <w:szCs w:val="22"/>
              </w:rPr>
              <w:t xml:space="preserve"> </w:t>
            </w:r>
            <w:r w:rsidRPr="00C861DE">
              <w:rPr>
                <w:rFonts w:ascii="Calibri" w:hAnsi="Calibri" w:cs="Calibri"/>
                <w:color w:val="000000"/>
                <w:sz w:val="22"/>
                <w:szCs w:val="22"/>
              </w:rPr>
              <w:t>386,228,474</w:t>
            </w:r>
          </w:p>
        </w:tc>
        <w:tc>
          <w:tcPr>
            <w:tcW w:w="1545" w:type="dxa"/>
            <w:tcBorders>
              <w:top w:val="nil"/>
              <w:left w:val="nil"/>
              <w:bottom w:val="single" w:sz="4" w:space="0" w:color="auto"/>
              <w:right w:val="single" w:sz="4" w:space="0" w:color="auto"/>
            </w:tcBorders>
            <w:shd w:val="clear" w:color="auto" w:fill="auto"/>
            <w:noWrap/>
            <w:hideMark/>
          </w:tcPr>
          <w:p w14:paraId="33C6317F" w14:textId="5F6F5D76"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$378,865,550</w:t>
            </w:r>
          </w:p>
        </w:tc>
        <w:tc>
          <w:tcPr>
            <w:tcW w:w="1290" w:type="dxa"/>
            <w:tcBorders>
              <w:top w:val="nil"/>
              <w:left w:val="nil"/>
              <w:bottom w:val="single" w:sz="4" w:space="0" w:color="auto"/>
              <w:right w:val="single" w:sz="4" w:space="0" w:color="auto"/>
            </w:tcBorders>
            <w:shd w:val="clear" w:color="auto" w:fill="auto"/>
            <w:noWrap/>
            <w:hideMark/>
          </w:tcPr>
          <w:p w14:paraId="5565A276" w14:textId="4E6170BA" w:rsidR="000D55DA" w:rsidRPr="00574964" w:rsidRDefault="000D55DA" w:rsidP="00E451A7">
            <w:pPr>
              <w:spacing w:after="0" w:line="240" w:lineRule="auto"/>
              <w:rPr>
                <w:rFonts w:ascii="Calibri" w:hAnsi="Calibri" w:cs="Calibri"/>
                <w:color w:val="000000"/>
                <w:sz w:val="22"/>
                <w:szCs w:val="22"/>
              </w:rPr>
            </w:pPr>
            <w:r w:rsidRPr="00C861DE">
              <w:rPr>
                <w:rFonts w:ascii="Calibri" w:hAnsi="Calibri" w:cs="Calibri"/>
                <w:color w:val="000000"/>
                <w:sz w:val="22"/>
                <w:szCs w:val="22"/>
              </w:rPr>
              <w:t>$7,362,925</w:t>
            </w:r>
          </w:p>
        </w:tc>
        <w:tc>
          <w:tcPr>
            <w:tcW w:w="1276" w:type="dxa"/>
            <w:tcBorders>
              <w:top w:val="nil"/>
              <w:left w:val="nil"/>
              <w:bottom w:val="single" w:sz="4" w:space="0" w:color="auto"/>
              <w:right w:val="single" w:sz="4" w:space="0" w:color="auto"/>
            </w:tcBorders>
            <w:shd w:val="clear" w:color="auto" w:fill="auto"/>
            <w:noWrap/>
            <w:hideMark/>
          </w:tcPr>
          <w:p w14:paraId="37167417" w14:textId="0B2E68E3" w:rsidR="000D55DA" w:rsidRPr="00574964" w:rsidRDefault="000D55DA" w:rsidP="00E451A7">
            <w:pPr>
              <w:spacing w:after="0" w:line="240" w:lineRule="auto"/>
              <w:rPr>
                <w:rFonts w:ascii="Calibri" w:hAnsi="Calibri" w:cs="Calibri"/>
                <w:color w:val="000000"/>
                <w:sz w:val="22"/>
                <w:szCs w:val="22"/>
              </w:rPr>
            </w:pPr>
            <w:r w:rsidRPr="00C80AAD">
              <w:rPr>
                <w:rFonts w:ascii="Calibri" w:hAnsi="Calibri" w:cs="Calibri"/>
                <w:color w:val="000000"/>
                <w:sz w:val="22"/>
                <w:szCs w:val="22"/>
              </w:rPr>
              <w:t>$736,292</w:t>
            </w:r>
          </w:p>
        </w:tc>
      </w:tr>
    </w:tbl>
    <w:p w14:paraId="3B22A49F" w14:textId="77777777" w:rsidR="000D55DA" w:rsidRDefault="000D55DA" w:rsidP="000D55DA">
      <w:pPr>
        <w:spacing w:before="60" w:after="60" w:line="240" w:lineRule="auto"/>
        <w:rPr>
          <w:rFonts w:cs="Arial"/>
          <w:bCs/>
          <w:iCs/>
          <w:szCs w:val="20"/>
        </w:rPr>
      </w:pPr>
    </w:p>
    <w:p w14:paraId="163FB935" w14:textId="5FA99252" w:rsidR="00E47CFD" w:rsidRDefault="006D07FF" w:rsidP="00E47CFD">
      <w:pPr>
        <w:spacing w:before="60" w:after="60" w:line="240" w:lineRule="auto"/>
        <w:rPr>
          <w:rFonts w:cs="Arial"/>
          <w:bCs/>
          <w:iCs/>
          <w:szCs w:val="20"/>
        </w:rPr>
      </w:pPr>
      <w:r>
        <w:rPr>
          <w:rFonts w:cs="Arial"/>
          <w:bCs/>
          <w:iCs/>
          <w:szCs w:val="20"/>
        </w:rPr>
        <w:t>However</w:t>
      </w:r>
      <w:r w:rsidR="00E47CFD">
        <w:rPr>
          <w:rFonts w:cs="Arial"/>
          <w:bCs/>
          <w:iCs/>
          <w:szCs w:val="20"/>
        </w:rPr>
        <w:t>, the ACMA expects that in the long run all licensees will be better off given that historical data shows that the long run aggregate %-change to population in each density area classification is much lower than the long run aggregate %</w:t>
      </w:r>
      <w:r w:rsidR="002C6FF7">
        <w:rPr>
          <w:rFonts w:cs="Arial"/>
          <w:bCs/>
          <w:iCs/>
          <w:szCs w:val="20"/>
        </w:rPr>
        <w:t>-</w:t>
      </w:r>
      <w:r w:rsidR="00E47CFD">
        <w:rPr>
          <w:rFonts w:cs="Arial"/>
          <w:bCs/>
          <w:iCs/>
          <w:szCs w:val="20"/>
        </w:rPr>
        <w:t>change to general prices.</w:t>
      </w:r>
      <w:r w:rsidR="00F31AFC">
        <w:rPr>
          <w:rFonts w:cs="Arial"/>
          <w:bCs/>
          <w:iCs/>
          <w:szCs w:val="20"/>
        </w:rPr>
        <w:t xml:space="preserve"> Figure 3 shows that </w:t>
      </w:r>
      <w:r w:rsidR="008F4A3B">
        <w:rPr>
          <w:rFonts w:cs="Arial"/>
          <w:bCs/>
          <w:iCs/>
          <w:szCs w:val="20"/>
        </w:rPr>
        <w:t xml:space="preserve">in the years between 1975 to 2015 the </w:t>
      </w:r>
      <w:r w:rsidR="006E7863">
        <w:rPr>
          <w:rFonts w:cs="Arial"/>
          <w:bCs/>
          <w:iCs/>
          <w:szCs w:val="20"/>
        </w:rPr>
        <w:t>high-</w:t>
      </w:r>
      <w:r w:rsidR="006E7863">
        <w:rPr>
          <w:rFonts w:cs="Arial"/>
          <w:bCs/>
          <w:iCs/>
          <w:szCs w:val="20"/>
        </w:rPr>
        <w:lastRenderedPageBreak/>
        <w:t>density</w:t>
      </w:r>
      <w:r w:rsidR="008F4A3B">
        <w:rPr>
          <w:rFonts w:cs="Arial"/>
          <w:bCs/>
          <w:iCs/>
          <w:szCs w:val="20"/>
        </w:rPr>
        <w:t xml:space="preserve"> areas of Sydney, Melbourne and Brisbane</w:t>
      </w:r>
      <w:r w:rsidR="00C80BEC">
        <w:rPr>
          <w:rFonts w:cs="Arial"/>
          <w:bCs/>
          <w:iCs/>
          <w:szCs w:val="20"/>
        </w:rPr>
        <w:t>,</w:t>
      </w:r>
      <w:r w:rsidR="008F4A3B">
        <w:rPr>
          <w:rFonts w:cs="Arial"/>
          <w:bCs/>
          <w:iCs/>
          <w:szCs w:val="20"/>
        </w:rPr>
        <w:t xml:space="preserve"> </w:t>
      </w:r>
      <w:r w:rsidR="00C80BEC">
        <w:rPr>
          <w:rFonts w:cs="Arial"/>
          <w:bCs/>
          <w:iCs/>
          <w:szCs w:val="20"/>
        </w:rPr>
        <w:t xml:space="preserve">CPI growth was significantly larger than population growth. </w:t>
      </w:r>
    </w:p>
    <w:p w14:paraId="4EC8FBE0" w14:textId="77777777" w:rsidR="00E47CFD" w:rsidRDefault="00E47CFD" w:rsidP="00E47CFD">
      <w:pPr>
        <w:spacing w:before="60" w:after="60" w:line="240" w:lineRule="auto"/>
        <w:rPr>
          <w:rFonts w:cs="Arial"/>
          <w:bCs/>
          <w:iCs/>
          <w:szCs w:val="20"/>
        </w:rPr>
      </w:pPr>
    </w:p>
    <w:p w14:paraId="43B0DB7C" w14:textId="77777777" w:rsidR="002C195E" w:rsidRDefault="002C195E" w:rsidP="00E47CFD">
      <w:pPr>
        <w:spacing w:before="60" w:after="60" w:line="240" w:lineRule="auto"/>
        <w:rPr>
          <w:rFonts w:cs="Arial"/>
          <w:bCs/>
          <w:iCs/>
          <w:szCs w:val="20"/>
        </w:rPr>
      </w:pPr>
    </w:p>
    <w:p w14:paraId="0F73A54F" w14:textId="600A2A50" w:rsidR="00E47CFD" w:rsidRDefault="00E47CFD" w:rsidP="00B40407">
      <w:pPr>
        <w:pStyle w:val="Caption"/>
        <w:keepNext/>
        <w:numPr>
          <w:ilvl w:val="0"/>
          <w:numId w:val="0"/>
        </w:numPr>
        <w:ind w:left="964" w:hanging="964"/>
        <w:rPr>
          <w:rFonts w:cs="Arial"/>
          <w:bCs w:val="0"/>
          <w:iCs/>
        </w:rPr>
      </w:pPr>
      <w:r>
        <w:t xml:space="preserve">Figure </w:t>
      </w:r>
      <w:r w:rsidR="00C35894">
        <w:fldChar w:fldCharType="begin"/>
      </w:r>
      <w:r w:rsidR="00C35894">
        <w:instrText xml:space="preserve"> SEQ Figure \* ARABIC </w:instrText>
      </w:r>
      <w:r w:rsidR="00C35894">
        <w:fldChar w:fldCharType="separate"/>
      </w:r>
      <w:r w:rsidR="00FE0943">
        <w:rPr>
          <w:noProof/>
        </w:rPr>
        <w:t>7</w:t>
      </w:r>
      <w:r w:rsidR="00C35894">
        <w:rPr>
          <w:noProof/>
        </w:rPr>
        <w:fldChar w:fldCharType="end"/>
      </w:r>
      <w:r>
        <w:t>: population growth in high density areas v CPI</w:t>
      </w:r>
    </w:p>
    <w:p w14:paraId="62996E83" w14:textId="77777777" w:rsidR="00E47CFD" w:rsidRDefault="00E47CFD" w:rsidP="00E47CFD">
      <w:pPr>
        <w:spacing w:before="60" w:after="60" w:line="240" w:lineRule="auto"/>
        <w:rPr>
          <w:rFonts w:cs="Arial"/>
          <w:bCs/>
          <w:iCs/>
          <w:szCs w:val="20"/>
        </w:rPr>
      </w:pPr>
      <w:r>
        <w:rPr>
          <w:noProof/>
        </w:rPr>
        <w:drawing>
          <wp:inline distT="0" distB="0" distL="0" distR="0" wp14:anchorId="201DD937" wp14:editId="3422CC14">
            <wp:extent cx="4572000" cy="3609183"/>
            <wp:effectExtent l="0" t="0" r="0" b="10795"/>
            <wp:docPr id="3" name="Chart 3">
              <a:extLst xmlns:a="http://schemas.openxmlformats.org/drawingml/2006/main">
                <a:ext uri="{FF2B5EF4-FFF2-40B4-BE49-F238E27FC236}">
                  <a16:creationId xmlns:a16="http://schemas.microsoft.com/office/drawing/2014/main" id="{48472F0A-FF12-44FA-B54B-9C889B77E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33174E0" w14:textId="77777777" w:rsidR="00E47CFD" w:rsidRDefault="00E47CFD" w:rsidP="00E47CFD">
      <w:pPr>
        <w:spacing w:before="60" w:after="60" w:line="240" w:lineRule="auto"/>
        <w:rPr>
          <w:rFonts w:cs="Arial"/>
          <w:bCs/>
          <w:iCs/>
          <w:szCs w:val="20"/>
        </w:rPr>
      </w:pPr>
    </w:p>
    <w:p w14:paraId="0B5D94B0" w14:textId="08C31FEB" w:rsidR="00E47CFD" w:rsidRDefault="00E47CFD" w:rsidP="00E47CFD">
      <w:pPr>
        <w:spacing w:before="60" w:after="60" w:line="240" w:lineRule="auto"/>
        <w:rPr>
          <w:rFonts w:cs="Arial"/>
          <w:bCs/>
          <w:iCs/>
          <w:szCs w:val="20"/>
        </w:rPr>
      </w:pPr>
    </w:p>
    <w:p w14:paraId="69C694EC" w14:textId="40AC2156" w:rsidR="009F5EB1" w:rsidRDefault="009F5EB1" w:rsidP="009F5EB1">
      <w:pPr>
        <w:spacing w:before="60" w:after="60" w:line="240" w:lineRule="auto"/>
      </w:pPr>
      <w:r w:rsidRPr="00C441CD">
        <w:t xml:space="preserve">These changes directly link back to the </w:t>
      </w:r>
      <w:r w:rsidR="00564411" w:rsidRPr="00C441CD">
        <w:t xml:space="preserve">SPR’s </w:t>
      </w:r>
      <w:r w:rsidRPr="00C441CD">
        <w:t xml:space="preserve">stated objective of </w:t>
      </w:r>
      <w:r w:rsidR="00331CDA" w:rsidRPr="00C441CD">
        <w:t>frequent updates to tax rates based on changes in demography and demand.</w:t>
      </w:r>
    </w:p>
    <w:p w14:paraId="0C128C60" w14:textId="77777777" w:rsidR="005D224A" w:rsidRDefault="005D224A" w:rsidP="009F5EB1">
      <w:pPr>
        <w:spacing w:before="60" w:after="60" w:line="240" w:lineRule="auto"/>
        <w:rPr>
          <w:rFonts w:cs="Arial"/>
          <w:bCs/>
          <w:iCs/>
          <w:szCs w:val="20"/>
        </w:rPr>
      </w:pPr>
    </w:p>
    <w:p w14:paraId="3DD5C71F" w14:textId="451C65AA" w:rsidR="00876BF7" w:rsidRDefault="00876BF7" w:rsidP="00876BF7">
      <w:pPr>
        <w:spacing w:before="60" w:after="60" w:line="240" w:lineRule="auto"/>
        <w:rPr>
          <w:rFonts w:cs="Arial"/>
          <w:bCs/>
          <w:iCs/>
          <w:szCs w:val="20"/>
        </w:rPr>
      </w:pPr>
      <w:r>
        <w:rPr>
          <w:rFonts w:cs="Arial"/>
          <w:bCs/>
          <w:iCs/>
          <w:szCs w:val="20"/>
        </w:rPr>
        <w:t xml:space="preserve">We acknowledge uncertainties with </w:t>
      </w:r>
      <w:r w:rsidR="006F1F32">
        <w:rPr>
          <w:rFonts w:cs="Arial"/>
          <w:bCs/>
          <w:iCs/>
          <w:szCs w:val="20"/>
        </w:rPr>
        <w:t xml:space="preserve">our </w:t>
      </w:r>
      <w:r>
        <w:rPr>
          <w:rFonts w:cs="Arial"/>
          <w:bCs/>
          <w:iCs/>
          <w:szCs w:val="20"/>
        </w:rPr>
        <w:t>project</w:t>
      </w:r>
      <w:r w:rsidR="008E33A7">
        <w:rPr>
          <w:rFonts w:cs="Arial"/>
          <w:bCs/>
          <w:iCs/>
          <w:szCs w:val="20"/>
        </w:rPr>
        <w:t>ed</w:t>
      </w:r>
      <w:r w:rsidR="006F1F32">
        <w:rPr>
          <w:rFonts w:cs="Arial"/>
          <w:bCs/>
          <w:iCs/>
          <w:szCs w:val="20"/>
        </w:rPr>
        <w:t xml:space="preserve"> benefits to licensees</w:t>
      </w:r>
      <w:r>
        <w:rPr>
          <w:rFonts w:cs="Arial"/>
          <w:bCs/>
          <w:iCs/>
          <w:szCs w:val="20"/>
        </w:rPr>
        <w:t xml:space="preserve"> given we are now entering a period of higher</w:t>
      </w:r>
      <w:r w:rsidR="002B223D">
        <w:rPr>
          <w:rFonts w:cs="Arial"/>
          <w:bCs/>
          <w:iCs/>
          <w:szCs w:val="20"/>
        </w:rPr>
        <w:t>-</w:t>
      </w:r>
      <w:r>
        <w:rPr>
          <w:rFonts w:cs="Arial"/>
          <w:bCs/>
          <w:iCs/>
          <w:szCs w:val="20"/>
        </w:rPr>
        <w:t>than</w:t>
      </w:r>
      <w:r w:rsidR="002B223D">
        <w:rPr>
          <w:rFonts w:cs="Arial"/>
          <w:bCs/>
          <w:iCs/>
          <w:szCs w:val="20"/>
        </w:rPr>
        <w:t>-</w:t>
      </w:r>
      <w:r>
        <w:rPr>
          <w:rFonts w:cs="Arial"/>
          <w:bCs/>
          <w:iCs/>
          <w:szCs w:val="20"/>
        </w:rPr>
        <w:t>normal inflation</w:t>
      </w:r>
      <w:r w:rsidR="00F87512">
        <w:rPr>
          <w:rFonts w:cs="Arial"/>
          <w:bCs/>
          <w:iCs/>
          <w:szCs w:val="20"/>
        </w:rPr>
        <w:t xml:space="preserve">, and </w:t>
      </w:r>
      <w:r>
        <w:rPr>
          <w:rFonts w:cs="Arial"/>
          <w:bCs/>
          <w:iCs/>
          <w:szCs w:val="20"/>
        </w:rPr>
        <w:t>we are still living with the realities of the covid-19 pandemic that has change</w:t>
      </w:r>
      <w:r w:rsidR="003044D3">
        <w:rPr>
          <w:rFonts w:cs="Arial"/>
          <w:bCs/>
          <w:iCs/>
          <w:szCs w:val="20"/>
        </w:rPr>
        <w:t>d</w:t>
      </w:r>
      <w:r>
        <w:rPr>
          <w:rFonts w:cs="Arial"/>
          <w:bCs/>
          <w:iCs/>
          <w:szCs w:val="20"/>
        </w:rPr>
        <w:t xml:space="preserve"> how populations flow between geographies. </w:t>
      </w:r>
      <w:r w:rsidR="00917061">
        <w:rPr>
          <w:rFonts w:cs="Arial"/>
          <w:bCs/>
          <w:iCs/>
          <w:szCs w:val="20"/>
        </w:rPr>
        <w:t>However, the long</w:t>
      </w:r>
      <w:r w:rsidR="002B223D">
        <w:rPr>
          <w:rFonts w:cs="Arial"/>
          <w:bCs/>
          <w:iCs/>
          <w:szCs w:val="20"/>
        </w:rPr>
        <w:t>-</w:t>
      </w:r>
      <w:r w:rsidR="00917061">
        <w:rPr>
          <w:rFonts w:cs="Arial"/>
          <w:bCs/>
          <w:iCs/>
          <w:szCs w:val="20"/>
        </w:rPr>
        <w:t xml:space="preserve">term </w:t>
      </w:r>
      <w:r w:rsidR="00606829">
        <w:rPr>
          <w:rFonts w:cs="Arial"/>
          <w:bCs/>
          <w:iCs/>
          <w:szCs w:val="20"/>
        </w:rPr>
        <w:t xml:space="preserve">divergence of CPI and the </w:t>
      </w:r>
      <w:r w:rsidR="00232148">
        <w:rPr>
          <w:rFonts w:cs="Arial"/>
          <w:bCs/>
          <w:iCs/>
          <w:szCs w:val="20"/>
        </w:rPr>
        <w:t>population growth</w:t>
      </w:r>
      <w:r w:rsidR="0069712D">
        <w:rPr>
          <w:rFonts w:cs="Arial"/>
          <w:bCs/>
          <w:iCs/>
          <w:szCs w:val="20"/>
        </w:rPr>
        <w:t xml:space="preserve"> </w:t>
      </w:r>
      <w:r w:rsidR="009B167B">
        <w:rPr>
          <w:rFonts w:cs="Arial"/>
          <w:bCs/>
          <w:iCs/>
          <w:szCs w:val="20"/>
        </w:rPr>
        <w:t>suggests</w:t>
      </w:r>
      <w:r w:rsidR="00706927">
        <w:rPr>
          <w:rFonts w:cs="Arial"/>
          <w:bCs/>
          <w:iCs/>
          <w:szCs w:val="20"/>
        </w:rPr>
        <w:t xml:space="preserve"> that this will </w:t>
      </w:r>
      <w:r w:rsidR="0069712D">
        <w:rPr>
          <w:rFonts w:cs="Arial"/>
          <w:bCs/>
          <w:iCs/>
          <w:szCs w:val="20"/>
        </w:rPr>
        <w:t xml:space="preserve">likely </w:t>
      </w:r>
      <w:r w:rsidR="00706927">
        <w:rPr>
          <w:rFonts w:cs="Arial"/>
          <w:bCs/>
          <w:iCs/>
          <w:szCs w:val="20"/>
        </w:rPr>
        <w:t>be net beneficial</w:t>
      </w:r>
      <w:r w:rsidR="00F87512">
        <w:rPr>
          <w:rFonts w:cs="Arial"/>
          <w:bCs/>
          <w:iCs/>
          <w:szCs w:val="20"/>
        </w:rPr>
        <w:t xml:space="preserve"> to licensees</w:t>
      </w:r>
      <w:r w:rsidR="00B47D04">
        <w:rPr>
          <w:rFonts w:cs="Arial"/>
          <w:bCs/>
          <w:iCs/>
          <w:szCs w:val="20"/>
        </w:rPr>
        <w:t xml:space="preserve">, particularly so for </w:t>
      </w:r>
      <w:r w:rsidR="00D539E2">
        <w:rPr>
          <w:rFonts w:cs="Arial"/>
          <w:bCs/>
          <w:iCs/>
          <w:szCs w:val="20"/>
        </w:rPr>
        <w:t>licensees in lower density areas</w:t>
      </w:r>
      <w:r w:rsidR="00F87512">
        <w:rPr>
          <w:rFonts w:cs="Arial"/>
          <w:bCs/>
          <w:iCs/>
          <w:szCs w:val="20"/>
        </w:rPr>
        <w:t xml:space="preserve">. </w:t>
      </w:r>
    </w:p>
    <w:p w14:paraId="6BA84383" w14:textId="756FF6D8" w:rsidR="00B3590A" w:rsidRDefault="00B3590A">
      <w:pPr>
        <w:spacing w:after="160" w:line="259" w:lineRule="auto"/>
        <w:rPr>
          <w:rFonts w:cs="Arial"/>
          <w:b/>
          <w:i/>
        </w:rPr>
      </w:pPr>
    </w:p>
    <w:p w14:paraId="648B4EC1" w14:textId="1D29E7A4" w:rsidR="000D55DA" w:rsidRPr="006E6ED7" w:rsidRDefault="000D55DA" w:rsidP="006E6ED7">
      <w:pPr>
        <w:pStyle w:val="Heading4"/>
      </w:pPr>
      <w:r w:rsidRPr="006E6ED7">
        <w:t>Expand the Perth and Adelaide medium density areas</w:t>
      </w:r>
    </w:p>
    <w:p w14:paraId="630A36A4" w14:textId="5DE07F55" w:rsidR="00422C35" w:rsidRDefault="00490DBD" w:rsidP="000D55DA">
      <w:pPr>
        <w:spacing w:before="60" w:after="60" w:line="240" w:lineRule="auto"/>
        <w:rPr>
          <w:rFonts w:cs="Arial"/>
          <w:bCs/>
          <w:iCs/>
          <w:szCs w:val="20"/>
        </w:rPr>
      </w:pPr>
      <w:r>
        <w:rPr>
          <w:rFonts w:cs="Arial"/>
          <w:bCs/>
          <w:iCs/>
          <w:szCs w:val="20"/>
        </w:rPr>
        <w:t xml:space="preserve">The current Perth and Adelaide boundaries </w:t>
      </w:r>
      <w:r w:rsidR="00C61CCA">
        <w:rPr>
          <w:rFonts w:cs="Arial"/>
          <w:bCs/>
          <w:iCs/>
          <w:szCs w:val="20"/>
        </w:rPr>
        <w:t>don’t adequately capture the population and spectrum assignment density around the cit</w:t>
      </w:r>
      <w:r w:rsidR="00422C35">
        <w:rPr>
          <w:rFonts w:cs="Arial"/>
          <w:bCs/>
          <w:iCs/>
          <w:szCs w:val="20"/>
        </w:rPr>
        <w:t xml:space="preserve">ies’ fringes. </w:t>
      </w:r>
      <w:r w:rsidR="005B3A5D">
        <w:rPr>
          <w:rFonts w:cs="Arial"/>
          <w:bCs/>
          <w:iCs/>
          <w:szCs w:val="20"/>
        </w:rPr>
        <w:t xml:space="preserve">The ACMA proposes to </w:t>
      </w:r>
      <w:r w:rsidR="000D55DA" w:rsidRPr="00F24CDB">
        <w:rPr>
          <w:rFonts w:cs="Arial"/>
          <w:bCs/>
          <w:iCs/>
          <w:szCs w:val="20"/>
        </w:rPr>
        <w:t>expand the Perth and Adelaide density area boundaries</w:t>
      </w:r>
      <w:r w:rsidR="005B3A5D">
        <w:rPr>
          <w:rFonts w:cs="Arial"/>
          <w:bCs/>
          <w:iCs/>
          <w:szCs w:val="20"/>
        </w:rPr>
        <w:t xml:space="preserve"> to make them more commensurate with other density areas</w:t>
      </w:r>
      <w:r w:rsidR="006A5D65">
        <w:rPr>
          <w:rFonts w:cs="Arial"/>
          <w:bCs/>
          <w:iCs/>
          <w:szCs w:val="20"/>
        </w:rPr>
        <w:t xml:space="preserve"> and prevent acute congestion in those areas</w:t>
      </w:r>
      <w:r w:rsidR="00A00DE2">
        <w:rPr>
          <w:rFonts w:cs="Arial"/>
          <w:bCs/>
          <w:iCs/>
          <w:szCs w:val="20"/>
        </w:rPr>
        <w:t xml:space="preserve">. </w:t>
      </w:r>
    </w:p>
    <w:p w14:paraId="59BA9647" w14:textId="56C1C75E" w:rsidR="005B3A5D" w:rsidRDefault="00A00DE2" w:rsidP="000D55DA">
      <w:pPr>
        <w:spacing w:before="60" w:after="60" w:line="240" w:lineRule="auto"/>
        <w:rPr>
          <w:rFonts w:cs="Arial"/>
          <w:bCs/>
          <w:iCs/>
          <w:szCs w:val="20"/>
        </w:rPr>
      </w:pPr>
      <w:r>
        <w:rPr>
          <w:rFonts w:cs="Arial"/>
          <w:bCs/>
          <w:iCs/>
          <w:szCs w:val="20"/>
        </w:rPr>
        <w:t xml:space="preserve">The ACMA intends to publish the definitions in the Apparatus licence Fees Schedule to give licensees </w:t>
      </w:r>
      <w:r w:rsidR="00B625B2">
        <w:rPr>
          <w:rFonts w:cs="Arial"/>
          <w:bCs/>
          <w:iCs/>
          <w:szCs w:val="20"/>
        </w:rPr>
        <w:t>transparency of the boundary area framework</w:t>
      </w:r>
      <w:r w:rsidR="006A5D65">
        <w:rPr>
          <w:rFonts w:cs="Arial"/>
          <w:bCs/>
          <w:iCs/>
          <w:szCs w:val="20"/>
        </w:rPr>
        <w:t xml:space="preserve">. </w:t>
      </w:r>
    </w:p>
    <w:p w14:paraId="18A59DEE" w14:textId="77777777" w:rsidR="005D224A" w:rsidRDefault="005D224A" w:rsidP="000D55DA">
      <w:pPr>
        <w:spacing w:before="60" w:after="60" w:line="240" w:lineRule="auto"/>
        <w:rPr>
          <w:rFonts w:cs="Arial"/>
          <w:bCs/>
          <w:iCs/>
          <w:szCs w:val="20"/>
        </w:rPr>
      </w:pPr>
    </w:p>
    <w:p w14:paraId="4F592FF5" w14:textId="635DB254" w:rsidR="000D55DA" w:rsidRDefault="008B4F09" w:rsidP="008B4F09">
      <w:pPr>
        <w:spacing w:before="60" w:after="60" w:line="240" w:lineRule="auto"/>
      </w:pPr>
      <w:r>
        <w:rPr>
          <w:rFonts w:cs="Arial"/>
          <w:bCs/>
          <w:iCs/>
          <w:szCs w:val="20"/>
        </w:rPr>
        <w:t xml:space="preserve">As a result of this proposal </w:t>
      </w:r>
      <w:r w:rsidR="00A86CA5">
        <w:rPr>
          <w:rFonts w:cs="Arial"/>
          <w:bCs/>
          <w:iCs/>
          <w:szCs w:val="20"/>
        </w:rPr>
        <w:t>s</w:t>
      </w:r>
      <w:r w:rsidR="00A86CA5" w:rsidRPr="007D793B">
        <w:rPr>
          <w:rFonts w:cs="Arial"/>
          <w:bCs/>
          <w:iCs/>
          <w:szCs w:val="20"/>
        </w:rPr>
        <w:t>ome licensees will face higher prices, but they are the same prices that other licensees face in similar density areas.</w:t>
      </w:r>
      <w:r w:rsidR="00A86CA5">
        <w:rPr>
          <w:rFonts w:cs="Arial"/>
          <w:bCs/>
          <w:iCs/>
          <w:szCs w:val="20"/>
        </w:rPr>
        <w:t xml:space="preserve"> </w:t>
      </w:r>
      <w:r>
        <w:rPr>
          <w:rFonts w:cs="Arial"/>
          <w:bCs/>
          <w:iCs/>
          <w:szCs w:val="20"/>
        </w:rPr>
        <w:t>W</w:t>
      </w:r>
      <w:r w:rsidR="000D55DA" w:rsidRPr="00F24CDB">
        <w:rPr>
          <w:rFonts w:cs="Arial"/>
          <w:bCs/>
          <w:iCs/>
          <w:szCs w:val="20"/>
        </w:rPr>
        <w:t>e expect that</w:t>
      </w:r>
      <w:r w:rsidR="000D55DA">
        <w:rPr>
          <w:rFonts w:cs="Arial"/>
          <w:bCs/>
          <w:iCs/>
          <w:szCs w:val="20"/>
        </w:rPr>
        <w:t xml:space="preserve"> approximately 9</w:t>
      </w:r>
      <w:r w:rsidR="008E2544">
        <w:rPr>
          <w:rFonts w:cs="Arial"/>
          <w:bCs/>
          <w:iCs/>
          <w:szCs w:val="20"/>
        </w:rPr>
        <w:t>54</w:t>
      </w:r>
      <w:r w:rsidR="000D55DA">
        <w:rPr>
          <w:rFonts w:cs="Arial"/>
          <w:bCs/>
          <w:iCs/>
          <w:szCs w:val="20"/>
        </w:rPr>
        <w:t xml:space="preserve"> </w:t>
      </w:r>
      <w:r w:rsidR="000D55DA" w:rsidRPr="00F24CDB">
        <w:rPr>
          <w:rFonts w:cs="Arial"/>
          <w:bCs/>
          <w:iCs/>
          <w:szCs w:val="20"/>
        </w:rPr>
        <w:t xml:space="preserve">existing spectrum accesses </w:t>
      </w:r>
      <w:r w:rsidR="000E0CC6">
        <w:rPr>
          <w:rFonts w:cs="Arial"/>
          <w:bCs/>
          <w:iCs/>
          <w:szCs w:val="20"/>
        </w:rPr>
        <w:t xml:space="preserve">(owned by 132 licensees) </w:t>
      </w:r>
      <w:r w:rsidR="000D55DA" w:rsidRPr="00F24CDB">
        <w:rPr>
          <w:rFonts w:cs="Arial"/>
          <w:bCs/>
          <w:iCs/>
          <w:szCs w:val="20"/>
        </w:rPr>
        <w:t>will shift from a</w:t>
      </w:r>
      <w:r w:rsidR="000D55DA">
        <w:rPr>
          <w:rFonts w:cs="Arial"/>
          <w:bCs/>
          <w:iCs/>
          <w:szCs w:val="20"/>
        </w:rPr>
        <w:t xml:space="preserve"> </w:t>
      </w:r>
      <w:r w:rsidR="00CA1352">
        <w:rPr>
          <w:rFonts w:cs="Arial"/>
          <w:bCs/>
          <w:iCs/>
          <w:szCs w:val="20"/>
        </w:rPr>
        <w:t>low-density</w:t>
      </w:r>
      <w:r w:rsidR="000D55DA">
        <w:rPr>
          <w:rFonts w:cs="Arial"/>
          <w:bCs/>
          <w:iCs/>
          <w:szCs w:val="20"/>
        </w:rPr>
        <w:t xml:space="preserve"> area </w:t>
      </w:r>
      <w:r w:rsidR="000D55DA" w:rsidRPr="00F24CDB">
        <w:rPr>
          <w:rFonts w:cs="Arial"/>
          <w:bCs/>
          <w:iCs/>
          <w:szCs w:val="20"/>
        </w:rPr>
        <w:t xml:space="preserve">tax to a </w:t>
      </w:r>
      <w:r w:rsidR="000D55DA">
        <w:rPr>
          <w:rFonts w:cs="Arial"/>
          <w:bCs/>
          <w:iCs/>
          <w:szCs w:val="20"/>
        </w:rPr>
        <w:t xml:space="preserve">medium density area </w:t>
      </w:r>
      <w:r w:rsidR="000D55DA" w:rsidRPr="00F24CDB">
        <w:rPr>
          <w:rFonts w:cs="Arial"/>
          <w:bCs/>
          <w:iCs/>
          <w:szCs w:val="20"/>
        </w:rPr>
        <w:t>tax</w:t>
      </w:r>
      <w:r w:rsidR="000D55DA">
        <w:rPr>
          <w:rFonts w:cs="Arial"/>
          <w:bCs/>
          <w:iCs/>
          <w:szCs w:val="20"/>
        </w:rPr>
        <w:t xml:space="preserve"> and face an </w:t>
      </w:r>
      <w:r w:rsidR="000D55DA">
        <w:t>increase in tax of $3</w:t>
      </w:r>
      <w:r w:rsidR="00516300">
        <w:t>40</w:t>
      </w:r>
      <w:r w:rsidR="000D55DA">
        <w:t xml:space="preserve"> on average</w:t>
      </w:r>
      <w:r>
        <w:t xml:space="preserve"> (see Table 17)</w:t>
      </w:r>
      <w:r w:rsidR="00D20C5C">
        <w:t>.</w:t>
      </w:r>
    </w:p>
    <w:p w14:paraId="2B91AEC9" w14:textId="77777777" w:rsidR="000D55DA" w:rsidRDefault="000D55DA" w:rsidP="000D55DA">
      <w:pPr>
        <w:spacing w:before="60" w:after="60" w:line="240" w:lineRule="auto"/>
      </w:pPr>
    </w:p>
    <w:p w14:paraId="0EEB1443" w14:textId="77777777" w:rsidR="000D55DA" w:rsidRPr="001D05DB" w:rsidRDefault="000D55DA" w:rsidP="00D34254">
      <w:pPr>
        <w:pStyle w:val="Caption"/>
        <w:keepNext/>
        <w:rPr>
          <w:lang w:val="en-GB"/>
        </w:rPr>
      </w:pPr>
      <w:r w:rsidRPr="000A3405">
        <w:rPr>
          <w:lang w:val="en-GB"/>
        </w:rPr>
        <w:t xml:space="preserve">direct financial impact to licensees </w:t>
      </w:r>
      <w:r>
        <w:rPr>
          <w:lang w:val="en-GB"/>
        </w:rPr>
        <w:t>affected by the expansion of Perth and Adelaide medium density areas</w:t>
      </w:r>
    </w:p>
    <w:p w14:paraId="6E2A716B" w14:textId="2F25DCD4" w:rsidR="00FE569E" w:rsidRDefault="004E05FF" w:rsidP="000D55DA">
      <w:pPr>
        <w:spacing w:before="60" w:after="60" w:line="240" w:lineRule="auto"/>
        <w:rPr>
          <w:rFonts w:cs="Arial"/>
          <w:bCs/>
          <w:iCs/>
          <w:szCs w:val="20"/>
        </w:rPr>
      </w:pPr>
      <w:r>
        <w:rPr>
          <w:noProof/>
        </w:rPr>
        <w:drawing>
          <wp:inline distT="0" distB="0" distL="0" distR="0" wp14:anchorId="5A958CCD" wp14:editId="09B1BF4E">
            <wp:extent cx="4871085" cy="173799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71085" cy="1737995"/>
                    </a:xfrm>
                    <a:prstGeom prst="rect">
                      <a:avLst/>
                    </a:prstGeom>
                  </pic:spPr>
                </pic:pic>
              </a:graphicData>
            </a:graphic>
          </wp:inline>
        </w:drawing>
      </w:r>
    </w:p>
    <w:p w14:paraId="686035D6" w14:textId="77777777" w:rsidR="004E05FF" w:rsidRDefault="004E05FF" w:rsidP="000D55DA">
      <w:pPr>
        <w:spacing w:before="60" w:after="60" w:line="240" w:lineRule="auto"/>
        <w:rPr>
          <w:rFonts w:cs="Arial"/>
          <w:bCs/>
          <w:iCs/>
          <w:szCs w:val="20"/>
        </w:rPr>
      </w:pPr>
    </w:p>
    <w:p w14:paraId="5F6EA5E7" w14:textId="00F86804" w:rsidR="006F3FF1" w:rsidRDefault="006F3FF1" w:rsidP="006F3FF1">
      <w:pPr>
        <w:spacing w:before="60" w:after="60" w:line="240" w:lineRule="auto"/>
        <w:rPr>
          <w:rFonts w:cs="Arial"/>
          <w:bCs/>
          <w:iCs/>
          <w:szCs w:val="20"/>
        </w:rPr>
      </w:pPr>
      <w:r w:rsidRPr="009200D4">
        <w:rPr>
          <w:rFonts w:cs="Arial"/>
          <w:bCs/>
          <w:iCs/>
          <w:szCs w:val="20"/>
        </w:rPr>
        <w:t>This a</w:t>
      </w:r>
      <w:r>
        <w:rPr>
          <w:rFonts w:cs="Arial"/>
          <w:bCs/>
          <w:iCs/>
          <w:szCs w:val="20"/>
        </w:rPr>
        <w:t xml:space="preserve">nalysis is a static comparison of existing licensees with the current v proposed prices. </w:t>
      </w:r>
      <w:proofErr w:type="gramStart"/>
      <w:r>
        <w:rPr>
          <w:rFonts w:cs="Arial"/>
          <w:bCs/>
          <w:iCs/>
          <w:szCs w:val="20"/>
        </w:rPr>
        <w:t>i.e.</w:t>
      </w:r>
      <w:proofErr w:type="gramEnd"/>
      <w:r>
        <w:rPr>
          <w:rFonts w:cs="Arial"/>
          <w:bCs/>
          <w:iCs/>
          <w:szCs w:val="20"/>
        </w:rPr>
        <w:t xml:space="preserve"> it assumes that the number of </w:t>
      </w:r>
      <w:r w:rsidR="00761E98">
        <w:rPr>
          <w:rFonts w:cs="Arial"/>
          <w:bCs/>
          <w:iCs/>
          <w:szCs w:val="20"/>
        </w:rPr>
        <w:t xml:space="preserve">affected </w:t>
      </w:r>
      <w:r>
        <w:rPr>
          <w:rFonts w:cs="Arial"/>
          <w:bCs/>
          <w:iCs/>
          <w:szCs w:val="20"/>
        </w:rPr>
        <w:t>licence</w:t>
      </w:r>
      <w:r w:rsidR="00761E98">
        <w:rPr>
          <w:rFonts w:cs="Arial"/>
          <w:bCs/>
          <w:iCs/>
          <w:szCs w:val="20"/>
        </w:rPr>
        <w:t xml:space="preserve"> </w:t>
      </w:r>
      <w:r>
        <w:rPr>
          <w:rFonts w:cs="Arial"/>
          <w:bCs/>
          <w:iCs/>
          <w:szCs w:val="20"/>
        </w:rPr>
        <w:t xml:space="preserve">remain the same over time. This analysis </w:t>
      </w:r>
      <w:r w:rsidR="00A84FB7">
        <w:rPr>
          <w:rFonts w:cs="Arial"/>
          <w:bCs/>
          <w:iCs/>
          <w:szCs w:val="20"/>
        </w:rPr>
        <w:t xml:space="preserve">may </w:t>
      </w:r>
      <w:r>
        <w:rPr>
          <w:rFonts w:cs="Arial"/>
          <w:bCs/>
          <w:iCs/>
          <w:szCs w:val="20"/>
        </w:rPr>
        <w:t xml:space="preserve">underestimate the annual </w:t>
      </w:r>
      <w:r w:rsidR="00A84FB7">
        <w:rPr>
          <w:rFonts w:cs="Arial"/>
          <w:bCs/>
          <w:iCs/>
          <w:szCs w:val="20"/>
        </w:rPr>
        <w:t xml:space="preserve">costs </w:t>
      </w:r>
      <w:r>
        <w:rPr>
          <w:rFonts w:cs="Arial"/>
          <w:bCs/>
          <w:iCs/>
          <w:szCs w:val="20"/>
        </w:rPr>
        <w:t xml:space="preserve">each year given that the </w:t>
      </w:r>
      <w:r w:rsidR="000259A8">
        <w:rPr>
          <w:rFonts w:cs="Arial"/>
          <w:bCs/>
          <w:iCs/>
          <w:szCs w:val="20"/>
        </w:rPr>
        <w:t xml:space="preserve">increased </w:t>
      </w:r>
      <w:r>
        <w:rPr>
          <w:rFonts w:cs="Arial"/>
          <w:bCs/>
          <w:iCs/>
          <w:szCs w:val="20"/>
        </w:rPr>
        <w:t xml:space="preserve">prices </w:t>
      </w:r>
      <w:r w:rsidR="00A84FB7">
        <w:rPr>
          <w:rFonts w:cs="Arial"/>
          <w:bCs/>
          <w:iCs/>
          <w:szCs w:val="20"/>
        </w:rPr>
        <w:t xml:space="preserve">may lead to some licensees surrendering their licences in these areas, resulting in </w:t>
      </w:r>
      <w:r w:rsidR="005857A7">
        <w:rPr>
          <w:rFonts w:cs="Arial"/>
          <w:bCs/>
          <w:iCs/>
          <w:szCs w:val="20"/>
        </w:rPr>
        <w:t>more economic losses</w:t>
      </w:r>
      <w:r w:rsidR="00A84FB7">
        <w:rPr>
          <w:rFonts w:cs="Arial"/>
          <w:bCs/>
          <w:iCs/>
          <w:szCs w:val="20"/>
        </w:rPr>
        <w:t xml:space="preserve">. </w:t>
      </w:r>
    </w:p>
    <w:p w14:paraId="6EFFCEA3" w14:textId="77777777" w:rsidR="005D224A" w:rsidRPr="009200D4" w:rsidRDefault="005D224A" w:rsidP="006F3FF1">
      <w:pPr>
        <w:spacing w:before="60" w:after="60" w:line="240" w:lineRule="auto"/>
        <w:rPr>
          <w:rFonts w:cs="Arial"/>
          <w:bCs/>
          <w:iCs/>
          <w:szCs w:val="20"/>
        </w:rPr>
      </w:pPr>
    </w:p>
    <w:p w14:paraId="604262C6" w14:textId="2687A51A" w:rsidR="00331CDA" w:rsidRDefault="00331CDA" w:rsidP="00331CDA">
      <w:pPr>
        <w:spacing w:before="60" w:after="60" w:line="240" w:lineRule="auto"/>
      </w:pPr>
      <w:r w:rsidRPr="00A22F65">
        <w:t xml:space="preserve">These changes directly link back to the </w:t>
      </w:r>
      <w:r w:rsidR="00B84D9E" w:rsidRPr="00A22F65">
        <w:t xml:space="preserve">SPR’s </w:t>
      </w:r>
      <w:r w:rsidRPr="00A22F65">
        <w:t>stated objective of consistency and transparency in terms of how licences are priced.</w:t>
      </w:r>
    </w:p>
    <w:p w14:paraId="6C084610" w14:textId="77777777" w:rsidR="002F4317" w:rsidRDefault="002F4317" w:rsidP="00331CDA">
      <w:pPr>
        <w:spacing w:before="60" w:after="60" w:line="240" w:lineRule="auto"/>
      </w:pPr>
    </w:p>
    <w:p w14:paraId="73EC9772" w14:textId="73121E83" w:rsidR="003542B1" w:rsidRDefault="00B65A3C" w:rsidP="00331CDA">
      <w:pPr>
        <w:spacing w:before="60" w:after="60" w:line="240" w:lineRule="auto"/>
        <w:rPr>
          <w:rFonts w:cs="Arial"/>
          <w:bCs/>
          <w:iCs/>
          <w:szCs w:val="20"/>
        </w:rPr>
      </w:pPr>
      <w:r>
        <w:rPr>
          <w:rFonts w:cs="Arial"/>
          <w:bCs/>
          <w:iCs/>
          <w:szCs w:val="20"/>
        </w:rPr>
        <w:t xml:space="preserve">Despite the estimated costs to incumbent licensees, </w:t>
      </w:r>
      <w:proofErr w:type="gramStart"/>
      <w:r>
        <w:rPr>
          <w:rFonts w:cs="Arial"/>
          <w:bCs/>
          <w:iCs/>
          <w:szCs w:val="20"/>
        </w:rPr>
        <w:t>s</w:t>
      </w:r>
      <w:r w:rsidR="003542B1">
        <w:rPr>
          <w:rFonts w:cs="Arial"/>
          <w:bCs/>
          <w:iCs/>
          <w:szCs w:val="20"/>
        </w:rPr>
        <w:t>imilar to</w:t>
      </w:r>
      <w:proofErr w:type="gramEnd"/>
      <w:r w:rsidR="003542B1">
        <w:rPr>
          <w:rFonts w:cs="Arial"/>
          <w:bCs/>
          <w:iCs/>
          <w:szCs w:val="20"/>
        </w:rPr>
        <w:t xml:space="preserve"> proposals about changes to the location weightings, </w:t>
      </w:r>
      <w:r>
        <w:rPr>
          <w:rFonts w:cs="Arial"/>
          <w:bCs/>
          <w:iCs/>
          <w:szCs w:val="20"/>
        </w:rPr>
        <w:t xml:space="preserve">in the longer term </w:t>
      </w:r>
      <w:r w:rsidR="003542B1">
        <w:rPr>
          <w:rFonts w:cs="Arial"/>
          <w:bCs/>
          <w:iCs/>
          <w:szCs w:val="20"/>
        </w:rPr>
        <w:t>this proposal is intended to smooth out demand across locations, to mitigate the ris</w:t>
      </w:r>
      <w:r w:rsidR="001D6F58">
        <w:rPr>
          <w:rFonts w:cs="Arial"/>
          <w:bCs/>
          <w:iCs/>
          <w:szCs w:val="20"/>
        </w:rPr>
        <w:t>k</w:t>
      </w:r>
      <w:r w:rsidR="003542B1">
        <w:rPr>
          <w:rFonts w:cs="Arial"/>
          <w:bCs/>
          <w:iCs/>
          <w:szCs w:val="20"/>
        </w:rPr>
        <w:t xml:space="preserve"> of </w:t>
      </w:r>
      <w:r w:rsidR="003542B1" w:rsidRPr="000A0C99">
        <w:rPr>
          <w:rFonts w:cs="Arial"/>
          <w:bCs/>
          <w:iCs/>
          <w:szCs w:val="20"/>
        </w:rPr>
        <w:t>harmful interference and a degradation of the utility of spectrum.</w:t>
      </w:r>
    </w:p>
    <w:p w14:paraId="54BCC0ED" w14:textId="3B4F78DE" w:rsidR="00D34254" w:rsidRDefault="00D34254">
      <w:pPr>
        <w:spacing w:after="160" w:line="259" w:lineRule="auto"/>
        <w:rPr>
          <w:rFonts w:cs="Arial"/>
          <w:b/>
          <w:bCs/>
          <w:szCs w:val="26"/>
        </w:rPr>
      </w:pPr>
    </w:p>
    <w:p w14:paraId="39E1CE11" w14:textId="398C4195" w:rsidR="000D55DA" w:rsidRPr="000714EB" w:rsidRDefault="000D55DA" w:rsidP="006E6ED7">
      <w:pPr>
        <w:pStyle w:val="Heading3"/>
      </w:pPr>
      <w:bookmarkStart w:id="79" w:name="_Toc109035856"/>
      <w:r w:rsidRPr="00C40BD6">
        <w:t>Proposal to reform HPON taxes</w:t>
      </w:r>
      <w:bookmarkEnd w:id="79"/>
    </w:p>
    <w:p w14:paraId="26AB2C0F" w14:textId="0AE20C01" w:rsidR="000D55DA" w:rsidRDefault="000D55DA" w:rsidP="000D55DA">
      <w:pPr>
        <w:spacing w:before="60" w:after="60" w:line="240" w:lineRule="auto"/>
        <w:rPr>
          <w:rFonts w:cs="Arial"/>
          <w:bCs/>
          <w:iCs/>
          <w:szCs w:val="20"/>
        </w:rPr>
      </w:pPr>
      <w:r w:rsidRPr="00AA53AD">
        <w:rPr>
          <w:rFonts w:cs="Arial"/>
          <w:bCs/>
          <w:iCs/>
          <w:szCs w:val="20"/>
        </w:rPr>
        <w:t xml:space="preserve">HPON operators are expected to benefit from proposed </w:t>
      </w:r>
      <w:r>
        <w:rPr>
          <w:rFonts w:cs="Arial"/>
          <w:bCs/>
          <w:iCs/>
          <w:szCs w:val="20"/>
        </w:rPr>
        <w:t xml:space="preserve">tax reductions </w:t>
      </w:r>
      <w:r w:rsidRPr="00AA53AD">
        <w:rPr>
          <w:rFonts w:cs="Arial"/>
          <w:bCs/>
          <w:iCs/>
          <w:szCs w:val="20"/>
        </w:rPr>
        <w:t>intended to align HPON taxes more closely with commercial broadcasting taxes</w:t>
      </w:r>
      <w:r w:rsidR="00342083">
        <w:rPr>
          <w:rFonts w:cs="Arial"/>
          <w:bCs/>
          <w:iCs/>
          <w:szCs w:val="20"/>
        </w:rPr>
        <w:t xml:space="preserve">. </w:t>
      </w:r>
      <w:r w:rsidR="000373E0">
        <w:rPr>
          <w:rFonts w:cs="Arial"/>
          <w:bCs/>
          <w:iCs/>
          <w:szCs w:val="20"/>
        </w:rPr>
        <w:t xml:space="preserve">Many HPON </w:t>
      </w:r>
      <w:r w:rsidR="00C26482">
        <w:rPr>
          <w:rFonts w:cs="Arial"/>
          <w:bCs/>
          <w:iCs/>
          <w:szCs w:val="20"/>
        </w:rPr>
        <w:t>licensees are expected to benefit from tax discounts of more than 90%</w:t>
      </w:r>
      <w:r w:rsidR="00AC3564">
        <w:rPr>
          <w:rFonts w:cs="Arial"/>
          <w:bCs/>
          <w:iCs/>
          <w:szCs w:val="20"/>
        </w:rPr>
        <w:t xml:space="preserve">. </w:t>
      </w:r>
      <w:r w:rsidR="00342083">
        <w:rPr>
          <w:rFonts w:cs="Arial"/>
          <w:bCs/>
          <w:iCs/>
          <w:szCs w:val="20"/>
        </w:rPr>
        <w:t xml:space="preserve">Aggregate annual taxes paid by HPON licensees is expected to fall </w:t>
      </w:r>
      <w:r>
        <w:rPr>
          <w:rFonts w:cs="Arial"/>
          <w:bCs/>
          <w:iCs/>
          <w:szCs w:val="20"/>
        </w:rPr>
        <w:t xml:space="preserve">by approximately $400,000 </w:t>
      </w:r>
      <w:r w:rsidR="00B3590A">
        <w:rPr>
          <w:rFonts w:cs="Arial"/>
          <w:bCs/>
          <w:iCs/>
          <w:szCs w:val="20"/>
        </w:rPr>
        <w:t>each year</w:t>
      </w:r>
      <w:r w:rsidRPr="00AA53AD">
        <w:rPr>
          <w:rFonts w:cs="Arial"/>
          <w:bCs/>
          <w:iCs/>
          <w:szCs w:val="20"/>
        </w:rPr>
        <w:t xml:space="preserve">. </w:t>
      </w:r>
      <w:r w:rsidR="00B3590A">
        <w:rPr>
          <w:rFonts w:cs="Arial"/>
          <w:bCs/>
          <w:iCs/>
          <w:szCs w:val="20"/>
        </w:rPr>
        <w:t>The reduction in price is not expected to increase the nu</w:t>
      </w:r>
      <w:r w:rsidR="005668AD">
        <w:rPr>
          <w:rFonts w:cs="Arial"/>
          <w:bCs/>
          <w:iCs/>
          <w:szCs w:val="20"/>
        </w:rPr>
        <w:t>mber of HPONs operating because the availability of spectrum for HPONs is limited and the ACMA allocates HPON licences very occasionally</w:t>
      </w:r>
      <w:r w:rsidR="005857A7">
        <w:rPr>
          <w:rFonts w:cs="Arial"/>
          <w:bCs/>
          <w:iCs/>
          <w:szCs w:val="20"/>
        </w:rPr>
        <w:t xml:space="preserve"> (</w:t>
      </w:r>
      <w:r w:rsidR="00510009">
        <w:rPr>
          <w:rFonts w:cs="Arial"/>
          <w:bCs/>
          <w:iCs/>
          <w:szCs w:val="20"/>
        </w:rPr>
        <w:t>via price-based allocations)</w:t>
      </w:r>
      <w:r w:rsidR="005668AD">
        <w:rPr>
          <w:rFonts w:cs="Arial"/>
          <w:bCs/>
          <w:iCs/>
          <w:szCs w:val="20"/>
        </w:rPr>
        <w:t>.</w:t>
      </w:r>
    </w:p>
    <w:p w14:paraId="3166B94D" w14:textId="1899449D" w:rsidR="00C54D2B" w:rsidRPr="00A22F65" w:rsidRDefault="00C54D2B" w:rsidP="000D55DA">
      <w:pPr>
        <w:spacing w:before="60" w:after="60" w:line="240" w:lineRule="auto"/>
        <w:rPr>
          <w:rFonts w:cs="Arial"/>
          <w:bCs/>
          <w:iCs/>
          <w:szCs w:val="20"/>
        </w:rPr>
      </w:pPr>
      <w:r>
        <w:rPr>
          <w:rFonts w:cs="Arial"/>
          <w:bCs/>
          <w:iCs/>
          <w:szCs w:val="20"/>
        </w:rPr>
        <w:t xml:space="preserve">The wholesale </w:t>
      </w:r>
      <w:r w:rsidRPr="00A22F65">
        <w:rPr>
          <w:rFonts w:cs="Arial"/>
          <w:bCs/>
          <w:iCs/>
          <w:szCs w:val="20"/>
        </w:rPr>
        <w:t xml:space="preserve">reduction in </w:t>
      </w:r>
      <w:r w:rsidR="007B7759" w:rsidRPr="00A22F65">
        <w:rPr>
          <w:rFonts w:cs="Arial"/>
          <w:bCs/>
          <w:iCs/>
          <w:szCs w:val="20"/>
        </w:rPr>
        <w:t>HPON taxes</w:t>
      </w:r>
      <w:r w:rsidR="00FC450A" w:rsidRPr="00A22F65">
        <w:rPr>
          <w:rFonts w:cs="Arial"/>
          <w:bCs/>
          <w:iCs/>
          <w:szCs w:val="20"/>
        </w:rPr>
        <w:t xml:space="preserve"> means that HPON licensees will be </w:t>
      </w:r>
      <w:r w:rsidR="00A4745A" w:rsidRPr="00A22F65">
        <w:rPr>
          <w:rFonts w:cs="Arial"/>
          <w:bCs/>
          <w:iCs/>
          <w:szCs w:val="20"/>
        </w:rPr>
        <w:t xml:space="preserve">paying more comparable taxes as commercial broadcasters. </w:t>
      </w:r>
      <w:r w:rsidR="0058576D" w:rsidRPr="00A22F65">
        <w:rPr>
          <w:rFonts w:cs="Arial"/>
          <w:bCs/>
          <w:iCs/>
          <w:szCs w:val="20"/>
        </w:rPr>
        <w:t xml:space="preserve">This is both more equitable and efficient. </w:t>
      </w:r>
    </w:p>
    <w:p w14:paraId="7DE96FEA" w14:textId="3CD5AD83" w:rsidR="00331CDA" w:rsidRDefault="00331CDA" w:rsidP="00331CDA">
      <w:pPr>
        <w:spacing w:before="60" w:after="60" w:line="240" w:lineRule="auto"/>
        <w:rPr>
          <w:rFonts w:cs="Arial"/>
          <w:bCs/>
          <w:iCs/>
          <w:szCs w:val="20"/>
        </w:rPr>
      </w:pPr>
      <w:r w:rsidRPr="00A22F65">
        <w:t xml:space="preserve">These changes directly link back to the </w:t>
      </w:r>
      <w:r w:rsidR="00B84D9E" w:rsidRPr="00A22F65">
        <w:t xml:space="preserve">SPR’s </w:t>
      </w:r>
      <w:r w:rsidRPr="00A22F65">
        <w:t>stated objective of charging similar uses of spectrum at a similar tax rate.</w:t>
      </w:r>
    </w:p>
    <w:p w14:paraId="372A49ED" w14:textId="77777777" w:rsidR="00C54D2B" w:rsidRDefault="00C54D2B" w:rsidP="000D55DA">
      <w:pPr>
        <w:spacing w:before="60" w:after="60" w:line="240" w:lineRule="auto"/>
        <w:rPr>
          <w:rFonts w:cs="Arial"/>
          <w:bCs/>
          <w:iCs/>
          <w:szCs w:val="20"/>
        </w:rPr>
      </w:pPr>
    </w:p>
    <w:p w14:paraId="75F2B85D" w14:textId="77777777" w:rsidR="000D55DA" w:rsidRPr="00AA53AD" w:rsidRDefault="000D55DA" w:rsidP="006E6ED7">
      <w:pPr>
        <w:pStyle w:val="Heading3"/>
      </w:pPr>
      <w:bookmarkStart w:id="80" w:name="_Toc109035857"/>
      <w:r w:rsidRPr="00C40BD6">
        <w:t>Proposals to adjust tranche 1 reforms</w:t>
      </w:r>
      <w:bookmarkEnd w:id="80"/>
      <w:r w:rsidRPr="00C40BD6">
        <w:t xml:space="preserve"> </w:t>
      </w:r>
    </w:p>
    <w:p w14:paraId="7B97C9A2" w14:textId="77777777" w:rsidR="000D55DA" w:rsidRPr="006E6ED7" w:rsidRDefault="000D55DA" w:rsidP="006E6ED7">
      <w:pPr>
        <w:pStyle w:val="Heading4"/>
      </w:pPr>
      <w:r w:rsidRPr="006E6ED7">
        <w:t>Definitions of low-power and micro-power spectrum accesses</w:t>
      </w:r>
    </w:p>
    <w:p w14:paraId="0F795510" w14:textId="1461F57E" w:rsidR="000D55DA" w:rsidRDefault="000D55DA" w:rsidP="00DD1C18">
      <w:pPr>
        <w:pStyle w:val="Paragraph"/>
      </w:pPr>
      <w:r>
        <w:t>The proposed change is intended to provide more clarity and does not change the policy intent, so no material changes to benefits is expected.</w:t>
      </w:r>
    </w:p>
    <w:p w14:paraId="523A9B76" w14:textId="4E0B2929" w:rsidR="000D55DA" w:rsidRDefault="000D55DA" w:rsidP="00DD1C18">
      <w:pPr>
        <w:pStyle w:val="Paragraph"/>
      </w:pPr>
      <w:r>
        <w:t>The ACMA expects that the introduction of the low-power discount introduced in tranche 1 creates an incentive for land mobile services to adopt service configurations with smaller geographical footprints, freeing up spectrum and to be used by other parties.</w:t>
      </w:r>
    </w:p>
    <w:p w14:paraId="2D6ACDBE" w14:textId="77777777" w:rsidR="000D55DA" w:rsidRPr="006E6ED7" w:rsidRDefault="000D55DA" w:rsidP="006E6ED7">
      <w:pPr>
        <w:pStyle w:val="Heading4"/>
      </w:pPr>
      <w:r w:rsidRPr="006E6ED7">
        <w:lastRenderedPageBreak/>
        <w:t>Adjustment to the earth station systems price</w:t>
      </w:r>
    </w:p>
    <w:p w14:paraId="7563BDA0" w14:textId="6786B6CE" w:rsidR="000D55DA" w:rsidRDefault="000D55DA" w:rsidP="000D55DA">
      <w:r>
        <w:t xml:space="preserve">Similarly, the adjustment to the earth station systems price (removing the need for co-located co-frequency earth stations to be operating on the same centre frequency) allows for more flexibility in earth station system configurations and provides the incentive to co-locate to more satellite operators. More spectrally efficient co-locate earth stations also </w:t>
      </w:r>
      <w:r>
        <w:rPr>
          <w:rFonts w:cs="Arial"/>
          <w:bCs/>
          <w:iCs/>
          <w:szCs w:val="20"/>
        </w:rPr>
        <w:t>frees up spectrum which can be used by other parties.</w:t>
      </w:r>
    </w:p>
    <w:p w14:paraId="0E6E8788" w14:textId="77777777" w:rsidR="000D55DA" w:rsidRDefault="000D55DA" w:rsidP="000D55DA"/>
    <w:p w14:paraId="53D6FE49" w14:textId="547E2427" w:rsidR="008C132C" w:rsidRDefault="0070571F" w:rsidP="006E6ED7">
      <w:pPr>
        <w:pStyle w:val="Heading1"/>
      </w:pPr>
      <w:bookmarkStart w:id="81" w:name="_Toc109035858"/>
      <w:r>
        <w:lastRenderedPageBreak/>
        <w:t xml:space="preserve">6. </w:t>
      </w:r>
      <w:r w:rsidR="008C132C" w:rsidRPr="0042214D">
        <w:t>What is the best option</w:t>
      </w:r>
      <w:bookmarkEnd w:id="73"/>
      <w:r w:rsidR="00F75CEB">
        <w:t>?</w:t>
      </w:r>
      <w:bookmarkEnd w:id="81"/>
      <w:r w:rsidR="008C132C" w:rsidRPr="0042214D">
        <w:t xml:space="preserve"> </w:t>
      </w:r>
    </w:p>
    <w:p w14:paraId="59D28E68" w14:textId="5465417B" w:rsidR="00170755" w:rsidRDefault="001459EF" w:rsidP="00163904">
      <w:r>
        <w:t xml:space="preserve">Based on the analysis </w:t>
      </w:r>
      <w:r w:rsidR="00D21E4E">
        <w:t xml:space="preserve">in section 4, the ACMA considers it net </w:t>
      </w:r>
      <w:r w:rsidR="00A326C9">
        <w:t>beneficial to implement the 2</w:t>
      </w:r>
      <w:r w:rsidR="00A326C9" w:rsidRPr="00A326C9">
        <w:rPr>
          <w:vertAlign w:val="superscript"/>
        </w:rPr>
        <w:t>nd</w:t>
      </w:r>
      <w:r w:rsidR="00A326C9">
        <w:t xml:space="preserve"> tranche of reform proposals</w:t>
      </w:r>
      <w:r w:rsidR="006B5823">
        <w:t xml:space="preserve"> (option </w:t>
      </w:r>
      <w:r w:rsidR="00095A80">
        <w:t>2</w:t>
      </w:r>
      <w:r w:rsidR="006B5823">
        <w:t>)</w:t>
      </w:r>
      <w:r w:rsidR="00A326C9">
        <w:t>.</w:t>
      </w:r>
      <w:r w:rsidR="00170755">
        <w:t xml:space="preserve"> The </w:t>
      </w:r>
      <w:r w:rsidR="00E31129">
        <w:t xml:space="preserve">ACMA has adjusted the proposals based on stakeholder </w:t>
      </w:r>
      <w:proofErr w:type="gramStart"/>
      <w:r w:rsidR="00E31129">
        <w:t>feedback</w:t>
      </w:r>
      <w:r w:rsidR="000D1F3D">
        <w:t>, and</w:t>
      </w:r>
      <w:proofErr w:type="gramEnd"/>
      <w:r w:rsidR="000D1F3D">
        <w:t xml:space="preserve"> </w:t>
      </w:r>
      <w:r w:rsidR="00E31129">
        <w:t>estimated direct costs and benefits to licensees</w:t>
      </w:r>
      <w:r w:rsidR="000D1F3D">
        <w:t xml:space="preserve"> in the order of $1m each year</w:t>
      </w:r>
      <w:r w:rsidR="0013777C">
        <w:t xml:space="preserve"> over the next 10 years</w:t>
      </w:r>
      <w:r w:rsidR="000D1F3D">
        <w:t xml:space="preserve">. </w:t>
      </w:r>
    </w:p>
    <w:p w14:paraId="6E2CDF76" w14:textId="2C43F49E" w:rsidR="000B31B8" w:rsidRDefault="000B31B8" w:rsidP="00163904">
      <w:r>
        <w:t>To do nothing (</w:t>
      </w:r>
      <w:r w:rsidR="00F44078">
        <w:t xml:space="preserve">option 1 - </w:t>
      </w:r>
      <w:r>
        <w:t>status quo) or only proceed with non-regulatory initiatives (</w:t>
      </w:r>
      <w:r w:rsidR="00F44078">
        <w:t xml:space="preserve">option 2) forgoes both the direct net benefits accruing to licensees </w:t>
      </w:r>
      <w:r w:rsidR="00E040CF">
        <w:t xml:space="preserve">as a result of changes to licence taxes, as well as the </w:t>
      </w:r>
      <w:proofErr w:type="gramStart"/>
      <w:r w:rsidR="00E040CF">
        <w:t>longer term</w:t>
      </w:r>
      <w:proofErr w:type="gramEnd"/>
      <w:r w:rsidR="00E040CF">
        <w:t xml:space="preserve"> benefits associated with more </w:t>
      </w:r>
      <w:r w:rsidR="00707745">
        <w:t>contemporary pricing signals encouraging more efficient use of spectrum in targeted areas.</w:t>
      </w:r>
    </w:p>
    <w:p w14:paraId="5542408C" w14:textId="22A2D910" w:rsidR="00ED1562" w:rsidRDefault="0056013A" w:rsidP="001E1B4B">
      <w:r>
        <w:t xml:space="preserve">Stakeholders were broadly supportive of </w:t>
      </w:r>
      <w:r w:rsidR="006B3081">
        <w:t xml:space="preserve">the ACMA’s proposals, </w:t>
      </w:r>
      <w:r w:rsidR="00754120">
        <w:t xml:space="preserve">so we plan </w:t>
      </w:r>
      <w:r w:rsidR="00483971">
        <w:t xml:space="preserve">to implement all </w:t>
      </w:r>
      <w:r w:rsidR="008B2B43">
        <w:t>proposals</w:t>
      </w:r>
      <w:r w:rsidR="00754120">
        <w:t>. However</w:t>
      </w:r>
      <w:r w:rsidR="008856C8">
        <w:t>,</w:t>
      </w:r>
      <w:r w:rsidR="00754120">
        <w:t xml:space="preserve"> we will </w:t>
      </w:r>
      <w:r w:rsidR="00ED1562">
        <w:t xml:space="preserve">incorporate </w:t>
      </w:r>
      <w:r w:rsidR="00E9562B">
        <w:t>useful stakeholder feedback (detailed in section 5)</w:t>
      </w:r>
      <w:r w:rsidR="00ED1562">
        <w:t>:</w:t>
      </w:r>
    </w:p>
    <w:p w14:paraId="4249A867" w14:textId="7116B807" w:rsidR="003D1B6F" w:rsidRDefault="003D1B6F" w:rsidP="003D1B6F">
      <w:pPr>
        <w:pStyle w:val="Caption"/>
      </w:pPr>
      <w:r>
        <w:t>Summary of adjustments to tranche 2 proposals</w:t>
      </w:r>
    </w:p>
    <w:tbl>
      <w:tblPr>
        <w:tblStyle w:val="TableGrid"/>
        <w:tblW w:w="0" w:type="auto"/>
        <w:tblLook w:val="04A0" w:firstRow="1" w:lastRow="0" w:firstColumn="1" w:lastColumn="0" w:noHBand="0" w:noVBand="1"/>
      </w:tblPr>
      <w:tblGrid>
        <w:gridCol w:w="2405"/>
        <w:gridCol w:w="5256"/>
      </w:tblGrid>
      <w:tr w:rsidR="00ED1562" w:rsidRPr="00D679C6" w14:paraId="2589682D" w14:textId="77777777" w:rsidTr="00EB0878">
        <w:tc>
          <w:tcPr>
            <w:tcW w:w="2405" w:type="dxa"/>
          </w:tcPr>
          <w:p w14:paraId="56DC232B" w14:textId="77777777" w:rsidR="00ED1562" w:rsidRPr="00D679C6" w:rsidRDefault="00ED1562" w:rsidP="00C80AAD">
            <w:pPr>
              <w:rPr>
                <w:rFonts w:cs="Arial"/>
                <w:b/>
                <w:iCs/>
                <w:szCs w:val="20"/>
              </w:rPr>
            </w:pPr>
            <w:r w:rsidRPr="00D679C6">
              <w:rPr>
                <w:rFonts w:cs="Arial"/>
                <w:b/>
                <w:iCs/>
                <w:szCs w:val="20"/>
              </w:rPr>
              <w:t>Regulatory proposal</w:t>
            </w:r>
          </w:p>
        </w:tc>
        <w:tc>
          <w:tcPr>
            <w:tcW w:w="5256" w:type="dxa"/>
          </w:tcPr>
          <w:p w14:paraId="563E0D19" w14:textId="6AC6A36B" w:rsidR="00ED1562" w:rsidRPr="00D679C6" w:rsidRDefault="00ED1562" w:rsidP="00C80AAD">
            <w:pPr>
              <w:rPr>
                <w:rFonts w:cs="Arial"/>
                <w:b/>
                <w:iCs/>
                <w:szCs w:val="20"/>
              </w:rPr>
            </w:pPr>
            <w:r>
              <w:rPr>
                <w:rFonts w:cs="Arial"/>
                <w:b/>
                <w:iCs/>
                <w:szCs w:val="20"/>
              </w:rPr>
              <w:t>A</w:t>
            </w:r>
            <w:r w:rsidR="00625A0E">
              <w:rPr>
                <w:rFonts w:cs="Arial"/>
                <w:b/>
                <w:iCs/>
                <w:szCs w:val="20"/>
              </w:rPr>
              <w:t>djustment to proposal?</w:t>
            </w:r>
          </w:p>
        </w:tc>
      </w:tr>
      <w:tr w:rsidR="00ED1562" w14:paraId="42E9416E" w14:textId="77777777" w:rsidTr="00EB0878">
        <w:tc>
          <w:tcPr>
            <w:tcW w:w="2405" w:type="dxa"/>
          </w:tcPr>
          <w:p w14:paraId="236E5600" w14:textId="77777777" w:rsidR="00ED1562" w:rsidRDefault="00ED1562" w:rsidP="00C80AAD">
            <w:pPr>
              <w:rPr>
                <w:rFonts w:cs="Arial"/>
                <w:bCs/>
                <w:iCs/>
                <w:szCs w:val="20"/>
              </w:rPr>
            </w:pPr>
            <w:r>
              <w:rPr>
                <w:rFonts w:cs="Arial"/>
                <w:bCs/>
                <w:iCs/>
                <w:szCs w:val="20"/>
              </w:rPr>
              <w:t>Location weights</w:t>
            </w:r>
          </w:p>
        </w:tc>
        <w:tc>
          <w:tcPr>
            <w:tcW w:w="5256" w:type="dxa"/>
          </w:tcPr>
          <w:p w14:paraId="4D52EC85" w14:textId="274976EE" w:rsidR="00ED1562" w:rsidRDefault="00043391" w:rsidP="00C80AAD">
            <w:pPr>
              <w:rPr>
                <w:rFonts w:cs="Arial"/>
                <w:bCs/>
                <w:iCs/>
                <w:szCs w:val="20"/>
              </w:rPr>
            </w:pPr>
            <w:r>
              <w:rPr>
                <w:rFonts w:cs="Arial"/>
                <w:bCs/>
                <w:iCs/>
                <w:szCs w:val="20"/>
              </w:rPr>
              <w:t xml:space="preserve">Do not proceed with the proposed tax increases in </w:t>
            </w:r>
            <w:r w:rsidR="00FE1623">
              <w:rPr>
                <w:rFonts w:cs="Arial"/>
                <w:bCs/>
                <w:iCs/>
                <w:szCs w:val="20"/>
              </w:rPr>
              <w:t>the medium and high</w:t>
            </w:r>
            <w:r w:rsidR="003E381D">
              <w:rPr>
                <w:rFonts w:cs="Arial"/>
                <w:bCs/>
                <w:iCs/>
                <w:szCs w:val="20"/>
              </w:rPr>
              <w:t>-</w:t>
            </w:r>
            <w:r w:rsidR="00FE1623">
              <w:rPr>
                <w:rFonts w:cs="Arial"/>
                <w:bCs/>
                <w:iCs/>
                <w:szCs w:val="20"/>
              </w:rPr>
              <w:t>density areas of the &gt;2690-5000MHz band.</w:t>
            </w:r>
          </w:p>
          <w:p w14:paraId="3790BAD2" w14:textId="12CA3A66" w:rsidR="00F23144" w:rsidRDefault="00F23144" w:rsidP="00C80AAD">
            <w:pPr>
              <w:rPr>
                <w:rFonts w:cs="Arial"/>
                <w:bCs/>
                <w:iCs/>
                <w:szCs w:val="20"/>
              </w:rPr>
            </w:pPr>
            <w:r>
              <w:rPr>
                <w:rFonts w:cs="Arial"/>
                <w:bCs/>
                <w:iCs/>
                <w:szCs w:val="20"/>
              </w:rPr>
              <w:t xml:space="preserve">The satellite industry expressed concern about the proposed tax increases in this </w:t>
            </w:r>
            <w:proofErr w:type="gramStart"/>
            <w:r>
              <w:rPr>
                <w:rFonts w:cs="Arial"/>
                <w:bCs/>
                <w:iCs/>
                <w:szCs w:val="20"/>
              </w:rPr>
              <w:t>band, and</w:t>
            </w:r>
            <w:proofErr w:type="gramEnd"/>
            <w:r>
              <w:rPr>
                <w:rFonts w:cs="Arial"/>
                <w:bCs/>
                <w:iCs/>
                <w:szCs w:val="20"/>
              </w:rPr>
              <w:t xml:space="preserve"> argued for lower taxes</w:t>
            </w:r>
            <w:r w:rsidR="00965C4C">
              <w:rPr>
                <w:rFonts w:cs="Arial"/>
                <w:bCs/>
                <w:iCs/>
                <w:szCs w:val="20"/>
              </w:rPr>
              <w:t>.</w:t>
            </w:r>
          </w:p>
          <w:p w14:paraId="26A65763" w14:textId="4BB1FCF3" w:rsidR="001766D1" w:rsidRDefault="00A9633D">
            <w:pPr>
              <w:rPr>
                <w:rFonts w:cs="Arial"/>
                <w:bCs/>
                <w:iCs/>
                <w:szCs w:val="20"/>
              </w:rPr>
            </w:pPr>
            <w:r>
              <w:rPr>
                <w:rFonts w:cs="Arial"/>
                <w:bCs/>
                <w:iCs/>
                <w:szCs w:val="20"/>
              </w:rPr>
              <w:t xml:space="preserve">This band is currently </w:t>
            </w:r>
            <w:r w:rsidR="00C964E3">
              <w:rPr>
                <w:rFonts w:cs="Arial"/>
                <w:bCs/>
                <w:iCs/>
                <w:szCs w:val="20"/>
              </w:rPr>
              <w:t xml:space="preserve">undergoing </w:t>
            </w:r>
            <w:r w:rsidR="003E381D">
              <w:rPr>
                <w:rFonts w:cs="Arial"/>
                <w:bCs/>
                <w:iCs/>
                <w:szCs w:val="20"/>
              </w:rPr>
              <w:t>several</w:t>
            </w:r>
            <w:r w:rsidR="00C964E3">
              <w:rPr>
                <w:rFonts w:cs="Arial"/>
                <w:bCs/>
                <w:iCs/>
                <w:szCs w:val="20"/>
              </w:rPr>
              <w:t xml:space="preserve"> spectrum allocations including n</w:t>
            </w:r>
            <w:r w:rsidR="001766D1">
              <w:rPr>
                <w:rFonts w:cs="Arial"/>
                <w:bCs/>
                <w:iCs/>
                <w:szCs w:val="20"/>
              </w:rPr>
              <w:t>ew spectrum licences</w:t>
            </w:r>
            <w:r w:rsidR="00C964E3">
              <w:rPr>
                <w:rFonts w:cs="Arial"/>
                <w:bCs/>
                <w:iCs/>
                <w:szCs w:val="20"/>
              </w:rPr>
              <w:t xml:space="preserve"> and </w:t>
            </w:r>
            <w:r w:rsidR="003B2BD9">
              <w:rPr>
                <w:rFonts w:cs="Arial"/>
                <w:bCs/>
                <w:iCs/>
                <w:szCs w:val="20"/>
              </w:rPr>
              <w:t>area wide licences (</w:t>
            </w:r>
            <w:r w:rsidR="00C964E3">
              <w:rPr>
                <w:rFonts w:cs="Arial"/>
                <w:bCs/>
                <w:iCs/>
                <w:szCs w:val="20"/>
              </w:rPr>
              <w:t>AWLs</w:t>
            </w:r>
            <w:r w:rsidR="003B2BD9">
              <w:rPr>
                <w:rFonts w:cs="Arial"/>
                <w:bCs/>
                <w:iCs/>
                <w:szCs w:val="20"/>
              </w:rPr>
              <w:t xml:space="preserve">) to facilitate 5G </w:t>
            </w:r>
            <w:r w:rsidR="003E074F">
              <w:rPr>
                <w:rFonts w:cs="Arial"/>
                <w:bCs/>
                <w:iCs/>
                <w:szCs w:val="20"/>
              </w:rPr>
              <w:t>services.</w:t>
            </w:r>
            <w:r w:rsidR="001766D1">
              <w:rPr>
                <w:rFonts w:cs="Arial"/>
                <w:bCs/>
                <w:iCs/>
                <w:szCs w:val="20"/>
              </w:rPr>
              <w:t xml:space="preserve"> </w:t>
            </w:r>
          </w:p>
          <w:p w14:paraId="15722C7B" w14:textId="76C83CB5" w:rsidR="0008667C" w:rsidRDefault="0008667C" w:rsidP="00C80AAD">
            <w:pPr>
              <w:rPr>
                <w:rFonts w:cs="Arial"/>
                <w:bCs/>
                <w:iCs/>
                <w:szCs w:val="20"/>
              </w:rPr>
            </w:pPr>
            <w:r>
              <w:rPr>
                <w:rFonts w:cs="Arial"/>
                <w:bCs/>
                <w:iCs/>
                <w:szCs w:val="20"/>
              </w:rPr>
              <w:t>Given this ac</w:t>
            </w:r>
            <w:r w:rsidR="00D43FF5">
              <w:rPr>
                <w:rFonts w:cs="Arial"/>
                <w:bCs/>
                <w:iCs/>
                <w:szCs w:val="20"/>
              </w:rPr>
              <w:t>tivity, t</w:t>
            </w:r>
            <w:r>
              <w:rPr>
                <w:rFonts w:cs="Arial"/>
                <w:bCs/>
                <w:iCs/>
                <w:szCs w:val="20"/>
              </w:rPr>
              <w:t xml:space="preserve">he ACMA </w:t>
            </w:r>
            <w:r w:rsidR="00D43FF5">
              <w:rPr>
                <w:rFonts w:cs="Arial"/>
                <w:bCs/>
                <w:iCs/>
                <w:szCs w:val="20"/>
              </w:rPr>
              <w:t xml:space="preserve">does not </w:t>
            </w:r>
            <w:r>
              <w:rPr>
                <w:rFonts w:cs="Arial"/>
                <w:bCs/>
                <w:iCs/>
                <w:szCs w:val="20"/>
              </w:rPr>
              <w:t xml:space="preserve">consider </w:t>
            </w:r>
            <w:r w:rsidR="00D43FF5">
              <w:rPr>
                <w:rFonts w:cs="Arial"/>
                <w:bCs/>
                <w:iCs/>
                <w:szCs w:val="20"/>
              </w:rPr>
              <w:t>a tax increase to be prudent</w:t>
            </w:r>
            <w:r w:rsidR="000442B5">
              <w:rPr>
                <w:rFonts w:cs="Arial"/>
                <w:bCs/>
                <w:iCs/>
                <w:szCs w:val="20"/>
              </w:rPr>
              <w:t xml:space="preserve"> at this stage</w:t>
            </w:r>
            <w:r w:rsidR="00D43FF5">
              <w:rPr>
                <w:rFonts w:cs="Arial"/>
                <w:bCs/>
                <w:iCs/>
                <w:szCs w:val="20"/>
              </w:rPr>
              <w:t>.</w:t>
            </w:r>
          </w:p>
          <w:p w14:paraId="5AE5F4B2" w14:textId="670EF952" w:rsidR="00043391" w:rsidRDefault="000442B5">
            <w:pPr>
              <w:rPr>
                <w:rFonts w:cs="Arial"/>
                <w:bCs/>
                <w:iCs/>
                <w:szCs w:val="20"/>
              </w:rPr>
            </w:pPr>
            <w:r>
              <w:rPr>
                <w:rFonts w:cs="Arial"/>
                <w:bCs/>
                <w:iCs/>
                <w:szCs w:val="20"/>
              </w:rPr>
              <w:t>The ACMA will continue m</w:t>
            </w:r>
            <w:r w:rsidR="00FE1623">
              <w:rPr>
                <w:rFonts w:cs="Arial"/>
                <w:bCs/>
                <w:iCs/>
                <w:szCs w:val="20"/>
              </w:rPr>
              <w:t>onitor</w:t>
            </w:r>
            <w:r>
              <w:rPr>
                <w:rFonts w:cs="Arial"/>
                <w:bCs/>
                <w:iCs/>
                <w:szCs w:val="20"/>
              </w:rPr>
              <w:t>ing</w:t>
            </w:r>
            <w:r w:rsidR="00FE1623">
              <w:rPr>
                <w:rFonts w:cs="Arial"/>
                <w:bCs/>
                <w:iCs/>
                <w:szCs w:val="20"/>
              </w:rPr>
              <w:t xml:space="preserve"> the band</w:t>
            </w:r>
            <w:r w:rsidR="001766D1">
              <w:rPr>
                <w:rFonts w:cs="Arial"/>
                <w:bCs/>
                <w:iCs/>
                <w:szCs w:val="20"/>
              </w:rPr>
              <w:t xml:space="preserve"> to see if</w:t>
            </w:r>
            <w:r w:rsidR="00A9633D">
              <w:rPr>
                <w:rFonts w:cs="Arial"/>
                <w:bCs/>
                <w:iCs/>
                <w:szCs w:val="20"/>
              </w:rPr>
              <w:t xml:space="preserve"> any regulatory measures are needed to manage demand levels</w:t>
            </w:r>
            <w:r w:rsidR="00C6118B">
              <w:rPr>
                <w:rFonts w:cs="Arial"/>
                <w:bCs/>
                <w:iCs/>
                <w:szCs w:val="20"/>
              </w:rPr>
              <w:t xml:space="preserve"> once they stabilise</w:t>
            </w:r>
            <w:r w:rsidR="00A9633D">
              <w:rPr>
                <w:rFonts w:cs="Arial"/>
                <w:bCs/>
                <w:iCs/>
                <w:szCs w:val="20"/>
              </w:rPr>
              <w:t>.</w:t>
            </w:r>
          </w:p>
        </w:tc>
      </w:tr>
      <w:tr w:rsidR="00ED1562" w14:paraId="537AB62A" w14:textId="77777777" w:rsidTr="00EB0878">
        <w:tc>
          <w:tcPr>
            <w:tcW w:w="2405" w:type="dxa"/>
          </w:tcPr>
          <w:p w14:paraId="7F74D974" w14:textId="7E9E2B20" w:rsidR="00222538" w:rsidRDefault="00222538" w:rsidP="00C80AAD">
            <w:pPr>
              <w:rPr>
                <w:rFonts w:cs="Arial"/>
                <w:bCs/>
                <w:iCs/>
                <w:szCs w:val="20"/>
              </w:rPr>
            </w:pPr>
            <w:r>
              <w:rPr>
                <w:rFonts w:cs="Arial"/>
                <w:bCs/>
                <w:iCs/>
                <w:szCs w:val="20"/>
              </w:rPr>
              <w:t>Normalisation factor /</w:t>
            </w:r>
          </w:p>
          <w:p w14:paraId="098000F7" w14:textId="0AEE9FCB" w:rsidR="00ED1562" w:rsidRDefault="00ED1562" w:rsidP="00C80AAD">
            <w:pPr>
              <w:rPr>
                <w:rFonts w:cs="Arial"/>
                <w:bCs/>
                <w:iCs/>
                <w:szCs w:val="20"/>
              </w:rPr>
            </w:pPr>
            <w:r>
              <w:rPr>
                <w:rFonts w:cs="Arial"/>
                <w:bCs/>
                <w:iCs/>
                <w:szCs w:val="20"/>
              </w:rPr>
              <w:t>Annual update of taxes (based on population changes)</w:t>
            </w:r>
          </w:p>
        </w:tc>
        <w:tc>
          <w:tcPr>
            <w:tcW w:w="5256" w:type="dxa"/>
          </w:tcPr>
          <w:p w14:paraId="1FA27A3E" w14:textId="4106FD47" w:rsidR="00ED1562" w:rsidRDefault="00FF18A2" w:rsidP="00C80AAD">
            <w:pPr>
              <w:rPr>
                <w:rFonts w:cs="Arial"/>
                <w:bCs/>
                <w:iCs/>
                <w:szCs w:val="20"/>
              </w:rPr>
            </w:pPr>
            <w:r>
              <w:rPr>
                <w:rFonts w:cs="Arial"/>
                <w:bCs/>
                <w:iCs/>
                <w:szCs w:val="20"/>
              </w:rPr>
              <w:t>Proceed with i</w:t>
            </w:r>
            <w:r w:rsidR="00DA3506">
              <w:t xml:space="preserve">mplementing the new population-adjustment method for updating prices each </w:t>
            </w:r>
            <w:proofErr w:type="gramStart"/>
            <w:r w:rsidR="00DA3506">
              <w:t>year, but</w:t>
            </w:r>
            <w:proofErr w:type="gramEnd"/>
            <w:r w:rsidR="00DA3506">
              <w:t xml:space="preserve"> </w:t>
            </w:r>
            <w:r w:rsidR="008B6555">
              <w:t xml:space="preserve">provide </w:t>
            </w:r>
            <w:r w:rsidR="00DA3506">
              <w:t xml:space="preserve">stakeholders with more information </w:t>
            </w:r>
            <w:r w:rsidR="00B40F74">
              <w:t>in a consultation paper</w:t>
            </w:r>
            <w:r w:rsidR="00DA3506">
              <w:t xml:space="preserve"> before implementing the first priced update based on the new method</w:t>
            </w:r>
            <w:r w:rsidR="00B40F74">
              <w:t>.</w:t>
            </w:r>
          </w:p>
          <w:p w14:paraId="0EB1BBB5" w14:textId="40EC4AF6" w:rsidR="001C6E5F" w:rsidRDefault="001C6E5F" w:rsidP="00C80AAD">
            <w:pPr>
              <w:rPr>
                <w:rFonts w:cs="Arial"/>
                <w:bCs/>
                <w:iCs/>
                <w:szCs w:val="20"/>
              </w:rPr>
            </w:pPr>
            <w:r>
              <w:rPr>
                <w:rFonts w:cs="Arial"/>
                <w:bCs/>
                <w:iCs/>
                <w:szCs w:val="20"/>
              </w:rPr>
              <w:t xml:space="preserve">This is intended to allay </w:t>
            </w:r>
            <w:r w:rsidR="009F4F15">
              <w:rPr>
                <w:rFonts w:cs="Arial"/>
                <w:bCs/>
                <w:iCs/>
                <w:szCs w:val="20"/>
              </w:rPr>
              <w:t xml:space="preserve">concerns from licensees about potentially incurring higher taxes </w:t>
            </w:r>
            <w:r w:rsidR="00D3171D">
              <w:rPr>
                <w:rFonts w:cs="Arial"/>
                <w:bCs/>
                <w:iCs/>
                <w:szCs w:val="20"/>
              </w:rPr>
              <w:t>due to</w:t>
            </w:r>
            <w:r w:rsidR="009F4F15">
              <w:rPr>
                <w:rFonts w:cs="Arial"/>
                <w:bCs/>
                <w:iCs/>
                <w:szCs w:val="20"/>
              </w:rPr>
              <w:t xml:space="preserve"> the changed methodology.</w:t>
            </w:r>
          </w:p>
        </w:tc>
      </w:tr>
      <w:tr w:rsidR="00ED1562" w14:paraId="26F3AE1C" w14:textId="77777777" w:rsidTr="00EB0878">
        <w:tc>
          <w:tcPr>
            <w:tcW w:w="2405" w:type="dxa"/>
          </w:tcPr>
          <w:p w14:paraId="25AB57EE" w14:textId="77777777" w:rsidR="00ED1562" w:rsidRDefault="00ED1562" w:rsidP="00C80AAD">
            <w:pPr>
              <w:rPr>
                <w:rFonts w:cs="Arial"/>
                <w:bCs/>
                <w:iCs/>
                <w:szCs w:val="20"/>
              </w:rPr>
            </w:pPr>
            <w:r>
              <w:rPr>
                <w:rFonts w:cs="Arial"/>
                <w:bCs/>
                <w:iCs/>
                <w:szCs w:val="20"/>
              </w:rPr>
              <w:t>Expand Perth and Adelaide MDAs</w:t>
            </w:r>
          </w:p>
        </w:tc>
        <w:tc>
          <w:tcPr>
            <w:tcW w:w="5256" w:type="dxa"/>
          </w:tcPr>
          <w:p w14:paraId="287F345B" w14:textId="1BFBCC01" w:rsidR="00A71BB8" w:rsidRDefault="00625A0E" w:rsidP="00C80AAD">
            <w:r>
              <w:rPr>
                <w:rFonts w:cs="Arial"/>
                <w:bCs/>
                <w:iCs/>
                <w:szCs w:val="20"/>
              </w:rPr>
              <w:t xml:space="preserve">Delay </w:t>
            </w:r>
            <w:r w:rsidR="00731BE0">
              <w:rPr>
                <w:rFonts w:cs="Arial"/>
                <w:bCs/>
                <w:iCs/>
                <w:szCs w:val="20"/>
              </w:rPr>
              <w:t>commencement of new boundaries 3 years</w:t>
            </w:r>
            <w:r w:rsidR="00657BA8">
              <w:t xml:space="preserve"> to give licensees some time to prepare for the higher taxes/absorb higher costs.</w:t>
            </w:r>
          </w:p>
          <w:p w14:paraId="395903CD" w14:textId="32615A8F" w:rsidR="00B05DB7" w:rsidRPr="006E010F" w:rsidRDefault="00B05DB7" w:rsidP="00C80AAD">
            <w:r>
              <w:lastRenderedPageBreak/>
              <w:t xml:space="preserve">Licensees understood the rationale for change, however, </w:t>
            </w:r>
            <w:r w:rsidR="001C6E5F">
              <w:t xml:space="preserve">many asked for some time to transition to the new high taxes </w:t>
            </w:r>
            <w:proofErr w:type="gramStart"/>
            <w:r w:rsidR="001C6E5F">
              <w:t>as a result of</w:t>
            </w:r>
            <w:proofErr w:type="gramEnd"/>
            <w:r w:rsidR="001C6E5F">
              <w:t xml:space="preserve"> the boundary change.</w:t>
            </w:r>
          </w:p>
        </w:tc>
      </w:tr>
      <w:tr w:rsidR="00ED1562" w14:paraId="153A1738" w14:textId="77777777" w:rsidTr="00EB0878">
        <w:tc>
          <w:tcPr>
            <w:tcW w:w="2405" w:type="dxa"/>
          </w:tcPr>
          <w:p w14:paraId="6D6B2B74" w14:textId="77777777" w:rsidR="00ED1562" w:rsidRDefault="00ED1562" w:rsidP="00C80AAD">
            <w:pPr>
              <w:rPr>
                <w:rFonts w:cs="Arial"/>
                <w:bCs/>
                <w:iCs/>
                <w:szCs w:val="20"/>
              </w:rPr>
            </w:pPr>
            <w:r>
              <w:rPr>
                <w:rFonts w:cs="Arial"/>
                <w:bCs/>
                <w:iCs/>
                <w:szCs w:val="20"/>
              </w:rPr>
              <w:lastRenderedPageBreak/>
              <w:t>HPON tax reforms</w:t>
            </w:r>
          </w:p>
        </w:tc>
        <w:tc>
          <w:tcPr>
            <w:tcW w:w="5256" w:type="dxa"/>
          </w:tcPr>
          <w:p w14:paraId="436F05B0" w14:textId="5E7ACA7C" w:rsidR="00ED1562" w:rsidRDefault="00043391" w:rsidP="00C80AAD">
            <w:pPr>
              <w:rPr>
                <w:rFonts w:cs="Arial"/>
                <w:bCs/>
                <w:iCs/>
                <w:szCs w:val="20"/>
              </w:rPr>
            </w:pPr>
            <w:r>
              <w:rPr>
                <w:rFonts w:cs="Arial"/>
                <w:bCs/>
                <w:iCs/>
                <w:szCs w:val="20"/>
              </w:rPr>
              <w:t>Implement as proposed.</w:t>
            </w:r>
          </w:p>
        </w:tc>
      </w:tr>
      <w:tr w:rsidR="00ED1562" w14:paraId="723BEB38" w14:textId="77777777" w:rsidTr="00EB0878">
        <w:tc>
          <w:tcPr>
            <w:tcW w:w="2405" w:type="dxa"/>
          </w:tcPr>
          <w:p w14:paraId="7099707E" w14:textId="31017922" w:rsidR="00ED1562" w:rsidRDefault="00ED1562" w:rsidP="00C80AAD">
            <w:pPr>
              <w:rPr>
                <w:rFonts w:cs="Arial"/>
                <w:bCs/>
                <w:iCs/>
                <w:szCs w:val="20"/>
              </w:rPr>
            </w:pPr>
            <w:r>
              <w:rPr>
                <w:rFonts w:cs="Arial"/>
                <w:bCs/>
                <w:iCs/>
                <w:szCs w:val="20"/>
              </w:rPr>
              <w:t xml:space="preserve">Adjustments to </w:t>
            </w:r>
            <w:r w:rsidR="00F9115E">
              <w:rPr>
                <w:rFonts w:cs="Arial"/>
                <w:bCs/>
                <w:iCs/>
                <w:szCs w:val="20"/>
              </w:rPr>
              <w:t>tranche </w:t>
            </w:r>
            <w:r>
              <w:rPr>
                <w:rFonts w:cs="Arial"/>
                <w:bCs/>
                <w:iCs/>
                <w:szCs w:val="20"/>
              </w:rPr>
              <w:t>1</w:t>
            </w:r>
          </w:p>
        </w:tc>
        <w:tc>
          <w:tcPr>
            <w:tcW w:w="5256" w:type="dxa"/>
          </w:tcPr>
          <w:p w14:paraId="497D97F8" w14:textId="063B7B7F" w:rsidR="003C0B4C" w:rsidRDefault="003C0B4C">
            <w:pPr>
              <w:rPr>
                <w:rFonts w:cs="Arial"/>
                <w:bCs/>
                <w:iCs/>
                <w:szCs w:val="20"/>
              </w:rPr>
            </w:pPr>
            <w:r>
              <w:rPr>
                <w:rFonts w:cs="Arial"/>
                <w:bCs/>
                <w:iCs/>
                <w:szCs w:val="20"/>
              </w:rPr>
              <w:t>Amend the clauses t</w:t>
            </w:r>
            <w:r w:rsidR="00BD7ED3">
              <w:rPr>
                <w:rFonts w:cs="Arial"/>
                <w:bCs/>
                <w:iCs/>
                <w:szCs w:val="20"/>
              </w:rPr>
              <w:t>hat</w:t>
            </w:r>
            <w:r>
              <w:rPr>
                <w:rFonts w:cs="Arial"/>
                <w:bCs/>
                <w:iCs/>
                <w:szCs w:val="20"/>
              </w:rPr>
              <w:t xml:space="preserve"> explain the way that the earth station system price is calculated, so that it is consistent with the policy intent and licensing practice. </w:t>
            </w:r>
          </w:p>
        </w:tc>
      </w:tr>
    </w:tbl>
    <w:p w14:paraId="1508B5E5" w14:textId="77777777" w:rsidR="00ED1562" w:rsidRDefault="00ED1562" w:rsidP="001E1B4B"/>
    <w:p w14:paraId="4F3DF001" w14:textId="77777777" w:rsidR="00BE3473" w:rsidRDefault="00BE3473">
      <w:pPr>
        <w:spacing w:after="160" w:line="259" w:lineRule="auto"/>
      </w:pPr>
      <w:r>
        <w:br w:type="page"/>
      </w:r>
    </w:p>
    <w:p w14:paraId="162D2D0F" w14:textId="22C77E5A" w:rsidR="00BE3473" w:rsidRPr="0042214D" w:rsidRDefault="00BE3473" w:rsidP="003E3100">
      <w:pPr>
        <w:pStyle w:val="Heading1"/>
      </w:pPr>
      <w:bookmarkStart w:id="82" w:name="_Toc109035859"/>
      <w:r>
        <w:lastRenderedPageBreak/>
        <w:t xml:space="preserve">7. </w:t>
      </w:r>
      <w:r w:rsidRPr="0042214D">
        <w:t>How will you implement and evaluate your chosen option</w:t>
      </w:r>
      <w:r>
        <w:t>?</w:t>
      </w:r>
      <w:bookmarkEnd w:id="82"/>
      <w:r w:rsidRPr="0042214D">
        <w:t xml:space="preserve"> </w:t>
      </w:r>
    </w:p>
    <w:p w14:paraId="39671463" w14:textId="2D391524" w:rsidR="003E116E" w:rsidRDefault="004B7167" w:rsidP="004B7167">
      <w:r>
        <w:t xml:space="preserve">The ACMA intends to </w:t>
      </w:r>
      <w:r w:rsidR="006700F1">
        <w:t xml:space="preserve">implement these reforms by </w:t>
      </w:r>
      <w:r>
        <w:t>amend</w:t>
      </w:r>
      <w:r w:rsidR="006700F1">
        <w:t>ing</w:t>
      </w:r>
      <w:r>
        <w:t xml:space="preserve"> the tax determinations in </w:t>
      </w:r>
      <w:proofErr w:type="gramStart"/>
      <w:r>
        <w:t>July 2022</w:t>
      </w:r>
      <w:r w:rsidR="003A0631">
        <w:t>, and</w:t>
      </w:r>
      <w:proofErr w:type="gramEnd"/>
      <w:r w:rsidR="003A0631">
        <w:t xml:space="preserve"> registering them with </w:t>
      </w:r>
      <w:r w:rsidR="00E418C8">
        <w:t xml:space="preserve">the </w:t>
      </w:r>
      <w:hyperlink r:id="rId129" w:history="1">
        <w:r w:rsidR="00E418C8" w:rsidRPr="00E418C8">
          <w:rPr>
            <w:rStyle w:val="Hyperlink"/>
          </w:rPr>
          <w:t>Federal Register of Legislation</w:t>
        </w:r>
      </w:hyperlink>
      <w:r>
        <w:t xml:space="preserve">. </w:t>
      </w:r>
      <w:r w:rsidR="00D75C4F">
        <w:t>Shortly after</w:t>
      </w:r>
      <w:r w:rsidR="006A4FED">
        <w:t>,</w:t>
      </w:r>
      <w:r w:rsidR="00D75C4F">
        <w:t xml:space="preserve"> t</w:t>
      </w:r>
      <w:r w:rsidR="000B00C6">
        <w:t xml:space="preserve">he ACMA will also publish </w:t>
      </w:r>
      <w:r w:rsidR="008549F3">
        <w:t xml:space="preserve">a decision paper </w:t>
      </w:r>
      <w:r w:rsidR="008F2A15">
        <w:t xml:space="preserve">explaining these changes to </w:t>
      </w:r>
      <w:r w:rsidR="000B00C6">
        <w:t>stakeholders</w:t>
      </w:r>
      <w:r w:rsidR="008F2A15">
        <w:t xml:space="preserve">. </w:t>
      </w:r>
    </w:p>
    <w:p w14:paraId="25729B13" w14:textId="29D13916" w:rsidR="0038025E" w:rsidRDefault="0038025E" w:rsidP="004B7167">
      <w:r>
        <w:t xml:space="preserve">Most of the tax amendments will take effect in </w:t>
      </w:r>
      <w:r w:rsidR="000B00C6">
        <w:t xml:space="preserve">August. </w:t>
      </w:r>
      <w:r w:rsidR="008F2A15">
        <w:t xml:space="preserve">The delayed commencement of the tax amendments </w:t>
      </w:r>
      <w:r w:rsidR="000B00C6">
        <w:t>will give the</w:t>
      </w:r>
      <w:r w:rsidR="008F2A15">
        <w:t xml:space="preserve"> ACMA time to </w:t>
      </w:r>
      <w:r w:rsidR="00653F91">
        <w:t xml:space="preserve">load, test and </w:t>
      </w:r>
      <w:r w:rsidR="00D04F23">
        <w:t>implement these changes in the ACMA’s licence management sy</w:t>
      </w:r>
      <w:r w:rsidR="00653F91">
        <w:t xml:space="preserve">stem. It will also </w:t>
      </w:r>
      <w:r w:rsidR="000B00C6">
        <w:t>allow</w:t>
      </w:r>
      <w:r w:rsidR="00653F91">
        <w:t xml:space="preserve"> </w:t>
      </w:r>
      <w:r w:rsidR="0030073D" w:rsidRPr="0030073D">
        <w:t xml:space="preserve">time for apparatus licence renewal notices to reflect the new taxes. Renewal notices are sent to licensees 40 days before </w:t>
      </w:r>
      <w:r w:rsidR="0047320E">
        <w:t xml:space="preserve">the </w:t>
      </w:r>
      <w:r w:rsidR="0030073D" w:rsidRPr="0030073D">
        <w:t xml:space="preserve">expiry </w:t>
      </w:r>
      <w:r w:rsidR="0047320E">
        <w:t>of licences</w:t>
      </w:r>
      <w:r w:rsidR="0030073D" w:rsidRPr="0030073D">
        <w:t>.</w:t>
      </w:r>
    </w:p>
    <w:p w14:paraId="77BE0F54" w14:textId="0C3B584D" w:rsidR="00C07BC4" w:rsidRDefault="00DA5D63" w:rsidP="00361708">
      <w:r>
        <w:t xml:space="preserve">The ACMA intends to </w:t>
      </w:r>
      <w:r w:rsidR="00C07BC4">
        <w:t xml:space="preserve">apply </w:t>
      </w:r>
      <w:r>
        <w:t xml:space="preserve">the new approach </w:t>
      </w:r>
      <w:r w:rsidR="00C07BC4">
        <w:t xml:space="preserve">for annual tax updates in 2023. </w:t>
      </w:r>
      <w:r w:rsidR="00361708">
        <w:t xml:space="preserve">We will consult on the new taxes and </w:t>
      </w:r>
      <w:r w:rsidR="00C07BC4" w:rsidRPr="00C07BC4">
        <w:t xml:space="preserve">provide stakeholders with more information in a consultation paper before </w:t>
      </w:r>
      <w:r w:rsidR="00F97F08">
        <w:t xml:space="preserve">implementation. </w:t>
      </w:r>
    </w:p>
    <w:p w14:paraId="18209475" w14:textId="08B3D3E9" w:rsidR="000A1639" w:rsidRDefault="00BD02F6" w:rsidP="00361708">
      <w:r>
        <w:t xml:space="preserve">The ACMA intends to introduce the expanded Perth and Adelaide density areas in </w:t>
      </w:r>
      <w:proofErr w:type="spellStart"/>
      <w:r>
        <w:t>mid</w:t>
      </w:r>
      <w:r w:rsidR="00674353">
        <w:t xml:space="preserve"> 2025</w:t>
      </w:r>
      <w:proofErr w:type="spellEnd"/>
      <w:r w:rsidR="00674353">
        <w:t xml:space="preserve">. </w:t>
      </w:r>
      <w:r w:rsidR="00674353" w:rsidRPr="00674353">
        <w:t xml:space="preserve">The ACMA will </w:t>
      </w:r>
      <w:r w:rsidR="00674353">
        <w:t xml:space="preserve">include this work </w:t>
      </w:r>
      <w:r w:rsidR="00674353" w:rsidRPr="00674353">
        <w:t xml:space="preserve">the </w:t>
      </w:r>
      <w:hyperlink r:id="rId130" w:history="1">
        <w:r w:rsidR="00224B28" w:rsidRPr="00224B28">
          <w:rPr>
            <w:rStyle w:val="Hyperlink"/>
          </w:rPr>
          <w:t>five-year spectrum outlook</w:t>
        </w:r>
      </w:hyperlink>
      <w:r w:rsidR="00224B28">
        <w:t xml:space="preserve"> (</w:t>
      </w:r>
      <w:r w:rsidR="00674353" w:rsidRPr="00674353">
        <w:t>FYSO</w:t>
      </w:r>
      <w:r w:rsidR="00224B28">
        <w:t>)</w:t>
      </w:r>
      <w:r w:rsidR="00674353" w:rsidRPr="00674353">
        <w:t xml:space="preserve"> so that stakeholders remain aware in the lead up to this change.</w:t>
      </w:r>
    </w:p>
    <w:p w14:paraId="5D4CB21C" w14:textId="77777777" w:rsidR="004B7167" w:rsidRDefault="004B7167" w:rsidP="004B7167">
      <w:r>
        <w:t>The 2</w:t>
      </w:r>
      <w:r w:rsidRPr="00AC5ED6">
        <w:t>nd</w:t>
      </w:r>
      <w:r>
        <w:t xml:space="preserve"> tranche of SPR reforms will mark the end of the ACMA’s implementation of the SPR review. However, the ACMA acknowledges that pricing will need to continue to evolve with the radiocommunications industry. The ACMA will continue to address salient pricing issues as they </w:t>
      </w:r>
      <w:proofErr w:type="gramStart"/>
      <w:r>
        <w:t>arise, and</w:t>
      </w:r>
      <w:proofErr w:type="gramEnd"/>
      <w:r>
        <w:t xml:space="preserve"> implement fit for purpose pricing frameworks to facilitate efficient spectrum management and use consistent with the object of the Act.  </w:t>
      </w:r>
    </w:p>
    <w:p w14:paraId="38921F61" w14:textId="77777777" w:rsidR="00EE4C2F" w:rsidRDefault="00EE4C2F">
      <w:pPr>
        <w:spacing w:after="160" w:line="259" w:lineRule="auto"/>
      </w:pPr>
    </w:p>
    <w:p w14:paraId="3D6834EB" w14:textId="77777777" w:rsidR="00EE4C2F" w:rsidRPr="003E3100" w:rsidRDefault="00EE4C2F">
      <w:pPr>
        <w:spacing w:after="160" w:line="259" w:lineRule="auto"/>
        <w:rPr>
          <w:b/>
          <w:bCs/>
        </w:rPr>
      </w:pPr>
      <w:r w:rsidRPr="003E3100">
        <w:rPr>
          <w:b/>
          <w:bCs/>
        </w:rPr>
        <w:t>Evaluation</w:t>
      </w:r>
    </w:p>
    <w:p w14:paraId="5341438F" w14:textId="22312513" w:rsidR="00CD2403" w:rsidRDefault="00F97F08" w:rsidP="00F97F08">
      <w:r>
        <w:t xml:space="preserve">The ACMA intends to monitor the impact of </w:t>
      </w:r>
      <w:r w:rsidR="00ED7AB0">
        <w:t xml:space="preserve">the spectrum pricing review reforms. We are keen to understand how the price </w:t>
      </w:r>
      <w:r w:rsidR="00CB7851">
        <w:t xml:space="preserve">changes will impact licences and the broader market. </w:t>
      </w:r>
      <w:r w:rsidR="00B9771E">
        <w:t xml:space="preserve">We will do this primarily through </w:t>
      </w:r>
      <w:r w:rsidR="002441A1">
        <w:t>monitor</w:t>
      </w:r>
      <w:r w:rsidR="00B9771E">
        <w:t>ing</w:t>
      </w:r>
      <w:r w:rsidR="002441A1">
        <w:t xml:space="preserve"> licence volume</w:t>
      </w:r>
      <w:r w:rsidR="00314030">
        <w:t>s</w:t>
      </w:r>
      <w:r w:rsidR="002441A1">
        <w:t xml:space="preserve"> over time to discern the degree of </w:t>
      </w:r>
      <w:r w:rsidR="00A433B1">
        <w:t>how demand is smoothed over locations</w:t>
      </w:r>
      <w:r w:rsidR="0006400D">
        <w:t xml:space="preserve"> in response to the pricing reforms</w:t>
      </w:r>
      <w:r w:rsidR="00A433B1">
        <w:t xml:space="preserve">. </w:t>
      </w:r>
      <w:r w:rsidR="00CD2403">
        <w:t xml:space="preserve">For example, </w:t>
      </w:r>
      <w:r w:rsidR="00806872">
        <w:t xml:space="preserve">have potential licensees such as </w:t>
      </w:r>
      <w:proofErr w:type="spellStart"/>
      <w:r w:rsidR="00806872">
        <w:t>Goonhilly</w:t>
      </w:r>
      <w:proofErr w:type="spellEnd"/>
      <w:r w:rsidR="00806872">
        <w:t xml:space="preserve"> obtained licences above 100 GHz to facilitate their business </w:t>
      </w:r>
      <w:r w:rsidR="00B80FBF">
        <w:t xml:space="preserve">plans? </w:t>
      </w:r>
      <w:r w:rsidR="00414855">
        <w:t xml:space="preserve">Have the new Perth and Adelaide boundaries shifted licence assignments </w:t>
      </w:r>
      <w:r w:rsidR="00EE6BAC">
        <w:t xml:space="preserve">over into lower density areas? </w:t>
      </w:r>
    </w:p>
    <w:p w14:paraId="7F192E3D" w14:textId="22E90591" w:rsidR="00EE6BAC" w:rsidRDefault="00EE6BAC" w:rsidP="00F97F08">
      <w:r>
        <w:t xml:space="preserve">The ACMA will also be receptive to stakeholder feedback which we regularly obtain through </w:t>
      </w:r>
      <w:r w:rsidR="00447247">
        <w:t xml:space="preserve">our </w:t>
      </w:r>
      <w:hyperlink r:id="rId131" w:history="1">
        <w:r w:rsidR="00447247" w:rsidRPr="00AF0966">
          <w:rPr>
            <w:rStyle w:val="Hyperlink"/>
            <w:bCs/>
            <w:szCs w:val="20"/>
          </w:rPr>
          <w:t>annual workplan / Five-year spectrum outlook</w:t>
        </w:r>
      </w:hyperlink>
      <w:r w:rsidR="00447247">
        <w:rPr>
          <w:rStyle w:val="Hyperlink"/>
          <w:bCs/>
          <w:szCs w:val="20"/>
        </w:rPr>
        <w:t xml:space="preserve"> </w:t>
      </w:r>
      <w:r w:rsidR="00447247">
        <w:t xml:space="preserve">processes. </w:t>
      </w:r>
    </w:p>
    <w:p w14:paraId="346D031E" w14:textId="2FD9D807" w:rsidR="002441A1" w:rsidRDefault="0006400D" w:rsidP="00F97F08">
      <w:r>
        <w:t>This analysis will assist with any other future potential price changes that the ACMA may consider for other pricing problems.</w:t>
      </w:r>
    </w:p>
    <w:p w14:paraId="20E63A1B" w14:textId="61C2EB78" w:rsidR="00754120" w:rsidRDefault="00754120">
      <w:pPr>
        <w:spacing w:after="160" w:line="259" w:lineRule="auto"/>
        <w:rPr>
          <w:rFonts w:cs="Arial"/>
          <w:b/>
          <w:bCs/>
          <w:iCs/>
          <w:sz w:val="28"/>
          <w:szCs w:val="28"/>
        </w:rPr>
      </w:pPr>
      <w:r>
        <w:br w:type="page"/>
      </w:r>
    </w:p>
    <w:p w14:paraId="125935F8" w14:textId="4B8DF9C1" w:rsidR="00285958" w:rsidRDefault="00392C3F" w:rsidP="006E6ED7">
      <w:pPr>
        <w:pStyle w:val="Heading1"/>
      </w:pPr>
      <w:bookmarkStart w:id="83" w:name="_Toc99632521"/>
      <w:bookmarkStart w:id="84" w:name="_Toc109035860"/>
      <w:r>
        <w:lastRenderedPageBreak/>
        <w:t>Appendix A – S</w:t>
      </w:r>
      <w:r w:rsidR="007D3A1B">
        <w:t xml:space="preserve">pectrum pricing review </w:t>
      </w:r>
      <w:r>
        <w:t>recommendations</w:t>
      </w:r>
      <w:bookmarkEnd w:id="83"/>
      <w:bookmarkEnd w:id="84"/>
    </w:p>
    <w:p w14:paraId="6FCB0D9A" w14:textId="77777777" w:rsidR="00D74848" w:rsidRDefault="00BC5394" w:rsidP="0057640A">
      <w:r>
        <w:t xml:space="preserve">The Department of Communications released its Spectrum </w:t>
      </w:r>
      <w:r w:rsidR="004F410A">
        <w:t xml:space="preserve">Pricing </w:t>
      </w:r>
      <w:r>
        <w:t xml:space="preserve">Review </w:t>
      </w:r>
      <w:r w:rsidR="004F410A">
        <w:t xml:space="preserve">consultation </w:t>
      </w:r>
      <w:r w:rsidR="007F45CA">
        <w:t>i</w:t>
      </w:r>
      <w:r w:rsidR="004F410A">
        <w:t xml:space="preserve">n </w:t>
      </w:r>
      <w:r w:rsidR="007F45CA">
        <w:t>May 2017</w:t>
      </w:r>
      <w:r w:rsidR="00887F8D">
        <w:t xml:space="preserve"> as a major review of the </w:t>
      </w:r>
      <w:r w:rsidR="0046077A">
        <w:t xml:space="preserve">spectrum pricing </w:t>
      </w:r>
      <w:proofErr w:type="gramStart"/>
      <w:r w:rsidR="0046077A">
        <w:t>framework</w:t>
      </w:r>
      <w:r w:rsidR="003A1BDF">
        <w:t>, since</w:t>
      </w:r>
      <w:proofErr w:type="gramEnd"/>
      <w:r w:rsidR="003A1BDF">
        <w:t xml:space="preserve"> the Productivity Commission’s review of radiocommunications in 2002.</w:t>
      </w:r>
      <w:r w:rsidR="0046077A">
        <w:t xml:space="preserve"> </w:t>
      </w:r>
      <w:r w:rsidR="00351B95">
        <w:t xml:space="preserve">The consultation paper </w:t>
      </w:r>
      <w:r w:rsidR="00352C17">
        <w:t xml:space="preserve">proposed </w:t>
      </w:r>
      <w:proofErr w:type="gramStart"/>
      <w:r w:rsidR="00352C17">
        <w:t>a number of</w:t>
      </w:r>
      <w:proofErr w:type="gramEnd"/>
      <w:r w:rsidR="00352C17">
        <w:t xml:space="preserve"> draft recommendations for improving the pricing </w:t>
      </w:r>
      <w:r w:rsidR="008C31FF">
        <w:t>framework</w:t>
      </w:r>
      <w:r w:rsidR="00D74848">
        <w:t xml:space="preserve">. </w:t>
      </w:r>
    </w:p>
    <w:p w14:paraId="76F03F7C" w14:textId="4DA24653" w:rsidR="00BC5394" w:rsidRDefault="00D74848" w:rsidP="001E1B4B">
      <w:r>
        <w:t xml:space="preserve">The department finalised these recommendations (listed below) in </w:t>
      </w:r>
      <w:r w:rsidR="006D5990">
        <w:t>March 2018</w:t>
      </w:r>
      <w:r w:rsidR="008C31FF">
        <w:t xml:space="preserve">. </w:t>
      </w:r>
      <w:r w:rsidR="00114737">
        <w:t xml:space="preserve">In developing these </w:t>
      </w:r>
      <w:proofErr w:type="gramStart"/>
      <w:r w:rsidR="00741C57">
        <w:t>recommendations</w:t>
      </w:r>
      <w:proofErr w:type="gramEnd"/>
      <w:r w:rsidR="00741C57">
        <w:t xml:space="preserve"> the Department was guided by the principles of </w:t>
      </w:r>
      <w:r w:rsidR="0010205B">
        <w:t xml:space="preserve">efficiency, cost recovery, </w:t>
      </w:r>
      <w:r w:rsidR="00ED419B">
        <w:t xml:space="preserve">consistency and simplicity, and transparency. </w:t>
      </w:r>
    </w:p>
    <w:p w14:paraId="217EF4E5" w14:textId="77777777" w:rsidR="00CC3672" w:rsidRPr="00923E63" w:rsidRDefault="00CC3672" w:rsidP="00CC3672">
      <w:pPr>
        <w:pStyle w:val="Heading3"/>
        <w:rPr>
          <w:szCs w:val="20"/>
        </w:rPr>
      </w:pPr>
      <w:bookmarkStart w:id="85" w:name="_Toc506823199"/>
      <w:bookmarkStart w:id="86" w:name="_Toc508206289"/>
      <w:bookmarkStart w:id="87" w:name="_Toc99632522"/>
      <w:bookmarkStart w:id="88" w:name="_Toc109035861"/>
      <w:r w:rsidRPr="00FE123C">
        <w:rPr>
          <w:szCs w:val="20"/>
        </w:rPr>
        <w:t>Allocation decisions</w:t>
      </w:r>
      <w:bookmarkEnd w:id="85"/>
      <w:bookmarkEnd w:id="86"/>
      <w:bookmarkEnd w:id="87"/>
      <w:bookmarkEnd w:id="88"/>
    </w:p>
    <w:p w14:paraId="1E85C9A3"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The ACMA should publish guidelines on how it approaches its spectrum pricing decisions.</w:t>
      </w:r>
    </w:p>
    <w:p w14:paraId="0D9540E5"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 xml:space="preserve">To ensure efficient use of spectrum, the Government and the ACMA should endeavour to charge users of similar spectrum at the same rate. </w:t>
      </w:r>
    </w:p>
    <w:p w14:paraId="31E73A07"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Bespoke pricing arrangements will sometimes be necessary. Where spectrum fees are determined other than by auction or by the administered pricing formula, the ACMA, or the Government where it directs the ACMA on pricing, should publish the reasons for this decision.</w:t>
      </w:r>
    </w:p>
    <w:p w14:paraId="0EA9F829" w14:textId="77777777" w:rsidR="00CC3672" w:rsidRPr="00923E63" w:rsidRDefault="00CC3672" w:rsidP="00CC3672">
      <w:pPr>
        <w:pStyle w:val="Heading3"/>
        <w:rPr>
          <w:szCs w:val="20"/>
        </w:rPr>
      </w:pPr>
      <w:bookmarkStart w:id="89" w:name="_Toc506823200"/>
      <w:bookmarkStart w:id="90" w:name="_Toc508206290"/>
      <w:bookmarkStart w:id="91" w:name="_Toc99632523"/>
      <w:bookmarkStart w:id="92" w:name="_Toc109035862"/>
      <w:r w:rsidRPr="00FE123C">
        <w:rPr>
          <w:szCs w:val="20"/>
        </w:rPr>
        <w:t>Market-based allocations</w:t>
      </w:r>
      <w:bookmarkEnd w:id="89"/>
      <w:bookmarkEnd w:id="90"/>
      <w:bookmarkEnd w:id="91"/>
      <w:bookmarkEnd w:id="92"/>
    </w:p>
    <w:p w14:paraId="29A1F9AA"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The ACMA should further identify bands to transition from administratively set fees to competitive market-based allocations in its annual work program.</w:t>
      </w:r>
    </w:p>
    <w:p w14:paraId="45F3AE26"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In setting reserve prices, the ACMA and the Government should consider the influence of the reserve price on competitive behaviour, and the scope for price discovery through upward movement toward the market value of the spectrum.</w:t>
      </w:r>
    </w:p>
    <w:p w14:paraId="306CB4E8"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For spectrum access charges determined by auction, the ACMA should generally require upfront lump-sum payments. There may be circumstances where instalment payments are warranted shortly after the beginning of a licence term. In considering use of instalments, the ACMA should assess the risks to the state of default and the potential impact on competition.</w:t>
      </w:r>
    </w:p>
    <w:p w14:paraId="5564FE99" w14:textId="77777777" w:rsidR="00CC3672" w:rsidRPr="00923E63" w:rsidRDefault="00CC3672" w:rsidP="00CC3672">
      <w:pPr>
        <w:pStyle w:val="Heading3"/>
        <w:rPr>
          <w:szCs w:val="20"/>
        </w:rPr>
      </w:pPr>
      <w:bookmarkStart w:id="93" w:name="_Toc506823201"/>
      <w:bookmarkStart w:id="94" w:name="_Toc508206291"/>
      <w:bookmarkStart w:id="95" w:name="_Toc99632524"/>
      <w:bookmarkStart w:id="96" w:name="_Toc109035863"/>
      <w:r w:rsidRPr="00FE123C">
        <w:rPr>
          <w:szCs w:val="20"/>
        </w:rPr>
        <w:t>Administered allocations</w:t>
      </w:r>
      <w:bookmarkEnd w:id="93"/>
      <w:bookmarkEnd w:id="94"/>
      <w:bookmarkEnd w:id="95"/>
      <w:bookmarkEnd w:id="96"/>
    </w:p>
    <w:p w14:paraId="1E881704"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 xml:space="preserve">The ACMA 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w:t>
      </w:r>
      <w:proofErr w:type="gramStart"/>
      <w:r w:rsidRPr="00DD1C18">
        <w:rPr>
          <w:rFonts w:ascii="Arial" w:hAnsi="Arial" w:cs="Arial"/>
          <w:sz w:val="20"/>
          <w:szCs w:val="20"/>
        </w:rPr>
        <w:t>demography</w:t>
      </w:r>
      <w:proofErr w:type="gramEnd"/>
      <w:r w:rsidRPr="00DD1C18">
        <w:rPr>
          <w:rFonts w:ascii="Arial" w:hAnsi="Arial" w:cs="Arial"/>
          <w:sz w:val="20"/>
          <w:szCs w:val="20"/>
        </w:rPr>
        <w:t xml:space="preserve"> and demand.</w:t>
      </w:r>
    </w:p>
    <w:p w14:paraId="65E7A95A"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The ACMA should apply opportunity cost pricing to a greater number of spectrum bands, especially where it is impractical to competitively allocate spectrum. This work should be identified in the ACMA’s annual work program. The ACMA should consider more time effective approaches to implement these, and review fees as market conditions change over time.</w:t>
      </w:r>
    </w:p>
    <w:p w14:paraId="0358C4AE" w14:textId="77777777" w:rsidR="00CC3672" w:rsidRPr="00923E63" w:rsidRDefault="00CC3672" w:rsidP="00CC3672">
      <w:pPr>
        <w:pStyle w:val="Heading3"/>
        <w:rPr>
          <w:szCs w:val="20"/>
        </w:rPr>
      </w:pPr>
      <w:bookmarkStart w:id="97" w:name="_Toc506823202"/>
      <w:bookmarkStart w:id="98" w:name="_Toc508206292"/>
      <w:bookmarkStart w:id="99" w:name="_Toc99632525"/>
      <w:bookmarkStart w:id="100" w:name="_Toc109035864"/>
      <w:r w:rsidRPr="00FE123C">
        <w:rPr>
          <w:szCs w:val="20"/>
        </w:rPr>
        <w:t>Legislative and cost recovery framework</w:t>
      </w:r>
      <w:bookmarkEnd w:id="97"/>
      <w:bookmarkEnd w:id="98"/>
      <w:bookmarkEnd w:id="99"/>
      <w:bookmarkEnd w:id="100"/>
    </w:p>
    <w:p w14:paraId="7F7DF8A9"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 xml:space="preserve">The Government should consolidate the three existing spectrum tax Acts into one tax Act. The ACMA should continue to have the power to make determinations on the amount of tax under this Act. There should be no changes to the direct </w:t>
      </w:r>
      <w:proofErr w:type="gramStart"/>
      <w:r w:rsidRPr="00DD1C18">
        <w:rPr>
          <w:rFonts w:ascii="Arial" w:hAnsi="Arial" w:cs="Arial"/>
          <w:sz w:val="20"/>
          <w:szCs w:val="20"/>
        </w:rPr>
        <w:t>charges</w:t>
      </w:r>
      <w:proofErr w:type="gramEnd"/>
      <w:r w:rsidRPr="00DD1C18">
        <w:rPr>
          <w:rFonts w:ascii="Arial" w:hAnsi="Arial" w:cs="Arial"/>
          <w:sz w:val="20"/>
          <w:szCs w:val="20"/>
        </w:rPr>
        <w:t xml:space="preserve"> framework. In addition to the consolidation of the tax Acts, provisions of the separate </w:t>
      </w:r>
      <w:r w:rsidRPr="00DD1C18">
        <w:rPr>
          <w:rFonts w:ascii="Arial" w:hAnsi="Arial" w:cs="Arial"/>
          <w:i/>
          <w:sz w:val="20"/>
          <w:szCs w:val="20"/>
        </w:rPr>
        <w:t>Radiocommunications Taxes Collection Act 1983</w:t>
      </w:r>
      <w:r w:rsidRPr="00DD1C18">
        <w:rPr>
          <w:rFonts w:ascii="Arial" w:hAnsi="Arial" w:cs="Arial"/>
          <w:sz w:val="20"/>
          <w:szCs w:val="20"/>
        </w:rPr>
        <w:t xml:space="preserve"> and the Radiocommunications Taxes Collection Regulations 1985 should be consolidated with the remaining legislation.</w:t>
      </w:r>
    </w:p>
    <w:p w14:paraId="1EB9671A"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lastRenderedPageBreak/>
        <w:t>The apparatus licence taxes and spectrum access charges for spectrum licences should be combined into a single spectrum access charge. This existing apparatus licence tax formula should become the administered incentive pricing formula and should dictate the price paid for administered prices under the spectrum access charge. This formula would be adjusted to remove the minimum tax constraint.</w:t>
      </w:r>
    </w:p>
    <w:p w14:paraId="49B52617" w14:textId="77777777" w:rsidR="00CC3672" w:rsidRPr="00DD1C18" w:rsidRDefault="00CC3672" w:rsidP="007E7817">
      <w:pPr>
        <w:pStyle w:val="ListParagraph"/>
        <w:numPr>
          <w:ilvl w:val="0"/>
          <w:numId w:val="18"/>
        </w:numPr>
        <w:spacing w:after="200" w:line="240" w:lineRule="auto"/>
        <w:ind w:left="567" w:hanging="567"/>
        <w:rPr>
          <w:rFonts w:ascii="Arial" w:hAnsi="Arial" w:cs="Arial"/>
          <w:sz w:val="20"/>
          <w:szCs w:val="20"/>
        </w:rPr>
      </w:pPr>
      <w:r w:rsidRPr="00DD1C18">
        <w:rPr>
          <w:rFonts w:ascii="Arial" w:hAnsi="Arial" w:cs="Arial"/>
          <w:sz w:val="20"/>
          <w:szCs w:val="20"/>
        </w:rPr>
        <w:t>The spectrum licence tax and the minimum tax constraint of the apparatus licence taxes should be subsumed into one radiocommunications licence tax. The ACMA should continue to recover direct costs through charges. The ACMA should explore if there are any additional costs that should be recovered through the direct cost mechanisms. The use of charges should be consistent with the Australian Government Charging Framework.</w:t>
      </w:r>
    </w:p>
    <w:p w14:paraId="6FC2DC01" w14:textId="77777777" w:rsidR="00CC3672" w:rsidRDefault="00CC3672" w:rsidP="001E1B4B"/>
    <w:p w14:paraId="7CA186E5" w14:textId="77777777" w:rsidR="00DC0A57" w:rsidRDefault="00DC0A57">
      <w:pPr>
        <w:spacing w:after="160" w:line="259" w:lineRule="auto"/>
        <w:rPr>
          <w:rFonts w:cs="Arial"/>
          <w:b/>
          <w:bCs/>
          <w:iCs/>
          <w:sz w:val="28"/>
          <w:szCs w:val="28"/>
        </w:rPr>
      </w:pPr>
      <w:r>
        <w:br w:type="page"/>
      </w:r>
    </w:p>
    <w:p w14:paraId="2D10D3B9" w14:textId="71CED4B2" w:rsidR="00DC0A57" w:rsidRDefault="00DC0A57" w:rsidP="006E6ED7">
      <w:pPr>
        <w:pStyle w:val="Heading1"/>
      </w:pPr>
      <w:bookmarkStart w:id="101" w:name="_Toc99632526"/>
      <w:bookmarkStart w:id="102" w:name="_Toc109035865"/>
      <w:r>
        <w:lastRenderedPageBreak/>
        <w:t>Appendix B – Density areas</w:t>
      </w:r>
      <w:bookmarkEnd w:id="101"/>
      <w:bookmarkEnd w:id="102"/>
      <w:r w:rsidR="003A0C44">
        <w:t xml:space="preserve"> </w:t>
      </w:r>
    </w:p>
    <w:p w14:paraId="68469904" w14:textId="77777777" w:rsidR="00717F93" w:rsidRDefault="00717F93">
      <w:pPr>
        <w:spacing w:after="160" w:line="259" w:lineRule="auto"/>
      </w:pPr>
    </w:p>
    <w:p w14:paraId="408C2729" w14:textId="77777777" w:rsidR="00717F93" w:rsidRDefault="00717F93">
      <w:pPr>
        <w:spacing w:after="160" w:line="259" w:lineRule="auto"/>
      </w:pPr>
      <w:r>
        <w:rPr>
          <w:noProof/>
        </w:rPr>
        <w:drawing>
          <wp:inline distT="0" distB="0" distL="0" distR="0" wp14:anchorId="7E5E84F7" wp14:editId="661810CA">
            <wp:extent cx="4871085" cy="4446905"/>
            <wp:effectExtent l="0" t="0" r="5715"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32"/>
                    <a:stretch>
                      <a:fillRect/>
                    </a:stretch>
                  </pic:blipFill>
                  <pic:spPr>
                    <a:xfrm>
                      <a:off x="0" y="0"/>
                      <a:ext cx="4871085" cy="4446905"/>
                    </a:xfrm>
                    <a:prstGeom prst="rect">
                      <a:avLst/>
                    </a:prstGeom>
                  </pic:spPr>
                </pic:pic>
              </a:graphicData>
            </a:graphic>
          </wp:inline>
        </w:drawing>
      </w:r>
    </w:p>
    <w:p w14:paraId="7658B392" w14:textId="43EDE4CB" w:rsidR="00717F93" w:rsidRDefault="00717F93" w:rsidP="00717F93">
      <w:pPr>
        <w:pStyle w:val="Heading3"/>
      </w:pPr>
      <w:bookmarkStart w:id="103" w:name="_Toc99632527"/>
      <w:bookmarkStart w:id="104" w:name="_Toc109035866"/>
      <w:r>
        <w:t>Map legend</w:t>
      </w:r>
      <w:bookmarkEnd w:id="103"/>
      <w:bookmarkEnd w:id="104"/>
    </w:p>
    <w:tbl>
      <w:tblPr>
        <w:tblStyle w:val="TableGrid"/>
        <w:tblW w:w="5000" w:type="pct"/>
        <w:tblLook w:val="04A0" w:firstRow="1" w:lastRow="0" w:firstColumn="1" w:lastColumn="0" w:noHBand="0" w:noVBand="1"/>
      </w:tblPr>
      <w:tblGrid>
        <w:gridCol w:w="2406"/>
        <w:gridCol w:w="5255"/>
      </w:tblGrid>
      <w:tr w:rsidR="00144082" w:rsidRPr="00144082" w14:paraId="30539DBE" w14:textId="77777777" w:rsidTr="00144082">
        <w:tc>
          <w:tcPr>
            <w:tcW w:w="1570" w:type="pct"/>
          </w:tcPr>
          <w:p w14:paraId="6BA80311" w14:textId="103C7A65" w:rsidR="00144082" w:rsidRPr="00144082" w:rsidRDefault="00144082">
            <w:pPr>
              <w:spacing w:after="160" w:line="259" w:lineRule="auto"/>
              <w:rPr>
                <w:b/>
                <w:bCs/>
              </w:rPr>
            </w:pPr>
            <w:r w:rsidRPr="00144082">
              <w:rPr>
                <w:b/>
                <w:bCs/>
              </w:rPr>
              <w:t>Density area</w:t>
            </w:r>
          </w:p>
        </w:tc>
        <w:tc>
          <w:tcPr>
            <w:tcW w:w="3430" w:type="pct"/>
          </w:tcPr>
          <w:p w14:paraId="278A97D7" w14:textId="26D43571" w:rsidR="00144082" w:rsidRPr="00144082" w:rsidRDefault="00144082">
            <w:pPr>
              <w:spacing w:after="160" w:line="259" w:lineRule="auto"/>
              <w:rPr>
                <w:b/>
                <w:bCs/>
              </w:rPr>
            </w:pPr>
            <w:r w:rsidRPr="00144082">
              <w:rPr>
                <w:b/>
                <w:bCs/>
              </w:rPr>
              <w:t>Description</w:t>
            </w:r>
          </w:p>
        </w:tc>
      </w:tr>
      <w:tr w:rsidR="00144082" w14:paraId="186B77EA" w14:textId="77777777" w:rsidTr="00144082">
        <w:tc>
          <w:tcPr>
            <w:tcW w:w="1570" w:type="pct"/>
          </w:tcPr>
          <w:p w14:paraId="12D75F2A" w14:textId="5D1ABEB3" w:rsidR="00144082" w:rsidRDefault="00144082">
            <w:pPr>
              <w:spacing w:after="160" w:line="259" w:lineRule="auto"/>
            </w:pPr>
            <w:r>
              <w:t>High density areas</w:t>
            </w:r>
          </w:p>
        </w:tc>
        <w:tc>
          <w:tcPr>
            <w:tcW w:w="3430" w:type="pct"/>
          </w:tcPr>
          <w:p w14:paraId="77DDBE4A" w14:textId="77777777" w:rsidR="00144082" w:rsidRDefault="00144082">
            <w:pPr>
              <w:spacing w:after="160" w:line="259" w:lineRule="auto"/>
            </w:pPr>
            <w:r>
              <w:t>Red areas</w:t>
            </w:r>
          </w:p>
          <w:p w14:paraId="6B6A7944" w14:textId="49CB8283" w:rsidR="00144082" w:rsidRDefault="00144082">
            <w:pPr>
              <w:spacing w:after="160" w:line="259" w:lineRule="auto"/>
            </w:pPr>
            <w:r>
              <w:t>Brisbane, Sydney, Melbourne HDAs</w:t>
            </w:r>
          </w:p>
        </w:tc>
      </w:tr>
      <w:tr w:rsidR="00144082" w14:paraId="1A05858F" w14:textId="77777777" w:rsidTr="00144082">
        <w:tc>
          <w:tcPr>
            <w:tcW w:w="1570" w:type="pct"/>
          </w:tcPr>
          <w:p w14:paraId="20E2125B" w14:textId="158CFEE1" w:rsidR="00144082" w:rsidRDefault="00144082">
            <w:pPr>
              <w:spacing w:after="160" w:line="259" w:lineRule="auto"/>
            </w:pPr>
            <w:r>
              <w:t>Medium density areas</w:t>
            </w:r>
          </w:p>
        </w:tc>
        <w:tc>
          <w:tcPr>
            <w:tcW w:w="3430" w:type="pct"/>
          </w:tcPr>
          <w:p w14:paraId="6AD1A706" w14:textId="01CFBAD8" w:rsidR="00144082" w:rsidRDefault="00144082">
            <w:pPr>
              <w:spacing w:after="160" w:line="259" w:lineRule="auto"/>
            </w:pPr>
            <w:r>
              <w:t>Dark blue areas</w:t>
            </w:r>
          </w:p>
          <w:p w14:paraId="1BE6EA0E" w14:textId="2E10D6FE" w:rsidR="00144082" w:rsidRDefault="00144082">
            <w:pPr>
              <w:spacing w:after="160" w:line="259" w:lineRule="auto"/>
            </w:pPr>
            <w:r>
              <w:t>Perth, Adelaide, Newcastle HDAs</w:t>
            </w:r>
          </w:p>
        </w:tc>
      </w:tr>
      <w:tr w:rsidR="00144082" w14:paraId="599F8FE9" w14:textId="77777777" w:rsidTr="00144082">
        <w:tc>
          <w:tcPr>
            <w:tcW w:w="1570" w:type="pct"/>
          </w:tcPr>
          <w:p w14:paraId="73E38C04" w14:textId="296EC6FC" w:rsidR="00144082" w:rsidRDefault="00144082">
            <w:pPr>
              <w:spacing w:after="160" w:line="259" w:lineRule="auto"/>
            </w:pPr>
            <w:r>
              <w:t>Low density areas</w:t>
            </w:r>
          </w:p>
        </w:tc>
        <w:tc>
          <w:tcPr>
            <w:tcW w:w="3430" w:type="pct"/>
          </w:tcPr>
          <w:p w14:paraId="38C0B541" w14:textId="77777777" w:rsidR="00144082" w:rsidRDefault="00144082">
            <w:pPr>
              <w:spacing w:after="160" w:line="259" w:lineRule="auto"/>
            </w:pPr>
            <w:r>
              <w:t>Light blue areas</w:t>
            </w:r>
          </w:p>
          <w:p w14:paraId="7B7F7427" w14:textId="747C72CA" w:rsidR="00144082" w:rsidRDefault="00144082" w:rsidP="00144082">
            <w:pPr>
              <w:spacing w:after="160" w:line="259" w:lineRule="auto"/>
            </w:pPr>
            <w:r>
              <w:t>East Australia LDA, Western Australia LDA</w:t>
            </w:r>
          </w:p>
        </w:tc>
      </w:tr>
      <w:tr w:rsidR="00144082" w14:paraId="1CA25143" w14:textId="77777777" w:rsidTr="00144082">
        <w:tc>
          <w:tcPr>
            <w:tcW w:w="1570" w:type="pct"/>
          </w:tcPr>
          <w:p w14:paraId="74423DE5" w14:textId="282063FC" w:rsidR="00144082" w:rsidRDefault="00144082">
            <w:pPr>
              <w:spacing w:after="160" w:line="259" w:lineRule="auto"/>
            </w:pPr>
            <w:r>
              <w:t>Remote density areas</w:t>
            </w:r>
          </w:p>
        </w:tc>
        <w:tc>
          <w:tcPr>
            <w:tcW w:w="3430" w:type="pct"/>
          </w:tcPr>
          <w:p w14:paraId="68E82380" w14:textId="78E08334" w:rsidR="00144082" w:rsidRDefault="00144082">
            <w:pPr>
              <w:spacing w:after="160" w:line="259" w:lineRule="auto"/>
            </w:pPr>
            <w:r>
              <w:t>No colour</w:t>
            </w:r>
          </w:p>
          <w:p w14:paraId="2C4D70A8" w14:textId="257732E4" w:rsidR="00144082" w:rsidRDefault="00144082">
            <w:pPr>
              <w:spacing w:after="160" w:line="259" w:lineRule="auto"/>
            </w:pPr>
            <w:r>
              <w:t>Remaining parts of Australia</w:t>
            </w:r>
          </w:p>
        </w:tc>
      </w:tr>
    </w:tbl>
    <w:p w14:paraId="6546C499" w14:textId="77777777" w:rsidR="00144082" w:rsidRDefault="00144082">
      <w:pPr>
        <w:spacing w:after="160" w:line="259" w:lineRule="auto"/>
      </w:pPr>
    </w:p>
    <w:p w14:paraId="62E20BDE" w14:textId="01B6FE3A" w:rsidR="0027292E" w:rsidRDefault="00144082">
      <w:pPr>
        <w:spacing w:after="160" w:line="259" w:lineRule="auto"/>
      </w:pPr>
      <w:r>
        <w:t xml:space="preserve">Precise definitions and coordinates can be found in Appendix </w:t>
      </w:r>
      <w:r w:rsidR="00A03178">
        <w:t xml:space="preserve">F of the </w:t>
      </w:r>
      <w:hyperlink r:id="rId133" w:history="1">
        <w:r w:rsidR="00A03178" w:rsidRPr="00A03178">
          <w:rPr>
            <w:rStyle w:val="Hyperlink"/>
          </w:rPr>
          <w:t>Apparatus Licence Fee Schedule</w:t>
        </w:r>
      </w:hyperlink>
      <w:r w:rsidR="00A03178">
        <w:t xml:space="preserve">. </w:t>
      </w:r>
      <w:r w:rsidR="0027292E">
        <w:br w:type="page"/>
      </w:r>
    </w:p>
    <w:p w14:paraId="6C560B1B" w14:textId="0C162160" w:rsidR="0027292E" w:rsidRDefault="0027292E" w:rsidP="006E6ED7">
      <w:pPr>
        <w:pStyle w:val="Heading1"/>
      </w:pPr>
      <w:bookmarkStart w:id="105" w:name="_Toc99632528"/>
      <w:bookmarkStart w:id="106" w:name="_Toc109035867"/>
      <w:r>
        <w:lastRenderedPageBreak/>
        <w:t xml:space="preserve">Appendix C – </w:t>
      </w:r>
      <w:r w:rsidRPr="0027292E">
        <w:t>The administrative pricing formula</w:t>
      </w:r>
      <w:bookmarkEnd w:id="105"/>
      <w:bookmarkEnd w:id="106"/>
    </w:p>
    <w:p w14:paraId="48C7FE30" w14:textId="4EA7BB66" w:rsidR="00303106" w:rsidRPr="00C05C18" w:rsidRDefault="00303106" w:rsidP="00303106">
      <w:pPr>
        <w:spacing w:before="120" w:after="120" w:line="240" w:lineRule="auto"/>
        <w:rPr>
          <w:rFonts w:cs="Arial"/>
        </w:rPr>
      </w:pPr>
      <w:r>
        <w:rPr>
          <w:rFonts w:cs="Arial"/>
          <w:iCs/>
          <w:color w:val="000000"/>
          <w:szCs w:val="20"/>
        </w:rPr>
        <w:t>T</w:t>
      </w:r>
      <w:r w:rsidRPr="009529FE">
        <w:rPr>
          <w:rFonts w:cs="Arial"/>
          <w:iCs/>
          <w:color w:val="000000"/>
          <w:szCs w:val="20"/>
        </w:rPr>
        <w:t xml:space="preserve">he administrative tax formula is made up of five elements – normalisation factor, bandwidth, power, location weighting, and adjustment factor. </w:t>
      </w:r>
      <w:r w:rsidRPr="00C05C18">
        <w:rPr>
          <w:rFonts w:cs="Arial"/>
        </w:rPr>
        <w:t xml:space="preserve">The annual tax is calculated by multiplying the </w:t>
      </w:r>
      <w:r>
        <w:rPr>
          <w:rFonts w:cs="Arial"/>
        </w:rPr>
        <w:t xml:space="preserve">relevant formula </w:t>
      </w:r>
      <w:r w:rsidRPr="00C05C18">
        <w:rPr>
          <w:rFonts w:cs="Arial"/>
        </w:rPr>
        <w:t>factors:</w:t>
      </w:r>
    </w:p>
    <w:tbl>
      <w:tblPr>
        <w:tblW w:w="0" w:type="auto"/>
        <w:tblInd w:w="108" w:type="dxa"/>
        <w:tblBorders>
          <w:top w:val="double" w:sz="4" w:space="0" w:color="auto"/>
          <w:bottom w:val="doub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825"/>
        <w:gridCol w:w="131"/>
      </w:tblGrid>
      <w:tr w:rsidR="00303106" w:rsidRPr="00C05C18" w14:paraId="561966EC" w14:textId="77777777" w:rsidTr="00C80AAD">
        <w:trPr>
          <w:trHeight w:hRule="exact" w:val="688"/>
        </w:trPr>
        <w:tc>
          <w:tcPr>
            <w:tcW w:w="970" w:type="dxa"/>
            <w:vMerge w:val="restart"/>
            <w:tcBorders>
              <w:top w:val="double" w:sz="4" w:space="0" w:color="auto"/>
              <w:bottom w:val="single" w:sz="4" w:space="0" w:color="auto"/>
              <w:right w:val="single" w:sz="4" w:space="0" w:color="auto"/>
            </w:tcBorders>
            <w:vAlign w:val="center"/>
          </w:tcPr>
          <w:p w14:paraId="3B6F41FE" w14:textId="77777777" w:rsidR="00303106" w:rsidRPr="00C05C18" w:rsidRDefault="00303106" w:rsidP="00C80AAD">
            <w:pPr>
              <w:jc w:val="center"/>
              <w:rPr>
                <w:b/>
                <w:lang w:val="en-US" w:eastAsia="en-US"/>
              </w:rPr>
            </w:pPr>
            <w:r w:rsidRPr="00C05C18">
              <w:rPr>
                <w:b/>
                <w:lang w:val="en-US" w:eastAsia="en-US"/>
              </w:rPr>
              <w:t>X</w:t>
            </w:r>
          </w:p>
        </w:tc>
        <w:tc>
          <w:tcPr>
            <w:tcW w:w="2956" w:type="dxa"/>
            <w:gridSpan w:val="2"/>
            <w:tcBorders>
              <w:top w:val="double" w:sz="4" w:space="0" w:color="auto"/>
              <w:left w:val="single" w:sz="4" w:space="0" w:color="auto"/>
              <w:bottom w:val="nil"/>
              <w:right w:val="nil"/>
            </w:tcBorders>
          </w:tcPr>
          <w:p w14:paraId="36437CD9" w14:textId="77777777" w:rsidR="00303106" w:rsidRPr="00C05C18" w:rsidRDefault="00303106" w:rsidP="00C80AAD">
            <w:pPr>
              <w:rPr>
                <w:b/>
                <w:lang w:val="en-US" w:eastAsia="en-US"/>
              </w:rPr>
            </w:pPr>
            <w:r w:rsidRPr="00C05C18">
              <w:rPr>
                <w:b/>
                <w:lang w:val="en-US" w:eastAsia="en-US"/>
              </w:rPr>
              <w:t xml:space="preserve">Location weighting </w:t>
            </w:r>
          </w:p>
        </w:tc>
      </w:tr>
      <w:tr w:rsidR="00303106" w:rsidRPr="00C05C18" w14:paraId="36DF06D2" w14:textId="77777777" w:rsidTr="00C80AAD">
        <w:trPr>
          <w:trHeight w:hRule="exact" w:val="691"/>
        </w:trPr>
        <w:tc>
          <w:tcPr>
            <w:tcW w:w="970" w:type="dxa"/>
            <w:vMerge/>
            <w:tcBorders>
              <w:top w:val="single" w:sz="4" w:space="0" w:color="auto"/>
            </w:tcBorders>
          </w:tcPr>
          <w:p w14:paraId="278E60A0" w14:textId="77777777" w:rsidR="00303106" w:rsidRPr="00C05C18" w:rsidRDefault="00303106" w:rsidP="00C80AAD">
            <w:pPr>
              <w:keepNext/>
              <w:tabs>
                <w:tab w:val="left" w:pos="3480"/>
              </w:tabs>
              <w:suppressAutoHyphens/>
              <w:spacing w:before="320"/>
              <w:outlineLvl w:val="1"/>
              <w:rPr>
                <w:rFonts w:cs="Arial"/>
                <w:b/>
                <w:szCs w:val="20"/>
                <w:lang w:val="en-US" w:eastAsia="en-US"/>
              </w:rPr>
            </w:pPr>
          </w:p>
        </w:tc>
        <w:tc>
          <w:tcPr>
            <w:tcW w:w="2956" w:type="dxa"/>
            <w:gridSpan w:val="2"/>
            <w:tcBorders>
              <w:top w:val="nil"/>
              <w:bottom w:val="nil"/>
              <w:right w:val="nil"/>
            </w:tcBorders>
          </w:tcPr>
          <w:p w14:paraId="1C1D9B64" w14:textId="77777777" w:rsidR="00303106" w:rsidRPr="00C05C18" w:rsidRDefault="00303106" w:rsidP="00C80AAD">
            <w:pPr>
              <w:rPr>
                <w:b/>
                <w:lang w:val="en-US" w:eastAsia="en-US"/>
              </w:rPr>
            </w:pPr>
            <w:r w:rsidRPr="00C05C18">
              <w:rPr>
                <w:b/>
                <w:lang w:val="en-US" w:eastAsia="en-US"/>
              </w:rPr>
              <w:t>Bandwidth</w:t>
            </w:r>
          </w:p>
        </w:tc>
      </w:tr>
      <w:tr w:rsidR="00303106" w:rsidRPr="00C05C18" w14:paraId="2C48AB52" w14:textId="77777777" w:rsidTr="00C80AAD">
        <w:trPr>
          <w:trHeight w:hRule="exact" w:val="730"/>
        </w:trPr>
        <w:tc>
          <w:tcPr>
            <w:tcW w:w="970" w:type="dxa"/>
            <w:vMerge/>
          </w:tcPr>
          <w:p w14:paraId="251588AC" w14:textId="77777777" w:rsidR="00303106" w:rsidRPr="00C05C18" w:rsidRDefault="00303106" w:rsidP="00C80AAD">
            <w:pPr>
              <w:keepNext/>
              <w:tabs>
                <w:tab w:val="left" w:pos="3480"/>
              </w:tabs>
              <w:suppressAutoHyphens/>
              <w:spacing w:before="320"/>
              <w:outlineLvl w:val="1"/>
              <w:rPr>
                <w:rFonts w:cs="Arial"/>
                <w:b/>
                <w:szCs w:val="20"/>
                <w:lang w:val="en-US" w:eastAsia="en-US"/>
              </w:rPr>
            </w:pPr>
          </w:p>
        </w:tc>
        <w:tc>
          <w:tcPr>
            <w:tcW w:w="2956" w:type="dxa"/>
            <w:gridSpan w:val="2"/>
            <w:tcBorders>
              <w:top w:val="nil"/>
              <w:bottom w:val="nil"/>
              <w:right w:val="nil"/>
            </w:tcBorders>
          </w:tcPr>
          <w:p w14:paraId="4628F4EB" w14:textId="77777777" w:rsidR="00303106" w:rsidRPr="00C05C18" w:rsidRDefault="00303106" w:rsidP="00C80AAD">
            <w:pPr>
              <w:rPr>
                <w:b/>
                <w:lang w:val="en-US" w:eastAsia="en-US"/>
              </w:rPr>
            </w:pPr>
            <w:r w:rsidRPr="00C05C18">
              <w:rPr>
                <w:b/>
                <w:lang w:val="en-US" w:eastAsia="en-US"/>
              </w:rPr>
              <w:t>Power</w:t>
            </w:r>
          </w:p>
        </w:tc>
      </w:tr>
      <w:tr w:rsidR="00303106" w:rsidRPr="00C05C18" w14:paraId="31539AF7" w14:textId="77777777" w:rsidTr="00C80AAD">
        <w:trPr>
          <w:trHeight w:hRule="exact" w:val="723"/>
        </w:trPr>
        <w:tc>
          <w:tcPr>
            <w:tcW w:w="970" w:type="dxa"/>
            <w:vMerge/>
          </w:tcPr>
          <w:p w14:paraId="7AE13B5B" w14:textId="77777777" w:rsidR="00303106" w:rsidRPr="00C05C18" w:rsidRDefault="00303106" w:rsidP="00C80AAD">
            <w:pPr>
              <w:keepNext/>
              <w:tabs>
                <w:tab w:val="left" w:pos="3480"/>
              </w:tabs>
              <w:suppressAutoHyphens/>
              <w:spacing w:before="320"/>
              <w:outlineLvl w:val="1"/>
              <w:rPr>
                <w:rFonts w:cs="Arial"/>
                <w:b/>
                <w:szCs w:val="20"/>
                <w:lang w:val="en-US" w:eastAsia="en-US"/>
              </w:rPr>
            </w:pPr>
          </w:p>
        </w:tc>
        <w:tc>
          <w:tcPr>
            <w:tcW w:w="2956" w:type="dxa"/>
            <w:gridSpan w:val="2"/>
            <w:tcBorders>
              <w:top w:val="nil"/>
              <w:bottom w:val="nil"/>
              <w:right w:val="nil"/>
            </w:tcBorders>
          </w:tcPr>
          <w:p w14:paraId="2DAF18B5" w14:textId="77777777" w:rsidR="00303106" w:rsidRPr="00C05C18" w:rsidRDefault="00303106" w:rsidP="00C80AAD">
            <w:pPr>
              <w:rPr>
                <w:b/>
                <w:lang w:val="en-US" w:eastAsia="en-US"/>
              </w:rPr>
            </w:pPr>
            <w:r w:rsidRPr="00C05C18">
              <w:rPr>
                <w:b/>
                <w:lang w:val="en-US" w:eastAsia="en-US"/>
              </w:rPr>
              <w:t>Adjustment factor</w:t>
            </w:r>
          </w:p>
        </w:tc>
      </w:tr>
      <w:tr w:rsidR="00303106" w:rsidRPr="00C05C18" w14:paraId="4BCFD668" w14:textId="77777777" w:rsidTr="00C80AAD">
        <w:trPr>
          <w:trHeight w:hRule="exact" w:val="593"/>
        </w:trPr>
        <w:tc>
          <w:tcPr>
            <w:tcW w:w="970" w:type="dxa"/>
            <w:vMerge/>
            <w:tcBorders>
              <w:bottom w:val="single" w:sz="4" w:space="0" w:color="auto"/>
            </w:tcBorders>
          </w:tcPr>
          <w:p w14:paraId="6F6CCCF2" w14:textId="77777777" w:rsidR="00303106" w:rsidRPr="00C05C18" w:rsidRDefault="00303106" w:rsidP="00C80AAD">
            <w:pPr>
              <w:keepNext/>
              <w:tabs>
                <w:tab w:val="left" w:pos="3480"/>
              </w:tabs>
              <w:suppressAutoHyphens/>
              <w:spacing w:before="320"/>
              <w:outlineLvl w:val="1"/>
              <w:rPr>
                <w:rFonts w:cs="Arial"/>
                <w:b/>
                <w:szCs w:val="20"/>
                <w:lang w:val="en-US" w:eastAsia="en-US"/>
              </w:rPr>
            </w:pPr>
          </w:p>
        </w:tc>
        <w:tc>
          <w:tcPr>
            <w:tcW w:w="2956" w:type="dxa"/>
            <w:gridSpan w:val="2"/>
            <w:tcBorders>
              <w:top w:val="nil"/>
              <w:bottom w:val="single" w:sz="4" w:space="0" w:color="auto"/>
              <w:right w:val="nil"/>
            </w:tcBorders>
          </w:tcPr>
          <w:p w14:paraId="3BFF4A3D" w14:textId="77777777" w:rsidR="00303106" w:rsidRPr="00C05C18" w:rsidRDefault="00303106" w:rsidP="00C80AAD">
            <w:pPr>
              <w:rPr>
                <w:b/>
                <w:lang w:val="en-US" w:eastAsia="en-US"/>
              </w:rPr>
            </w:pPr>
            <w:proofErr w:type="spellStart"/>
            <w:r w:rsidRPr="00C05C18">
              <w:rPr>
                <w:b/>
                <w:lang w:val="en-US" w:eastAsia="en-US"/>
              </w:rPr>
              <w:t>Normalisation</w:t>
            </w:r>
            <w:proofErr w:type="spellEnd"/>
            <w:r w:rsidRPr="00C05C18">
              <w:rPr>
                <w:b/>
                <w:lang w:val="en-US" w:eastAsia="en-US"/>
              </w:rPr>
              <w:t xml:space="preserve"> factor </w:t>
            </w:r>
          </w:p>
        </w:tc>
      </w:tr>
      <w:tr w:rsidR="00303106" w:rsidRPr="00C05C18" w14:paraId="51367ADE" w14:textId="77777777" w:rsidTr="00C80AAD">
        <w:trPr>
          <w:gridAfter w:val="1"/>
          <w:wAfter w:w="131" w:type="dxa"/>
          <w:trHeight w:val="296"/>
        </w:trPr>
        <w:tc>
          <w:tcPr>
            <w:tcW w:w="3795" w:type="dxa"/>
            <w:gridSpan w:val="2"/>
            <w:tcBorders>
              <w:top w:val="single" w:sz="4" w:space="0" w:color="auto"/>
              <w:bottom w:val="double" w:sz="4" w:space="0" w:color="auto"/>
              <w:right w:val="nil"/>
            </w:tcBorders>
            <w:vAlign w:val="center"/>
          </w:tcPr>
          <w:p w14:paraId="7F614239" w14:textId="77777777" w:rsidR="00303106" w:rsidRPr="00C05C18" w:rsidRDefault="00303106" w:rsidP="00C80AAD">
            <w:pPr>
              <w:spacing w:before="120" w:after="120"/>
              <w:rPr>
                <w:b/>
                <w:lang w:val="en-US" w:eastAsia="en-US"/>
              </w:rPr>
            </w:pPr>
            <w:r w:rsidRPr="00C05C18">
              <w:rPr>
                <w:b/>
                <w:lang w:val="en-US" w:eastAsia="en-US"/>
              </w:rPr>
              <w:t xml:space="preserve">     =</w:t>
            </w:r>
            <w:r w:rsidRPr="00C05C18">
              <w:rPr>
                <w:b/>
                <w:lang w:val="en-US" w:eastAsia="en-US"/>
              </w:rPr>
              <w:tab/>
              <w:t xml:space="preserve">       Annual tax</w:t>
            </w:r>
          </w:p>
        </w:tc>
      </w:tr>
    </w:tbl>
    <w:p w14:paraId="321481B9" w14:textId="77777777" w:rsidR="00303106" w:rsidRPr="00C05C18" w:rsidRDefault="00303106" w:rsidP="00303106">
      <w:pPr>
        <w:spacing w:line="240" w:lineRule="auto"/>
        <w:rPr>
          <w:b/>
        </w:rPr>
      </w:pPr>
    </w:p>
    <w:p w14:paraId="30734ADF" w14:textId="77777777" w:rsidR="00303106" w:rsidRPr="00C05C18" w:rsidRDefault="00303106" w:rsidP="00303106">
      <w:pPr>
        <w:spacing w:before="240" w:after="0"/>
        <w:rPr>
          <w:rFonts w:cs="Arial"/>
          <w:b/>
        </w:rPr>
      </w:pPr>
      <w:r w:rsidRPr="00C05C18">
        <w:rPr>
          <w:rFonts w:cs="Arial"/>
          <w:b/>
        </w:rPr>
        <w:t>Location weighting</w:t>
      </w:r>
    </w:p>
    <w:p w14:paraId="520C24AD" w14:textId="77777777" w:rsidR="00303106" w:rsidRPr="00C05C18" w:rsidRDefault="00303106" w:rsidP="00303106">
      <w:pPr>
        <w:rPr>
          <w:rFonts w:cs="Arial"/>
        </w:rPr>
      </w:pPr>
      <w:r w:rsidRPr="00C05C18">
        <w:rPr>
          <w:rFonts w:cs="Arial"/>
        </w:rPr>
        <w:t xml:space="preserve">There are 65 spectrum and geographic location combinations, which have each been assigned a location weighting. The location combinations reflect the density of services and demand for spectrum at different frequencies and geographic areas. Higher taxes in locations of higher density and demand encourage efficient spectrum </w:t>
      </w:r>
      <w:r w:rsidRPr="00144082">
        <w:rPr>
          <w:rFonts w:cs="Arial"/>
        </w:rPr>
        <w:t>use. See maps in Appendix B for precise area boundaries.</w:t>
      </w:r>
    </w:p>
    <w:p w14:paraId="36E7EE9E" w14:textId="77777777" w:rsidR="00303106" w:rsidRPr="00970301" w:rsidRDefault="00303106" w:rsidP="006E6ED7">
      <w:pPr>
        <w:pStyle w:val="Caption"/>
      </w:pPr>
      <w:r w:rsidRPr="00970301">
        <w:t>Location weighting</w:t>
      </w:r>
    </w:p>
    <w:tbl>
      <w:tblPr>
        <w:tblW w:w="7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2160"/>
        <w:gridCol w:w="1210"/>
        <w:gridCol w:w="1134"/>
        <w:gridCol w:w="1134"/>
        <w:gridCol w:w="1134"/>
        <w:gridCol w:w="1134"/>
      </w:tblGrid>
      <w:tr w:rsidR="00303106" w:rsidRPr="00C05C18" w14:paraId="77E9570C" w14:textId="77777777" w:rsidTr="00C80AAD">
        <w:tc>
          <w:tcPr>
            <w:tcW w:w="2160" w:type="dxa"/>
            <w:shd w:val="clear" w:color="auto" w:fill="404040" w:themeFill="text1" w:themeFillTint="BF"/>
            <w:noWrap/>
            <w:vAlign w:val="center"/>
          </w:tcPr>
          <w:p w14:paraId="7ABA0135" w14:textId="77777777" w:rsidR="00303106" w:rsidRPr="00C05C18" w:rsidRDefault="00303106" w:rsidP="00C80AAD">
            <w:pPr>
              <w:pStyle w:val="TableHeading0"/>
              <w:rPr>
                <w:color w:val="FFFFFF" w:themeColor="background1"/>
              </w:rPr>
            </w:pPr>
          </w:p>
        </w:tc>
        <w:tc>
          <w:tcPr>
            <w:tcW w:w="5746" w:type="dxa"/>
            <w:gridSpan w:val="5"/>
            <w:shd w:val="clear" w:color="auto" w:fill="404040" w:themeFill="text1" w:themeFillTint="BF"/>
            <w:noWrap/>
            <w:vAlign w:val="center"/>
          </w:tcPr>
          <w:p w14:paraId="4CCD37FA" w14:textId="77777777" w:rsidR="00303106" w:rsidRPr="00C05C18" w:rsidRDefault="00303106" w:rsidP="00C80AAD">
            <w:pPr>
              <w:pStyle w:val="TableHeading0"/>
              <w:jc w:val="center"/>
              <w:rPr>
                <w:color w:val="FFFFFF" w:themeColor="background1"/>
              </w:rPr>
            </w:pPr>
            <w:r w:rsidRPr="00C05C18">
              <w:rPr>
                <w:color w:val="FFFFFF" w:themeColor="background1"/>
              </w:rPr>
              <w:t>Geographic location</w:t>
            </w:r>
          </w:p>
        </w:tc>
      </w:tr>
      <w:tr w:rsidR="00303106" w:rsidRPr="00C05C18" w14:paraId="3CA05BCD" w14:textId="77777777" w:rsidTr="00C80AAD">
        <w:tc>
          <w:tcPr>
            <w:tcW w:w="2160" w:type="dxa"/>
            <w:shd w:val="clear" w:color="auto" w:fill="404040" w:themeFill="text1" w:themeFillTint="BF"/>
            <w:noWrap/>
            <w:vAlign w:val="center"/>
          </w:tcPr>
          <w:p w14:paraId="4DBD5069" w14:textId="77777777" w:rsidR="00303106" w:rsidRPr="00C05C18" w:rsidRDefault="00303106" w:rsidP="00C80AAD">
            <w:pPr>
              <w:pStyle w:val="TableHeading0"/>
              <w:rPr>
                <w:color w:val="FFFFFF" w:themeColor="background1"/>
              </w:rPr>
            </w:pPr>
            <w:r w:rsidRPr="00C05C18">
              <w:rPr>
                <w:color w:val="FFFFFF" w:themeColor="background1"/>
              </w:rPr>
              <w:t>Spectrum location</w:t>
            </w:r>
          </w:p>
        </w:tc>
        <w:tc>
          <w:tcPr>
            <w:tcW w:w="1210" w:type="dxa"/>
            <w:shd w:val="clear" w:color="auto" w:fill="404040" w:themeFill="text1" w:themeFillTint="BF"/>
            <w:noWrap/>
            <w:vAlign w:val="center"/>
          </w:tcPr>
          <w:p w14:paraId="72C29918" w14:textId="77777777" w:rsidR="00303106" w:rsidRPr="00C05C18" w:rsidRDefault="00303106" w:rsidP="00C80AAD">
            <w:pPr>
              <w:pStyle w:val="TableHeading0"/>
              <w:jc w:val="right"/>
              <w:rPr>
                <w:color w:val="FFFFFF" w:themeColor="background1"/>
              </w:rPr>
            </w:pPr>
            <w:r w:rsidRPr="00C05C18">
              <w:rPr>
                <w:color w:val="FFFFFF" w:themeColor="background1"/>
              </w:rPr>
              <w:t>Australia-wide</w:t>
            </w:r>
          </w:p>
        </w:tc>
        <w:tc>
          <w:tcPr>
            <w:tcW w:w="1134" w:type="dxa"/>
            <w:shd w:val="clear" w:color="auto" w:fill="404040" w:themeFill="text1" w:themeFillTint="BF"/>
            <w:noWrap/>
            <w:vAlign w:val="center"/>
          </w:tcPr>
          <w:p w14:paraId="2E781C77" w14:textId="77777777" w:rsidR="00303106" w:rsidRPr="00C05C18" w:rsidRDefault="00303106" w:rsidP="00C80AAD">
            <w:pPr>
              <w:pStyle w:val="TableHeading0"/>
              <w:jc w:val="right"/>
              <w:rPr>
                <w:color w:val="FFFFFF" w:themeColor="background1"/>
              </w:rPr>
            </w:pPr>
            <w:r w:rsidRPr="00C05C18">
              <w:rPr>
                <w:color w:val="FFFFFF" w:themeColor="background1"/>
              </w:rPr>
              <w:t>High density</w:t>
            </w:r>
          </w:p>
        </w:tc>
        <w:tc>
          <w:tcPr>
            <w:tcW w:w="1134" w:type="dxa"/>
            <w:shd w:val="clear" w:color="auto" w:fill="404040" w:themeFill="text1" w:themeFillTint="BF"/>
            <w:noWrap/>
            <w:vAlign w:val="center"/>
          </w:tcPr>
          <w:p w14:paraId="50E8C6B0" w14:textId="77777777" w:rsidR="00303106" w:rsidRPr="00C05C18" w:rsidRDefault="00303106" w:rsidP="00C80AAD">
            <w:pPr>
              <w:pStyle w:val="TableHeading0"/>
              <w:jc w:val="right"/>
              <w:rPr>
                <w:color w:val="FFFFFF" w:themeColor="background1"/>
              </w:rPr>
            </w:pPr>
            <w:r w:rsidRPr="00C05C18">
              <w:rPr>
                <w:color w:val="FFFFFF" w:themeColor="background1"/>
              </w:rPr>
              <w:t xml:space="preserve">Medium density </w:t>
            </w:r>
          </w:p>
        </w:tc>
        <w:tc>
          <w:tcPr>
            <w:tcW w:w="1134" w:type="dxa"/>
            <w:shd w:val="clear" w:color="auto" w:fill="404040" w:themeFill="text1" w:themeFillTint="BF"/>
            <w:noWrap/>
            <w:vAlign w:val="center"/>
          </w:tcPr>
          <w:p w14:paraId="0D1B3664" w14:textId="77777777" w:rsidR="00303106" w:rsidRPr="00C05C18" w:rsidRDefault="00303106" w:rsidP="00C80AAD">
            <w:pPr>
              <w:pStyle w:val="TableHeading0"/>
              <w:jc w:val="right"/>
              <w:rPr>
                <w:color w:val="FFFFFF" w:themeColor="background1"/>
              </w:rPr>
            </w:pPr>
            <w:r w:rsidRPr="00C05C18">
              <w:rPr>
                <w:color w:val="FFFFFF" w:themeColor="background1"/>
              </w:rPr>
              <w:t>Low density</w:t>
            </w:r>
          </w:p>
        </w:tc>
        <w:tc>
          <w:tcPr>
            <w:tcW w:w="1134" w:type="dxa"/>
            <w:shd w:val="clear" w:color="auto" w:fill="404040" w:themeFill="text1" w:themeFillTint="BF"/>
            <w:noWrap/>
            <w:vAlign w:val="center"/>
          </w:tcPr>
          <w:p w14:paraId="680255BF" w14:textId="77777777" w:rsidR="00303106" w:rsidRPr="00C05C18" w:rsidRDefault="00303106" w:rsidP="00C80AAD">
            <w:pPr>
              <w:pStyle w:val="TableHeading0"/>
              <w:jc w:val="right"/>
              <w:rPr>
                <w:color w:val="FFFFFF" w:themeColor="background1"/>
              </w:rPr>
            </w:pPr>
            <w:r w:rsidRPr="00C05C18">
              <w:rPr>
                <w:color w:val="FFFFFF" w:themeColor="background1"/>
              </w:rPr>
              <w:t>Remote density</w:t>
            </w:r>
          </w:p>
        </w:tc>
      </w:tr>
      <w:tr w:rsidR="00303106" w:rsidRPr="00C05C18" w14:paraId="6B7A6F4A" w14:textId="77777777" w:rsidTr="00C80AAD">
        <w:tc>
          <w:tcPr>
            <w:tcW w:w="2160" w:type="dxa"/>
            <w:shd w:val="clear" w:color="auto" w:fill="auto"/>
            <w:noWrap/>
            <w:vAlign w:val="center"/>
          </w:tcPr>
          <w:p w14:paraId="6EEE9206" w14:textId="77777777" w:rsidR="00303106" w:rsidRPr="00C05C18" w:rsidRDefault="00303106" w:rsidP="00C80AAD">
            <w:pPr>
              <w:pStyle w:val="TableBody"/>
              <w:rPr>
                <w:rFonts w:cs="Arial"/>
                <w:szCs w:val="20"/>
              </w:rPr>
            </w:pPr>
            <w:r w:rsidRPr="00C05C18">
              <w:rPr>
                <w:rFonts w:cs="Arial"/>
                <w:szCs w:val="20"/>
              </w:rPr>
              <w:t>30 MHz and below</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5164E61E" w14:textId="77777777" w:rsidR="00303106" w:rsidRPr="00C05C18" w:rsidRDefault="00303106" w:rsidP="00C80AAD">
            <w:pPr>
              <w:pStyle w:val="TableBody"/>
              <w:jc w:val="right"/>
              <w:rPr>
                <w:rFonts w:cs="Arial"/>
              </w:rPr>
            </w:pPr>
            <w:r w:rsidRPr="00C05C18">
              <w:rPr>
                <w:rFonts w:cs="Arial"/>
              </w:rPr>
              <w:t xml:space="preserve">4.3150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DCE325" w14:textId="77777777" w:rsidR="00303106" w:rsidRPr="00C05C18" w:rsidRDefault="00303106" w:rsidP="00C80AAD">
            <w:pPr>
              <w:pStyle w:val="TableBody"/>
              <w:jc w:val="right"/>
              <w:rPr>
                <w:rFonts w:cs="Arial"/>
              </w:rPr>
            </w:pPr>
            <w:r w:rsidRPr="00C05C18">
              <w:rPr>
                <w:rFonts w:cs="Arial"/>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0302B88B" w14:textId="77777777" w:rsidR="00303106" w:rsidRPr="00C05C18" w:rsidRDefault="00303106" w:rsidP="00C80AAD">
            <w:pPr>
              <w:pStyle w:val="TableBody"/>
              <w:jc w:val="right"/>
              <w:rPr>
                <w:rFonts w:cs="Arial"/>
              </w:rPr>
            </w:pPr>
            <w:r w:rsidRPr="00C05C18">
              <w:rPr>
                <w:rFonts w:cs="Arial"/>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1A6E6585" w14:textId="77777777" w:rsidR="00303106" w:rsidRPr="00C05C18" w:rsidRDefault="00303106" w:rsidP="00C80AAD">
            <w:pPr>
              <w:pStyle w:val="TableBody"/>
              <w:jc w:val="right"/>
              <w:rPr>
                <w:rFonts w:cs="Arial"/>
              </w:rPr>
            </w:pPr>
            <w:r w:rsidRPr="00C05C18">
              <w:rPr>
                <w:rFonts w:cs="Arial"/>
              </w:rPr>
              <w:t xml:space="preserve">4.3150 </w:t>
            </w:r>
          </w:p>
        </w:tc>
        <w:tc>
          <w:tcPr>
            <w:tcW w:w="1134" w:type="dxa"/>
            <w:tcBorders>
              <w:top w:val="single" w:sz="4" w:space="0" w:color="auto"/>
              <w:left w:val="nil"/>
              <w:bottom w:val="single" w:sz="4" w:space="0" w:color="auto"/>
              <w:right w:val="single" w:sz="4" w:space="0" w:color="auto"/>
            </w:tcBorders>
            <w:shd w:val="clear" w:color="auto" w:fill="auto"/>
            <w:noWrap/>
          </w:tcPr>
          <w:p w14:paraId="18395B90" w14:textId="77777777" w:rsidR="00303106" w:rsidRPr="00C05C18" w:rsidRDefault="00303106" w:rsidP="00C80AAD">
            <w:pPr>
              <w:pStyle w:val="TableBody"/>
              <w:jc w:val="right"/>
              <w:rPr>
                <w:rFonts w:cs="Arial"/>
              </w:rPr>
            </w:pPr>
            <w:r w:rsidRPr="00C05C18">
              <w:rPr>
                <w:rFonts w:cs="Arial"/>
              </w:rPr>
              <w:t xml:space="preserve">4.3150 </w:t>
            </w:r>
          </w:p>
        </w:tc>
      </w:tr>
      <w:tr w:rsidR="00303106" w:rsidRPr="00C05C18" w14:paraId="542DC6D0" w14:textId="77777777" w:rsidTr="00C80AAD">
        <w:tc>
          <w:tcPr>
            <w:tcW w:w="2160" w:type="dxa"/>
            <w:shd w:val="clear" w:color="auto" w:fill="auto"/>
            <w:noWrap/>
            <w:vAlign w:val="center"/>
          </w:tcPr>
          <w:p w14:paraId="530C4AC4" w14:textId="77777777" w:rsidR="00303106" w:rsidRPr="00C05C18" w:rsidRDefault="00303106" w:rsidP="00C80AAD">
            <w:pPr>
              <w:pStyle w:val="TableBody"/>
              <w:rPr>
                <w:rFonts w:cs="Arial"/>
                <w:szCs w:val="20"/>
              </w:rPr>
            </w:pPr>
            <w:r w:rsidRPr="00C05C18">
              <w:rPr>
                <w:rFonts w:cs="Arial"/>
                <w:szCs w:val="20"/>
              </w:rPr>
              <w:t>&gt;30 to 70 MHz</w:t>
            </w:r>
          </w:p>
        </w:tc>
        <w:tc>
          <w:tcPr>
            <w:tcW w:w="1210" w:type="dxa"/>
            <w:tcBorders>
              <w:top w:val="nil"/>
              <w:left w:val="single" w:sz="4" w:space="0" w:color="auto"/>
              <w:bottom w:val="single" w:sz="4" w:space="0" w:color="auto"/>
              <w:right w:val="single" w:sz="4" w:space="0" w:color="auto"/>
            </w:tcBorders>
            <w:shd w:val="clear" w:color="auto" w:fill="auto"/>
            <w:noWrap/>
          </w:tcPr>
          <w:p w14:paraId="199D15CD" w14:textId="77777777" w:rsidR="00303106" w:rsidRPr="00C05C18" w:rsidRDefault="00303106" w:rsidP="00C80AAD">
            <w:pPr>
              <w:pStyle w:val="TableBody"/>
              <w:jc w:val="right"/>
              <w:rPr>
                <w:rFonts w:cs="Arial"/>
              </w:rPr>
            </w:pPr>
            <w:r w:rsidRPr="00C05C18">
              <w:rPr>
                <w:rFonts w:cs="Arial"/>
              </w:rPr>
              <w:t xml:space="preserve">9.7470 </w:t>
            </w:r>
          </w:p>
        </w:tc>
        <w:tc>
          <w:tcPr>
            <w:tcW w:w="1134" w:type="dxa"/>
            <w:tcBorders>
              <w:top w:val="nil"/>
              <w:left w:val="single" w:sz="4" w:space="0" w:color="auto"/>
              <w:bottom w:val="single" w:sz="4" w:space="0" w:color="auto"/>
              <w:right w:val="single" w:sz="4" w:space="0" w:color="auto"/>
            </w:tcBorders>
            <w:shd w:val="clear" w:color="auto" w:fill="auto"/>
            <w:noWrap/>
          </w:tcPr>
          <w:p w14:paraId="3A5A0FB9" w14:textId="77777777" w:rsidR="00303106" w:rsidRPr="00C05C18" w:rsidRDefault="00303106" w:rsidP="00C80AAD">
            <w:pPr>
              <w:pStyle w:val="TableBody"/>
              <w:jc w:val="right"/>
              <w:rPr>
                <w:rFonts w:cs="Arial"/>
              </w:rPr>
            </w:pPr>
            <w:r w:rsidRPr="00C05C18">
              <w:rPr>
                <w:rFonts w:cs="Arial"/>
              </w:rPr>
              <w:t xml:space="preserve">3.8070 </w:t>
            </w:r>
          </w:p>
        </w:tc>
        <w:tc>
          <w:tcPr>
            <w:tcW w:w="1134" w:type="dxa"/>
            <w:tcBorders>
              <w:top w:val="nil"/>
              <w:left w:val="nil"/>
              <w:bottom w:val="single" w:sz="4" w:space="0" w:color="auto"/>
              <w:right w:val="single" w:sz="4" w:space="0" w:color="auto"/>
            </w:tcBorders>
            <w:shd w:val="clear" w:color="auto" w:fill="auto"/>
            <w:noWrap/>
          </w:tcPr>
          <w:p w14:paraId="2C19F32A" w14:textId="77777777" w:rsidR="00303106" w:rsidRPr="00C05C18" w:rsidRDefault="00303106" w:rsidP="00C80AAD">
            <w:pPr>
              <w:pStyle w:val="TableBody"/>
              <w:jc w:val="right"/>
              <w:rPr>
                <w:rFonts w:cs="Arial"/>
              </w:rPr>
            </w:pPr>
            <w:r w:rsidRPr="00C05C18">
              <w:rPr>
                <w:rFonts w:cs="Arial"/>
              </w:rPr>
              <w:t xml:space="preserve">2.0250 </w:t>
            </w:r>
          </w:p>
        </w:tc>
        <w:tc>
          <w:tcPr>
            <w:tcW w:w="1134" w:type="dxa"/>
            <w:tcBorders>
              <w:top w:val="nil"/>
              <w:left w:val="nil"/>
              <w:bottom w:val="single" w:sz="4" w:space="0" w:color="auto"/>
              <w:right w:val="single" w:sz="4" w:space="0" w:color="auto"/>
            </w:tcBorders>
            <w:shd w:val="clear" w:color="auto" w:fill="auto"/>
            <w:noWrap/>
          </w:tcPr>
          <w:p w14:paraId="7A926C9E" w14:textId="77777777" w:rsidR="00303106" w:rsidRPr="00C05C18" w:rsidRDefault="00303106" w:rsidP="00C80AAD">
            <w:pPr>
              <w:pStyle w:val="TableBody"/>
              <w:jc w:val="right"/>
              <w:rPr>
                <w:rFonts w:cs="Arial"/>
              </w:rPr>
            </w:pPr>
            <w:r w:rsidRPr="00C05C18">
              <w:rPr>
                <w:rFonts w:cs="Arial"/>
              </w:rPr>
              <w:t xml:space="preserve">0.4370 </w:t>
            </w:r>
          </w:p>
        </w:tc>
        <w:tc>
          <w:tcPr>
            <w:tcW w:w="1134" w:type="dxa"/>
            <w:tcBorders>
              <w:top w:val="nil"/>
              <w:left w:val="nil"/>
              <w:bottom w:val="single" w:sz="4" w:space="0" w:color="auto"/>
              <w:right w:val="single" w:sz="4" w:space="0" w:color="auto"/>
            </w:tcBorders>
            <w:shd w:val="clear" w:color="auto" w:fill="auto"/>
            <w:noWrap/>
          </w:tcPr>
          <w:p w14:paraId="5E5DEBD9" w14:textId="77777777" w:rsidR="00303106" w:rsidRPr="00C05C18" w:rsidRDefault="00303106" w:rsidP="00C80AAD">
            <w:pPr>
              <w:pStyle w:val="TableBody"/>
              <w:jc w:val="right"/>
              <w:rPr>
                <w:rFonts w:cs="Arial"/>
              </w:rPr>
            </w:pPr>
            <w:r w:rsidRPr="00C05C18">
              <w:rPr>
                <w:rFonts w:cs="Arial"/>
              </w:rPr>
              <w:t xml:space="preserve">0.2180 </w:t>
            </w:r>
          </w:p>
        </w:tc>
      </w:tr>
      <w:tr w:rsidR="00303106" w:rsidRPr="00C05C18" w14:paraId="0D521082" w14:textId="77777777" w:rsidTr="00C80AAD">
        <w:tc>
          <w:tcPr>
            <w:tcW w:w="2160" w:type="dxa"/>
            <w:shd w:val="clear" w:color="auto" w:fill="auto"/>
            <w:noWrap/>
            <w:vAlign w:val="center"/>
          </w:tcPr>
          <w:p w14:paraId="7B30F160" w14:textId="77777777" w:rsidR="00303106" w:rsidRPr="00C05C18" w:rsidRDefault="00303106" w:rsidP="00C80AAD">
            <w:pPr>
              <w:pStyle w:val="TableBody"/>
              <w:rPr>
                <w:rFonts w:cs="Arial"/>
                <w:szCs w:val="20"/>
              </w:rPr>
            </w:pPr>
            <w:r w:rsidRPr="00C05C18">
              <w:rPr>
                <w:rFonts w:cs="Arial"/>
                <w:szCs w:val="20"/>
              </w:rPr>
              <w:t>&gt;70 to 399.9 MHz</w:t>
            </w:r>
          </w:p>
        </w:tc>
        <w:tc>
          <w:tcPr>
            <w:tcW w:w="1210" w:type="dxa"/>
            <w:tcBorders>
              <w:top w:val="nil"/>
              <w:left w:val="single" w:sz="4" w:space="0" w:color="auto"/>
              <w:bottom w:val="single" w:sz="4" w:space="0" w:color="auto"/>
              <w:right w:val="single" w:sz="4" w:space="0" w:color="auto"/>
            </w:tcBorders>
            <w:shd w:val="clear" w:color="auto" w:fill="auto"/>
            <w:noWrap/>
          </w:tcPr>
          <w:p w14:paraId="1FA8EB95" w14:textId="77777777" w:rsidR="00303106" w:rsidRPr="00C05C18" w:rsidRDefault="00303106" w:rsidP="00C80AAD">
            <w:pPr>
              <w:pStyle w:val="TableBody"/>
              <w:jc w:val="right"/>
              <w:rPr>
                <w:rFonts w:cs="Arial"/>
              </w:rPr>
            </w:pPr>
            <w:r w:rsidRPr="00C05C18">
              <w:rPr>
                <w:rFonts w:cs="Arial"/>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tcPr>
          <w:p w14:paraId="2E6288C6" w14:textId="77777777" w:rsidR="00303106" w:rsidRPr="00C05C18" w:rsidRDefault="00303106" w:rsidP="00C80AAD">
            <w:pPr>
              <w:pStyle w:val="TableBody"/>
              <w:jc w:val="right"/>
              <w:rPr>
                <w:rFonts w:cs="Arial"/>
              </w:rPr>
            </w:pPr>
            <w:r w:rsidRPr="00C05C18">
              <w:rPr>
                <w:rFonts w:cs="Arial"/>
              </w:rPr>
              <w:t xml:space="preserve">4.1040 </w:t>
            </w:r>
          </w:p>
        </w:tc>
        <w:tc>
          <w:tcPr>
            <w:tcW w:w="1134" w:type="dxa"/>
            <w:tcBorders>
              <w:top w:val="nil"/>
              <w:left w:val="nil"/>
              <w:bottom w:val="single" w:sz="4" w:space="0" w:color="auto"/>
              <w:right w:val="single" w:sz="4" w:space="0" w:color="auto"/>
            </w:tcBorders>
            <w:shd w:val="clear" w:color="auto" w:fill="auto"/>
            <w:noWrap/>
          </w:tcPr>
          <w:p w14:paraId="1525DF03" w14:textId="77777777" w:rsidR="00303106" w:rsidRPr="00C05C18" w:rsidRDefault="00303106" w:rsidP="00C80AAD">
            <w:pPr>
              <w:pStyle w:val="TableBody"/>
              <w:jc w:val="right"/>
              <w:rPr>
                <w:rFonts w:cs="Arial"/>
              </w:rPr>
            </w:pPr>
            <w:r w:rsidRPr="00C05C18">
              <w:rPr>
                <w:rFonts w:cs="Arial"/>
              </w:rPr>
              <w:t xml:space="preserve">1.8780 </w:t>
            </w:r>
          </w:p>
        </w:tc>
        <w:tc>
          <w:tcPr>
            <w:tcW w:w="1134" w:type="dxa"/>
            <w:tcBorders>
              <w:top w:val="nil"/>
              <w:left w:val="nil"/>
              <w:bottom w:val="single" w:sz="4" w:space="0" w:color="auto"/>
              <w:right w:val="single" w:sz="4" w:space="0" w:color="auto"/>
            </w:tcBorders>
            <w:shd w:val="clear" w:color="auto" w:fill="auto"/>
            <w:noWrap/>
          </w:tcPr>
          <w:p w14:paraId="68E929B7" w14:textId="77777777" w:rsidR="00303106" w:rsidRPr="00C05C18" w:rsidRDefault="00303106" w:rsidP="00C80AAD">
            <w:pPr>
              <w:pStyle w:val="TableBody"/>
              <w:jc w:val="right"/>
              <w:rPr>
                <w:rFonts w:cs="Arial"/>
              </w:rPr>
            </w:pPr>
            <w:r w:rsidRPr="00C05C18">
              <w:rPr>
                <w:rFonts w:cs="Arial"/>
              </w:rPr>
              <w:t xml:space="preserve">0.4210 </w:t>
            </w:r>
          </w:p>
        </w:tc>
        <w:tc>
          <w:tcPr>
            <w:tcW w:w="1134" w:type="dxa"/>
            <w:tcBorders>
              <w:top w:val="nil"/>
              <w:left w:val="nil"/>
              <w:bottom w:val="single" w:sz="4" w:space="0" w:color="auto"/>
              <w:right w:val="single" w:sz="4" w:space="0" w:color="auto"/>
            </w:tcBorders>
            <w:shd w:val="clear" w:color="auto" w:fill="auto"/>
            <w:noWrap/>
          </w:tcPr>
          <w:p w14:paraId="53F23117" w14:textId="77777777" w:rsidR="00303106" w:rsidRPr="00C05C18" w:rsidRDefault="00303106" w:rsidP="00C80AAD">
            <w:pPr>
              <w:pStyle w:val="TableBody"/>
              <w:jc w:val="right"/>
              <w:rPr>
                <w:rFonts w:cs="Arial"/>
              </w:rPr>
            </w:pPr>
            <w:r w:rsidRPr="00C05C18">
              <w:rPr>
                <w:rFonts w:cs="Arial"/>
              </w:rPr>
              <w:t xml:space="preserve">0.2100 </w:t>
            </w:r>
          </w:p>
        </w:tc>
      </w:tr>
      <w:tr w:rsidR="00303106" w:rsidRPr="00C05C18" w14:paraId="5F5E112B" w14:textId="77777777" w:rsidTr="00C80AAD">
        <w:tc>
          <w:tcPr>
            <w:tcW w:w="2160" w:type="dxa"/>
            <w:shd w:val="clear" w:color="auto" w:fill="auto"/>
            <w:noWrap/>
            <w:vAlign w:val="center"/>
          </w:tcPr>
          <w:p w14:paraId="204FF3D7" w14:textId="77777777" w:rsidR="00303106" w:rsidRPr="00C05C18" w:rsidRDefault="00303106" w:rsidP="00C80AAD">
            <w:pPr>
              <w:pStyle w:val="TableBody"/>
              <w:rPr>
                <w:rFonts w:cs="Arial"/>
                <w:szCs w:val="20"/>
              </w:rPr>
            </w:pPr>
            <w:r w:rsidRPr="00C05C18">
              <w:rPr>
                <w:rFonts w:cs="Arial"/>
                <w:szCs w:val="20"/>
              </w:rPr>
              <w:t>&gt;399.9 to 403 MHz</w:t>
            </w:r>
          </w:p>
        </w:tc>
        <w:tc>
          <w:tcPr>
            <w:tcW w:w="1210" w:type="dxa"/>
            <w:tcBorders>
              <w:top w:val="nil"/>
              <w:left w:val="single" w:sz="4" w:space="0" w:color="auto"/>
              <w:bottom w:val="single" w:sz="4" w:space="0" w:color="auto"/>
              <w:right w:val="single" w:sz="4" w:space="0" w:color="auto"/>
            </w:tcBorders>
            <w:shd w:val="clear" w:color="auto" w:fill="auto"/>
            <w:noWrap/>
          </w:tcPr>
          <w:p w14:paraId="364A43D1" w14:textId="77777777" w:rsidR="00303106" w:rsidRPr="00C05C18" w:rsidRDefault="00303106" w:rsidP="00C80AAD">
            <w:pPr>
              <w:pStyle w:val="TableBody"/>
              <w:jc w:val="right"/>
              <w:rPr>
                <w:rFonts w:cs="Arial"/>
              </w:rPr>
            </w:pPr>
            <w:r w:rsidRPr="00C05C18">
              <w:rPr>
                <w:rFonts w:cs="Arial"/>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tcPr>
          <w:p w14:paraId="5A18720E" w14:textId="77777777" w:rsidR="00303106" w:rsidRPr="00C05C18" w:rsidRDefault="00303106" w:rsidP="00C80AAD">
            <w:pPr>
              <w:pStyle w:val="TableBody"/>
              <w:jc w:val="right"/>
              <w:rPr>
                <w:rFonts w:cs="Arial"/>
              </w:rPr>
            </w:pPr>
            <w:r w:rsidRPr="00C05C18">
              <w:rPr>
                <w:rFonts w:cs="Arial"/>
              </w:rPr>
              <w:t xml:space="preserve">5.6000 </w:t>
            </w:r>
          </w:p>
        </w:tc>
        <w:tc>
          <w:tcPr>
            <w:tcW w:w="1134" w:type="dxa"/>
            <w:tcBorders>
              <w:top w:val="nil"/>
              <w:left w:val="nil"/>
              <w:bottom w:val="single" w:sz="4" w:space="0" w:color="auto"/>
              <w:right w:val="single" w:sz="4" w:space="0" w:color="auto"/>
            </w:tcBorders>
            <w:shd w:val="clear" w:color="auto" w:fill="auto"/>
            <w:noWrap/>
          </w:tcPr>
          <w:p w14:paraId="76DC67B6" w14:textId="77777777" w:rsidR="00303106" w:rsidRPr="00C05C18" w:rsidRDefault="00303106" w:rsidP="00C80AAD">
            <w:pPr>
              <w:pStyle w:val="TableBody"/>
              <w:jc w:val="right"/>
              <w:rPr>
                <w:rFonts w:cs="Arial"/>
              </w:rPr>
            </w:pPr>
            <w:r w:rsidRPr="00C05C18">
              <w:rPr>
                <w:rFonts w:cs="Arial"/>
              </w:rPr>
              <w:t xml:space="preserve">2.5620 </w:t>
            </w:r>
          </w:p>
        </w:tc>
        <w:tc>
          <w:tcPr>
            <w:tcW w:w="1134" w:type="dxa"/>
            <w:tcBorders>
              <w:top w:val="nil"/>
              <w:left w:val="nil"/>
              <w:bottom w:val="single" w:sz="4" w:space="0" w:color="auto"/>
              <w:right w:val="single" w:sz="4" w:space="0" w:color="auto"/>
            </w:tcBorders>
            <w:shd w:val="clear" w:color="auto" w:fill="auto"/>
            <w:noWrap/>
          </w:tcPr>
          <w:p w14:paraId="0083AF27" w14:textId="77777777" w:rsidR="00303106" w:rsidRPr="00C05C18" w:rsidRDefault="00303106" w:rsidP="00C80AAD">
            <w:pPr>
              <w:pStyle w:val="TableBody"/>
              <w:jc w:val="right"/>
              <w:rPr>
                <w:rFonts w:cs="Arial"/>
              </w:rPr>
            </w:pPr>
            <w:r w:rsidRPr="00C05C18">
              <w:rPr>
                <w:rFonts w:cs="Arial"/>
              </w:rPr>
              <w:t xml:space="preserve">0.4370 </w:t>
            </w:r>
          </w:p>
        </w:tc>
        <w:tc>
          <w:tcPr>
            <w:tcW w:w="1134" w:type="dxa"/>
            <w:tcBorders>
              <w:top w:val="nil"/>
              <w:left w:val="nil"/>
              <w:bottom w:val="single" w:sz="4" w:space="0" w:color="auto"/>
              <w:right w:val="single" w:sz="4" w:space="0" w:color="auto"/>
            </w:tcBorders>
            <w:shd w:val="clear" w:color="auto" w:fill="auto"/>
            <w:noWrap/>
          </w:tcPr>
          <w:p w14:paraId="56E30C5C" w14:textId="77777777" w:rsidR="00303106" w:rsidRPr="00C05C18" w:rsidRDefault="00303106" w:rsidP="00C80AAD">
            <w:pPr>
              <w:pStyle w:val="TableBody"/>
              <w:jc w:val="right"/>
              <w:rPr>
                <w:rFonts w:cs="Arial"/>
              </w:rPr>
            </w:pPr>
            <w:r w:rsidRPr="00C05C18">
              <w:rPr>
                <w:rFonts w:cs="Arial"/>
              </w:rPr>
              <w:t xml:space="preserve">0.2180 </w:t>
            </w:r>
          </w:p>
        </w:tc>
      </w:tr>
      <w:tr w:rsidR="00303106" w:rsidRPr="00C05C18" w14:paraId="2DF51328" w14:textId="77777777" w:rsidTr="00C80AAD">
        <w:tc>
          <w:tcPr>
            <w:tcW w:w="2160" w:type="dxa"/>
            <w:shd w:val="clear" w:color="auto" w:fill="auto"/>
            <w:noWrap/>
            <w:vAlign w:val="center"/>
          </w:tcPr>
          <w:p w14:paraId="36C58B91" w14:textId="77777777" w:rsidR="00303106" w:rsidRPr="00C05C18" w:rsidRDefault="00303106" w:rsidP="00C80AAD">
            <w:pPr>
              <w:pStyle w:val="TableBody"/>
              <w:rPr>
                <w:rFonts w:cs="Arial"/>
                <w:szCs w:val="20"/>
              </w:rPr>
            </w:pPr>
            <w:r w:rsidRPr="00C05C18">
              <w:rPr>
                <w:rFonts w:cs="Arial"/>
                <w:szCs w:val="20"/>
              </w:rPr>
              <w:t>&gt;403 to 520 MHz</w:t>
            </w:r>
          </w:p>
        </w:tc>
        <w:tc>
          <w:tcPr>
            <w:tcW w:w="1210" w:type="dxa"/>
            <w:tcBorders>
              <w:top w:val="nil"/>
              <w:left w:val="single" w:sz="4" w:space="0" w:color="auto"/>
              <w:bottom w:val="single" w:sz="4" w:space="0" w:color="auto"/>
              <w:right w:val="single" w:sz="4" w:space="0" w:color="auto"/>
            </w:tcBorders>
            <w:shd w:val="clear" w:color="auto" w:fill="auto"/>
            <w:noWrap/>
          </w:tcPr>
          <w:p w14:paraId="5388178F" w14:textId="77777777" w:rsidR="00303106" w:rsidRPr="00C05C18" w:rsidRDefault="00303106" w:rsidP="00C80AAD">
            <w:pPr>
              <w:pStyle w:val="TableBody"/>
              <w:jc w:val="right"/>
              <w:rPr>
                <w:rFonts w:cs="Arial"/>
              </w:rPr>
            </w:pPr>
            <w:r w:rsidRPr="00C05C18">
              <w:rPr>
                <w:rFonts w:cs="Arial"/>
              </w:rPr>
              <w:t>10.0000</w:t>
            </w:r>
          </w:p>
        </w:tc>
        <w:tc>
          <w:tcPr>
            <w:tcW w:w="1134" w:type="dxa"/>
            <w:tcBorders>
              <w:top w:val="nil"/>
              <w:left w:val="single" w:sz="4" w:space="0" w:color="auto"/>
              <w:bottom w:val="single" w:sz="4" w:space="0" w:color="auto"/>
              <w:right w:val="single" w:sz="4" w:space="0" w:color="auto"/>
            </w:tcBorders>
            <w:shd w:val="clear" w:color="auto" w:fill="auto"/>
            <w:noWrap/>
          </w:tcPr>
          <w:p w14:paraId="26FCB9A5" w14:textId="77777777" w:rsidR="00303106" w:rsidRPr="00C05C18" w:rsidRDefault="00303106" w:rsidP="00C80AAD">
            <w:pPr>
              <w:pStyle w:val="TableBody"/>
              <w:jc w:val="right"/>
              <w:rPr>
                <w:rFonts w:cs="Arial"/>
              </w:rPr>
            </w:pPr>
            <w:r w:rsidRPr="00C05C18">
              <w:rPr>
                <w:rFonts w:cs="Arial"/>
              </w:rPr>
              <w:t xml:space="preserve">7.4114 </w:t>
            </w:r>
          </w:p>
        </w:tc>
        <w:tc>
          <w:tcPr>
            <w:tcW w:w="1134" w:type="dxa"/>
            <w:tcBorders>
              <w:top w:val="nil"/>
              <w:left w:val="nil"/>
              <w:bottom w:val="single" w:sz="4" w:space="0" w:color="auto"/>
              <w:right w:val="single" w:sz="4" w:space="0" w:color="auto"/>
            </w:tcBorders>
            <w:shd w:val="clear" w:color="auto" w:fill="auto"/>
            <w:noWrap/>
          </w:tcPr>
          <w:p w14:paraId="486AA99C" w14:textId="77777777" w:rsidR="00303106" w:rsidRPr="00C05C18" w:rsidRDefault="00303106" w:rsidP="00C80AAD">
            <w:pPr>
              <w:pStyle w:val="TableBody"/>
              <w:jc w:val="right"/>
              <w:rPr>
                <w:rFonts w:cs="Arial"/>
              </w:rPr>
            </w:pPr>
            <w:r w:rsidRPr="00C05C18">
              <w:rPr>
                <w:rFonts w:cs="Arial"/>
              </w:rPr>
              <w:t xml:space="preserve">2.5620 </w:t>
            </w:r>
          </w:p>
        </w:tc>
        <w:tc>
          <w:tcPr>
            <w:tcW w:w="1134" w:type="dxa"/>
            <w:tcBorders>
              <w:top w:val="nil"/>
              <w:left w:val="nil"/>
              <w:bottom w:val="single" w:sz="4" w:space="0" w:color="auto"/>
              <w:right w:val="single" w:sz="4" w:space="0" w:color="auto"/>
            </w:tcBorders>
            <w:shd w:val="clear" w:color="auto" w:fill="auto"/>
            <w:noWrap/>
          </w:tcPr>
          <w:p w14:paraId="3EF9A821" w14:textId="77777777" w:rsidR="00303106" w:rsidRPr="00C05C18" w:rsidRDefault="00303106" w:rsidP="00C80AAD">
            <w:pPr>
              <w:pStyle w:val="TableBody"/>
              <w:jc w:val="right"/>
              <w:rPr>
                <w:rFonts w:cs="Arial"/>
              </w:rPr>
            </w:pPr>
            <w:r w:rsidRPr="00C05C18">
              <w:rPr>
                <w:rFonts w:cs="Arial"/>
              </w:rPr>
              <w:t xml:space="preserve">0.4370 </w:t>
            </w:r>
          </w:p>
        </w:tc>
        <w:tc>
          <w:tcPr>
            <w:tcW w:w="1134" w:type="dxa"/>
            <w:tcBorders>
              <w:top w:val="nil"/>
              <w:left w:val="nil"/>
              <w:bottom w:val="single" w:sz="4" w:space="0" w:color="auto"/>
              <w:right w:val="single" w:sz="4" w:space="0" w:color="auto"/>
            </w:tcBorders>
            <w:shd w:val="clear" w:color="auto" w:fill="auto"/>
            <w:noWrap/>
          </w:tcPr>
          <w:p w14:paraId="0AB3C765" w14:textId="77777777" w:rsidR="00303106" w:rsidRPr="00C05C18" w:rsidRDefault="00303106" w:rsidP="00C80AAD">
            <w:pPr>
              <w:pStyle w:val="TableBody"/>
              <w:jc w:val="right"/>
              <w:rPr>
                <w:rFonts w:cs="Arial"/>
              </w:rPr>
            </w:pPr>
            <w:r w:rsidRPr="00C05C18">
              <w:rPr>
                <w:rFonts w:cs="Arial"/>
              </w:rPr>
              <w:t>0.0000</w:t>
            </w:r>
          </w:p>
        </w:tc>
      </w:tr>
      <w:tr w:rsidR="00303106" w:rsidRPr="00C05C18" w14:paraId="6BA12A84" w14:textId="77777777" w:rsidTr="00C80AAD">
        <w:tc>
          <w:tcPr>
            <w:tcW w:w="2160" w:type="dxa"/>
            <w:shd w:val="clear" w:color="auto" w:fill="auto"/>
            <w:noWrap/>
            <w:vAlign w:val="center"/>
          </w:tcPr>
          <w:p w14:paraId="2DECB87A" w14:textId="77777777" w:rsidR="00303106" w:rsidRPr="00C05C18" w:rsidRDefault="00303106" w:rsidP="00C80AAD">
            <w:pPr>
              <w:pStyle w:val="TableBody"/>
              <w:rPr>
                <w:rFonts w:cs="Arial"/>
                <w:szCs w:val="20"/>
              </w:rPr>
            </w:pPr>
            <w:r w:rsidRPr="00C05C18">
              <w:rPr>
                <w:rFonts w:cs="Arial"/>
                <w:szCs w:val="20"/>
              </w:rPr>
              <w:t>&gt;520 to 960 MHz</w:t>
            </w:r>
          </w:p>
        </w:tc>
        <w:tc>
          <w:tcPr>
            <w:tcW w:w="1210" w:type="dxa"/>
            <w:tcBorders>
              <w:top w:val="nil"/>
              <w:left w:val="single" w:sz="4" w:space="0" w:color="auto"/>
              <w:bottom w:val="single" w:sz="4" w:space="0" w:color="auto"/>
              <w:right w:val="single" w:sz="4" w:space="0" w:color="auto"/>
            </w:tcBorders>
            <w:shd w:val="clear" w:color="auto" w:fill="auto"/>
            <w:noWrap/>
          </w:tcPr>
          <w:p w14:paraId="6D6DFD14" w14:textId="77777777" w:rsidR="00303106" w:rsidRPr="00C05C18" w:rsidRDefault="00303106" w:rsidP="00C80AAD">
            <w:pPr>
              <w:pStyle w:val="TableBody"/>
              <w:jc w:val="right"/>
              <w:rPr>
                <w:rFonts w:cs="Arial"/>
              </w:rPr>
            </w:pPr>
            <w:r w:rsidRPr="00C05C18">
              <w:rPr>
                <w:rFonts w:cs="Arial"/>
              </w:rPr>
              <w:t xml:space="preserve">10.0000 </w:t>
            </w:r>
          </w:p>
        </w:tc>
        <w:tc>
          <w:tcPr>
            <w:tcW w:w="1134" w:type="dxa"/>
            <w:tcBorders>
              <w:top w:val="nil"/>
              <w:left w:val="single" w:sz="4" w:space="0" w:color="auto"/>
              <w:bottom w:val="single" w:sz="4" w:space="0" w:color="auto"/>
              <w:right w:val="single" w:sz="4" w:space="0" w:color="auto"/>
            </w:tcBorders>
            <w:shd w:val="clear" w:color="auto" w:fill="auto"/>
            <w:noWrap/>
          </w:tcPr>
          <w:p w14:paraId="2F92E386" w14:textId="77777777" w:rsidR="00303106" w:rsidRPr="00C05C18" w:rsidRDefault="00303106" w:rsidP="00C80AAD">
            <w:pPr>
              <w:pStyle w:val="TableBody"/>
              <w:jc w:val="right"/>
              <w:rPr>
                <w:rFonts w:cs="Arial"/>
              </w:rPr>
            </w:pPr>
            <w:r w:rsidRPr="00C05C18">
              <w:rPr>
                <w:rFonts w:cs="Arial"/>
              </w:rPr>
              <w:t xml:space="preserve">5.6000 </w:t>
            </w:r>
          </w:p>
        </w:tc>
        <w:tc>
          <w:tcPr>
            <w:tcW w:w="1134" w:type="dxa"/>
            <w:tcBorders>
              <w:top w:val="nil"/>
              <w:left w:val="nil"/>
              <w:bottom w:val="single" w:sz="4" w:space="0" w:color="auto"/>
              <w:right w:val="single" w:sz="4" w:space="0" w:color="auto"/>
            </w:tcBorders>
            <w:shd w:val="clear" w:color="auto" w:fill="auto"/>
            <w:noWrap/>
          </w:tcPr>
          <w:p w14:paraId="312F5DE1" w14:textId="77777777" w:rsidR="00303106" w:rsidRPr="00C05C18" w:rsidRDefault="00303106" w:rsidP="00C80AAD">
            <w:pPr>
              <w:pStyle w:val="TableBody"/>
              <w:jc w:val="right"/>
              <w:rPr>
                <w:rFonts w:cs="Arial"/>
              </w:rPr>
            </w:pPr>
            <w:r w:rsidRPr="00C05C18">
              <w:rPr>
                <w:rFonts w:cs="Arial"/>
              </w:rPr>
              <w:t xml:space="preserve">2.5620 </w:t>
            </w:r>
          </w:p>
        </w:tc>
        <w:tc>
          <w:tcPr>
            <w:tcW w:w="1134" w:type="dxa"/>
            <w:tcBorders>
              <w:top w:val="nil"/>
              <w:left w:val="nil"/>
              <w:bottom w:val="single" w:sz="4" w:space="0" w:color="auto"/>
              <w:right w:val="single" w:sz="4" w:space="0" w:color="auto"/>
            </w:tcBorders>
            <w:shd w:val="clear" w:color="auto" w:fill="auto"/>
            <w:noWrap/>
          </w:tcPr>
          <w:p w14:paraId="01313E2F" w14:textId="77777777" w:rsidR="00303106" w:rsidRPr="00C05C18" w:rsidRDefault="00303106" w:rsidP="00C80AAD">
            <w:pPr>
              <w:pStyle w:val="TableBody"/>
              <w:jc w:val="right"/>
              <w:rPr>
                <w:rFonts w:cs="Arial"/>
              </w:rPr>
            </w:pPr>
            <w:r w:rsidRPr="00C05C18">
              <w:rPr>
                <w:rFonts w:cs="Arial"/>
              </w:rPr>
              <w:t xml:space="preserve">0.4370 </w:t>
            </w:r>
          </w:p>
        </w:tc>
        <w:tc>
          <w:tcPr>
            <w:tcW w:w="1134" w:type="dxa"/>
            <w:tcBorders>
              <w:top w:val="nil"/>
              <w:left w:val="nil"/>
              <w:bottom w:val="single" w:sz="4" w:space="0" w:color="auto"/>
              <w:right w:val="single" w:sz="4" w:space="0" w:color="auto"/>
            </w:tcBorders>
            <w:shd w:val="clear" w:color="auto" w:fill="auto"/>
            <w:noWrap/>
          </w:tcPr>
          <w:p w14:paraId="592B4273" w14:textId="77777777" w:rsidR="00303106" w:rsidRPr="00C05C18" w:rsidRDefault="00303106" w:rsidP="00C80AAD">
            <w:pPr>
              <w:pStyle w:val="TableBody"/>
              <w:jc w:val="right"/>
              <w:rPr>
                <w:rFonts w:cs="Arial"/>
              </w:rPr>
            </w:pPr>
            <w:r w:rsidRPr="00C05C18">
              <w:rPr>
                <w:rFonts w:cs="Arial"/>
              </w:rPr>
              <w:t xml:space="preserve">0.2180 </w:t>
            </w:r>
          </w:p>
        </w:tc>
      </w:tr>
      <w:tr w:rsidR="00303106" w:rsidRPr="00C05C18" w14:paraId="62271434" w14:textId="77777777" w:rsidTr="00C80AAD">
        <w:tc>
          <w:tcPr>
            <w:tcW w:w="2160" w:type="dxa"/>
            <w:shd w:val="clear" w:color="auto" w:fill="auto"/>
            <w:noWrap/>
            <w:vAlign w:val="center"/>
          </w:tcPr>
          <w:p w14:paraId="20E8EF1C" w14:textId="77777777" w:rsidR="00303106" w:rsidRPr="00C05C18" w:rsidRDefault="00303106" w:rsidP="00C80AAD">
            <w:pPr>
              <w:pStyle w:val="TableBody"/>
              <w:rPr>
                <w:rFonts w:cs="Arial"/>
                <w:szCs w:val="20"/>
              </w:rPr>
            </w:pPr>
            <w:r w:rsidRPr="00C05C18">
              <w:rPr>
                <w:rFonts w:cs="Arial"/>
                <w:szCs w:val="20"/>
              </w:rPr>
              <w:t>&gt;960 to 2,690 MHz</w:t>
            </w:r>
          </w:p>
        </w:tc>
        <w:tc>
          <w:tcPr>
            <w:tcW w:w="1210" w:type="dxa"/>
            <w:tcBorders>
              <w:top w:val="nil"/>
              <w:left w:val="single" w:sz="4" w:space="0" w:color="auto"/>
              <w:bottom w:val="single" w:sz="4" w:space="0" w:color="auto"/>
              <w:right w:val="single" w:sz="4" w:space="0" w:color="auto"/>
            </w:tcBorders>
            <w:shd w:val="clear" w:color="auto" w:fill="auto"/>
            <w:noWrap/>
          </w:tcPr>
          <w:p w14:paraId="2329C10B" w14:textId="77777777" w:rsidR="00303106" w:rsidRPr="00C05C18" w:rsidRDefault="00303106" w:rsidP="00C80AAD">
            <w:pPr>
              <w:pStyle w:val="TableBody"/>
              <w:jc w:val="right"/>
              <w:rPr>
                <w:rFonts w:cs="Arial"/>
              </w:rPr>
            </w:pPr>
            <w:r w:rsidRPr="00C05C18">
              <w:rPr>
                <w:rFonts w:cs="Arial"/>
              </w:rPr>
              <w:t xml:space="preserve">9.9850 </w:t>
            </w:r>
          </w:p>
        </w:tc>
        <w:tc>
          <w:tcPr>
            <w:tcW w:w="1134" w:type="dxa"/>
            <w:tcBorders>
              <w:top w:val="nil"/>
              <w:left w:val="single" w:sz="4" w:space="0" w:color="auto"/>
              <w:bottom w:val="single" w:sz="4" w:space="0" w:color="auto"/>
              <w:right w:val="single" w:sz="4" w:space="0" w:color="auto"/>
            </w:tcBorders>
            <w:shd w:val="clear" w:color="auto" w:fill="auto"/>
            <w:noWrap/>
          </w:tcPr>
          <w:p w14:paraId="13DF7B7F" w14:textId="77777777" w:rsidR="00303106" w:rsidRPr="00C05C18" w:rsidRDefault="00303106" w:rsidP="00C80AAD">
            <w:pPr>
              <w:pStyle w:val="TableBody"/>
              <w:jc w:val="right"/>
              <w:rPr>
                <w:rFonts w:cs="Arial"/>
              </w:rPr>
            </w:pPr>
            <w:r w:rsidRPr="00C05C18">
              <w:rPr>
                <w:rFonts w:cs="Arial"/>
              </w:rPr>
              <w:t xml:space="preserve">2.2410 </w:t>
            </w:r>
          </w:p>
        </w:tc>
        <w:tc>
          <w:tcPr>
            <w:tcW w:w="1134" w:type="dxa"/>
            <w:tcBorders>
              <w:top w:val="nil"/>
              <w:left w:val="nil"/>
              <w:bottom w:val="single" w:sz="4" w:space="0" w:color="auto"/>
              <w:right w:val="single" w:sz="4" w:space="0" w:color="auto"/>
            </w:tcBorders>
            <w:shd w:val="clear" w:color="auto" w:fill="auto"/>
            <w:noWrap/>
          </w:tcPr>
          <w:p w14:paraId="7F9168F6" w14:textId="77777777" w:rsidR="00303106" w:rsidRPr="00C05C18" w:rsidRDefault="00303106" w:rsidP="00C80AAD">
            <w:pPr>
              <w:pStyle w:val="TableBody"/>
              <w:jc w:val="right"/>
              <w:rPr>
                <w:rFonts w:cs="Arial"/>
              </w:rPr>
            </w:pPr>
            <w:r w:rsidRPr="00C05C18">
              <w:rPr>
                <w:rFonts w:cs="Arial"/>
              </w:rPr>
              <w:t xml:space="preserve">1.0360 </w:t>
            </w:r>
          </w:p>
        </w:tc>
        <w:tc>
          <w:tcPr>
            <w:tcW w:w="1134" w:type="dxa"/>
            <w:tcBorders>
              <w:top w:val="nil"/>
              <w:left w:val="nil"/>
              <w:bottom w:val="single" w:sz="4" w:space="0" w:color="auto"/>
              <w:right w:val="single" w:sz="4" w:space="0" w:color="auto"/>
            </w:tcBorders>
            <w:shd w:val="clear" w:color="auto" w:fill="auto"/>
            <w:noWrap/>
          </w:tcPr>
          <w:p w14:paraId="08749D8E" w14:textId="77777777" w:rsidR="00303106" w:rsidRPr="00C05C18" w:rsidRDefault="00303106" w:rsidP="00C80AAD">
            <w:pPr>
              <w:pStyle w:val="TableBody"/>
              <w:jc w:val="right"/>
              <w:rPr>
                <w:rFonts w:cs="Arial"/>
              </w:rPr>
            </w:pPr>
            <w:r w:rsidRPr="00C05C18">
              <w:rPr>
                <w:rFonts w:cs="Arial"/>
              </w:rPr>
              <w:t xml:space="preserve">0.5210 </w:t>
            </w:r>
          </w:p>
        </w:tc>
        <w:tc>
          <w:tcPr>
            <w:tcW w:w="1134" w:type="dxa"/>
            <w:tcBorders>
              <w:top w:val="nil"/>
              <w:left w:val="nil"/>
              <w:bottom w:val="single" w:sz="4" w:space="0" w:color="auto"/>
              <w:right w:val="single" w:sz="4" w:space="0" w:color="auto"/>
            </w:tcBorders>
            <w:shd w:val="clear" w:color="auto" w:fill="auto"/>
            <w:noWrap/>
          </w:tcPr>
          <w:p w14:paraId="7CCD118C" w14:textId="77777777" w:rsidR="00303106" w:rsidRPr="00C05C18" w:rsidRDefault="00303106" w:rsidP="00C80AAD">
            <w:pPr>
              <w:pStyle w:val="TableBody"/>
              <w:jc w:val="right"/>
              <w:rPr>
                <w:rFonts w:cs="Arial"/>
              </w:rPr>
            </w:pPr>
            <w:r w:rsidRPr="00C05C18">
              <w:rPr>
                <w:rFonts w:cs="Arial"/>
              </w:rPr>
              <w:t xml:space="preserve">0.2600 </w:t>
            </w:r>
          </w:p>
        </w:tc>
      </w:tr>
      <w:tr w:rsidR="00303106" w:rsidRPr="00C05C18" w14:paraId="5772E667" w14:textId="77777777" w:rsidTr="00C80AAD">
        <w:tc>
          <w:tcPr>
            <w:tcW w:w="2160" w:type="dxa"/>
            <w:shd w:val="clear" w:color="auto" w:fill="auto"/>
            <w:noWrap/>
            <w:vAlign w:val="center"/>
          </w:tcPr>
          <w:p w14:paraId="103F01E9" w14:textId="77777777" w:rsidR="00303106" w:rsidRPr="00C05C18" w:rsidRDefault="00303106" w:rsidP="00C80AAD">
            <w:pPr>
              <w:pStyle w:val="TableBody"/>
              <w:rPr>
                <w:rFonts w:cs="Arial"/>
                <w:szCs w:val="20"/>
              </w:rPr>
            </w:pPr>
            <w:r w:rsidRPr="00C05C18">
              <w:rPr>
                <w:rFonts w:cs="Arial"/>
                <w:szCs w:val="20"/>
              </w:rPr>
              <w:t>&gt;2,690 to 5,000 MHz</w:t>
            </w:r>
          </w:p>
        </w:tc>
        <w:tc>
          <w:tcPr>
            <w:tcW w:w="1210" w:type="dxa"/>
            <w:tcBorders>
              <w:top w:val="nil"/>
              <w:left w:val="single" w:sz="4" w:space="0" w:color="auto"/>
              <w:bottom w:val="single" w:sz="4" w:space="0" w:color="auto"/>
              <w:right w:val="single" w:sz="4" w:space="0" w:color="auto"/>
            </w:tcBorders>
            <w:shd w:val="clear" w:color="auto" w:fill="auto"/>
            <w:noWrap/>
          </w:tcPr>
          <w:p w14:paraId="5C38F427" w14:textId="77777777" w:rsidR="00303106" w:rsidRPr="00C05C18" w:rsidRDefault="00303106" w:rsidP="00C80AAD">
            <w:pPr>
              <w:pStyle w:val="TableBody"/>
              <w:jc w:val="right"/>
              <w:rPr>
                <w:rFonts w:cs="Arial"/>
              </w:rPr>
            </w:pPr>
            <w:r w:rsidRPr="00C05C18">
              <w:rPr>
                <w:rFonts w:cs="Arial"/>
              </w:rPr>
              <w:t xml:space="preserve">9.9740 </w:t>
            </w:r>
          </w:p>
        </w:tc>
        <w:tc>
          <w:tcPr>
            <w:tcW w:w="1134" w:type="dxa"/>
            <w:tcBorders>
              <w:top w:val="nil"/>
              <w:left w:val="single" w:sz="4" w:space="0" w:color="auto"/>
              <w:bottom w:val="single" w:sz="4" w:space="0" w:color="auto"/>
              <w:right w:val="single" w:sz="4" w:space="0" w:color="auto"/>
            </w:tcBorders>
            <w:shd w:val="clear" w:color="auto" w:fill="auto"/>
            <w:noWrap/>
          </w:tcPr>
          <w:p w14:paraId="0FFB51F7" w14:textId="77777777" w:rsidR="00303106" w:rsidRPr="00C05C18" w:rsidRDefault="00303106" w:rsidP="00C80AAD">
            <w:pPr>
              <w:pStyle w:val="TableBody"/>
              <w:jc w:val="right"/>
              <w:rPr>
                <w:rFonts w:cs="Arial"/>
              </w:rPr>
            </w:pPr>
            <w:r w:rsidRPr="00C05C18">
              <w:rPr>
                <w:rFonts w:cs="Arial"/>
              </w:rPr>
              <w:t xml:space="preserve">1.8530 </w:t>
            </w:r>
          </w:p>
        </w:tc>
        <w:tc>
          <w:tcPr>
            <w:tcW w:w="1134" w:type="dxa"/>
            <w:tcBorders>
              <w:top w:val="nil"/>
              <w:left w:val="nil"/>
              <w:bottom w:val="single" w:sz="4" w:space="0" w:color="auto"/>
              <w:right w:val="single" w:sz="4" w:space="0" w:color="auto"/>
            </w:tcBorders>
            <w:shd w:val="clear" w:color="auto" w:fill="auto"/>
            <w:noWrap/>
          </w:tcPr>
          <w:p w14:paraId="37842362" w14:textId="77777777" w:rsidR="00303106" w:rsidRPr="00C05C18" w:rsidRDefault="00303106" w:rsidP="00C80AAD">
            <w:pPr>
              <w:pStyle w:val="TableBody"/>
              <w:jc w:val="right"/>
              <w:rPr>
                <w:rFonts w:cs="Arial"/>
              </w:rPr>
            </w:pPr>
            <w:r w:rsidRPr="00C05C18">
              <w:rPr>
                <w:rFonts w:cs="Arial"/>
              </w:rPr>
              <w:t xml:space="preserve">0.7510 </w:t>
            </w:r>
          </w:p>
        </w:tc>
        <w:tc>
          <w:tcPr>
            <w:tcW w:w="1134" w:type="dxa"/>
            <w:tcBorders>
              <w:top w:val="nil"/>
              <w:left w:val="nil"/>
              <w:bottom w:val="single" w:sz="4" w:space="0" w:color="auto"/>
              <w:right w:val="single" w:sz="4" w:space="0" w:color="auto"/>
            </w:tcBorders>
            <w:shd w:val="clear" w:color="auto" w:fill="auto"/>
            <w:noWrap/>
          </w:tcPr>
          <w:p w14:paraId="634E3859" w14:textId="77777777" w:rsidR="00303106" w:rsidRPr="00C05C18" w:rsidRDefault="00303106" w:rsidP="00C80AAD">
            <w:pPr>
              <w:pStyle w:val="TableBody"/>
              <w:jc w:val="right"/>
              <w:rPr>
                <w:rFonts w:cs="Arial"/>
              </w:rPr>
            </w:pPr>
            <w:r w:rsidRPr="00C05C18">
              <w:rPr>
                <w:rFonts w:cs="Arial"/>
              </w:rPr>
              <w:t xml:space="preserve">0.6220 </w:t>
            </w:r>
          </w:p>
        </w:tc>
        <w:tc>
          <w:tcPr>
            <w:tcW w:w="1134" w:type="dxa"/>
            <w:tcBorders>
              <w:top w:val="nil"/>
              <w:left w:val="nil"/>
              <w:bottom w:val="single" w:sz="4" w:space="0" w:color="auto"/>
              <w:right w:val="single" w:sz="4" w:space="0" w:color="auto"/>
            </w:tcBorders>
            <w:shd w:val="clear" w:color="auto" w:fill="auto"/>
            <w:noWrap/>
          </w:tcPr>
          <w:p w14:paraId="4AD48EB1" w14:textId="77777777" w:rsidR="00303106" w:rsidRPr="00C05C18" w:rsidRDefault="00303106" w:rsidP="00C80AAD">
            <w:pPr>
              <w:pStyle w:val="TableBody"/>
              <w:jc w:val="right"/>
              <w:rPr>
                <w:rFonts w:cs="Arial"/>
              </w:rPr>
            </w:pPr>
            <w:r w:rsidRPr="00C05C18">
              <w:rPr>
                <w:rFonts w:cs="Arial"/>
              </w:rPr>
              <w:t xml:space="preserve">0.3110 </w:t>
            </w:r>
          </w:p>
        </w:tc>
      </w:tr>
      <w:tr w:rsidR="00303106" w:rsidRPr="00C05C18" w14:paraId="4A1877E0" w14:textId="77777777" w:rsidTr="00C80AAD">
        <w:tc>
          <w:tcPr>
            <w:tcW w:w="2160" w:type="dxa"/>
            <w:shd w:val="clear" w:color="auto" w:fill="auto"/>
            <w:noWrap/>
            <w:vAlign w:val="center"/>
          </w:tcPr>
          <w:p w14:paraId="6DFDEFE8" w14:textId="77777777" w:rsidR="00303106" w:rsidRPr="00C05C18" w:rsidRDefault="00303106" w:rsidP="00C80AAD">
            <w:pPr>
              <w:pStyle w:val="TableBody"/>
              <w:rPr>
                <w:rFonts w:cs="Arial"/>
                <w:szCs w:val="20"/>
              </w:rPr>
            </w:pPr>
            <w:r w:rsidRPr="00C05C18">
              <w:rPr>
                <w:rFonts w:cs="Arial"/>
                <w:szCs w:val="20"/>
              </w:rPr>
              <w:t>&gt;5.0 to 8.5 GHz</w:t>
            </w:r>
          </w:p>
        </w:tc>
        <w:tc>
          <w:tcPr>
            <w:tcW w:w="1210" w:type="dxa"/>
            <w:tcBorders>
              <w:top w:val="nil"/>
              <w:left w:val="single" w:sz="4" w:space="0" w:color="auto"/>
              <w:bottom w:val="single" w:sz="4" w:space="0" w:color="auto"/>
              <w:right w:val="single" w:sz="4" w:space="0" w:color="auto"/>
            </w:tcBorders>
            <w:shd w:val="clear" w:color="auto" w:fill="auto"/>
            <w:noWrap/>
          </w:tcPr>
          <w:p w14:paraId="41E9861A" w14:textId="77777777" w:rsidR="00303106" w:rsidRPr="00C05C18" w:rsidRDefault="00303106" w:rsidP="00C80AAD">
            <w:pPr>
              <w:pStyle w:val="TableBody"/>
              <w:jc w:val="right"/>
              <w:rPr>
                <w:rFonts w:cs="Arial"/>
              </w:rPr>
            </w:pPr>
            <w:r w:rsidRPr="00C42320">
              <w:t>4.2105</w:t>
            </w:r>
          </w:p>
        </w:tc>
        <w:tc>
          <w:tcPr>
            <w:tcW w:w="1134" w:type="dxa"/>
            <w:tcBorders>
              <w:top w:val="nil"/>
              <w:left w:val="single" w:sz="4" w:space="0" w:color="auto"/>
              <w:bottom w:val="single" w:sz="4" w:space="0" w:color="auto"/>
              <w:right w:val="single" w:sz="4" w:space="0" w:color="auto"/>
            </w:tcBorders>
            <w:shd w:val="clear" w:color="auto" w:fill="auto"/>
            <w:noWrap/>
          </w:tcPr>
          <w:p w14:paraId="36CA5FCC" w14:textId="77777777" w:rsidR="00303106" w:rsidRPr="00C05C18" w:rsidRDefault="00303106" w:rsidP="00C80AAD">
            <w:pPr>
              <w:pStyle w:val="TableBody"/>
              <w:jc w:val="right"/>
              <w:rPr>
                <w:rFonts w:cs="Arial"/>
              </w:rPr>
            </w:pPr>
            <w:r w:rsidRPr="00C42320">
              <w:t>0.7785</w:t>
            </w:r>
          </w:p>
        </w:tc>
        <w:tc>
          <w:tcPr>
            <w:tcW w:w="1134" w:type="dxa"/>
            <w:tcBorders>
              <w:top w:val="nil"/>
              <w:left w:val="nil"/>
              <w:bottom w:val="single" w:sz="4" w:space="0" w:color="auto"/>
              <w:right w:val="single" w:sz="4" w:space="0" w:color="auto"/>
            </w:tcBorders>
            <w:shd w:val="clear" w:color="auto" w:fill="auto"/>
            <w:noWrap/>
          </w:tcPr>
          <w:p w14:paraId="0CC9F279" w14:textId="77777777" w:rsidR="00303106" w:rsidRPr="00C05C18" w:rsidRDefault="00303106" w:rsidP="00C80AAD">
            <w:pPr>
              <w:pStyle w:val="TableBody"/>
              <w:jc w:val="right"/>
              <w:rPr>
                <w:rFonts w:cs="Arial"/>
              </w:rPr>
            </w:pPr>
            <w:r w:rsidRPr="00C42320">
              <w:t>0.3625</w:t>
            </w:r>
          </w:p>
        </w:tc>
        <w:tc>
          <w:tcPr>
            <w:tcW w:w="1134" w:type="dxa"/>
            <w:tcBorders>
              <w:top w:val="nil"/>
              <w:left w:val="nil"/>
              <w:bottom w:val="single" w:sz="4" w:space="0" w:color="auto"/>
              <w:right w:val="single" w:sz="4" w:space="0" w:color="auto"/>
            </w:tcBorders>
            <w:shd w:val="clear" w:color="auto" w:fill="auto"/>
            <w:noWrap/>
          </w:tcPr>
          <w:p w14:paraId="3A67CBDF" w14:textId="77777777" w:rsidR="00303106" w:rsidRPr="00C05C18" w:rsidRDefault="00303106" w:rsidP="00C80AAD">
            <w:pPr>
              <w:pStyle w:val="TableBody"/>
              <w:jc w:val="right"/>
              <w:rPr>
                <w:rFonts w:cs="Arial"/>
              </w:rPr>
            </w:pPr>
            <w:r w:rsidRPr="00C42320">
              <w:t>0.1650</w:t>
            </w:r>
          </w:p>
        </w:tc>
        <w:tc>
          <w:tcPr>
            <w:tcW w:w="1134" w:type="dxa"/>
            <w:tcBorders>
              <w:top w:val="nil"/>
              <w:left w:val="nil"/>
              <w:bottom w:val="single" w:sz="4" w:space="0" w:color="auto"/>
              <w:right w:val="single" w:sz="4" w:space="0" w:color="auto"/>
            </w:tcBorders>
            <w:shd w:val="clear" w:color="auto" w:fill="auto"/>
            <w:noWrap/>
          </w:tcPr>
          <w:p w14:paraId="3B050187" w14:textId="77777777" w:rsidR="00303106" w:rsidRPr="00C05C18" w:rsidRDefault="00303106" w:rsidP="00C80AAD">
            <w:pPr>
              <w:pStyle w:val="TableBody"/>
              <w:jc w:val="right"/>
              <w:rPr>
                <w:rFonts w:cs="Arial"/>
              </w:rPr>
            </w:pPr>
            <w:r w:rsidRPr="00C42320">
              <w:t>0.0800</w:t>
            </w:r>
          </w:p>
        </w:tc>
      </w:tr>
      <w:tr w:rsidR="00303106" w:rsidRPr="00C05C18" w14:paraId="10FC4CCC" w14:textId="77777777" w:rsidTr="00C80AAD">
        <w:tc>
          <w:tcPr>
            <w:tcW w:w="2160" w:type="dxa"/>
            <w:shd w:val="clear" w:color="auto" w:fill="auto"/>
            <w:noWrap/>
            <w:vAlign w:val="center"/>
          </w:tcPr>
          <w:p w14:paraId="27BBB26E" w14:textId="77777777" w:rsidR="00303106" w:rsidRPr="00C05C18" w:rsidRDefault="00303106" w:rsidP="00C80AAD">
            <w:pPr>
              <w:pStyle w:val="TableBody"/>
              <w:rPr>
                <w:rFonts w:cs="Arial"/>
                <w:szCs w:val="20"/>
              </w:rPr>
            </w:pPr>
            <w:r w:rsidRPr="00C05C18">
              <w:rPr>
                <w:rFonts w:cs="Arial"/>
                <w:szCs w:val="20"/>
              </w:rPr>
              <w:t>&gt;8.5 to 14.5 GHz</w:t>
            </w:r>
          </w:p>
        </w:tc>
        <w:tc>
          <w:tcPr>
            <w:tcW w:w="1210" w:type="dxa"/>
            <w:tcBorders>
              <w:top w:val="nil"/>
              <w:left w:val="single" w:sz="4" w:space="0" w:color="auto"/>
              <w:bottom w:val="single" w:sz="4" w:space="0" w:color="auto"/>
              <w:right w:val="single" w:sz="4" w:space="0" w:color="auto"/>
            </w:tcBorders>
            <w:shd w:val="clear" w:color="auto" w:fill="auto"/>
            <w:noWrap/>
          </w:tcPr>
          <w:p w14:paraId="66B8E892" w14:textId="77777777" w:rsidR="00303106" w:rsidRPr="00C05C18" w:rsidRDefault="00303106" w:rsidP="00C80AAD">
            <w:pPr>
              <w:pStyle w:val="TableBody"/>
              <w:jc w:val="right"/>
              <w:rPr>
                <w:rFonts w:cs="Arial"/>
              </w:rPr>
            </w:pPr>
            <w:r w:rsidRPr="00C42320">
              <w:t>0.3711</w:t>
            </w:r>
          </w:p>
        </w:tc>
        <w:tc>
          <w:tcPr>
            <w:tcW w:w="1134" w:type="dxa"/>
            <w:tcBorders>
              <w:top w:val="nil"/>
              <w:left w:val="single" w:sz="4" w:space="0" w:color="auto"/>
              <w:bottom w:val="single" w:sz="4" w:space="0" w:color="auto"/>
              <w:right w:val="single" w:sz="4" w:space="0" w:color="auto"/>
            </w:tcBorders>
            <w:shd w:val="clear" w:color="auto" w:fill="auto"/>
            <w:noWrap/>
          </w:tcPr>
          <w:p w14:paraId="5EBF153C" w14:textId="77777777" w:rsidR="00303106" w:rsidRPr="00C05C18" w:rsidRDefault="00303106" w:rsidP="00C80AAD">
            <w:pPr>
              <w:pStyle w:val="TableBody"/>
              <w:jc w:val="right"/>
              <w:rPr>
                <w:rFonts w:cs="Arial"/>
              </w:rPr>
            </w:pPr>
            <w:r w:rsidRPr="00C42320">
              <w:t>0.1336</w:t>
            </w:r>
          </w:p>
        </w:tc>
        <w:tc>
          <w:tcPr>
            <w:tcW w:w="1134" w:type="dxa"/>
            <w:tcBorders>
              <w:top w:val="nil"/>
              <w:left w:val="nil"/>
              <w:bottom w:val="single" w:sz="4" w:space="0" w:color="auto"/>
              <w:right w:val="single" w:sz="4" w:space="0" w:color="auto"/>
            </w:tcBorders>
            <w:shd w:val="clear" w:color="auto" w:fill="auto"/>
            <w:noWrap/>
          </w:tcPr>
          <w:p w14:paraId="639E83B9" w14:textId="77777777" w:rsidR="00303106" w:rsidRPr="00C05C18" w:rsidRDefault="00303106" w:rsidP="00C80AAD">
            <w:pPr>
              <w:pStyle w:val="TableBody"/>
              <w:jc w:val="right"/>
              <w:rPr>
                <w:rFonts w:cs="Arial"/>
              </w:rPr>
            </w:pPr>
            <w:r w:rsidRPr="00C42320">
              <w:t>0.0316</w:t>
            </w:r>
          </w:p>
        </w:tc>
        <w:tc>
          <w:tcPr>
            <w:tcW w:w="1134" w:type="dxa"/>
            <w:tcBorders>
              <w:top w:val="nil"/>
              <w:left w:val="nil"/>
              <w:bottom w:val="single" w:sz="4" w:space="0" w:color="auto"/>
              <w:right w:val="single" w:sz="4" w:space="0" w:color="auto"/>
            </w:tcBorders>
            <w:shd w:val="clear" w:color="auto" w:fill="auto"/>
            <w:noWrap/>
          </w:tcPr>
          <w:p w14:paraId="533043BF" w14:textId="77777777" w:rsidR="00303106" w:rsidRPr="00C05C18" w:rsidRDefault="00303106" w:rsidP="00C80AAD">
            <w:pPr>
              <w:pStyle w:val="TableBody"/>
              <w:jc w:val="right"/>
              <w:rPr>
                <w:rFonts w:cs="Arial"/>
              </w:rPr>
            </w:pPr>
            <w:r w:rsidRPr="00C42320">
              <w:t>0.0023</w:t>
            </w:r>
          </w:p>
        </w:tc>
        <w:tc>
          <w:tcPr>
            <w:tcW w:w="1134" w:type="dxa"/>
            <w:tcBorders>
              <w:top w:val="nil"/>
              <w:left w:val="nil"/>
              <w:bottom w:val="single" w:sz="4" w:space="0" w:color="auto"/>
              <w:right w:val="single" w:sz="4" w:space="0" w:color="auto"/>
            </w:tcBorders>
            <w:shd w:val="clear" w:color="auto" w:fill="auto"/>
            <w:noWrap/>
          </w:tcPr>
          <w:p w14:paraId="7DA3D3AB" w14:textId="77777777" w:rsidR="00303106" w:rsidRPr="00C05C18" w:rsidRDefault="00303106" w:rsidP="00C80AAD">
            <w:pPr>
              <w:pStyle w:val="TableBody"/>
              <w:jc w:val="right"/>
              <w:rPr>
                <w:rFonts w:cs="Arial"/>
              </w:rPr>
            </w:pPr>
            <w:r w:rsidRPr="00C42320">
              <w:t>0.0011</w:t>
            </w:r>
          </w:p>
        </w:tc>
      </w:tr>
      <w:tr w:rsidR="00303106" w:rsidRPr="00C05C18" w14:paraId="749CF399" w14:textId="77777777" w:rsidTr="00C80AAD">
        <w:tc>
          <w:tcPr>
            <w:tcW w:w="2160" w:type="dxa"/>
            <w:shd w:val="clear" w:color="auto" w:fill="auto"/>
            <w:noWrap/>
            <w:vAlign w:val="center"/>
          </w:tcPr>
          <w:p w14:paraId="3A1AE362" w14:textId="77777777" w:rsidR="00303106" w:rsidRPr="00C05C18" w:rsidRDefault="00303106" w:rsidP="00C80AAD">
            <w:pPr>
              <w:pStyle w:val="TableBody"/>
              <w:rPr>
                <w:rFonts w:cs="Arial"/>
                <w:szCs w:val="20"/>
              </w:rPr>
            </w:pPr>
            <w:r w:rsidRPr="00C05C18">
              <w:rPr>
                <w:rFonts w:cs="Arial"/>
                <w:szCs w:val="20"/>
              </w:rPr>
              <w:t>&gt;14.5 to 31.3 GHz</w:t>
            </w:r>
          </w:p>
        </w:tc>
        <w:tc>
          <w:tcPr>
            <w:tcW w:w="1210" w:type="dxa"/>
            <w:tcBorders>
              <w:top w:val="nil"/>
              <w:left w:val="single" w:sz="4" w:space="0" w:color="auto"/>
              <w:bottom w:val="single" w:sz="4" w:space="0" w:color="auto"/>
              <w:right w:val="single" w:sz="4" w:space="0" w:color="auto"/>
            </w:tcBorders>
            <w:shd w:val="clear" w:color="auto" w:fill="auto"/>
            <w:noWrap/>
          </w:tcPr>
          <w:p w14:paraId="34920610" w14:textId="77777777" w:rsidR="00303106" w:rsidRPr="00C05C18" w:rsidRDefault="00303106" w:rsidP="00C80AAD">
            <w:pPr>
              <w:pStyle w:val="TableBody"/>
              <w:jc w:val="right"/>
              <w:rPr>
                <w:rFonts w:cs="Arial"/>
              </w:rPr>
            </w:pPr>
            <w:r w:rsidRPr="00C42320">
              <w:t>0.3711</w:t>
            </w:r>
          </w:p>
        </w:tc>
        <w:tc>
          <w:tcPr>
            <w:tcW w:w="1134" w:type="dxa"/>
            <w:tcBorders>
              <w:top w:val="nil"/>
              <w:left w:val="single" w:sz="4" w:space="0" w:color="auto"/>
              <w:bottom w:val="single" w:sz="4" w:space="0" w:color="auto"/>
              <w:right w:val="single" w:sz="4" w:space="0" w:color="auto"/>
            </w:tcBorders>
            <w:shd w:val="clear" w:color="auto" w:fill="auto"/>
            <w:noWrap/>
          </w:tcPr>
          <w:p w14:paraId="60FF5706" w14:textId="77777777" w:rsidR="00303106" w:rsidRPr="00C05C18" w:rsidRDefault="00303106" w:rsidP="00C80AAD">
            <w:pPr>
              <w:pStyle w:val="TableBody"/>
              <w:jc w:val="right"/>
              <w:rPr>
                <w:rFonts w:cs="Arial"/>
              </w:rPr>
            </w:pPr>
            <w:r w:rsidRPr="00C42320">
              <w:t>0.0988</w:t>
            </w:r>
          </w:p>
        </w:tc>
        <w:tc>
          <w:tcPr>
            <w:tcW w:w="1134" w:type="dxa"/>
            <w:tcBorders>
              <w:top w:val="nil"/>
              <w:left w:val="nil"/>
              <w:bottom w:val="single" w:sz="4" w:space="0" w:color="auto"/>
              <w:right w:val="single" w:sz="4" w:space="0" w:color="auto"/>
            </w:tcBorders>
            <w:shd w:val="clear" w:color="auto" w:fill="auto"/>
            <w:noWrap/>
          </w:tcPr>
          <w:p w14:paraId="3EBA5866" w14:textId="77777777" w:rsidR="00303106" w:rsidRPr="00C05C18" w:rsidRDefault="00303106" w:rsidP="00C80AAD">
            <w:pPr>
              <w:pStyle w:val="TableBody"/>
              <w:jc w:val="right"/>
              <w:rPr>
                <w:rFonts w:cs="Arial"/>
              </w:rPr>
            </w:pPr>
            <w:r w:rsidRPr="00C42320">
              <w:t>0.0217</w:t>
            </w:r>
          </w:p>
        </w:tc>
        <w:tc>
          <w:tcPr>
            <w:tcW w:w="1134" w:type="dxa"/>
            <w:tcBorders>
              <w:top w:val="nil"/>
              <w:left w:val="nil"/>
              <w:bottom w:val="single" w:sz="4" w:space="0" w:color="auto"/>
              <w:right w:val="single" w:sz="4" w:space="0" w:color="auto"/>
            </w:tcBorders>
            <w:shd w:val="clear" w:color="auto" w:fill="auto"/>
            <w:noWrap/>
          </w:tcPr>
          <w:p w14:paraId="0DDE0505" w14:textId="77777777" w:rsidR="00303106" w:rsidRPr="00C05C18" w:rsidRDefault="00303106" w:rsidP="00C80AAD">
            <w:pPr>
              <w:pStyle w:val="TableBody"/>
              <w:jc w:val="right"/>
              <w:rPr>
                <w:rFonts w:cs="Arial"/>
              </w:rPr>
            </w:pPr>
            <w:r w:rsidRPr="00C42320">
              <w:t>0.0023</w:t>
            </w:r>
          </w:p>
        </w:tc>
        <w:tc>
          <w:tcPr>
            <w:tcW w:w="1134" w:type="dxa"/>
            <w:tcBorders>
              <w:top w:val="nil"/>
              <w:left w:val="nil"/>
              <w:bottom w:val="single" w:sz="4" w:space="0" w:color="auto"/>
              <w:right w:val="single" w:sz="4" w:space="0" w:color="auto"/>
            </w:tcBorders>
            <w:shd w:val="clear" w:color="auto" w:fill="auto"/>
            <w:noWrap/>
          </w:tcPr>
          <w:p w14:paraId="19733AA1" w14:textId="77777777" w:rsidR="00303106" w:rsidRPr="00C05C18" w:rsidRDefault="00303106" w:rsidP="00C80AAD">
            <w:pPr>
              <w:pStyle w:val="TableBody"/>
              <w:jc w:val="right"/>
              <w:rPr>
                <w:rFonts w:cs="Arial"/>
              </w:rPr>
            </w:pPr>
            <w:r w:rsidRPr="00C42320">
              <w:t>0.0011</w:t>
            </w:r>
          </w:p>
        </w:tc>
      </w:tr>
      <w:tr w:rsidR="00303106" w:rsidRPr="00C05C18" w14:paraId="3D6B33AC" w14:textId="77777777" w:rsidTr="00C80AAD">
        <w:tc>
          <w:tcPr>
            <w:tcW w:w="2160" w:type="dxa"/>
            <w:shd w:val="clear" w:color="auto" w:fill="auto"/>
            <w:noWrap/>
            <w:vAlign w:val="center"/>
          </w:tcPr>
          <w:p w14:paraId="443A2EDD" w14:textId="77777777" w:rsidR="00303106" w:rsidRPr="00C05C18" w:rsidRDefault="00303106" w:rsidP="00C80AAD">
            <w:pPr>
              <w:pStyle w:val="TableBody"/>
              <w:rPr>
                <w:rFonts w:cs="Arial"/>
                <w:szCs w:val="20"/>
              </w:rPr>
            </w:pPr>
            <w:r w:rsidRPr="00C05C18">
              <w:rPr>
                <w:rFonts w:cs="Arial"/>
                <w:szCs w:val="20"/>
              </w:rPr>
              <w:lastRenderedPageBreak/>
              <w:t>&gt;31.3 to 51.4 GHz</w:t>
            </w:r>
          </w:p>
        </w:tc>
        <w:tc>
          <w:tcPr>
            <w:tcW w:w="1210" w:type="dxa"/>
            <w:tcBorders>
              <w:top w:val="nil"/>
              <w:left w:val="single" w:sz="4" w:space="0" w:color="auto"/>
              <w:bottom w:val="single" w:sz="4" w:space="0" w:color="auto"/>
              <w:right w:val="single" w:sz="4" w:space="0" w:color="auto"/>
            </w:tcBorders>
            <w:shd w:val="clear" w:color="auto" w:fill="auto"/>
            <w:noWrap/>
          </w:tcPr>
          <w:p w14:paraId="0724BEE9" w14:textId="77777777" w:rsidR="00303106" w:rsidRPr="00C05C18" w:rsidRDefault="00303106" w:rsidP="00C80AAD">
            <w:pPr>
              <w:pStyle w:val="TableBody"/>
              <w:jc w:val="right"/>
              <w:rPr>
                <w:rFonts w:cs="Arial"/>
              </w:rPr>
            </w:pPr>
            <w:r w:rsidRPr="00C42320">
              <w:t>0.1012</w:t>
            </w:r>
          </w:p>
        </w:tc>
        <w:tc>
          <w:tcPr>
            <w:tcW w:w="1134" w:type="dxa"/>
            <w:tcBorders>
              <w:top w:val="nil"/>
              <w:left w:val="single" w:sz="4" w:space="0" w:color="auto"/>
              <w:bottom w:val="single" w:sz="4" w:space="0" w:color="auto"/>
              <w:right w:val="single" w:sz="4" w:space="0" w:color="auto"/>
            </w:tcBorders>
            <w:shd w:val="clear" w:color="auto" w:fill="auto"/>
            <w:noWrap/>
          </w:tcPr>
          <w:p w14:paraId="27BCB654" w14:textId="77777777" w:rsidR="00303106" w:rsidRPr="00C05C18" w:rsidRDefault="00303106" w:rsidP="00C80AAD">
            <w:pPr>
              <w:pStyle w:val="TableBody"/>
              <w:jc w:val="right"/>
              <w:rPr>
                <w:rFonts w:cs="Arial"/>
              </w:rPr>
            </w:pPr>
            <w:r w:rsidRPr="00C42320">
              <w:t>0.0539</w:t>
            </w:r>
          </w:p>
        </w:tc>
        <w:tc>
          <w:tcPr>
            <w:tcW w:w="1134" w:type="dxa"/>
            <w:tcBorders>
              <w:top w:val="nil"/>
              <w:left w:val="nil"/>
              <w:bottom w:val="single" w:sz="4" w:space="0" w:color="auto"/>
              <w:right w:val="single" w:sz="4" w:space="0" w:color="auto"/>
            </w:tcBorders>
            <w:shd w:val="clear" w:color="auto" w:fill="auto"/>
            <w:noWrap/>
          </w:tcPr>
          <w:p w14:paraId="0DAB8B83" w14:textId="77777777" w:rsidR="00303106" w:rsidRPr="00C05C18" w:rsidRDefault="00303106" w:rsidP="00C80AAD">
            <w:pPr>
              <w:pStyle w:val="TableBody"/>
              <w:jc w:val="right"/>
              <w:rPr>
                <w:rFonts w:cs="Arial"/>
              </w:rPr>
            </w:pPr>
            <w:r w:rsidRPr="00C42320">
              <w:t>0.0117</w:t>
            </w:r>
          </w:p>
        </w:tc>
        <w:tc>
          <w:tcPr>
            <w:tcW w:w="1134" w:type="dxa"/>
            <w:tcBorders>
              <w:top w:val="nil"/>
              <w:left w:val="nil"/>
              <w:bottom w:val="single" w:sz="4" w:space="0" w:color="auto"/>
              <w:right w:val="single" w:sz="4" w:space="0" w:color="auto"/>
            </w:tcBorders>
            <w:shd w:val="clear" w:color="auto" w:fill="auto"/>
            <w:noWrap/>
          </w:tcPr>
          <w:p w14:paraId="0913CFA6" w14:textId="77777777" w:rsidR="00303106" w:rsidRPr="00C05C18" w:rsidRDefault="00303106" w:rsidP="00C80AAD">
            <w:pPr>
              <w:pStyle w:val="TableBody"/>
              <w:jc w:val="right"/>
              <w:rPr>
                <w:rFonts w:cs="Arial"/>
              </w:rPr>
            </w:pPr>
            <w:r w:rsidRPr="00C42320">
              <w:t>0.0004</w:t>
            </w:r>
          </w:p>
        </w:tc>
        <w:tc>
          <w:tcPr>
            <w:tcW w:w="1134" w:type="dxa"/>
            <w:tcBorders>
              <w:top w:val="nil"/>
              <w:left w:val="nil"/>
              <w:bottom w:val="single" w:sz="4" w:space="0" w:color="auto"/>
              <w:right w:val="single" w:sz="4" w:space="0" w:color="auto"/>
            </w:tcBorders>
            <w:shd w:val="clear" w:color="auto" w:fill="auto"/>
            <w:noWrap/>
          </w:tcPr>
          <w:p w14:paraId="5811C97A" w14:textId="77777777" w:rsidR="00303106" w:rsidRPr="00C05C18" w:rsidRDefault="00303106" w:rsidP="00C80AAD">
            <w:pPr>
              <w:pStyle w:val="TableBody"/>
              <w:jc w:val="right"/>
              <w:rPr>
                <w:rFonts w:cs="Arial"/>
              </w:rPr>
            </w:pPr>
            <w:r w:rsidRPr="00C42320">
              <w:t>0.0002</w:t>
            </w:r>
          </w:p>
        </w:tc>
      </w:tr>
      <w:tr w:rsidR="00303106" w:rsidRPr="00C05C18" w14:paraId="1189D8EE" w14:textId="77777777" w:rsidTr="00C80AAD">
        <w:tc>
          <w:tcPr>
            <w:tcW w:w="2160" w:type="dxa"/>
            <w:shd w:val="clear" w:color="auto" w:fill="auto"/>
            <w:noWrap/>
            <w:vAlign w:val="center"/>
          </w:tcPr>
          <w:p w14:paraId="54AA2BF8" w14:textId="77777777" w:rsidR="00303106" w:rsidRPr="00C05C18" w:rsidRDefault="00303106" w:rsidP="00C80AAD">
            <w:pPr>
              <w:pStyle w:val="TableBody"/>
              <w:rPr>
                <w:rFonts w:cs="Arial"/>
                <w:szCs w:val="20"/>
              </w:rPr>
            </w:pPr>
            <w:r w:rsidRPr="00C05C18">
              <w:rPr>
                <w:rFonts w:cs="Arial"/>
                <w:szCs w:val="20"/>
              </w:rPr>
              <w:t>Above 51.4 GHz</w:t>
            </w:r>
          </w:p>
        </w:tc>
        <w:tc>
          <w:tcPr>
            <w:tcW w:w="1210" w:type="dxa"/>
            <w:tcBorders>
              <w:top w:val="nil"/>
              <w:left w:val="single" w:sz="4" w:space="0" w:color="auto"/>
              <w:bottom w:val="single" w:sz="4" w:space="0" w:color="auto"/>
              <w:right w:val="single" w:sz="4" w:space="0" w:color="auto"/>
            </w:tcBorders>
            <w:shd w:val="clear" w:color="auto" w:fill="auto"/>
            <w:noWrap/>
          </w:tcPr>
          <w:p w14:paraId="1F65A4CF" w14:textId="77777777" w:rsidR="00303106" w:rsidRPr="00C05C18" w:rsidRDefault="00303106" w:rsidP="00C80AAD">
            <w:pPr>
              <w:pStyle w:val="TableBody"/>
              <w:jc w:val="right"/>
              <w:rPr>
                <w:rFonts w:cs="Arial"/>
              </w:rPr>
            </w:pPr>
            <w:r w:rsidRPr="00C42320">
              <w:t>0.01</w:t>
            </w:r>
            <w:r>
              <w:t>00</w:t>
            </w:r>
          </w:p>
        </w:tc>
        <w:tc>
          <w:tcPr>
            <w:tcW w:w="1134" w:type="dxa"/>
            <w:tcBorders>
              <w:top w:val="nil"/>
              <w:left w:val="single" w:sz="4" w:space="0" w:color="auto"/>
              <w:bottom w:val="single" w:sz="4" w:space="0" w:color="auto"/>
              <w:right w:val="single" w:sz="4" w:space="0" w:color="auto"/>
            </w:tcBorders>
            <w:shd w:val="clear" w:color="auto" w:fill="auto"/>
            <w:noWrap/>
          </w:tcPr>
          <w:p w14:paraId="19705944" w14:textId="77777777" w:rsidR="00303106" w:rsidRPr="00C05C18" w:rsidRDefault="00303106" w:rsidP="00C80AAD">
            <w:pPr>
              <w:pStyle w:val="TableBody"/>
              <w:jc w:val="right"/>
              <w:rPr>
                <w:rFonts w:cs="Arial"/>
              </w:rPr>
            </w:pPr>
            <w:r w:rsidRPr="00C42320">
              <w:t>0.001</w:t>
            </w:r>
            <w:r>
              <w:t>0</w:t>
            </w:r>
          </w:p>
        </w:tc>
        <w:tc>
          <w:tcPr>
            <w:tcW w:w="1134" w:type="dxa"/>
            <w:tcBorders>
              <w:top w:val="nil"/>
              <w:left w:val="nil"/>
              <w:bottom w:val="single" w:sz="4" w:space="0" w:color="auto"/>
              <w:right w:val="single" w:sz="4" w:space="0" w:color="auto"/>
            </w:tcBorders>
            <w:shd w:val="clear" w:color="auto" w:fill="auto"/>
            <w:noWrap/>
          </w:tcPr>
          <w:p w14:paraId="061D44CC" w14:textId="77777777" w:rsidR="00303106" w:rsidRPr="00C05C18" w:rsidRDefault="00303106" w:rsidP="00C80AAD">
            <w:pPr>
              <w:pStyle w:val="TableBody"/>
              <w:jc w:val="right"/>
              <w:rPr>
                <w:rFonts w:cs="Arial"/>
              </w:rPr>
            </w:pPr>
            <w:r w:rsidRPr="00C42320">
              <w:t>0.001</w:t>
            </w:r>
            <w:r>
              <w:t>0</w:t>
            </w:r>
          </w:p>
        </w:tc>
        <w:tc>
          <w:tcPr>
            <w:tcW w:w="1134" w:type="dxa"/>
            <w:tcBorders>
              <w:top w:val="nil"/>
              <w:left w:val="nil"/>
              <w:bottom w:val="single" w:sz="4" w:space="0" w:color="auto"/>
              <w:right w:val="single" w:sz="4" w:space="0" w:color="auto"/>
            </w:tcBorders>
            <w:shd w:val="clear" w:color="auto" w:fill="auto"/>
            <w:noWrap/>
          </w:tcPr>
          <w:p w14:paraId="2BE4F757" w14:textId="77777777" w:rsidR="00303106" w:rsidRPr="00C05C18" w:rsidRDefault="00303106" w:rsidP="00C80AAD">
            <w:pPr>
              <w:pStyle w:val="TableBody"/>
              <w:jc w:val="right"/>
              <w:rPr>
                <w:rFonts w:cs="Arial"/>
              </w:rPr>
            </w:pPr>
            <w:r w:rsidRPr="00C42320">
              <w:t>0.0001</w:t>
            </w:r>
          </w:p>
        </w:tc>
        <w:tc>
          <w:tcPr>
            <w:tcW w:w="1134" w:type="dxa"/>
            <w:tcBorders>
              <w:top w:val="nil"/>
              <w:left w:val="nil"/>
              <w:bottom w:val="single" w:sz="4" w:space="0" w:color="auto"/>
              <w:right w:val="single" w:sz="4" w:space="0" w:color="auto"/>
            </w:tcBorders>
            <w:shd w:val="clear" w:color="auto" w:fill="auto"/>
            <w:noWrap/>
          </w:tcPr>
          <w:p w14:paraId="09F1850C" w14:textId="77777777" w:rsidR="00303106" w:rsidRPr="00C05C18" w:rsidRDefault="00303106" w:rsidP="00C80AAD">
            <w:pPr>
              <w:pStyle w:val="TableBody"/>
              <w:jc w:val="right"/>
              <w:rPr>
                <w:rFonts w:cs="Arial"/>
              </w:rPr>
            </w:pPr>
            <w:r w:rsidRPr="00C42320">
              <w:t>0.0001</w:t>
            </w:r>
          </w:p>
        </w:tc>
      </w:tr>
    </w:tbl>
    <w:p w14:paraId="7053E572" w14:textId="77777777" w:rsidR="00303106" w:rsidRDefault="00303106" w:rsidP="00303106">
      <w:pPr>
        <w:spacing w:before="120" w:after="120" w:line="240" w:lineRule="auto"/>
        <w:rPr>
          <w:rFonts w:cs="Arial"/>
          <w:iCs/>
          <w:color w:val="000000"/>
          <w:szCs w:val="20"/>
        </w:rPr>
      </w:pPr>
    </w:p>
    <w:p w14:paraId="5D962F16" w14:textId="77777777" w:rsidR="00303106" w:rsidRPr="00C05C18" w:rsidRDefault="00303106" w:rsidP="00303106">
      <w:pPr>
        <w:spacing w:after="0"/>
        <w:rPr>
          <w:b/>
        </w:rPr>
      </w:pPr>
      <w:r w:rsidRPr="00C05C18">
        <w:rPr>
          <w:b/>
        </w:rPr>
        <w:t>Bandwidth</w:t>
      </w:r>
    </w:p>
    <w:p w14:paraId="659955C0" w14:textId="77777777" w:rsidR="00303106" w:rsidRPr="007F7E6D" w:rsidRDefault="00303106" w:rsidP="00303106">
      <w:r w:rsidRPr="00C05C18">
        <w:t xml:space="preserve">Taxes also vary depending on the bandwidth within which a service is licensed to </w:t>
      </w:r>
      <w:r w:rsidRPr="007F7E6D">
        <w:t>operate.</w:t>
      </w:r>
      <w:r>
        <w:t xml:space="preserve"> The more spectrum a service uses the higher the tax. Taxes in the formula are normally quoted in $/kHz.</w:t>
      </w:r>
    </w:p>
    <w:p w14:paraId="467BA322" w14:textId="77777777" w:rsidR="00303106" w:rsidRPr="007F7E6D" w:rsidRDefault="00303106" w:rsidP="00303106">
      <w:pPr>
        <w:spacing w:after="0"/>
        <w:rPr>
          <w:b/>
        </w:rPr>
      </w:pPr>
      <w:r w:rsidRPr="007F7E6D">
        <w:rPr>
          <w:b/>
        </w:rPr>
        <w:t>Power</w:t>
      </w:r>
    </w:p>
    <w:p w14:paraId="102E16E9" w14:textId="77777777" w:rsidR="00303106" w:rsidRPr="007F7E6D" w:rsidRDefault="00303106" w:rsidP="00303106">
      <w:pPr>
        <w:rPr>
          <w:rFonts w:cs="Arial"/>
        </w:rPr>
      </w:pPr>
      <w:r w:rsidRPr="007F7E6D">
        <w:rPr>
          <w:rFonts w:cs="Arial"/>
        </w:rPr>
        <w:t>The power factor allows a reduced tax for low-power spectrum accesses and ‘micro’ service models, which deny spectrum to other users over a small area. Spectrum accesses that are not low power or micro power have a power factor of one.</w:t>
      </w:r>
    </w:p>
    <w:p w14:paraId="5331AE07" w14:textId="77777777" w:rsidR="00303106" w:rsidRPr="00C05C18" w:rsidRDefault="00303106" w:rsidP="00303106">
      <w:r w:rsidRPr="007F7E6D">
        <w:t>Low-power spectrum accesses permit the operation of one or more devices, each with a radiated power level of 8.3 watts EIRP or less and designed for operation within a radius of 2 kilometres.</w:t>
      </w:r>
      <w:r w:rsidRPr="007F7E6D">
        <w:rPr>
          <w:vertAlign w:val="superscript"/>
        </w:rPr>
        <w:footnoteReference w:id="31"/>
      </w:r>
      <w:r w:rsidRPr="007F7E6D">
        <w:t xml:space="preserve"> These types of services pay one-tenth of the annual tax that would otherwise apply (subject to the minimum tax of $41.37).</w:t>
      </w:r>
    </w:p>
    <w:p w14:paraId="33EE2407" w14:textId="77777777" w:rsidR="00303106" w:rsidRDefault="00303106" w:rsidP="00303106">
      <w:pPr>
        <w:rPr>
          <w:rFonts w:cs="Arial"/>
        </w:rPr>
      </w:pPr>
      <w:r w:rsidRPr="00C05C18">
        <w:rPr>
          <w:rFonts w:cs="Arial"/>
        </w:rPr>
        <w:t>The low-power factor does not apply to point-to-point, point-to-multipoint above 960 MHz, point-to-multipoint system, television outside broadcast, or licences that attract a fixed fee. For these licensing options, there is weak correlation between the power level and the area over which spectrum is denied to other users.</w:t>
      </w:r>
    </w:p>
    <w:p w14:paraId="51E8E015" w14:textId="2FE04FDC" w:rsidR="00303106" w:rsidRDefault="00303106" w:rsidP="00303106">
      <w:pPr>
        <w:rPr>
          <w:rFonts w:cs="Arial"/>
        </w:rPr>
      </w:pPr>
      <w:r>
        <w:rPr>
          <w:rFonts w:cs="Arial"/>
        </w:rPr>
        <w:t>A ‘micro-power’ factor is eligible for enclosed and short-range land mobile services that permit the operation of one or more devices, each with a radiated power level of 1.7 watts EIRP or less and designed for operation within a radius of 200 metres.</w:t>
      </w:r>
      <w:r>
        <w:rPr>
          <w:rStyle w:val="FootnoteReference"/>
          <w:rFonts w:cs="Arial"/>
        </w:rPr>
        <w:footnoteReference w:id="32"/>
      </w:r>
      <w:r>
        <w:rPr>
          <w:rFonts w:cs="Arial"/>
        </w:rPr>
        <w:t xml:space="preserve"> These types of services pay one-twentieth of the annual tax that would otherwise apply (subject to a minimum tax of $41.37).</w:t>
      </w:r>
      <w:r w:rsidR="00D31D5D">
        <w:rPr>
          <w:rFonts w:cs="Arial"/>
        </w:rPr>
        <w:t xml:space="preserve"> </w:t>
      </w:r>
    </w:p>
    <w:p w14:paraId="6DE960AA" w14:textId="77777777" w:rsidR="00303106" w:rsidRPr="00EF6BA3" w:rsidRDefault="00303106" w:rsidP="00303106">
      <w:pPr>
        <w:keepNext/>
        <w:rPr>
          <w:rFonts w:cs="Arial"/>
          <w:b/>
          <w:bCs/>
        </w:rPr>
      </w:pPr>
      <w:r w:rsidRPr="00EF6BA3">
        <w:rPr>
          <w:rFonts w:cs="Arial"/>
          <w:b/>
          <w:bCs/>
        </w:rPr>
        <w:lastRenderedPageBreak/>
        <w:t>Adjustment factors</w:t>
      </w:r>
    </w:p>
    <w:p w14:paraId="2D2E4E33" w14:textId="77777777" w:rsidR="00303106" w:rsidRPr="00C05C18" w:rsidRDefault="00303106" w:rsidP="00303106">
      <w:pPr>
        <w:keepNext/>
        <w:keepLines/>
        <w:rPr>
          <w:rFonts w:cs="Arial"/>
        </w:rPr>
      </w:pPr>
      <w:r w:rsidRPr="00C05C18">
        <w:rPr>
          <w:rFonts w:cs="Arial"/>
        </w:rPr>
        <w:t xml:space="preserve">There are </w:t>
      </w:r>
      <w:r>
        <w:rPr>
          <w:rFonts w:cs="Arial"/>
        </w:rPr>
        <w:t>numerous</w:t>
      </w:r>
      <w:r w:rsidRPr="00C05C18">
        <w:rPr>
          <w:rFonts w:cs="Arial"/>
        </w:rPr>
        <w:t xml:space="preserve"> adjustment factors that modify the tax levels of some licensing options. This introduces the flexibility to vary taxes according to parameters that are not included in the tax formula.</w:t>
      </w:r>
    </w:p>
    <w:p w14:paraId="647AB87E" w14:textId="77777777" w:rsidR="00303106" w:rsidRPr="00C05C18" w:rsidRDefault="00303106" w:rsidP="003504D2">
      <w:pPr>
        <w:pStyle w:val="Caption"/>
        <w:keepNext/>
      </w:pPr>
      <w:r w:rsidRPr="00C05C18">
        <w:t>Adjustment factor</w:t>
      </w:r>
    </w:p>
    <w:tbl>
      <w:tblPr>
        <w:tblW w:w="4993" w:type="pct"/>
        <w:tblLayout w:type="fixed"/>
        <w:tblCellMar>
          <w:top w:w="57" w:type="dxa"/>
          <w:left w:w="57" w:type="dxa"/>
          <w:bottom w:w="57" w:type="dxa"/>
          <w:right w:w="57" w:type="dxa"/>
        </w:tblCellMar>
        <w:tblLook w:val="01E0" w:firstRow="1" w:lastRow="1" w:firstColumn="1" w:lastColumn="1" w:noHBand="0" w:noVBand="0"/>
      </w:tblPr>
      <w:tblGrid>
        <w:gridCol w:w="1129"/>
        <w:gridCol w:w="2410"/>
        <w:gridCol w:w="1984"/>
        <w:gridCol w:w="2127"/>
      </w:tblGrid>
      <w:tr w:rsidR="00303106" w:rsidRPr="00C05C18" w14:paraId="18525ED6" w14:textId="77777777" w:rsidTr="00C80AAD">
        <w:tc>
          <w:tcPr>
            <w:tcW w:w="112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3049BEE" w14:textId="77777777" w:rsidR="00303106" w:rsidRPr="00C05C18" w:rsidRDefault="00303106" w:rsidP="00C80AAD">
            <w:pPr>
              <w:pStyle w:val="TableHeading0"/>
              <w:keepNext/>
              <w:keepLines/>
              <w:rPr>
                <w:color w:val="FFFFFF" w:themeColor="background1"/>
              </w:rPr>
            </w:pPr>
            <w:r w:rsidRPr="00C05C18">
              <w:rPr>
                <w:color w:val="FFFFFF" w:themeColor="background1"/>
              </w:rPr>
              <w:t>Division</w:t>
            </w:r>
          </w:p>
        </w:tc>
        <w:tc>
          <w:tcPr>
            <w:tcW w:w="241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2DED159" w14:textId="77777777" w:rsidR="00303106" w:rsidRPr="00C05C18" w:rsidRDefault="00303106" w:rsidP="00C80AAD">
            <w:pPr>
              <w:pStyle w:val="TableHeading0"/>
              <w:keepNext/>
              <w:keepLines/>
              <w:rPr>
                <w:color w:val="FFFFFF" w:themeColor="background1"/>
              </w:rPr>
            </w:pPr>
            <w:r w:rsidRPr="00C05C18">
              <w:rPr>
                <w:color w:val="FFFFFF" w:themeColor="background1"/>
              </w:rPr>
              <w:t>Licensing option</w:t>
            </w:r>
          </w:p>
        </w:tc>
        <w:tc>
          <w:tcPr>
            <w:tcW w:w="1984"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9124601" w14:textId="77777777" w:rsidR="00303106" w:rsidRPr="00C05C18" w:rsidRDefault="00303106" w:rsidP="00C80AAD">
            <w:pPr>
              <w:pStyle w:val="TableHeading0"/>
              <w:keepNext/>
              <w:keepLines/>
              <w:rPr>
                <w:color w:val="FFFFFF" w:themeColor="background1"/>
              </w:rPr>
            </w:pPr>
            <w:r w:rsidRPr="00C05C18">
              <w:rPr>
                <w:color w:val="FFFFFF" w:themeColor="background1"/>
              </w:rPr>
              <w:t>Frequency/notes</w:t>
            </w:r>
          </w:p>
        </w:tc>
        <w:tc>
          <w:tcPr>
            <w:tcW w:w="212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D148C2C" w14:textId="77777777" w:rsidR="00303106" w:rsidRPr="00C05C18" w:rsidRDefault="00303106" w:rsidP="00C80AAD">
            <w:pPr>
              <w:pStyle w:val="TableHeading0"/>
              <w:keepNext/>
              <w:keepLines/>
              <w:jc w:val="right"/>
              <w:rPr>
                <w:color w:val="FFFFFF" w:themeColor="background1"/>
              </w:rPr>
            </w:pPr>
            <w:r w:rsidRPr="00C05C18">
              <w:rPr>
                <w:color w:val="FFFFFF" w:themeColor="background1"/>
              </w:rPr>
              <w:t>Adjustment factor</w:t>
            </w:r>
          </w:p>
        </w:tc>
      </w:tr>
      <w:tr w:rsidR="00303106" w:rsidRPr="00C05C18" w14:paraId="0B0DF7D9" w14:textId="77777777" w:rsidTr="00C80AAD">
        <w:tc>
          <w:tcPr>
            <w:tcW w:w="1129" w:type="dxa"/>
            <w:tcBorders>
              <w:top w:val="single" w:sz="4" w:space="0" w:color="auto"/>
              <w:left w:val="single" w:sz="4" w:space="0" w:color="auto"/>
              <w:bottom w:val="single" w:sz="4" w:space="0" w:color="auto"/>
              <w:right w:val="single" w:sz="4" w:space="0" w:color="auto"/>
            </w:tcBorders>
          </w:tcPr>
          <w:p w14:paraId="2B0CEC1E" w14:textId="77777777" w:rsidR="00303106" w:rsidRPr="00C05C18" w:rsidRDefault="00303106" w:rsidP="00C80AAD">
            <w:pPr>
              <w:pStyle w:val="TableBody"/>
              <w:keepNext/>
              <w:keepLines/>
              <w:rPr>
                <w:rFonts w:cs="Arial"/>
              </w:rPr>
            </w:pPr>
            <w:r w:rsidRPr="00C05C18">
              <w:rPr>
                <w:rFonts w:cs="Arial"/>
              </w:rPr>
              <w:t>Division 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CB1377"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Most licensing options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B68A87" w14:textId="77777777" w:rsidR="00303106" w:rsidRPr="00C05C18" w:rsidRDefault="00303106" w:rsidP="00C80AAD">
            <w:pPr>
              <w:pStyle w:val="TableBody"/>
              <w:keepNext/>
              <w:keepLines/>
              <w:rPr>
                <w:rFonts w:cs="Arial"/>
                <w:color w:val="000000" w:themeColor="text1"/>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ED5620" w14:textId="77777777" w:rsidR="00303106" w:rsidRPr="00C05C18" w:rsidRDefault="00303106" w:rsidP="00C80AAD">
            <w:pPr>
              <w:pStyle w:val="TableBody"/>
              <w:keepNext/>
              <w:keepLines/>
              <w:jc w:val="right"/>
              <w:rPr>
                <w:rFonts w:cs="Arial"/>
                <w:color w:val="000000" w:themeColor="text1"/>
              </w:rPr>
            </w:pPr>
            <w:r w:rsidRPr="00C05C18">
              <w:rPr>
                <w:rFonts w:cs="Arial"/>
                <w:color w:val="000000" w:themeColor="text1"/>
              </w:rPr>
              <w:t>1</w:t>
            </w:r>
          </w:p>
        </w:tc>
      </w:tr>
      <w:tr w:rsidR="00303106" w:rsidRPr="00C05C18" w14:paraId="116FBBF8" w14:textId="77777777" w:rsidTr="00C80AAD">
        <w:tc>
          <w:tcPr>
            <w:tcW w:w="1129" w:type="dxa"/>
            <w:tcBorders>
              <w:top w:val="single" w:sz="4" w:space="0" w:color="auto"/>
              <w:left w:val="single" w:sz="4" w:space="0" w:color="auto"/>
              <w:right w:val="single" w:sz="4" w:space="0" w:color="auto"/>
            </w:tcBorders>
          </w:tcPr>
          <w:p w14:paraId="31E9FACD" w14:textId="77777777" w:rsidR="00303106" w:rsidRPr="00C05C18" w:rsidRDefault="00303106" w:rsidP="00C80AAD">
            <w:pPr>
              <w:pStyle w:val="TableBody"/>
              <w:keepNext/>
              <w:keepLines/>
              <w:rPr>
                <w:rFonts w:cs="Arial"/>
              </w:rPr>
            </w:pPr>
            <w:r>
              <w:rPr>
                <w:rFonts w:cs="Arial"/>
              </w:rPr>
              <w:t>Division 1A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47626F" w14:textId="77777777" w:rsidR="00303106" w:rsidRPr="00C05C18" w:rsidRDefault="00303106" w:rsidP="00C80AAD">
            <w:pPr>
              <w:pStyle w:val="TableBody"/>
              <w:keepNext/>
              <w:keepLines/>
              <w:rPr>
                <w:rFonts w:cs="Arial"/>
                <w:color w:val="000000" w:themeColor="text1"/>
              </w:rPr>
            </w:pPr>
            <w:r>
              <w:rPr>
                <w:rFonts w:cs="Arial"/>
                <w:color w:val="000000" w:themeColor="text1"/>
              </w:rPr>
              <w:t>Scientific assigned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59845F7" w14:textId="77777777" w:rsidR="00303106" w:rsidRPr="00C05C18" w:rsidRDefault="00303106" w:rsidP="00C80AAD">
            <w:pPr>
              <w:keepNext/>
              <w:keepLines/>
              <w:spacing w:after="0" w:line="240" w:lineRule="auto"/>
              <w:rPr>
                <w:rFonts w:cs="Arial"/>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DC1087F" w14:textId="77777777" w:rsidR="00303106" w:rsidRPr="00C05C18" w:rsidRDefault="00303106" w:rsidP="00C80AAD">
            <w:pPr>
              <w:keepNext/>
              <w:keepLines/>
              <w:spacing w:after="0" w:line="240" w:lineRule="auto"/>
              <w:jc w:val="right"/>
              <w:rPr>
                <w:rFonts w:cs="Arial"/>
                <w:color w:val="000000"/>
                <w:szCs w:val="20"/>
              </w:rPr>
            </w:pPr>
            <w:r>
              <w:rPr>
                <w:rFonts w:cs="Arial"/>
                <w:color w:val="000000"/>
                <w:szCs w:val="20"/>
              </w:rPr>
              <w:t>0.1</w:t>
            </w:r>
          </w:p>
        </w:tc>
      </w:tr>
      <w:tr w:rsidR="00303106" w:rsidRPr="00C05C18" w14:paraId="7966A9F1" w14:textId="77777777" w:rsidTr="00C80AAD">
        <w:tc>
          <w:tcPr>
            <w:tcW w:w="1129" w:type="dxa"/>
            <w:vMerge w:val="restart"/>
            <w:tcBorders>
              <w:top w:val="single" w:sz="4" w:space="0" w:color="auto"/>
              <w:left w:val="single" w:sz="4" w:space="0" w:color="auto"/>
              <w:right w:val="single" w:sz="4" w:space="0" w:color="auto"/>
            </w:tcBorders>
          </w:tcPr>
          <w:p w14:paraId="068AC5AE" w14:textId="77777777" w:rsidR="00303106" w:rsidRPr="00C05C18" w:rsidRDefault="00303106" w:rsidP="00C80AAD">
            <w:pPr>
              <w:pStyle w:val="TableBody"/>
              <w:keepNext/>
              <w:keepLines/>
              <w:rPr>
                <w:rFonts w:cs="Arial"/>
              </w:rPr>
            </w:pPr>
            <w:r w:rsidRPr="00C05C18">
              <w:rPr>
                <w:rFonts w:cs="Arial"/>
              </w:rPr>
              <w:t>Division 2</w:t>
            </w:r>
          </w:p>
        </w:tc>
        <w:tc>
          <w:tcPr>
            <w:tcW w:w="2410" w:type="dxa"/>
            <w:vMerge w:val="restart"/>
            <w:tcBorders>
              <w:top w:val="single" w:sz="4" w:space="0" w:color="auto"/>
              <w:left w:val="single" w:sz="4" w:space="0" w:color="auto"/>
              <w:right w:val="single" w:sz="4" w:space="0" w:color="auto"/>
            </w:tcBorders>
            <w:shd w:val="clear" w:color="auto" w:fill="auto"/>
          </w:tcPr>
          <w:p w14:paraId="14CE5A9D"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Fixed point-to-point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76E791" w14:textId="77777777" w:rsidR="00303106" w:rsidRPr="00C05C18" w:rsidRDefault="00303106" w:rsidP="00C80AAD">
            <w:pPr>
              <w:keepNext/>
              <w:keepLines/>
              <w:spacing w:after="0" w:line="240" w:lineRule="auto"/>
              <w:rPr>
                <w:rFonts w:cs="Arial"/>
                <w:color w:val="000000"/>
                <w:szCs w:val="20"/>
              </w:rPr>
            </w:pPr>
            <w:r w:rsidRPr="00C05C18">
              <w:rPr>
                <w:rFonts w:cs="Arial"/>
                <w:color w:val="000000"/>
                <w:szCs w:val="20"/>
              </w:rPr>
              <w:t xml:space="preserve">Below 960 MHz </w:t>
            </w:r>
            <w:r>
              <w:rPr>
                <w:rFonts w:cs="Arial"/>
                <w:color w:val="000000"/>
                <w:szCs w:val="20"/>
              </w:rPr>
              <w:t>except remote density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9E77CC" w14:textId="77777777" w:rsidR="00303106" w:rsidRPr="00C05C18" w:rsidRDefault="00303106" w:rsidP="00C80AAD">
            <w:pPr>
              <w:keepNext/>
              <w:keepLines/>
              <w:spacing w:after="0" w:line="240" w:lineRule="auto"/>
              <w:jc w:val="right"/>
              <w:rPr>
                <w:rFonts w:cs="Arial"/>
                <w:color w:val="000000"/>
                <w:szCs w:val="20"/>
              </w:rPr>
            </w:pPr>
            <w:r w:rsidRPr="00C05C18">
              <w:rPr>
                <w:rFonts w:cs="Arial"/>
                <w:color w:val="000000"/>
                <w:szCs w:val="20"/>
              </w:rPr>
              <w:t xml:space="preserve">18.484115 </w:t>
            </w:r>
          </w:p>
        </w:tc>
      </w:tr>
      <w:tr w:rsidR="00303106" w:rsidRPr="00C05C18" w14:paraId="15055666" w14:textId="77777777" w:rsidTr="00C80AAD">
        <w:tc>
          <w:tcPr>
            <w:tcW w:w="1129" w:type="dxa"/>
            <w:vMerge/>
            <w:tcBorders>
              <w:top w:val="single" w:sz="4" w:space="0" w:color="auto"/>
              <w:left w:val="single" w:sz="4" w:space="0" w:color="auto"/>
              <w:right w:val="single" w:sz="4" w:space="0" w:color="auto"/>
            </w:tcBorders>
          </w:tcPr>
          <w:p w14:paraId="729284C6" w14:textId="77777777" w:rsidR="00303106" w:rsidRPr="00C05C18" w:rsidRDefault="00303106" w:rsidP="00C80AAD">
            <w:pPr>
              <w:pStyle w:val="TableBody"/>
              <w:keepNext/>
              <w:keepLines/>
              <w:rPr>
                <w:rFonts w:cs="Arial"/>
              </w:rPr>
            </w:pPr>
          </w:p>
        </w:tc>
        <w:tc>
          <w:tcPr>
            <w:tcW w:w="2410" w:type="dxa"/>
            <w:vMerge/>
            <w:tcBorders>
              <w:left w:val="single" w:sz="4" w:space="0" w:color="auto"/>
              <w:right w:val="single" w:sz="4" w:space="0" w:color="auto"/>
            </w:tcBorders>
            <w:shd w:val="clear" w:color="auto" w:fill="auto"/>
          </w:tcPr>
          <w:p w14:paraId="79FC9471" w14:textId="77777777" w:rsidR="00303106" w:rsidRPr="00C05C18" w:rsidRDefault="00303106" w:rsidP="00C80AAD">
            <w:pPr>
              <w:pStyle w:val="TableBody"/>
              <w:keepNext/>
              <w:keepLines/>
              <w:rPr>
                <w:rFonts w:cs="Arial"/>
                <w:color w:val="000000" w:themeColor="text1"/>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D79E45" w14:textId="77777777" w:rsidR="00303106" w:rsidRPr="00C05C18" w:rsidRDefault="00303106" w:rsidP="00C80AAD">
            <w:pPr>
              <w:keepNext/>
              <w:keepLines/>
              <w:spacing w:after="0" w:line="240" w:lineRule="auto"/>
              <w:rPr>
                <w:rFonts w:cs="Arial"/>
                <w:color w:val="000000"/>
                <w:szCs w:val="20"/>
              </w:rPr>
            </w:pPr>
            <w:r>
              <w:rPr>
                <w:rFonts w:cs="Arial"/>
                <w:color w:val="000000"/>
                <w:szCs w:val="20"/>
              </w:rPr>
              <w:t>Below 960 MHz remote density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FDFBA93" w14:textId="77777777" w:rsidR="00303106" w:rsidRPr="00C05C18" w:rsidRDefault="00303106" w:rsidP="00C80AAD">
            <w:pPr>
              <w:keepNext/>
              <w:keepLines/>
              <w:spacing w:after="0" w:line="240" w:lineRule="auto"/>
              <w:jc w:val="right"/>
              <w:rPr>
                <w:rFonts w:cs="Arial"/>
                <w:color w:val="000000"/>
                <w:szCs w:val="20"/>
              </w:rPr>
            </w:pPr>
            <w:r>
              <w:rPr>
                <w:rFonts w:cs="Arial"/>
                <w:color w:val="000000"/>
                <w:szCs w:val="20"/>
              </w:rPr>
              <w:t>11.737205</w:t>
            </w:r>
          </w:p>
        </w:tc>
      </w:tr>
      <w:tr w:rsidR="00303106" w:rsidRPr="00C05C18" w14:paraId="04628E94" w14:textId="77777777" w:rsidTr="00C80AAD">
        <w:tc>
          <w:tcPr>
            <w:tcW w:w="1129" w:type="dxa"/>
            <w:vMerge/>
            <w:tcBorders>
              <w:left w:val="single" w:sz="4" w:space="0" w:color="auto"/>
              <w:bottom w:val="single" w:sz="4" w:space="0" w:color="auto"/>
              <w:right w:val="single" w:sz="4" w:space="0" w:color="auto"/>
            </w:tcBorders>
          </w:tcPr>
          <w:p w14:paraId="08D034FD" w14:textId="77777777" w:rsidR="00303106" w:rsidRPr="00C05C18" w:rsidRDefault="00303106" w:rsidP="00C80AAD">
            <w:pPr>
              <w:pStyle w:val="TableBody"/>
              <w:keepNext/>
              <w:keepLines/>
              <w:rPr>
                <w:rFonts w:cs="Arial"/>
              </w:rPr>
            </w:pPr>
          </w:p>
        </w:tc>
        <w:tc>
          <w:tcPr>
            <w:tcW w:w="2410" w:type="dxa"/>
            <w:vMerge/>
            <w:tcBorders>
              <w:left w:val="single" w:sz="4" w:space="0" w:color="auto"/>
              <w:bottom w:val="single" w:sz="4" w:space="0" w:color="auto"/>
              <w:right w:val="single" w:sz="4" w:space="0" w:color="auto"/>
            </w:tcBorders>
            <w:shd w:val="clear" w:color="auto" w:fill="auto"/>
          </w:tcPr>
          <w:p w14:paraId="368D8EA6" w14:textId="77777777" w:rsidR="00303106" w:rsidRPr="00C05C18" w:rsidRDefault="00303106" w:rsidP="00C80AAD">
            <w:pPr>
              <w:pStyle w:val="TableBody"/>
              <w:keepNext/>
              <w:keepLines/>
              <w:rPr>
                <w:rFonts w:cs="Arial"/>
                <w:color w:val="000000" w:themeColor="text1"/>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FA64DBE"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 xml:space="preserve">Above 960 MHz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017140" w14:textId="77777777" w:rsidR="00303106" w:rsidRPr="00C05C18" w:rsidRDefault="00303106" w:rsidP="00C80AAD">
            <w:pPr>
              <w:keepNext/>
              <w:keepLines/>
              <w:spacing w:after="0" w:line="240" w:lineRule="auto"/>
              <w:jc w:val="right"/>
            </w:pPr>
            <w:r w:rsidRPr="00C05C18">
              <w:rPr>
                <w:rFonts w:cs="Arial"/>
                <w:color w:val="000000"/>
                <w:szCs w:val="20"/>
              </w:rPr>
              <w:t xml:space="preserve">0.436933 </w:t>
            </w:r>
          </w:p>
        </w:tc>
      </w:tr>
      <w:tr w:rsidR="00303106" w:rsidRPr="00C05C18" w14:paraId="03A713B8" w14:textId="77777777" w:rsidTr="00C80AAD">
        <w:tc>
          <w:tcPr>
            <w:tcW w:w="1129" w:type="dxa"/>
            <w:vMerge w:val="restart"/>
            <w:tcBorders>
              <w:top w:val="single" w:sz="4" w:space="0" w:color="auto"/>
              <w:left w:val="single" w:sz="4" w:space="0" w:color="auto"/>
              <w:right w:val="single" w:sz="4" w:space="0" w:color="auto"/>
            </w:tcBorders>
          </w:tcPr>
          <w:p w14:paraId="54046D93" w14:textId="77777777" w:rsidR="00303106" w:rsidRPr="00C05C18" w:rsidRDefault="00303106" w:rsidP="00C80AAD">
            <w:pPr>
              <w:pStyle w:val="TableBody"/>
              <w:keepNext/>
              <w:keepLines/>
              <w:rPr>
                <w:rFonts w:cs="Arial"/>
              </w:rPr>
            </w:pPr>
            <w:r w:rsidRPr="00C05C18">
              <w:rPr>
                <w:rFonts w:cs="Arial"/>
              </w:rPr>
              <w:t>Division 3</w:t>
            </w:r>
          </w:p>
        </w:tc>
        <w:tc>
          <w:tcPr>
            <w:tcW w:w="2410" w:type="dxa"/>
            <w:vMerge w:val="restart"/>
            <w:tcBorders>
              <w:top w:val="single" w:sz="4" w:space="0" w:color="auto"/>
              <w:left w:val="single" w:sz="4" w:space="0" w:color="auto"/>
              <w:right w:val="single" w:sz="4" w:space="0" w:color="auto"/>
            </w:tcBorders>
            <w:shd w:val="clear" w:color="auto" w:fill="auto"/>
          </w:tcPr>
          <w:p w14:paraId="48EC87E1"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Fixed point-to-multipoint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2596A9"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Below 960 MHz</w:t>
            </w:r>
            <w:r>
              <w:rPr>
                <w:rFonts w:cs="Arial"/>
                <w:color w:val="000000" w:themeColor="text1"/>
              </w:rPr>
              <w:t xml:space="preserve"> except remote density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E1195A7" w14:textId="77777777" w:rsidR="00303106" w:rsidRPr="00C05C18" w:rsidRDefault="00303106" w:rsidP="00C80AAD">
            <w:pPr>
              <w:keepNext/>
              <w:keepLines/>
              <w:spacing w:after="0" w:line="240" w:lineRule="auto"/>
              <w:jc w:val="right"/>
            </w:pPr>
            <w:r w:rsidRPr="00C05C18">
              <w:rPr>
                <w:rFonts w:cs="Arial"/>
                <w:color w:val="000000"/>
                <w:szCs w:val="20"/>
              </w:rPr>
              <w:t xml:space="preserve">73.93646 </w:t>
            </w:r>
          </w:p>
        </w:tc>
      </w:tr>
      <w:tr w:rsidR="00303106" w:rsidRPr="00C05C18" w14:paraId="7E64B949" w14:textId="77777777" w:rsidTr="00C80AAD">
        <w:tc>
          <w:tcPr>
            <w:tcW w:w="1129" w:type="dxa"/>
            <w:vMerge/>
            <w:tcBorders>
              <w:top w:val="single" w:sz="4" w:space="0" w:color="auto"/>
              <w:left w:val="single" w:sz="4" w:space="0" w:color="auto"/>
              <w:right w:val="single" w:sz="4" w:space="0" w:color="auto"/>
            </w:tcBorders>
          </w:tcPr>
          <w:p w14:paraId="3BAC2A9F" w14:textId="77777777" w:rsidR="00303106" w:rsidRPr="00C05C18" w:rsidRDefault="00303106" w:rsidP="00C80AAD">
            <w:pPr>
              <w:pStyle w:val="TableBody"/>
              <w:keepNext/>
              <w:keepLines/>
              <w:rPr>
                <w:rFonts w:cs="Arial"/>
              </w:rPr>
            </w:pPr>
          </w:p>
        </w:tc>
        <w:tc>
          <w:tcPr>
            <w:tcW w:w="2410" w:type="dxa"/>
            <w:vMerge/>
            <w:tcBorders>
              <w:left w:val="single" w:sz="4" w:space="0" w:color="auto"/>
              <w:right w:val="single" w:sz="4" w:space="0" w:color="auto"/>
            </w:tcBorders>
            <w:shd w:val="clear" w:color="auto" w:fill="auto"/>
          </w:tcPr>
          <w:p w14:paraId="56EBF91E" w14:textId="77777777" w:rsidR="00303106" w:rsidRPr="00C05C18" w:rsidRDefault="00303106" w:rsidP="00C80AAD">
            <w:pPr>
              <w:pStyle w:val="TableBody"/>
              <w:keepNext/>
              <w:keepLines/>
              <w:rPr>
                <w:rFonts w:cs="Arial"/>
                <w:color w:val="000000" w:themeColor="text1"/>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C0C832" w14:textId="77777777" w:rsidR="00303106" w:rsidRPr="00C05C18" w:rsidRDefault="00303106" w:rsidP="00C80AAD">
            <w:pPr>
              <w:pStyle w:val="TableBody"/>
              <w:keepNext/>
              <w:keepLines/>
              <w:rPr>
                <w:rFonts w:cs="Arial"/>
                <w:color w:val="000000" w:themeColor="text1"/>
              </w:rPr>
            </w:pPr>
            <w:r>
              <w:rPr>
                <w:rFonts w:cs="Arial"/>
                <w:color w:val="000000" w:themeColor="text1"/>
              </w:rPr>
              <w:t>Below 960 MHz remote density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CCE6E7" w14:textId="77777777" w:rsidR="00303106" w:rsidRDefault="00303106" w:rsidP="00C80AAD">
            <w:pPr>
              <w:keepNext/>
              <w:keepLines/>
              <w:spacing w:after="0" w:line="240" w:lineRule="auto"/>
              <w:jc w:val="right"/>
              <w:rPr>
                <w:rFonts w:cs="Arial"/>
                <w:color w:val="000000"/>
                <w:szCs w:val="20"/>
              </w:rPr>
            </w:pPr>
            <w:r>
              <w:rPr>
                <w:rFonts w:cs="Arial"/>
                <w:color w:val="000000"/>
                <w:szCs w:val="20"/>
              </w:rPr>
              <w:t>46.351636</w:t>
            </w:r>
          </w:p>
          <w:p w14:paraId="32C3035C" w14:textId="77777777" w:rsidR="00303106" w:rsidRPr="00C05C18" w:rsidRDefault="00303106" w:rsidP="00C80AAD">
            <w:pPr>
              <w:keepNext/>
              <w:keepLines/>
              <w:spacing w:after="0" w:line="240" w:lineRule="auto"/>
              <w:jc w:val="right"/>
              <w:rPr>
                <w:rFonts w:cs="Arial"/>
                <w:color w:val="000000"/>
                <w:szCs w:val="20"/>
              </w:rPr>
            </w:pPr>
          </w:p>
        </w:tc>
      </w:tr>
      <w:tr w:rsidR="00303106" w:rsidRPr="00C05C18" w14:paraId="3A50ED58" w14:textId="77777777" w:rsidTr="00C80AAD">
        <w:tc>
          <w:tcPr>
            <w:tcW w:w="1129" w:type="dxa"/>
            <w:vMerge/>
            <w:tcBorders>
              <w:left w:val="single" w:sz="4" w:space="0" w:color="auto"/>
              <w:bottom w:val="single" w:sz="4" w:space="0" w:color="auto"/>
              <w:right w:val="single" w:sz="4" w:space="0" w:color="auto"/>
            </w:tcBorders>
          </w:tcPr>
          <w:p w14:paraId="79250FB1" w14:textId="77777777" w:rsidR="00303106" w:rsidRPr="00C05C18" w:rsidRDefault="00303106" w:rsidP="00C80AAD">
            <w:pPr>
              <w:pStyle w:val="TableBody"/>
              <w:keepNext/>
              <w:keepLines/>
              <w:rPr>
                <w:rFonts w:cs="Arial"/>
              </w:rPr>
            </w:pPr>
          </w:p>
        </w:tc>
        <w:tc>
          <w:tcPr>
            <w:tcW w:w="2410" w:type="dxa"/>
            <w:vMerge/>
            <w:tcBorders>
              <w:left w:val="single" w:sz="4" w:space="0" w:color="auto"/>
              <w:bottom w:val="single" w:sz="4" w:space="0" w:color="auto"/>
              <w:right w:val="single" w:sz="4" w:space="0" w:color="auto"/>
            </w:tcBorders>
            <w:shd w:val="clear" w:color="auto" w:fill="auto"/>
          </w:tcPr>
          <w:p w14:paraId="1DD7E1FA" w14:textId="77777777" w:rsidR="00303106" w:rsidRPr="00C05C18" w:rsidRDefault="00303106" w:rsidP="00C80AAD">
            <w:pPr>
              <w:pStyle w:val="TableBody"/>
              <w:keepNext/>
              <w:keepLines/>
              <w:rPr>
                <w:rFonts w:cs="Arial"/>
                <w:color w:val="000000" w:themeColor="text1"/>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050437"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 xml:space="preserve">Above 960 MHz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17FAE5D" w14:textId="77777777" w:rsidR="00303106" w:rsidRPr="00C05C18" w:rsidRDefault="00303106" w:rsidP="00C80AAD">
            <w:pPr>
              <w:keepNext/>
              <w:keepLines/>
              <w:spacing w:after="0" w:line="240" w:lineRule="auto"/>
              <w:jc w:val="right"/>
            </w:pPr>
            <w:r w:rsidRPr="00C05C18">
              <w:rPr>
                <w:rFonts w:cs="Arial"/>
                <w:color w:val="000000"/>
                <w:szCs w:val="20"/>
              </w:rPr>
              <w:t xml:space="preserve">0.436933 </w:t>
            </w:r>
          </w:p>
        </w:tc>
      </w:tr>
      <w:tr w:rsidR="00303106" w:rsidRPr="00C05C18" w14:paraId="335A56F6" w14:textId="77777777" w:rsidTr="00C80AAD">
        <w:tc>
          <w:tcPr>
            <w:tcW w:w="1129" w:type="dxa"/>
            <w:tcBorders>
              <w:top w:val="single" w:sz="4" w:space="0" w:color="auto"/>
              <w:left w:val="single" w:sz="4" w:space="0" w:color="auto"/>
              <w:right w:val="single" w:sz="4" w:space="0" w:color="auto"/>
            </w:tcBorders>
          </w:tcPr>
          <w:p w14:paraId="4DAE0E5A" w14:textId="77777777" w:rsidR="00303106" w:rsidRPr="00C05C18" w:rsidRDefault="00303106" w:rsidP="00C80AAD">
            <w:pPr>
              <w:pStyle w:val="TableBody"/>
              <w:keepNext/>
              <w:keepLines/>
              <w:rPr>
                <w:rFonts w:cs="Arial"/>
              </w:rPr>
            </w:pPr>
            <w:r w:rsidRPr="00C05C18">
              <w:rPr>
                <w:rFonts w:cs="Arial"/>
              </w:rPr>
              <w:t>Division 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69742E"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Licences in high demand frequency bands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9AC840" w14:textId="77777777" w:rsidR="00303106" w:rsidRPr="00C05C18" w:rsidRDefault="00303106" w:rsidP="00C80AAD">
            <w:pPr>
              <w:pStyle w:val="TableBody"/>
              <w:keepNext/>
              <w:keepLines/>
              <w:rPr>
                <w:rFonts w:cs="Arial"/>
                <w:color w:val="000000" w:themeColor="text1"/>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6011A4A" w14:textId="77777777" w:rsidR="00303106" w:rsidRPr="00C05C18" w:rsidRDefault="00303106" w:rsidP="00C80AAD">
            <w:pPr>
              <w:keepNext/>
              <w:keepLines/>
              <w:spacing w:after="0" w:line="240" w:lineRule="auto"/>
              <w:jc w:val="right"/>
            </w:pPr>
            <w:r w:rsidRPr="00C05C18">
              <w:rPr>
                <w:rFonts w:cs="Arial"/>
                <w:color w:val="000000"/>
                <w:szCs w:val="20"/>
              </w:rPr>
              <w:t xml:space="preserve">73.93646 </w:t>
            </w:r>
          </w:p>
        </w:tc>
      </w:tr>
      <w:tr w:rsidR="00303106" w:rsidRPr="00C05C18" w14:paraId="74902E1C" w14:textId="77777777" w:rsidTr="00C80AAD">
        <w:tc>
          <w:tcPr>
            <w:tcW w:w="1129" w:type="dxa"/>
            <w:vMerge w:val="restart"/>
            <w:tcBorders>
              <w:top w:val="single" w:sz="4" w:space="0" w:color="auto"/>
              <w:left w:val="single" w:sz="4" w:space="0" w:color="auto"/>
              <w:right w:val="single" w:sz="4" w:space="0" w:color="auto"/>
            </w:tcBorders>
          </w:tcPr>
          <w:p w14:paraId="2BC6D92F" w14:textId="77777777" w:rsidR="00303106" w:rsidRPr="00C05C18" w:rsidRDefault="00303106" w:rsidP="00C80AAD">
            <w:pPr>
              <w:pStyle w:val="TableBody"/>
              <w:keepNext/>
              <w:keepLines/>
              <w:rPr>
                <w:rFonts w:cs="Arial"/>
              </w:rPr>
            </w:pPr>
            <w:r w:rsidRPr="00C05C18">
              <w:rPr>
                <w:rFonts w:cs="Arial"/>
              </w:rPr>
              <w:t>Division 5</w:t>
            </w:r>
          </w:p>
        </w:tc>
        <w:tc>
          <w:tcPr>
            <w:tcW w:w="2410" w:type="dxa"/>
            <w:vMerge w:val="restart"/>
            <w:tcBorders>
              <w:top w:val="single" w:sz="4" w:space="0" w:color="auto"/>
              <w:left w:val="single" w:sz="4" w:space="0" w:color="auto"/>
              <w:right w:val="single" w:sz="4" w:space="0" w:color="auto"/>
            </w:tcBorders>
            <w:shd w:val="clear" w:color="auto" w:fill="auto"/>
          </w:tcPr>
          <w:p w14:paraId="0686B44C" w14:textId="77777777" w:rsidR="00303106" w:rsidRPr="00C05C18" w:rsidRDefault="00303106" w:rsidP="00C80AAD">
            <w:pPr>
              <w:pStyle w:val="TableBody"/>
              <w:keepNext/>
              <w:keepLines/>
              <w:rPr>
                <w:rFonts w:cs="Arial"/>
                <w:color w:val="000000" w:themeColor="text1"/>
              </w:rPr>
            </w:pPr>
            <w:r w:rsidRPr="00C05C18">
              <w:rPr>
                <w:rFonts w:cs="Arial"/>
                <w:color w:val="000000" w:themeColor="text1"/>
              </w:rPr>
              <w:t>Television outside broadcast station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BF8160" w14:textId="77777777" w:rsidR="00303106" w:rsidRPr="00C05C18" w:rsidRDefault="00303106" w:rsidP="00C80AAD">
            <w:pPr>
              <w:pStyle w:val="TableBody"/>
              <w:keepNext/>
              <w:keepLines/>
              <w:rPr>
                <w:rFonts w:cs="Arial"/>
                <w:color w:val="000000" w:themeColor="text1"/>
              </w:rPr>
            </w:pPr>
            <w:r>
              <w:rPr>
                <w:rFonts w:cs="Arial"/>
                <w:color w:val="000000" w:themeColor="text1"/>
              </w:rPr>
              <w:t>All geographic areas except high density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D341CC" w14:textId="77777777" w:rsidR="00303106" w:rsidRPr="00C05C18" w:rsidRDefault="00303106" w:rsidP="00C80AAD">
            <w:pPr>
              <w:keepNext/>
              <w:keepLines/>
              <w:spacing w:after="0" w:line="240" w:lineRule="auto"/>
              <w:jc w:val="right"/>
              <w:rPr>
                <w:rFonts w:cs="Arial"/>
                <w:color w:val="000000"/>
                <w:szCs w:val="20"/>
              </w:rPr>
            </w:pPr>
            <w:r w:rsidRPr="00C05C18">
              <w:rPr>
                <w:rFonts w:cs="Arial"/>
                <w:color w:val="000000"/>
                <w:szCs w:val="20"/>
              </w:rPr>
              <w:t xml:space="preserve">0.513008 </w:t>
            </w:r>
          </w:p>
        </w:tc>
      </w:tr>
      <w:tr w:rsidR="00303106" w:rsidRPr="00C05C18" w14:paraId="222AF3F9" w14:textId="77777777" w:rsidTr="00C80AAD">
        <w:tc>
          <w:tcPr>
            <w:tcW w:w="1129" w:type="dxa"/>
            <w:vMerge/>
            <w:tcBorders>
              <w:left w:val="single" w:sz="4" w:space="0" w:color="auto"/>
              <w:bottom w:val="single" w:sz="4" w:space="0" w:color="auto"/>
              <w:right w:val="single" w:sz="4" w:space="0" w:color="auto"/>
            </w:tcBorders>
          </w:tcPr>
          <w:p w14:paraId="5A45E3CD" w14:textId="77777777" w:rsidR="00303106" w:rsidRPr="00C05C18" w:rsidRDefault="00303106" w:rsidP="00C80AAD">
            <w:pPr>
              <w:pStyle w:val="TableBody"/>
              <w:keepNext/>
              <w:keepLines/>
              <w:rPr>
                <w:rFonts w:cs="Arial"/>
              </w:rPr>
            </w:pPr>
          </w:p>
        </w:tc>
        <w:tc>
          <w:tcPr>
            <w:tcW w:w="2410" w:type="dxa"/>
            <w:vMerge/>
            <w:tcBorders>
              <w:left w:val="single" w:sz="4" w:space="0" w:color="auto"/>
              <w:bottom w:val="single" w:sz="4" w:space="0" w:color="auto"/>
              <w:right w:val="single" w:sz="4" w:space="0" w:color="auto"/>
            </w:tcBorders>
            <w:shd w:val="clear" w:color="auto" w:fill="auto"/>
          </w:tcPr>
          <w:p w14:paraId="46412496" w14:textId="77777777" w:rsidR="00303106" w:rsidRPr="00C05C18" w:rsidRDefault="00303106" w:rsidP="00C80AAD">
            <w:pPr>
              <w:pStyle w:val="TableBody"/>
              <w:keepNext/>
              <w:keepLines/>
              <w:rPr>
                <w:rFonts w:cs="Arial"/>
                <w:color w:val="000000" w:themeColor="text1"/>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2564A9" w14:textId="77777777" w:rsidR="00303106" w:rsidRPr="00C05C18" w:rsidRDefault="00303106" w:rsidP="00C80AAD">
            <w:pPr>
              <w:pStyle w:val="TableBody"/>
              <w:keepNext/>
              <w:keepLines/>
              <w:rPr>
                <w:rFonts w:cs="Arial"/>
                <w:color w:val="000000" w:themeColor="text1"/>
              </w:rPr>
            </w:pPr>
            <w:r>
              <w:rPr>
                <w:rFonts w:cs="Arial"/>
                <w:color w:val="000000" w:themeColor="text1"/>
              </w:rPr>
              <w:t xml:space="preserve">High-density areas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937CE3" w14:textId="77777777" w:rsidR="00303106" w:rsidRPr="00C05C18" w:rsidRDefault="00303106" w:rsidP="00C80AAD">
            <w:pPr>
              <w:keepNext/>
              <w:keepLines/>
              <w:spacing w:after="0" w:line="240" w:lineRule="auto"/>
              <w:jc w:val="right"/>
            </w:pPr>
            <w:r w:rsidRPr="00C05C18">
              <w:rPr>
                <w:rFonts w:cs="Arial"/>
                <w:szCs w:val="20"/>
              </w:rPr>
              <w:t>0.38762490649539</w:t>
            </w:r>
          </w:p>
        </w:tc>
      </w:tr>
    </w:tbl>
    <w:p w14:paraId="64DE5353" w14:textId="77777777" w:rsidR="00303106" w:rsidRDefault="00303106" w:rsidP="00303106">
      <w:pPr>
        <w:spacing w:after="0" w:line="240" w:lineRule="auto"/>
        <w:rPr>
          <w:b/>
        </w:rPr>
      </w:pPr>
    </w:p>
    <w:p w14:paraId="402F7603" w14:textId="77777777" w:rsidR="00303106" w:rsidRPr="00C05C18" w:rsidRDefault="00303106" w:rsidP="00303106">
      <w:pPr>
        <w:spacing w:after="0" w:line="240" w:lineRule="auto"/>
      </w:pPr>
      <w:r w:rsidRPr="00C05C18">
        <w:rPr>
          <w:b/>
        </w:rPr>
        <w:t>Normalisation factor</w:t>
      </w:r>
      <w:r w:rsidRPr="00C05C18">
        <w:t xml:space="preserve"> (0.28209675121524)</w:t>
      </w:r>
    </w:p>
    <w:p w14:paraId="77CF2947" w14:textId="77777777" w:rsidR="00303106" w:rsidRPr="00C05C18" w:rsidRDefault="00303106" w:rsidP="00303106">
      <w:r w:rsidRPr="00C05C18">
        <w:t xml:space="preserve">The constant converts the relative spectrum values provided by the rest of the formula to an actual dollar figure. It is updated by </w:t>
      </w:r>
      <w:r>
        <w:t>consumer price index (</w:t>
      </w:r>
      <w:r w:rsidRPr="00C05C18">
        <w:t>CPI</w:t>
      </w:r>
      <w:r>
        <w:t>)</w:t>
      </w:r>
      <w:r w:rsidRPr="00C05C18">
        <w:t xml:space="preserve"> adjustments every year to keep licence taxes constant in real terms.</w:t>
      </w:r>
    </w:p>
    <w:sectPr w:rsidR="00303106" w:rsidRPr="00C05C18" w:rsidSect="00DF4F2E">
      <w:headerReference w:type="even" r:id="rId134"/>
      <w:headerReference w:type="default" r:id="rId135"/>
      <w:footerReference w:type="even" r:id="rId136"/>
      <w:footerReference w:type="default" r:id="rId137"/>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326C0" w14:textId="77777777" w:rsidR="00192261" w:rsidRDefault="00192261" w:rsidP="00D522F0">
      <w:pPr>
        <w:spacing w:after="0" w:line="240" w:lineRule="auto"/>
      </w:pPr>
      <w:r>
        <w:separator/>
      </w:r>
    </w:p>
  </w:endnote>
  <w:endnote w:type="continuationSeparator" w:id="0">
    <w:p w14:paraId="49F77B7E" w14:textId="77777777" w:rsidR="00192261" w:rsidRDefault="00192261" w:rsidP="00D522F0">
      <w:pPr>
        <w:spacing w:after="0" w:line="240" w:lineRule="auto"/>
      </w:pPr>
      <w:r>
        <w:continuationSeparator/>
      </w:r>
    </w:p>
  </w:endnote>
  <w:endnote w:type="continuationNotice" w:id="1">
    <w:p w14:paraId="37A330B1" w14:textId="77777777" w:rsidR="00192261" w:rsidRDefault="001922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B071" w14:textId="77777777" w:rsidR="003A4574" w:rsidRDefault="003A4574" w:rsidP="00DF4F2E">
    <w:pPr>
      <w:pStyle w:val="Footer"/>
      <w:jc w:val="right"/>
    </w:pPr>
    <w:r w:rsidRPr="005E250B">
      <w:rPr>
        <w:noProof/>
        <w:vertAlign w:val="subscript"/>
      </w:rPr>
      <w:drawing>
        <wp:inline distT="0" distB="0" distL="0" distR="0" wp14:anchorId="3083F6F7" wp14:editId="51A61CB3">
          <wp:extent cx="1066800" cy="277368"/>
          <wp:effectExtent l="0" t="0" r="0" b="0"/>
          <wp:docPr id="4" name="Picture 4"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F096" w14:textId="77777777" w:rsidR="003A4574" w:rsidRDefault="003A45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1E8" w14:textId="77777777" w:rsidR="003A4574" w:rsidRDefault="003A45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8E79" w14:textId="77777777" w:rsidR="003A4574" w:rsidRPr="00622A3B" w:rsidRDefault="003A4574" w:rsidP="00DF4F2E">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758776F8" w14:textId="77777777" w:rsidR="003A4574" w:rsidRPr="00A5474E" w:rsidRDefault="003A4574" w:rsidP="00DF4F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8D30" w14:textId="77777777" w:rsidR="003A4574" w:rsidRPr="00622A3B" w:rsidRDefault="003A4574" w:rsidP="00293D76">
    <w:pPr>
      <w:pStyle w:val="Footer"/>
      <w:framePr w:w="1334" w:h="503" w:hRule="exact" w:vSpace="425" w:wrap="around" w:vAnchor="page" w:hAnchor="page" w:x="7335" w:y="16014"/>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2A264BFF" w14:textId="77777777" w:rsidR="003A4574" w:rsidRPr="00A5474E" w:rsidRDefault="003A4574" w:rsidP="00DF4F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2E5B" w14:textId="77777777" w:rsidR="003A4574" w:rsidRPr="00622A3B" w:rsidRDefault="003A4574" w:rsidP="00293D76">
    <w:pPr>
      <w:pStyle w:val="Footer"/>
      <w:framePr w:w="1334" w:h="556" w:hRule="exact" w:vSpace="425" w:wrap="around" w:vAnchor="page" w:hAnchor="page" w:x="7335" w:y="15961"/>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C7D4DDE" w14:textId="77777777" w:rsidR="003A4574" w:rsidRPr="00A5474E" w:rsidRDefault="003A4574" w:rsidP="00DF4F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EF8E" w14:textId="77777777" w:rsidR="003A4574" w:rsidRPr="00622A3B" w:rsidRDefault="003A4574" w:rsidP="00DF4F2E">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5C7FD3E8" w14:textId="77777777" w:rsidR="003A4574" w:rsidRPr="00A5474E" w:rsidRDefault="003A4574" w:rsidP="00DF4F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765E" w14:textId="422F4642" w:rsidR="003A4574" w:rsidRPr="00622A3B" w:rsidRDefault="003A4574" w:rsidP="00DF4F2E">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rsidR="004F51FE">
      <w:rPr>
        <w:rFonts w:cs="Arial"/>
      </w:rPr>
      <w:t xml:space="preserve"> </w:t>
    </w:r>
    <w:r w:rsidR="002946CC">
      <w:rPr>
        <w:rFonts w:cs="Arial"/>
      </w:rPr>
      <w:t xml:space="preserve">     </w:t>
    </w:r>
    <w:r w:rsidR="004F51FE">
      <w:rPr>
        <w:rFonts w:cs="Arial"/>
      </w:rPr>
      <w:t xml:space="preserve"> </w:t>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17D0FDF2" w14:textId="77777777" w:rsidR="003A4574" w:rsidRPr="00A5474E" w:rsidRDefault="003A4574" w:rsidP="00DF4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C3A0B" w14:textId="77777777" w:rsidR="00192261" w:rsidRDefault="00192261" w:rsidP="00D522F0">
      <w:pPr>
        <w:spacing w:after="0" w:line="240" w:lineRule="auto"/>
      </w:pPr>
      <w:r>
        <w:separator/>
      </w:r>
    </w:p>
  </w:footnote>
  <w:footnote w:type="continuationSeparator" w:id="0">
    <w:p w14:paraId="38C6F7FD" w14:textId="77777777" w:rsidR="00192261" w:rsidRDefault="00192261" w:rsidP="00D522F0">
      <w:pPr>
        <w:spacing w:after="0" w:line="240" w:lineRule="auto"/>
      </w:pPr>
      <w:r>
        <w:continuationSeparator/>
      </w:r>
    </w:p>
  </w:footnote>
  <w:footnote w:type="continuationNotice" w:id="1">
    <w:p w14:paraId="465066BC" w14:textId="77777777" w:rsidR="00192261" w:rsidRDefault="00192261">
      <w:pPr>
        <w:spacing w:after="0" w:line="240" w:lineRule="auto"/>
      </w:pPr>
    </w:p>
  </w:footnote>
  <w:footnote w:id="2">
    <w:p w14:paraId="63499396" w14:textId="0DFB9867" w:rsidR="00CF33FA" w:rsidRDefault="00CF33FA">
      <w:pPr>
        <w:pStyle w:val="FootnoteText"/>
      </w:pPr>
      <w:r>
        <w:rPr>
          <w:rStyle w:val="FootnoteReference"/>
        </w:rPr>
        <w:footnoteRef/>
      </w:r>
      <w:r>
        <w:t xml:space="preserve"> The terms ‘price’ and ‘tax’ are used interchangeably throughout this RIS. </w:t>
      </w:r>
    </w:p>
  </w:footnote>
  <w:footnote w:id="3">
    <w:p w14:paraId="125DEAD2" w14:textId="727BAA52" w:rsidR="00280945" w:rsidRDefault="00280945">
      <w:pPr>
        <w:pStyle w:val="FootnoteText"/>
      </w:pPr>
      <w:r>
        <w:rPr>
          <w:rStyle w:val="FootnoteReference"/>
        </w:rPr>
        <w:footnoteRef/>
      </w:r>
      <w:r>
        <w:t xml:space="preserve"> Also known as the </w:t>
      </w:r>
      <w:r w:rsidRPr="00CE4914">
        <w:t>assigned apparatus licence tax formula</w:t>
      </w:r>
      <w:r w:rsidR="00A41509">
        <w:t xml:space="preserve">. </w:t>
      </w:r>
    </w:p>
  </w:footnote>
  <w:footnote w:id="4">
    <w:p w14:paraId="46D6F429" w14:textId="4A7AD35C" w:rsidR="00EA6387" w:rsidRDefault="00EA6387">
      <w:pPr>
        <w:pStyle w:val="FootnoteText"/>
      </w:pPr>
      <w:r>
        <w:rPr>
          <w:rStyle w:val="FootnoteReference"/>
        </w:rPr>
        <w:footnoteRef/>
      </w:r>
      <w:r>
        <w:t xml:space="preserve"> Centre for International Economics (2015) </w:t>
      </w:r>
      <w:r w:rsidRPr="003E7570">
        <w:rPr>
          <w:i/>
        </w:rPr>
        <w:t>The economic value of spectrum</w:t>
      </w:r>
      <w:r>
        <w:t>,</w:t>
      </w:r>
      <w:r w:rsidRPr="00266AA1">
        <w:t xml:space="preserve"> Research report prepared for the </w:t>
      </w:r>
      <w:r>
        <w:t>Department</w:t>
      </w:r>
      <w:r w:rsidRPr="00266AA1">
        <w:t xml:space="preserve"> </w:t>
      </w:r>
      <w:r>
        <w:t>of Communications</w:t>
      </w:r>
    </w:p>
  </w:footnote>
  <w:footnote w:id="5">
    <w:p w14:paraId="56E4E75D" w14:textId="36C560E5" w:rsidR="00A52C93" w:rsidRDefault="00A52C93">
      <w:pPr>
        <w:pStyle w:val="FootnoteText"/>
      </w:pPr>
      <w:r>
        <w:rPr>
          <w:rStyle w:val="FootnoteReference"/>
        </w:rPr>
        <w:footnoteRef/>
      </w:r>
      <w:r>
        <w:t xml:space="preserve"> </w:t>
      </w:r>
      <w:r w:rsidRPr="00A52C93">
        <w:t xml:space="preserve">Recommendation 1 was done as part of the tranche 1 reforms. Many of the other recommendations are guiding principles relevant to the ACMA in its ongoing management of spectrum </w:t>
      </w:r>
      <w:r w:rsidRPr="00A52C93">
        <w:t xml:space="preserve">i.e. recommendations 2, 3, 4, 5, 6, and 8. Recommendations 9, 10, and 11 were matters for the Government </w:t>
      </w:r>
      <w:r w:rsidR="007B632D">
        <w:t xml:space="preserve">which </w:t>
      </w:r>
      <w:r w:rsidRPr="00A52C93">
        <w:t>intended to amend the cost recovery framework in primary legislation.</w:t>
      </w:r>
    </w:p>
  </w:footnote>
  <w:footnote w:id="6">
    <w:p w14:paraId="061580CE" w14:textId="42ED18A0" w:rsidR="00B013FF" w:rsidRDefault="00B013FF">
      <w:pPr>
        <w:pStyle w:val="FootnoteText"/>
      </w:pPr>
      <w:r>
        <w:rPr>
          <w:rStyle w:val="FootnoteReference"/>
        </w:rPr>
        <w:footnoteRef/>
      </w:r>
      <w:r>
        <w:t xml:space="preserve"> Also known as the assigned licence tax formula.</w:t>
      </w:r>
    </w:p>
  </w:footnote>
  <w:footnote w:id="7">
    <w:p w14:paraId="0A3CE1C9" w14:textId="66DD1CE0" w:rsidR="00046DFA" w:rsidRDefault="00046DFA">
      <w:pPr>
        <w:pStyle w:val="FootnoteText"/>
      </w:pPr>
      <w:r>
        <w:rPr>
          <w:rStyle w:val="FootnoteReference"/>
        </w:rPr>
        <w:footnoteRef/>
      </w:r>
      <w:r>
        <w:t xml:space="preserve"> Licences </w:t>
      </w:r>
      <w:r w:rsidR="002D7155">
        <w:t xml:space="preserve">outside of the formula have bespoke pricing arrangements. E.g. </w:t>
      </w:r>
      <w:r w:rsidR="009A121C">
        <w:t xml:space="preserve">high-powered open narrowcasting (see </w:t>
      </w:r>
      <w:r w:rsidR="00E70A89">
        <w:t xml:space="preserve">Division </w:t>
      </w:r>
      <w:r w:rsidR="00BA2CFB">
        <w:t xml:space="preserve">8 of the </w:t>
      </w:r>
      <w:hyperlink r:id="rId1" w:history="1">
        <w:r w:rsidR="00BA2CFB">
          <w:rPr>
            <w:rStyle w:val="Hyperlink"/>
          </w:rPr>
          <w:t>Apparatus licence fee schedule | ACMA</w:t>
        </w:r>
      </w:hyperlink>
      <w:r w:rsidR="00BA2CFB">
        <w:t xml:space="preserve">), or </w:t>
      </w:r>
      <w:r w:rsidR="00C13B3E">
        <w:t xml:space="preserve">assigned licences subject to fixed taxes (see Division 6 of the </w:t>
      </w:r>
      <w:hyperlink r:id="rId2" w:history="1">
        <w:r w:rsidR="00C13B3E">
          <w:rPr>
            <w:rStyle w:val="Hyperlink"/>
          </w:rPr>
          <w:t>Apparatus licence fee schedule | ACMA</w:t>
        </w:r>
      </w:hyperlink>
      <w:r w:rsidR="00C13B3E">
        <w:t xml:space="preserve">). </w:t>
      </w:r>
    </w:p>
  </w:footnote>
  <w:footnote w:id="8">
    <w:p w14:paraId="104FA893" w14:textId="54DFA12D" w:rsidR="00917321" w:rsidRDefault="00917321">
      <w:pPr>
        <w:pStyle w:val="FootnoteText"/>
      </w:pPr>
      <w:r>
        <w:rPr>
          <w:rStyle w:val="FootnoteReference"/>
        </w:rPr>
        <w:footnoteRef/>
      </w:r>
      <w:r>
        <w:t xml:space="preserve"> Further information about specific licence types </w:t>
      </w:r>
      <w:r w:rsidR="00162791">
        <w:t xml:space="preserve">can be found at </w:t>
      </w:r>
      <w:hyperlink r:id="rId3" w:history="1">
        <w:r w:rsidR="00162791">
          <w:rPr>
            <w:rStyle w:val="Hyperlink"/>
          </w:rPr>
          <w:t>Apparatus licences | ACMA</w:t>
        </w:r>
      </w:hyperlink>
      <w:r w:rsidR="00162791">
        <w:t>.</w:t>
      </w:r>
    </w:p>
  </w:footnote>
  <w:footnote w:id="9">
    <w:p w14:paraId="4C22B72D" w14:textId="4AF7B7CF" w:rsidR="007D7F3D" w:rsidRDefault="007D7F3D">
      <w:pPr>
        <w:pStyle w:val="FootnoteText"/>
      </w:pPr>
      <w:r>
        <w:rPr>
          <w:rStyle w:val="FootnoteReference"/>
        </w:rPr>
        <w:footnoteRef/>
      </w:r>
      <w:r>
        <w:t xml:space="preserve"> </w:t>
      </w:r>
      <w:r w:rsidR="00EF3053">
        <w:t>Hertz</w:t>
      </w:r>
      <w:r w:rsidR="000C275F">
        <w:t xml:space="preserve"> (Hz)</w:t>
      </w:r>
      <w:r w:rsidR="00EF3053">
        <w:t xml:space="preserve"> is a measure of the frequency of the spectrum, and a </w:t>
      </w:r>
      <w:r w:rsidR="000C275F">
        <w:t xml:space="preserve">measure of the amount of bandwidth used for a radiocommunications service. A kilohertz (kHz) is 1000 Hz. </w:t>
      </w:r>
    </w:p>
  </w:footnote>
  <w:footnote w:id="10">
    <w:p w14:paraId="6D59EEF5" w14:textId="77777777" w:rsidR="00010D75" w:rsidRPr="003B04C7" w:rsidRDefault="00010D75" w:rsidP="00010D75">
      <w:pPr>
        <w:pStyle w:val="FootnoteText"/>
      </w:pPr>
      <w:r>
        <w:rPr>
          <w:rStyle w:val="FootnoteReference"/>
        </w:rPr>
        <w:footnoteRef/>
      </w:r>
      <w:r>
        <w:t xml:space="preserve"> Commercial broadcasting licensees may be subject to tax imposed by the </w:t>
      </w:r>
      <w:r>
        <w:rPr>
          <w:i/>
          <w:iCs/>
        </w:rPr>
        <w:t>Commercial Broadcasting (Tax) Act 2017</w:t>
      </w:r>
      <w:r>
        <w:t xml:space="preserve">. </w:t>
      </w:r>
    </w:p>
  </w:footnote>
  <w:footnote w:id="11">
    <w:p w14:paraId="4AD495AE" w14:textId="0A51BADC" w:rsidR="00BB5270" w:rsidRDefault="00BB5270">
      <w:pPr>
        <w:pStyle w:val="FootnoteText"/>
      </w:pPr>
      <w:r>
        <w:rPr>
          <w:rStyle w:val="FootnoteReference"/>
        </w:rPr>
        <w:footnoteRef/>
      </w:r>
      <w:r>
        <w:t xml:space="preserve"> 1 </w:t>
      </w:r>
      <w:r w:rsidR="006912B5">
        <w:t>terahertz equals 1</w:t>
      </w:r>
      <w:r w:rsidR="005F6DDD">
        <w:t>,</w:t>
      </w:r>
      <w:r w:rsidR="006912B5">
        <w:t>00</w:t>
      </w:r>
      <w:r w:rsidR="005F6DDD">
        <w:t>0,000,000,000</w:t>
      </w:r>
      <w:r w:rsidR="00DA4873">
        <w:t xml:space="preserve"> hertz.</w:t>
      </w:r>
    </w:p>
  </w:footnote>
  <w:footnote w:id="12">
    <w:p w14:paraId="4C67BDD3" w14:textId="68A711D3" w:rsidR="00EC3418" w:rsidRDefault="00EC3418">
      <w:pPr>
        <w:pStyle w:val="FootnoteText"/>
      </w:pPr>
      <w:r>
        <w:rPr>
          <w:rStyle w:val="FootnoteReference"/>
        </w:rPr>
        <w:footnoteRef/>
      </w:r>
      <w:r>
        <w:t xml:space="preserve"> </w:t>
      </w:r>
      <w:r w:rsidR="0067543D">
        <w:t>In other words, operating in different parts of the licensed bandwidth.</w:t>
      </w:r>
    </w:p>
  </w:footnote>
  <w:footnote w:id="13">
    <w:p w14:paraId="3F4D0F73" w14:textId="77777777" w:rsidR="00D543EA" w:rsidRDefault="00D543EA" w:rsidP="00D543EA">
      <w:pPr>
        <w:pStyle w:val="FootnoteText"/>
      </w:pPr>
      <w:r>
        <w:rPr>
          <w:rStyle w:val="FootnoteReference"/>
        </w:rPr>
        <w:footnoteRef/>
      </w:r>
      <w:r>
        <w:t xml:space="preserve"> </w:t>
      </w:r>
      <w:r w:rsidRPr="00BE4929">
        <w:t xml:space="preserve">The ACMA’s spectrum management decisions are guided by the object of the </w:t>
      </w:r>
      <w:r w:rsidRPr="00A86F5C">
        <w:rPr>
          <w:i/>
          <w:iCs/>
        </w:rPr>
        <w:t>Radiocommunications Act 1992</w:t>
      </w:r>
      <w:r w:rsidRPr="00BE4929">
        <w:t xml:space="preserve"> to promote the long-term public interest derived from the use of the spectrum</w:t>
      </w:r>
    </w:p>
  </w:footnote>
  <w:footnote w:id="14">
    <w:p w14:paraId="7EB9B636" w14:textId="161CE0AA" w:rsidR="00BE4929" w:rsidRDefault="00BE4929">
      <w:pPr>
        <w:pStyle w:val="FootnoteText"/>
      </w:pPr>
      <w:r>
        <w:rPr>
          <w:rStyle w:val="FootnoteReference"/>
        </w:rPr>
        <w:footnoteRef/>
      </w:r>
      <w:r>
        <w:t xml:space="preserve"> </w:t>
      </w:r>
      <w:r w:rsidRPr="00BE4929">
        <w:t xml:space="preserve">The ACMA’s spectrum management decisions are guided by the object of the </w:t>
      </w:r>
      <w:r w:rsidRPr="00A86F5C">
        <w:rPr>
          <w:i/>
          <w:iCs/>
        </w:rPr>
        <w:t>Radiocommunications Act 1992</w:t>
      </w:r>
      <w:r w:rsidRPr="00BE4929">
        <w:t xml:space="preserve"> to promote the </w:t>
      </w:r>
      <w:r w:rsidR="00816654" w:rsidRPr="00BE4929">
        <w:t>long-term</w:t>
      </w:r>
      <w:r w:rsidRPr="00BE4929">
        <w:t xml:space="preserve"> public interest derived from the use of the spectrum</w:t>
      </w:r>
    </w:p>
  </w:footnote>
  <w:footnote w:id="15">
    <w:p w14:paraId="48ED88D1" w14:textId="77777777" w:rsidR="00045915" w:rsidRDefault="00045915" w:rsidP="00045915">
      <w:pPr>
        <w:pStyle w:val="FootnoteText"/>
      </w:pPr>
      <w:r>
        <w:rPr>
          <w:rStyle w:val="FootnoteReference"/>
        </w:rPr>
        <w:footnoteRef/>
      </w:r>
      <w:r>
        <w:t xml:space="preserve"> Recommendation 4: </w:t>
      </w:r>
      <w:r w:rsidRPr="00942CE2">
        <w:t>The ACMA should further identify bands to transition from administratively set fees to competitive market-based allocations in its annual work program.</w:t>
      </w:r>
    </w:p>
  </w:footnote>
  <w:footnote w:id="16">
    <w:p w14:paraId="5BA68E41" w14:textId="77777777" w:rsidR="00045915" w:rsidRDefault="00045915" w:rsidP="00045915">
      <w:pPr>
        <w:pStyle w:val="FootnoteText"/>
      </w:pPr>
      <w:r>
        <w:rPr>
          <w:rStyle w:val="FootnoteReference"/>
        </w:rPr>
        <w:footnoteRef/>
      </w:r>
      <w:r>
        <w:t xml:space="preserve"> The calculator has been offline for a few years.</w:t>
      </w:r>
    </w:p>
  </w:footnote>
  <w:footnote w:id="17">
    <w:p w14:paraId="6C499D7D" w14:textId="77777777" w:rsidR="0009748D" w:rsidRDefault="0009748D" w:rsidP="0009748D">
      <w:pPr>
        <w:pStyle w:val="FootnoteText"/>
      </w:pPr>
      <w:r>
        <w:rPr>
          <w:rStyle w:val="FootnoteReference"/>
        </w:rPr>
        <w:footnoteRef/>
      </w:r>
      <w:r>
        <w:t xml:space="preserve"> </w:t>
      </w:r>
      <w:r w:rsidRPr="005C310E">
        <w:t xml:space="preserve">The ACMA notes that there </w:t>
      </w:r>
      <w:r>
        <w:t>were</w:t>
      </w:r>
      <w:r w:rsidRPr="005C310E">
        <w:t xml:space="preserve"> similarly large relative changes in assignments for &gt;399.9 to 403 MHz in Australia-wide and in the band above 51.4 GHz</w:t>
      </w:r>
      <w:r>
        <w:t>. H</w:t>
      </w:r>
      <w:r w:rsidRPr="005C310E">
        <w:t>owever, we consider these changes are not statistically significant given a low base number of initial assignments in 2005.</w:t>
      </w:r>
    </w:p>
  </w:footnote>
  <w:footnote w:id="18">
    <w:p w14:paraId="25817A74" w14:textId="1634349B" w:rsidR="00C00849" w:rsidRDefault="00C00849">
      <w:pPr>
        <w:pStyle w:val="FootnoteText"/>
      </w:pPr>
      <w:r>
        <w:rPr>
          <w:rStyle w:val="FootnoteReference"/>
        </w:rPr>
        <w:footnoteRef/>
      </w:r>
      <w:r>
        <w:t xml:space="preserve"> </w:t>
      </w:r>
      <w:r w:rsidR="00EB3397">
        <w:t>When the ACMA licen</w:t>
      </w:r>
      <w:r w:rsidR="00265FB8">
        <w:t>s</w:t>
      </w:r>
      <w:r w:rsidR="00EB3397">
        <w:t xml:space="preserve">es a specific device or service then the licensing and planning frameworks effectively deny other potential licensees from using that same spectrum. Some services will deny </w:t>
      </w:r>
      <w:r w:rsidR="00F8664D">
        <w:t xml:space="preserve">more spectrum than others. </w:t>
      </w:r>
      <w:r w:rsidR="00DA44E8">
        <w:t>Generally high</w:t>
      </w:r>
      <w:r w:rsidR="0055001E">
        <w:t>er frequency</w:t>
      </w:r>
      <w:r w:rsidR="00DA44E8">
        <w:t xml:space="preserve"> spectrum</w:t>
      </w:r>
      <w:r w:rsidR="0055001E">
        <w:t xml:space="preserve"> propagate or travel shorter distances and have lower i</w:t>
      </w:r>
      <w:r w:rsidR="00A1478E">
        <w:t>nterference potential</w:t>
      </w:r>
      <w:r w:rsidR="00D01674">
        <w:t>/spectrum denial</w:t>
      </w:r>
      <w:r w:rsidR="00A1478E">
        <w:t xml:space="preserve"> across geography. </w:t>
      </w:r>
      <w:r w:rsidR="00370CE2">
        <w:t xml:space="preserve">This means that there is greater </w:t>
      </w:r>
      <w:r w:rsidR="00897CAD">
        <w:t>spectrum re-use opportunities (</w:t>
      </w:r>
      <w:r w:rsidR="00897CAD">
        <w:t xml:space="preserve">i.e. more ‘supply’ of spectrum in any one </w:t>
      </w:r>
      <w:r w:rsidR="0029344C">
        <w:t xml:space="preserve">location). </w:t>
      </w:r>
    </w:p>
  </w:footnote>
  <w:footnote w:id="19">
    <w:p w14:paraId="118D25BE" w14:textId="630674F7" w:rsidR="00F75677" w:rsidRDefault="00F75677" w:rsidP="00F75677">
      <w:pPr>
        <w:pStyle w:val="FootnoteText"/>
      </w:pPr>
      <w:r>
        <w:rPr>
          <w:rStyle w:val="FootnoteReference"/>
        </w:rPr>
        <w:footnoteRef/>
      </w:r>
      <w:r>
        <w:t xml:space="preserve"> A narrowcasting service is defined in section18 of the </w:t>
      </w:r>
      <w:r w:rsidRPr="006E6ED7">
        <w:rPr>
          <w:i/>
          <w:iCs/>
        </w:rPr>
        <w:t>Broadcasting Services Act 1992</w:t>
      </w:r>
      <w:r w:rsidR="000E69F7">
        <w:rPr>
          <w:i/>
          <w:iCs/>
        </w:rPr>
        <w:t xml:space="preserve">. </w:t>
      </w:r>
    </w:p>
  </w:footnote>
  <w:footnote w:id="20">
    <w:p w14:paraId="4F48A099" w14:textId="77777777" w:rsidR="00E44C95" w:rsidRPr="003B04C7" w:rsidRDefault="00E44C95" w:rsidP="00E44C95">
      <w:pPr>
        <w:pStyle w:val="FootnoteText"/>
      </w:pPr>
      <w:r>
        <w:rPr>
          <w:rStyle w:val="FootnoteReference"/>
        </w:rPr>
        <w:footnoteRef/>
      </w:r>
      <w:r>
        <w:t xml:space="preserve"> Commercial broadcasting licensees may be subject to tax imposed by the </w:t>
      </w:r>
      <w:r>
        <w:rPr>
          <w:i/>
          <w:iCs/>
        </w:rPr>
        <w:t>Commercial Broadcasting (Tax) Act 2017</w:t>
      </w:r>
      <w:r>
        <w:t xml:space="preserve">. </w:t>
      </w:r>
    </w:p>
  </w:footnote>
  <w:footnote w:id="21">
    <w:p w14:paraId="741423E6" w14:textId="77777777" w:rsidR="00B0381B" w:rsidRDefault="00B0381B" w:rsidP="00B0381B">
      <w:pPr>
        <w:pStyle w:val="FootnoteText"/>
      </w:pPr>
      <w:r>
        <w:rPr>
          <w:rStyle w:val="FootnoteReference"/>
        </w:rPr>
        <w:footnoteRef/>
      </w:r>
      <w:r>
        <w:t xml:space="preserve"> A ‘</w:t>
      </w:r>
      <w:r w:rsidRPr="00495F53">
        <w:t>significant urban area</w:t>
      </w:r>
      <w:r>
        <w:t>’</w:t>
      </w:r>
      <w:r w:rsidRPr="00495F53">
        <w:t xml:space="preserve"> is the area of that name described by the Australian Bureau of Statistics as a significant urban area in 1270.0.55.004 – Australian Statistical Geographic Standard (ASGS): Volume 4 – Significant Urban Areas, Urban Centres and Localities, Section of State, July 2016</w:t>
      </w:r>
      <w:r>
        <w:t xml:space="preserve">. </w:t>
      </w:r>
      <w:r>
        <w:rPr>
          <w:color w:val="202124"/>
        </w:rPr>
        <w:t xml:space="preserve">Significant Urban Areas (SUAs) </w:t>
      </w:r>
      <w:r w:rsidRPr="00B0381B">
        <w:rPr>
          <w:color w:val="202124"/>
        </w:rPr>
        <w:t>represent individual Urban Centres or clusters of related Urban Centres with a core urban population over 10,000 people.</w:t>
      </w:r>
      <w:r>
        <w:rPr>
          <w:color w:val="202124"/>
        </w:rPr>
        <w:t xml:space="preserve"> Urban Centres and Localities (UCLs) are aggregations of SA1s which meet population density criteria or contain other urban infrastructure.</w:t>
      </w:r>
    </w:p>
  </w:footnote>
  <w:footnote w:id="22">
    <w:p w14:paraId="3449729C" w14:textId="77777777" w:rsidR="00570CF6" w:rsidRDefault="00570CF6" w:rsidP="00570CF6">
      <w:pPr>
        <w:pStyle w:val="FootnoteText"/>
      </w:pPr>
      <w:r>
        <w:rPr>
          <w:rStyle w:val="FootnoteReference"/>
        </w:rPr>
        <w:footnoteRef/>
      </w:r>
      <w:r>
        <w:t xml:space="preserve"> </w:t>
      </w:r>
      <w:r w:rsidRPr="005B3C5E">
        <w:t xml:space="preserve">Note that there </w:t>
      </w:r>
      <w:r>
        <w:t xml:space="preserve">are </w:t>
      </w:r>
      <w:r w:rsidRPr="005B3C5E">
        <w:t xml:space="preserve">only </w:t>
      </w:r>
      <w:r>
        <w:t xml:space="preserve">a handful of </w:t>
      </w:r>
      <w:r w:rsidRPr="005B3C5E">
        <w:t>HPON</w:t>
      </w:r>
      <w:r>
        <w:t xml:space="preserve"> licences that authorise the provision of open narrowcasting television services</w:t>
      </w:r>
      <w:r w:rsidRPr="005B3C5E">
        <w:t xml:space="preserve">. Despite </w:t>
      </w:r>
      <w:r>
        <w:t>television</w:t>
      </w:r>
      <w:r w:rsidRPr="005B3C5E">
        <w:t xml:space="preserve"> using larger channels than radio, for simplicity the ACMA proposes to </w:t>
      </w:r>
      <w:r>
        <w:t>tax</w:t>
      </w:r>
      <w:r w:rsidRPr="005B3C5E">
        <w:t xml:space="preserve"> </w:t>
      </w:r>
      <w:r>
        <w:t>these</w:t>
      </w:r>
      <w:r w:rsidRPr="005B3C5E">
        <w:t xml:space="preserve"> HPON</w:t>
      </w:r>
      <w:r>
        <w:t xml:space="preserve"> licences</w:t>
      </w:r>
      <w:r w:rsidRPr="005B3C5E">
        <w:t xml:space="preserve"> </w:t>
      </w:r>
      <w:r>
        <w:t xml:space="preserve">on an </w:t>
      </w:r>
      <w:r w:rsidRPr="005B3C5E">
        <w:t xml:space="preserve">equivalent </w:t>
      </w:r>
      <w:r>
        <w:t>basis as</w:t>
      </w:r>
      <w:r w:rsidRPr="005B3C5E">
        <w:t xml:space="preserve"> HPON</w:t>
      </w:r>
      <w:r>
        <w:t xml:space="preserve"> licence</w:t>
      </w:r>
      <w:r w:rsidRPr="005B3C5E">
        <w:t>s</w:t>
      </w:r>
      <w:r>
        <w:t xml:space="preserve"> used to provide FM radio services.</w:t>
      </w:r>
    </w:p>
  </w:footnote>
  <w:footnote w:id="23">
    <w:p w14:paraId="5E39FCB5" w14:textId="0248B86E" w:rsidR="00475301" w:rsidRDefault="00475301">
      <w:pPr>
        <w:pStyle w:val="FootnoteText"/>
      </w:pPr>
      <w:r>
        <w:rPr>
          <w:rStyle w:val="FootnoteReference"/>
        </w:rPr>
        <w:footnoteRef/>
      </w:r>
      <w:r>
        <w:t xml:space="preserve"> Clause (a) </w:t>
      </w:r>
      <w:r w:rsidR="006545F7">
        <w:t xml:space="preserve">remains the same </w:t>
      </w:r>
      <w:r w:rsidR="00FA21D5">
        <w:t xml:space="preserve">for current and proposed definitions and </w:t>
      </w:r>
      <w:r>
        <w:t xml:space="preserve">is excluded </w:t>
      </w:r>
      <w:r w:rsidR="00FA21D5">
        <w:t xml:space="preserve">here </w:t>
      </w:r>
      <w:r w:rsidR="006545F7">
        <w:t xml:space="preserve">for simplicity. </w:t>
      </w:r>
    </w:p>
  </w:footnote>
  <w:footnote w:id="24">
    <w:p w14:paraId="0EFDCA35" w14:textId="5358284B" w:rsidR="00FA21D5" w:rsidRDefault="00FA21D5">
      <w:pPr>
        <w:pStyle w:val="FootnoteText"/>
      </w:pPr>
      <w:r>
        <w:rPr>
          <w:rStyle w:val="FootnoteReference"/>
        </w:rPr>
        <w:footnoteRef/>
      </w:r>
      <w:r>
        <w:t xml:space="preserve"> Clause (a) remains the same for current and proposed definitions and is excluded here for simplicity.</w:t>
      </w:r>
    </w:p>
  </w:footnote>
  <w:footnote w:id="25">
    <w:p w14:paraId="162E155C" w14:textId="77777777" w:rsidR="00F3469E" w:rsidRDefault="00F3469E" w:rsidP="00F3469E">
      <w:pPr>
        <w:pStyle w:val="FootnoteText"/>
      </w:pPr>
      <w:r>
        <w:rPr>
          <w:rStyle w:val="FootnoteReference"/>
        </w:rPr>
        <w:footnoteRef/>
      </w:r>
      <w:r>
        <w:t xml:space="preserve"> Clause (a) remains the same for current and proposed definitions and is excluded here for simplicity.</w:t>
      </w:r>
    </w:p>
  </w:footnote>
  <w:footnote w:id="26">
    <w:p w14:paraId="49356D10" w14:textId="77777777" w:rsidR="00A60B29" w:rsidRDefault="00A60B29" w:rsidP="00A60B29">
      <w:pPr>
        <w:pStyle w:val="FootnoteText"/>
      </w:pPr>
      <w:r>
        <w:rPr>
          <w:rStyle w:val="FootnoteReference"/>
        </w:rPr>
        <w:footnoteRef/>
      </w:r>
      <w:r>
        <w:t xml:space="preserve"> Geostationary or non-geostationary.</w:t>
      </w:r>
    </w:p>
  </w:footnote>
  <w:footnote w:id="27">
    <w:p w14:paraId="537FD1FD" w14:textId="77777777" w:rsidR="000D55DA" w:rsidRDefault="000D55DA" w:rsidP="000D55DA">
      <w:pPr>
        <w:pStyle w:val="FootnoteText"/>
      </w:pPr>
      <w:r>
        <w:rPr>
          <w:rStyle w:val="FootnoteReference"/>
        </w:rPr>
        <w:footnoteRef/>
      </w:r>
      <w:r>
        <w:t xml:space="preserve"> Recommendation 1: </w:t>
      </w:r>
      <w:r w:rsidRPr="00A2365E">
        <w:t>The ACMA should publish guidelines on how it approaches its spectrum pricing decisions.</w:t>
      </w:r>
    </w:p>
  </w:footnote>
  <w:footnote w:id="28">
    <w:p w14:paraId="69A7C2BB" w14:textId="77777777" w:rsidR="000D55DA" w:rsidRDefault="000D55DA" w:rsidP="000D55DA">
      <w:pPr>
        <w:pStyle w:val="FootnoteText"/>
      </w:pPr>
      <w:r>
        <w:rPr>
          <w:rStyle w:val="FootnoteReference"/>
        </w:rPr>
        <w:footnoteRef/>
      </w:r>
      <w:r>
        <w:t xml:space="preserve"> Recommendation 4: </w:t>
      </w:r>
      <w:r w:rsidRPr="00942CE2">
        <w:t>The ACMA should further identify bands to transition from administratively set fees to competitive market-based allocations in its annual work program.</w:t>
      </w:r>
    </w:p>
  </w:footnote>
  <w:footnote w:id="29">
    <w:p w14:paraId="63E66862" w14:textId="77777777" w:rsidR="000D55DA" w:rsidRDefault="000D55DA" w:rsidP="000D55DA">
      <w:pPr>
        <w:pStyle w:val="FootnoteText"/>
      </w:pPr>
      <w:r>
        <w:rPr>
          <w:rStyle w:val="FootnoteReference"/>
        </w:rPr>
        <w:footnoteRef/>
      </w:r>
      <w:r>
        <w:t xml:space="preserve"> The calculator has been offline for a few years.</w:t>
      </w:r>
    </w:p>
  </w:footnote>
  <w:footnote w:id="30">
    <w:p w14:paraId="0DE4FF2A" w14:textId="0B100958" w:rsidR="00EB2CAE" w:rsidRDefault="00EB2CAE">
      <w:pPr>
        <w:pStyle w:val="FootnoteText"/>
      </w:pPr>
      <w:r>
        <w:rPr>
          <w:rStyle w:val="FootnoteReference"/>
        </w:rPr>
        <w:footnoteRef/>
      </w:r>
      <w:r>
        <w:t xml:space="preserve"> Disaggregated data was </w:t>
      </w:r>
      <w:r w:rsidR="006B49D1">
        <w:t>not readily available before 2010.</w:t>
      </w:r>
    </w:p>
  </w:footnote>
  <w:footnote w:id="31">
    <w:p w14:paraId="616F80FA" w14:textId="77777777" w:rsidR="00303106" w:rsidRDefault="00303106" w:rsidP="00303106">
      <w:pPr>
        <w:pStyle w:val="FootnoteText"/>
        <w:spacing w:line="200" w:lineRule="atLeast"/>
        <w:ind w:left="120" w:hanging="120"/>
        <w:rPr>
          <w:sz w:val="18"/>
          <w:szCs w:val="18"/>
        </w:rPr>
      </w:pPr>
      <w:r w:rsidRPr="00784929">
        <w:rPr>
          <w:rStyle w:val="FootnoteReference"/>
          <w:rFonts w:cs="Arial"/>
        </w:rPr>
        <w:footnoteRef/>
      </w:r>
      <w:r w:rsidRPr="00784929">
        <w:rPr>
          <w:rFonts w:cs="Arial"/>
          <w:b/>
        </w:rPr>
        <w:t xml:space="preserve"> </w:t>
      </w:r>
      <w:r w:rsidRPr="00784929">
        <w:rPr>
          <w:rFonts w:cs="Arial"/>
        </w:rPr>
        <w:t xml:space="preserve">Local terrain clutter may reduce practicably achievable ranges to substantially less than a </w:t>
      </w:r>
      <w:r>
        <w:rPr>
          <w:rFonts w:cs="Arial"/>
        </w:rPr>
        <w:t>2-</w:t>
      </w:r>
      <w:r w:rsidRPr="00784929">
        <w:rPr>
          <w:rFonts w:cs="Arial"/>
        </w:rPr>
        <w:t>kilometre radius.</w:t>
      </w:r>
      <w:r w:rsidRPr="00784929">
        <w:rPr>
          <w:rFonts w:cs="Arial"/>
          <w:b/>
        </w:rPr>
        <w:t xml:space="preserve"> </w:t>
      </w:r>
      <w:r w:rsidRPr="00784929">
        <w:rPr>
          <w:rFonts w:cs="Arial"/>
        </w:rPr>
        <w:t xml:space="preserve">Frequency re-use distances applicable to low power spectrum accesses are such that ranges will ultimately be interference limited to a maximum of approximately </w:t>
      </w:r>
      <w:r>
        <w:rPr>
          <w:rFonts w:cs="Arial"/>
        </w:rPr>
        <w:t>2</w:t>
      </w:r>
      <w:r w:rsidRPr="00784929">
        <w:rPr>
          <w:rFonts w:cs="Arial"/>
        </w:rPr>
        <w:t xml:space="preserve"> kilometres.</w:t>
      </w:r>
    </w:p>
  </w:footnote>
  <w:footnote w:id="32">
    <w:p w14:paraId="0DB3DE26" w14:textId="77777777" w:rsidR="00303106" w:rsidRDefault="00303106" w:rsidP="00303106">
      <w:pPr>
        <w:pStyle w:val="FootnoteText"/>
      </w:pPr>
      <w:r>
        <w:rPr>
          <w:rStyle w:val="FootnoteReference"/>
        </w:rPr>
        <w:footnoteRef/>
      </w:r>
      <w:r>
        <w:t xml:space="preserve"> See </w:t>
      </w:r>
      <w:hyperlink r:id="rId4" w:history="1">
        <w:r w:rsidRPr="00311617">
          <w:rPr>
            <w:rStyle w:val="Hyperlink"/>
          </w:rPr>
          <w:t>RALI LM8</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85C1" w14:textId="77777777" w:rsidR="003A4574" w:rsidRPr="00A5474E" w:rsidRDefault="003A4574" w:rsidP="00DF4F2E">
    <w:pPr>
      <w:pStyle w:val="Header"/>
    </w:pPr>
    <w:r>
      <w:rPr>
        <w:noProof/>
      </w:rPr>
      <w:drawing>
        <wp:inline distT="0" distB="0" distL="0" distR="0" wp14:anchorId="0D543A40" wp14:editId="734B72E7">
          <wp:extent cx="6283434" cy="578076"/>
          <wp:effectExtent l="0" t="0" r="3175" b="0"/>
          <wp:docPr id="2" name="Picture 2"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2024" w14:textId="77777777" w:rsidR="003A4574" w:rsidRPr="00A5474E" w:rsidRDefault="003A4574" w:rsidP="00DF4F2E">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0A95" w14:textId="77777777" w:rsidR="003A4574" w:rsidRDefault="003A45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52EB" w14:textId="77777777" w:rsidR="003A4574" w:rsidRDefault="003A45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3A4574" w14:paraId="39B2BFF0" w14:textId="77777777" w:rsidTr="00DF4F2E">
      <w:trPr>
        <w:trHeight w:hRule="exact" w:val="988"/>
      </w:trPr>
      <w:tc>
        <w:tcPr>
          <w:tcW w:w="7678" w:type="dxa"/>
          <w:shd w:val="clear" w:color="auto" w:fill="auto"/>
        </w:tcPr>
        <w:p w14:paraId="104ECA47" w14:textId="77777777" w:rsidR="003A4574" w:rsidRDefault="003A4574" w:rsidP="00DF4F2E">
          <w:pPr>
            <w:pStyle w:val="Header"/>
          </w:pPr>
        </w:p>
      </w:tc>
    </w:tr>
    <w:tr w:rsidR="003A4574" w14:paraId="7FE5C551" w14:textId="77777777" w:rsidTr="00DF4F2E">
      <w:tc>
        <w:tcPr>
          <w:tcW w:w="7678" w:type="dxa"/>
          <w:shd w:val="clear" w:color="auto" w:fill="auto"/>
        </w:tcPr>
        <w:p w14:paraId="197A323B" w14:textId="77777777" w:rsidR="003A4574" w:rsidRDefault="003A4574" w:rsidP="00DF4F2E">
          <w:pPr>
            <w:pStyle w:val="GridTable31"/>
          </w:pPr>
          <w:r>
            <w:t xml:space="preserve">Contents </w:t>
          </w:r>
          <w:r w:rsidRPr="00915B1C">
            <w:rPr>
              <w:b w:val="0"/>
              <w:spacing w:val="0"/>
              <w:sz w:val="28"/>
              <w:szCs w:val="28"/>
            </w:rPr>
            <w:t>(Continued)</w:t>
          </w:r>
        </w:p>
      </w:tc>
    </w:tr>
    <w:tr w:rsidR="003A4574" w14:paraId="34D332F2" w14:textId="77777777" w:rsidTr="00DF4F2E">
      <w:trPr>
        <w:trHeight w:val="1220"/>
      </w:trPr>
      <w:tc>
        <w:tcPr>
          <w:tcW w:w="7678" w:type="dxa"/>
          <w:shd w:val="clear" w:color="auto" w:fill="auto"/>
        </w:tcPr>
        <w:p w14:paraId="2CCFA3FF" w14:textId="77777777" w:rsidR="003A4574" w:rsidRDefault="003A4574" w:rsidP="00DF4F2E"/>
      </w:tc>
    </w:tr>
  </w:tbl>
  <w:p w14:paraId="2556486E" w14:textId="77777777" w:rsidR="003A4574" w:rsidRDefault="003A4574" w:rsidP="00DF4F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3A4574" w14:paraId="46AD3C58" w14:textId="77777777" w:rsidTr="00DF4F2E">
      <w:trPr>
        <w:trHeight w:hRule="exact" w:val="988"/>
      </w:trPr>
      <w:tc>
        <w:tcPr>
          <w:tcW w:w="7678" w:type="dxa"/>
          <w:shd w:val="clear" w:color="auto" w:fill="auto"/>
        </w:tcPr>
        <w:p w14:paraId="0805196E" w14:textId="77777777" w:rsidR="003A4574" w:rsidRDefault="003A4574" w:rsidP="00DF4F2E">
          <w:pPr>
            <w:pStyle w:val="Header"/>
          </w:pPr>
        </w:p>
      </w:tc>
    </w:tr>
    <w:tr w:rsidR="003A4574" w14:paraId="79414C9E" w14:textId="77777777" w:rsidTr="00DF4F2E">
      <w:tc>
        <w:tcPr>
          <w:tcW w:w="7678" w:type="dxa"/>
          <w:shd w:val="clear" w:color="auto" w:fill="auto"/>
        </w:tcPr>
        <w:p w14:paraId="7EF0DC53" w14:textId="77777777" w:rsidR="003A4574" w:rsidRDefault="003A4574" w:rsidP="00DF4F2E">
          <w:pPr>
            <w:pStyle w:val="GridTable31"/>
          </w:pPr>
          <w:r>
            <w:t xml:space="preserve">Contents </w:t>
          </w:r>
          <w:r w:rsidRPr="00915B1C">
            <w:rPr>
              <w:b w:val="0"/>
              <w:spacing w:val="0"/>
              <w:sz w:val="28"/>
              <w:szCs w:val="28"/>
            </w:rPr>
            <w:t>(Continued)</w:t>
          </w:r>
        </w:p>
      </w:tc>
    </w:tr>
    <w:tr w:rsidR="003A4574" w14:paraId="047A423C" w14:textId="77777777" w:rsidTr="00DF4F2E">
      <w:trPr>
        <w:trHeight w:val="1220"/>
      </w:trPr>
      <w:tc>
        <w:tcPr>
          <w:tcW w:w="7678" w:type="dxa"/>
          <w:shd w:val="clear" w:color="auto" w:fill="auto"/>
        </w:tcPr>
        <w:p w14:paraId="59253BF6" w14:textId="77777777" w:rsidR="003A4574" w:rsidRDefault="003A4574" w:rsidP="00DF4F2E"/>
      </w:tc>
    </w:tr>
  </w:tbl>
  <w:p w14:paraId="614BA08E" w14:textId="77777777" w:rsidR="003A4574" w:rsidRPr="00A5474E" w:rsidRDefault="003A4574" w:rsidP="00DF4F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D6FE" w14:textId="77777777" w:rsidR="003A4574" w:rsidRDefault="003A45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61FC" w14:textId="77777777" w:rsidR="003A4574" w:rsidRDefault="003A4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40660C5C"/>
    <w:lvl w:ilvl="0">
      <w:start w:val="1"/>
      <w:numFmt w:val="bullet"/>
      <w:pStyle w:val="ListBullet"/>
      <w:lvlText w:val=""/>
      <w:lvlJc w:val="left"/>
      <w:pPr>
        <w:ind w:left="720" w:hanging="360"/>
      </w:pPr>
      <w:rPr>
        <w:rFonts w:ascii="Symbol" w:hAnsi="Symbol" w:hint="default"/>
        <w:sz w:val="20"/>
      </w:rPr>
    </w:lvl>
  </w:abstractNum>
  <w:abstractNum w:abstractNumId="4" w15:restartNumberingAfterBreak="0">
    <w:nsid w:val="048519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2D4882"/>
    <w:multiLevelType w:val="hybridMultilevel"/>
    <w:tmpl w:val="BC242968"/>
    <w:lvl w:ilvl="0" w:tplc="06F8ADF4">
      <w:start w:val="1"/>
      <w:numFmt w:val="bullet"/>
      <w:lvlText w:val="&gt;"/>
      <w:lvlJc w:val="left"/>
      <w:pPr>
        <w:ind w:left="720" w:hanging="360"/>
      </w:pPr>
      <w:rPr>
        <w:rFonts w:ascii="HelveticaNeueLT Std Lt" w:hAnsi="HelveticaNeueLT Std Lt" w:hint="default"/>
      </w:rPr>
    </w:lvl>
    <w:lvl w:ilvl="1" w:tplc="DBA632E2">
      <w:start w:val="1"/>
      <w:numFmt w:val="bullet"/>
      <w:lvlText w:val="o"/>
      <w:lvlJc w:val="left"/>
      <w:pPr>
        <w:ind w:left="1440" w:hanging="360"/>
      </w:pPr>
      <w:rPr>
        <w:rFonts w:ascii="Courier New" w:hAnsi="Courier New" w:hint="default"/>
      </w:rPr>
    </w:lvl>
    <w:lvl w:ilvl="2" w:tplc="81306F46">
      <w:start w:val="1"/>
      <w:numFmt w:val="bullet"/>
      <w:lvlText w:val=""/>
      <w:lvlJc w:val="left"/>
      <w:pPr>
        <w:ind w:left="2160" w:hanging="360"/>
      </w:pPr>
      <w:rPr>
        <w:rFonts w:ascii="Wingdings" w:hAnsi="Wingdings" w:hint="default"/>
      </w:rPr>
    </w:lvl>
    <w:lvl w:ilvl="3" w:tplc="50C4C1F4">
      <w:start w:val="1"/>
      <w:numFmt w:val="bullet"/>
      <w:lvlText w:val=""/>
      <w:lvlJc w:val="left"/>
      <w:pPr>
        <w:ind w:left="2880" w:hanging="360"/>
      </w:pPr>
      <w:rPr>
        <w:rFonts w:ascii="Symbol" w:hAnsi="Symbol" w:hint="default"/>
      </w:rPr>
    </w:lvl>
    <w:lvl w:ilvl="4" w:tplc="484E34DC">
      <w:start w:val="1"/>
      <w:numFmt w:val="bullet"/>
      <w:lvlText w:val="o"/>
      <w:lvlJc w:val="left"/>
      <w:pPr>
        <w:ind w:left="3600" w:hanging="360"/>
      </w:pPr>
      <w:rPr>
        <w:rFonts w:ascii="Courier New" w:hAnsi="Courier New" w:hint="default"/>
      </w:rPr>
    </w:lvl>
    <w:lvl w:ilvl="5" w:tplc="2430BF5E">
      <w:start w:val="1"/>
      <w:numFmt w:val="bullet"/>
      <w:lvlText w:val=""/>
      <w:lvlJc w:val="left"/>
      <w:pPr>
        <w:ind w:left="4320" w:hanging="360"/>
      </w:pPr>
      <w:rPr>
        <w:rFonts w:ascii="Wingdings" w:hAnsi="Wingdings" w:hint="default"/>
      </w:rPr>
    </w:lvl>
    <w:lvl w:ilvl="6" w:tplc="1A7C88A6">
      <w:start w:val="1"/>
      <w:numFmt w:val="bullet"/>
      <w:lvlText w:val=""/>
      <w:lvlJc w:val="left"/>
      <w:pPr>
        <w:ind w:left="5040" w:hanging="360"/>
      </w:pPr>
      <w:rPr>
        <w:rFonts w:ascii="Symbol" w:hAnsi="Symbol" w:hint="default"/>
      </w:rPr>
    </w:lvl>
    <w:lvl w:ilvl="7" w:tplc="C3A66CDC">
      <w:start w:val="1"/>
      <w:numFmt w:val="bullet"/>
      <w:lvlText w:val="o"/>
      <w:lvlJc w:val="left"/>
      <w:pPr>
        <w:ind w:left="5760" w:hanging="360"/>
      </w:pPr>
      <w:rPr>
        <w:rFonts w:ascii="Courier New" w:hAnsi="Courier New" w:hint="default"/>
      </w:rPr>
    </w:lvl>
    <w:lvl w:ilvl="8" w:tplc="B6AC8424">
      <w:start w:val="1"/>
      <w:numFmt w:val="bullet"/>
      <w:lvlText w:val=""/>
      <w:lvlJc w:val="left"/>
      <w:pPr>
        <w:ind w:left="6480" w:hanging="360"/>
      </w:pPr>
      <w:rPr>
        <w:rFonts w:ascii="Wingdings" w:hAnsi="Wingdings" w:hint="default"/>
      </w:rPr>
    </w:lvl>
  </w:abstractNum>
  <w:abstractNum w:abstractNumId="6"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DAA5833"/>
    <w:multiLevelType w:val="hybridMultilevel"/>
    <w:tmpl w:val="C2BAE2EE"/>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8" w15:restartNumberingAfterBreak="0">
    <w:nsid w:val="135A1643"/>
    <w:multiLevelType w:val="multilevel"/>
    <w:tmpl w:val="76B0B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EE495C"/>
    <w:multiLevelType w:val="hybridMultilevel"/>
    <w:tmpl w:val="1D8498B0"/>
    <w:lvl w:ilvl="0" w:tplc="A332420E">
      <w:start w:val="1"/>
      <w:numFmt w:val="lowerLetter"/>
      <w:pStyle w:val="ACMAletteredlist"/>
      <w:lvlText w:val="%1."/>
      <w:lvlJc w:val="left"/>
      <w:pPr>
        <w:tabs>
          <w:tab w:val="num" w:pos="360"/>
        </w:tabs>
        <w:ind w:left="360" w:hanging="360"/>
      </w:pPr>
    </w:lvl>
    <w:lvl w:ilvl="1" w:tplc="8EDAE56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E24344"/>
    <w:multiLevelType w:val="multilevel"/>
    <w:tmpl w:val="824C096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872552C"/>
    <w:multiLevelType w:val="hybridMultilevel"/>
    <w:tmpl w:val="1480EAFC"/>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2" w15:restartNumberingAfterBreak="0">
    <w:nsid w:val="2A8320C4"/>
    <w:multiLevelType w:val="multilevel"/>
    <w:tmpl w:val="8D9C21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CD3594D"/>
    <w:multiLevelType w:val="hybridMultilevel"/>
    <w:tmpl w:val="07EC3F02"/>
    <w:lvl w:ilvl="0" w:tplc="63ECED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324A0782"/>
    <w:multiLevelType w:val="multilevel"/>
    <w:tmpl w:val="54B065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523718"/>
    <w:multiLevelType w:val="hybridMultilevel"/>
    <w:tmpl w:val="B3EE4190"/>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7" w15:restartNumberingAfterBreak="0">
    <w:nsid w:val="401223C4"/>
    <w:multiLevelType w:val="hybridMultilevel"/>
    <w:tmpl w:val="B156A8A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8" w15:restartNumberingAfterBreak="0">
    <w:nsid w:val="498F4599"/>
    <w:multiLevelType w:val="hybridMultilevel"/>
    <w:tmpl w:val="8DB0378E"/>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9" w15:restartNumberingAfterBreak="0">
    <w:nsid w:val="4BE83541"/>
    <w:multiLevelType w:val="hybridMultilevel"/>
    <w:tmpl w:val="02AAB328"/>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20" w15:restartNumberingAfterBreak="0">
    <w:nsid w:val="51852521"/>
    <w:multiLevelType w:val="multilevel"/>
    <w:tmpl w:val="3E001B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0471D"/>
    <w:multiLevelType w:val="hybridMultilevel"/>
    <w:tmpl w:val="B4EAE36C"/>
    <w:lvl w:ilvl="0" w:tplc="0C090001">
      <w:start w:val="1"/>
      <w:numFmt w:val="bullet"/>
      <w:lvlText w:val=""/>
      <w:lvlJc w:val="left"/>
      <w:pPr>
        <w:ind w:left="1898" w:hanging="360"/>
      </w:pPr>
      <w:rPr>
        <w:rFonts w:ascii="Symbol" w:hAnsi="Symbol" w:hint="default"/>
      </w:rPr>
    </w:lvl>
    <w:lvl w:ilvl="1" w:tplc="0C090003" w:tentative="1">
      <w:start w:val="1"/>
      <w:numFmt w:val="bullet"/>
      <w:lvlText w:val="o"/>
      <w:lvlJc w:val="left"/>
      <w:pPr>
        <w:ind w:left="2618" w:hanging="360"/>
      </w:pPr>
      <w:rPr>
        <w:rFonts w:ascii="Courier New" w:hAnsi="Courier New" w:cs="Courier New" w:hint="default"/>
      </w:rPr>
    </w:lvl>
    <w:lvl w:ilvl="2" w:tplc="0C090005" w:tentative="1">
      <w:start w:val="1"/>
      <w:numFmt w:val="bullet"/>
      <w:lvlText w:val=""/>
      <w:lvlJc w:val="left"/>
      <w:pPr>
        <w:ind w:left="3338" w:hanging="360"/>
      </w:pPr>
      <w:rPr>
        <w:rFonts w:ascii="Wingdings" w:hAnsi="Wingdings" w:hint="default"/>
      </w:rPr>
    </w:lvl>
    <w:lvl w:ilvl="3" w:tplc="0C090001" w:tentative="1">
      <w:start w:val="1"/>
      <w:numFmt w:val="bullet"/>
      <w:lvlText w:val=""/>
      <w:lvlJc w:val="left"/>
      <w:pPr>
        <w:ind w:left="4058" w:hanging="360"/>
      </w:pPr>
      <w:rPr>
        <w:rFonts w:ascii="Symbol" w:hAnsi="Symbol" w:hint="default"/>
      </w:rPr>
    </w:lvl>
    <w:lvl w:ilvl="4" w:tplc="0C090003" w:tentative="1">
      <w:start w:val="1"/>
      <w:numFmt w:val="bullet"/>
      <w:lvlText w:val="o"/>
      <w:lvlJc w:val="left"/>
      <w:pPr>
        <w:ind w:left="4778" w:hanging="360"/>
      </w:pPr>
      <w:rPr>
        <w:rFonts w:ascii="Courier New" w:hAnsi="Courier New" w:cs="Courier New" w:hint="default"/>
      </w:rPr>
    </w:lvl>
    <w:lvl w:ilvl="5" w:tplc="0C090005" w:tentative="1">
      <w:start w:val="1"/>
      <w:numFmt w:val="bullet"/>
      <w:lvlText w:val=""/>
      <w:lvlJc w:val="left"/>
      <w:pPr>
        <w:ind w:left="5498" w:hanging="360"/>
      </w:pPr>
      <w:rPr>
        <w:rFonts w:ascii="Wingdings" w:hAnsi="Wingdings" w:hint="default"/>
      </w:rPr>
    </w:lvl>
    <w:lvl w:ilvl="6" w:tplc="0C090001" w:tentative="1">
      <w:start w:val="1"/>
      <w:numFmt w:val="bullet"/>
      <w:lvlText w:val=""/>
      <w:lvlJc w:val="left"/>
      <w:pPr>
        <w:ind w:left="6218" w:hanging="360"/>
      </w:pPr>
      <w:rPr>
        <w:rFonts w:ascii="Symbol" w:hAnsi="Symbol" w:hint="default"/>
      </w:rPr>
    </w:lvl>
    <w:lvl w:ilvl="7" w:tplc="0C090003" w:tentative="1">
      <w:start w:val="1"/>
      <w:numFmt w:val="bullet"/>
      <w:lvlText w:val="o"/>
      <w:lvlJc w:val="left"/>
      <w:pPr>
        <w:ind w:left="6938" w:hanging="360"/>
      </w:pPr>
      <w:rPr>
        <w:rFonts w:ascii="Courier New" w:hAnsi="Courier New" w:cs="Courier New" w:hint="default"/>
      </w:rPr>
    </w:lvl>
    <w:lvl w:ilvl="8" w:tplc="0C090005" w:tentative="1">
      <w:start w:val="1"/>
      <w:numFmt w:val="bullet"/>
      <w:lvlText w:val=""/>
      <w:lvlJc w:val="left"/>
      <w:pPr>
        <w:ind w:left="7658" w:hanging="360"/>
      </w:pPr>
      <w:rPr>
        <w:rFonts w:ascii="Wingdings" w:hAnsi="Wingdings" w:hint="default"/>
      </w:rPr>
    </w:lvl>
  </w:abstractNum>
  <w:abstractNum w:abstractNumId="23" w15:restartNumberingAfterBreak="0">
    <w:nsid w:val="5D8E4B41"/>
    <w:multiLevelType w:val="multilevel"/>
    <w:tmpl w:val="9A508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AF2BEA"/>
    <w:multiLevelType w:val="hybridMultilevel"/>
    <w:tmpl w:val="F9BA1AF0"/>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25"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711F3"/>
    <w:multiLevelType w:val="multilevel"/>
    <w:tmpl w:val="A424A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596103"/>
    <w:multiLevelType w:val="multilevel"/>
    <w:tmpl w:val="F1E4668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D757AE6"/>
    <w:multiLevelType w:val="hybridMultilevel"/>
    <w:tmpl w:val="DE38A93E"/>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067125"/>
    <w:multiLevelType w:val="multilevel"/>
    <w:tmpl w:val="EA32F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7C2659"/>
    <w:multiLevelType w:val="hybridMultilevel"/>
    <w:tmpl w:val="DC1EF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4"/>
  </w:num>
  <w:num w:numId="6">
    <w:abstractNumId w:val="26"/>
  </w:num>
  <w:num w:numId="7">
    <w:abstractNumId w:val="21"/>
  </w:num>
  <w:num w:numId="8">
    <w:abstractNumId w:val="25"/>
  </w:num>
  <w:num w:numId="9">
    <w:abstractNumId w:val="29"/>
  </w:num>
  <w:num w:numId="10">
    <w:abstractNumId w:val="9"/>
  </w:num>
  <w:num w:numId="11">
    <w:abstractNumId w:val="2"/>
    <w:lvlOverride w:ilvl="0">
      <w:startOverride w:val="1"/>
    </w:lvlOverride>
  </w:num>
  <w:num w:numId="12">
    <w:abstractNumId w:val="15"/>
  </w:num>
  <w:num w:numId="13">
    <w:abstractNumId w:val="28"/>
  </w:num>
  <w:num w:numId="14">
    <w:abstractNumId w:val="12"/>
  </w:num>
  <w:num w:numId="15">
    <w:abstractNumId w:val="10"/>
  </w:num>
  <w:num w:numId="16">
    <w:abstractNumId w:val="20"/>
  </w:num>
  <w:num w:numId="17">
    <w:abstractNumId w:val="5"/>
  </w:num>
  <w:num w:numId="18">
    <w:abstractNumId w:val="6"/>
  </w:num>
  <w:num w:numId="19">
    <w:abstractNumId w:val="4"/>
  </w:num>
  <w:num w:numId="20">
    <w:abstractNumId w:val="7"/>
  </w:num>
  <w:num w:numId="21">
    <w:abstractNumId w:val="11"/>
  </w:num>
  <w:num w:numId="22">
    <w:abstractNumId w:val="17"/>
  </w:num>
  <w:num w:numId="23">
    <w:abstractNumId w:val="16"/>
  </w:num>
  <w:num w:numId="24">
    <w:abstractNumId w:val="19"/>
  </w:num>
  <w:num w:numId="25">
    <w:abstractNumId w:val="18"/>
  </w:num>
  <w:num w:numId="26">
    <w:abstractNumId w:val="24"/>
  </w:num>
  <w:num w:numId="27">
    <w:abstractNumId w:val="13"/>
  </w:num>
  <w:num w:numId="28">
    <w:abstractNumId w:val="22"/>
  </w:num>
  <w:num w:numId="29">
    <w:abstractNumId w:val="14"/>
  </w:num>
  <w:num w:numId="30">
    <w:abstractNumId w:val="14"/>
  </w:num>
  <w:num w:numId="31">
    <w:abstractNumId w:val="14"/>
  </w:num>
  <w:num w:numId="32">
    <w:abstractNumId w:val="31"/>
  </w:num>
  <w:num w:numId="33">
    <w:abstractNumId w:val="29"/>
  </w:num>
  <w:num w:numId="34">
    <w:abstractNumId w:val="2"/>
    <w:lvlOverride w:ilvl="0">
      <w:startOverride w:val="1"/>
    </w:lvlOverride>
  </w:num>
  <w:num w:numId="35">
    <w:abstractNumId w:val="3"/>
  </w:num>
  <w:num w:numId="36">
    <w:abstractNumId w:val="3"/>
  </w:num>
  <w:num w:numId="37">
    <w:abstractNumId w:val="8"/>
  </w:num>
  <w:num w:numId="38">
    <w:abstractNumId w:val="23"/>
  </w:num>
  <w:num w:numId="39">
    <w:abstractNumId w:val="30"/>
  </w:num>
  <w:num w:numId="40">
    <w:abstractNumId w:val="27"/>
  </w:num>
  <w:num w:numId="41">
    <w:abstractNumId w:val="8"/>
  </w:num>
  <w:num w:numId="42">
    <w:abstractNumId w:val="23"/>
  </w:num>
  <w:num w:numId="43">
    <w:abstractNumId w:val="30"/>
  </w:num>
  <w:num w:numId="44">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2F0"/>
    <w:rsid w:val="0000008B"/>
    <w:rsid w:val="00000452"/>
    <w:rsid w:val="0000116D"/>
    <w:rsid w:val="0000205A"/>
    <w:rsid w:val="000024B8"/>
    <w:rsid w:val="00002836"/>
    <w:rsid w:val="000029E0"/>
    <w:rsid w:val="00003A85"/>
    <w:rsid w:val="00004935"/>
    <w:rsid w:val="00004C44"/>
    <w:rsid w:val="00007425"/>
    <w:rsid w:val="0001076C"/>
    <w:rsid w:val="000107EC"/>
    <w:rsid w:val="00010D75"/>
    <w:rsid w:val="000116DB"/>
    <w:rsid w:val="0001290A"/>
    <w:rsid w:val="00013C99"/>
    <w:rsid w:val="00014605"/>
    <w:rsid w:val="00014D98"/>
    <w:rsid w:val="00014FAA"/>
    <w:rsid w:val="0001719C"/>
    <w:rsid w:val="000171CB"/>
    <w:rsid w:val="000179D0"/>
    <w:rsid w:val="00017CAD"/>
    <w:rsid w:val="0002151B"/>
    <w:rsid w:val="00021813"/>
    <w:rsid w:val="000218CD"/>
    <w:rsid w:val="00021F7B"/>
    <w:rsid w:val="000234F3"/>
    <w:rsid w:val="00024025"/>
    <w:rsid w:val="00025050"/>
    <w:rsid w:val="000258F8"/>
    <w:rsid w:val="000259A8"/>
    <w:rsid w:val="0002675A"/>
    <w:rsid w:val="00027186"/>
    <w:rsid w:val="000275AF"/>
    <w:rsid w:val="0002769C"/>
    <w:rsid w:val="00027B16"/>
    <w:rsid w:val="00027EE9"/>
    <w:rsid w:val="00030010"/>
    <w:rsid w:val="0003006A"/>
    <w:rsid w:val="000303B7"/>
    <w:rsid w:val="00031EBB"/>
    <w:rsid w:val="00032101"/>
    <w:rsid w:val="00032527"/>
    <w:rsid w:val="00032739"/>
    <w:rsid w:val="00034195"/>
    <w:rsid w:val="00034BCA"/>
    <w:rsid w:val="00034D52"/>
    <w:rsid w:val="00035B44"/>
    <w:rsid w:val="00036190"/>
    <w:rsid w:val="00036394"/>
    <w:rsid w:val="000365D5"/>
    <w:rsid w:val="00037143"/>
    <w:rsid w:val="00037222"/>
    <w:rsid w:val="000373E0"/>
    <w:rsid w:val="00037A08"/>
    <w:rsid w:val="00041876"/>
    <w:rsid w:val="000423D6"/>
    <w:rsid w:val="00042DFC"/>
    <w:rsid w:val="00042FB1"/>
    <w:rsid w:val="00043391"/>
    <w:rsid w:val="00043CF3"/>
    <w:rsid w:val="000442B5"/>
    <w:rsid w:val="000446CF"/>
    <w:rsid w:val="0004549F"/>
    <w:rsid w:val="00045915"/>
    <w:rsid w:val="00045EC0"/>
    <w:rsid w:val="00045ED3"/>
    <w:rsid w:val="00046DFA"/>
    <w:rsid w:val="0004759B"/>
    <w:rsid w:val="00050532"/>
    <w:rsid w:val="000518BF"/>
    <w:rsid w:val="000518E8"/>
    <w:rsid w:val="00051904"/>
    <w:rsid w:val="000523E2"/>
    <w:rsid w:val="00052CFA"/>
    <w:rsid w:val="00053A17"/>
    <w:rsid w:val="00054034"/>
    <w:rsid w:val="00054AC0"/>
    <w:rsid w:val="00054B28"/>
    <w:rsid w:val="000555A9"/>
    <w:rsid w:val="00055CB5"/>
    <w:rsid w:val="00056EB4"/>
    <w:rsid w:val="00057350"/>
    <w:rsid w:val="0005764D"/>
    <w:rsid w:val="00057746"/>
    <w:rsid w:val="00057B48"/>
    <w:rsid w:val="00060279"/>
    <w:rsid w:val="0006045D"/>
    <w:rsid w:val="0006063B"/>
    <w:rsid w:val="00060843"/>
    <w:rsid w:val="00060920"/>
    <w:rsid w:val="00061D8F"/>
    <w:rsid w:val="0006318F"/>
    <w:rsid w:val="000635CA"/>
    <w:rsid w:val="00063F0C"/>
    <w:rsid w:val="0006400D"/>
    <w:rsid w:val="00064EF7"/>
    <w:rsid w:val="00065A77"/>
    <w:rsid w:val="00065E30"/>
    <w:rsid w:val="00066655"/>
    <w:rsid w:val="000668E3"/>
    <w:rsid w:val="00067A50"/>
    <w:rsid w:val="00070040"/>
    <w:rsid w:val="00070998"/>
    <w:rsid w:val="00070C14"/>
    <w:rsid w:val="00070F87"/>
    <w:rsid w:val="000715BC"/>
    <w:rsid w:val="00071958"/>
    <w:rsid w:val="00071D19"/>
    <w:rsid w:val="00072535"/>
    <w:rsid w:val="0007321A"/>
    <w:rsid w:val="00073D2A"/>
    <w:rsid w:val="0007440A"/>
    <w:rsid w:val="000747F0"/>
    <w:rsid w:val="000748CB"/>
    <w:rsid w:val="000749BE"/>
    <w:rsid w:val="00075D57"/>
    <w:rsid w:val="00075EDD"/>
    <w:rsid w:val="00076AA9"/>
    <w:rsid w:val="000772B5"/>
    <w:rsid w:val="000779FE"/>
    <w:rsid w:val="000803C0"/>
    <w:rsid w:val="0008040E"/>
    <w:rsid w:val="00082AD2"/>
    <w:rsid w:val="000839ED"/>
    <w:rsid w:val="00083E56"/>
    <w:rsid w:val="000843B1"/>
    <w:rsid w:val="0008469A"/>
    <w:rsid w:val="00084F16"/>
    <w:rsid w:val="00085116"/>
    <w:rsid w:val="0008560E"/>
    <w:rsid w:val="0008667C"/>
    <w:rsid w:val="00087B18"/>
    <w:rsid w:val="00087E5C"/>
    <w:rsid w:val="00090418"/>
    <w:rsid w:val="00090B07"/>
    <w:rsid w:val="00091BC8"/>
    <w:rsid w:val="00092561"/>
    <w:rsid w:val="000930C7"/>
    <w:rsid w:val="00093CC7"/>
    <w:rsid w:val="00093D97"/>
    <w:rsid w:val="000959AA"/>
    <w:rsid w:val="00095A80"/>
    <w:rsid w:val="000961DB"/>
    <w:rsid w:val="00096D5E"/>
    <w:rsid w:val="0009748D"/>
    <w:rsid w:val="000A05C5"/>
    <w:rsid w:val="000A0C99"/>
    <w:rsid w:val="000A1229"/>
    <w:rsid w:val="000A13DE"/>
    <w:rsid w:val="000A1639"/>
    <w:rsid w:val="000A1E00"/>
    <w:rsid w:val="000A2CEA"/>
    <w:rsid w:val="000A2D53"/>
    <w:rsid w:val="000A3405"/>
    <w:rsid w:val="000A3902"/>
    <w:rsid w:val="000A41BC"/>
    <w:rsid w:val="000A46F8"/>
    <w:rsid w:val="000A4DE6"/>
    <w:rsid w:val="000A5265"/>
    <w:rsid w:val="000A5463"/>
    <w:rsid w:val="000A618F"/>
    <w:rsid w:val="000A62B9"/>
    <w:rsid w:val="000A64F7"/>
    <w:rsid w:val="000A7568"/>
    <w:rsid w:val="000A7580"/>
    <w:rsid w:val="000A7B89"/>
    <w:rsid w:val="000B00C6"/>
    <w:rsid w:val="000B0DB5"/>
    <w:rsid w:val="000B2EE8"/>
    <w:rsid w:val="000B31B8"/>
    <w:rsid w:val="000B324F"/>
    <w:rsid w:val="000B36C0"/>
    <w:rsid w:val="000B3CE3"/>
    <w:rsid w:val="000B3EC0"/>
    <w:rsid w:val="000B4203"/>
    <w:rsid w:val="000B4ACB"/>
    <w:rsid w:val="000B4BEB"/>
    <w:rsid w:val="000B4BED"/>
    <w:rsid w:val="000B5CCB"/>
    <w:rsid w:val="000B648D"/>
    <w:rsid w:val="000C0C8A"/>
    <w:rsid w:val="000C1592"/>
    <w:rsid w:val="000C1B1A"/>
    <w:rsid w:val="000C2503"/>
    <w:rsid w:val="000C25E4"/>
    <w:rsid w:val="000C275F"/>
    <w:rsid w:val="000C2F32"/>
    <w:rsid w:val="000C327C"/>
    <w:rsid w:val="000C3AFF"/>
    <w:rsid w:val="000C3BEA"/>
    <w:rsid w:val="000C40FD"/>
    <w:rsid w:val="000C4665"/>
    <w:rsid w:val="000C477E"/>
    <w:rsid w:val="000C50BE"/>
    <w:rsid w:val="000C5493"/>
    <w:rsid w:val="000C5BEA"/>
    <w:rsid w:val="000C6A7F"/>
    <w:rsid w:val="000C7988"/>
    <w:rsid w:val="000C7EEF"/>
    <w:rsid w:val="000D0643"/>
    <w:rsid w:val="000D0824"/>
    <w:rsid w:val="000D0FDF"/>
    <w:rsid w:val="000D1108"/>
    <w:rsid w:val="000D1215"/>
    <w:rsid w:val="000D19AB"/>
    <w:rsid w:val="000D1F3D"/>
    <w:rsid w:val="000D246C"/>
    <w:rsid w:val="000D2A9C"/>
    <w:rsid w:val="000D2DA9"/>
    <w:rsid w:val="000D346A"/>
    <w:rsid w:val="000D3C38"/>
    <w:rsid w:val="000D428A"/>
    <w:rsid w:val="000D476E"/>
    <w:rsid w:val="000D5338"/>
    <w:rsid w:val="000D55DA"/>
    <w:rsid w:val="000D6465"/>
    <w:rsid w:val="000D6717"/>
    <w:rsid w:val="000D6AA6"/>
    <w:rsid w:val="000D7599"/>
    <w:rsid w:val="000E024B"/>
    <w:rsid w:val="000E08E1"/>
    <w:rsid w:val="000E0CC6"/>
    <w:rsid w:val="000E2378"/>
    <w:rsid w:val="000E271C"/>
    <w:rsid w:val="000E2B15"/>
    <w:rsid w:val="000E42A3"/>
    <w:rsid w:val="000E4A0D"/>
    <w:rsid w:val="000E5873"/>
    <w:rsid w:val="000E6105"/>
    <w:rsid w:val="000E676D"/>
    <w:rsid w:val="000E69F7"/>
    <w:rsid w:val="000E6FE0"/>
    <w:rsid w:val="000E71BF"/>
    <w:rsid w:val="000E73EB"/>
    <w:rsid w:val="000E750B"/>
    <w:rsid w:val="000E760B"/>
    <w:rsid w:val="000E7745"/>
    <w:rsid w:val="000E7F61"/>
    <w:rsid w:val="000F0031"/>
    <w:rsid w:val="000F0893"/>
    <w:rsid w:val="000F2F3D"/>
    <w:rsid w:val="000F32F5"/>
    <w:rsid w:val="000F3377"/>
    <w:rsid w:val="000F34F2"/>
    <w:rsid w:val="000F3BCF"/>
    <w:rsid w:val="000F3EA9"/>
    <w:rsid w:val="000F4C4A"/>
    <w:rsid w:val="000F4D1C"/>
    <w:rsid w:val="000F57DF"/>
    <w:rsid w:val="000F699D"/>
    <w:rsid w:val="000F6DD0"/>
    <w:rsid w:val="000F7138"/>
    <w:rsid w:val="00100EDD"/>
    <w:rsid w:val="001010E0"/>
    <w:rsid w:val="001013EA"/>
    <w:rsid w:val="00101E7A"/>
    <w:rsid w:val="00101F25"/>
    <w:rsid w:val="0010205B"/>
    <w:rsid w:val="00102CEA"/>
    <w:rsid w:val="00102D80"/>
    <w:rsid w:val="001036F2"/>
    <w:rsid w:val="00103AFD"/>
    <w:rsid w:val="00103DC0"/>
    <w:rsid w:val="00103F7C"/>
    <w:rsid w:val="001043ED"/>
    <w:rsid w:val="001058FE"/>
    <w:rsid w:val="00105F38"/>
    <w:rsid w:val="00106D73"/>
    <w:rsid w:val="001071BA"/>
    <w:rsid w:val="001071E4"/>
    <w:rsid w:val="0010782C"/>
    <w:rsid w:val="001106C5"/>
    <w:rsid w:val="00111362"/>
    <w:rsid w:val="001126BB"/>
    <w:rsid w:val="00112D10"/>
    <w:rsid w:val="00113A5D"/>
    <w:rsid w:val="001144AB"/>
    <w:rsid w:val="00114554"/>
    <w:rsid w:val="00114737"/>
    <w:rsid w:val="00114D47"/>
    <w:rsid w:val="00115ADB"/>
    <w:rsid w:val="00115EBD"/>
    <w:rsid w:val="0011645C"/>
    <w:rsid w:val="00117742"/>
    <w:rsid w:val="00117B21"/>
    <w:rsid w:val="001206F5"/>
    <w:rsid w:val="001215D5"/>
    <w:rsid w:val="00121D80"/>
    <w:rsid w:val="00122B4A"/>
    <w:rsid w:val="00122F0E"/>
    <w:rsid w:val="00123BD5"/>
    <w:rsid w:val="00123C33"/>
    <w:rsid w:val="00124EA0"/>
    <w:rsid w:val="00126667"/>
    <w:rsid w:val="001300AE"/>
    <w:rsid w:val="00130128"/>
    <w:rsid w:val="00130DF9"/>
    <w:rsid w:val="00131FA3"/>
    <w:rsid w:val="001336CC"/>
    <w:rsid w:val="001342B0"/>
    <w:rsid w:val="00134473"/>
    <w:rsid w:val="001349E5"/>
    <w:rsid w:val="0013505D"/>
    <w:rsid w:val="001353E2"/>
    <w:rsid w:val="00135AA5"/>
    <w:rsid w:val="00135B17"/>
    <w:rsid w:val="00135D48"/>
    <w:rsid w:val="00136058"/>
    <w:rsid w:val="001375BD"/>
    <w:rsid w:val="001375F8"/>
    <w:rsid w:val="0013777C"/>
    <w:rsid w:val="00137BEF"/>
    <w:rsid w:val="0014002D"/>
    <w:rsid w:val="0014044F"/>
    <w:rsid w:val="00140DE7"/>
    <w:rsid w:val="00141241"/>
    <w:rsid w:val="00141AC7"/>
    <w:rsid w:val="00144082"/>
    <w:rsid w:val="001442DA"/>
    <w:rsid w:val="0014482C"/>
    <w:rsid w:val="0014503C"/>
    <w:rsid w:val="00145809"/>
    <w:rsid w:val="001459EF"/>
    <w:rsid w:val="00145DAB"/>
    <w:rsid w:val="00146423"/>
    <w:rsid w:val="001466BA"/>
    <w:rsid w:val="00146D43"/>
    <w:rsid w:val="00147033"/>
    <w:rsid w:val="001508AD"/>
    <w:rsid w:val="00152010"/>
    <w:rsid w:val="0015219C"/>
    <w:rsid w:val="0015229B"/>
    <w:rsid w:val="00152709"/>
    <w:rsid w:val="00152C02"/>
    <w:rsid w:val="0015315E"/>
    <w:rsid w:val="00153FA7"/>
    <w:rsid w:val="00154353"/>
    <w:rsid w:val="001546DA"/>
    <w:rsid w:val="001548D8"/>
    <w:rsid w:val="00156902"/>
    <w:rsid w:val="0015722E"/>
    <w:rsid w:val="00157378"/>
    <w:rsid w:val="0016033C"/>
    <w:rsid w:val="00162531"/>
    <w:rsid w:val="00162791"/>
    <w:rsid w:val="00163904"/>
    <w:rsid w:val="00164BA0"/>
    <w:rsid w:val="00164E33"/>
    <w:rsid w:val="00164FB0"/>
    <w:rsid w:val="001653A3"/>
    <w:rsid w:val="0016603E"/>
    <w:rsid w:val="001667BF"/>
    <w:rsid w:val="00166DC7"/>
    <w:rsid w:val="001706E2"/>
    <w:rsid w:val="00170755"/>
    <w:rsid w:val="00170889"/>
    <w:rsid w:val="0017119E"/>
    <w:rsid w:val="001711F1"/>
    <w:rsid w:val="00171A79"/>
    <w:rsid w:val="00171FE9"/>
    <w:rsid w:val="0017268B"/>
    <w:rsid w:val="00172BE2"/>
    <w:rsid w:val="0017326E"/>
    <w:rsid w:val="001749A3"/>
    <w:rsid w:val="00174E8E"/>
    <w:rsid w:val="001755DC"/>
    <w:rsid w:val="00175919"/>
    <w:rsid w:val="001766D1"/>
    <w:rsid w:val="001767CD"/>
    <w:rsid w:val="00177B95"/>
    <w:rsid w:val="00180695"/>
    <w:rsid w:val="001808AB"/>
    <w:rsid w:val="00183A57"/>
    <w:rsid w:val="001844BE"/>
    <w:rsid w:val="00184F37"/>
    <w:rsid w:val="0018535E"/>
    <w:rsid w:val="0018555F"/>
    <w:rsid w:val="00185659"/>
    <w:rsid w:val="001858E2"/>
    <w:rsid w:val="00185D89"/>
    <w:rsid w:val="001862CB"/>
    <w:rsid w:val="00187EF6"/>
    <w:rsid w:val="00190031"/>
    <w:rsid w:val="001908EB"/>
    <w:rsid w:val="00192261"/>
    <w:rsid w:val="00192E43"/>
    <w:rsid w:val="0019335C"/>
    <w:rsid w:val="00194DB1"/>
    <w:rsid w:val="00194E8F"/>
    <w:rsid w:val="00195434"/>
    <w:rsid w:val="00195698"/>
    <w:rsid w:val="00197E53"/>
    <w:rsid w:val="001A0B69"/>
    <w:rsid w:val="001A0E40"/>
    <w:rsid w:val="001A194B"/>
    <w:rsid w:val="001A2633"/>
    <w:rsid w:val="001A449F"/>
    <w:rsid w:val="001A467B"/>
    <w:rsid w:val="001A46AB"/>
    <w:rsid w:val="001A4729"/>
    <w:rsid w:val="001A4D92"/>
    <w:rsid w:val="001A51C2"/>
    <w:rsid w:val="001A5E37"/>
    <w:rsid w:val="001A5FA2"/>
    <w:rsid w:val="001A6EA4"/>
    <w:rsid w:val="001A6FA9"/>
    <w:rsid w:val="001B00B4"/>
    <w:rsid w:val="001B0185"/>
    <w:rsid w:val="001B13C2"/>
    <w:rsid w:val="001B2211"/>
    <w:rsid w:val="001B2F10"/>
    <w:rsid w:val="001B3533"/>
    <w:rsid w:val="001B3536"/>
    <w:rsid w:val="001B39AE"/>
    <w:rsid w:val="001B42E0"/>
    <w:rsid w:val="001B4B9E"/>
    <w:rsid w:val="001B5BCD"/>
    <w:rsid w:val="001B7D07"/>
    <w:rsid w:val="001B7D42"/>
    <w:rsid w:val="001C0398"/>
    <w:rsid w:val="001C0618"/>
    <w:rsid w:val="001C14F4"/>
    <w:rsid w:val="001C17E9"/>
    <w:rsid w:val="001C183D"/>
    <w:rsid w:val="001C2CC1"/>
    <w:rsid w:val="001C2D11"/>
    <w:rsid w:val="001C3132"/>
    <w:rsid w:val="001C4687"/>
    <w:rsid w:val="001C5BB6"/>
    <w:rsid w:val="001C6E5F"/>
    <w:rsid w:val="001C71B9"/>
    <w:rsid w:val="001C7B5E"/>
    <w:rsid w:val="001C7B9D"/>
    <w:rsid w:val="001C7DBB"/>
    <w:rsid w:val="001D05DB"/>
    <w:rsid w:val="001D0789"/>
    <w:rsid w:val="001D0809"/>
    <w:rsid w:val="001D20C9"/>
    <w:rsid w:val="001D2750"/>
    <w:rsid w:val="001D2C37"/>
    <w:rsid w:val="001D2CB1"/>
    <w:rsid w:val="001D2D60"/>
    <w:rsid w:val="001D33C2"/>
    <w:rsid w:val="001D34F3"/>
    <w:rsid w:val="001D4D0A"/>
    <w:rsid w:val="001D589E"/>
    <w:rsid w:val="001D6EF9"/>
    <w:rsid w:val="001D6F58"/>
    <w:rsid w:val="001E13AF"/>
    <w:rsid w:val="001E1B4B"/>
    <w:rsid w:val="001E2E4E"/>
    <w:rsid w:val="001E3B78"/>
    <w:rsid w:val="001E4928"/>
    <w:rsid w:val="001E4FE2"/>
    <w:rsid w:val="001E5B1D"/>
    <w:rsid w:val="001E5B43"/>
    <w:rsid w:val="001E6336"/>
    <w:rsid w:val="001E672F"/>
    <w:rsid w:val="001E7021"/>
    <w:rsid w:val="001F07EB"/>
    <w:rsid w:val="001F0E27"/>
    <w:rsid w:val="001F2368"/>
    <w:rsid w:val="001F336F"/>
    <w:rsid w:val="001F389D"/>
    <w:rsid w:val="001F3A05"/>
    <w:rsid w:val="001F3C1B"/>
    <w:rsid w:val="001F4AC9"/>
    <w:rsid w:val="001F6073"/>
    <w:rsid w:val="001F6246"/>
    <w:rsid w:val="00200E86"/>
    <w:rsid w:val="002015A3"/>
    <w:rsid w:val="002016B7"/>
    <w:rsid w:val="00202350"/>
    <w:rsid w:val="0020255D"/>
    <w:rsid w:val="00204783"/>
    <w:rsid w:val="00204EF9"/>
    <w:rsid w:val="00205082"/>
    <w:rsid w:val="00205F45"/>
    <w:rsid w:val="00207414"/>
    <w:rsid w:val="00207DC9"/>
    <w:rsid w:val="00210BFD"/>
    <w:rsid w:val="002111B5"/>
    <w:rsid w:val="00214A71"/>
    <w:rsid w:val="00215DD2"/>
    <w:rsid w:val="0021740D"/>
    <w:rsid w:val="00220E0B"/>
    <w:rsid w:val="00221868"/>
    <w:rsid w:val="00221DB5"/>
    <w:rsid w:val="002220EA"/>
    <w:rsid w:val="00222470"/>
    <w:rsid w:val="00222538"/>
    <w:rsid w:val="0022285F"/>
    <w:rsid w:val="00224B28"/>
    <w:rsid w:val="002253FB"/>
    <w:rsid w:val="00225F73"/>
    <w:rsid w:val="0023073B"/>
    <w:rsid w:val="00231136"/>
    <w:rsid w:val="00232148"/>
    <w:rsid w:val="00233C40"/>
    <w:rsid w:val="00233FE1"/>
    <w:rsid w:val="00235048"/>
    <w:rsid w:val="002352BF"/>
    <w:rsid w:val="00235CE9"/>
    <w:rsid w:val="00235F0D"/>
    <w:rsid w:val="0023642C"/>
    <w:rsid w:val="00237A41"/>
    <w:rsid w:val="00237E1F"/>
    <w:rsid w:val="00241529"/>
    <w:rsid w:val="00242603"/>
    <w:rsid w:val="00242BE4"/>
    <w:rsid w:val="00242CFF"/>
    <w:rsid w:val="00242FB6"/>
    <w:rsid w:val="00243456"/>
    <w:rsid w:val="00243B69"/>
    <w:rsid w:val="002441A1"/>
    <w:rsid w:val="00245AA7"/>
    <w:rsid w:val="00245AC2"/>
    <w:rsid w:val="00245BA7"/>
    <w:rsid w:val="00246277"/>
    <w:rsid w:val="002466C9"/>
    <w:rsid w:val="0025208B"/>
    <w:rsid w:val="002521EC"/>
    <w:rsid w:val="002522B2"/>
    <w:rsid w:val="00252BCB"/>
    <w:rsid w:val="00252BF8"/>
    <w:rsid w:val="00253C07"/>
    <w:rsid w:val="00253E64"/>
    <w:rsid w:val="00256077"/>
    <w:rsid w:val="002617F0"/>
    <w:rsid w:val="0026223E"/>
    <w:rsid w:val="00262393"/>
    <w:rsid w:val="002646DA"/>
    <w:rsid w:val="00264C75"/>
    <w:rsid w:val="00265495"/>
    <w:rsid w:val="00265747"/>
    <w:rsid w:val="00265779"/>
    <w:rsid w:val="00265AFF"/>
    <w:rsid w:val="00265FB8"/>
    <w:rsid w:val="00266089"/>
    <w:rsid w:val="00266567"/>
    <w:rsid w:val="0026660E"/>
    <w:rsid w:val="00267F84"/>
    <w:rsid w:val="00270C8A"/>
    <w:rsid w:val="002715F1"/>
    <w:rsid w:val="00271866"/>
    <w:rsid w:val="00272064"/>
    <w:rsid w:val="0027292E"/>
    <w:rsid w:val="00272E66"/>
    <w:rsid w:val="00273385"/>
    <w:rsid w:val="0027374D"/>
    <w:rsid w:val="00274253"/>
    <w:rsid w:val="00274A3E"/>
    <w:rsid w:val="00275BF7"/>
    <w:rsid w:val="00275EDA"/>
    <w:rsid w:val="00276231"/>
    <w:rsid w:val="00277722"/>
    <w:rsid w:val="00277A52"/>
    <w:rsid w:val="00277CE2"/>
    <w:rsid w:val="002808CF"/>
    <w:rsid w:val="00280945"/>
    <w:rsid w:val="00281010"/>
    <w:rsid w:val="00282DB1"/>
    <w:rsid w:val="002837D8"/>
    <w:rsid w:val="00283DFA"/>
    <w:rsid w:val="002848F2"/>
    <w:rsid w:val="0028499B"/>
    <w:rsid w:val="0028520B"/>
    <w:rsid w:val="00285958"/>
    <w:rsid w:val="00285ACE"/>
    <w:rsid w:val="002878AB"/>
    <w:rsid w:val="002878AD"/>
    <w:rsid w:val="002902F5"/>
    <w:rsid w:val="00291592"/>
    <w:rsid w:val="002922A2"/>
    <w:rsid w:val="0029258D"/>
    <w:rsid w:val="00292AFD"/>
    <w:rsid w:val="0029344C"/>
    <w:rsid w:val="002939C1"/>
    <w:rsid w:val="00293D1D"/>
    <w:rsid w:val="00293D76"/>
    <w:rsid w:val="00294097"/>
    <w:rsid w:val="002946CC"/>
    <w:rsid w:val="00294B9F"/>
    <w:rsid w:val="00294D57"/>
    <w:rsid w:val="00295373"/>
    <w:rsid w:val="00295930"/>
    <w:rsid w:val="00297351"/>
    <w:rsid w:val="002A11BB"/>
    <w:rsid w:val="002A183B"/>
    <w:rsid w:val="002A4126"/>
    <w:rsid w:val="002A422F"/>
    <w:rsid w:val="002A5480"/>
    <w:rsid w:val="002A5D94"/>
    <w:rsid w:val="002A7724"/>
    <w:rsid w:val="002A794A"/>
    <w:rsid w:val="002B0BCB"/>
    <w:rsid w:val="002B0F80"/>
    <w:rsid w:val="002B0F8E"/>
    <w:rsid w:val="002B0FB1"/>
    <w:rsid w:val="002B223D"/>
    <w:rsid w:val="002B2950"/>
    <w:rsid w:val="002B2B54"/>
    <w:rsid w:val="002B30E5"/>
    <w:rsid w:val="002B38E6"/>
    <w:rsid w:val="002B4252"/>
    <w:rsid w:val="002B4A2F"/>
    <w:rsid w:val="002B4CFF"/>
    <w:rsid w:val="002B4DA8"/>
    <w:rsid w:val="002B54CB"/>
    <w:rsid w:val="002B5C01"/>
    <w:rsid w:val="002B7D62"/>
    <w:rsid w:val="002C02DA"/>
    <w:rsid w:val="002C075D"/>
    <w:rsid w:val="002C14B7"/>
    <w:rsid w:val="002C195E"/>
    <w:rsid w:val="002C1DA2"/>
    <w:rsid w:val="002C20C2"/>
    <w:rsid w:val="002C22B2"/>
    <w:rsid w:val="002C299D"/>
    <w:rsid w:val="002C3080"/>
    <w:rsid w:val="002C3153"/>
    <w:rsid w:val="002C407E"/>
    <w:rsid w:val="002C40FA"/>
    <w:rsid w:val="002C4EC3"/>
    <w:rsid w:val="002C4EC9"/>
    <w:rsid w:val="002C5119"/>
    <w:rsid w:val="002C5343"/>
    <w:rsid w:val="002C5960"/>
    <w:rsid w:val="002C5A21"/>
    <w:rsid w:val="002C6FF7"/>
    <w:rsid w:val="002C7362"/>
    <w:rsid w:val="002C751E"/>
    <w:rsid w:val="002D0A45"/>
    <w:rsid w:val="002D0BB7"/>
    <w:rsid w:val="002D1455"/>
    <w:rsid w:val="002D17E2"/>
    <w:rsid w:val="002D21E3"/>
    <w:rsid w:val="002D272E"/>
    <w:rsid w:val="002D2EA4"/>
    <w:rsid w:val="002D39B9"/>
    <w:rsid w:val="002D39BF"/>
    <w:rsid w:val="002D4045"/>
    <w:rsid w:val="002D4584"/>
    <w:rsid w:val="002D48CF"/>
    <w:rsid w:val="002D50CA"/>
    <w:rsid w:val="002D6DEC"/>
    <w:rsid w:val="002D6E23"/>
    <w:rsid w:val="002D7155"/>
    <w:rsid w:val="002D7326"/>
    <w:rsid w:val="002D748D"/>
    <w:rsid w:val="002E00D5"/>
    <w:rsid w:val="002E0739"/>
    <w:rsid w:val="002E1285"/>
    <w:rsid w:val="002E1A93"/>
    <w:rsid w:val="002E5166"/>
    <w:rsid w:val="002E539C"/>
    <w:rsid w:val="002E5707"/>
    <w:rsid w:val="002E6972"/>
    <w:rsid w:val="002E6DD4"/>
    <w:rsid w:val="002E7056"/>
    <w:rsid w:val="002E7977"/>
    <w:rsid w:val="002E7995"/>
    <w:rsid w:val="002F0146"/>
    <w:rsid w:val="002F0255"/>
    <w:rsid w:val="002F096F"/>
    <w:rsid w:val="002F09EE"/>
    <w:rsid w:val="002F0E7D"/>
    <w:rsid w:val="002F1374"/>
    <w:rsid w:val="002F18B6"/>
    <w:rsid w:val="002F28FA"/>
    <w:rsid w:val="002F3659"/>
    <w:rsid w:val="002F3C45"/>
    <w:rsid w:val="002F4317"/>
    <w:rsid w:val="002F5AD1"/>
    <w:rsid w:val="002F71A4"/>
    <w:rsid w:val="002F7263"/>
    <w:rsid w:val="002F730A"/>
    <w:rsid w:val="0030073D"/>
    <w:rsid w:val="00300BDB"/>
    <w:rsid w:val="00300E45"/>
    <w:rsid w:val="00303106"/>
    <w:rsid w:val="00303EDD"/>
    <w:rsid w:val="00304351"/>
    <w:rsid w:val="003044D3"/>
    <w:rsid w:val="003048BE"/>
    <w:rsid w:val="00304C63"/>
    <w:rsid w:val="00305F94"/>
    <w:rsid w:val="00305FF5"/>
    <w:rsid w:val="00306A3F"/>
    <w:rsid w:val="00306DA4"/>
    <w:rsid w:val="00311F7C"/>
    <w:rsid w:val="0031204A"/>
    <w:rsid w:val="00312A0F"/>
    <w:rsid w:val="00312E64"/>
    <w:rsid w:val="00312F9A"/>
    <w:rsid w:val="00314030"/>
    <w:rsid w:val="00314363"/>
    <w:rsid w:val="00314CF4"/>
    <w:rsid w:val="003150A3"/>
    <w:rsid w:val="0031550E"/>
    <w:rsid w:val="0031601B"/>
    <w:rsid w:val="0031616D"/>
    <w:rsid w:val="00317D53"/>
    <w:rsid w:val="00317FE7"/>
    <w:rsid w:val="003217B2"/>
    <w:rsid w:val="00321D39"/>
    <w:rsid w:val="003224B1"/>
    <w:rsid w:val="00322C4F"/>
    <w:rsid w:val="00322EDB"/>
    <w:rsid w:val="003230C3"/>
    <w:rsid w:val="00323D68"/>
    <w:rsid w:val="003240F8"/>
    <w:rsid w:val="0032432A"/>
    <w:rsid w:val="0032480C"/>
    <w:rsid w:val="0032485D"/>
    <w:rsid w:val="00325DED"/>
    <w:rsid w:val="00325E1A"/>
    <w:rsid w:val="00326077"/>
    <w:rsid w:val="003263B5"/>
    <w:rsid w:val="003264D7"/>
    <w:rsid w:val="00326815"/>
    <w:rsid w:val="00326F39"/>
    <w:rsid w:val="00327740"/>
    <w:rsid w:val="00327B12"/>
    <w:rsid w:val="00327B7C"/>
    <w:rsid w:val="00327D2B"/>
    <w:rsid w:val="00330E32"/>
    <w:rsid w:val="00330FA8"/>
    <w:rsid w:val="00331598"/>
    <w:rsid w:val="003319A4"/>
    <w:rsid w:val="00331CDA"/>
    <w:rsid w:val="003321E9"/>
    <w:rsid w:val="003323B6"/>
    <w:rsid w:val="003328F7"/>
    <w:rsid w:val="00333418"/>
    <w:rsid w:val="003335F7"/>
    <w:rsid w:val="003337B9"/>
    <w:rsid w:val="00334754"/>
    <w:rsid w:val="00335AFA"/>
    <w:rsid w:val="003365BF"/>
    <w:rsid w:val="00342083"/>
    <w:rsid w:val="003424A4"/>
    <w:rsid w:val="0034309C"/>
    <w:rsid w:val="00343750"/>
    <w:rsid w:val="00343C11"/>
    <w:rsid w:val="0034538E"/>
    <w:rsid w:val="0034539C"/>
    <w:rsid w:val="00345530"/>
    <w:rsid w:val="003455EA"/>
    <w:rsid w:val="00345BE4"/>
    <w:rsid w:val="003461A3"/>
    <w:rsid w:val="003461BF"/>
    <w:rsid w:val="00346664"/>
    <w:rsid w:val="00347717"/>
    <w:rsid w:val="00347BD7"/>
    <w:rsid w:val="00347FF8"/>
    <w:rsid w:val="003504D2"/>
    <w:rsid w:val="00350CFE"/>
    <w:rsid w:val="00351B95"/>
    <w:rsid w:val="00352C17"/>
    <w:rsid w:val="00352D98"/>
    <w:rsid w:val="003542B1"/>
    <w:rsid w:val="00354724"/>
    <w:rsid w:val="0035637B"/>
    <w:rsid w:val="00356522"/>
    <w:rsid w:val="00356C22"/>
    <w:rsid w:val="00360E0B"/>
    <w:rsid w:val="00361708"/>
    <w:rsid w:val="00361A68"/>
    <w:rsid w:val="00363A17"/>
    <w:rsid w:val="00364FCA"/>
    <w:rsid w:val="003650DD"/>
    <w:rsid w:val="00366247"/>
    <w:rsid w:val="00366A1C"/>
    <w:rsid w:val="00367601"/>
    <w:rsid w:val="003677B2"/>
    <w:rsid w:val="00367BE3"/>
    <w:rsid w:val="00370765"/>
    <w:rsid w:val="00370879"/>
    <w:rsid w:val="00370CE2"/>
    <w:rsid w:val="00370EDD"/>
    <w:rsid w:val="00371811"/>
    <w:rsid w:val="00371FDC"/>
    <w:rsid w:val="003726A9"/>
    <w:rsid w:val="00372BBE"/>
    <w:rsid w:val="0037389E"/>
    <w:rsid w:val="00374029"/>
    <w:rsid w:val="00374DE0"/>
    <w:rsid w:val="00376369"/>
    <w:rsid w:val="0037664B"/>
    <w:rsid w:val="00376F25"/>
    <w:rsid w:val="0038025E"/>
    <w:rsid w:val="003802AE"/>
    <w:rsid w:val="00380BCC"/>
    <w:rsid w:val="00381AEC"/>
    <w:rsid w:val="0038326D"/>
    <w:rsid w:val="00383D9B"/>
    <w:rsid w:val="003846FF"/>
    <w:rsid w:val="003847A3"/>
    <w:rsid w:val="00384993"/>
    <w:rsid w:val="00384EB4"/>
    <w:rsid w:val="0038554E"/>
    <w:rsid w:val="00385E48"/>
    <w:rsid w:val="00386531"/>
    <w:rsid w:val="003865CF"/>
    <w:rsid w:val="0038695E"/>
    <w:rsid w:val="00386FC8"/>
    <w:rsid w:val="00387205"/>
    <w:rsid w:val="003878B8"/>
    <w:rsid w:val="0039025F"/>
    <w:rsid w:val="0039078A"/>
    <w:rsid w:val="003914E6"/>
    <w:rsid w:val="00392AB2"/>
    <w:rsid w:val="00392B31"/>
    <w:rsid w:val="00392C3F"/>
    <w:rsid w:val="00392D9F"/>
    <w:rsid w:val="00393FA0"/>
    <w:rsid w:val="00394612"/>
    <w:rsid w:val="00395089"/>
    <w:rsid w:val="00395701"/>
    <w:rsid w:val="003962B0"/>
    <w:rsid w:val="0039639A"/>
    <w:rsid w:val="00396A93"/>
    <w:rsid w:val="00396E6C"/>
    <w:rsid w:val="00397192"/>
    <w:rsid w:val="003A0631"/>
    <w:rsid w:val="003A0C44"/>
    <w:rsid w:val="003A1401"/>
    <w:rsid w:val="003A1958"/>
    <w:rsid w:val="003A1BDF"/>
    <w:rsid w:val="003A216C"/>
    <w:rsid w:val="003A23AC"/>
    <w:rsid w:val="003A41A0"/>
    <w:rsid w:val="003A4574"/>
    <w:rsid w:val="003A5EBF"/>
    <w:rsid w:val="003A6F6B"/>
    <w:rsid w:val="003A7337"/>
    <w:rsid w:val="003A765E"/>
    <w:rsid w:val="003A76D0"/>
    <w:rsid w:val="003A7A75"/>
    <w:rsid w:val="003B08A7"/>
    <w:rsid w:val="003B0975"/>
    <w:rsid w:val="003B11AA"/>
    <w:rsid w:val="003B13F9"/>
    <w:rsid w:val="003B2458"/>
    <w:rsid w:val="003B29C9"/>
    <w:rsid w:val="003B2BD9"/>
    <w:rsid w:val="003B31DB"/>
    <w:rsid w:val="003B3780"/>
    <w:rsid w:val="003B49A6"/>
    <w:rsid w:val="003B4CAE"/>
    <w:rsid w:val="003B4E38"/>
    <w:rsid w:val="003B50D3"/>
    <w:rsid w:val="003B5649"/>
    <w:rsid w:val="003B614E"/>
    <w:rsid w:val="003B61E0"/>
    <w:rsid w:val="003B6860"/>
    <w:rsid w:val="003B6980"/>
    <w:rsid w:val="003B6AA9"/>
    <w:rsid w:val="003B6D90"/>
    <w:rsid w:val="003B7398"/>
    <w:rsid w:val="003C08E6"/>
    <w:rsid w:val="003C0B4C"/>
    <w:rsid w:val="003C3027"/>
    <w:rsid w:val="003C3B4C"/>
    <w:rsid w:val="003C3DE0"/>
    <w:rsid w:val="003C41F4"/>
    <w:rsid w:val="003C56CC"/>
    <w:rsid w:val="003C5A65"/>
    <w:rsid w:val="003C5AA0"/>
    <w:rsid w:val="003C66A3"/>
    <w:rsid w:val="003C6A57"/>
    <w:rsid w:val="003C6ABA"/>
    <w:rsid w:val="003C7B2A"/>
    <w:rsid w:val="003C7CC4"/>
    <w:rsid w:val="003C7F29"/>
    <w:rsid w:val="003D0097"/>
    <w:rsid w:val="003D04B3"/>
    <w:rsid w:val="003D0C6D"/>
    <w:rsid w:val="003D0D0A"/>
    <w:rsid w:val="003D1B6F"/>
    <w:rsid w:val="003D34DC"/>
    <w:rsid w:val="003D3742"/>
    <w:rsid w:val="003D3CCF"/>
    <w:rsid w:val="003D3DBC"/>
    <w:rsid w:val="003D3E68"/>
    <w:rsid w:val="003D432C"/>
    <w:rsid w:val="003D4B00"/>
    <w:rsid w:val="003D5511"/>
    <w:rsid w:val="003D56C1"/>
    <w:rsid w:val="003D678C"/>
    <w:rsid w:val="003D7038"/>
    <w:rsid w:val="003D78C6"/>
    <w:rsid w:val="003D7ED7"/>
    <w:rsid w:val="003E013C"/>
    <w:rsid w:val="003E074F"/>
    <w:rsid w:val="003E116E"/>
    <w:rsid w:val="003E2BB0"/>
    <w:rsid w:val="003E3100"/>
    <w:rsid w:val="003E381D"/>
    <w:rsid w:val="003E42AB"/>
    <w:rsid w:val="003E57A8"/>
    <w:rsid w:val="003E6662"/>
    <w:rsid w:val="003E6BC5"/>
    <w:rsid w:val="003E6F85"/>
    <w:rsid w:val="003E7802"/>
    <w:rsid w:val="003E7FBA"/>
    <w:rsid w:val="003F03B3"/>
    <w:rsid w:val="003F1079"/>
    <w:rsid w:val="003F17A1"/>
    <w:rsid w:val="003F1E6E"/>
    <w:rsid w:val="003F2045"/>
    <w:rsid w:val="003F30AE"/>
    <w:rsid w:val="003F3DEF"/>
    <w:rsid w:val="003F4E58"/>
    <w:rsid w:val="003F5615"/>
    <w:rsid w:val="003F5D94"/>
    <w:rsid w:val="003F5EAC"/>
    <w:rsid w:val="003F6472"/>
    <w:rsid w:val="003F68B8"/>
    <w:rsid w:val="003F76F7"/>
    <w:rsid w:val="003F77B0"/>
    <w:rsid w:val="003F7B29"/>
    <w:rsid w:val="003F7EE4"/>
    <w:rsid w:val="00401415"/>
    <w:rsid w:val="004039BA"/>
    <w:rsid w:val="00403D92"/>
    <w:rsid w:val="00404AB5"/>
    <w:rsid w:val="0040594A"/>
    <w:rsid w:val="00405DFC"/>
    <w:rsid w:val="004063D8"/>
    <w:rsid w:val="00406B39"/>
    <w:rsid w:val="00406E47"/>
    <w:rsid w:val="0040716D"/>
    <w:rsid w:val="00407AF7"/>
    <w:rsid w:val="004114FA"/>
    <w:rsid w:val="0041254A"/>
    <w:rsid w:val="00412820"/>
    <w:rsid w:val="00412B70"/>
    <w:rsid w:val="00413510"/>
    <w:rsid w:val="0041476F"/>
    <w:rsid w:val="00414855"/>
    <w:rsid w:val="00415525"/>
    <w:rsid w:val="00415D7C"/>
    <w:rsid w:val="00416FC0"/>
    <w:rsid w:val="00417B22"/>
    <w:rsid w:val="00420E2A"/>
    <w:rsid w:val="00421483"/>
    <w:rsid w:val="0042214D"/>
    <w:rsid w:val="00422A05"/>
    <w:rsid w:val="00422C35"/>
    <w:rsid w:val="00423EB1"/>
    <w:rsid w:val="00423EBA"/>
    <w:rsid w:val="004259AD"/>
    <w:rsid w:val="0042696F"/>
    <w:rsid w:val="00430B0A"/>
    <w:rsid w:val="00431402"/>
    <w:rsid w:val="00432A41"/>
    <w:rsid w:val="00432D0A"/>
    <w:rsid w:val="00435AD7"/>
    <w:rsid w:val="00436035"/>
    <w:rsid w:val="00436651"/>
    <w:rsid w:val="00436E34"/>
    <w:rsid w:val="00436F3B"/>
    <w:rsid w:val="00436FC8"/>
    <w:rsid w:val="0043709B"/>
    <w:rsid w:val="00437BD5"/>
    <w:rsid w:val="0044004F"/>
    <w:rsid w:val="00440308"/>
    <w:rsid w:val="0044059D"/>
    <w:rsid w:val="00440F61"/>
    <w:rsid w:val="00441C22"/>
    <w:rsid w:val="0044219D"/>
    <w:rsid w:val="00442659"/>
    <w:rsid w:val="00442B35"/>
    <w:rsid w:val="00442C76"/>
    <w:rsid w:val="00443EF3"/>
    <w:rsid w:val="0044418D"/>
    <w:rsid w:val="00444394"/>
    <w:rsid w:val="004445B3"/>
    <w:rsid w:val="00446038"/>
    <w:rsid w:val="004465BC"/>
    <w:rsid w:val="00446980"/>
    <w:rsid w:val="00447247"/>
    <w:rsid w:val="00447A05"/>
    <w:rsid w:val="00450BF8"/>
    <w:rsid w:val="00450DEF"/>
    <w:rsid w:val="00451036"/>
    <w:rsid w:val="0045125F"/>
    <w:rsid w:val="00451999"/>
    <w:rsid w:val="0045204A"/>
    <w:rsid w:val="00452343"/>
    <w:rsid w:val="0045246E"/>
    <w:rsid w:val="00452706"/>
    <w:rsid w:val="0045272F"/>
    <w:rsid w:val="0045395D"/>
    <w:rsid w:val="00454CED"/>
    <w:rsid w:val="004557C5"/>
    <w:rsid w:val="004574D3"/>
    <w:rsid w:val="0046077A"/>
    <w:rsid w:val="00460B1C"/>
    <w:rsid w:val="00460C2B"/>
    <w:rsid w:val="0046189A"/>
    <w:rsid w:val="004625EF"/>
    <w:rsid w:val="00462C7E"/>
    <w:rsid w:val="0046314E"/>
    <w:rsid w:val="004634D6"/>
    <w:rsid w:val="004636CF"/>
    <w:rsid w:val="00463C3F"/>
    <w:rsid w:val="00463FFC"/>
    <w:rsid w:val="00465F38"/>
    <w:rsid w:val="00466676"/>
    <w:rsid w:val="00466D99"/>
    <w:rsid w:val="00467C00"/>
    <w:rsid w:val="00471D3C"/>
    <w:rsid w:val="0047320E"/>
    <w:rsid w:val="004738CE"/>
    <w:rsid w:val="00475301"/>
    <w:rsid w:val="004775E4"/>
    <w:rsid w:val="0048091F"/>
    <w:rsid w:val="00480E63"/>
    <w:rsid w:val="00481C65"/>
    <w:rsid w:val="0048210C"/>
    <w:rsid w:val="004825E5"/>
    <w:rsid w:val="00482716"/>
    <w:rsid w:val="00482830"/>
    <w:rsid w:val="004828AB"/>
    <w:rsid w:val="004829B4"/>
    <w:rsid w:val="00482ADD"/>
    <w:rsid w:val="00482F92"/>
    <w:rsid w:val="00483627"/>
    <w:rsid w:val="00483971"/>
    <w:rsid w:val="00484667"/>
    <w:rsid w:val="004877AC"/>
    <w:rsid w:val="004906A0"/>
    <w:rsid w:val="00490DBD"/>
    <w:rsid w:val="00491608"/>
    <w:rsid w:val="004926E2"/>
    <w:rsid w:val="004931D7"/>
    <w:rsid w:val="004938CA"/>
    <w:rsid w:val="00493F80"/>
    <w:rsid w:val="004961CD"/>
    <w:rsid w:val="004971A6"/>
    <w:rsid w:val="004971E3"/>
    <w:rsid w:val="00497DCF"/>
    <w:rsid w:val="004A047C"/>
    <w:rsid w:val="004A05FC"/>
    <w:rsid w:val="004A0CE0"/>
    <w:rsid w:val="004A0D6B"/>
    <w:rsid w:val="004A16D7"/>
    <w:rsid w:val="004A16EE"/>
    <w:rsid w:val="004A189C"/>
    <w:rsid w:val="004A1C38"/>
    <w:rsid w:val="004A261A"/>
    <w:rsid w:val="004A264F"/>
    <w:rsid w:val="004A3C3B"/>
    <w:rsid w:val="004A458E"/>
    <w:rsid w:val="004A63EA"/>
    <w:rsid w:val="004B0089"/>
    <w:rsid w:val="004B0496"/>
    <w:rsid w:val="004B1659"/>
    <w:rsid w:val="004B1786"/>
    <w:rsid w:val="004B2F1D"/>
    <w:rsid w:val="004B34C5"/>
    <w:rsid w:val="004B383B"/>
    <w:rsid w:val="004B3EB9"/>
    <w:rsid w:val="004B45DE"/>
    <w:rsid w:val="004B462A"/>
    <w:rsid w:val="004B5A4A"/>
    <w:rsid w:val="004B5AAD"/>
    <w:rsid w:val="004B689B"/>
    <w:rsid w:val="004B7167"/>
    <w:rsid w:val="004B7B26"/>
    <w:rsid w:val="004C0495"/>
    <w:rsid w:val="004C0957"/>
    <w:rsid w:val="004C226F"/>
    <w:rsid w:val="004C2451"/>
    <w:rsid w:val="004C26E3"/>
    <w:rsid w:val="004C2DBE"/>
    <w:rsid w:val="004C34D2"/>
    <w:rsid w:val="004C5110"/>
    <w:rsid w:val="004C5FCC"/>
    <w:rsid w:val="004C7F0E"/>
    <w:rsid w:val="004D0075"/>
    <w:rsid w:val="004D0196"/>
    <w:rsid w:val="004D03EB"/>
    <w:rsid w:val="004D10F7"/>
    <w:rsid w:val="004D1FCC"/>
    <w:rsid w:val="004D2C9E"/>
    <w:rsid w:val="004D2DFC"/>
    <w:rsid w:val="004D370E"/>
    <w:rsid w:val="004D3B69"/>
    <w:rsid w:val="004D3E3C"/>
    <w:rsid w:val="004D3F74"/>
    <w:rsid w:val="004D4AD3"/>
    <w:rsid w:val="004D4D14"/>
    <w:rsid w:val="004D73B2"/>
    <w:rsid w:val="004D76CF"/>
    <w:rsid w:val="004E04EA"/>
    <w:rsid w:val="004E05E9"/>
    <w:rsid w:val="004E05FF"/>
    <w:rsid w:val="004E0FEF"/>
    <w:rsid w:val="004E1C37"/>
    <w:rsid w:val="004E315E"/>
    <w:rsid w:val="004E3B3D"/>
    <w:rsid w:val="004E3EA3"/>
    <w:rsid w:val="004E4648"/>
    <w:rsid w:val="004E5C6E"/>
    <w:rsid w:val="004E61E1"/>
    <w:rsid w:val="004E6605"/>
    <w:rsid w:val="004E6ADD"/>
    <w:rsid w:val="004E72FE"/>
    <w:rsid w:val="004E75C7"/>
    <w:rsid w:val="004E75F7"/>
    <w:rsid w:val="004E7B7C"/>
    <w:rsid w:val="004F025B"/>
    <w:rsid w:val="004F2203"/>
    <w:rsid w:val="004F291C"/>
    <w:rsid w:val="004F4094"/>
    <w:rsid w:val="004F410A"/>
    <w:rsid w:val="004F51FE"/>
    <w:rsid w:val="004F5FBC"/>
    <w:rsid w:val="004F62C5"/>
    <w:rsid w:val="004F7EEA"/>
    <w:rsid w:val="0050021E"/>
    <w:rsid w:val="0050284E"/>
    <w:rsid w:val="00502E74"/>
    <w:rsid w:val="005045B6"/>
    <w:rsid w:val="00505623"/>
    <w:rsid w:val="005070E2"/>
    <w:rsid w:val="00507D8D"/>
    <w:rsid w:val="00507D94"/>
    <w:rsid w:val="00510009"/>
    <w:rsid w:val="00510B08"/>
    <w:rsid w:val="00510C17"/>
    <w:rsid w:val="00510F56"/>
    <w:rsid w:val="0051158F"/>
    <w:rsid w:val="005115F0"/>
    <w:rsid w:val="005119A2"/>
    <w:rsid w:val="00511F27"/>
    <w:rsid w:val="00512BB1"/>
    <w:rsid w:val="00512BC4"/>
    <w:rsid w:val="00513131"/>
    <w:rsid w:val="00513AFC"/>
    <w:rsid w:val="00513B79"/>
    <w:rsid w:val="00514749"/>
    <w:rsid w:val="00516075"/>
    <w:rsid w:val="00516300"/>
    <w:rsid w:val="005165A7"/>
    <w:rsid w:val="0051799F"/>
    <w:rsid w:val="00520A18"/>
    <w:rsid w:val="00520E6F"/>
    <w:rsid w:val="005226EB"/>
    <w:rsid w:val="00523747"/>
    <w:rsid w:val="00525213"/>
    <w:rsid w:val="005252C8"/>
    <w:rsid w:val="005257FD"/>
    <w:rsid w:val="0052584F"/>
    <w:rsid w:val="005258DB"/>
    <w:rsid w:val="00525B59"/>
    <w:rsid w:val="00526360"/>
    <w:rsid w:val="00526767"/>
    <w:rsid w:val="00527149"/>
    <w:rsid w:val="005277EF"/>
    <w:rsid w:val="00527A4C"/>
    <w:rsid w:val="00527D00"/>
    <w:rsid w:val="00527D8E"/>
    <w:rsid w:val="005305C5"/>
    <w:rsid w:val="00530CA8"/>
    <w:rsid w:val="005315BE"/>
    <w:rsid w:val="00531A9E"/>
    <w:rsid w:val="00531CCA"/>
    <w:rsid w:val="005321C1"/>
    <w:rsid w:val="0053245F"/>
    <w:rsid w:val="00532D0F"/>
    <w:rsid w:val="00532FC3"/>
    <w:rsid w:val="00534138"/>
    <w:rsid w:val="0053429D"/>
    <w:rsid w:val="0053435B"/>
    <w:rsid w:val="0053453E"/>
    <w:rsid w:val="00534845"/>
    <w:rsid w:val="0053579E"/>
    <w:rsid w:val="00535CC8"/>
    <w:rsid w:val="00535EAE"/>
    <w:rsid w:val="00536638"/>
    <w:rsid w:val="00536CF4"/>
    <w:rsid w:val="00536E12"/>
    <w:rsid w:val="00536EC1"/>
    <w:rsid w:val="00537176"/>
    <w:rsid w:val="005372F8"/>
    <w:rsid w:val="00537583"/>
    <w:rsid w:val="00537BCF"/>
    <w:rsid w:val="00537EA3"/>
    <w:rsid w:val="005411B7"/>
    <w:rsid w:val="0054286F"/>
    <w:rsid w:val="00542ACC"/>
    <w:rsid w:val="00543451"/>
    <w:rsid w:val="0054445E"/>
    <w:rsid w:val="005449A3"/>
    <w:rsid w:val="005451AF"/>
    <w:rsid w:val="0054597B"/>
    <w:rsid w:val="00545F07"/>
    <w:rsid w:val="00546F61"/>
    <w:rsid w:val="00547356"/>
    <w:rsid w:val="005478A6"/>
    <w:rsid w:val="00547DBD"/>
    <w:rsid w:val="0055001E"/>
    <w:rsid w:val="005505D9"/>
    <w:rsid w:val="005505DB"/>
    <w:rsid w:val="005505F0"/>
    <w:rsid w:val="005510E1"/>
    <w:rsid w:val="00551C26"/>
    <w:rsid w:val="00552838"/>
    <w:rsid w:val="005528FE"/>
    <w:rsid w:val="00552C66"/>
    <w:rsid w:val="00554625"/>
    <w:rsid w:val="00554998"/>
    <w:rsid w:val="005556ED"/>
    <w:rsid w:val="00557849"/>
    <w:rsid w:val="005579D8"/>
    <w:rsid w:val="00557DA5"/>
    <w:rsid w:val="005600ED"/>
    <w:rsid w:val="0056013A"/>
    <w:rsid w:val="005601E8"/>
    <w:rsid w:val="0056024B"/>
    <w:rsid w:val="0056160F"/>
    <w:rsid w:val="00561F53"/>
    <w:rsid w:val="00562F96"/>
    <w:rsid w:val="00563C89"/>
    <w:rsid w:val="00564411"/>
    <w:rsid w:val="00564ED2"/>
    <w:rsid w:val="00565821"/>
    <w:rsid w:val="00565FE2"/>
    <w:rsid w:val="005667E4"/>
    <w:rsid w:val="005668AD"/>
    <w:rsid w:val="00567150"/>
    <w:rsid w:val="0057000C"/>
    <w:rsid w:val="005708BF"/>
    <w:rsid w:val="00570BB0"/>
    <w:rsid w:val="00570CF6"/>
    <w:rsid w:val="0057123C"/>
    <w:rsid w:val="00571B57"/>
    <w:rsid w:val="00572809"/>
    <w:rsid w:val="0057313E"/>
    <w:rsid w:val="00573A8E"/>
    <w:rsid w:val="00573B14"/>
    <w:rsid w:val="00574964"/>
    <w:rsid w:val="00574AEA"/>
    <w:rsid w:val="00574C69"/>
    <w:rsid w:val="00574CF5"/>
    <w:rsid w:val="00574EF5"/>
    <w:rsid w:val="0057640A"/>
    <w:rsid w:val="0057685A"/>
    <w:rsid w:val="00576936"/>
    <w:rsid w:val="00576DBB"/>
    <w:rsid w:val="00577623"/>
    <w:rsid w:val="00580770"/>
    <w:rsid w:val="00580F2A"/>
    <w:rsid w:val="00581612"/>
    <w:rsid w:val="0058164A"/>
    <w:rsid w:val="00581B80"/>
    <w:rsid w:val="00583102"/>
    <w:rsid w:val="005845D4"/>
    <w:rsid w:val="00584C75"/>
    <w:rsid w:val="0058576D"/>
    <w:rsid w:val="005857A7"/>
    <w:rsid w:val="00585803"/>
    <w:rsid w:val="0058586A"/>
    <w:rsid w:val="00585932"/>
    <w:rsid w:val="00586C70"/>
    <w:rsid w:val="00587302"/>
    <w:rsid w:val="0058797E"/>
    <w:rsid w:val="005915DE"/>
    <w:rsid w:val="00591EF8"/>
    <w:rsid w:val="005928B7"/>
    <w:rsid w:val="005941DD"/>
    <w:rsid w:val="00596005"/>
    <w:rsid w:val="00596749"/>
    <w:rsid w:val="005969E1"/>
    <w:rsid w:val="0059772F"/>
    <w:rsid w:val="00597CD5"/>
    <w:rsid w:val="005A2A62"/>
    <w:rsid w:val="005A34D8"/>
    <w:rsid w:val="005A49FE"/>
    <w:rsid w:val="005A58DB"/>
    <w:rsid w:val="005A596B"/>
    <w:rsid w:val="005A5DCC"/>
    <w:rsid w:val="005A608F"/>
    <w:rsid w:val="005A6533"/>
    <w:rsid w:val="005A669F"/>
    <w:rsid w:val="005A687D"/>
    <w:rsid w:val="005A73FB"/>
    <w:rsid w:val="005B1442"/>
    <w:rsid w:val="005B1FA1"/>
    <w:rsid w:val="005B20F8"/>
    <w:rsid w:val="005B22FA"/>
    <w:rsid w:val="005B29A3"/>
    <w:rsid w:val="005B3A5D"/>
    <w:rsid w:val="005B4D8E"/>
    <w:rsid w:val="005B4F4F"/>
    <w:rsid w:val="005B6DB8"/>
    <w:rsid w:val="005B6FE9"/>
    <w:rsid w:val="005B7072"/>
    <w:rsid w:val="005B7D28"/>
    <w:rsid w:val="005C0A9B"/>
    <w:rsid w:val="005C17CE"/>
    <w:rsid w:val="005C1A99"/>
    <w:rsid w:val="005C2E6D"/>
    <w:rsid w:val="005C4332"/>
    <w:rsid w:val="005C4446"/>
    <w:rsid w:val="005C4ACC"/>
    <w:rsid w:val="005C5CB3"/>
    <w:rsid w:val="005C76C2"/>
    <w:rsid w:val="005C7AC7"/>
    <w:rsid w:val="005C7E94"/>
    <w:rsid w:val="005D172E"/>
    <w:rsid w:val="005D1D81"/>
    <w:rsid w:val="005D224A"/>
    <w:rsid w:val="005D2622"/>
    <w:rsid w:val="005D2DA0"/>
    <w:rsid w:val="005D3200"/>
    <w:rsid w:val="005D466D"/>
    <w:rsid w:val="005D4A9B"/>
    <w:rsid w:val="005D5CE3"/>
    <w:rsid w:val="005D66F6"/>
    <w:rsid w:val="005D7483"/>
    <w:rsid w:val="005D7706"/>
    <w:rsid w:val="005D7775"/>
    <w:rsid w:val="005D7A47"/>
    <w:rsid w:val="005E164C"/>
    <w:rsid w:val="005E2202"/>
    <w:rsid w:val="005E2700"/>
    <w:rsid w:val="005E2809"/>
    <w:rsid w:val="005E2A35"/>
    <w:rsid w:val="005E3B52"/>
    <w:rsid w:val="005E4869"/>
    <w:rsid w:val="005E48E6"/>
    <w:rsid w:val="005E5985"/>
    <w:rsid w:val="005E7421"/>
    <w:rsid w:val="005F32B6"/>
    <w:rsid w:val="005F34A7"/>
    <w:rsid w:val="005F37F5"/>
    <w:rsid w:val="005F3AA2"/>
    <w:rsid w:val="005F3DEE"/>
    <w:rsid w:val="005F3EBE"/>
    <w:rsid w:val="005F689A"/>
    <w:rsid w:val="005F6DDD"/>
    <w:rsid w:val="005F70B4"/>
    <w:rsid w:val="005F71EE"/>
    <w:rsid w:val="005F7310"/>
    <w:rsid w:val="005F75E1"/>
    <w:rsid w:val="005F7C02"/>
    <w:rsid w:val="00600911"/>
    <w:rsid w:val="00602319"/>
    <w:rsid w:val="00602692"/>
    <w:rsid w:val="00602D3E"/>
    <w:rsid w:val="00602DF3"/>
    <w:rsid w:val="00604083"/>
    <w:rsid w:val="006045EF"/>
    <w:rsid w:val="006046A4"/>
    <w:rsid w:val="00605E88"/>
    <w:rsid w:val="00606829"/>
    <w:rsid w:val="0060689B"/>
    <w:rsid w:val="0061017B"/>
    <w:rsid w:val="006105BC"/>
    <w:rsid w:val="00610769"/>
    <w:rsid w:val="00612E7C"/>
    <w:rsid w:val="00613B80"/>
    <w:rsid w:val="00614003"/>
    <w:rsid w:val="00614535"/>
    <w:rsid w:val="00614A01"/>
    <w:rsid w:val="0061560D"/>
    <w:rsid w:val="00615EFC"/>
    <w:rsid w:val="0061608E"/>
    <w:rsid w:val="0061668A"/>
    <w:rsid w:val="0061710C"/>
    <w:rsid w:val="00617447"/>
    <w:rsid w:val="006177F1"/>
    <w:rsid w:val="00617D86"/>
    <w:rsid w:val="00620A70"/>
    <w:rsid w:val="006214F2"/>
    <w:rsid w:val="00621B69"/>
    <w:rsid w:val="00621E4F"/>
    <w:rsid w:val="00622290"/>
    <w:rsid w:val="006228C8"/>
    <w:rsid w:val="00623B1F"/>
    <w:rsid w:val="00624516"/>
    <w:rsid w:val="0062458B"/>
    <w:rsid w:val="00624A33"/>
    <w:rsid w:val="00624D11"/>
    <w:rsid w:val="00624FA9"/>
    <w:rsid w:val="00625414"/>
    <w:rsid w:val="006257BD"/>
    <w:rsid w:val="00625A0E"/>
    <w:rsid w:val="00626341"/>
    <w:rsid w:val="0062644A"/>
    <w:rsid w:val="00627092"/>
    <w:rsid w:val="00630251"/>
    <w:rsid w:val="00630ACB"/>
    <w:rsid w:val="006310EB"/>
    <w:rsid w:val="0063157B"/>
    <w:rsid w:val="006323F3"/>
    <w:rsid w:val="00632B6C"/>
    <w:rsid w:val="00632E7C"/>
    <w:rsid w:val="00633021"/>
    <w:rsid w:val="006338BF"/>
    <w:rsid w:val="00634129"/>
    <w:rsid w:val="00634C91"/>
    <w:rsid w:val="00635B2A"/>
    <w:rsid w:val="006368CA"/>
    <w:rsid w:val="00636A04"/>
    <w:rsid w:val="0063739C"/>
    <w:rsid w:val="006379EA"/>
    <w:rsid w:val="00640438"/>
    <w:rsid w:val="00640F0B"/>
    <w:rsid w:val="0064112C"/>
    <w:rsid w:val="0064123E"/>
    <w:rsid w:val="00641688"/>
    <w:rsid w:val="006417EF"/>
    <w:rsid w:val="0064199C"/>
    <w:rsid w:val="00641B46"/>
    <w:rsid w:val="00642992"/>
    <w:rsid w:val="00642B35"/>
    <w:rsid w:val="00643347"/>
    <w:rsid w:val="006458F3"/>
    <w:rsid w:val="00645A83"/>
    <w:rsid w:val="006463DF"/>
    <w:rsid w:val="006467E0"/>
    <w:rsid w:val="00646D3D"/>
    <w:rsid w:val="006477A5"/>
    <w:rsid w:val="00647DD3"/>
    <w:rsid w:val="00650AB5"/>
    <w:rsid w:val="00650D8D"/>
    <w:rsid w:val="00653742"/>
    <w:rsid w:val="00653F91"/>
    <w:rsid w:val="006545F7"/>
    <w:rsid w:val="00655DC4"/>
    <w:rsid w:val="00656423"/>
    <w:rsid w:val="00656956"/>
    <w:rsid w:val="006570F6"/>
    <w:rsid w:val="006571DF"/>
    <w:rsid w:val="006572BA"/>
    <w:rsid w:val="00657BA8"/>
    <w:rsid w:val="00660691"/>
    <w:rsid w:val="0066160C"/>
    <w:rsid w:val="00661E56"/>
    <w:rsid w:val="00661F15"/>
    <w:rsid w:val="006623B6"/>
    <w:rsid w:val="00662B83"/>
    <w:rsid w:val="0066383E"/>
    <w:rsid w:val="00665EF9"/>
    <w:rsid w:val="00666460"/>
    <w:rsid w:val="006668E1"/>
    <w:rsid w:val="00666931"/>
    <w:rsid w:val="006671F4"/>
    <w:rsid w:val="006676AC"/>
    <w:rsid w:val="006700C6"/>
    <w:rsid w:val="006700F1"/>
    <w:rsid w:val="006706E9"/>
    <w:rsid w:val="0067105E"/>
    <w:rsid w:val="00671B54"/>
    <w:rsid w:val="006733B9"/>
    <w:rsid w:val="00674353"/>
    <w:rsid w:val="0067543D"/>
    <w:rsid w:val="0067594A"/>
    <w:rsid w:val="00676627"/>
    <w:rsid w:val="006776E2"/>
    <w:rsid w:val="006777FE"/>
    <w:rsid w:val="00677A8A"/>
    <w:rsid w:val="00677D1B"/>
    <w:rsid w:val="0068101E"/>
    <w:rsid w:val="006815CF"/>
    <w:rsid w:val="00681FA7"/>
    <w:rsid w:val="006821F3"/>
    <w:rsid w:val="006828A6"/>
    <w:rsid w:val="00682DFB"/>
    <w:rsid w:val="0068313E"/>
    <w:rsid w:val="006836AE"/>
    <w:rsid w:val="00683C09"/>
    <w:rsid w:val="0068497A"/>
    <w:rsid w:val="00684ED3"/>
    <w:rsid w:val="00685330"/>
    <w:rsid w:val="006853A6"/>
    <w:rsid w:val="006854BF"/>
    <w:rsid w:val="00685C44"/>
    <w:rsid w:val="00685EC9"/>
    <w:rsid w:val="00687107"/>
    <w:rsid w:val="006900ED"/>
    <w:rsid w:val="00690A8C"/>
    <w:rsid w:val="00690BB4"/>
    <w:rsid w:val="006912B5"/>
    <w:rsid w:val="00691DDA"/>
    <w:rsid w:val="00692A86"/>
    <w:rsid w:val="00692FA0"/>
    <w:rsid w:val="006939A4"/>
    <w:rsid w:val="006939B2"/>
    <w:rsid w:val="00693C27"/>
    <w:rsid w:val="0069490B"/>
    <w:rsid w:val="00694F44"/>
    <w:rsid w:val="00695760"/>
    <w:rsid w:val="0069696D"/>
    <w:rsid w:val="00696A84"/>
    <w:rsid w:val="00696AE3"/>
    <w:rsid w:val="0069712D"/>
    <w:rsid w:val="006A01F0"/>
    <w:rsid w:val="006A03B5"/>
    <w:rsid w:val="006A085A"/>
    <w:rsid w:val="006A08F3"/>
    <w:rsid w:val="006A0929"/>
    <w:rsid w:val="006A094C"/>
    <w:rsid w:val="006A0A28"/>
    <w:rsid w:val="006A1AA8"/>
    <w:rsid w:val="006A1ABE"/>
    <w:rsid w:val="006A3CAD"/>
    <w:rsid w:val="006A3CB3"/>
    <w:rsid w:val="006A3F51"/>
    <w:rsid w:val="006A48AE"/>
    <w:rsid w:val="006A4EB4"/>
    <w:rsid w:val="006A4FED"/>
    <w:rsid w:val="006A5D65"/>
    <w:rsid w:val="006A5EA2"/>
    <w:rsid w:val="006A6E2E"/>
    <w:rsid w:val="006B0053"/>
    <w:rsid w:val="006B0D40"/>
    <w:rsid w:val="006B117A"/>
    <w:rsid w:val="006B11EF"/>
    <w:rsid w:val="006B1577"/>
    <w:rsid w:val="006B16F3"/>
    <w:rsid w:val="006B2349"/>
    <w:rsid w:val="006B2D13"/>
    <w:rsid w:val="006B3081"/>
    <w:rsid w:val="006B3820"/>
    <w:rsid w:val="006B49D1"/>
    <w:rsid w:val="006B4E5A"/>
    <w:rsid w:val="006B4FD9"/>
    <w:rsid w:val="006B5823"/>
    <w:rsid w:val="006B5FAC"/>
    <w:rsid w:val="006B694E"/>
    <w:rsid w:val="006B7C59"/>
    <w:rsid w:val="006C0281"/>
    <w:rsid w:val="006C1151"/>
    <w:rsid w:val="006C1D46"/>
    <w:rsid w:val="006C1EC5"/>
    <w:rsid w:val="006C2935"/>
    <w:rsid w:val="006C2EB2"/>
    <w:rsid w:val="006C31CC"/>
    <w:rsid w:val="006C44B9"/>
    <w:rsid w:val="006C4F93"/>
    <w:rsid w:val="006C5D31"/>
    <w:rsid w:val="006C6ADE"/>
    <w:rsid w:val="006D02DE"/>
    <w:rsid w:val="006D07FF"/>
    <w:rsid w:val="006D09CC"/>
    <w:rsid w:val="006D1064"/>
    <w:rsid w:val="006D10D8"/>
    <w:rsid w:val="006D11D4"/>
    <w:rsid w:val="006D1AD6"/>
    <w:rsid w:val="006D228D"/>
    <w:rsid w:val="006D25EE"/>
    <w:rsid w:val="006D4E82"/>
    <w:rsid w:val="006D52F9"/>
    <w:rsid w:val="006D5656"/>
    <w:rsid w:val="006D5990"/>
    <w:rsid w:val="006D62C5"/>
    <w:rsid w:val="006D69CD"/>
    <w:rsid w:val="006D6D68"/>
    <w:rsid w:val="006D7075"/>
    <w:rsid w:val="006D7635"/>
    <w:rsid w:val="006D7F7F"/>
    <w:rsid w:val="006E010F"/>
    <w:rsid w:val="006E14FD"/>
    <w:rsid w:val="006E22DA"/>
    <w:rsid w:val="006E25E7"/>
    <w:rsid w:val="006E355C"/>
    <w:rsid w:val="006E3A36"/>
    <w:rsid w:val="006E40E5"/>
    <w:rsid w:val="006E50FF"/>
    <w:rsid w:val="006E5376"/>
    <w:rsid w:val="006E56E3"/>
    <w:rsid w:val="006E5858"/>
    <w:rsid w:val="006E5C17"/>
    <w:rsid w:val="006E6ED7"/>
    <w:rsid w:val="006E72F5"/>
    <w:rsid w:val="006E7863"/>
    <w:rsid w:val="006E7AE1"/>
    <w:rsid w:val="006E7D04"/>
    <w:rsid w:val="006F143E"/>
    <w:rsid w:val="006F1F32"/>
    <w:rsid w:val="006F238A"/>
    <w:rsid w:val="006F262F"/>
    <w:rsid w:val="006F2C05"/>
    <w:rsid w:val="006F3FF1"/>
    <w:rsid w:val="006F413D"/>
    <w:rsid w:val="006F4F85"/>
    <w:rsid w:val="006F5869"/>
    <w:rsid w:val="006F6556"/>
    <w:rsid w:val="006F7622"/>
    <w:rsid w:val="006F7B12"/>
    <w:rsid w:val="007014D7"/>
    <w:rsid w:val="00702603"/>
    <w:rsid w:val="00702E58"/>
    <w:rsid w:val="007031FE"/>
    <w:rsid w:val="00703C50"/>
    <w:rsid w:val="00704BC0"/>
    <w:rsid w:val="0070571F"/>
    <w:rsid w:val="0070597E"/>
    <w:rsid w:val="00705AB3"/>
    <w:rsid w:val="00706484"/>
    <w:rsid w:val="00706927"/>
    <w:rsid w:val="007072C9"/>
    <w:rsid w:val="00707745"/>
    <w:rsid w:val="0071064D"/>
    <w:rsid w:val="007117CA"/>
    <w:rsid w:val="007118B2"/>
    <w:rsid w:val="00711D01"/>
    <w:rsid w:val="00711F25"/>
    <w:rsid w:val="00712B12"/>
    <w:rsid w:val="00713B2C"/>
    <w:rsid w:val="00713BCD"/>
    <w:rsid w:val="00714007"/>
    <w:rsid w:val="007142DC"/>
    <w:rsid w:val="00714BB7"/>
    <w:rsid w:val="00714F8B"/>
    <w:rsid w:val="0071503E"/>
    <w:rsid w:val="00716BFB"/>
    <w:rsid w:val="00717931"/>
    <w:rsid w:val="00717B01"/>
    <w:rsid w:val="00717DD3"/>
    <w:rsid w:val="00717F93"/>
    <w:rsid w:val="00720A9E"/>
    <w:rsid w:val="00721490"/>
    <w:rsid w:val="00721E52"/>
    <w:rsid w:val="00722C30"/>
    <w:rsid w:val="00722D9A"/>
    <w:rsid w:val="0072551B"/>
    <w:rsid w:val="0072554B"/>
    <w:rsid w:val="007256C5"/>
    <w:rsid w:val="00725BBA"/>
    <w:rsid w:val="00725D9D"/>
    <w:rsid w:val="00727D89"/>
    <w:rsid w:val="007304D9"/>
    <w:rsid w:val="0073129B"/>
    <w:rsid w:val="00731BE0"/>
    <w:rsid w:val="00732330"/>
    <w:rsid w:val="00732AC5"/>
    <w:rsid w:val="00733102"/>
    <w:rsid w:val="007336EA"/>
    <w:rsid w:val="00733A68"/>
    <w:rsid w:val="00733A6B"/>
    <w:rsid w:val="00733C8E"/>
    <w:rsid w:val="00734031"/>
    <w:rsid w:val="007347C9"/>
    <w:rsid w:val="00737797"/>
    <w:rsid w:val="007406CB"/>
    <w:rsid w:val="007408B6"/>
    <w:rsid w:val="007409C1"/>
    <w:rsid w:val="00740D99"/>
    <w:rsid w:val="00741C57"/>
    <w:rsid w:val="0074242B"/>
    <w:rsid w:val="00742AE6"/>
    <w:rsid w:val="00743516"/>
    <w:rsid w:val="0074388E"/>
    <w:rsid w:val="00744898"/>
    <w:rsid w:val="00745B30"/>
    <w:rsid w:val="00746360"/>
    <w:rsid w:val="00746ECF"/>
    <w:rsid w:val="0074775E"/>
    <w:rsid w:val="007479FD"/>
    <w:rsid w:val="00747A3E"/>
    <w:rsid w:val="00752095"/>
    <w:rsid w:val="00752888"/>
    <w:rsid w:val="00753CFD"/>
    <w:rsid w:val="00754120"/>
    <w:rsid w:val="007546D3"/>
    <w:rsid w:val="00755AD6"/>
    <w:rsid w:val="00755AFC"/>
    <w:rsid w:val="0075645C"/>
    <w:rsid w:val="00756467"/>
    <w:rsid w:val="0075649B"/>
    <w:rsid w:val="007572DB"/>
    <w:rsid w:val="00757699"/>
    <w:rsid w:val="00757E23"/>
    <w:rsid w:val="007601D7"/>
    <w:rsid w:val="007608DE"/>
    <w:rsid w:val="007615AF"/>
    <w:rsid w:val="0076167C"/>
    <w:rsid w:val="00761E98"/>
    <w:rsid w:val="00762182"/>
    <w:rsid w:val="00765528"/>
    <w:rsid w:val="007659B4"/>
    <w:rsid w:val="00765EE6"/>
    <w:rsid w:val="00765F96"/>
    <w:rsid w:val="007678CC"/>
    <w:rsid w:val="00767F35"/>
    <w:rsid w:val="007703C0"/>
    <w:rsid w:val="007706E9"/>
    <w:rsid w:val="0077110A"/>
    <w:rsid w:val="0077165C"/>
    <w:rsid w:val="00771C23"/>
    <w:rsid w:val="00772245"/>
    <w:rsid w:val="00773688"/>
    <w:rsid w:val="00773D4B"/>
    <w:rsid w:val="00774434"/>
    <w:rsid w:val="007755B9"/>
    <w:rsid w:val="0077731B"/>
    <w:rsid w:val="007773D6"/>
    <w:rsid w:val="007802CE"/>
    <w:rsid w:val="0078073C"/>
    <w:rsid w:val="00781960"/>
    <w:rsid w:val="00782229"/>
    <w:rsid w:val="00782E1C"/>
    <w:rsid w:val="0078371A"/>
    <w:rsid w:val="00784045"/>
    <w:rsid w:val="00784EA4"/>
    <w:rsid w:val="00785C70"/>
    <w:rsid w:val="00786171"/>
    <w:rsid w:val="00786FDB"/>
    <w:rsid w:val="007873B3"/>
    <w:rsid w:val="0079077F"/>
    <w:rsid w:val="00790A72"/>
    <w:rsid w:val="0079259A"/>
    <w:rsid w:val="00792C0E"/>
    <w:rsid w:val="00792C35"/>
    <w:rsid w:val="007931CB"/>
    <w:rsid w:val="00793502"/>
    <w:rsid w:val="007938EC"/>
    <w:rsid w:val="0079400B"/>
    <w:rsid w:val="00794B34"/>
    <w:rsid w:val="00795653"/>
    <w:rsid w:val="00795B5B"/>
    <w:rsid w:val="00795D21"/>
    <w:rsid w:val="00795F4A"/>
    <w:rsid w:val="00796771"/>
    <w:rsid w:val="007A18C9"/>
    <w:rsid w:val="007A1E03"/>
    <w:rsid w:val="007A3630"/>
    <w:rsid w:val="007A417B"/>
    <w:rsid w:val="007A4DE5"/>
    <w:rsid w:val="007A53C2"/>
    <w:rsid w:val="007A5CDC"/>
    <w:rsid w:val="007A6235"/>
    <w:rsid w:val="007A7040"/>
    <w:rsid w:val="007A778D"/>
    <w:rsid w:val="007A783B"/>
    <w:rsid w:val="007A7FF0"/>
    <w:rsid w:val="007B009F"/>
    <w:rsid w:val="007B06DA"/>
    <w:rsid w:val="007B0EEF"/>
    <w:rsid w:val="007B174E"/>
    <w:rsid w:val="007B1798"/>
    <w:rsid w:val="007B1A3E"/>
    <w:rsid w:val="007B2262"/>
    <w:rsid w:val="007B2BBD"/>
    <w:rsid w:val="007B476F"/>
    <w:rsid w:val="007B480A"/>
    <w:rsid w:val="007B4C0D"/>
    <w:rsid w:val="007B54A6"/>
    <w:rsid w:val="007B5F8C"/>
    <w:rsid w:val="007B632D"/>
    <w:rsid w:val="007B6653"/>
    <w:rsid w:val="007B6B87"/>
    <w:rsid w:val="007B700F"/>
    <w:rsid w:val="007B7342"/>
    <w:rsid w:val="007B7759"/>
    <w:rsid w:val="007B78F8"/>
    <w:rsid w:val="007B7C76"/>
    <w:rsid w:val="007C15BA"/>
    <w:rsid w:val="007C1974"/>
    <w:rsid w:val="007C1F68"/>
    <w:rsid w:val="007C2C6B"/>
    <w:rsid w:val="007C3571"/>
    <w:rsid w:val="007C3BF5"/>
    <w:rsid w:val="007C5736"/>
    <w:rsid w:val="007C77A1"/>
    <w:rsid w:val="007C7BCB"/>
    <w:rsid w:val="007C7BD8"/>
    <w:rsid w:val="007D001B"/>
    <w:rsid w:val="007D0277"/>
    <w:rsid w:val="007D2701"/>
    <w:rsid w:val="007D3A1B"/>
    <w:rsid w:val="007D4F8F"/>
    <w:rsid w:val="007D54F5"/>
    <w:rsid w:val="007D5D5E"/>
    <w:rsid w:val="007D6432"/>
    <w:rsid w:val="007D7174"/>
    <w:rsid w:val="007D793B"/>
    <w:rsid w:val="007D7A5F"/>
    <w:rsid w:val="007D7C24"/>
    <w:rsid w:val="007D7F3D"/>
    <w:rsid w:val="007E0097"/>
    <w:rsid w:val="007E116A"/>
    <w:rsid w:val="007E1962"/>
    <w:rsid w:val="007E2AC6"/>
    <w:rsid w:val="007E2D4B"/>
    <w:rsid w:val="007E39F8"/>
    <w:rsid w:val="007E40E9"/>
    <w:rsid w:val="007E41A2"/>
    <w:rsid w:val="007E4331"/>
    <w:rsid w:val="007E4D25"/>
    <w:rsid w:val="007E5241"/>
    <w:rsid w:val="007E52DC"/>
    <w:rsid w:val="007E5DF7"/>
    <w:rsid w:val="007E7405"/>
    <w:rsid w:val="007E7817"/>
    <w:rsid w:val="007F0106"/>
    <w:rsid w:val="007F08AE"/>
    <w:rsid w:val="007F0E1B"/>
    <w:rsid w:val="007F0E94"/>
    <w:rsid w:val="007F17C2"/>
    <w:rsid w:val="007F188A"/>
    <w:rsid w:val="007F207F"/>
    <w:rsid w:val="007F244E"/>
    <w:rsid w:val="007F39C1"/>
    <w:rsid w:val="007F3B4E"/>
    <w:rsid w:val="007F3C3B"/>
    <w:rsid w:val="007F3DCF"/>
    <w:rsid w:val="007F3FA5"/>
    <w:rsid w:val="007F45CA"/>
    <w:rsid w:val="007F46B8"/>
    <w:rsid w:val="007F4DFC"/>
    <w:rsid w:val="007F52F1"/>
    <w:rsid w:val="007F63C8"/>
    <w:rsid w:val="007F682A"/>
    <w:rsid w:val="007F74F4"/>
    <w:rsid w:val="007F754F"/>
    <w:rsid w:val="007F78F6"/>
    <w:rsid w:val="007F7DBF"/>
    <w:rsid w:val="007F7E56"/>
    <w:rsid w:val="00800752"/>
    <w:rsid w:val="00800782"/>
    <w:rsid w:val="00800F68"/>
    <w:rsid w:val="00801EA9"/>
    <w:rsid w:val="008028ED"/>
    <w:rsid w:val="008038D3"/>
    <w:rsid w:val="00803AB5"/>
    <w:rsid w:val="00804C3A"/>
    <w:rsid w:val="0080514E"/>
    <w:rsid w:val="00805444"/>
    <w:rsid w:val="008063CF"/>
    <w:rsid w:val="00806872"/>
    <w:rsid w:val="008073EB"/>
    <w:rsid w:val="00810CFE"/>
    <w:rsid w:val="0081325E"/>
    <w:rsid w:val="0081484A"/>
    <w:rsid w:val="00814884"/>
    <w:rsid w:val="00815267"/>
    <w:rsid w:val="0081660F"/>
    <w:rsid w:val="00816654"/>
    <w:rsid w:val="008175F4"/>
    <w:rsid w:val="0081795A"/>
    <w:rsid w:val="008203A2"/>
    <w:rsid w:val="008203D5"/>
    <w:rsid w:val="00820524"/>
    <w:rsid w:val="008207D3"/>
    <w:rsid w:val="008208C9"/>
    <w:rsid w:val="008222C8"/>
    <w:rsid w:val="00822906"/>
    <w:rsid w:val="00823909"/>
    <w:rsid w:val="00823981"/>
    <w:rsid w:val="00823CF7"/>
    <w:rsid w:val="00823E11"/>
    <w:rsid w:val="00824716"/>
    <w:rsid w:val="00824BA5"/>
    <w:rsid w:val="00825553"/>
    <w:rsid w:val="00825DB1"/>
    <w:rsid w:val="00826753"/>
    <w:rsid w:val="008301CD"/>
    <w:rsid w:val="00831151"/>
    <w:rsid w:val="00831894"/>
    <w:rsid w:val="00832058"/>
    <w:rsid w:val="00832D9F"/>
    <w:rsid w:val="0083341A"/>
    <w:rsid w:val="00834086"/>
    <w:rsid w:val="00834974"/>
    <w:rsid w:val="008352DF"/>
    <w:rsid w:val="00835C08"/>
    <w:rsid w:val="00836471"/>
    <w:rsid w:val="008372CB"/>
    <w:rsid w:val="0083765A"/>
    <w:rsid w:val="00837725"/>
    <w:rsid w:val="008377C2"/>
    <w:rsid w:val="0083797A"/>
    <w:rsid w:val="00837A99"/>
    <w:rsid w:val="00840F3B"/>
    <w:rsid w:val="0084125B"/>
    <w:rsid w:val="00841356"/>
    <w:rsid w:val="00841F1A"/>
    <w:rsid w:val="00843038"/>
    <w:rsid w:val="00843CEF"/>
    <w:rsid w:val="008440D0"/>
    <w:rsid w:val="00845C19"/>
    <w:rsid w:val="00847454"/>
    <w:rsid w:val="00851349"/>
    <w:rsid w:val="008518DC"/>
    <w:rsid w:val="008541FB"/>
    <w:rsid w:val="008549F3"/>
    <w:rsid w:val="00854DDF"/>
    <w:rsid w:val="00855274"/>
    <w:rsid w:val="00855520"/>
    <w:rsid w:val="00856664"/>
    <w:rsid w:val="00856B69"/>
    <w:rsid w:val="0085718C"/>
    <w:rsid w:val="0086045A"/>
    <w:rsid w:val="00860C95"/>
    <w:rsid w:val="00861269"/>
    <w:rsid w:val="00861584"/>
    <w:rsid w:val="008615FE"/>
    <w:rsid w:val="0086198D"/>
    <w:rsid w:val="008626F7"/>
    <w:rsid w:val="008633DB"/>
    <w:rsid w:val="00863918"/>
    <w:rsid w:val="00864756"/>
    <w:rsid w:val="00865A4A"/>
    <w:rsid w:val="00866513"/>
    <w:rsid w:val="008668E0"/>
    <w:rsid w:val="00866E9C"/>
    <w:rsid w:val="00867670"/>
    <w:rsid w:val="008679A4"/>
    <w:rsid w:val="00870081"/>
    <w:rsid w:val="008706CD"/>
    <w:rsid w:val="0087128E"/>
    <w:rsid w:val="008715C8"/>
    <w:rsid w:val="008725D8"/>
    <w:rsid w:val="00872CAD"/>
    <w:rsid w:val="00873E30"/>
    <w:rsid w:val="00874AC0"/>
    <w:rsid w:val="00875520"/>
    <w:rsid w:val="00875775"/>
    <w:rsid w:val="0087627F"/>
    <w:rsid w:val="008762EC"/>
    <w:rsid w:val="00876BF7"/>
    <w:rsid w:val="00877CB6"/>
    <w:rsid w:val="00880161"/>
    <w:rsid w:val="0088032C"/>
    <w:rsid w:val="00880F1B"/>
    <w:rsid w:val="008815C3"/>
    <w:rsid w:val="008823C0"/>
    <w:rsid w:val="0088381A"/>
    <w:rsid w:val="00883B21"/>
    <w:rsid w:val="008841AF"/>
    <w:rsid w:val="008846EE"/>
    <w:rsid w:val="00884929"/>
    <w:rsid w:val="00884B99"/>
    <w:rsid w:val="00884C4D"/>
    <w:rsid w:val="008855D7"/>
    <w:rsid w:val="008856C8"/>
    <w:rsid w:val="00885910"/>
    <w:rsid w:val="00885C01"/>
    <w:rsid w:val="00886F07"/>
    <w:rsid w:val="00887F8D"/>
    <w:rsid w:val="00890136"/>
    <w:rsid w:val="00890BD7"/>
    <w:rsid w:val="0089152F"/>
    <w:rsid w:val="00892434"/>
    <w:rsid w:val="00892904"/>
    <w:rsid w:val="008929D0"/>
    <w:rsid w:val="00892BED"/>
    <w:rsid w:val="008942DE"/>
    <w:rsid w:val="0089431D"/>
    <w:rsid w:val="00894F1F"/>
    <w:rsid w:val="008954BD"/>
    <w:rsid w:val="00895833"/>
    <w:rsid w:val="00896647"/>
    <w:rsid w:val="008968D5"/>
    <w:rsid w:val="0089773D"/>
    <w:rsid w:val="00897B22"/>
    <w:rsid w:val="00897CAD"/>
    <w:rsid w:val="00897DA0"/>
    <w:rsid w:val="008A0A64"/>
    <w:rsid w:val="008A0BC9"/>
    <w:rsid w:val="008A23F0"/>
    <w:rsid w:val="008A27EA"/>
    <w:rsid w:val="008A2C7B"/>
    <w:rsid w:val="008A3E00"/>
    <w:rsid w:val="008A51AB"/>
    <w:rsid w:val="008A62D7"/>
    <w:rsid w:val="008A667C"/>
    <w:rsid w:val="008A6DDA"/>
    <w:rsid w:val="008A7CC2"/>
    <w:rsid w:val="008B071A"/>
    <w:rsid w:val="008B135A"/>
    <w:rsid w:val="008B1601"/>
    <w:rsid w:val="008B1F6A"/>
    <w:rsid w:val="008B2114"/>
    <w:rsid w:val="008B27AA"/>
    <w:rsid w:val="008B2B43"/>
    <w:rsid w:val="008B4F09"/>
    <w:rsid w:val="008B5622"/>
    <w:rsid w:val="008B6555"/>
    <w:rsid w:val="008B6A22"/>
    <w:rsid w:val="008B6D58"/>
    <w:rsid w:val="008B79E6"/>
    <w:rsid w:val="008C0009"/>
    <w:rsid w:val="008C132C"/>
    <w:rsid w:val="008C14C2"/>
    <w:rsid w:val="008C1CA0"/>
    <w:rsid w:val="008C2A27"/>
    <w:rsid w:val="008C3147"/>
    <w:rsid w:val="008C31A8"/>
    <w:rsid w:val="008C31FF"/>
    <w:rsid w:val="008C3CA4"/>
    <w:rsid w:val="008C3D87"/>
    <w:rsid w:val="008C4167"/>
    <w:rsid w:val="008C52B8"/>
    <w:rsid w:val="008C58EF"/>
    <w:rsid w:val="008C75BB"/>
    <w:rsid w:val="008C77B5"/>
    <w:rsid w:val="008C7D05"/>
    <w:rsid w:val="008D0E82"/>
    <w:rsid w:val="008D17CA"/>
    <w:rsid w:val="008D3087"/>
    <w:rsid w:val="008D3521"/>
    <w:rsid w:val="008D6675"/>
    <w:rsid w:val="008D6D12"/>
    <w:rsid w:val="008D7573"/>
    <w:rsid w:val="008D761A"/>
    <w:rsid w:val="008D79E2"/>
    <w:rsid w:val="008D7DB5"/>
    <w:rsid w:val="008E038B"/>
    <w:rsid w:val="008E1C4B"/>
    <w:rsid w:val="008E2544"/>
    <w:rsid w:val="008E26C8"/>
    <w:rsid w:val="008E33A7"/>
    <w:rsid w:val="008E4CA5"/>
    <w:rsid w:val="008E5243"/>
    <w:rsid w:val="008E56E0"/>
    <w:rsid w:val="008E5D04"/>
    <w:rsid w:val="008E64DC"/>
    <w:rsid w:val="008E6C4A"/>
    <w:rsid w:val="008E6C85"/>
    <w:rsid w:val="008E6F43"/>
    <w:rsid w:val="008E7A7F"/>
    <w:rsid w:val="008E7B53"/>
    <w:rsid w:val="008F0F3E"/>
    <w:rsid w:val="008F2340"/>
    <w:rsid w:val="008F2887"/>
    <w:rsid w:val="008F2A15"/>
    <w:rsid w:val="008F2EA9"/>
    <w:rsid w:val="008F3563"/>
    <w:rsid w:val="008F3C8E"/>
    <w:rsid w:val="008F47AF"/>
    <w:rsid w:val="008F4915"/>
    <w:rsid w:val="008F4A3B"/>
    <w:rsid w:val="008F5F06"/>
    <w:rsid w:val="008F6856"/>
    <w:rsid w:val="008F7CD6"/>
    <w:rsid w:val="0090115C"/>
    <w:rsid w:val="009011D0"/>
    <w:rsid w:val="009015B0"/>
    <w:rsid w:val="009025AC"/>
    <w:rsid w:val="009029BF"/>
    <w:rsid w:val="00902C70"/>
    <w:rsid w:val="00902F57"/>
    <w:rsid w:val="00906621"/>
    <w:rsid w:val="00906F53"/>
    <w:rsid w:val="009075AE"/>
    <w:rsid w:val="009114DD"/>
    <w:rsid w:val="009116CD"/>
    <w:rsid w:val="00912B1D"/>
    <w:rsid w:val="0091305D"/>
    <w:rsid w:val="009131FE"/>
    <w:rsid w:val="00913678"/>
    <w:rsid w:val="00913C04"/>
    <w:rsid w:val="00913D0A"/>
    <w:rsid w:val="009149F9"/>
    <w:rsid w:val="00915D1B"/>
    <w:rsid w:val="00915E94"/>
    <w:rsid w:val="009161C1"/>
    <w:rsid w:val="00917061"/>
    <w:rsid w:val="00917321"/>
    <w:rsid w:val="00917BE5"/>
    <w:rsid w:val="00920151"/>
    <w:rsid w:val="0092023A"/>
    <w:rsid w:val="0092039A"/>
    <w:rsid w:val="00920659"/>
    <w:rsid w:val="009215D7"/>
    <w:rsid w:val="00921741"/>
    <w:rsid w:val="00921A63"/>
    <w:rsid w:val="00922946"/>
    <w:rsid w:val="00922FEB"/>
    <w:rsid w:val="00923B0E"/>
    <w:rsid w:val="00923E63"/>
    <w:rsid w:val="00923EC2"/>
    <w:rsid w:val="0092462A"/>
    <w:rsid w:val="00925288"/>
    <w:rsid w:val="00925557"/>
    <w:rsid w:val="0092563F"/>
    <w:rsid w:val="00925EE8"/>
    <w:rsid w:val="00926024"/>
    <w:rsid w:val="0092694B"/>
    <w:rsid w:val="00926AD6"/>
    <w:rsid w:val="00926BF3"/>
    <w:rsid w:val="009275C9"/>
    <w:rsid w:val="00927A45"/>
    <w:rsid w:val="009306CF"/>
    <w:rsid w:val="00930BE0"/>
    <w:rsid w:val="009315C1"/>
    <w:rsid w:val="00932390"/>
    <w:rsid w:val="00932AF5"/>
    <w:rsid w:val="00933649"/>
    <w:rsid w:val="00933E23"/>
    <w:rsid w:val="00934879"/>
    <w:rsid w:val="00934B5A"/>
    <w:rsid w:val="00934F9A"/>
    <w:rsid w:val="0093501C"/>
    <w:rsid w:val="00935C78"/>
    <w:rsid w:val="00937CE5"/>
    <w:rsid w:val="00940A75"/>
    <w:rsid w:val="00940ED0"/>
    <w:rsid w:val="00941031"/>
    <w:rsid w:val="00941069"/>
    <w:rsid w:val="00941757"/>
    <w:rsid w:val="00941931"/>
    <w:rsid w:val="009431C4"/>
    <w:rsid w:val="009439AC"/>
    <w:rsid w:val="00943E54"/>
    <w:rsid w:val="009468E6"/>
    <w:rsid w:val="00946982"/>
    <w:rsid w:val="00946D77"/>
    <w:rsid w:val="009508C1"/>
    <w:rsid w:val="00950C63"/>
    <w:rsid w:val="00951063"/>
    <w:rsid w:val="00952581"/>
    <w:rsid w:val="009529FE"/>
    <w:rsid w:val="00952C87"/>
    <w:rsid w:val="00955469"/>
    <w:rsid w:val="00956608"/>
    <w:rsid w:val="00956EB9"/>
    <w:rsid w:val="00960CDE"/>
    <w:rsid w:val="00960F8E"/>
    <w:rsid w:val="00960F9C"/>
    <w:rsid w:val="009618D8"/>
    <w:rsid w:val="009629B9"/>
    <w:rsid w:val="00963CB3"/>
    <w:rsid w:val="00964334"/>
    <w:rsid w:val="00965277"/>
    <w:rsid w:val="00965873"/>
    <w:rsid w:val="00965C4C"/>
    <w:rsid w:val="00966436"/>
    <w:rsid w:val="0096716A"/>
    <w:rsid w:val="0096755B"/>
    <w:rsid w:val="0096760A"/>
    <w:rsid w:val="00967CBD"/>
    <w:rsid w:val="00970818"/>
    <w:rsid w:val="00970E2F"/>
    <w:rsid w:val="00971DD0"/>
    <w:rsid w:val="00972A6B"/>
    <w:rsid w:val="009733F6"/>
    <w:rsid w:val="00973CFC"/>
    <w:rsid w:val="0097438B"/>
    <w:rsid w:val="00974C41"/>
    <w:rsid w:val="00974E05"/>
    <w:rsid w:val="00977C77"/>
    <w:rsid w:val="00977C85"/>
    <w:rsid w:val="0098224A"/>
    <w:rsid w:val="00982ADF"/>
    <w:rsid w:val="00982AFB"/>
    <w:rsid w:val="00982CCE"/>
    <w:rsid w:val="00982EA9"/>
    <w:rsid w:val="00983BD3"/>
    <w:rsid w:val="00984031"/>
    <w:rsid w:val="0098464F"/>
    <w:rsid w:val="00984EA4"/>
    <w:rsid w:val="0098549A"/>
    <w:rsid w:val="00985FB0"/>
    <w:rsid w:val="0098628B"/>
    <w:rsid w:val="009871CD"/>
    <w:rsid w:val="00987BAA"/>
    <w:rsid w:val="00987EEE"/>
    <w:rsid w:val="009903E1"/>
    <w:rsid w:val="009906A2"/>
    <w:rsid w:val="0099135E"/>
    <w:rsid w:val="00992244"/>
    <w:rsid w:val="009922EE"/>
    <w:rsid w:val="009923DB"/>
    <w:rsid w:val="00992421"/>
    <w:rsid w:val="009933B7"/>
    <w:rsid w:val="009938A3"/>
    <w:rsid w:val="00993A02"/>
    <w:rsid w:val="00993DF2"/>
    <w:rsid w:val="00994B0E"/>
    <w:rsid w:val="00994CFE"/>
    <w:rsid w:val="00995427"/>
    <w:rsid w:val="00995553"/>
    <w:rsid w:val="00995825"/>
    <w:rsid w:val="0099650D"/>
    <w:rsid w:val="00996F41"/>
    <w:rsid w:val="00996FD1"/>
    <w:rsid w:val="00997065"/>
    <w:rsid w:val="009977CF"/>
    <w:rsid w:val="009A0086"/>
    <w:rsid w:val="009A0E52"/>
    <w:rsid w:val="009A121C"/>
    <w:rsid w:val="009A1A74"/>
    <w:rsid w:val="009A2A56"/>
    <w:rsid w:val="009A2EB4"/>
    <w:rsid w:val="009A32E3"/>
    <w:rsid w:val="009A38B8"/>
    <w:rsid w:val="009A3987"/>
    <w:rsid w:val="009A453A"/>
    <w:rsid w:val="009A49A7"/>
    <w:rsid w:val="009A4AFE"/>
    <w:rsid w:val="009A4B6F"/>
    <w:rsid w:val="009A55E6"/>
    <w:rsid w:val="009A56ED"/>
    <w:rsid w:val="009A6AC5"/>
    <w:rsid w:val="009B0916"/>
    <w:rsid w:val="009B167B"/>
    <w:rsid w:val="009B1A88"/>
    <w:rsid w:val="009B1C83"/>
    <w:rsid w:val="009B265B"/>
    <w:rsid w:val="009B3127"/>
    <w:rsid w:val="009B47B4"/>
    <w:rsid w:val="009B4CB9"/>
    <w:rsid w:val="009B4CCB"/>
    <w:rsid w:val="009B5AB4"/>
    <w:rsid w:val="009B5C1E"/>
    <w:rsid w:val="009B61DF"/>
    <w:rsid w:val="009B67DB"/>
    <w:rsid w:val="009B7957"/>
    <w:rsid w:val="009C0B40"/>
    <w:rsid w:val="009C193B"/>
    <w:rsid w:val="009C19E7"/>
    <w:rsid w:val="009C2905"/>
    <w:rsid w:val="009C3DAE"/>
    <w:rsid w:val="009C4781"/>
    <w:rsid w:val="009C518B"/>
    <w:rsid w:val="009C5258"/>
    <w:rsid w:val="009C639F"/>
    <w:rsid w:val="009C6C7B"/>
    <w:rsid w:val="009C6CFD"/>
    <w:rsid w:val="009D031D"/>
    <w:rsid w:val="009D082E"/>
    <w:rsid w:val="009D0D7E"/>
    <w:rsid w:val="009D0DF0"/>
    <w:rsid w:val="009D2691"/>
    <w:rsid w:val="009D4C0B"/>
    <w:rsid w:val="009E0611"/>
    <w:rsid w:val="009E1478"/>
    <w:rsid w:val="009E1B7E"/>
    <w:rsid w:val="009E43DC"/>
    <w:rsid w:val="009E45EA"/>
    <w:rsid w:val="009E5CD1"/>
    <w:rsid w:val="009E7D59"/>
    <w:rsid w:val="009F0171"/>
    <w:rsid w:val="009F0B6C"/>
    <w:rsid w:val="009F0D69"/>
    <w:rsid w:val="009F17E9"/>
    <w:rsid w:val="009F2628"/>
    <w:rsid w:val="009F2CC9"/>
    <w:rsid w:val="009F3AD0"/>
    <w:rsid w:val="009F4F15"/>
    <w:rsid w:val="009F594F"/>
    <w:rsid w:val="009F5C2A"/>
    <w:rsid w:val="009F5EB1"/>
    <w:rsid w:val="00A00065"/>
    <w:rsid w:val="00A003ED"/>
    <w:rsid w:val="00A008F1"/>
    <w:rsid w:val="00A00BCA"/>
    <w:rsid w:val="00A00DE2"/>
    <w:rsid w:val="00A015B2"/>
    <w:rsid w:val="00A02DF6"/>
    <w:rsid w:val="00A03178"/>
    <w:rsid w:val="00A0440D"/>
    <w:rsid w:val="00A05898"/>
    <w:rsid w:val="00A06950"/>
    <w:rsid w:val="00A06D17"/>
    <w:rsid w:val="00A07708"/>
    <w:rsid w:val="00A100C1"/>
    <w:rsid w:val="00A1037F"/>
    <w:rsid w:val="00A10F48"/>
    <w:rsid w:val="00A10F73"/>
    <w:rsid w:val="00A11846"/>
    <w:rsid w:val="00A11C0A"/>
    <w:rsid w:val="00A11E80"/>
    <w:rsid w:val="00A1241C"/>
    <w:rsid w:val="00A125A7"/>
    <w:rsid w:val="00A1365A"/>
    <w:rsid w:val="00A13BD6"/>
    <w:rsid w:val="00A13CB4"/>
    <w:rsid w:val="00A1401C"/>
    <w:rsid w:val="00A146E2"/>
    <w:rsid w:val="00A1478E"/>
    <w:rsid w:val="00A153F7"/>
    <w:rsid w:val="00A1582B"/>
    <w:rsid w:val="00A15E61"/>
    <w:rsid w:val="00A162B9"/>
    <w:rsid w:val="00A163B7"/>
    <w:rsid w:val="00A16DB9"/>
    <w:rsid w:val="00A200EE"/>
    <w:rsid w:val="00A201BD"/>
    <w:rsid w:val="00A20EAE"/>
    <w:rsid w:val="00A2123B"/>
    <w:rsid w:val="00A21375"/>
    <w:rsid w:val="00A21B8F"/>
    <w:rsid w:val="00A22B44"/>
    <w:rsid w:val="00A22BDE"/>
    <w:rsid w:val="00A22F65"/>
    <w:rsid w:val="00A2365E"/>
    <w:rsid w:val="00A24100"/>
    <w:rsid w:val="00A241ED"/>
    <w:rsid w:val="00A249E3"/>
    <w:rsid w:val="00A251F7"/>
    <w:rsid w:val="00A26334"/>
    <w:rsid w:val="00A264EE"/>
    <w:rsid w:val="00A27152"/>
    <w:rsid w:val="00A271E1"/>
    <w:rsid w:val="00A27ABB"/>
    <w:rsid w:val="00A302FC"/>
    <w:rsid w:val="00A31295"/>
    <w:rsid w:val="00A31490"/>
    <w:rsid w:val="00A3239D"/>
    <w:rsid w:val="00A32651"/>
    <w:rsid w:val="00A326C9"/>
    <w:rsid w:val="00A32846"/>
    <w:rsid w:val="00A32C71"/>
    <w:rsid w:val="00A33CCF"/>
    <w:rsid w:val="00A33DB6"/>
    <w:rsid w:val="00A33EA5"/>
    <w:rsid w:val="00A3590F"/>
    <w:rsid w:val="00A35FDA"/>
    <w:rsid w:val="00A36009"/>
    <w:rsid w:val="00A36047"/>
    <w:rsid w:val="00A36C8F"/>
    <w:rsid w:val="00A36E62"/>
    <w:rsid w:val="00A400C5"/>
    <w:rsid w:val="00A4063F"/>
    <w:rsid w:val="00A40E2B"/>
    <w:rsid w:val="00A4123F"/>
    <w:rsid w:val="00A41509"/>
    <w:rsid w:val="00A42C0E"/>
    <w:rsid w:val="00A433B1"/>
    <w:rsid w:val="00A4340B"/>
    <w:rsid w:val="00A43FAB"/>
    <w:rsid w:val="00A44741"/>
    <w:rsid w:val="00A44F98"/>
    <w:rsid w:val="00A455F8"/>
    <w:rsid w:val="00A45B8B"/>
    <w:rsid w:val="00A46134"/>
    <w:rsid w:val="00A4745A"/>
    <w:rsid w:val="00A47D0C"/>
    <w:rsid w:val="00A50449"/>
    <w:rsid w:val="00A506F7"/>
    <w:rsid w:val="00A509A0"/>
    <w:rsid w:val="00A5111F"/>
    <w:rsid w:val="00A51D7B"/>
    <w:rsid w:val="00A51F7A"/>
    <w:rsid w:val="00A52C93"/>
    <w:rsid w:val="00A52EDE"/>
    <w:rsid w:val="00A53720"/>
    <w:rsid w:val="00A53F02"/>
    <w:rsid w:val="00A53F65"/>
    <w:rsid w:val="00A547C4"/>
    <w:rsid w:val="00A549E2"/>
    <w:rsid w:val="00A54C2E"/>
    <w:rsid w:val="00A55ABE"/>
    <w:rsid w:val="00A55D00"/>
    <w:rsid w:val="00A562AA"/>
    <w:rsid w:val="00A601C6"/>
    <w:rsid w:val="00A601FA"/>
    <w:rsid w:val="00A608CD"/>
    <w:rsid w:val="00A608F9"/>
    <w:rsid w:val="00A60918"/>
    <w:rsid w:val="00A60B29"/>
    <w:rsid w:val="00A61112"/>
    <w:rsid w:val="00A61FF4"/>
    <w:rsid w:val="00A625EB"/>
    <w:rsid w:val="00A628A9"/>
    <w:rsid w:val="00A6309D"/>
    <w:rsid w:val="00A633D2"/>
    <w:rsid w:val="00A63618"/>
    <w:rsid w:val="00A63923"/>
    <w:rsid w:val="00A63AFC"/>
    <w:rsid w:val="00A63D5F"/>
    <w:rsid w:val="00A66057"/>
    <w:rsid w:val="00A66703"/>
    <w:rsid w:val="00A668A8"/>
    <w:rsid w:val="00A66978"/>
    <w:rsid w:val="00A677C9"/>
    <w:rsid w:val="00A7032A"/>
    <w:rsid w:val="00A703D3"/>
    <w:rsid w:val="00A71BB8"/>
    <w:rsid w:val="00A73BD2"/>
    <w:rsid w:val="00A73FF4"/>
    <w:rsid w:val="00A7492C"/>
    <w:rsid w:val="00A74D7E"/>
    <w:rsid w:val="00A754B2"/>
    <w:rsid w:val="00A764E7"/>
    <w:rsid w:val="00A768D2"/>
    <w:rsid w:val="00A77102"/>
    <w:rsid w:val="00A778A9"/>
    <w:rsid w:val="00A77CA5"/>
    <w:rsid w:val="00A8096D"/>
    <w:rsid w:val="00A80BC1"/>
    <w:rsid w:val="00A80BE0"/>
    <w:rsid w:val="00A80D58"/>
    <w:rsid w:val="00A81016"/>
    <w:rsid w:val="00A823FA"/>
    <w:rsid w:val="00A8275D"/>
    <w:rsid w:val="00A82D27"/>
    <w:rsid w:val="00A83A7A"/>
    <w:rsid w:val="00A8411F"/>
    <w:rsid w:val="00A84FB7"/>
    <w:rsid w:val="00A85BC7"/>
    <w:rsid w:val="00A85C07"/>
    <w:rsid w:val="00A85CD2"/>
    <w:rsid w:val="00A86809"/>
    <w:rsid w:val="00A86CA5"/>
    <w:rsid w:val="00A86F5C"/>
    <w:rsid w:val="00A903D5"/>
    <w:rsid w:val="00A90463"/>
    <w:rsid w:val="00A91487"/>
    <w:rsid w:val="00A92877"/>
    <w:rsid w:val="00A93075"/>
    <w:rsid w:val="00A93699"/>
    <w:rsid w:val="00A939F5"/>
    <w:rsid w:val="00A93EC2"/>
    <w:rsid w:val="00A944AC"/>
    <w:rsid w:val="00A95986"/>
    <w:rsid w:val="00A95DA4"/>
    <w:rsid w:val="00A95EC6"/>
    <w:rsid w:val="00A9633D"/>
    <w:rsid w:val="00A964F8"/>
    <w:rsid w:val="00A96CB5"/>
    <w:rsid w:val="00A96EA3"/>
    <w:rsid w:val="00A974F3"/>
    <w:rsid w:val="00AA140D"/>
    <w:rsid w:val="00AA289A"/>
    <w:rsid w:val="00AA2D3D"/>
    <w:rsid w:val="00AA313F"/>
    <w:rsid w:val="00AA3278"/>
    <w:rsid w:val="00AA37CE"/>
    <w:rsid w:val="00AA419C"/>
    <w:rsid w:val="00AA5FF5"/>
    <w:rsid w:val="00AA63E5"/>
    <w:rsid w:val="00AA6B31"/>
    <w:rsid w:val="00AA7022"/>
    <w:rsid w:val="00AA7226"/>
    <w:rsid w:val="00AA7CA4"/>
    <w:rsid w:val="00AA7D24"/>
    <w:rsid w:val="00AB1D53"/>
    <w:rsid w:val="00AB2FF1"/>
    <w:rsid w:val="00AB3BF6"/>
    <w:rsid w:val="00AB3CB8"/>
    <w:rsid w:val="00AB4BD0"/>
    <w:rsid w:val="00AB5395"/>
    <w:rsid w:val="00AB53D2"/>
    <w:rsid w:val="00AB6214"/>
    <w:rsid w:val="00AB752A"/>
    <w:rsid w:val="00AC13F8"/>
    <w:rsid w:val="00AC246A"/>
    <w:rsid w:val="00AC3190"/>
    <w:rsid w:val="00AC32D6"/>
    <w:rsid w:val="00AC3564"/>
    <w:rsid w:val="00AC46AA"/>
    <w:rsid w:val="00AC4796"/>
    <w:rsid w:val="00AC49DE"/>
    <w:rsid w:val="00AC50B2"/>
    <w:rsid w:val="00AC5CB6"/>
    <w:rsid w:val="00AC5ED6"/>
    <w:rsid w:val="00AC6398"/>
    <w:rsid w:val="00AC65DF"/>
    <w:rsid w:val="00AC748D"/>
    <w:rsid w:val="00AC7CCA"/>
    <w:rsid w:val="00AC7F08"/>
    <w:rsid w:val="00AD04FA"/>
    <w:rsid w:val="00AD101B"/>
    <w:rsid w:val="00AD10D5"/>
    <w:rsid w:val="00AD1818"/>
    <w:rsid w:val="00AD1A1F"/>
    <w:rsid w:val="00AD354C"/>
    <w:rsid w:val="00AD3CC1"/>
    <w:rsid w:val="00AD434A"/>
    <w:rsid w:val="00AD4750"/>
    <w:rsid w:val="00AD47F0"/>
    <w:rsid w:val="00AD599D"/>
    <w:rsid w:val="00AD6078"/>
    <w:rsid w:val="00AD63B5"/>
    <w:rsid w:val="00AD6AD1"/>
    <w:rsid w:val="00AE3745"/>
    <w:rsid w:val="00AE4D78"/>
    <w:rsid w:val="00AE6ED1"/>
    <w:rsid w:val="00AF0018"/>
    <w:rsid w:val="00AF070A"/>
    <w:rsid w:val="00AF0966"/>
    <w:rsid w:val="00AF1A11"/>
    <w:rsid w:val="00AF375D"/>
    <w:rsid w:val="00AF450D"/>
    <w:rsid w:val="00AF4A7E"/>
    <w:rsid w:val="00AF5D3E"/>
    <w:rsid w:val="00AF5F91"/>
    <w:rsid w:val="00AF6135"/>
    <w:rsid w:val="00AF6246"/>
    <w:rsid w:val="00AF7BA8"/>
    <w:rsid w:val="00AF7F7C"/>
    <w:rsid w:val="00B0119D"/>
    <w:rsid w:val="00B013FF"/>
    <w:rsid w:val="00B01871"/>
    <w:rsid w:val="00B027EA"/>
    <w:rsid w:val="00B02FEA"/>
    <w:rsid w:val="00B0381B"/>
    <w:rsid w:val="00B048AB"/>
    <w:rsid w:val="00B04D6C"/>
    <w:rsid w:val="00B050EB"/>
    <w:rsid w:val="00B05CF9"/>
    <w:rsid w:val="00B05DB7"/>
    <w:rsid w:val="00B066DF"/>
    <w:rsid w:val="00B11C0E"/>
    <w:rsid w:val="00B11D16"/>
    <w:rsid w:val="00B12A42"/>
    <w:rsid w:val="00B12F5F"/>
    <w:rsid w:val="00B12FF9"/>
    <w:rsid w:val="00B13389"/>
    <w:rsid w:val="00B13831"/>
    <w:rsid w:val="00B13C5D"/>
    <w:rsid w:val="00B14836"/>
    <w:rsid w:val="00B14BFD"/>
    <w:rsid w:val="00B14E4C"/>
    <w:rsid w:val="00B15727"/>
    <w:rsid w:val="00B15DA4"/>
    <w:rsid w:val="00B161A0"/>
    <w:rsid w:val="00B166D8"/>
    <w:rsid w:val="00B175A9"/>
    <w:rsid w:val="00B2005D"/>
    <w:rsid w:val="00B21003"/>
    <w:rsid w:val="00B215A7"/>
    <w:rsid w:val="00B223B3"/>
    <w:rsid w:val="00B22618"/>
    <w:rsid w:val="00B2367C"/>
    <w:rsid w:val="00B238AF"/>
    <w:rsid w:val="00B23CAE"/>
    <w:rsid w:val="00B24C29"/>
    <w:rsid w:val="00B251F5"/>
    <w:rsid w:val="00B271C0"/>
    <w:rsid w:val="00B27B50"/>
    <w:rsid w:val="00B30133"/>
    <w:rsid w:val="00B3046E"/>
    <w:rsid w:val="00B3050E"/>
    <w:rsid w:val="00B310D7"/>
    <w:rsid w:val="00B31863"/>
    <w:rsid w:val="00B31FEF"/>
    <w:rsid w:val="00B32067"/>
    <w:rsid w:val="00B32A4D"/>
    <w:rsid w:val="00B32F2B"/>
    <w:rsid w:val="00B34960"/>
    <w:rsid w:val="00B34AEB"/>
    <w:rsid w:val="00B34B51"/>
    <w:rsid w:val="00B35589"/>
    <w:rsid w:val="00B3590A"/>
    <w:rsid w:val="00B40407"/>
    <w:rsid w:val="00B409F7"/>
    <w:rsid w:val="00B40E1D"/>
    <w:rsid w:val="00B40F74"/>
    <w:rsid w:val="00B41A1A"/>
    <w:rsid w:val="00B42033"/>
    <w:rsid w:val="00B428FE"/>
    <w:rsid w:val="00B42E7F"/>
    <w:rsid w:val="00B43677"/>
    <w:rsid w:val="00B43F94"/>
    <w:rsid w:val="00B447E6"/>
    <w:rsid w:val="00B44F6B"/>
    <w:rsid w:val="00B46538"/>
    <w:rsid w:val="00B4728C"/>
    <w:rsid w:val="00B4745F"/>
    <w:rsid w:val="00B47D04"/>
    <w:rsid w:val="00B50025"/>
    <w:rsid w:val="00B52CBE"/>
    <w:rsid w:val="00B52DAC"/>
    <w:rsid w:val="00B532FB"/>
    <w:rsid w:val="00B5399B"/>
    <w:rsid w:val="00B53F7C"/>
    <w:rsid w:val="00B54200"/>
    <w:rsid w:val="00B54316"/>
    <w:rsid w:val="00B54319"/>
    <w:rsid w:val="00B54809"/>
    <w:rsid w:val="00B549B0"/>
    <w:rsid w:val="00B54B0F"/>
    <w:rsid w:val="00B57593"/>
    <w:rsid w:val="00B611F7"/>
    <w:rsid w:val="00B61773"/>
    <w:rsid w:val="00B61CF0"/>
    <w:rsid w:val="00B61E22"/>
    <w:rsid w:val="00B62559"/>
    <w:rsid w:val="00B625B2"/>
    <w:rsid w:val="00B63403"/>
    <w:rsid w:val="00B65636"/>
    <w:rsid w:val="00B657E8"/>
    <w:rsid w:val="00B65A3C"/>
    <w:rsid w:val="00B65BAB"/>
    <w:rsid w:val="00B65FAD"/>
    <w:rsid w:val="00B66A2E"/>
    <w:rsid w:val="00B66B6E"/>
    <w:rsid w:val="00B67051"/>
    <w:rsid w:val="00B73CDC"/>
    <w:rsid w:val="00B73D2C"/>
    <w:rsid w:val="00B73F73"/>
    <w:rsid w:val="00B74447"/>
    <w:rsid w:val="00B74495"/>
    <w:rsid w:val="00B74590"/>
    <w:rsid w:val="00B74745"/>
    <w:rsid w:val="00B74C4C"/>
    <w:rsid w:val="00B75954"/>
    <w:rsid w:val="00B75B19"/>
    <w:rsid w:val="00B76793"/>
    <w:rsid w:val="00B76832"/>
    <w:rsid w:val="00B768B9"/>
    <w:rsid w:val="00B76BED"/>
    <w:rsid w:val="00B7798C"/>
    <w:rsid w:val="00B80FBF"/>
    <w:rsid w:val="00B82063"/>
    <w:rsid w:val="00B8270B"/>
    <w:rsid w:val="00B834D1"/>
    <w:rsid w:val="00B83B5C"/>
    <w:rsid w:val="00B84B63"/>
    <w:rsid w:val="00B84D9E"/>
    <w:rsid w:val="00B8656F"/>
    <w:rsid w:val="00B86AE5"/>
    <w:rsid w:val="00B87743"/>
    <w:rsid w:val="00B90C18"/>
    <w:rsid w:val="00B91E54"/>
    <w:rsid w:val="00B952B5"/>
    <w:rsid w:val="00B95730"/>
    <w:rsid w:val="00B9585C"/>
    <w:rsid w:val="00B9618C"/>
    <w:rsid w:val="00B97056"/>
    <w:rsid w:val="00B971D5"/>
    <w:rsid w:val="00B974FE"/>
    <w:rsid w:val="00B976F3"/>
    <w:rsid w:val="00B9771E"/>
    <w:rsid w:val="00B9787B"/>
    <w:rsid w:val="00B97E0E"/>
    <w:rsid w:val="00BA00FC"/>
    <w:rsid w:val="00BA0626"/>
    <w:rsid w:val="00BA0A36"/>
    <w:rsid w:val="00BA0E18"/>
    <w:rsid w:val="00BA1237"/>
    <w:rsid w:val="00BA1412"/>
    <w:rsid w:val="00BA2034"/>
    <w:rsid w:val="00BA2A29"/>
    <w:rsid w:val="00BA2CFB"/>
    <w:rsid w:val="00BA3874"/>
    <w:rsid w:val="00BA3C78"/>
    <w:rsid w:val="00BA400C"/>
    <w:rsid w:val="00BA591D"/>
    <w:rsid w:val="00BA6018"/>
    <w:rsid w:val="00BB0644"/>
    <w:rsid w:val="00BB0794"/>
    <w:rsid w:val="00BB10E7"/>
    <w:rsid w:val="00BB1912"/>
    <w:rsid w:val="00BB2C6C"/>
    <w:rsid w:val="00BB31BD"/>
    <w:rsid w:val="00BB348C"/>
    <w:rsid w:val="00BB3EAA"/>
    <w:rsid w:val="00BB5270"/>
    <w:rsid w:val="00BB52F9"/>
    <w:rsid w:val="00BB5E13"/>
    <w:rsid w:val="00BB5ECF"/>
    <w:rsid w:val="00BB60FA"/>
    <w:rsid w:val="00BB7365"/>
    <w:rsid w:val="00BC0E5D"/>
    <w:rsid w:val="00BC143B"/>
    <w:rsid w:val="00BC1C0B"/>
    <w:rsid w:val="00BC28C1"/>
    <w:rsid w:val="00BC2919"/>
    <w:rsid w:val="00BC2923"/>
    <w:rsid w:val="00BC32AA"/>
    <w:rsid w:val="00BC3669"/>
    <w:rsid w:val="00BC3893"/>
    <w:rsid w:val="00BC3E2B"/>
    <w:rsid w:val="00BC5394"/>
    <w:rsid w:val="00BC574F"/>
    <w:rsid w:val="00BC6B62"/>
    <w:rsid w:val="00BC7423"/>
    <w:rsid w:val="00BC7A03"/>
    <w:rsid w:val="00BD02F6"/>
    <w:rsid w:val="00BD1AA7"/>
    <w:rsid w:val="00BD2E40"/>
    <w:rsid w:val="00BD39CC"/>
    <w:rsid w:val="00BD5C40"/>
    <w:rsid w:val="00BD630F"/>
    <w:rsid w:val="00BD66BE"/>
    <w:rsid w:val="00BD6EB4"/>
    <w:rsid w:val="00BD7ED3"/>
    <w:rsid w:val="00BE02C3"/>
    <w:rsid w:val="00BE0CE5"/>
    <w:rsid w:val="00BE11D6"/>
    <w:rsid w:val="00BE1229"/>
    <w:rsid w:val="00BE13A5"/>
    <w:rsid w:val="00BE1FA0"/>
    <w:rsid w:val="00BE2CED"/>
    <w:rsid w:val="00BE2F85"/>
    <w:rsid w:val="00BE30E9"/>
    <w:rsid w:val="00BE3473"/>
    <w:rsid w:val="00BE4209"/>
    <w:rsid w:val="00BE48C3"/>
    <w:rsid w:val="00BE4929"/>
    <w:rsid w:val="00BE53F7"/>
    <w:rsid w:val="00BF002D"/>
    <w:rsid w:val="00BF0243"/>
    <w:rsid w:val="00BF05C8"/>
    <w:rsid w:val="00BF06D1"/>
    <w:rsid w:val="00BF0BE4"/>
    <w:rsid w:val="00BF0E03"/>
    <w:rsid w:val="00BF11C3"/>
    <w:rsid w:val="00BF1604"/>
    <w:rsid w:val="00BF1A4A"/>
    <w:rsid w:val="00BF3642"/>
    <w:rsid w:val="00BF41CE"/>
    <w:rsid w:val="00BF469F"/>
    <w:rsid w:val="00BF5B9D"/>
    <w:rsid w:val="00BF684B"/>
    <w:rsid w:val="00BF6E89"/>
    <w:rsid w:val="00BF6F54"/>
    <w:rsid w:val="00BF7902"/>
    <w:rsid w:val="00C00225"/>
    <w:rsid w:val="00C00849"/>
    <w:rsid w:val="00C00FD0"/>
    <w:rsid w:val="00C01B3E"/>
    <w:rsid w:val="00C01B92"/>
    <w:rsid w:val="00C0211F"/>
    <w:rsid w:val="00C023DE"/>
    <w:rsid w:val="00C028D8"/>
    <w:rsid w:val="00C035E7"/>
    <w:rsid w:val="00C04A3B"/>
    <w:rsid w:val="00C04D64"/>
    <w:rsid w:val="00C06CA3"/>
    <w:rsid w:val="00C06E41"/>
    <w:rsid w:val="00C06F22"/>
    <w:rsid w:val="00C07BC4"/>
    <w:rsid w:val="00C10189"/>
    <w:rsid w:val="00C10545"/>
    <w:rsid w:val="00C10621"/>
    <w:rsid w:val="00C1193F"/>
    <w:rsid w:val="00C12964"/>
    <w:rsid w:val="00C12C45"/>
    <w:rsid w:val="00C12D8D"/>
    <w:rsid w:val="00C12DD2"/>
    <w:rsid w:val="00C136A4"/>
    <w:rsid w:val="00C13B3E"/>
    <w:rsid w:val="00C13E96"/>
    <w:rsid w:val="00C141FD"/>
    <w:rsid w:val="00C14B91"/>
    <w:rsid w:val="00C162E5"/>
    <w:rsid w:val="00C1660A"/>
    <w:rsid w:val="00C17BAB"/>
    <w:rsid w:val="00C17F15"/>
    <w:rsid w:val="00C207A7"/>
    <w:rsid w:val="00C20D40"/>
    <w:rsid w:val="00C2110A"/>
    <w:rsid w:val="00C213C6"/>
    <w:rsid w:val="00C2174C"/>
    <w:rsid w:val="00C21762"/>
    <w:rsid w:val="00C21EED"/>
    <w:rsid w:val="00C23344"/>
    <w:rsid w:val="00C23622"/>
    <w:rsid w:val="00C238E6"/>
    <w:rsid w:val="00C23DB7"/>
    <w:rsid w:val="00C23E19"/>
    <w:rsid w:val="00C23EA9"/>
    <w:rsid w:val="00C24E3B"/>
    <w:rsid w:val="00C26079"/>
    <w:rsid w:val="00C26482"/>
    <w:rsid w:val="00C26917"/>
    <w:rsid w:val="00C2754F"/>
    <w:rsid w:val="00C3021C"/>
    <w:rsid w:val="00C3072F"/>
    <w:rsid w:val="00C30984"/>
    <w:rsid w:val="00C317D1"/>
    <w:rsid w:val="00C318B2"/>
    <w:rsid w:val="00C32B91"/>
    <w:rsid w:val="00C336AE"/>
    <w:rsid w:val="00C338E1"/>
    <w:rsid w:val="00C33AEC"/>
    <w:rsid w:val="00C34549"/>
    <w:rsid w:val="00C34AAB"/>
    <w:rsid w:val="00C354E7"/>
    <w:rsid w:val="00C35894"/>
    <w:rsid w:val="00C3721F"/>
    <w:rsid w:val="00C40BD6"/>
    <w:rsid w:val="00C415DB"/>
    <w:rsid w:val="00C432E1"/>
    <w:rsid w:val="00C43606"/>
    <w:rsid w:val="00C441CD"/>
    <w:rsid w:val="00C44624"/>
    <w:rsid w:val="00C451BB"/>
    <w:rsid w:val="00C4577E"/>
    <w:rsid w:val="00C46A60"/>
    <w:rsid w:val="00C4703A"/>
    <w:rsid w:val="00C47BA0"/>
    <w:rsid w:val="00C503B5"/>
    <w:rsid w:val="00C50602"/>
    <w:rsid w:val="00C51918"/>
    <w:rsid w:val="00C51F80"/>
    <w:rsid w:val="00C524CD"/>
    <w:rsid w:val="00C544F4"/>
    <w:rsid w:val="00C54D2B"/>
    <w:rsid w:val="00C5518E"/>
    <w:rsid w:val="00C55A7B"/>
    <w:rsid w:val="00C55E32"/>
    <w:rsid w:val="00C5615E"/>
    <w:rsid w:val="00C56382"/>
    <w:rsid w:val="00C56BC5"/>
    <w:rsid w:val="00C57166"/>
    <w:rsid w:val="00C572DE"/>
    <w:rsid w:val="00C57544"/>
    <w:rsid w:val="00C57993"/>
    <w:rsid w:val="00C6118B"/>
    <w:rsid w:val="00C61740"/>
    <w:rsid w:val="00C61CCA"/>
    <w:rsid w:val="00C61CE2"/>
    <w:rsid w:val="00C623C9"/>
    <w:rsid w:val="00C625D1"/>
    <w:rsid w:val="00C62A51"/>
    <w:rsid w:val="00C62B44"/>
    <w:rsid w:val="00C64273"/>
    <w:rsid w:val="00C64A38"/>
    <w:rsid w:val="00C659AB"/>
    <w:rsid w:val="00C65CE3"/>
    <w:rsid w:val="00C66226"/>
    <w:rsid w:val="00C66995"/>
    <w:rsid w:val="00C6729C"/>
    <w:rsid w:val="00C673EC"/>
    <w:rsid w:val="00C677CF"/>
    <w:rsid w:val="00C678CC"/>
    <w:rsid w:val="00C70BDA"/>
    <w:rsid w:val="00C713E4"/>
    <w:rsid w:val="00C716BC"/>
    <w:rsid w:val="00C7199B"/>
    <w:rsid w:val="00C73E4F"/>
    <w:rsid w:val="00C743FA"/>
    <w:rsid w:val="00C74B5B"/>
    <w:rsid w:val="00C7578B"/>
    <w:rsid w:val="00C77963"/>
    <w:rsid w:val="00C8023E"/>
    <w:rsid w:val="00C80AAD"/>
    <w:rsid w:val="00C80BEC"/>
    <w:rsid w:val="00C81122"/>
    <w:rsid w:val="00C81347"/>
    <w:rsid w:val="00C81495"/>
    <w:rsid w:val="00C8157C"/>
    <w:rsid w:val="00C81E8C"/>
    <w:rsid w:val="00C8341D"/>
    <w:rsid w:val="00C835D0"/>
    <w:rsid w:val="00C83FDD"/>
    <w:rsid w:val="00C84627"/>
    <w:rsid w:val="00C86016"/>
    <w:rsid w:val="00C86091"/>
    <w:rsid w:val="00C861DE"/>
    <w:rsid w:val="00C866E9"/>
    <w:rsid w:val="00C8692B"/>
    <w:rsid w:val="00C871AD"/>
    <w:rsid w:val="00C874BB"/>
    <w:rsid w:val="00C878FD"/>
    <w:rsid w:val="00C901DD"/>
    <w:rsid w:val="00C901FF"/>
    <w:rsid w:val="00C90208"/>
    <w:rsid w:val="00C903A3"/>
    <w:rsid w:val="00C9042D"/>
    <w:rsid w:val="00C91946"/>
    <w:rsid w:val="00C91C83"/>
    <w:rsid w:val="00C91DF0"/>
    <w:rsid w:val="00C922AF"/>
    <w:rsid w:val="00C924E5"/>
    <w:rsid w:val="00C9253B"/>
    <w:rsid w:val="00C93A82"/>
    <w:rsid w:val="00C94A98"/>
    <w:rsid w:val="00C94EDB"/>
    <w:rsid w:val="00C957AC"/>
    <w:rsid w:val="00C95DED"/>
    <w:rsid w:val="00C95F95"/>
    <w:rsid w:val="00C96082"/>
    <w:rsid w:val="00C96471"/>
    <w:rsid w:val="00C964E3"/>
    <w:rsid w:val="00C96714"/>
    <w:rsid w:val="00C968F3"/>
    <w:rsid w:val="00C96D0E"/>
    <w:rsid w:val="00C96E71"/>
    <w:rsid w:val="00C972AF"/>
    <w:rsid w:val="00C9785D"/>
    <w:rsid w:val="00C978CF"/>
    <w:rsid w:val="00C97B8A"/>
    <w:rsid w:val="00CA075D"/>
    <w:rsid w:val="00CA1079"/>
    <w:rsid w:val="00CA1352"/>
    <w:rsid w:val="00CA1E33"/>
    <w:rsid w:val="00CA201E"/>
    <w:rsid w:val="00CA2059"/>
    <w:rsid w:val="00CA2C7B"/>
    <w:rsid w:val="00CA4188"/>
    <w:rsid w:val="00CA432D"/>
    <w:rsid w:val="00CA4AA9"/>
    <w:rsid w:val="00CA56AF"/>
    <w:rsid w:val="00CA583A"/>
    <w:rsid w:val="00CA591A"/>
    <w:rsid w:val="00CA5F38"/>
    <w:rsid w:val="00CA61F3"/>
    <w:rsid w:val="00CA639C"/>
    <w:rsid w:val="00CA6BD6"/>
    <w:rsid w:val="00CA7AAC"/>
    <w:rsid w:val="00CB0216"/>
    <w:rsid w:val="00CB0A02"/>
    <w:rsid w:val="00CB219E"/>
    <w:rsid w:val="00CB2BEA"/>
    <w:rsid w:val="00CB31C7"/>
    <w:rsid w:val="00CB4242"/>
    <w:rsid w:val="00CB428E"/>
    <w:rsid w:val="00CB492D"/>
    <w:rsid w:val="00CB5185"/>
    <w:rsid w:val="00CB5280"/>
    <w:rsid w:val="00CB7427"/>
    <w:rsid w:val="00CB769A"/>
    <w:rsid w:val="00CB7851"/>
    <w:rsid w:val="00CB7D01"/>
    <w:rsid w:val="00CC0111"/>
    <w:rsid w:val="00CC0B49"/>
    <w:rsid w:val="00CC16A8"/>
    <w:rsid w:val="00CC1931"/>
    <w:rsid w:val="00CC21B6"/>
    <w:rsid w:val="00CC2C8E"/>
    <w:rsid w:val="00CC2E69"/>
    <w:rsid w:val="00CC3672"/>
    <w:rsid w:val="00CC3F34"/>
    <w:rsid w:val="00CC4309"/>
    <w:rsid w:val="00CC6ED5"/>
    <w:rsid w:val="00CC7CC3"/>
    <w:rsid w:val="00CD0C2A"/>
    <w:rsid w:val="00CD1387"/>
    <w:rsid w:val="00CD1CDF"/>
    <w:rsid w:val="00CD2403"/>
    <w:rsid w:val="00CD3344"/>
    <w:rsid w:val="00CD3B95"/>
    <w:rsid w:val="00CD486B"/>
    <w:rsid w:val="00CD50D4"/>
    <w:rsid w:val="00CD54A3"/>
    <w:rsid w:val="00CD5AA5"/>
    <w:rsid w:val="00CD5E40"/>
    <w:rsid w:val="00CD60A3"/>
    <w:rsid w:val="00CD79CB"/>
    <w:rsid w:val="00CD7AAB"/>
    <w:rsid w:val="00CE038C"/>
    <w:rsid w:val="00CE093E"/>
    <w:rsid w:val="00CE2560"/>
    <w:rsid w:val="00CE3274"/>
    <w:rsid w:val="00CE32AF"/>
    <w:rsid w:val="00CE3369"/>
    <w:rsid w:val="00CE3E18"/>
    <w:rsid w:val="00CE4008"/>
    <w:rsid w:val="00CE4914"/>
    <w:rsid w:val="00CE4E4C"/>
    <w:rsid w:val="00CE571E"/>
    <w:rsid w:val="00CE5E88"/>
    <w:rsid w:val="00CE5F90"/>
    <w:rsid w:val="00CE60D1"/>
    <w:rsid w:val="00CE7308"/>
    <w:rsid w:val="00CE737A"/>
    <w:rsid w:val="00CE7884"/>
    <w:rsid w:val="00CF041B"/>
    <w:rsid w:val="00CF0494"/>
    <w:rsid w:val="00CF0BD3"/>
    <w:rsid w:val="00CF0C45"/>
    <w:rsid w:val="00CF0DC7"/>
    <w:rsid w:val="00CF0EF1"/>
    <w:rsid w:val="00CF11CA"/>
    <w:rsid w:val="00CF1917"/>
    <w:rsid w:val="00CF1FCC"/>
    <w:rsid w:val="00CF2AF2"/>
    <w:rsid w:val="00CF33FA"/>
    <w:rsid w:val="00CF358D"/>
    <w:rsid w:val="00CF48D7"/>
    <w:rsid w:val="00CF51F0"/>
    <w:rsid w:val="00CF5FD5"/>
    <w:rsid w:val="00CF617F"/>
    <w:rsid w:val="00CF64C7"/>
    <w:rsid w:val="00CF7989"/>
    <w:rsid w:val="00D00147"/>
    <w:rsid w:val="00D015DF"/>
    <w:rsid w:val="00D01674"/>
    <w:rsid w:val="00D01B6D"/>
    <w:rsid w:val="00D02310"/>
    <w:rsid w:val="00D0253C"/>
    <w:rsid w:val="00D02951"/>
    <w:rsid w:val="00D02DE8"/>
    <w:rsid w:val="00D02F0F"/>
    <w:rsid w:val="00D04051"/>
    <w:rsid w:val="00D04F23"/>
    <w:rsid w:val="00D0562E"/>
    <w:rsid w:val="00D05D89"/>
    <w:rsid w:val="00D05ECB"/>
    <w:rsid w:val="00D0611B"/>
    <w:rsid w:val="00D067DF"/>
    <w:rsid w:val="00D06CE0"/>
    <w:rsid w:val="00D1024A"/>
    <w:rsid w:val="00D11D43"/>
    <w:rsid w:val="00D121DC"/>
    <w:rsid w:val="00D12AB4"/>
    <w:rsid w:val="00D12E3F"/>
    <w:rsid w:val="00D135B9"/>
    <w:rsid w:val="00D135E1"/>
    <w:rsid w:val="00D157A3"/>
    <w:rsid w:val="00D15F78"/>
    <w:rsid w:val="00D1624C"/>
    <w:rsid w:val="00D16677"/>
    <w:rsid w:val="00D1686C"/>
    <w:rsid w:val="00D16BD8"/>
    <w:rsid w:val="00D16DFD"/>
    <w:rsid w:val="00D1719A"/>
    <w:rsid w:val="00D20819"/>
    <w:rsid w:val="00D20C5C"/>
    <w:rsid w:val="00D21611"/>
    <w:rsid w:val="00D21CA8"/>
    <w:rsid w:val="00D21E4E"/>
    <w:rsid w:val="00D2375B"/>
    <w:rsid w:val="00D25BE5"/>
    <w:rsid w:val="00D269F7"/>
    <w:rsid w:val="00D26B0E"/>
    <w:rsid w:val="00D26D0C"/>
    <w:rsid w:val="00D273D7"/>
    <w:rsid w:val="00D277DD"/>
    <w:rsid w:val="00D30808"/>
    <w:rsid w:val="00D30ADF"/>
    <w:rsid w:val="00D30B77"/>
    <w:rsid w:val="00D3171D"/>
    <w:rsid w:val="00D318FD"/>
    <w:rsid w:val="00D31D5D"/>
    <w:rsid w:val="00D32705"/>
    <w:rsid w:val="00D32CE4"/>
    <w:rsid w:val="00D333CD"/>
    <w:rsid w:val="00D333DF"/>
    <w:rsid w:val="00D33EF8"/>
    <w:rsid w:val="00D34254"/>
    <w:rsid w:val="00D34DB6"/>
    <w:rsid w:val="00D354FE"/>
    <w:rsid w:val="00D355D0"/>
    <w:rsid w:val="00D35841"/>
    <w:rsid w:val="00D3680B"/>
    <w:rsid w:val="00D36D50"/>
    <w:rsid w:val="00D36E71"/>
    <w:rsid w:val="00D43FF5"/>
    <w:rsid w:val="00D440FC"/>
    <w:rsid w:val="00D4582B"/>
    <w:rsid w:val="00D46675"/>
    <w:rsid w:val="00D46721"/>
    <w:rsid w:val="00D46D63"/>
    <w:rsid w:val="00D4788D"/>
    <w:rsid w:val="00D50085"/>
    <w:rsid w:val="00D517DE"/>
    <w:rsid w:val="00D522F0"/>
    <w:rsid w:val="00D539E2"/>
    <w:rsid w:val="00D5428E"/>
    <w:rsid w:val="00D543EA"/>
    <w:rsid w:val="00D54630"/>
    <w:rsid w:val="00D55DD7"/>
    <w:rsid w:val="00D57404"/>
    <w:rsid w:val="00D57605"/>
    <w:rsid w:val="00D5795D"/>
    <w:rsid w:val="00D57A17"/>
    <w:rsid w:val="00D60999"/>
    <w:rsid w:val="00D60CC8"/>
    <w:rsid w:val="00D62406"/>
    <w:rsid w:val="00D62EE1"/>
    <w:rsid w:val="00D63069"/>
    <w:rsid w:val="00D645B1"/>
    <w:rsid w:val="00D65374"/>
    <w:rsid w:val="00D65822"/>
    <w:rsid w:val="00D65B98"/>
    <w:rsid w:val="00D666A4"/>
    <w:rsid w:val="00D67328"/>
    <w:rsid w:val="00D679C6"/>
    <w:rsid w:val="00D709D5"/>
    <w:rsid w:val="00D7208A"/>
    <w:rsid w:val="00D73119"/>
    <w:rsid w:val="00D732B9"/>
    <w:rsid w:val="00D73966"/>
    <w:rsid w:val="00D73E6A"/>
    <w:rsid w:val="00D74848"/>
    <w:rsid w:val="00D75C4F"/>
    <w:rsid w:val="00D76057"/>
    <w:rsid w:val="00D77644"/>
    <w:rsid w:val="00D77715"/>
    <w:rsid w:val="00D813BD"/>
    <w:rsid w:val="00D8149E"/>
    <w:rsid w:val="00D81C06"/>
    <w:rsid w:val="00D825A5"/>
    <w:rsid w:val="00D82A38"/>
    <w:rsid w:val="00D82ABC"/>
    <w:rsid w:val="00D84E04"/>
    <w:rsid w:val="00D855AD"/>
    <w:rsid w:val="00D85C76"/>
    <w:rsid w:val="00D86059"/>
    <w:rsid w:val="00D869F4"/>
    <w:rsid w:val="00D875D8"/>
    <w:rsid w:val="00D87DE4"/>
    <w:rsid w:val="00D9114E"/>
    <w:rsid w:val="00D924F0"/>
    <w:rsid w:val="00D926AF"/>
    <w:rsid w:val="00D9332E"/>
    <w:rsid w:val="00D95D35"/>
    <w:rsid w:val="00D97B27"/>
    <w:rsid w:val="00DA014B"/>
    <w:rsid w:val="00DA2A01"/>
    <w:rsid w:val="00DA2F15"/>
    <w:rsid w:val="00DA3506"/>
    <w:rsid w:val="00DA44E8"/>
    <w:rsid w:val="00DA464F"/>
    <w:rsid w:val="00DA4873"/>
    <w:rsid w:val="00DA4B15"/>
    <w:rsid w:val="00DA5D63"/>
    <w:rsid w:val="00DA7A58"/>
    <w:rsid w:val="00DB00FD"/>
    <w:rsid w:val="00DB08E5"/>
    <w:rsid w:val="00DB0B62"/>
    <w:rsid w:val="00DB0E79"/>
    <w:rsid w:val="00DB0ED2"/>
    <w:rsid w:val="00DB1E31"/>
    <w:rsid w:val="00DB28FF"/>
    <w:rsid w:val="00DB2B91"/>
    <w:rsid w:val="00DB3055"/>
    <w:rsid w:val="00DB35A8"/>
    <w:rsid w:val="00DB3731"/>
    <w:rsid w:val="00DB3CE2"/>
    <w:rsid w:val="00DB3DD1"/>
    <w:rsid w:val="00DB61C5"/>
    <w:rsid w:val="00DB672B"/>
    <w:rsid w:val="00DB70A9"/>
    <w:rsid w:val="00DB71CD"/>
    <w:rsid w:val="00DC0A57"/>
    <w:rsid w:val="00DC0D47"/>
    <w:rsid w:val="00DC1127"/>
    <w:rsid w:val="00DC13CA"/>
    <w:rsid w:val="00DC207D"/>
    <w:rsid w:val="00DC4177"/>
    <w:rsid w:val="00DC47E4"/>
    <w:rsid w:val="00DC4C06"/>
    <w:rsid w:val="00DC5316"/>
    <w:rsid w:val="00DC54E4"/>
    <w:rsid w:val="00DC57A0"/>
    <w:rsid w:val="00DC6134"/>
    <w:rsid w:val="00DC6230"/>
    <w:rsid w:val="00DC7527"/>
    <w:rsid w:val="00DC790F"/>
    <w:rsid w:val="00DD1276"/>
    <w:rsid w:val="00DD1C18"/>
    <w:rsid w:val="00DD1DF8"/>
    <w:rsid w:val="00DD27CA"/>
    <w:rsid w:val="00DD2AA3"/>
    <w:rsid w:val="00DD3D80"/>
    <w:rsid w:val="00DD3DB4"/>
    <w:rsid w:val="00DD448E"/>
    <w:rsid w:val="00DD4D5D"/>
    <w:rsid w:val="00DD4FBF"/>
    <w:rsid w:val="00DD4FD2"/>
    <w:rsid w:val="00DD524F"/>
    <w:rsid w:val="00DD715D"/>
    <w:rsid w:val="00DD7846"/>
    <w:rsid w:val="00DD7B7F"/>
    <w:rsid w:val="00DD7E54"/>
    <w:rsid w:val="00DE0391"/>
    <w:rsid w:val="00DE1294"/>
    <w:rsid w:val="00DE1776"/>
    <w:rsid w:val="00DE1C11"/>
    <w:rsid w:val="00DE1DDC"/>
    <w:rsid w:val="00DE1F74"/>
    <w:rsid w:val="00DE2370"/>
    <w:rsid w:val="00DE31A0"/>
    <w:rsid w:val="00DE31B4"/>
    <w:rsid w:val="00DE320C"/>
    <w:rsid w:val="00DE3816"/>
    <w:rsid w:val="00DE391F"/>
    <w:rsid w:val="00DE3EFD"/>
    <w:rsid w:val="00DE777C"/>
    <w:rsid w:val="00DF1028"/>
    <w:rsid w:val="00DF1089"/>
    <w:rsid w:val="00DF179E"/>
    <w:rsid w:val="00DF1FCA"/>
    <w:rsid w:val="00DF23EE"/>
    <w:rsid w:val="00DF2893"/>
    <w:rsid w:val="00DF3293"/>
    <w:rsid w:val="00DF34D6"/>
    <w:rsid w:val="00DF41A2"/>
    <w:rsid w:val="00DF43D1"/>
    <w:rsid w:val="00DF4F2E"/>
    <w:rsid w:val="00DF6458"/>
    <w:rsid w:val="00DF6F02"/>
    <w:rsid w:val="00E00DA8"/>
    <w:rsid w:val="00E014BD"/>
    <w:rsid w:val="00E02283"/>
    <w:rsid w:val="00E0314B"/>
    <w:rsid w:val="00E03486"/>
    <w:rsid w:val="00E035CB"/>
    <w:rsid w:val="00E036EA"/>
    <w:rsid w:val="00E04024"/>
    <w:rsid w:val="00E040CF"/>
    <w:rsid w:val="00E04F4B"/>
    <w:rsid w:val="00E062DF"/>
    <w:rsid w:val="00E06EDB"/>
    <w:rsid w:val="00E06FBB"/>
    <w:rsid w:val="00E07ACF"/>
    <w:rsid w:val="00E118FF"/>
    <w:rsid w:val="00E1209D"/>
    <w:rsid w:val="00E12423"/>
    <w:rsid w:val="00E1270D"/>
    <w:rsid w:val="00E12996"/>
    <w:rsid w:val="00E13B08"/>
    <w:rsid w:val="00E147F0"/>
    <w:rsid w:val="00E14C0E"/>
    <w:rsid w:val="00E15C9D"/>
    <w:rsid w:val="00E16D57"/>
    <w:rsid w:val="00E171A1"/>
    <w:rsid w:val="00E17AAD"/>
    <w:rsid w:val="00E17D7F"/>
    <w:rsid w:val="00E205C9"/>
    <w:rsid w:val="00E210C9"/>
    <w:rsid w:val="00E22F29"/>
    <w:rsid w:val="00E23729"/>
    <w:rsid w:val="00E244C3"/>
    <w:rsid w:val="00E25A8D"/>
    <w:rsid w:val="00E263B6"/>
    <w:rsid w:val="00E27069"/>
    <w:rsid w:val="00E27A4F"/>
    <w:rsid w:val="00E31129"/>
    <w:rsid w:val="00E3181B"/>
    <w:rsid w:val="00E31DC3"/>
    <w:rsid w:val="00E32288"/>
    <w:rsid w:val="00E33E58"/>
    <w:rsid w:val="00E34370"/>
    <w:rsid w:val="00E35832"/>
    <w:rsid w:val="00E35A00"/>
    <w:rsid w:val="00E35B0B"/>
    <w:rsid w:val="00E36257"/>
    <w:rsid w:val="00E37BFA"/>
    <w:rsid w:val="00E40C32"/>
    <w:rsid w:val="00E41159"/>
    <w:rsid w:val="00E418C8"/>
    <w:rsid w:val="00E4190E"/>
    <w:rsid w:val="00E42575"/>
    <w:rsid w:val="00E430CD"/>
    <w:rsid w:val="00E43AE2"/>
    <w:rsid w:val="00E43C7A"/>
    <w:rsid w:val="00E44B73"/>
    <w:rsid w:val="00E44C95"/>
    <w:rsid w:val="00E451A7"/>
    <w:rsid w:val="00E45F33"/>
    <w:rsid w:val="00E465E1"/>
    <w:rsid w:val="00E478DD"/>
    <w:rsid w:val="00E47CFD"/>
    <w:rsid w:val="00E50814"/>
    <w:rsid w:val="00E50A14"/>
    <w:rsid w:val="00E525C5"/>
    <w:rsid w:val="00E52E22"/>
    <w:rsid w:val="00E53BDD"/>
    <w:rsid w:val="00E54C32"/>
    <w:rsid w:val="00E54D27"/>
    <w:rsid w:val="00E55B45"/>
    <w:rsid w:val="00E55DB6"/>
    <w:rsid w:val="00E55ECA"/>
    <w:rsid w:val="00E564CB"/>
    <w:rsid w:val="00E56CF4"/>
    <w:rsid w:val="00E606BB"/>
    <w:rsid w:val="00E6073C"/>
    <w:rsid w:val="00E6074C"/>
    <w:rsid w:val="00E61FC0"/>
    <w:rsid w:val="00E6373C"/>
    <w:rsid w:val="00E6395D"/>
    <w:rsid w:val="00E641D7"/>
    <w:rsid w:val="00E64A57"/>
    <w:rsid w:val="00E66BF1"/>
    <w:rsid w:val="00E66CE2"/>
    <w:rsid w:val="00E70A89"/>
    <w:rsid w:val="00E717F6"/>
    <w:rsid w:val="00E719F1"/>
    <w:rsid w:val="00E71B04"/>
    <w:rsid w:val="00E71E73"/>
    <w:rsid w:val="00E722E0"/>
    <w:rsid w:val="00E72FBB"/>
    <w:rsid w:val="00E73A52"/>
    <w:rsid w:val="00E747D8"/>
    <w:rsid w:val="00E752E2"/>
    <w:rsid w:val="00E758FD"/>
    <w:rsid w:val="00E76A98"/>
    <w:rsid w:val="00E803A9"/>
    <w:rsid w:val="00E80462"/>
    <w:rsid w:val="00E80E1A"/>
    <w:rsid w:val="00E81E4B"/>
    <w:rsid w:val="00E84376"/>
    <w:rsid w:val="00E84668"/>
    <w:rsid w:val="00E85B80"/>
    <w:rsid w:val="00E860D8"/>
    <w:rsid w:val="00E866A8"/>
    <w:rsid w:val="00E871C0"/>
    <w:rsid w:val="00E87DD4"/>
    <w:rsid w:val="00E87F09"/>
    <w:rsid w:val="00E901B9"/>
    <w:rsid w:val="00E9099A"/>
    <w:rsid w:val="00E90D06"/>
    <w:rsid w:val="00E90FED"/>
    <w:rsid w:val="00E92150"/>
    <w:rsid w:val="00E92FCB"/>
    <w:rsid w:val="00E93578"/>
    <w:rsid w:val="00E93878"/>
    <w:rsid w:val="00E9562B"/>
    <w:rsid w:val="00E96B14"/>
    <w:rsid w:val="00E97042"/>
    <w:rsid w:val="00E97CE4"/>
    <w:rsid w:val="00EA05D2"/>
    <w:rsid w:val="00EA12C5"/>
    <w:rsid w:val="00EA17FD"/>
    <w:rsid w:val="00EA1F61"/>
    <w:rsid w:val="00EA227D"/>
    <w:rsid w:val="00EA30BD"/>
    <w:rsid w:val="00EA389F"/>
    <w:rsid w:val="00EA3B1B"/>
    <w:rsid w:val="00EA3BEF"/>
    <w:rsid w:val="00EA4827"/>
    <w:rsid w:val="00EA4857"/>
    <w:rsid w:val="00EA487E"/>
    <w:rsid w:val="00EA5AFF"/>
    <w:rsid w:val="00EA5D5D"/>
    <w:rsid w:val="00EA61E2"/>
    <w:rsid w:val="00EA6387"/>
    <w:rsid w:val="00EB0878"/>
    <w:rsid w:val="00EB08D6"/>
    <w:rsid w:val="00EB17EC"/>
    <w:rsid w:val="00EB2CAE"/>
    <w:rsid w:val="00EB2E22"/>
    <w:rsid w:val="00EB3397"/>
    <w:rsid w:val="00EB5622"/>
    <w:rsid w:val="00EB5B0E"/>
    <w:rsid w:val="00EB5DA8"/>
    <w:rsid w:val="00EB5DF2"/>
    <w:rsid w:val="00EB5E93"/>
    <w:rsid w:val="00EB5EDB"/>
    <w:rsid w:val="00EB5F12"/>
    <w:rsid w:val="00EB5F7E"/>
    <w:rsid w:val="00EB6453"/>
    <w:rsid w:val="00EB64A8"/>
    <w:rsid w:val="00EB6AE6"/>
    <w:rsid w:val="00EC0367"/>
    <w:rsid w:val="00EC0E63"/>
    <w:rsid w:val="00EC136B"/>
    <w:rsid w:val="00EC1DDF"/>
    <w:rsid w:val="00EC20C5"/>
    <w:rsid w:val="00EC20D5"/>
    <w:rsid w:val="00EC2992"/>
    <w:rsid w:val="00EC29A5"/>
    <w:rsid w:val="00EC3418"/>
    <w:rsid w:val="00EC3A33"/>
    <w:rsid w:val="00EC4774"/>
    <w:rsid w:val="00EC50AB"/>
    <w:rsid w:val="00EC50E5"/>
    <w:rsid w:val="00EC5300"/>
    <w:rsid w:val="00EC629B"/>
    <w:rsid w:val="00EC67E8"/>
    <w:rsid w:val="00ED0554"/>
    <w:rsid w:val="00ED0581"/>
    <w:rsid w:val="00ED0D0C"/>
    <w:rsid w:val="00ED1562"/>
    <w:rsid w:val="00ED2156"/>
    <w:rsid w:val="00ED22F2"/>
    <w:rsid w:val="00ED330F"/>
    <w:rsid w:val="00ED419B"/>
    <w:rsid w:val="00ED5A34"/>
    <w:rsid w:val="00ED62DF"/>
    <w:rsid w:val="00ED73B0"/>
    <w:rsid w:val="00ED7AB0"/>
    <w:rsid w:val="00EE01B7"/>
    <w:rsid w:val="00EE0735"/>
    <w:rsid w:val="00EE0B8F"/>
    <w:rsid w:val="00EE11EF"/>
    <w:rsid w:val="00EE11F4"/>
    <w:rsid w:val="00EE1A4E"/>
    <w:rsid w:val="00EE2542"/>
    <w:rsid w:val="00EE25CD"/>
    <w:rsid w:val="00EE2792"/>
    <w:rsid w:val="00EE2D41"/>
    <w:rsid w:val="00EE335C"/>
    <w:rsid w:val="00EE388C"/>
    <w:rsid w:val="00EE4C07"/>
    <w:rsid w:val="00EE4C2F"/>
    <w:rsid w:val="00EE4D7E"/>
    <w:rsid w:val="00EE5D94"/>
    <w:rsid w:val="00EE63D2"/>
    <w:rsid w:val="00EE6422"/>
    <w:rsid w:val="00EE6BAC"/>
    <w:rsid w:val="00EE708A"/>
    <w:rsid w:val="00EE7114"/>
    <w:rsid w:val="00EE7D66"/>
    <w:rsid w:val="00EF031A"/>
    <w:rsid w:val="00EF03D5"/>
    <w:rsid w:val="00EF088A"/>
    <w:rsid w:val="00EF0EA2"/>
    <w:rsid w:val="00EF1F2E"/>
    <w:rsid w:val="00EF2529"/>
    <w:rsid w:val="00EF2F30"/>
    <w:rsid w:val="00EF3053"/>
    <w:rsid w:val="00EF3138"/>
    <w:rsid w:val="00EF349B"/>
    <w:rsid w:val="00EF48A6"/>
    <w:rsid w:val="00EF58AD"/>
    <w:rsid w:val="00EF5AFC"/>
    <w:rsid w:val="00EF5D89"/>
    <w:rsid w:val="00EF5FED"/>
    <w:rsid w:val="00EF6BA3"/>
    <w:rsid w:val="00EF71C0"/>
    <w:rsid w:val="00EF7ACC"/>
    <w:rsid w:val="00EF7D71"/>
    <w:rsid w:val="00F00D4F"/>
    <w:rsid w:val="00F01177"/>
    <w:rsid w:val="00F013E7"/>
    <w:rsid w:val="00F031D8"/>
    <w:rsid w:val="00F03378"/>
    <w:rsid w:val="00F03E2D"/>
    <w:rsid w:val="00F069A1"/>
    <w:rsid w:val="00F069C7"/>
    <w:rsid w:val="00F071E7"/>
    <w:rsid w:val="00F07473"/>
    <w:rsid w:val="00F078C5"/>
    <w:rsid w:val="00F10422"/>
    <w:rsid w:val="00F10770"/>
    <w:rsid w:val="00F1134D"/>
    <w:rsid w:val="00F121AB"/>
    <w:rsid w:val="00F13007"/>
    <w:rsid w:val="00F136BF"/>
    <w:rsid w:val="00F141E6"/>
    <w:rsid w:val="00F14710"/>
    <w:rsid w:val="00F14BC3"/>
    <w:rsid w:val="00F14DC2"/>
    <w:rsid w:val="00F160FA"/>
    <w:rsid w:val="00F16E70"/>
    <w:rsid w:val="00F1791D"/>
    <w:rsid w:val="00F17A88"/>
    <w:rsid w:val="00F17C05"/>
    <w:rsid w:val="00F21B12"/>
    <w:rsid w:val="00F2259E"/>
    <w:rsid w:val="00F23144"/>
    <w:rsid w:val="00F231D6"/>
    <w:rsid w:val="00F23424"/>
    <w:rsid w:val="00F23CC9"/>
    <w:rsid w:val="00F241E8"/>
    <w:rsid w:val="00F24262"/>
    <w:rsid w:val="00F25241"/>
    <w:rsid w:val="00F25A99"/>
    <w:rsid w:val="00F25CBF"/>
    <w:rsid w:val="00F26F20"/>
    <w:rsid w:val="00F272C7"/>
    <w:rsid w:val="00F276F9"/>
    <w:rsid w:val="00F27BDD"/>
    <w:rsid w:val="00F3041D"/>
    <w:rsid w:val="00F315C3"/>
    <w:rsid w:val="00F3189D"/>
    <w:rsid w:val="00F31AFC"/>
    <w:rsid w:val="00F31F58"/>
    <w:rsid w:val="00F32076"/>
    <w:rsid w:val="00F326A6"/>
    <w:rsid w:val="00F33984"/>
    <w:rsid w:val="00F341EC"/>
    <w:rsid w:val="00F3444F"/>
    <w:rsid w:val="00F3469E"/>
    <w:rsid w:val="00F352F9"/>
    <w:rsid w:val="00F37069"/>
    <w:rsid w:val="00F41EAD"/>
    <w:rsid w:val="00F42346"/>
    <w:rsid w:val="00F4246D"/>
    <w:rsid w:val="00F42F89"/>
    <w:rsid w:val="00F44078"/>
    <w:rsid w:val="00F4476A"/>
    <w:rsid w:val="00F4483B"/>
    <w:rsid w:val="00F44BAB"/>
    <w:rsid w:val="00F46795"/>
    <w:rsid w:val="00F47384"/>
    <w:rsid w:val="00F4775C"/>
    <w:rsid w:val="00F518DC"/>
    <w:rsid w:val="00F51EC7"/>
    <w:rsid w:val="00F52846"/>
    <w:rsid w:val="00F52B98"/>
    <w:rsid w:val="00F53F6E"/>
    <w:rsid w:val="00F54156"/>
    <w:rsid w:val="00F5480D"/>
    <w:rsid w:val="00F54A2B"/>
    <w:rsid w:val="00F55747"/>
    <w:rsid w:val="00F55917"/>
    <w:rsid w:val="00F55BE7"/>
    <w:rsid w:val="00F567F7"/>
    <w:rsid w:val="00F56CE2"/>
    <w:rsid w:val="00F606E6"/>
    <w:rsid w:val="00F60ADF"/>
    <w:rsid w:val="00F60B4C"/>
    <w:rsid w:val="00F60E7E"/>
    <w:rsid w:val="00F60EA1"/>
    <w:rsid w:val="00F6110A"/>
    <w:rsid w:val="00F6167B"/>
    <w:rsid w:val="00F62A03"/>
    <w:rsid w:val="00F62BCD"/>
    <w:rsid w:val="00F649B4"/>
    <w:rsid w:val="00F649DC"/>
    <w:rsid w:val="00F659F8"/>
    <w:rsid w:val="00F65BE2"/>
    <w:rsid w:val="00F67A77"/>
    <w:rsid w:val="00F67BF5"/>
    <w:rsid w:val="00F70B0B"/>
    <w:rsid w:val="00F723DA"/>
    <w:rsid w:val="00F72B89"/>
    <w:rsid w:val="00F74949"/>
    <w:rsid w:val="00F749CB"/>
    <w:rsid w:val="00F75441"/>
    <w:rsid w:val="00F75677"/>
    <w:rsid w:val="00F75CEB"/>
    <w:rsid w:val="00F761BE"/>
    <w:rsid w:val="00F762E3"/>
    <w:rsid w:val="00F768C7"/>
    <w:rsid w:val="00F772DE"/>
    <w:rsid w:val="00F774A5"/>
    <w:rsid w:val="00F7751A"/>
    <w:rsid w:val="00F77D1A"/>
    <w:rsid w:val="00F80021"/>
    <w:rsid w:val="00F80C48"/>
    <w:rsid w:val="00F8218D"/>
    <w:rsid w:val="00F82F0C"/>
    <w:rsid w:val="00F83F6E"/>
    <w:rsid w:val="00F84468"/>
    <w:rsid w:val="00F8461E"/>
    <w:rsid w:val="00F84EFD"/>
    <w:rsid w:val="00F85AA2"/>
    <w:rsid w:val="00F85F11"/>
    <w:rsid w:val="00F8623F"/>
    <w:rsid w:val="00F8664D"/>
    <w:rsid w:val="00F86FF0"/>
    <w:rsid w:val="00F87512"/>
    <w:rsid w:val="00F87544"/>
    <w:rsid w:val="00F875CE"/>
    <w:rsid w:val="00F876D7"/>
    <w:rsid w:val="00F876DA"/>
    <w:rsid w:val="00F876E2"/>
    <w:rsid w:val="00F87D16"/>
    <w:rsid w:val="00F90102"/>
    <w:rsid w:val="00F90283"/>
    <w:rsid w:val="00F904C2"/>
    <w:rsid w:val="00F9115E"/>
    <w:rsid w:val="00F91A1A"/>
    <w:rsid w:val="00F935A4"/>
    <w:rsid w:val="00F94212"/>
    <w:rsid w:val="00F94C98"/>
    <w:rsid w:val="00F95949"/>
    <w:rsid w:val="00F96A68"/>
    <w:rsid w:val="00F97F08"/>
    <w:rsid w:val="00FA0641"/>
    <w:rsid w:val="00FA075E"/>
    <w:rsid w:val="00FA21D5"/>
    <w:rsid w:val="00FA2520"/>
    <w:rsid w:val="00FA2B93"/>
    <w:rsid w:val="00FA307E"/>
    <w:rsid w:val="00FA40C3"/>
    <w:rsid w:val="00FA4852"/>
    <w:rsid w:val="00FA4FE8"/>
    <w:rsid w:val="00FA538B"/>
    <w:rsid w:val="00FA5A0A"/>
    <w:rsid w:val="00FA6525"/>
    <w:rsid w:val="00FA675F"/>
    <w:rsid w:val="00FA7271"/>
    <w:rsid w:val="00FA764C"/>
    <w:rsid w:val="00FB0378"/>
    <w:rsid w:val="00FB05AF"/>
    <w:rsid w:val="00FB1EA6"/>
    <w:rsid w:val="00FB1F93"/>
    <w:rsid w:val="00FB393B"/>
    <w:rsid w:val="00FB7AC9"/>
    <w:rsid w:val="00FB7EF8"/>
    <w:rsid w:val="00FB7F94"/>
    <w:rsid w:val="00FB7FF5"/>
    <w:rsid w:val="00FC0B2D"/>
    <w:rsid w:val="00FC1075"/>
    <w:rsid w:val="00FC10D7"/>
    <w:rsid w:val="00FC1159"/>
    <w:rsid w:val="00FC208F"/>
    <w:rsid w:val="00FC3040"/>
    <w:rsid w:val="00FC31D5"/>
    <w:rsid w:val="00FC3B20"/>
    <w:rsid w:val="00FC4256"/>
    <w:rsid w:val="00FC450A"/>
    <w:rsid w:val="00FC5147"/>
    <w:rsid w:val="00FC5F4C"/>
    <w:rsid w:val="00FC670B"/>
    <w:rsid w:val="00FC69F5"/>
    <w:rsid w:val="00FC7529"/>
    <w:rsid w:val="00FC752C"/>
    <w:rsid w:val="00FC7530"/>
    <w:rsid w:val="00FC75A9"/>
    <w:rsid w:val="00FC79B7"/>
    <w:rsid w:val="00FD05D6"/>
    <w:rsid w:val="00FD0BD0"/>
    <w:rsid w:val="00FD0E3B"/>
    <w:rsid w:val="00FD1F50"/>
    <w:rsid w:val="00FD2723"/>
    <w:rsid w:val="00FD28B1"/>
    <w:rsid w:val="00FD4A53"/>
    <w:rsid w:val="00FD5BAA"/>
    <w:rsid w:val="00FD6960"/>
    <w:rsid w:val="00FD76C0"/>
    <w:rsid w:val="00FD7E50"/>
    <w:rsid w:val="00FE0943"/>
    <w:rsid w:val="00FE123C"/>
    <w:rsid w:val="00FE1529"/>
    <w:rsid w:val="00FE1623"/>
    <w:rsid w:val="00FE16E4"/>
    <w:rsid w:val="00FE2AF3"/>
    <w:rsid w:val="00FE388E"/>
    <w:rsid w:val="00FE3E77"/>
    <w:rsid w:val="00FE5186"/>
    <w:rsid w:val="00FE53C5"/>
    <w:rsid w:val="00FE569E"/>
    <w:rsid w:val="00FE5B90"/>
    <w:rsid w:val="00FE67F6"/>
    <w:rsid w:val="00FE7330"/>
    <w:rsid w:val="00FF11A2"/>
    <w:rsid w:val="00FF16E2"/>
    <w:rsid w:val="00FF18A2"/>
    <w:rsid w:val="00FF208D"/>
    <w:rsid w:val="00FF2BA3"/>
    <w:rsid w:val="00FF3AD6"/>
    <w:rsid w:val="00FF3C0F"/>
    <w:rsid w:val="00FF4FC3"/>
    <w:rsid w:val="00FF561C"/>
    <w:rsid w:val="00FF5943"/>
    <w:rsid w:val="00FF634A"/>
    <w:rsid w:val="03E21C13"/>
    <w:rsid w:val="09F90D3D"/>
    <w:rsid w:val="1092842E"/>
    <w:rsid w:val="140A0C50"/>
    <w:rsid w:val="14D41D89"/>
    <w:rsid w:val="16F91A92"/>
    <w:rsid w:val="1D3422D2"/>
    <w:rsid w:val="1FED5275"/>
    <w:rsid w:val="202F688F"/>
    <w:rsid w:val="20C2E7CD"/>
    <w:rsid w:val="225697D6"/>
    <w:rsid w:val="23FBE0C3"/>
    <w:rsid w:val="310AD49C"/>
    <w:rsid w:val="312C9915"/>
    <w:rsid w:val="3212C188"/>
    <w:rsid w:val="38E966D4"/>
    <w:rsid w:val="49017DFA"/>
    <w:rsid w:val="4B77BB38"/>
    <w:rsid w:val="4B84DE29"/>
    <w:rsid w:val="55171589"/>
    <w:rsid w:val="5AE5D194"/>
    <w:rsid w:val="5C3CEEA4"/>
    <w:rsid w:val="6163E768"/>
    <w:rsid w:val="634CA456"/>
    <w:rsid w:val="63E543D6"/>
    <w:rsid w:val="6604188E"/>
    <w:rsid w:val="6AAEF6E5"/>
    <w:rsid w:val="6F42DE52"/>
    <w:rsid w:val="74A1967C"/>
    <w:rsid w:val="75C88E43"/>
    <w:rsid w:val="778E2763"/>
    <w:rsid w:val="77C93D8F"/>
    <w:rsid w:val="7BA55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03C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FF8"/>
    <w:pPr>
      <w:spacing w:after="240" w:line="240" w:lineRule="atLeast"/>
    </w:pPr>
    <w:rPr>
      <w:rFonts w:ascii="Arial" w:eastAsia="Times New Roman" w:hAnsi="Arial" w:cs="Times New Roman"/>
      <w:sz w:val="20"/>
      <w:szCs w:val="24"/>
      <w:lang w:eastAsia="en-AU"/>
    </w:rPr>
  </w:style>
  <w:style w:type="paragraph" w:styleId="Heading1">
    <w:name w:val="heading 1"/>
    <w:basedOn w:val="Normal"/>
    <w:next w:val="Normal"/>
    <w:link w:val="Heading1Char"/>
    <w:qFormat/>
    <w:rsid w:val="00D522F0"/>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D522F0"/>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D522F0"/>
    <w:pPr>
      <w:keepNext/>
      <w:spacing w:before="60" w:after="60"/>
      <w:outlineLvl w:val="2"/>
    </w:pPr>
    <w:rPr>
      <w:rFonts w:cs="Arial"/>
      <w:b/>
      <w:bCs/>
      <w:szCs w:val="26"/>
    </w:rPr>
  </w:style>
  <w:style w:type="paragraph" w:styleId="Heading4">
    <w:name w:val="heading 4"/>
    <w:basedOn w:val="BodySubHeader"/>
    <w:next w:val="Normal"/>
    <w:link w:val="Heading4Char"/>
    <w:uiPriority w:val="2"/>
    <w:qFormat/>
    <w:rsid w:val="00D522F0"/>
    <w:pPr>
      <w:outlineLvl w:val="3"/>
    </w:pPr>
    <w:rPr>
      <w:rFonts w:cs="Arial"/>
    </w:rPr>
  </w:style>
  <w:style w:type="paragraph" w:styleId="Heading5">
    <w:name w:val="heading 5"/>
    <w:basedOn w:val="Normal"/>
    <w:next w:val="Normal"/>
    <w:link w:val="Heading5Char"/>
    <w:semiHidden/>
    <w:qFormat/>
    <w:rsid w:val="00D522F0"/>
    <w:pPr>
      <w:numPr>
        <w:ilvl w:val="4"/>
        <w:numId w:val="5"/>
      </w:numPr>
      <w:spacing w:before="240" w:after="60"/>
      <w:outlineLvl w:val="4"/>
    </w:pPr>
    <w:rPr>
      <w:b/>
      <w:bCs/>
      <w:i/>
      <w:iCs/>
      <w:sz w:val="26"/>
      <w:szCs w:val="26"/>
    </w:rPr>
  </w:style>
  <w:style w:type="paragraph" w:styleId="Heading6">
    <w:name w:val="heading 6"/>
    <w:basedOn w:val="Normal"/>
    <w:next w:val="Normal"/>
    <w:link w:val="Heading6Char"/>
    <w:semiHidden/>
    <w:qFormat/>
    <w:rsid w:val="00D522F0"/>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qFormat/>
    <w:rsid w:val="00D522F0"/>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D522F0"/>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D522F0"/>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2F0"/>
    <w:rPr>
      <w:rFonts w:ascii="Arial" w:eastAsia="Times New Roman" w:hAnsi="Arial" w:cs="Arial"/>
      <w:bCs/>
      <w:color w:val="323232"/>
      <w:kern w:val="32"/>
      <w:sz w:val="53"/>
      <w:szCs w:val="32"/>
      <w:lang w:eastAsia="en-AU"/>
    </w:rPr>
  </w:style>
  <w:style w:type="character" w:customStyle="1" w:styleId="Heading2Char">
    <w:name w:val="Heading 2 Char"/>
    <w:basedOn w:val="DefaultParagraphFont"/>
    <w:link w:val="Heading2"/>
    <w:uiPriority w:val="1"/>
    <w:rsid w:val="00D522F0"/>
    <w:rPr>
      <w:rFonts w:ascii="Arial" w:eastAsia="Times New Roman" w:hAnsi="Arial" w:cs="Arial"/>
      <w:b/>
      <w:bCs/>
      <w:iCs/>
      <w:sz w:val="28"/>
      <w:szCs w:val="28"/>
      <w:lang w:eastAsia="en-AU"/>
    </w:rPr>
  </w:style>
  <w:style w:type="character" w:customStyle="1" w:styleId="Heading3Char">
    <w:name w:val="Heading 3 Char"/>
    <w:basedOn w:val="DefaultParagraphFont"/>
    <w:link w:val="Heading3"/>
    <w:uiPriority w:val="2"/>
    <w:rsid w:val="00D522F0"/>
    <w:rPr>
      <w:rFonts w:ascii="Arial" w:eastAsia="Times New Roman" w:hAnsi="Arial" w:cs="Arial"/>
      <w:b/>
      <w:bCs/>
      <w:sz w:val="20"/>
      <w:szCs w:val="26"/>
      <w:lang w:eastAsia="en-AU"/>
    </w:rPr>
  </w:style>
  <w:style w:type="character" w:customStyle="1" w:styleId="Heading4Char">
    <w:name w:val="Heading 4 Char"/>
    <w:basedOn w:val="DefaultParagraphFont"/>
    <w:link w:val="Heading4"/>
    <w:uiPriority w:val="2"/>
    <w:rsid w:val="00D522F0"/>
    <w:rPr>
      <w:rFonts w:ascii="Arial" w:eastAsia="Times New Roman" w:hAnsi="Arial" w:cs="Arial"/>
      <w:b/>
      <w:i/>
      <w:sz w:val="20"/>
      <w:szCs w:val="24"/>
      <w:lang w:eastAsia="en-AU"/>
    </w:rPr>
  </w:style>
  <w:style w:type="character" w:customStyle="1" w:styleId="Heading5Char">
    <w:name w:val="Heading 5 Char"/>
    <w:basedOn w:val="DefaultParagraphFont"/>
    <w:link w:val="Heading5"/>
    <w:semiHidden/>
    <w:rsid w:val="00D522F0"/>
    <w:rPr>
      <w:rFonts w:ascii="Arial" w:eastAsia="Times New Roman" w:hAnsi="Arial" w:cs="Times New Roman"/>
      <w:b/>
      <w:bCs/>
      <w:i/>
      <w:iCs/>
      <w:sz w:val="26"/>
      <w:szCs w:val="26"/>
      <w:lang w:eastAsia="en-AU"/>
    </w:rPr>
  </w:style>
  <w:style w:type="character" w:customStyle="1" w:styleId="Heading6Char">
    <w:name w:val="Heading 6 Char"/>
    <w:basedOn w:val="DefaultParagraphFont"/>
    <w:link w:val="Heading6"/>
    <w:semiHidden/>
    <w:rsid w:val="00D522F0"/>
    <w:rPr>
      <w:rFonts w:ascii="Times New Roman" w:eastAsia="Times New Roman" w:hAnsi="Times New Roman" w:cs="Times New Roman"/>
      <w:b/>
      <w:bCs/>
      <w:lang w:eastAsia="en-AU"/>
    </w:rPr>
  </w:style>
  <w:style w:type="character" w:customStyle="1" w:styleId="Heading7Char">
    <w:name w:val="Heading 7 Char"/>
    <w:basedOn w:val="DefaultParagraphFont"/>
    <w:link w:val="Heading7"/>
    <w:semiHidden/>
    <w:rsid w:val="00D522F0"/>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semiHidden/>
    <w:rsid w:val="00D522F0"/>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D522F0"/>
    <w:rPr>
      <w:rFonts w:ascii="Arial" w:eastAsia="Times New Roman" w:hAnsi="Arial" w:cs="Arial"/>
      <w:lang w:eastAsia="en-AU"/>
    </w:rPr>
  </w:style>
  <w:style w:type="paragraph" w:styleId="Header">
    <w:name w:val="header"/>
    <w:basedOn w:val="Normal"/>
    <w:link w:val="HeaderChar"/>
    <w:semiHidden/>
    <w:rsid w:val="00D522F0"/>
    <w:pPr>
      <w:tabs>
        <w:tab w:val="center" w:pos="4153"/>
        <w:tab w:val="right" w:pos="8306"/>
      </w:tabs>
      <w:spacing w:line="240" w:lineRule="auto"/>
    </w:pPr>
    <w:rPr>
      <w:sz w:val="16"/>
    </w:rPr>
  </w:style>
  <w:style w:type="character" w:customStyle="1" w:styleId="HeaderChar">
    <w:name w:val="Header Char"/>
    <w:basedOn w:val="DefaultParagraphFont"/>
    <w:link w:val="Header"/>
    <w:semiHidden/>
    <w:rsid w:val="00D522F0"/>
    <w:rPr>
      <w:rFonts w:ascii="Arial" w:eastAsia="Times New Roman" w:hAnsi="Arial" w:cs="Times New Roman"/>
      <w:sz w:val="16"/>
      <w:szCs w:val="24"/>
      <w:lang w:eastAsia="en-AU"/>
    </w:rPr>
  </w:style>
  <w:style w:type="paragraph" w:styleId="Footer">
    <w:name w:val="footer"/>
    <w:basedOn w:val="Normal"/>
    <w:link w:val="FooterChar"/>
    <w:semiHidden/>
    <w:qFormat/>
    <w:rsid w:val="00D522F0"/>
    <w:pPr>
      <w:tabs>
        <w:tab w:val="right" w:pos="113"/>
      </w:tabs>
      <w:spacing w:line="240" w:lineRule="auto"/>
    </w:pPr>
    <w:rPr>
      <w:color w:val="323232"/>
      <w:sz w:val="16"/>
    </w:rPr>
  </w:style>
  <w:style w:type="character" w:customStyle="1" w:styleId="FooterChar">
    <w:name w:val="Footer Char"/>
    <w:basedOn w:val="DefaultParagraphFont"/>
    <w:link w:val="Footer"/>
    <w:semiHidden/>
    <w:rsid w:val="00D522F0"/>
    <w:rPr>
      <w:rFonts w:ascii="Arial" w:eastAsia="Times New Roman" w:hAnsi="Arial" w:cs="Times New Roman"/>
      <w:color w:val="323232"/>
      <w:sz w:val="16"/>
      <w:szCs w:val="24"/>
      <w:lang w:eastAsia="en-AU"/>
    </w:rPr>
  </w:style>
  <w:style w:type="paragraph" w:customStyle="1" w:styleId="Reporttitle">
    <w:name w:val="Report title"/>
    <w:basedOn w:val="Normal"/>
    <w:uiPriority w:val="19"/>
    <w:qFormat/>
    <w:rsid w:val="00D522F0"/>
    <w:pPr>
      <w:spacing w:after="0" w:line="560" w:lineRule="exact"/>
    </w:pPr>
    <w:rPr>
      <w:b/>
      <w:spacing w:val="-28"/>
      <w:sz w:val="53"/>
    </w:rPr>
  </w:style>
  <w:style w:type="paragraph" w:customStyle="1" w:styleId="Reportsubtitle">
    <w:name w:val="Report subtitle"/>
    <w:basedOn w:val="Normal"/>
    <w:uiPriority w:val="20"/>
    <w:qFormat/>
    <w:rsid w:val="00D522F0"/>
    <w:pPr>
      <w:spacing w:after="200" w:line="560" w:lineRule="exact"/>
    </w:pPr>
    <w:rPr>
      <w:color w:val="323232"/>
      <w:spacing w:val="-28"/>
      <w:sz w:val="53"/>
    </w:rPr>
  </w:style>
  <w:style w:type="table" w:styleId="TableGrid">
    <w:name w:val="Table Grid"/>
    <w:basedOn w:val="TableNormal"/>
    <w:uiPriority w:val="59"/>
    <w:rsid w:val="00D522F0"/>
    <w:pPr>
      <w:spacing w:after="0" w:line="240" w:lineRule="atLeast"/>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D522F0"/>
    <w:pPr>
      <w:spacing w:after="1200" w:line="240" w:lineRule="auto"/>
    </w:pPr>
    <w:rPr>
      <w:caps/>
      <w:spacing w:val="-10"/>
      <w:sz w:val="20"/>
    </w:rPr>
  </w:style>
  <w:style w:type="paragraph" w:customStyle="1" w:styleId="Tableheaderrow">
    <w:name w:val="Table header row"/>
    <w:basedOn w:val="Normal"/>
    <w:uiPriority w:val="14"/>
    <w:qFormat/>
    <w:rsid w:val="00D522F0"/>
    <w:pPr>
      <w:spacing w:after="0"/>
    </w:pPr>
    <w:rPr>
      <w:b/>
    </w:rPr>
  </w:style>
  <w:style w:type="paragraph" w:customStyle="1" w:styleId="PageNumber">
    <w:name w:val="PageNumber"/>
    <w:basedOn w:val="Normal"/>
    <w:semiHidden/>
    <w:rsid w:val="00D522F0"/>
    <w:pPr>
      <w:spacing w:line="240" w:lineRule="auto"/>
    </w:pPr>
    <w:rPr>
      <w:sz w:val="16"/>
    </w:rPr>
  </w:style>
  <w:style w:type="paragraph" w:customStyle="1" w:styleId="Copyright">
    <w:name w:val="Copyright"/>
    <w:basedOn w:val="Normal"/>
    <w:semiHidden/>
    <w:rsid w:val="00D522F0"/>
    <w:pPr>
      <w:spacing w:line="160" w:lineRule="exact"/>
    </w:pPr>
    <w:rPr>
      <w:color w:val="4D4D4F"/>
      <w:sz w:val="13"/>
    </w:rPr>
  </w:style>
  <w:style w:type="paragraph" w:styleId="TOCHeading">
    <w:name w:val="TOC Heading"/>
    <w:basedOn w:val="Normal"/>
    <w:semiHidden/>
    <w:qFormat/>
    <w:rsid w:val="00D522F0"/>
    <w:pPr>
      <w:spacing w:before="1200" w:line="240" w:lineRule="auto"/>
    </w:pPr>
    <w:rPr>
      <w:b/>
      <w:color w:val="323232"/>
      <w:spacing w:val="-28"/>
      <w:sz w:val="53"/>
    </w:rPr>
  </w:style>
  <w:style w:type="paragraph" w:styleId="Caption">
    <w:name w:val="caption"/>
    <w:aliases w:val="Caption table"/>
    <w:basedOn w:val="Normal"/>
    <w:next w:val="Normal"/>
    <w:semiHidden/>
    <w:qFormat/>
    <w:rsid w:val="00D522F0"/>
    <w:pPr>
      <w:numPr>
        <w:numId w:val="9"/>
      </w:numPr>
      <w:spacing w:after="0"/>
    </w:pPr>
    <w:rPr>
      <w:b/>
      <w:bCs/>
      <w:color w:val="323232"/>
      <w:szCs w:val="20"/>
    </w:rPr>
  </w:style>
  <w:style w:type="paragraph" w:customStyle="1" w:styleId="BodySubHeader">
    <w:name w:val="BodySubHeader"/>
    <w:basedOn w:val="Normal"/>
    <w:next w:val="Normal"/>
    <w:semiHidden/>
    <w:rsid w:val="00D522F0"/>
    <w:pPr>
      <w:spacing w:before="240" w:after="0"/>
    </w:pPr>
    <w:rPr>
      <w:b/>
      <w:i/>
    </w:rPr>
  </w:style>
  <w:style w:type="paragraph" w:styleId="ListBullet">
    <w:name w:val="List Bullet"/>
    <w:aliases w:val="List Bullet 1"/>
    <w:basedOn w:val="Normal"/>
    <w:qFormat/>
    <w:rsid w:val="00D522F0"/>
    <w:pPr>
      <w:numPr>
        <w:numId w:val="1"/>
      </w:numPr>
      <w:spacing w:after="80"/>
      <w:ind w:left="0" w:firstLine="0"/>
    </w:pPr>
  </w:style>
  <w:style w:type="paragraph" w:styleId="ListBullet2">
    <w:name w:val="List Bullet 2"/>
    <w:basedOn w:val="Normal"/>
    <w:qFormat/>
    <w:rsid w:val="00D522F0"/>
    <w:pPr>
      <w:numPr>
        <w:numId w:val="2"/>
      </w:numPr>
      <w:spacing w:after="80"/>
    </w:pPr>
  </w:style>
  <w:style w:type="paragraph" w:styleId="ListNumber">
    <w:name w:val="List Number"/>
    <w:basedOn w:val="Normal"/>
    <w:semiHidden/>
    <w:qFormat/>
    <w:rsid w:val="00D522F0"/>
    <w:pPr>
      <w:numPr>
        <w:numId w:val="3"/>
      </w:numPr>
      <w:spacing w:after="80"/>
    </w:pPr>
  </w:style>
  <w:style w:type="paragraph" w:styleId="ListNumber2">
    <w:name w:val="List Number 2"/>
    <w:basedOn w:val="Normal"/>
    <w:qFormat/>
    <w:rsid w:val="00D522F0"/>
    <w:pPr>
      <w:numPr>
        <w:numId w:val="4"/>
      </w:numPr>
      <w:spacing w:after="80"/>
      <w:ind w:left="828" w:hanging="357"/>
    </w:pPr>
  </w:style>
  <w:style w:type="paragraph" w:customStyle="1" w:styleId="URLEmail">
    <w:name w:val="URL/Email"/>
    <w:basedOn w:val="Normal"/>
    <w:semiHidden/>
    <w:rsid w:val="00D522F0"/>
    <w:rPr>
      <w:color w:val="4D4D4F"/>
      <w:spacing w:val="4"/>
    </w:rPr>
  </w:style>
  <w:style w:type="paragraph" w:customStyle="1" w:styleId="Execsummaryheading">
    <w:name w:val="Exec summary heading"/>
    <w:basedOn w:val="Normal"/>
    <w:uiPriority w:val="22"/>
    <w:qFormat/>
    <w:rsid w:val="00D522F0"/>
    <w:pPr>
      <w:pageBreakBefore/>
      <w:spacing w:after="1440" w:line="550" w:lineRule="exact"/>
    </w:pPr>
    <w:rPr>
      <w:b/>
      <w:color w:val="323232"/>
      <w:spacing w:val="-18"/>
      <w:sz w:val="53"/>
    </w:rPr>
  </w:style>
  <w:style w:type="character" w:styleId="PageNumber0">
    <w:name w:val="page number"/>
    <w:basedOn w:val="DefaultParagraphFont"/>
    <w:semiHidden/>
    <w:rsid w:val="00D522F0"/>
  </w:style>
  <w:style w:type="paragraph" w:styleId="ListContinue5">
    <w:name w:val="List Continue 5"/>
    <w:basedOn w:val="Normal"/>
    <w:semiHidden/>
    <w:rsid w:val="00D522F0"/>
    <w:pPr>
      <w:spacing w:after="120"/>
      <w:ind w:left="1415"/>
      <w:contextualSpacing/>
    </w:pPr>
  </w:style>
  <w:style w:type="paragraph" w:customStyle="1" w:styleId="Paragraphbeforelist">
    <w:name w:val="Paragraph before list"/>
    <w:basedOn w:val="Paragraph"/>
    <w:uiPriority w:val="4"/>
    <w:qFormat/>
    <w:rsid w:val="00D522F0"/>
    <w:pPr>
      <w:spacing w:after="80"/>
    </w:pPr>
  </w:style>
  <w:style w:type="paragraph" w:styleId="TOC1">
    <w:name w:val="toc 1"/>
    <w:basedOn w:val="Normal"/>
    <w:next w:val="Normal"/>
    <w:uiPriority w:val="39"/>
    <w:qFormat/>
    <w:rsid w:val="00D522F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D522F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D522F0"/>
    <w:pPr>
      <w:tabs>
        <w:tab w:val="right" w:pos="7615"/>
      </w:tabs>
      <w:spacing w:line="320" w:lineRule="exact"/>
    </w:pPr>
    <w:rPr>
      <w:noProof/>
      <w:color w:val="808285"/>
      <w:sz w:val="28"/>
    </w:rPr>
  </w:style>
  <w:style w:type="paragraph" w:styleId="TOC3">
    <w:name w:val="toc 3"/>
    <w:basedOn w:val="Normal"/>
    <w:next w:val="Normal"/>
    <w:uiPriority w:val="39"/>
    <w:qFormat/>
    <w:rsid w:val="00D522F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D522F0"/>
    <w:rPr>
      <w:color w:val="0000FF"/>
      <w:u w:val="single" w:color="0000FF"/>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Style 13,FR"/>
    <w:basedOn w:val="DefaultParagraphFont"/>
    <w:uiPriority w:val="99"/>
    <w:rsid w:val="00D522F0"/>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f,fn,ALTS FOOTNOTE"/>
    <w:basedOn w:val="Normal"/>
    <w:link w:val="FootnoteTextChar"/>
    <w:uiPriority w:val="99"/>
    <w:rsid w:val="00D522F0"/>
    <w:pPr>
      <w:spacing w:after="0"/>
    </w:pPr>
    <w:rPr>
      <w:sz w:val="16"/>
      <w:szCs w:val="16"/>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fn Char"/>
    <w:basedOn w:val="DefaultParagraphFont"/>
    <w:link w:val="FootnoteText"/>
    <w:uiPriority w:val="99"/>
    <w:rsid w:val="00D522F0"/>
    <w:rPr>
      <w:rFonts w:ascii="Arial" w:eastAsia="Times New Roman" w:hAnsi="Arial" w:cs="Times New Roman"/>
      <w:sz w:val="16"/>
      <w:szCs w:val="16"/>
      <w:lang w:eastAsia="en-AU"/>
    </w:rPr>
  </w:style>
  <w:style w:type="paragraph" w:customStyle="1" w:styleId="TableBody">
    <w:name w:val="Table Body"/>
    <w:basedOn w:val="Normal"/>
    <w:qFormat/>
    <w:rsid w:val="00D522F0"/>
    <w:pPr>
      <w:spacing w:after="0" w:line="240" w:lineRule="auto"/>
    </w:pPr>
  </w:style>
  <w:style w:type="character" w:styleId="CommentReference">
    <w:name w:val="annotation reference"/>
    <w:basedOn w:val="DefaultParagraphFont"/>
    <w:rsid w:val="00D522F0"/>
    <w:rPr>
      <w:sz w:val="16"/>
      <w:szCs w:val="16"/>
    </w:rPr>
  </w:style>
  <w:style w:type="paragraph" w:styleId="CommentText">
    <w:name w:val="annotation text"/>
    <w:basedOn w:val="Normal"/>
    <w:link w:val="CommentTextChar"/>
    <w:uiPriority w:val="99"/>
    <w:qFormat/>
    <w:rsid w:val="00D522F0"/>
    <w:pPr>
      <w:spacing w:line="240" w:lineRule="auto"/>
    </w:pPr>
    <w:rPr>
      <w:szCs w:val="20"/>
    </w:rPr>
  </w:style>
  <w:style w:type="character" w:customStyle="1" w:styleId="CommentTextChar">
    <w:name w:val="Comment Text Char"/>
    <w:basedOn w:val="DefaultParagraphFont"/>
    <w:link w:val="CommentText"/>
    <w:uiPriority w:val="99"/>
    <w:rsid w:val="00D522F0"/>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D522F0"/>
    <w:rPr>
      <w:b/>
      <w:bCs/>
    </w:rPr>
  </w:style>
  <w:style w:type="character" w:customStyle="1" w:styleId="CommentSubjectChar">
    <w:name w:val="Comment Subject Char"/>
    <w:basedOn w:val="CommentTextChar"/>
    <w:link w:val="CommentSubject"/>
    <w:semiHidden/>
    <w:rsid w:val="00D522F0"/>
    <w:rPr>
      <w:rFonts w:ascii="Arial" w:eastAsia="Times New Roman" w:hAnsi="Arial" w:cs="Times New Roman"/>
      <w:b/>
      <w:bCs/>
      <w:sz w:val="20"/>
      <w:szCs w:val="20"/>
      <w:lang w:eastAsia="en-AU"/>
    </w:rPr>
  </w:style>
  <w:style w:type="character" w:styleId="FollowedHyperlink">
    <w:name w:val="FollowedHyperlink"/>
    <w:basedOn w:val="DefaultParagraphFont"/>
    <w:semiHidden/>
    <w:rsid w:val="00D522F0"/>
    <w:rPr>
      <w:color w:val="954F72" w:themeColor="followedHyperlink"/>
      <w:u w:val="single"/>
    </w:rPr>
  </w:style>
  <w:style w:type="character" w:styleId="PlaceholderText">
    <w:name w:val="Placeholder Text"/>
    <w:basedOn w:val="DefaultParagraphFont"/>
    <w:uiPriority w:val="99"/>
    <w:semiHidden/>
    <w:rsid w:val="00D522F0"/>
    <w:rPr>
      <w:color w:val="808080"/>
    </w:rPr>
  </w:style>
  <w:style w:type="paragraph" w:customStyle="1" w:styleId="ACMAInstructions">
    <w:name w:val="ACMA_Instructions"/>
    <w:basedOn w:val="Normal"/>
    <w:semiHidden/>
    <w:unhideWhenUsed/>
    <w:qFormat/>
    <w:rsid w:val="00D522F0"/>
    <w:pPr>
      <w:spacing w:after="200"/>
    </w:pPr>
    <w:rPr>
      <w:rFonts w:cs="Arial"/>
      <w:b/>
      <w:vanish/>
      <w:sz w:val="24"/>
    </w:rPr>
  </w:style>
  <w:style w:type="paragraph" w:customStyle="1" w:styleId="CorporateAddresses">
    <w:name w:val="Corporate Addresses"/>
    <w:basedOn w:val="Normal"/>
    <w:semiHidden/>
    <w:rsid w:val="00D522F0"/>
    <w:pPr>
      <w:spacing w:line="140" w:lineRule="exact"/>
    </w:pPr>
    <w:rPr>
      <w:color w:val="4D4D4F"/>
      <w:sz w:val="13"/>
    </w:rPr>
  </w:style>
  <w:style w:type="paragraph" w:customStyle="1" w:styleId="Bulletlevel1">
    <w:name w:val="Bullet level 1"/>
    <w:basedOn w:val="ListBullet"/>
    <w:uiPriority w:val="5"/>
    <w:qFormat/>
    <w:rsid w:val="00D522F0"/>
    <w:pPr>
      <w:ind w:left="720" w:hanging="360"/>
    </w:pPr>
    <w:rPr>
      <w:rFonts w:cs="Arial"/>
    </w:rPr>
  </w:style>
  <w:style w:type="paragraph" w:customStyle="1" w:styleId="ACMACorporateAddressHeader">
    <w:name w:val="ACMA_CorporateAddressHeader"/>
    <w:basedOn w:val="Normal"/>
    <w:next w:val="ACMACorporateAddresses"/>
    <w:semiHidden/>
    <w:unhideWhenUsed/>
    <w:qFormat/>
    <w:rsid w:val="00D522F0"/>
    <w:pPr>
      <w:tabs>
        <w:tab w:val="left" w:pos="142"/>
      </w:tabs>
      <w:spacing w:before="240" w:after="0" w:line="140" w:lineRule="exact"/>
    </w:pPr>
    <w:rPr>
      <w:b/>
      <w:sz w:val="13"/>
    </w:rPr>
  </w:style>
  <w:style w:type="paragraph" w:customStyle="1" w:styleId="ACMACorporateAddresses">
    <w:name w:val="ACMA_CorporateAddresses"/>
    <w:basedOn w:val="ACMACorporateAddressHeader"/>
    <w:unhideWhenUsed/>
    <w:qFormat/>
    <w:rsid w:val="00D522F0"/>
    <w:pPr>
      <w:spacing w:before="0" w:after="120"/>
    </w:pPr>
    <w:rPr>
      <w:b w:val="0"/>
    </w:rPr>
  </w:style>
  <w:style w:type="paragraph" w:customStyle="1" w:styleId="ACMACopyrightHeader">
    <w:name w:val="ACMA_CopyrightHeader"/>
    <w:basedOn w:val="ACMACorporateAddressHeader"/>
    <w:semiHidden/>
    <w:unhideWhenUsed/>
    <w:qFormat/>
    <w:rsid w:val="00D522F0"/>
    <w:pPr>
      <w:spacing w:before="3000"/>
    </w:pPr>
  </w:style>
  <w:style w:type="paragraph" w:customStyle="1" w:styleId="ACMACClogo">
    <w:name w:val="ACMA_CClogo"/>
    <w:semiHidden/>
    <w:unhideWhenUsed/>
    <w:qFormat/>
    <w:rsid w:val="00D522F0"/>
    <w:pPr>
      <w:spacing w:before="160" w:after="120" w:line="240" w:lineRule="auto"/>
    </w:pPr>
    <w:rPr>
      <w:rFonts w:ascii="Arial" w:eastAsia="Times New Roman" w:hAnsi="Arial" w:cs="Times New Roman"/>
      <w:b/>
      <w:sz w:val="13"/>
      <w:szCs w:val="24"/>
      <w:lang w:eastAsia="en-AU"/>
    </w:rPr>
  </w:style>
  <w:style w:type="paragraph" w:customStyle="1" w:styleId="ListBulletLast">
    <w:name w:val="List Bullet Last"/>
    <w:basedOn w:val="ListBullet"/>
    <w:qFormat/>
    <w:rsid w:val="00D522F0"/>
    <w:pPr>
      <w:spacing w:after="240"/>
    </w:pPr>
    <w:rPr>
      <w:rFonts w:cs="Arial"/>
    </w:rPr>
  </w:style>
  <w:style w:type="paragraph" w:customStyle="1" w:styleId="ListNumberLast">
    <w:name w:val="List Number Last"/>
    <w:basedOn w:val="ListNumber"/>
    <w:semiHidden/>
    <w:qFormat/>
    <w:rsid w:val="00D522F0"/>
    <w:pPr>
      <w:spacing w:after="240"/>
      <w:ind w:left="357" w:hanging="357"/>
    </w:pPr>
    <w:rPr>
      <w:rFonts w:cs="Arial"/>
    </w:rPr>
  </w:style>
  <w:style w:type="paragraph" w:customStyle="1" w:styleId="ACMATableHeader">
    <w:name w:val="ACMA_TableHeader"/>
    <w:qFormat/>
    <w:rsid w:val="00D522F0"/>
    <w:pPr>
      <w:numPr>
        <w:numId w:val="7"/>
      </w:numPr>
      <w:spacing w:line="240" w:lineRule="auto"/>
    </w:pPr>
    <w:rPr>
      <w:rFonts w:ascii="Arial" w:eastAsia="Times New Roman" w:hAnsi="Arial" w:cs="Times New Roman"/>
      <w:b/>
      <w:bCs/>
      <w:color w:val="323232"/>
      <w:sz w:val="20"/>
      <w:szCs w:val="20"/>
      <w:lang w:eastAsia="en-AU"/>
    </w:rPr>
  </w:style>
  <w:style w:type="paragraph" w:customStyle="1" w:styleId="ACMANotes">
    <w:name w:val="ACMA_Notes"/>
    <w:semiHidden/>
    <w:qFormat/>
    <w:rsid w:val="00D522F0"/>
    <w:pPr>
      <w:spacing w:before="80" w:after="0" w:line="240" w:lineRule="auto"/>
    </w:pPr>
    <w:rPr>
      <w:rFonts w:ascii="Arial" w:eastAsia="Times New Roman" w:hAnsi="Arial" w:cs="Arial"/>
      <w:i/>
      <w:sz w:val="16"/>
      <w:szCs w:val="24"/>
      <w:lang w:eastAsia="en-AU"/>
    </w:rPr>
  </w:style>
  <w:style w:type="paragraph" w:customStyle="1" w:styleId="Numberlistlevel1">
    <w:name w:val="Number list level 1"/>
    <w:basedOn w:val="ListNumber"/>
    <w:uiPriority w:val="9"/>
    <w:qFormat/>
    <w:rsid w:val="00D522F0"/>
  </w:style>
  <w:style w:type="character" w:styleId="Emphasis">
    <w:name w:val="Emphasis"/>
    <w:basedOn w:val="DefaultParagraphFont"/>
    <w:uiPriority w:val="20"/>
    <w:qFormat/>
    <w:rsid w:val="00D522F0"/>
    <w:rPr>
      <w:i/>
      <w:iCs/>
    </w:rPr>
  </w:style>
  <w:style w:type="paragraph" w:customStyle="1" w:styleId="ListNumber2Last">
    <w:name w:val="List Number 2 Last"/>
    <w:basedOn w:val="ListNumber2"/>
    <w:semiHidden/>
    <w:qFormat/>
    <w:rsid w:val="00D522F0"/>
    <w:pPr>
      <w:spacing w:after="240"/>
      <w:ind w:left="907"/>
    </w:pPr>
    <w:rPr>
      <w:rFonts w:cs="Arial"/>
    </w:rPr>
  </w:style>
  <w:style w:type="paragraph" w:customStyle="1" w:styleId="Spaceaftertable">
    <w:name w:val="Space after table"/>
    <w:basedOn w:val="Normal"/>
    <w:uiPriority w:val="99"/>
    <w:qFormat/>
    <w:rsid w:val="00D522F0"/>
    <w:rPr>
      <w:rFonts w:cs="Arial"/>
    </w:rPr>
  </w:style>
  <w:style w:type="paragraph" w:customStyle="1" w:styleId="FooterLeft">
    <w:name w:val="Footer Left"/>
    <w:basedOn w:val="Footer"/>
    <w:semiHidden/>
    <w:qFormat/>
    <w:rsid w:val="00D522F0"/>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D522F0"/>
    <w:pPr>
      <w:numPr>
        <w:numId w:val="6"/>
      </w:numPr>
      <w:spacing w:line="240" w:lineRule="auto"/>
    </w:pPr>
    <w:rPr>
      <w:rFonts w:ascii="Arial" w:eastAsia="Times New Roman" w:hAnsi="Arial" w:cs="Times New Roman"/>
      <w:b/>
      <w:bCs/>
      <w:color w:val="323232"/>
      <w:sz w:val="20"/>
      <w:szCs w:val="20"/>
      <w:lang w:eastAsia="en-AU"/>
    </w:rPr>
  </w:style>
  <w:style w:type="paragraph" w:customStyle="1" w:styleId="Captionfigure">
    <w:name w:val="Caption figure"/>
    <w:basedOn w:val="Caption"/>
    <w:semiHidden/>
    <w:qFormat/>
    <w:rsid w:val="00D522F0"/>
    <w:pPr>
      <w:keepNext/>
      <w:numPr>
        <w:numId w:val="8"/>
      </w:numPr>
    </w:pPr>
    <w:rPr>
      <w:rFonts w:cs="Arial"/>
    </w:rPr>
  </w:style>
  <w:style w:type="paragraph" w:customStyle="1" w:styleId="GridTable31">
    <w:name w:val="Grid Table 31"/>
    <w:basedOn w:val="Normal"/>
    <w:semiHidden/>
    <w:qFormat/>
    <w:rsid w:val="00D522F0"/>
    <w:pPr>
      <w:spacing w:after="0" w:line="240" w:lineRule="auto"/>
    </w:pPr>
    <w:rPr>
      <w:b/>
      <w:color w:val="4D4D4F"/>
      <w:spacing w:val="-28"/>
      <w:sz w:val="53"/>
    </w:rPr>
  </w:style>
  <w:style w:type="character" w:styleId="UnresolvedMention">
    <w:name w:val="Unresolved Mention"/>
    <w:basedOn w:val="DefaultParagraphFont"/>
    <w:uiPriority w:val="99"/>
    <w:unhideWhenUsed/>
    <w:rsid w:val="00D522F0"/>
    <w:rPr>
      <w:color w:val="605E5C"/>
      <w:shd w:val="clear" w:color="auto" w:fill="E1DFDD"/>
    </w:rPr>
  </w:style>
  <w:style w:type="paragraph" w:customStyle="1" w:styleId="Paragraph">
    <w:name w:val="Paragraph"/>
    <w:basedOn w:val="Normal"/>
    <w:qFormat/>
    <w:rsid w:val="00D522F0"/>
    <w:rPr>
      <w:rFonts w:cs="Arial"/>
    </w:rPr>
  </w:style>
  <w:style w:type="paragraph" w:customStyle="1" w:styleId="Bulletlevel2">
    <w:name w:val="Bullet level 2"/>
    <w:basedOn w:val="ListBullet2"/>
    <w:uiPriority w:val="7"/>
    <w:qFormat/>
    <w:rsid w:val="00D522F0"/>
    <w:rPr>
      <w:rFonts w:cs="Arial"/>
    </w:rPr>
  </w:style>
  <w:style w:type="paragraph" w:customStyle="1" w:styleId="Bulletlevel1last">
    <w:name w:val="Bullet level 1 last"/>
    <w:basedOn w:val="ListBulletLast"/>
    <w:uiPriority w:val="6"/>
    <w:qFormat/>
    <w:rsid w:val="00D522F0"/>
  </w:style>
  <w:style w:type="paragraph" w:customStyle="1" w:styleId="Numberlistlevel2">
    <w:name w:val="Number list level 2"/>
    <w:basedOn w:val="ListNumber2"/>
    <w:uiPriority w:val="11"/>
    <w:qFormat/>
    <w:rsid w:val="00D522F0"/>
  </w:style>
  <w:style w:type="paragraph" w:customStyle="1" w:styleId="Numberlistlast">
    <w:name w:val="Number list last"/>
    <w:basedOn w:val="ListNumberLast"/>
    <w:uiPriority w:val="10"/>
    <w:qFormat/>
    <w:rsid w:val="00D522F0"/>
  </w:style>
  <w:style w:type="paragraph" w:customStyle="1" w:styleId="Numberlistlevel2last">
    <w:name w:val="Number list level 2 last"/>
    <w:basedOn w:val="Numberlistlevel2"/>
    <w:uiPriority w:val="12"/>
    <w:qFormat/>
    <w:rsid w:val="00D522F0"/>
    <w:pPr>
      <w:spacing w:after="240"/>
    </w:pPr>
  </w:style>
  <w:style w:type="paragraph" w:customStyle="1" w:styleId="Bulletlevel2last">
    <w:name w:val="Bullet level 2 last"/>
    <w:basedOn w:val="Bulletlevel2"/>
    <w:uiPriority w:val="8"/>
    <w:qFormat/>
    <w:rsid w:val="00D522F0"/>
    <w:pPr>
      <w:spacing w:after="240"/>
    </w:pPr>
  </w:style>
  <w:style w:type="table" w:customStyle="1" w:styleId="ACMAtablestyle">
    <w:name w:val="ACMA table style"/>
    <w:basedOn w:val="TableNormal"/>
    <w:uiPriority w:val="99"/>
    <w:rsid w:val="00D522F0"/>
    <w:pPr>
      <w:spacing w:after="0" w:line="240" w:lineRule="auto"/>
    </w:pPr>
    <w:rPr>
      <w:rFonts w:ascii="Arial" w:eastAsia="Times New Roman" w:hAnsi="Arial" w:cs="Times New Roman"/>
      <w:sz w:val="20"/>
      <w:szCs w:val="24"/>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D522F0"/>
    <w:pPr>
      <w:keepNext/>
      <w:spacing w:line="240" w:lineRule="atLeast"/>
    </w:pPr>
  </w:style>
  <w:style w:type="paragraph" w:customStyle="1" w:styleId="Tableorfigurenote">
    <w:name w:val="Table or figure note"/>
    <w:basedOn w:val="ACMANotes"/>
    <w:uiPriority w:val="17"/>
    <w:qFormat/>
    <w:rsid w:val="00D522F0"/>
    <w:pPr>
      <w:spacing w:after="240"/>
    </w:pPr>
  </w:style>
  <w:style w:type="paragraph" w:customStyle="1" w:styleId="Figureheading">
    <w:name w:val="Figure heading"/>
    <w:basedOn w:val="ACMAFigureHeader"/>
    <w:uiPriority w:val="16"/>
    <w:qFormat/>
    <w:rsid w:val="00D522F0"/>
    <w:pPr>
      <w:keepNext/>
      <w:spacing w:line="240" w:lineRule="atLeast"/>
    </w:pPr>
  </w:style>
  <w:style w:type="paragraph" w:customStyle="1" w:styleId="Tableorfigurenotemultiple">
    <w:name w:val="Table or figure note multiple"/>
    <w:basedOn w:val="Tableorfigurenote"/>
    <w:uiPriority w:val="18"/>
    <w:qFormat/>
    <w:rsid w:val="00D522F0"/>
    <w:pPr>
      <w:spacing w:after="80"/>
    </w:pPr>
  </w:style>
  <w:style w:type="paragraph" w:styleId="BalloonText">
    <w:name w:val="Balloon Text"/>
    <w:basedOn w:val="Normal"/>
    <w:link w:val="BalloonTextChar"/>
    <w:semiHidden/>
    <w:unhideWhenUsed/>
    <w:rsid w:val="00D5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522F0"/>
    <w:rPr>
      <w:rFonts w:ascii="Segoe UI" w:eastAsia="Times New Roman" w:hAnsi="Segoe UI" w:cs="Segoe UI"/>
      <w:sz w:val="18"/>
      <w:szCs w:val="18"/>
      <w:lang w:eastAsia="en-AU"/>
    </w:rPr>
  </w:style>
  <w:style w:type="paragraph" w:styleId="ListParagraph">
    <w:name w:val="List Paragraph"/>
    <w:basedOn w:val="Normal"/>
    <w:uiPriority w:val="34"/>
    <w:qFormat/>
    <w:rsid w:val="00D522F0"/>
    <w:pPr>
      <w:spacing w:after="160" w:line="259" w:lineRule="auto"/>
      <w:ind w:left="720"/>
      <w:contextualSpacing/>
    </w:pPr>
    <w:rPr>
      <w:rFonts w:asciiTheme="minorHAnsi" w:eastAsiaTheme="minorHAnsi" w:hAnsiTheme="minorHAnsi" w:cstheme="minorBidi"/>
      <w:sz w:val="22"/>
      <w:szCs w:val="22"/>
      <w:lang w:eastAsia="en-US"/>
    </w:rPr>
  </w:style>
  <w:style w:type="paragraph" w:styleId="Revision">
    <w:name w:val="Revision"/>
    <w:hidden/>
    <w:semiHidden/>
    <w:rsid w:val="00D522F0"/>
    <w:pPr>
      <w:spacing w:after="0" w:line="240" w:lineRule="auto"/>
    </w:pPr>
    <w:rPr>
      <w:rFonts w:ascii="Arial" w:eastAsia="Times New Roman" w:hAnsi="Arial" w:cs="Times New Roman"/>
      <w:sz w:val="20"/>
      <w:szCs w:val="24"/>
      <w:lang w:eastAsia="en-AU"/>
    </w:rPr>
  </w:style>
  <w:style w:type="paragraph" w:customStyle="1" w:styleId="ACMABodyText">
    <w:name w:val="ACMA Body Text"/>
    <w:link w:val="ACMABodyTextChar"/>
    <w:rsid w:val="00D522F0"/>
    <w:pPr>
      <w:suppressAutoHyphens/>
      <w:spacing w:before="80" w:after="120" w:line="280" w:lineRule="atLeast"/>
    </w:pPr>
    <w:rPr>
      <w:rFonts w:ascii="Times New Roman" w:eastAsia="Times New Roman" w:hAnsi="Times New Roman" w:cs="Times New Roman"/>
      <w:snapToGrid w:val="0"/>
      <w:sz w:val="24"/>
      <w:szCs w:val="20"/>
    </w:rPr>
  </w:style>
  <w:style w:type="paragraph" w:customStyle="1" w:styleId="ACMAletteredlist">
    <w:name w:val="ACMA lettered list"/>
    <w:rsid w:val="00D522F0"/>
    <w:pPr>
      <w:numPr>
        <w:numId w:val="10"/>
      </w:numPr>
      <w:tabs>
        <w:tab w:val="clear" w:pos="360"/>
      </w:tabs>
      <w:spacing w:before="20" w:after="20" w:line="240" w:lineRule="auto"/>
    </w:pPr>
    <w:rPr>
      <w:rFonts w:ascii="Times New Roman" w:eastAsia="Times New Roman" w:hAnsi="Times New Roman" w:cs="Times New Roman"/>
      <w:sz w:val="24"/>
      <w:szCs w:val="20"/>
    </w:rPr>
  </w:style>
  <w:style w:type="character" w:customStyle="1" w:styleId="ACMABodyTextChar">
    <w:name w:val="ACMA Body Text Char"/>
    <w:basedOn w:val="DefaultParagraphFont"/>
    <w:link w:val="ACMABodyText"/>
    <w:locked/>
    <w:rsid w:val="00D522F0"/>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D522F0"/>
    <w:rPr>
      <w:rFonts w:ascii="Times New Roman" w:hAnsi="Times New Roman"/>
      <w:sz w:val="24"/>
    </w:rPr>
  </w:style>
  <w:style w:type="paragraph" w:customStyle="1" w:styleId="paragraph0">
    <w:name w:val="paragraph"/>
    <w:aliases w:val="a"/>
    <w:basedOn w:val="Normal"/>
    <w:link w:val="paragraphChar"/>
    <w:rsid w:val="009F0D69"/>
    <w:pPr>
      <w:spacing w:before="100" w:beforeAutospacing="1" w:after="100" w:afterAutospacing="1" w:line="240" w:lineRule="auto"/>
    </w:pPr>
    <w:rPr>
      <w:rFonts w:ascii="Times New Roman" w:hAnsi="Times New Roman"/>
      <w:sz w:val="24"/>
    </w:rPr>
  </w:style>
  <w:style w:type="paragraph" w:customStyle="1" w:styleId="paragraphsub">
    <w:name w:val="paragraphsub"/>
    <w:basedOn w:val="Normal"/>
    <w:rsid w:val="009F0D69"/>
    <w:pPr>
      <w:spacing w:before="100" w:beforeAutospacing="1" w:after="100" w:afterAutospacing="1"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3C7CC4"/>
    <w:rPr>
      <w:color w:val="605E5C"/>
      <w:shd w:val="clear" w:color="auto" w:fill="E1DFDD"/>
    </w:rPr>
  </w:style>
  <w:style w:type="paragraph" w:styleId="NoSpacing">
    <w:name w:val="No Spacing"/>
    <w:uiPriority w:val="1"/>
    <w:qFormat/>
    <w:rsid w:val="003C7CC4"/>
    <w:pPr>
      <w:spacing w:after="0" w:line="240" w:lineRule="auto"/>
    </w:pPr>
  </w:style>
  <w:style w:type="paragraph" w:styleId="IntenseQuote">
    <w:name w:val="Intense Quote"/>
    <w:basedOn w:val="Normal"/>
    <w:next w:val="Normal"/>
    <w:link w:val="IntenseQuoteChar"/>
    <w:uiPriority w:val="30"/>
    <w:qFormat/>
    <w:rsid w:val="0060091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00911"/>
    <w:rPr>
      <w:rFonts w:ascii="Arial" w:eastAsia="Times New Roman" w:hAnsi="Arial" w:cs="Times New Roman"/>
      <w:i/>
      <w:iCs/>
      <w:color w:val="4472C4" w:themeColor="accent1"/>
      <w:sz w:val="20"/>
      <w:szCs w:val="24"/>
      <w:lang w:eastAsia="en-AU"/>
    </w:rPr>
  </w:style>
  <w:style w:type="paragraph" w:customStyle="1" w:styleId="TableHeading0">
    <w:name w:val="Table Heading"/>
    <w:basedOn w:val="Normal"/>
    <w:qFormat/>
    <w:rsid w:val="0045204A"/>
    <w:pPr>
      <w:spacing w:after="0"/>
    </w:pPr>
    <w:rPr>
      <w:b/>
    </w:rPr>
  </w:style>
  <w:style w:type="paragraph" w:customStyle="1" w:styleId="TableColHead">
    <w:name w:val="TableColHead"/>
    <w:basedOn w:val="Normal"/>
    <w:rsid w:val="00570CF6"/>
    <w:pPr>
      <w:keepNext/>
      <w:spacing w:before="120" w:after="60" w:line="200" w:lineRule="exact"/>
    </w:pPr>
    <w:rPr>
      <w:b/>
      <w:sz w:val="18"/>
      <w:lang w:eastAsia="en-US"/>
    </w:rPr>
  </w:style>
  <w:style w:type="paragraph" w:customStyle="1" w:styleId="TableText">
    <w:name w:val="TableText"/>
    <w:basedOn w:val="Normal"/>
    <w:rsid w:val="00570CF6"/>
    <w:pPr>
      <w:spacing w:before="60" w:after="60" w:line="240" w:lineRule="exact"/>
    </w:pPr>
    <w:rPr>
      <w:rFonts w:ascii="Times New Roman" w:hAnsi="Times New Roman"/>
      <w:sz w:val="22"/>
      <w:lang w:eastAsia="en-US"/>
    </w:rPr>
  </w:style>
  <w:style w:type="paragraph" w:customStyle="1" w:styleId="definition">
    <w:name w:val="definition"/>
    <w:basedOn w:val="Normal"/>
    <w:rsid w:val="006900ED"/>
    <w:pPr>
      <w:spacing w:before="100" w:beforeAutospacing="1" w:after="100" w:afterAutospacing="1" w:line="240" w:lineRule="auto"/>
    </w:pPr>
    <w:rPr>
      <w:rFonts w:ascii="Times New Roman" w:hAnsi="Times New Roman"/>
      <w:sz w:val="24"/>
    </w:rPr>
  </w:style>
  <w:style w:type="character" w:customStyle="1" w:styleId="paragraphChar">
    <w:name w:val="paragraph Char"/>
    <w:aliases w:val="a Char"/>
    <w:link w:val="paragraph0"/>
    <w:rsid w:val="00A601C6"/>
    <w:rPr>
      <w:rFonts w:ascii="Times New Roman" w:eastAsia="Times New Roman" w:hAnsi="Times New Roman" w:cs="Times New Roman"/>
      <w:sz w:val="24"/>
      <w:szCs w:val="24"/>
      <w:lang w:eastAsia="en-AU"/>
    </w:rPr>
  </w:style>
  <w:style w:type="paragraph" w:customStyle="1" w:styleId="LI-BodyTextNote">
    <w:name w:val="LI - Body Text Note"/>
    <w:basedOn w:val="Normal"/>
    <w:link w:val="LI-BodyTextNoteChar"/>
    <w:rsid w:val="00843CEF"/>
    <w:pPr>
      <w:spacing w:before="200" w:after="0" w:line="240" w:lineRule="auto"/>
      <w:ind w:left="1701" w:hanging="567"/>
    </w:pPr>
    <w:rPr>
      <w:rFonts w:ascii="Times New Roman" w:hAnsi="Times New Roman"/>
      <w:sz w:val="18"/>
      <w:szCs w:val="20"/>
    </w:rPr>
  </w:style>
  <w:style w:type="character" w:customStyle="1" w:styleId="LI-BodyTextNoteChar">
    <w:name w:val="LI - Body Text Note Char"/>
    <w:link w:val="LI-BodyTextNote"/>
    <w:rsid w:val="00843CEF"/>
    <w:rPr>
      <w:rFonts w:ascii="Times New Roman" w:eastAsia="Times New Roman" w:hAnsi="Times New Roman" w:cs="Times New Roman"/>
      <w:sz w:val="18"/>
      <w:szCs w:val="20"/>
      <w:lang w:eastAsia="en-AU"/>
    </w:rPr>
  </w:style>
  <w:style w:type="character" w:styleId="Mention">
    <w:name w:val="Mention"/>
    <w:basedOn w:val="DefaultParagraphFont"/>
    <w:uiPriority w:val="99"/>
    <w:unhideWhenUsed/>
    <w:rsid w:val="00E35B0B"/>
    <w:rPr>
      <w:color w:val="2B579A"/>
      <w:shd w:val="clear" w:color="auto" w:fill="E1DFDD"/>
    </w:rPr>
  </w:style>
  <w:style w:type="character" w:styleId="Strong">
    <w:name w:val="Strong"/>
    <w:basedOn w:val="DefaultParagraphFont"/>
    <w:uiPriority w:val="22"/>
    <w:qFormat/>
    <w:rsid w:val="001C5B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8047">
      <w:bodyDiv w:val="1"/>
      <w:marLeft w:val="0"/>
      <w:marRight w:val="0"/>
      <w:marTop w:val="0"/>
      <w:marBottom w:val="0"/>
      <w:divBdr>
        <w:top w:val="none" w:sz="0" w:space="0" w:color="auto"/>
        <w:left w:val="none" w:sz="0" w:space="0" w:color="auto"/>
        <w:bottom w:val="none" w:sz="0" w:space="0" w:color="auto"/>
        <w:right w:val="none" w:sz="0" w:space="0" w:color="auto"/>
      </w:divBdr>
    </w:div>
    <w:div w:id="140848501">
      <w:bodyDiv w:val="1"/>
      <w:marLeft w:val="0"/>
      <w:marRight w:val="0"/>
      <w:marTop w:val="0"/>
      <w:marBottom w:val="0"/>
      <w:divBdr>
        <w:top w:val="none" w:sz="0" w:space="0" w:color="auto"/>
        <w:left w:val="none" w:sz="0" w:space="0" w:color="auto"/>
        <w:bottom w:val="none" w:sz="0" w:space="0" w:color="auto"/>
        <w:right w:val="none" w:sz="0" w:space="0" w:color="auto"/>
      </w:divBdr>
    </w:div>
    <w:div w:id="334264352">
      <w:bodyDiv w:val="1"/>
      <w:marLeft w:val="0"/>
      <w:marRight w:val="0"/>
      <w:marTop w:val="0"/>
      <w:marBottom w:val="0"/>
      <w:divBdr>
        <w:top w:val="none" w:sz="0" w:space="0" w:color="auto"/>
        <w:left w:val="none" w:sz="0" w:space="0" w:color="auto"/>
        <w:bottom w:val="none" w:sz="0" w:space="0" w:color="auto"/>
        <w:right w:val="none" w:sz="0" w:space="0" w:color="auto"/>
      </w:divBdr>
    </w:div>
    <w:div w:id="351959825">
      <w:bodyDiv w:val="1"/>
      <w:marLeft w:val="0"/>
      <w:marRight w:val="0"/>
      <w:marTop w:val="0"/>
      <w:marBottom w:val="0"/>
      <w:divBdr>
        <w:top w:val="none" w:sz="0" w:space="0" w:color="auto"/>
        <w:left w:val="none" w:sz="0" w:space="0" w:color="auto"/>
        <w:bottom w:val="none" w:sz="0" w:space="0" w:color="auto"/>
        <w:right w:val="none" w:sz="0" w:space="0" w:color="auto"/>
      </w:divBdr>
    </w:div>
    <w:div w:id="354118699">
      <w:bodyDiv w:val="1"/>
      <w:marLeft w:val="0"/>
      <w:marRight w:val="0"/>
      <w:marTop w:val="0"/>
      <w:marBottom w:val="0"/>
      <w:divBdr>
        <w:top w:val="none" w:sz="0" w:space="0" w:color="auto"/>
        <w:left w:val="none" w:sz="0" w:space="0" w:color="auto"/>
        <w:bottom w:val="none" w:sz="0" w:space="0" w:color="auto"/>
        <w:right w:val="none" w:sz="0" w:space="0" w:color="auto"/>
      </w:divBdr>
    </w:div>
    <w:div w:id="375199413">
      <w:bodyDiv w:val="1"/>
      <w:marLeft w:val="0"/>
      <w:marRight w:val="0"/>
      <w:marTop w:val="0"/>
      <w:marBottom w:val="0"/>
      <w:divBdr>
        <w:top w:val="none" w:sz="0" w:space="0" w:color="auto"/>
        <w:left w:val="none" w:sz="0" w:space="0" w:color="auto"/>
        <w:bottom w:val="none" w:sz="0" w:space="0" w:color="auto"/>
        <w:right w:val="none" w:sz="0" w:space="0" w:color="auto"/>
      </w:divBdr>
    </w:div>
    <w:div w:id="445005873">
      <w:bodyDiv w:val="1"/>
      <w:marLeft w:val="0"/>
      <w:marRight w:val="0"/>
      <w:marTop w:val="0"/>
      <w:marBottom w:val="0"/>
      <w:divBdr>
        <w:top w:val="none" w:sz="0" w:space="0" w:color="auto"/>
        <w:left w:val="none" w:sz="0" w:space="0" w:color="auto"/>
        <w:bottom w:val="none" w:sz="0" w:space="0" w:color="auto"/>
        <w:right w:val="none" w:sz="0" w:space="0" w:color="auto"/>
      </w:divBdr>
    </w:div>
    <w:div w:id="449007365">
      <w:bodyDiv w:val="1"/>
      <w:marLeft w:val="0"/>
      <w:marRight w:val="0"/>
      <w:marTop w:val="0"/>
      <w:marBottom w:val="0"/>
      <w:divBdr>
        <w:top w:val="none" w:sz="0" w:space="0" w:color="auto"/>
        <w:left w:val="none" w:sz="0" w:space="0" w:color="auto"/>
        <w:bottom w:val="none" w:sz="0" w:space="0" w:color="auto"/>
        <w:right w:val="none" w:sz="0" w:space="0" w:color="auto"/>
      </w:divBdr>
    </w:div>
    <w:div w:id="451824937">
      <w:bodyDiv w:val="1"/>
      <w:marLeft w:val="0"/>
      <w:marRight w:val="0"/>
      <w:marTop w:val="0"/>
      <w:marBottom w:val="0"/>
      <w:divBdr>
        <w:top w:val="none" w:sz="0" w:space="0" w:color="auto"/>
        <w:left w:val="none" w:sz="0" w:space="0" w:color="auto"/>
        <w:bottom w:val="none" w:sz="0" w:space="0" w:color="auto"/>
        <w:right w:val="none" w:sz="0" w:space="0" w:color="auto"/>
      </w:divBdr>
    </w:div>
    <w:div w:id="531378323">
      <w:bodyDiv w:val="1"/>
      <w:marLeft w:val="0"/>
      <w:marRight w:val="0"/>
      <w:marTop w:val="0"/>
      <w:marBottom w:val="0"/>
      <w:divBdr>
        <w:top w:val="none" w:sz="0" w:space="0" w:color="auto"/>
        <w:left w:val="none" w:sz="0" w:space="0" w:color="auto"/>
        <w:bottom w:val="none" w:sz="0" w:space="0" w:color="auto"/>
        <w:right w:val="none" w:sz="0" w:space="0" w:color="auto"/>
      </w:divBdr>
    </w:div>
    <w:div w:id="695545473">
      <w:bodyDiv w:val="1"/>
      <w:marLeft w:val="0"/>
      <w:marRight w:val="0"/>
      <w:marTop w:val="0"/>
      <w:marBottom w:val="0"/>
      <w:divBdr>
        <w:top w:val="none" w:sz="0" w:space="0" w:color="auto"/>
        <w:left w:val="none" w:sz="0" w:space="0" w:color="auto"/>
        <w:bottom w:val="none" w:sz="0" w:space="0" w:color="auto"/>
        <w:right w:val="none" w:sz="0" w:space="0" w:color="auto"/>
      </w:divBdr>
    </w:div>
    <w:div w:id="943998063">
      <w:bodyDiv w:val="1"/>
      <w:marLeft w:val="0"/>
      <w:marRight w:val="0"/>
      <w:marTop w:val="0"/>
      <w:marBottom w:val="0"/>
      <w:divBdr>
        <w:top w:val="none" w:sz="0" w:space="0" w:color="auto"/>
        <w:left w:val="none" w:sz="0" w:space="0" w:color="auto"/>
        <w:bottom w:val="none" w:sz="0" w:space="0" w:color="auto"/>
        <w:right w:val="none" w:sz="0" w:space="0" w:color="auto"/>
      </w:divBdr>
    </w:div>
    <w:div w:id="1016616044">
      <w:bodyDiv w:val="1"/>
      <w:marLeft w:val="0"/>
      <w:marRight w:val="0"/>
      <w:marTop w:val="0"/>
      <w:marBottom w:val="0"/>
      <w:divBdr>
        <w:top w:val="none" w:sz="0" w:space="0" w:color="auto"/>
        <w:left w:val="none" w:sz="0" w:space="0" w:color="auto"/>
        <w:bottom w:val="none" w:sz="0" w:space="0" w:color="auto"/>
        <w:right w:val="none" w:sz="0" w:space="0" w:color="auto"/>
      </w:divBdr>
    </w:div>
    <w:div w:id="1022171756">
      <w:bodyDiv w:val="1"/>
      <w:marLeft w:val="0"/>
      <w:marRight w:val="0"/>
      <w:marTop w:val="0"/>
      <w:marBottom w:val="0"/>
      <w:divBdr>
        <w:top w:val="none" w:sz="0" w:space="0" w:color="auto"/>
        <w:left w:val="none" w:sz="0" w:space="0" w:color="auto"/>
        <w:bottom w:val="none" w:sz="0" w:space="0" w:color="auto"/>
        <w:right w:val="none" w:sz="0" w:space="0" w:color="auto"/>
      </w:divBdr>
    </w:div>
    <w:div w:id="1114404786">
      <w:bodyDiv w:val="1"/>
      <w:marLeft w:val="0"/>
      <w:marRight w:val="0"/>
      <w:marTop w:val="0"/>
      <w:marBottom w:val="0"/>
      <w:divBdr>
        <w:top w:val="none" w:sz="0" w:space="0" w:color="auto"/>
        <w:left w:val="none" w:sz="0" w:space="0" w:color="auto"/>
        <w:bottom w:val="none" w:sz="0" w:space="0" w:color="auto"/>
        <w:right w:val="none" w:sz="0" w:space="0" w:color="auto"/>
      </w:divBdr>
    </w:div>
    <w:div w:id="1151561807">
      <w:bodyDiv w:val="1"/>
      <w:marLeft w:val="0"/>
      <w:marRight w:val="0"/>
      <w:marTop w:val="0"/>
      <w:marBottom w:val="0"/>
      <w:divBdr>
        <w:top w:val="none" w:sz="0" w:space="0" w:color="auto"/>
        <w:left w:val="none" w:sz="0" w:space="0" w:color="auto"/>
        <w:bottom w:val="none" w:sz="0" w:space="0" w:color="auto"/>
        <w:right w:val="none" w:sz="0" w:space="0" w:color="auto"/>
      </w:divBdr>
      <w:divsChild>
        <w:div w:id="649402019">
          <w:marLeft w:val="0"/>
          <w:marRight w:val="0"/>
          <w:marTop w:val="0"/>
          <w:marBottom w:val="0"/>
          <w:divBdr>
            <w:top w:val="none" w:sz="0" w:space="0" w:color="auto"/>
            <w:left w:val="none" w:sz="0" w:space="0" w:color="auto"/>
            <w:bottom w:val="none" w:sz="0" w:space="0" w:color="auto"/>
            <w:right w:val="none" w:sz="0" w:space="0" w:color="auto"/>
          </w:divBdr>
        </w:div>
      </w:divsChild>
    </w:div>
    <w:div w:id="1155223541">
      <w:bodyDiv w:val="1"/>
      <w:marLeft w:val="0"/>
      <w:marRight w:val="0"/>
      <w:marTop w:val="0"/>
      <w:marBottom w:val="0"/>
      <w:divBdr>
        <w:top w:val="none" w:sz="0" w:space="0" w:color="auto"/>
        <w:left w:val="none" w:sz="0" w:space="0" w:color="auto"/>
        <w:bottom w:val="none" w:sz="0" w:space="0" w:color="auto"/>
        <w:right w:val="none" w:sz="0" w:space="0" w:color="auto"/>
      </w:divBdr>
    </w:div>
    <w:div w:id="1161429082">
      <w:bodyDiv w:val="1"/>
      <w:marLeft w:val="0"/>
      <w:marRight w:val="0"/>
      <w:marTop w:val="0"/>
      <w:marBottom w:val="0"/>
      <w:divBdr>
        <w:top w:val="none" w:sz="0" w:space="0" w:color="auto"/>
        <w:left w:val="none" w:sz="0" w:space="0" w:color="auto"/>
        <w:bottom w:val="none" w:sz="0" w:space="0" w:color="auto"/>
        <w:right w:val="none" w:sz="0" w:space="0" w:color="auto"/>
      </w:divBdr>
    </w:div>
    <w:div w:id="1436243337">
      <w:bodyDiv w:val="1"/>
      <w:marLeft w:val="0"/>
      <w:marRight w:val="0"/>
      <w:marTop w:val="0"/>
      <w:marBottom w:val="0"/>
      <w:divBdr>
        <w:top w:val="none" w:sz="0" w:space="0" w:color="auto"/>
        <w:left w:val="none" w:sz="0" w:space="0" w:color="auto"/>
        <w:bottom w:val="none" w:sz="0" w:space="0" w:color="auto"/>
        <w:right w:val="none" w:sz="0" w:space="0" w:color="auto"/>
      </w:divBdr>
    </w:div>
    <w:div w:id="1438138909">
      <w:bodyDiv w:val="1"/>
      <w:marLeft w:val="0"/>
      <w:marRight w:val="0"/>
      <w:marTop w:val="0"/>
      <w:marBottom w:val="0"/>
      <w:divBdr>
        <w:top w:val="none" w:sz="0" w:space="0" w:color="auto"/>
        <w:left w:val="none" w:sz="0" w:space="0" w:color="auto"/>
        <w:bottom w:val="none" w:sz="0" w:space="0" w:color="auto"/>
        <w:right w:val="none" w:sz="0" w:space="0" w:color="auto"/>
      </w:divBdr>
    </w:div>
    <w:div w:id="1465271583">
      <w:bodyDiv w:val="1"/>
      <w:marLeft w:val="0"/>
      <w:marRight w:val="0"/>
      <w:marTop w:val="0"/>
      <w:marBottom w:val="0"/>
      <w:divBdr>
        <w:top w:val="none" w:sz="0" w:space="0" w:color="auto"/>
        <w:left w:val="none" w:sz="0" w:space="0" w:color="auto"/>
        <w:bottom w:val="none" w:sz="0" w:space="0" w:color="auto"/>
        <w:right w:val="none" w:sz="0" w:space="0" w:color="auto"/>
      </w:divBdr>
    </w:div>
    <w:div w:id="1526870168">
      <w:bodyDiv w:val="1"/>
      <w:marLeft w:val="0"/>
      <w:marRight w:val="0"/>
      <w:marTop w:val="0"/>
      <w:marBottom w:val="0"/>
      <w:divBdr>
        <w:top w:val="none" w:sz="0" w:space="0" w:color="auto"/>
        <w:left w:val="none" w:sz="0" w:space="0" w:color="auto"/>
        <w:bottom w:val="none" w:sz="0" w:space="0" w:color="auto"/>
        <w:right w:val="none" w:sz="0" w:space="0" w:color="auto"/>
      </w:divBdr>
    </w:div>
    <w:div w:id="1590429257">
      <w:bodyDiv w:val="1"/>
      <w:marLeft w:val="0"/>
      <w:marRight w:val="0"/>
      <w:marTop w:val="0"/>
      <w:marBottom w:val="0"/>
      <w:divBdr>
        <w:top w:val="none" w:sz="0" w:space="0" w:color="auto"/>
        <w:left w:val="none" w:sz="0" w:space="0" w:color="auto"/>
        <w:bottom w:val="none" w:sz="0" w:space="0" w:color="auto"/>
        <w:right w:val="none" w:sz="0" w:space="0" w:color="auto"/>
      </w:divBdr>
    </w:div>
    <w:div w:id="1594851080">
      <w:bodyDiv w:val="1"/>
      <w:marLeft w:val="0"/>
      <w:marRight w:val="0"/>
      <w:marTop w:val="0"/>
      <w:marBottom w:val="0"/>
      <w:divBdr>
        <w:top w:val="none" w:sz="0" w:space="0" w:color="auto"/>
        <w:left w:val="none" w:sz="0" w:space="0" w:color="auto"/>
        <w:bottom w:val="none" w:sz="0" w:space="0" w:color="auto"/>
        <w:right w:val="none" w:sz="0" w:space="0" w:color="auto"/>
      </w:divBdr>
      <w:divsChild>
        <w:div w:id="352994906">
          <w:marLeft w:val="0"/>
          <w:marRight w:val="0"/>
          <w:marTop w:val="0"/>
          <w:marBottom w:val="0"/>
          <w:divBdr>
            <w:top w:val="none" w:sz="0" w:space="0" w:color="auto"/>
            <w:left w:val="none" w:sz="0" w:space="0" w:color="auto"/>
            <w:bottom w:val="none" w:sz="0" w:space="0" w:color="auto"/>
            <w:right w:val="none" w:sz="0" w:space="0" w:color="auto"/>
          </w:divBdr>
        </w:div>
        <w:div w:id="557209535">
          <w:marLeft w:val="0"/>
          <w:marRight w:val="0"/>
          <w:marTop w:val="0"/>
          <w:marBottom w:val="0"/>
          <w:divBdr>
            <w:top w:val="none" w:sz="0" w:space="0" w:color="auto"/>
            <w:left w:val="none" w:sz="0" w:space="0" w:color="auto"/>
            <w:bottom w:val="none" w:sz="0" w:space="0" w:color="auto"/>
            <w:right w:val="none" w:sz="0" w:space="0" w:color="auto"/>
          </w:divBdr>
        </w:div>
        <w:div w:id="1372731318">
          <w:marLeft w:val="0"/>
          <w:marRight w:val="0"/>
          <w:marTop w:val="0"/>
          <w:marBottom w:val="0"/>
          <w:divBdr>
            <w:top w:val="none" w:sz="0" w:space="0" w:color="auto"/>
            <w:left w:val="none" w:sz="0" w:space="0" w:color="auto"/>
            <w:bottom w:val="none" w:sz="0" w:space="0" w:color="auto"/>
            <w:right w:val="none" w:sz="0" w:space="0" w:color="auto"/>
          </w:divBdr>
        </w:div>
      </w:divsChild>
    </w:div>
    <w:div w:id="1599830141">
      <w:bodyDiv w:val="1"/>
      <w:marLeft w:val="0"/>
      <w:marRight w:val="0"/>
      <w:marTop w:val="0"/>
      <w:marBottom w:val="0"/>
      <w:divBdr>
        <w:top w:val="none" w:sz="0" w:space="0" w:color="auto"/>
        <w:left w:val="none" w:sz="0" w:space="0" w:color="auto"/>
        <w:bottom w:val="none" w:sz="0" w:space="0" w:color="auto"/>
        <w:right w:val="none" w:sz="0" w:space="0" w:color="auto"/>
      </w:divBdr>
    </w:div>
    <w:div w:id="1842894564">
      <w:bodyDiv w:val="1"/>
      <w:marLeft w:val="0"/>
      <w:marRight w:val="0"/>
      <w:marTop w:val="0"/>
      <w:marBottom w:val="0"/>
      <w:divBdr>
        <w:top w:val="none" w:sz="0" w:space="0" w:color="auto"/>
        <w:left w:val="none" w:sz="0" w:space="0" w:color="auto"/>
        <w:bottom w:val="none" w:sz="0" w:space="0" w:color="auto"/>
        <w:right w:val="none" w:sz="0" w:space="0" w:color="auto"/>
      </w:divBdr>
    </w:div>
    <w:div w:id="1985161565">
      <w:bodyDiv w:val="1"/>
      <w:marLeft w:val="0"/>
      <w:marRight w:val="0"/>
      <w:marTop w:val="0"/>
      <w:marBottom w:val="0"/>
      <w:divBdr>
        <w:top w:val="none" w:sz="0" w:space="0" w:color="auto"/>
        <w:left w:val="none" w:sz="0" w:space="0" w:color="auto"/>
        <w:bottom w:val="none" w:sz="0" w:space="0" w:color="auto"/>
        <w:right w:val="none" w:sz="0" w:space="0" w:color="auto"/>
      </w:divBdr>
    </w:div>
    <w:div w:id="2025083736">
      <w:bodyDiv w:val="1"/>
      <w:marLeft w:val="0"/>
      <w:marRight w:val="0"/>
      <w:marTop w:val="0"/>
      <w:marBottom w:val="0"/>
      <w:divBdr>
        <w:top w:val="none" w:sz="0" w:space="0" w:color="auto"/>
        <w:left w:val="none" w:sz="0" w:space="0" w:color="auto"/>
        <w:bottom w:val="none" w:sz="0" w:space="0" w:color="auto"/>
        <w:right w:val="none" w:sz="0" w:space="0" w:color="auto"/>
      </w:divBdr>
    </w:div>
    <w:div w:id="2029063728">
      <w:bodyDiv w:val="1"/>
      <w:marLeft w:val="0"/>
      <w:marRight w:val="0"/>
      <w:marTop w:val="0"/>
      <w:marBottom w:val="0"/>
      <w:divBdr>
        <w:top w:val="none" w:sz="0" w:space="0" w:color="auto"/>
        <w:left w:val="none" w:sz="0" w:space="0" w:color="auto"/>
        <w:bottom w:val="none" w:sz="0" w:space="0" w:color="auto"/>
        <w:right w:val="none" w:sz="0" w:space="0" w:color="auto"/>
      </w:divBdr>
    </w:div>
    <w:div w:id="206013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footer" Target="footer4.xml"/><Relationship Id="rId42" Type="http://schemas.openxmlformats.org/officeDocument/2006/relationships/hyperlink" Target="https://web.acma.gov.au/rrl/browse_licences.licence_list?pSV_ID=1&amp;pSS_ID=110" TargetMode="External"/><Relationship Id="rId63" Type="http://schemas.openxmlformats.org/officeDocument/2006/relationships/hyperlink" Target="https://web.acma.gov.au/rrl/browse_licences.licence_list?pSV_ID=2&amp;pSS_ID=202" TargetMode="External"/><Relationship Id="rId84" Type="http://schemas.openxmlformats.org/officeDocument/2006/relationships/hyperlink" Target="https://web.acma.gov.au/rrl/browse_licences.licence_list?pSV_ID=5&amp;pSS_ID=502" TargetMode="External"/><Relationship Id="rId138" Type="http://schemas.openxmlformats.org/officeDocument/2006/relationships/fontTable" Target="fontTable.xml"/><Relationship Id="rId107" Type="http://schemas.openxmlformats.org/officeDocument/2006/relationships/image" Target="media/image4.png"/><Relationship Id="rId11" Type="http://schemas.openxmlformats.org/officeDocument/2006/relationships/hyperlink" Target="http://i.creativecommons.org/l/by/3.0/88x31.png" TargetMode="External"/><Relationship Id="rId32" Type="http://schemas.openxmlformats.org/officeDocument/2006/relationships/hyperlink" Target="https://web.acma.gov.au/rrl/browse_licences.licence_list?pSV_ID=8&amp;pSS_ID=800" TargetMode="External"/><Relationship Id="rId37" Type="http://schemas.openxmlformats.org/officeDocument/2006/relationships/hyperlink" Target="https://web.acma.gov.au/rrl/browse_licences.licence_list?pSV_ID=6&amp;pSS_ID=603" TargetMode="External"/><Relationship Id="rId53" Type="http://schemas.openxmlformats.org/officeDocument/2006/relationships/hyperlink" Target="https://web.acma.gov.au/rrl/browse_licences.licence_list?pSV_ID=1&amp;pSS_ID=119" TargetMode="External"/><Relationship Id="rId58" Type="http://schemas.openxmlformats.org/officeDocument/2006/relationships/hyperlink" Target="https://web.acma.gov.au/rrl/browse_licences.licence_list?pSV_ID=9&amp;pSS_ID=900" TargetMode="External"/><Relationship Id="rId74" Type="http://schemas.openxmlformats.org/officeDocument/2006/relationships/hyperlink" Target="https://web.acma.gov.au/rrl/browse_licences.licence_list?pSV_ID=3&amp;pSS_ID=301" TargetMode="External"/><Relationship Id="rId79" Type="http://schemas.openxmlformats.org/officeDocument/2006/relationships/hyperlink" Target="https://web.acma.gov.au/rrl/browse_licences.licence_list?pSV_ID=3&amp;pSS_ID=306" TargetMode="External"/><Relationship Id="rId102" Type="http://schemas.openxmlformats.org/officeDocument/2006/relationships/hyperlink" Target="https://web.acma.gov.au/rrl/browse_licences.licence_list?pSV_ID=175&amp;pSS_ID=756" TargetMode="External"/><Relationship Id="rId123" Type="http://schemas.openxmlformats.org/officeDocument/2006/relationships/hyperlink" Target="https://www.acma.gov.au/five-year-spectrum-outlook" TargetMode="External"/><Relationship Id="rId128"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hyperlink" Target="https://web.acma.gov.au/rrl/browse_licences.licence_list?pSV_ID=67&amp;pSS_ID=673" TargetMode="External"/><Relationship Id="rId95" Type="http://schemas.openxmlformats.org/officeDocument/2006/relationships/hyperlink" Target="https://web.acma.gov.au/rrl/browse_licences.licence_list?pSV_ID=10&amp;pSS_ID=129" TargetMode="External"/><Relationship Id="rId22" Type="http://schemas.openxmlformats.org/officeDocument/2006/relationships/footer" Target="footer5.xml"/><Relationship Id="rId27" Type="http://schemas.openxmlformats.org/officeDocument/2006/relationships/hyperlink" Target="https://www.legislation.gov.au/Details/F2022C00158" TargetMode="External"/><Relationship Id="rId43" Type="http://schemas.openxmlformats.org/officeDocument/2006/relationships/hyperlink" Target="https://web.acma.gov.au/rrl/browse_licences.licence_list?pSV_ID=1&amp;pSS_ID=114" TargetMode="External"/><Relationship Id="rId48" Type="http://schemas.openxmlformats.org/officeDocument/2006/relationships/hyperlink" Target="https://web.acma.gov.au/rrl/browse_licences.licence_list?pSV_ID=1&amp;pSS_ID=105" TargetMode="External"/><Relationship Id="rId64" Type="http://schemas.openxmlformats.org/officeDocument/2006/relationships/hyperlink" Target="https://web.acma.gov.au/rrl/browse_licences.licence_list?pSV_ID=2&amp;pSS_ID=203" TargetMode="External"/><Relationship Id="rId69" Type="http://schemas.openxmlformats.org/officeDocument/2006/relationships/hyperlink" Target="https://web.acma.gov.au/rrl/browse_licences.licence_list?pSV_ID=2&amp;pSS_ID=208" TargetMode="External"/><Relationship Id="rId113" Type="http://schemas.openxmlformats.org/officeDocument/2006/relationships/image" Target="media/image6.png"/><Relationship Id="rId118" Type="http://schemas.openxmlformats.org/officeDocument/2006/relationships/hyperlink" Target="https://www.acma.gov.au/publications/2019-09/publication/rali-lm8-land-mobile-service" TargetMode="External"/><Relationship Id="rId134" Type="http://schemas.openxmlformats.org/officeDocument/2006/relationships/header" Target="header7.xml"/><Relationship Id="rId139" Type="http://schemas.openxmlformats.org/officeDocument/2006/relationships/theme" Target="theme/theme1.xml"/><Relationship Id="rId80" Type="http://schemas.openxmlformats.org/officeDocument/2006/relationships/hyperlink" Target="https://web.acma.gov.au/rrl/browse_licences.licence_list?pSV_ID=3&amp;pSS_ID=307" TargetMode="External"/><Relationship Id="rId85" Type="http://schemas.openxmlformats.org/officeDocument/2006/relationships/hyperlink" Target="https://web.acma.gov.au/rrl/browse_licences.licence_list?pSV_ID=5&amp;pSS_ID=503" TargetMode="Externa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hyperlink" Target="https://web.acma.gov.au/rrl/browse_licences.licence_list?pSV_ID=66&amp;pSS_ID=660" TargetMode="External"/><Relationship Id="rId38" Type="http://schemas.openxmlformats.org/officeDocument/2006/relationships/hyperlink" Target="https://web.acma.gov.au/rrl/browse_licences.licence_list?pSV_ID=6&amp;pSS_ID=604" TargetMode="External"/><Relationship Id="rId59" Type="http://schemas.openxmlformats.org/officeDocument/2006/relationships/hyperlink" Target="https://web.acma.gov.au/rrl/browse_licences.licence_list?pSV_ID=9&amp;pSS_ID=901" TargetMode="External"/><Relationship Id="rId103" Type="http://schemas.openxmlformats.org/officeDocument/2006/relationships/hyperlink" Target="https://web.acma.gov.au/rrl/browse_licences.cat_listing" TargetMode="External"/><Relationship Id="rId108" Type="http://schemas.openxmlformats.org/officeDocument/2006/relationships/hyperlink" Target="https://www.investopedia.com/terms/t/tragedy-of-the-commons.asp" TargetMode="External"/><Relationship Id="rId124" Type="http://schemas.openxmlformats.org/officeDocument/2006/relationships/hyperlink" Target="https://www.acma.gov.au/five-year-spectrum-outlook" TargetMode="External"/><Relationship Id="rId129" Type="http://schemas.openxmlformats.org/officeDocument/2006/relationships/hyperlink" Target="https://www.legislation.gov.au/" TargetMode="External"/><Relationship Id="rId54" Type="http://schemas.openxmlformats.org/officeDocument/2006/relationships/hyperlink" Target="https://web.acma.gov.au/rrl/browse_licences.licence_list?pSV_ID=1&amp;pSS_ID=120" TargetMode="External"/><Relationship Id="rId70" Type="http://schemas.openxmlformats.org/officeDocument/2006/relationships/hyperlink" Target="https://web.acma.gov.au/rrl/browse_licences.licence_list?pSV_ID=2&amp;pSS_ID=209" TargetMode="External"/><Relationship Id="rId75" Type="http://schemas.openxmlformats.org/officeDocument/2006/relationships/hyperlink" Target="https://web.acma.gov.au/rrl/browse_licences.licence_list?pSV_ID=3&amp;pSS_ID=302" TargetMode="External"/><Relationship Id="rId91" Type="http://schemas.openxmlformats.org/officeDocument/2006/relationships/hyperlink" Target="https://web.acma.gov.au/rrl/browse_licences.licence_list?pSV_ID=68&amp;pSS_ID=680" TargetMode="External"/><Relationship Id="rId96" Type="http://schemas.openxmlformats.org/officeDocument/2006/relationships/hyperlink" Target="https://web.acma.gov.au/rrl/browse_licences.licence_list?pSV_ID=110&amp;pSS_ID=150" TargetMode="External"/><Relationship Id="rId14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https://www.legislation.gov.au/Details/F2021C00512" TargetMode="External"/><Relationship Id="rId49" Type="http://schemas.openxmlformats.org/officeDocument/2006/relationships/hyperlink" Target="https://web.acma.gov.au/rrl/browse_licences.licence_list?pSV_ID=1&amp;pSS_ID=118" TargetMode="External"/><Relationship Id="rId114" Type="http://schemas.openxmlformats.org/officeDocument/2006/relationships/image" Target="media/image7.jpeg"/><Relationship Id="rId119" Type="http://schemas.openxmlformats.org/officeDocument/2006/relationships/hyperlink" Target="https://www.legislation.gov.au/Details/F2022C00158" TargetMode="External"/><Relationship Id="rId44" Type="http://schemas.openxmlformats.org/officeDocument/2006/relationships/hyperlink" Target="https://web.acma.gov.au/rrl/browse_licences.licence_list?pSV_ID=1&amp;pSS_ID=101" TargetMode="External"/><Relationship Id="rId60" Type="http://schemas.openxmlformats.org/officeDocument/2006/relationships/hyperlink" Target="https://web.acma.gov.au/rrl/browse_licences.licence_list?pSV_ID=109&amp;pSS_ID=950" TargetMode="External"/><Relationship Id="rId65" Type="http://schemas.openxmlformats.org/officeDocument/2006/relationships/hyperlink" Target="https://web.acma.gov.au/rrl/browse_licences.licence_list?pSV_ID=2&amp;pSS_ID=204" TargetMode="External"/><Relationship Id="rId81" Type="http://schemas.openxmlformats.org/officeDocument/2006/relationships/hyperlink" Target="https://web.acma.gov.au/rrl/browse_licences.licence_list?pSV_ID=3&amp;pSS_ID=308" TargetMode="External"/><Relationship Id="rId86" Type="http://schemas.openxmlformats.org/officeDocument/2006/relationships/hyperlink" Target="https://web.acma.gov.au/rrl/browse_licences.licence_list?pSV_ID=5&amp;pSS_ID=504" TargetMode="External"/><Relationship Id="rId130" Type="http://schemas.openxmlformats.org/officeDocument/2006/relationships/hyperlink" Target="https://www.acma.gov.au/five-year-spectrum-outlook" TargetMode="External"/><Relationship Id="rId135" Type="http://schemas.openxmlformats.org/officeDocument/2006/relationships/header" Target="header8.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hyperlink" Target="https://web.acma.gov.au/rrl/browse_licences.licence_list?pSV_ID=1&amp;pSS_ID=113" TargetMode="External"/><Relationship Id="rId109" Type="http://schemas.openxmlformats.org/officeDocument/2006/relationships/hyperlink" Target="https://www.acma.gov.au/publications/2021-09/plan/five-year-spectrum-outlook-2021-26" TargetMode="External"/><Relationship Id="rId34" Type="http://schemas.openxmlformats.org/officeDocument/2006/relationships/hyperlink" Target="https://web.acma.gov.au/rrl/browse_licences.licence_list?pSV_ID=6&amp;pSS_ID=600" TargetMode="External"/><Relationship Id="rId50" Type="http://schemas.openxmlformats.org/officeDocument/2006/relationships/hyperlink" Target="https://web.acma.gov.au/rrl/browse_licences.licence_list?pSV_ID=1&amp;pSS_ID=107" TargetMode="External"/><Relationship Id="rId55" Type="http://schemas.openxmlformats.org/officeDocument/2006/relationships/hyperlink" Target="https://web.acma.gov.au/rrl/browse_licences.licence_list?pSV_ID=93&amp;pSS_ID=409" TargetMode="External"/><Relationship Id="rId76" Type="http://schemas.openxmlformats.org/officeDocument/2006/relationships/hyperlink" Target="https://web.acma.gov.au/rrl/browse_licences.licence_list?pSV_ID=3&amp;pSS_ID=303" TargetMode="External"/><Relationship Id="rId97" Type="http://schemas.openxmlformats.org/officeDocument/2006/relationships/hyperlink" Target="https://web.acma.gov.au/rrl/browse_licences.licence_list?pSV_ID=18&amp;pSS_ID=181" TargetMode="External"/><Relationship Id="rId104" Type="http://schemas.openxmlformats.org/officeDocument/2006/relationships/hyperlink" Target="https://www.acma.gov.au/consultations/2020-02/implementation-spectrum-pricing-review-consultation-072020" TargetMode="External"/><Relationship Id="rId120" Type="http://schemas.openxmlformats.org/officeDocument/2006/relationships/hyperlink" Target="https://www.legislation.gov.au/Details/F2022C00158" TargetMode="External"/><Relationship Id="rId125" Type="http://schemas.openxmlformats.org/officeDocument/2006/relationships/image" Target="media/image11.png"/><Relationship Id="rId141"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eb.acma.gov.au/rrl/browse_licences.licence_list?pSV_ID=2&amp;pSS_ID=210" TargetMode="External"/><Relationship Id="rId92" Type="http://schemas.openxmlformats.org/officeDocument/2006/relationships/hyperlink" Target="https://web.acma.gov.au/rrl/browse_licences.licence_list?pSV_ID=68&amp;pSS_ID=681" TargetMode="External"/><Relationship Id="rId2" Type="http://schemas.openxmlformats.org/officeDocument/2006/relationships/numbering" Target="numbering.xml"/><Relationship Id="rId29" Type="http://schemas.openxmlformats.org/officeDocument/2006/relationships/hyperlink" Target="https://www.communications.gov.au/file/34821/download?token=7jbYg1eg" TargetMode="External"/><Relationship Id="rId24" Type="http://schemas.openxmlformats.org/officeDocument/2006/relationships/hyperlink" Target="https://www.communications.gov.au/documents/spectrum-pricing-review" TargetMode="External"/><Relationship Id="rId40" Type="http://schemas.openxmlformats.org/officeDocument/2006/relationships/hyperlink" Target="https://web.acma.gov.au/rrl/browse_licences.licence_list?pSV_ID=1&amp;pSS_ID=108" TargetMode="External"/><Relationship Id="rId45" Type="http://schemas.openxmlformats.org/officeDocument/2006/relationships/hyperlink" Target="https://web.acma.gov.au/rrl/browse_licences.licence_list?pSV_ID=1&amp;pSS_ID=102" TargetMode="External"/><Relationship Id="rId66" Type="http://schemas.openxmlformats.org/officeDocument/2006/relationships/hyperlink" Target="https://web.acma.gov.au/rrl/browse_licences.licence_list?pSV_ID=2&amp;pSS_ID=205" TargetMode="External"/><Relationship Id="rId87" Type="http://schemas.openxmlformats.org/officeDocument/2006/relationships/hyperlink" Target="https://web.acma.gov.au/rrl/browse_licences.licence_list?pSV_ID=67&amp;pSS_ID=670" TargetMode="External"/><Relationship Id="rId110" Type="http://schemas.openxmlformats.org/officeDocument/2006/relationships/hyperlink" Target="https://www.acma.gov.au/apparatus-licence-fee-calculator" TargetMode="External"/><Relationship Id="rId115" Type="http://schemas.openxmlformats.org/officeDocument/2006/relationships/image" Target="media/image8.png"/><Relationship Id="rId131" Type="http://schemas.openxmlformats.org/officeDocument/2006/relationships/hyperlink" Target="https://www.acma.gov.au/publications/2021-09/plan/five-year-spectrum-outlook-2021-26" TargetMode="External"/><Relationship Id="rId136" Type="http://schemas.openxmlformats.org/officeDocument/2006/relationships/footer" Target="footer7.xml"/><Relationship Id="rId61" Type="http://schemas.openxmlformats.org/officeDocument/2006/relationships/hyperlink" Target="https://web.acma.gov.au/rrl/browse_licences.licence_list?pSV_ID=2&amp;pSS_ID=200" TargetMode="External"/><Relationship Id="rId82" Type="http://schemas.openxmlformats.org/officeDocument/2006/relationships/hyperlink" Target="https://web.acma.gov.au/rrl/browse_licences.licence_list?pSV_ID=105&amp;pSS_ID=550" TargetMode="External"/><Relationship Id="rId19" Type="http://schemas.openxmlformats.org/officeDocument/2006/relationships/header" Target="header5.xml"/><Relationship Id="rId14" Type="http://schemas.openxmlformats.org/officeDocument/2006/relationships/hyperlink" Target="mailto:info@acma.gov.au" TargetMode="External"/><Relationship Id="rId30" Type="http://schemas.openxmlformats.org/officeDocument/2006/relationships/hyperlink" Target="https://www.acma.gov.au/consultations/2020-12/response-implementation-spectrum-pricing-review-consultation-392020" TargetMode="External"/><Relationship Id="rId35" Type="http://schemas.openxmlformats.org/officeDocument/2006/relationships/hyperlink" Target="https://web.acma.gov.au/rrl/browse_licences.licence_list?pSV_ID=6&amp;pSS_ID=601" TargetMode="External"/><Relationship Id="rId56" Type="http://schemas.openxmlformats.org/officeDocument/2006/relationships/hyperlink" Target="https://web.acma.gov.au/rrl/browse_licences.licence_list?pSV_ID=65&amp;pSS_ID=650" TargetMode="External"/><Relationship Id="rId77" Type="http://schemas.openxmlformats.org/officeDocument/2006/relationships/hyperlink" Target="https://web.acma.gov.au/rrl/browse_licences.licence_list?pSV_ID=3&amp;pSS_ID=304" TargetMode="External"/><Relationship Id="rId100" Type="http://schemas.openxmlformats.org/officeDocument/2006/relationships/hyperlink" Target="https://web.acma.gov.au/rrl/browse_licences.licence_list?pSV_ID=69&amp;pSS_ID=691" TargetMode="External"/><Relationship Id="rId105" Type="http://schemas.openxmlformats.org/officeDocument/2006/relationships/hyperlink" Target="https://www.acma.gov.au/consultations/2020-12/response-implementation-spectrum-pricing-review-consultation-392020" TargetMode="External"/><Relationship Id="rId126"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hyperlink" Target="https://web.acma.gov.au/rrl/browse_licences.licence_list?pSV_ID=1&amp;pSS_ID=116" TargetMode="External"/><Relationship Id="rId72" Type="http://schemas.openxmlformats.org/officeDocument/2006/relationships/hyperlink" Target="https://web.acma.gov.au/rrl/browse_licences.licence_list?pSV_ID=102&amp;pSS_ID=250" TargetMode="External"/><Relationship Id="rId93" Type="http://schemas.openxmlformats.org/officeDocument/2006/relationships/hyperlink" Target="https://web.acma.gov.au/rrl/browse_licences.licence_list?pSV_ID=10&amp;pSS_ID=125" TargetMode="External"/><Relationship Id="rId98" Type="http://schemas.openxmlformats.org/officeDocument/2006/relationships/hyperlink" Target="https://web.acma.gov.au/rrl/browse_licences.licence_list?pSV_ID=18&amp;pSS_ID=182" TargetMode="External"/><Relationship Id="rId121" Type="http://schemas.openxmlformats.org/officeDocument/2006/relationships/hyperlink" Target="https://www.acma.gov.au/consultations/2021-10/response-implementation-spectrum-pricing-review-part-2-consultation-382021" TargetMode="External"/><Relationship Id="rId142"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s://www.acma.gov.au/consultations/2020-12/response-implementation-spectrum-pricing-review-consultation-392020" TargetMode="External"/><Relationship Id="rId46" Type="http://schemas.openxmlformats.org/officeDocument/2006/relationships/hyperlink" Target="https://web.acma.gov.au/rrl/browse_licences.licence_list?pSV_ID=1&amp;pSS_ID=104" TargetMode="External"/><Relationship Id="rId67" Type="http://schemas.openxmlformats.org/officeDocument/2006/relationships/hyperlink" Target="https://web.acma.gov.au/rrl/browse_licences.licence_list?pSV_ID=2&amp;pSS_ID=206" TargetMode="External"/><Relationship Id="rId116" Type="http://schemas.openxmlformats.org/officeDocument/2006/relationships/image" Target="media/image9.jpeg"/><Relationship Id="rId137" Type="http://schemas.openxmlformats.org/officeDocument/2006/relationships/footer" Target="footer8.xml"/><Relationship Id="rId20" Type="http://schemas.openxmlformats.org/officeDocument/2006/relationships/header" Target="header6.xml"/><Relationship Id="rId41" Type="http://schemas.openxmlformats.org/officeDocument/2006/relationships/hyperlink" Target="https://web.acma.gov.au/rrl/browse_licences.licence_list?pSV_ID=1&amp;pSS_ID=109" TargetMode="External"/><Relationship Id="rId62" Type="http://schemas.openxmlformats.org/officeDocument/2006/relationships/hyperlink" Target="https://web.acma.gov.au/rrl/browse_licences.licence_list?pSV_ID=2&amp;pSS_ID=201" TargetMode="External"/><Relationship Id="rId83" Type="http://schemas.openxmlformats.org/officeDocument/2006/relationships/hyperlink" Target="https://web.acma.gov.au/rrl/browse_licences.licence_list?pSV_ID=5&amp;pSS_ID=501" TargetMode="External"/><Relationship Id="rId88" Type="http://schemas.openxmlformats.org/officeDocument/2006/relationships/hyperlink" Target="https://web.acma.gov.au/rrl/browse_licences.licence_list?pSV_ID=67&amp;pSS_ID=671" TargetMode="External"/><Relationship Id="rId111" Type="http://schemas.openxmlformats.org/officeDocument/2006/relationships/hyperlink" Target="https://www.acma.gov.au/consultations/2021-10/response-implementation-spectrum-pricing-review-part-2-consultation-382021" TargetMode="External"/><Relationship Id="rId132" Type="http://schemas.openxmlformats.org/officeDocument/2006/relationships/image" Target="media/image14.png"/><Relationship Id="rId15" Type="http://schemas.openxmlformats.org/officeDocument/2006/relationships/header" Target="header3.xml"/><Relationship Id="rId36" Type="http://schemas.openxmlformats.org/officeDocument/2006/relationships/hyperlink" Target="https://web.acma.gov.au/rrl/browse_licences.licence_list?pSV_ID=6&amp;pSS_ID=602" TargetMode="External"/><Relationship Id="rId57" Type="http://schemas.openxmlformats.org/officeDocument/2006/relationships/hyperlink" Target="https://web.acma.gov.au/rrl/browse_licences.licence_list?pSV_ID=165&amp;pSS_ID=655" TargetMode="External"/><Relationship Id="rId106" Type="http://schemas.openxmlformats.org/officeDocument/2006/relationships/hyperlink" Target="https://www.acma.gov.au/consultations/2021-10/response-implementation-spectrum-pricing-review-part-2-consultation-382021" TargetMode="External"/><Relationship Id="rId127" Type="http://schemas.openxmlformats.org/officeDocument/2006/relationships/chart" Target="charts/chart1.xml"/><Relationship Id="rId10" Type="http://schemas.openxmlformats.org/officeDocument/2006/relationships/header" Target="header2.xml"/><Relationship Id="rId31" Type="http://schemas.openxmlformats.org/officeDocument/2006/relationships/hyperlink" Target="https://www.acma.gov.au/apparatus-licences" TargetMode="External"/><Relationship Id="rId52" Type="http://schemas.openxmlformats.org/officeDocument/2006/relationships/hyperlink" Target="https://web.acma.gov.au/rrl/browse_licences.licence_list?pSV_ID=1&amp;pSS_ID=117" TargetMode="External"/><Relationship Id="rId73" Type="http://schemas.openxmlformats.org/officeDocument/2006/relationships/hyperlink" Target="https://web.acma.gov.au/rrl/browse_licences.licence_list?pSV_ID=3&amp;pSS_ID=300" TargetMode="External"/><Relationship Id="rId78" Type="http://schemas.openxmlformats.org/officeDocument/2006/relationships/hyperlink" Target="https://web.acma.gov.au/rrl/browse_licences.licence_list?pSV_ID=3&amp;pSS_ID=305" TargetMode="External"/><Relationship Id="rId94" Type="http://schemas.openxmlformats.org/officeDocument/2006/relationships/hyperlink" Target="https://web.acma.gov.au/rrl/browse_licences.licence_list?pSV_ID=10&amp;pSS_ID=127" TargetMode="External"/><Relationship Id="rId99" Type="http://schemas.openxmlformats.org/officeDocument/2006/relationships/hyperlink" Target="https://web.acma.gov.au/rrl/browse_licences.licence_list?pSV_ID=69&amp;pSS_ID=690" TargetMode="External"/><Relationship Id="rId101" Type="http://schemas.openxmlformats.org/officeDocument/2006/relationships/hyperlink" Target="https://web.acma.gov.au/rrl/browse_licences.licence_list?pSV_ID=75&amp;pSS_ID=751" TargetMode="External"/><Relationship Id="rId122" Type="http://schemas.openxmlformats.org/officeDocument/2006/relationships/hyperlink" Target="https://www.acma.gov.au/consultations/2021-10/response-implementation-spectrum-pricing-review-part-2-consultation-382021" TargetMode="External"/><Relationship Id="rId14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acma.gov.au/consultations/2021-10/response-implementation-spectrum-pricing-review-part-2-consultation-382021" TargetMode="External"/><Relationship Id="rId47" Type="http://schemas.openxmlformats.org/officeDocument/2006/relationships/hyperlink" Target="https://web.acma.gov.au/rrl/browse_licences.licence_list?pSV_ID=1&amp;pSS_ID=106" TargetMode="External"/><Relationship Id="rId68" Type="http://schemas.openxmlformats.org/officeDocument/2006/relationships/hyperlink" Target="https://web.acma.gov.au/rrl/browse_licences.licence_list?pSV_ID=2&amp;pSS_ID=207" TargetMode="External"/><Relationship Id="rId89" Type="http://schemas.openxmlformats.org/officeDocument/2006/relationships/hyperlink" Target="https://web.acma.gov.au/rrl/browse_licences.licence_list?pSV_ID=67&amp;pSS_ID=672" TargetMode="External"/><Relationship Id="rId112" Type="http://schemas.openxmlformats.org/officeDocument/2006/relationships/image" Target="media/image5.png"/><Relationship Id="rId133" Type="http://schemas.openxmlformats.org/officeDocument/2006/relationships/hyperlink" Target="https://www.acma.gov.au/publications/2020-06/guide/apparatus-licence-fee-schedule" TargetMode="External"/><Relationship Id="rId16"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apparatus-licences" TargetMode="External"/><Relationship Id="rId2" Type="http://schemas.openxmlformats.org/officeDocument/2006/relationships/hyperlink" Target="https://www.acma.gov.au/publications/2020-06/guide/apparatus-licence-fee-schedule" TargetMode="External"/><Relationship Id="rId1" Type="http://schemas.openxmlformats.org/officeDocument/2006/relationships/hyperlink" Target="https://www.acma.gov.au/publications/2020-06/guide/apparatus-licence-fee-schedule" TargetMode="External"/><Relationship Id="rId4" Type="http://schemas.openxmlformats.org/officeDocument/2006/relationships/hyperlink" Target="https://www.acma.gov.au/publications/2019-09/instruction/rali-lm8-land-mobile-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Chu\AppData\Local\Microsoft\Windows\INetCache\Content.Outlook\QT4Y7WUS\population%20vs%20CP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CPI vs.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Sheet1!$A$15</c:f>
              <c:strCache>
                <c:ptCount val="1"/>
                <c:pt idx="0">
                  <c:v>Sydney</c:v>
                </c:pt>
              </c:strCache>
            </c:strRef>
          </c:tx>
          <c:spPr>
            <a:ln w="28575" cap="rnd">
              <a:solidFill>
                <a:schemeClr val="accent1"/>
              </a:solidFill>
              <a:round/>
            </a:ln>
            <a:effectLst/>
          </c:spPr>
          <c:marker>
            <c:symbol val="none"/>
          </c:marker>
          <c:cat>
            <c:numRef>
              <c:f>Sheet1!$B$14:$AQ$14</c:f>
              <c:numCache>
                <c:formatCode>General</c:formatCode>
                <c:ptCount val="42"/>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numCache>
            </c:numRef>
          </c:cat>
          <c:val>
            <c:numRef>
              <c:f>Sheet1!$C$15:$AQ$15</c:f>
              <c:numCache>
                <c:formatCode>General</c:formatCode>
                <c:ptCount val="41"/>
                <c:pt idx="0">
                  <c:v>1.0047299456695429</c:v>
                </c:pt>
                <c:pt idx="1">
                  <c:v>1.0124960051134546</c:v>
                </c:pt>
                <c:pt idx="2">
                  <c:v>1.0219558964525406</c:v>
                </c:pt>
                <c:pt idx="3">
                  <c:v>1.0312559923298177</c:v>
                </c:pt>
                <c:pt idx="4">
                  <c:v>1.0410674336848833</c:v>
                </c:pt>
                <c:pt idx="5">
                  <c:v>1.0481108980504954</c:v>
                </c:pt>
                <c:pt idx="6">
                  <c:v>1.0608187919463088</c:v>
                </c:pt>
                <c:pt idx="7">
                  <c:v>1.0709827420901248</c:v>
                </c:pt>
                <c:pt idx="8">
                  <c:v>1.0818207094918504</c:v>
                </c:pt>
                <c:pt idx="9">
                  <c:v>1.0944691594758709</c:v>
                </c:pt>
                <c:pt idx="10">
                  <c:v>1.1094563758389262</c:v>
                </c:pt>
                <c:pt idx="11">
                  <c:v>1.1269306487695749</c:v>
                </c:pt>
                <c:pt idx="12">
                  <c:v>1.1466919143496326</c:v>
                </c:pt>
                <c:pt idx="13">
                  <c:v>1.1573259827420901</c:v>
                </c:pt>
                <c:pt idx="14">
                  <c:v>1.1641939916906361</c:v>
                </c:pt>
                <c:pt idx="15">
                  <c:v>1.1738299776286354</c:v>
                </c:pt>
                <c:pt idx="16">
                  <c:v>1.1851422179610098</c:v>
                </c:pt>
                <c:pt idx="17">
                  <c:v>1.1915711089805048</c:v>
                </c:pt>
                <c:pt idx="18">
                  <c:v>1.2012924256951101</c:v>
                </c:pt>
                <c:pt idx="19">
                  <c:v>1.2153358900607221</c:v>
                </c:pt>
                <c:pt idx="20">
                  <c:v>1.232549057206775</c:v>
                </c:pt>
                <c:pt idx="21">
                  <c:v>1.2480418664109936</c:v>
                </c:pt>
                <c:pt idx="22">
                  <c:v>1.2608175135826138</c:v>
                </c:pt>
                <c:pt idx="23">
                  <c:v>1.2757986577181204</c:v>
                </c:pt>
                <c:pt idx="24">
                  <c:v>1.2917002237136461</c:v>
                </c:pt>
                <c:pt idx="25">
                  <c:v>1.3111473314157873</c:v>
                </c:pt>
                <c:pt idx="26">
                  <c:v>1.32171204857782</c:v>
                </c:pt>
                <c:pt idx="27">
                  <c:v>1.3303269415148606</c:v>
                </c:pt>
                <c:pt idx="28">
                  <c:v>1.3374122722914668</c:v>
                </c:pt>
                <c:pt idx="29">
                  <c:v>1.3478948545861296</c:v>
                </c:pt>
                <c:pt idx="30">
                  <c:v>1.3602304250559283</c:v>
                </c:pt>
                <c:pt idx="31">
                  <c:v>1.3823985298817512</c:v>
                </c:pt>
                <c:pt idx="32">
                  <c:v>1.4092559923298176</c:v>
                </c:pt>
                <c:pt idx="33">
                  <c:v>1.4357238734419939</c:v>
                </c:pt>
                <c:pt idx="34">
                  <c:v>1.4559015659955252</c:v>
                </c:pt>
                <c:pt idx="35">
                  <c:v>1.4729782678171934</c:v>
                </c:pt>
                <c:pt idx="36">
                  <c:v>1.4947893895813353</c:v>
                </c:pt>
                <c:pt idx="37">
                  <c:v>1.5204103547459247</c:v>
                </c:pt>
                <c:pt idx="38">
                  <c:v>1.5472511984659629</c:v>
                </c:pt>
                <c:pt idx="39">
                  <c:v>1.5756436561201654</c:v>
                </c:pt>
                <c:pt idx="40">
                  <c:v>1.6059197826781713</c:v>
                </c:pt>
              </c:numCache>
            </c:numRef>
          </c:val>
          <c:smooth val="0"/>
          <c:extLst>
            <c:ext xmlns:c16="http://schemas.microsoft.com/office/drawing/2014/chart" uri="{C3380CC4-5D6E-409C-BE32-E72D297353CC}">
              <c16:uniqueId val="{00000000-869E-4318-9CEC-FE3BF8C2C466}"/>
            </c:ext>
          </c:extLst>
        </c:ser>
        <c:ser>
          <c:idx val="1"/>
          <c:order val="1"/>
          <c:tx>
            <c:strRef>
              <c:f>Sheet1!$A$16</c:f>
              <c:strCache>
                <c:ptCount val="1"/>
                <c:pt idx="0">
                  <c:v>Melbourne</c:v>
                </c:pt>
              </c:strCache>
            </c:strRef>
          </c:tx>
          <c:spPr>
            <a:ln w="28575" cap="rnd">
              <a:solidFill>
                <a:schemeClr val="accent2"/>
              </a:solidFill>
              <a:round/>
            </a:ln>
            <a:effectLst/>
          </c:spPr>
          <c:marker>
            <c:symbol val="none"/>
          </c:marker>
          <c:cat>
            <c:numRef>
              <c:f>Sheet1!$B$14:$AQ$14</c:f>
              <c:numCache>
                <c:formatCode>General</c:formatCode>
                <c:ptCount val="42"/>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numCache>
            </c:numRef>
          </c:cat>
          <c:val>
            <c:numRef>
              <c:f>Sheet1!$B$16:$AQ$16</c:f>
              <c:numCache>
                <c:formatCode>General</c:formatCode>
                <c:ptCount val="42"/>
                <c:pt idx="0">
                  <c:v>1</c:v>
                </c:pt>
                <c:pt idx="1">
                  <c:v>1.0065180977350521</c:v>
                </c:pt>
                <c:pt idx="2">
                  <c:v>1.0132546791930668</c:v>
                </c:pt>
                <c:pt idx="3">
                  <c:v>1.0198456048357731</c:v>
                </c:pt>
                <c:pt idx="4">
                  <c:v>1.0255261816328016</c:v>
                </c:pt>
                <c:pt idx="5">
                  <c:v>1.0325176607676061</c:v>
                </c:pt>
                <c:pt idx="6">
                  <c:v>1.0406769354016459</c:v>
                </c:pt>
                <c:pt idx="7">
                  <c:v>1.0515417668050397</c:v>
                </c:pt>
                <c:pt idx="8">
                  <c:v>1.0620217027164811</c:v>
                </c:pt>
                <c:pt idx="9">
                  <c:v>1.0715850994100942</c:v>
                </c:pt>
                <c:pt idx="10">
                  <c:v>1.0817227441555606</c:v>
                </c:pt>
                <c:pt idx="11">
                  <c:v>1.0912289709416649</c:v>
                </c:pt>
                <c:pt idx="12">
                  <c:v>1.1052468866069478</c:v>
                </c:pt>
                <c:pt idx="13">
                  <c:v>1.1200629961401207</c:v>
                </c:pt>
                <c:pt idx="14">
                  <c:v>1.1364889665719902</c:v>
                </c:pt>
                <c:pt idx="15">
                  <c:v>1.1519882018789598</c:v>
                </c:pt>
                <c:pt idx="16">
                  <c:v>1.1633191318913407</c:v>
                </c:pt>
                <c:pt idx="17">
                  <c:v>1.171719466899716</c:v>
                </c:pt>
                <c:pt idx="18">
                  <c:v>1.17675442429539</c:v>
                </c:pt>
                <c:pt idx="19">
                  <c:v>1.1810924186148133</c:v>
                </c:pt>
                <c:pt idx="20">
                  <c:v>1.1903288180030589</c:v>
                </c:pt>
                <c:pt idx="21">
                  <c:v>1.2034491297065035</c:v>
                </c:pt>
                <c:pt idx="22">
                  <c:v>1.2148015439516422</c:v>
                </c:pt>
                <c:pt idx="23">
                  <c:v>1.2267737236909184</c:v>
                </c:pt>
                <c:pt idx="24">
                  <c:v>1.2407275507974658</c:v>
                </c:pt>
                <c:pt idx="25">
                  <c:v>1.2563094457796231</c:v>
                </c:pt>
                <c:pt idx="26">
                  <c:v>1.274579054693759</c:v>
                </c:pt>
                <c:pt idx="27">
                  <c:v>1.2910854999635863</c:v>
                </c:pt>
                <c:pt idx="28">
                  <c:v>1.3087287888718959</c:v>
                </c:pt>
                <c:pt idx="29">
                  <c:v>1.3261783555458453</c:v>
                </c:pt>
                <c:pt idx="30">
                  <c:v>1.3463593328963659</c:v>
                </c:pt>
                <c:pt idx="31">
                  <c:v>1.3694414099482921</c:v>
                </c:pt>
                <c:pt idx="32">
                  <c:v>1.3989367125482486</c:v>
                </c:pt>
                <c:pt idx="33">
                  <c:v>1.4315920180613211</c:v>
                </c:pt>
                <c:pt idx="34">
                  <c:v>1.4681330565872843</c:v>
                </c:pt>
                <c:pt idx="35">
                  <c:v>1.4951048721870224</c:v>
                </c:pt>
                <c:pt idx="36">
                  <c:v>1.5182310101230796</c:v>
                </c:pt>
                <c:pt idx="37">
                  <c:v>1.5533621003568572</c:v>
                </c:pt>
                <c:pt idx="38">
                  <c:v>1.5913141795936208</c:v>
                </c:pt>
                <c:pt idx="39">
                  <c:v>1.6298994974874377</c:v>
                </c:pt>
                <c:pt idx="40">
                  <c:v>1.669948292185566</c:v>
                </c:pt>
                <c:pt idx="41">
                  <c:v>1.7166947054111139</c:v>
                </c:pt>
              </c:numCache>
            </c:numRef>
          </c:val>
          <c:smooth val="0"/>
          <c:extLst>
            <c:ext xmlns:c16="http://schemas.microsoft.com/office/drawing/2014/chart" uri="{C3380CC4-5D6E-409C-BE32-E72D297353CC}">
              <c16:uniqueId val="{00000001-869E-4318-9CEC-FE3BF8C2C466}"/>
            </c:ext>
          </c:extLst>
        </c:ser>
        <c:ser>
          <c:idx val="2"/>
          <c:order val="2"/>
          <c:tx>
            <c:strRef>
              <c:f>Sheet1!$A$17</c:f>
              <c:strCache>
                <c:ptCount val="1"/>
                <c:pt idx="0">
                  <c:v>Brisbane</c:v>
                </c:pt>
              </c:strCache>
            </c:strRef>
          </c:tx>
          <c:spPr>
            <a:ln w="28575" cap="rnd">
              <a:solidFill>
                <a:schemeClr val="accent3"/>
              </a:solidFill>
              <a:round/>
            </a:ln>
            <a:effectLst/>
          </c:spPr>
          <c:marker>
            <c:symbol val="none"/>
          </c:marker>
          <c:cat>
            <c:numRef>
              <c:f>Sheet1!$B$14:$AQ$14</c:f>
              <c:numCache>
                <c:formatCode>General</c:formatCode>
                <c:ptCount val="42"/>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numCache>
            </c:numRef>
          </c:cat>
          <c:val>
            <c:numRef>
              <c:f>Sheet1!$B$17:$AQ$17</c:f>
              <c:numCache>
                <c:formatCode>General</c:formatCode>
                <c:ptCount val="42"/>
                <c:pt idx="0">
                  <c:v>1</c:v>
                </c:pt>
                <c:pt idx="1">
                  <c:v>1.0153536128970349</c:v>
                </c:pt>
                <c:pt idx="2">
                  <c:v>1.0303233854716438</c:v>
                </c:pt>
                <c:pt idx="3">
                  <c:v>1.0460608386911046</c:v>
                </c:pt>
                <c:pt idx="4">
                  <c:v>1.0612225314269264</c:v>
                </c:pt>
                <c:pt idx="5">
                  <c:v>1.0806064677094327</c:v>
                </c:pt>
                <c:pt idx="6">
                  <c:v>1.1080558487669128</c:v>
                </c:pt>
                <c:pt idx="7">
                  <c:v>1.1427214278859992</c:v>
                </c:pt>
                <c:pt idx="8">
                  <c:v>1.1645782554457342</c:v>
                </c:pt>
                <c:pt idx="9">
                  <c:v>1.1778658478073118</c:v>
                </c:pt>
                <c:pt idx="10">
                  <c:v>1.1947778524133958</c:v>
                </c:pt>
                <c:pt idx="11">
                  <c:v>1.2140044141637079</c:v>
                </c:pt>
                <c:pt idx="12">
                  <c:v>1.2345600230304195</c:v>
                </c:pt>
                <c:pt idx="13">
                  <c:v>1.2600009596008062</c:v>
                </c:pt>
                <c:pt idx="14">
                  <c:v>1.2952144707801556</c:v>
                </c:pt>
                <c:pt idx="15">
                  <c:v>1.3266030131465312</c:v>
                </c:pt>
                <c:pt idx="16">
                  <c:v>1.3547385087803474</c:v>
                </c:pt>
                <c:pt idx="17">
                  <c:v>1.3776163515977353</c:v>
                </c:pt>
                <c:pt idx="18">
                  <c:v>1.4053430572881682</c:v>
                </c:pt>
                <c:pt idx="19">
                  <c:v>1.4343527492563095</c:v>
                </c:pt>
                <c:pt idx="20">
                  <c:v>1.4661625563765475</c:v>
                </c:pt>
                <c:pt idx="21">
                  <c:v>1.4972612992994914</c:v>
                </c:pt>
                <c:pt idx="22">
                  <c:v>1.5200902024757701</c:v>
                </c:pt>
                <c:pt idx="23">
                  <c:v>1.5424489012570772</c:v>
                </c:pt>
                <c:pt idx="24">
                  <c:v>1.5662690720660206</c:v>
                </c:pt>
                <c:pt idx="25">
                  <c:v>1.593573553401785</c:v>
                </c:pt>
                <c:pt idx="26">
                  <c:v>1.6251377027156702</c:v>
                </c:pt>
                <c:pt idx="27">
                  <c:v>1.665607907110642</c:v>
                </c:pt>
                <c:pt idx="28">
                  <c:v>1.7087131753190672</c:v>
                </c:pt>
                <c:pt idx="29">
                  <c:v>1.7498282314557143</c:v>
                </c:pt>
                <c:pt idx="30">
                  <c:v>1.7908166202859608</c:v>
                </c:pt>
                <c:pt idx="31">
                  <c:v>1.8311726321850108</c:v>
                </c:pt>
                <c:pt idx="32">
                  <c:v>1.8797687362057383</c:v>
                </c:pt>
                <c:pt idx="33">
                  <c:v>1.9309125803665674</c:v>
                </c:pt>
                <c:pt idx="34">
                  <c:v>1.9849141157278569</c:v>
                </c:pt>
                <c:pt idx="35">
                  <c:v>2.0231724402648497</c:v>
                </c:pt>
                <c:pt idx="36">
                  <c:v>2.0606813165723055</c:v>
                </c:pt>
                <c:pt idx="37">
                  <c:v>2.1075597351501769</c:v>
                </c:pt>
                <c:pt idx="38">
                  <c:v>2.1513712695518654</c:v>
                </c:pt>
                <c:pt idx="39">
                  <c:v>2.1895595432300152</c:v>
                </c:pt>
                <c:pt idx="40">
                  <c:v>2.2249812877842805</c:v>
                </c:pt>
                <c:pt idx="41">
                  <c:v>2.2672219556664417</c:v>
                </c:pt>
              </c:numCache>
            </c:numRef>
          </c:val>
          <c:smooth val="0"/>
          <c:extLst>
            <c:ext xmlns:c16="http://schemas.microsoft.com/office/drawing/2014/chart" uri="{C3380CC4-5D6E-409C-BE32-E72D297353CC}">
              <c16:uniqueId val="{00000002-869E-4318-9CEC-FE3BF8C2C466}"/>
            </c:ext>
          </c:extLst>
        </c:ser>
        <c:ser>
          <c:idx val="3"/>
          <c:order val="3"/>
          <c:tx>
            <c:strRef>
              <c:f>Sheet1!$A$18</c:f>
              <c:strCache>
                <c:ptCount val="1"/>
                <c:pt idx="0">
                  <c:v>CPI</c:v>
                </c:pt>
              </c:strCache>
            </c:strRef>
          </c:tx>
          <c:spPr>
            <a:ln w="28575" cap="rnd">
              <a:solidFill>
                <a:schemeClr val="accent4"/>
              </a:solidFill>
              <a:round/>
            </a:ln>
            <a:effectLst/>
          </c:spPr>
          <c:marker>
            <c:symbol val="none"/>
          </c:marker>
          <c:cat>
            <c:numRef>
              <c:f>Sheet1!$B$14:$AQ$14</c:f>
              <c:numCache>
                <c:formatCode>General</c:formatCode>
                <c:ptCount val="42"/>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numCache>
            </c:numRef>
          </c:cat>
          <c:val>
            <c:numRef>
              <c:f>Sheet1!$B$18:$AQ$18</c:f>
              <c:numCache>
                <c:formatCode>General</c:formatCode>
                <c:ptCount val="42"/>
                <c:pt idx="0">
                  <c:v>1</c:v>
                </c:pt>
                <c:pt idx="1">
                  <c:v>1.120253164556962</c:v>
                </c:pt>
                <c:pt idx="2">
                  <c:v>1.2721518987341773</c:v>
                </c:pt>
                <c:pt idx="3">
                  <c:v>1.3734177215189873</c:v>
                </c:pt>
                <c:pt idx="4">
                  <c:v>1.4936708860759496</c:v>
                </c:pt>
                <c:pt idx="5">
                  <c:v>1.658227848101266</c:v>
                </c:pt>
                <c:pt idx="6">
                  <c:v>1.79746835443038</c:v>
                </c:pt>
                <c:pt idx="7">
                  <c:v>1.9936708860759496</c:v>
                </c:pt>
                <c:pt idx="8">
                  <c:v>2.2151898734177218</c:v>
                </c:pt>
                <c:pt idx="9">
                  <c:v>2.3037974683544307</c:v>
                </c:pt>
                <c:pt idx="10">
                  <c:v>2.4556962025316458</c:v>
                </c:pt>
                <c:pt idx="11">
                  <c:v>2.6645569620253169</c:v>
                </c:pt>
                <c:pt idx="12">
                  <c:v>2.9113924050632911</c:v>
                </c:pt>
                <c:pt idx="13">
                  <c:v>3.1202531645569618</c:v>
                </c:pt>
                <c:pt idx="14">
                  <c:v>3.3544303797468356</c:v>
                </c:pt>
                <c:pt idx="15">
                  <c:v>3.613924050632912</c:v>
                </c:pt>
                <c:pt idx="16">
                  <c:v>3.7341772151898738</c:v>
                </c:pt>
                <c:pt idx="17">
                  <c:v>3.7784810126582289</c:v>
                </c:pt>
                <c:pt idx="18">
                  <c:v>3.8481012658227853</c:v>
                </c:pt>
                <c:pt idx="19">
                  <c:v>3.9177215189873427</c:v>
                </c:pt>
                <c:pt idx="20">
                  <c:v>4.0949367088607609</c:v>
                </c:pt>
                <c:pt idx="21">
                  <c:v>4.2215189873417733</c:v>
                </c:pt>
                <c:pt idx="22">
                  <c:v>4.2341772151898747</c:v>
                </c:pt>
                <c:pt idx="23">
                  <c:v>4.265822784810128</c:v>
                </c:pt>
                <c:pt idx="24">
                  <c:v>4.3101265822784818</c:v>
                </c:pt>
                <c:pt idx="25">
                  <c:v>4.4430379746835449</c:v>
                </c:pt>
                <c:pt idx="26">
                  <c:v>4.7151898734177218</c:v>
                </c:pt>
                <c:pt idx="27">
                  <c:v>4.8481012658227849</c:v>
                </c:pt>
                <c:pt idx="28">
                  <c:v>4.9746835443037973</c:v>
                </c:pt>
                <c:pt idx="29">
                  <c:v>5.1012658227848098</c:v>
                </c:pt>
                <c:pt idx="30">
                  <c:v>5.2278481012658222</c:v>
                </c:pt>
                <c:pt idx="31">
                  <c:v>5.4367088607594933</c:v>
                </c:pt>
                <c:pt idx="32">
                  <c:v>5.5506329113924053</c:v>
                </c:pt>
                <c:pt idx="33">
                  <c:v>5.7974683544303787</c:v>
                </c:pt>
                <c:pt idx="34">
                  <c:v>5.8797468354430373</c:v>
                </c:pt>
                <c:pt idx="35">
                  <c:v>6.0632911392405058</c:v>
                </c:pt>
                <c:pt idx="36">
                  <c:v>6.2784810126582284</c:v>
                </c:pt>
                <c:pt idx="37">
                  <c:v>6.3544303797468364</c:v>
                </c:pt>
                <c:pt idx="38">
                  <c:v>6.5063291139240516</c:v>
                </c:pt>
                <c:pt idx="39">
                  <c:v>6.7025316455696222</c:v>
                </c:pt>
                <c:pt idx="40">
                  <c:v>6.803797468354432</c:v>
                </c:pt>
                <c:pt idx="41">
                  <c:v>6.8734177215189884</c:v>
                </c:pt>
              </c:numCache>
            </c:numRef>
          </c:val>
          <c:smooth val="0"/>
          <c:extLst>
            <c:ext xmlns:c16="http://schemas.microsoft.com/office/drawing/2014/chart" uri="{C3380CC4-5D6E-409C-BE32-E72D297353CC}">
              <c16:uniqueId val="{00000003-869E-4318-9CEC-FE3BF8C2C466}"/>
            </c:ext>
          </c:extLst>
        </c:ser>
        <c:dLbls>
          <c:showLegendKey val="0"/>
          <c:showVal val="0"/>
          <c:showCatName val="0"/>
          <c:showSerName val="0"/>
          <c:showPercent val="0"/>
          <c:showBubbleSize val="0"/>
        </c:dLbls>
        <c:smooth val="0"/>
        <c:axId val="766203920"/>
        <c:axId val="766205888"/>
      </c:lineChart>
      <c:catAx>
        <c:axId val="76620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205888"/>
        <c:crosses val="autoZero"/>
        <c:auto val="1"/>
        <c:lblAlgn val="ctr"/>
        <c:lblOffset val="100"/>
        <c:noMultiLvlLbl val="0"/>
      </c:catAx>
      <c:valAx>
        <c:axId val="76620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20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dlc_DocId xmlns="4195ad5f-cdf2-4c4a-8d9b-b7944a108e98">DOCID-322795542-17693</_dlc_DocId>
    <_dlc_DocIdUrl xmlns="4195ad5f-cdf2-4c4a-8d9b-b7944a108e98">
      <Url>https://pmc01.sharepoint.com/sites/CRMOBPR/_layouts/15/DocIdRedir.aspx?ID=DOCID-322795542-17693</Url>
      <Description>DOCID-322795542-17693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DB34EE-3C1B-481D-B4A9-09A9B5E4EF81}">
  <ds:schemaRefs>
    <ds:schemaRef ds:uri="http://schemas.openxmlformats.org/officeDocument/2006/bibliography"/>
  </ds:schemaRefs>
</ds:datastoreItem>
</file>

<file path=customXml/itemProps2.xml><?xml version="1.0" encoding="utf-8"?>
<ds:datastoreItem xmlns:ds="http://schemas.openxmlformats.org/officeDocument/2006/customXml" ds:itemID="{EB998FED-E05E-47C9-BBE0-E06FDC51E5DC}"/>
</file>

<file path=customXml/itemProps3.xml><?xml version="1.0" encoding="utf-8"?>
<ds:datastoreItem xmlns:ds="http://schemas.openxmlformats.org/officeDocument/2006/customXml" ds:itemID="{F00A712F-36F8-41C5-A0A2-5D3B80DD9675}"/>
</file>

<file path=customXml/itemProps4.xml><?xml version="1.0" encoding="utf-8"?>
<ds:datastoreItem xmlns:ds="http://schemas.openxmlformats.org/officeDocument/2006/customXml" ds:itemID="{0501153E-AB85-42D6-82C3-45F66BC034AC}"/>
</file>

<file path=customXml/itemProps5.xml><?xml version="1.0" encoding="utf-8"?>
<ds:datastoreItem xmlns:ds="http://schemas.openxmlformats.org/officeDocument/2006/customXml" ds:itemID="{FB234423-E27B-4FE3-83C6-89F42A8AF648}"/>
</file>

<file path=docProps/app.xml><?xml version="1.0" encoding="utf-8"?>
<Properties xmlns="http://schemas.openxmlformats.org/officeDocument/2006/extended-properties" xmlns:vt="http://schemas.openxmlformats.org/officeDocument/2006/docPropsVTypes">
  <Template>Normal.dotm</Template>
  <TotalTime>0</TotalTime>
  <Pages>56</Pages>
  <Words>17481</Words>
  <Characters>99645</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116893</CharactersWithSpaces>
  <SharedDoc>false</SharedDoc>
  <HLinks>
    <vt:vector size="618" baseType="variant">
      <vt:variant>
        <vt:i4>458772</vt:i4>
      </vt:variant>
      <vt:variant>
        <vt:i4>420</vt:i4>
      </vt:variant>
      <vt:variant>
        <vt:i4>0</vt:i4>
      </vt:variant>
      <vt:variant>
        <vt:i4>5</vt:i4>
      </vt:variant>
      <vt:variant>
        <vt:lpwstr>https://www.acma.gov.au/publications/2020-06/guide/apparatus-licence-fee-schedule</vt:lpwstr>
      </vt:variant>
      <vt:variant>
        <vt:lpwstr/>
      </vt:variant>
      <vt:variant>
        <vt:i4>1835008</vt:i4>
      </vt:variant>
      <vt:variant>
        <vt:i4>417</vt:i4>
      </vt:variant>
      <vt:variant>
        <vt:i4>0</vt:i4>
      </vt:variant>
      <vt:variant>
        <vt:i4>5</vt:i4>
      </vt:variant>
      <vt:variant>
        <vt:lpwstr>https://www.acma.gov.au/publications/2021-09/plan/five-year-spectrum-outlook-2021-26</vt:lpwstr>
      </vt:variant>
      <vt:variant>
        <vt:lpwstr/>
      </vt:variant>
      <vt:variant>
        <vt:i4>4128816</vt:i4>
      </vt:variant>
      <vt:variant>
        <vt:i4>414</vt:i4>
      </vt:variant>
      <vt:variant>
        <vt:i4>0</vt:i4>
      </vt:variant>
      <vt:variant>
        <vt:i4>5</vt:i4>
      </vt:variant>
      <vt:variant>
        <vt:lpwstr>https://www.acma.gov.au/five-year-spectrum-outlook</vt:lpwstr>
      </vt:variant>
      <vt:variant>
        <vt:lpwstr/>
      </vt:variant>
      <vt:variant>
        <vt:i4>2687022</vt:i4>
      </vt:variant>
      <vt:variant>
        <vt:i4>411</vt:i4>
      </vt:variant>
      <vt:variant>
        <vt:i4>0</vt:i4>
      </vt:variant>
      <vt:variant>
        <vt:i4>5</vt:i4>
      </vt:variant>
      <vt:variant>
        <vt:lpwstr>https://www.legislation.gov.au/</vt:lpwstr>
      </vt:variant>
      <vt:variant>
        <vt:lpwstr/>
      </vt:variant>
      <vt:variant>
        <vt:i4>6881323</vt:i4>
      </vt:variant>
      <vt:variant>
        <vt:i4>405</vt:i4>
      </vt:variant>
      <vt:variant>
        <vt:i4>0</vt:i4>
      </vt:variant>
      <vt:variant>
        <vt:i4>5</vt:i4>
      </vt:variant>
      <vt:variant>
        <vt:lpwstr>https://www.acma.gov.au/consultations/2021-10/response-implementation-spectrum-pricing-review-part-2-consultation-382021</vt:lpwstr>
      </vt:variant>
      <vt:variant>
        <vt:lpwstr>submissions</vt:lpwstr>
      </vt:variant>
      <vt:variant>
        <vt:i4>327759</vt:i4>
      </vt:variant>
      <vt:variant>
        <vt:i4>402</vt:i4>
      </vt:variant>
      <vt:variant>
        <vt:i4>0</vt:i4>
      </vt:variant>
      <vt:variant>
        <vt:i4>5</vt:i4>
      </vt:variant>
      <vt:variant>
        <vt:lpwstr>https://www.acma.gov.au/consultations/2021-10/response-implementation-spectrum-pricing-review-part-2-consultation-382021</vt:lpwstr>
      </vt:variant>
      <vt:variant>
        <vt:lpwstr/>
      </vt:variant>
      <vt:variant>
        <vt:i4>8257568</vt:i4>
      </vt:variant>
      <vt:variant>
        <vt:i4>399</vt:i4>
      </vt:variant>
      <vt:variant>
        <vt:i4>0</vt:i4>
      </vt:variant>
      <vt:variant>
        <vt:i4>5</vt:i4>
      </vt:variant>
      <vt:variant>
        <vt:lpwstr>https://www.legislation.gov.au/Details/F2022C00158</vt:lpwstr>
      </vt:variant>
      <vt:variant>
        <vt:lpwstr/>
      </vt:variant>
      <vt:variant>
        <vt:i4>8257568</vt:i4>
      </vt:variant>
      <vt:variant>
        <vt:i4>396</vt:i4>
      </vt:variant>
      <vt:variant>
        <vt:i4>0</vt:i4>
      </vt:variant>
      <vt:variant>
        <vt:i4>5</vt:i4>
      </vt:variant>
      <vt:variant>
        <vt:lpwstr>https://www.legislation.gov.au/Details/F2022C00158</vt:lpwstr>
      </vt:variant>
      <vt:variant>
        <vt:lpwstr/>
      </vt:variant>
      <vt:variant>
        <vt:i4>4522052</vt:i4>
      </vt:variant>
      <vt:variant>
        <vt:i4>393</vt:i4>
      </vt:variant>
      <vt:variant>
        <vt:i4>0</vt:i4>
      </vt:variant>
      <vt:variant>
        <vt:i4>5</vt:i4>
      </vt:variant>
      <vt:variant>
        <vt:lpwstr>https://www.acma.gov.au/publications/2019-09/publication/rali-lm8-land-mobile-service</vt:lpwstr>
      </vt:variant>
      <vt:variant>
        <vt:lpwstr/>
      </vt:variant>
      <vt:variant>
        <vt:i4>327759</vt:i4>
      </vt:variant>
      <vt:variant>
        <vt:i4>372</vt:i4>
      </vt:variant>
      <vt:variant>
        <vt:i4>0</vt:i4>
      </vt:variant>
      <vt:variant>
        <vt:i4>5</vt:i4>
      </vt:variant>
      <vt:variant>
        <vt:lpwstr>https://www.acma.gov.au/consultations/2021-10/response-implementation-spectrum-pricing-review-part-2-consultation-382021</vt:lpwstr>
      </vt:variant>
      <vt:variant>
        <vt:lpwstr/>
      </vt:variant>
      <vt:variant>
        <vt:i4>6225985</vt:i4>
      </vt:variant>
      <vt:variant>
        <vt:i4>369</vt:i4>
      </vt:variant>
      <vt:variant>
        <vt:i4>0</vt:i4>
      </vt:variant>
      <vt:variant>
        <vt:i4>5</vt:i4>
      </vt:variant>
      <vt:variant>
        <vt:lpwstr>https://www.acma.gov.au/apparatus-licence-fee-calculator</vt:lpwstr>
      </vt:variant>
      <vt:variant>
        <vt:lpwstr/>
      </vt:variant>
      <vt:variant>
        <vt:i4>1835008</vt:i4>
      </vt:variant>
      <vt:variant>
        <vt:i4>366</vt:i4>
      </vt:variant>
      <vt:variant>
        <vt:i4>0</vt:i4>
      </vt:variant>
      <vt:variant>
        <vt:i4>5</vt:i4>
      </vt:variant>
      <vt:variant>
        <vt:lpwstr>https://www.acma.gov.au/publications/2021-09/plan/five-year-spectrum-outlook-2021-26</vt:lpwstr>
      </vt:variant>
      <vt:variant>
        <vt:lpwstr/>
      </vt:variant>
      <vt:variant>
        <vt:i4>7471217</vt:i4>
      </vt:variant>
      <vt:variant>
        <vt:i4>363</vt:i4>
      </vt:variant>
      <vt:variant>
        <vt:i4>0</vt:i4>
      </vt:variant>
      <vt:variant>
        <vt:i4>5</vt:i4>
      </vt:variant>
      <vt:variant>
        <vt:lpwstr>https://www.investopedia.com/terms/t/tragedy-of-the-commons.asp</vt:lpwstr>
      </vt:variant>
      <vt:variant>
        <vt:lpwstr/>
      </vt:variant>
      <vt:variant>
        <vt:i4>327759</vt:i4>
      </vt:variant>
      <vt:variant>
        <vt:i4>357</vt:i4>
      </vt:variant>
      <vt:variant>
        <vt:i4>0</vt:i4>
      </vt:variant>
      <vt:variant>
        <vt:i4>5</vt:i4>
      </vt:variant>
      <vt:variant>
        <vt:lpwstr>https://www.acma.gov.au/consultations/2021-10/response-implementation-spectrum-pricing-review-part-2-consultation-382021</vt:lpwstr>
      </vt:variant>
      <vt:variant>
        <vt:lpwstr/>
      </vt:variant>
      <vt:variant>
        <vt:i4>327769</vt:i4>
      </vt:variant>
      <vt:variant>
        <vt:i4>354</vt:i4>
      </vt:variant>
      <vt:variant>
        <vt:i4>0</vt:i4>
      </vt:variant>
      <vt:variant>
        <vt:i4>5</vt:i4>
      </vt:variant>
      <vt:variant>
        <vt:lpwstr>https://www.acma.gov.au/consultations/2020-12/response-implementation-spectrum-pricing-review-consultation-392020</vt:lpwstr>
      </vt:variant>
      <vt:variant>
        <vt:lpwstr/>
      </vt:variant>
      <vt:variant>
        <vt:i4>4784135</vt:i4>
      </vt:variant>
      <vt:variant>
        <vt:i4>351</vt:i4>
      </vt:variant>
      <vt:variant>
        <vt:i4>0</vt:i4>
      </vt:variant>
      <vt:variant>
        <vt:i4>5</vt:i4>
      </vt:variant>
      <vt:variant>
        <vt:lpwstr>https://www.acma.gov.au/consultations/2020-02/implementation-spectrum-pricing-review-consultation-072020</vt:lpwstr>
      </vt:variant>
      <vt:variant>
        <vt:lpwstr/>
      </vt:variant>
      <vt:variant>
        <vt:i4>6094849</vt:i4>
      </vt:variant>
      <vt:variant>
        <vt:i4>348</vt:i4>
      </vt:variant>
      <vt:variant>
        <vt:i4>0</vt:i4>
      </vt:variant>
      <vt:variant>
        <vt:i4>5</vt:i4>
      </vt:variant>
      <vt:variant>
        <vt:lpwstr>https://web.acma.gov.au/rrl/browse_licences.cat_listing</vt:lpwstr>
      </vt:variant>
      <vt:variant>
        <vt:lpwstr/>
      </vt:variant>
      <vt:variant>
        <vt:i4>3604586</vt:i4>
      </vt:variant>
      <vt:variant>
        <vt:i4>345</vt:i4>
      </vt:variant>
      <vt:variant>
        <vt:i4>0</vt:i4>
      </vt:variant>
      <vt:variant>
        <vt:i4>5</vt:i4>
      </vt:variant>
      <vt:variant>
        <vt:lpwstr>https://web.acma.gov.au/rrl/browse_licences.licence_list?pSV_ID=175&amp;pSS_ID=756</vt:lpwstr>
      </vt:variant>
      <vt:variant>
        <vt:lpwstr/>
      </vt:variant>
      <vt:variant>
        <vt:i4>3670114</vt:i4>
      </vt:variant>
      <vt:variant>
        <vt:i4>342</vt:i4>
      </vt:variant>
      <vt:variant>
        <vt:i4>0</vt:i4>
      </vt:variant>
      <vt:variant>
        <vt:i4>5</vt:i4>
      </vt:variant>
      <vt:variant>
        <vt:lpwstr>https://web.acma.gov.au/rrl/browse_licences.licence_list?pSV_ID=75&amp;pSS_ID=751</vt:lpwstr>
      </vt:variant>
      <vt:variant>
        <vt:lpwstr/>
      </vt:variant>
      <vt:variant>
        <vt:i4>3670114</vt:i4>
      </vt:variant>
      <vt:variant>
        <vt:i4>339</vt:i4>
      </vt:variant>
      <vt:variant>
        <vt:i4>0</vt:i4>
      </vt:variant>
      <vt:variant>
        <vt:i4>5</vt:i4>
      </vt:variant>
      <vt:variant>
        <vt:lpwstr>https://web.acma.gov.au/rrl/browse_licences.licence_list?pSV_ID=69&amp;pSS_ID=691</vt:lpwstr>
      </vt:variant>
      <vt:variant>
        <vt:lpwstr/>
      </vt:variant>
      <vt:variant>
        <vt:i4>3670114</vt:i4>
      </vt:variant>
      <vt:variant>
        <vt:i4>336</vt:i4>
      </vt:variant>
      <vt:variant>
        <vt:i4>0</vt:i4>
      </vt:variant>
      <vt:variant>
        <vt:i4>5</vt:i4>
      </vt:variant>
      <vt:variant>
        <vt:lpwstr>https://web.acma.gov.au/rrl/browse_licences.licence_list?pSV_ID=69&amp;pSS_ID=690</vt:lpwstr>
      </vt:variant>
      <vt:variant>
        <vt:lpwstr/>
      </vt:variant>
      <vt:variant>
        <vt:i4>3670114</vt:i4>
      </vt:variant>
      <vt:variant>
        <vt:i4>333</vt:i4>
      </vt:variant>
      <vt:variant>
        <vt:i4>0</vt:i4>
      </vt:variant>
      <vt:variant>
        <vt:i4>5</vt:i4>
      </vt:variant>
      <vt:variant>
        <vt:lpwstr>https://web.acma.gov.au/rrl/browse_licences.licence_list?pSV_ID=18&amp;pSS_ID=182</vt:lpwstr>
      </vt:variant>
      <vt:variant>
        <vt:lpwstr/>
      </vt:variant>
      <vt:variant>
        <vt:i4>3670114</vt:i4>
      </vt:variant>
      <vt:variant>
        <vt:i4>330</vt:i4>
      </vt:variant>
      <vt:variant>
        <vt:i4>0</vt:i4>
      </vt:variant>
      <vt:variant>
        <vt:i4>5</vt:i4>
      </vt:variant>
      <vt:variant>
        <vt:lpwstr>https://web.acma.gov.au/rrl/browse_licences.licence_list?pSV_ID=18&amp;pSS_ID=181</vt:lpwstr>
      </vt:variant>
      <vt:variant>
        <vt:lpwstr/>
      </vt:variant>
      <vt:variant>
        <vt:i4>3211375</vt:i4>
      </vt:variant>
      <vt:variant>
        <vt:i4>327</vt:i4>
      </vt:variant>
      <vt:variant>
        <vt:i4>0</vt:i4>
      </vt:variant>
      <vt:variant>
        <vt:i4>5</vt:i4>
      </vt:variant>
      <vt:variant>
        <vt:lpwstr>https://web.acma.gov.au/rrl/browse_licences.licence_list?pSV_ID=110&amp;pSS_ID=150</vt:lpwstr>
      </vt:variant>
      <vt:variant>
        <vt:lpwstr/>
      </vt:variant>
      <vt:variant>
        <vt:i4>3801186</vt:i4>
      </vt:variant>
      <vt:variant>
        <vt:i4>324</vt:i4>
      </vt:variant>
      <vt:variant>
        <vt:i4>0</vt:i4>
      </vt:variant>
      <vt:variant>
        <vt:i4>5</vt:i4>
      </vt:variant>
      <vt:variant>
        <vt:lpwstr>https://web.acma.gov.au/rrl/browse_licences.licence_list?pSV_ID=10&amp;pSS_ID=129</vt:lpwstr>
      </vt:variant>
      <vt:variant>
        <vt:lpwstr/>
      </vt:variant>
      <vt:variant>
        <vt:i4>3801186</vt:i4>
      </vt:variant>
      <vt:variant>
        <vt:i4>321</vt:i4>
      </vt:variant>
      <vt:variant>
        <vt:i4>0</vt:i4>
      </vt:variant>
      <vt:variant>
        <vt:i4>5</vt:i4>
      </vt:variant>
      <vt:variant>
        <vt:lpwstr>https://web.acma.gov.au/rrl/browse_licences.licence_list?pSV_ID=10&amp;pSS_ID=127</vt:lpwstr>
      </vt:variant>
      <vt:variant>
        <vt:lpwstr/>
      </vt:variant>
      <vt:variant>
        <vt:i4>3801186</vt:i4>
      </vt:variant>
      <vt:variant>
        <vt:i4>318</vt:i4>
      </vt:variant>
      <vt:variant>
        <vt:i4>0</vt:i4>
      </vt:variant>
      <vt:variant>
        <vt:i4>5</vt:i4>
      </vt:variant>
      <vt:variant>
        <vt:lpwstr>https://web.acma.gov.au/rrl/browse_licences.licence_list?pSV_ID=10&amp;pSS_ID=125</vt:lpwstr>
      </vt:variant>
      <vt:variant>
        <vt:lpwstr/>
      </vt:variant>
      <vt:variant>
        <vt:i4>3670114</vt:i4>
      </vt:variant>
      <vt:variant>
        <vt:i4>315</vt:i4>
      </vt:variant>
      <vt:variant>
        <vt:i4>0</vt:i4>
      </vt:variant>
      <vt:variant>
        <vt:i4>5</vt:i4>
      </vt:variant>
      <vt:variant>
        <vt:lpwstr>https://web.acma.gov.au/rrl/browse_licences.licence_list?pSV_ID=68&amp;pSS_ID=681</vt:lpwstr>
      </vt:variant>
      <vt:variant>
        <vt:lpwstr/>
      </vt:variant>
      <vt:variant>
        <vt:i4>3670114</vt:i4>
      </vt:variant>
      <vt:variant>
        <vt:i4>312</vt:i4>
      </vt:variant>
      <vt:variant>
        <vt:i4>0</vt:i4>
      </vt:variant>
      <vt:variant>
        <vt:i4>5</vt:i4>
      </vt:variant>
      <vt:variant>
        <vt:lpwstr>https://web.acma.gov.au/rrl/browse_licences.licence_list?pSV_ID=68&amp;pSS_ID=680</vt:lpwstr>
      </vt:variant>
      <vt:variant>
        <vt:lpwstr/>
      </vt:variant>
      <vt:variant>
        <vt:i4>3670114</vt:i4>
      </vt:variant>
      <vt:variant>
        <vt:i4>309</vt:i4>
      </vt:variant>
      <vt:variant>
        <vt:i4>0</vt:i4>
      </vt:variant>
      <vt:variant>
        <vt:i4>5</vt:i4>
      </vt:variant>
      <vt:variant>
        <vt:lpwstr>https://web.acma.gov.au/rrl/browse_licences.licence_list?pSV_ID=67&amp;pSS_ID=673</vt:lpwstr>
      </vt:variant>
      <vt:variant>
        <vt:lpwstr/>
      </vt:variant>
      <vt:variant>
        <vt:i4>3670114</vt:i4>
      </vt:variant>
      <vt:variant>
        <vt:i4>306</vt:i4>
      </vt:variant>
      <vt:variant>
        <vt:i4>0</vt:i4>
      </vt:variant>
      <vt:variant>
        <vt:i4>5</vt:i4>
      </vt:variant>
      <vt:variant>
        <vt:lpwstr>https://web.acma.gov.au/rrl/browse_licences.licence_list?pSV_ID=67&amp;pSS_ID=672</vt:lpwstr>
      </vt:variant>
      <vt:variant>
        <vt:lpwstr/>
      </vt:variant>
      <vt:variant>
        <vt:i4>3670114</vt:i4>
      </vt:variant>
      <vt:variant>
        <vt:i4>303</vt:i4>
      </vt:variant>
      <vt:variant>
        <vt:i4>0</vt:i4>
      </vt:variant>
      <vt:variant>
        <vt:i4>5</vt:i4>
      </vt:variant>
      <vt:variant>
        <vt:lpwstr>https://web.acma.gov.au/rrl/browse_licences.licence_list?pSV_ID=67&amp;pSS_ID=671</vt:lpwstr>
      </vt:variant>
      <vt:variant>
        <vt:lpwstr/>
      </vt:variant>
      <vt:variant>
        <vt:i4>3670114</vt:i4>
      </vt:variant>
      <vt:variant>
        <vt:i4>300</vt:i4>
      </vt:variant>
      <vt:variant>
        <vt:i4>0</vt:i4>
      </vt:variant>
      <vt:variant>
        <vt:i4>5</vt:i4>
      </vt:variant>
      <vt:variant>
        <vt:lpwstr>https://web.acma.gov.au/rrl/browse_licences.licence_list?pSV_ID=67&amp;pSS_ID=670</vt:lpwstr>
      </vt:variant>
      <vt:variant>
        <vt:lpwstr/>
      </vt:variant>
      <vt:variant>
        <vt:i4>94</vt:i4>
      </vt:variant>
      <vt:variant>
        <vt:i4>297</vt:i4>
      </vt:variant>
      <vt:variant>
        <vt:i4>0</vt:i4>
      </vt:variant>
      <vt:variant>
        <vt:i4>5</vt:i4>
      </vt:variant>
      <vt:variant>
        <vt:lpwstr>https://web.acma.gov.au/rrl/browse_licences.licence_list?pSV_ID=5&amp;pSS_ID=504</vt:lpwstr>
      </vt:variant>
      <vt:variant>
        <vt:lpwstr/>
      </vt:variant>
      <vt:variant>
        <vt:i4>458846</vt:i4>
      </vt:variant>
      <vt:variant>
        <vt:i4>294</vt:i4>
      </vt:variant>
      <vt:variant>
        <vt:i4>0</vt:i4>
      </vt:variant>
      <vt:variant>
        <vt:i4>5</vt:i4>
      </vt:variant>
      <vt:variant>
        <vt:lpwstr>https://web.acma.gov.au/rrl/browse_licences.licence_list?pSV_ID=5&amp;pSS_ID=503</vt:lpwstr>
      </vt:variant>
      <vt:variant>
        <vt:lpwstr/>
      </vt:variant>
      <vt:variant>
        <vt:i4>393310</vt:i4>
      </vt:variant>
      <vt:variant>
        <vt:i4>291</vt:i4>
      </vt:variant>
      <vt:variant>
        <vt:i4>0</vt:i4>
      </vt:variant>
      <vt:variant>
        <vt:i4>5</vt:i4>
      </vt:variant>
      <vt:variant>
        <vt:lpwstr>https://web.acma.gov.au/rrl/browse_licences.licence_list?pSV_ID=5&amp;pSS_ID=502</vt:lpwstr>
      </vt:variant>
      <vt:variant>
        <vt:lpwstr/>
      </vt:variant>
      <vt:variant>
        <vt:i4>327774</vt:i4>
      </vt:variant>
      <vt:variant>
        <vt:i4>288</vt:i4>
      </vt:variant>
      <vt:variant>
        <vt:i4>0</vt:i4>
      </vt:variant>
      <vt:variant>
        <vt:i4>5</vt:i4>
      </vt:variant>
      <vt:variant>
        <vt:lpwstr>https://web.acma.gov.au/rrl/browse_licences.licence_list?pSV_ID=5&amp;pSS_ID=501</vt:lpwstr>
      </vt:variant>
      <vt:variant>
        <vt:lpwstr/>
      </vt:variant>
      <vt:variant>
        <vt:i4>3407978</vt:i4>
      </vt:variant>
      <vt:variant>
        <vt:i4>285</vt:i4>
      </vt:variant>
      <vt:variant>
        <vt:i4>0</vt:i4>
      </vt:variant>
      <vt:variant>
        <vt:i4>5</vt:i4>
      </vt:variant>
      <vt:variant>
        <vt:lpwstr>https://web.acma.gov.au/rrl/browse_licences.licence_list?pSV_ID=105&amp;pSS_ID=550</vt:lpwstr>
      </vt:variant>
      <vt:variant>
        <vt:lpwstr/>
      </vt:variant>
      <vt:variant>
        <vt:i4>655448</vt:i4>
      </vt:variant>
      <vt:variant>
        <vt:i4>282</vt:i4>
      </vt:variant>
      <vt:variant>
        <vt:i4>0</vt:i4>
      </vt:variant>
      <vt:variant>
        <vt:i4>5</vt:i4>
      </vt:variant>
      <vt:variant>
        <vt:lpwstr>https://web.acma.gov.au/rrl/browse_licences.licence_list?pSV_ID=3&amp;pSS_ID=308</vt:lpwstr>
      </vt:variant>
      <vt:variant>
        <vt:lpwstr/>
      </vt:variant>
      <vt:variant>
        <vt:i4>327768</vt:i4>
      </vt:variant>
      <vt:variant>
        <vt:i4>279</vt:i4>
      </vt:variant>
      <vt:variant>
        <vt:i4>0</vt:i4>
      </vt:variant>
      <vt:variant>
        <vt:i4>5</vt:i4>
      </vt:variant>
      <vt:variant>
        <vt:lpwstr>https://web.acma.gov.au/rrl/browse_licences.licence_list?pSV_ID=3&amp;pSS_ID=307</vt:lpwstr>
      </vt:variant>
      <vt:variant>
        <vt:lpwstr/>
      </vt:variant>
      <vt:variant>
        <vt:i4>262232</vt:i4>
      </vt:variant>
      <vt:variant>
        <vt:i4>276</vt:i4>
      </vt:variant>
      <vt:variant>
        <vt:i4>0</vt:i4>
      </vt:variant>
      <vt:variant>
        <vt:i4>5</vt:i4>
      </vt:variant>
      <vt:variant>
        <vt:lpwstr>https://web.acma.gov.au/rrl/browse_licences.licence_list?pSV_ID=3&amp;pSS_ID=306</vt:lpwstr>
      </vt:variant>
      <vt:variant>
        <vt:lpwstr/>
      </vt:variant>
      <vt:variant>
        <vt:i4>458840</vt:i4>
      </vt:variant>
      <vt:variant>
        <vt:i4>273</vt:i4>
      </vt:variant>
      <vt:variant>
        <vt:i4>0</vt:i4>
      </vt:variant>
      <vt:variant>
        <vt:i4>5</vt:i4>
      </vt:variant>
      <vt:variant>
        <vt:lpwstr>https://web.acma.gov.au/rrl/browse_licences.licence_list?pSV_ID=3&amp;pSS_ID=305</vt:lpwstr>
      </vt:variant>
      <vt:variant>
        <vt:lpwstr/>
      </vt:variant>
      <vt:variant>
        <vt:i4>393304</vt:i4>
      </vt:variant>
      <vt:variant>
        <vt:i4>270</vt:i4>
      </vt:variant>
      <vt:variant>
        <vt:i4>0</vt:i4>
      </vt:variant>
      <vt:variant>
        <vt:i4>5</vt:i4>
      </vt:variant>
      <vt:variant>
        <vt:lpwstr>https://web.acma.gov.au/rrl/browse_licences.licence_list?pSV_ID=3&amp;pSS_ID=304</vt:lpwstr>
      </vt:variant>
      <vt:variant>
        <vt:lpwstr/>
      </vt:variant>
      <vt:variant>
        <vt:i4>65624</vt:i4>
      </vt:variant>
      <vt:variant>
        <vt:i4>267</vt:i4>
      </vt:variant>
      <vt:variant>
        <vt:i4>0</vt:i4>
      </vt:variant>
      <vt:variant>
        <vt:i4>5</vt:i4>
      </vt:variant>
      <vt:variant>
        <vt:lpwstr>https://web.acma.gov.au/rrl/browse_licences.licence_list?pSV_ID=3&amp;pSS_ID=303</vt:lpwstr>
      </vt:variant>
      <vt:variant>
        <vt:lpwstr/>
      </vt:variant>
      <vt:variant>
        <vt:i4>88</vt:i4>
      </vt:variant>
      <vt:variant>
        <vt:i4>264</vt:i4>
      </vt:variant>
      <vt:variant>
        <vt:i4>0</vt:i4>
      </vt:variant>
      <vt:variant>
        <vt:i4>5</vt:i4>
      </vt:variant>
      <vt:variant>
        <vt:lpwstr>https://web.acma.gov.au/rrl/browse_licences.licence_list?pSV_ID=3&amp;pSS_ID=302</vt:lpwstr>
      </vt:variant>
      <vt:variant>
        <vt:lpwstr/>
      </vt:variant>
      <vt:variant>
        <vt:i4>196696</vt:i4>
      </vt:variant>
      <vt:variant>
        <vt:i4>261</vt:i4>
      </vt:variant>
      <vt:variant>
        <vt:i4>0</vt:i4>
      </vt:variant>
      <vt:variant>
        <vt:i4>5</vt:i4>
      </vt:variant>
      <vt:variant>
        <vt:lpwstr>https://web.acma.gov.au/rrl/browse_licences.licence_list?pSV_ID=3&amp;pSS_ID=301</vt:lpwstr>
      </vt:variant>
      <vt:variant>
        <vt:lpwstr/>
      </vt:variant>
      <vt:variant>
        <vt:i4>131160</vt:i4>
      </vt:variant>
      <vt:variant>
        <vt:i4>258</vt:i4>
      </vt:variant>
      <vt:variant>
        <vt:i4>0</vt:i4>
      </vt:variant>
      <vt:variant>
        <vt:i4>5</vt:i4>
      </vt:variant>
      <vt:variant>
        <vt:lpwstr>https://web.acma.gov.au/rrl/browse_licences.licence_list?pSV_ID=3&amp;pSS_ID=300</vt:lpwstr>
      </vt:variant>
      <vt:variant>
        <vt:lpwstr/>
      </vt:variant>
      <vt:variant>
        <vt:i4>3342445</vt:i4>
      </vt:variant>
      <vt:variant>
        <vt:i4>255</vt:i4>
      </vt:variant>
      <vt:variant>
        <vt:i4>0</vt:i4>
      </vt:variant>
      <vt:variant>
        <vt:i4>5</vt:i4>
      </vt:variant>
      <vt:variant>
        <vt:lpwstr>https://web.acma.gov.au/rrl/browse_licences.licence_list?pSV_ID=102&amp;pSS_ID=250</vt:lpwstr>
      </vt:variant>
      <vt:variant>
        <vt:lpwstr/>
      </vt:variant>
      <vt:variant>
        <vt:i4>196696</vt:i4>
      </vt:variant>
      <vt:variant>
        <vt:i4>252</vt:i4>
      </vt:variant>
      <vt:variant>
        <vt:i4>0</vt:i4>
      </vt:variant>
      <vt:variant>
        <vt:i4>5</vt:i4>
      </vt:variant>
      <vt:variant>
        <vt:lpwstr>https://web.acma.gov.au/rrl/browse_licences.licence_list?pSV_ID=2&amp;pSS_ID=210</vt:lpwstr>
      </vt:variant>
      <vt:variant>
        <vt:lpwstr/>
      </vt:variant>
      <vt:variant>
        <vt:i4>655449</vt:i4>
      </vt:variant>
      <vt:variant>
        <vt:i4>249</vt:i4>
      </vt:variant>
      <vt:variant>
        <vt:i4>0</vt:i4>
      </vt:variant>
      <vt:variant>
        <vt:i4>5</vt:i4>
      </vt:variant>
      <vt:variant>
        <vt:lpwstr>https://web.acma.gov.au/rrl/browse_licences.licence_list?pSV_ID=2&amp;pSS_ID=209</vt:lpwstr>
      </vt:variant>
      <vt:variant>
        <vt:lpwstr/>
      </vt:variant>
      <vt:variant>
        <vt:i4>720985</vt:i4>
      </vt:variant>
      <vt:variant>
        <vt:i4>246</vt:i4>
      </vt:variant>
      <vt:variant>
        <vt:i4>0</vt:i4>
      </vt:variant>
      <vt:variant>
        <vt:i4>5</vt:i4>
      </vt:variant>
      <vt:variant>
        <vt:lpwstr>https://web.acma.gov.au/rrl/browse_licences.licence_list?pSV_ID=2&amp;pSS_ID=208</vt:lpwstr>
      </vt:variant>
      <vt:variant>
        <vt:lpwstr/>
      </vt:variant>
      <vt:variant>
        <vt:i4>262233</vt:i4>
      </vt:variant>
      <vt:variant>
        <vt:i4>243</vt:i4>
      </vt:variant>
      <vt:variant>
        <vt:i4>0</vt:i4>
      </vt:variant>
      <vt:variant>
        <vt:i4>5</vt:i4>
      </vt:variant>
      <vt:variant>
        <vt:lpwstr>https://web.acma.gov.au/rrl/browse_licences.licence_list?pSV_ID=2&amp;pSS_ID=207</vt:lpwstr>
      </vt:variant>
      <vt:variant>
        <vt:lpwstr/>
      </vt:variant>
      <vt:variant>
        <vt:i4>327769</vt:i4>
      </vt:variant>
      <vt:variant>
        <vt:i4>240</vt:i4>
      </vt:variant>
      <vt:variant>
        <vt:i4>0</vt:i4>
      </vt:variant>
      <vt:variant>
        <vt:i4>5</vt:i4>
      </vt:variant>
      <vt:variant>
        <vt:lpwstr>https://web.acma.gov.au/rrl/browse_licences.licence_list?pSV_ID=2&amp;pSS_ID=206</vt:lpwstr>
      </vt:variant>
      <vt:variant>
        <vt:lpwstr/>
      </vt:variant>
      <vt:variant>
        <vt:i4>393305</vt:i4>
      </vt:variant>
      <vt:variant>
        <vt:i4>237</vt:i4>
      </vt:variant>
      <vt:variant>
        <vt:i4>0</vt:i4>
      </vt:variant>
      <vt:variant>
        <vt:i4>5</vt:i4>
      </vt:variant>
      <vt:variant>
        <vt:lpwstr>https://web.acma.gov.au/rrl/browse_licences.licence_list?pSV_ID=2&amp;pSS_ID=205</vt:lpwstr>
      </vt:variant>
      <vt:variant>
        <vt:lpwstr/>
      </vt:variant>
      <vt:variant>
        <vt:i4>458841</vt:i4>
      </vt:variant>
      <vt:variant>
        <vt:i4>234</vt:i4>
      </vt:variant>
      <vt:variant>
        <vt:i4>0</vt:i4>
      </vt:variant>
      <vt:variant>
        <vt:i4>5</vt:i4>
      </vt:variant>
      <vt:variant>
        <vt:lpwstr>https://web.acma.gov.au/rrl/browse_licences.licence_list?pSV_ID=2&amp;pSS_ID=204</vt:lpwstr>
      </vt:variant>
      <vt:variant>
        <vt:lpwstr/>
      </vt:variant>
      <vt:variant>
        <vt:i4>89</vt:i4>
      </vt:variant>
      <vt:variant>
        <vt:i4>231</vt:i4>
      </vt:variant>
      <vt:variant>
        <vt:i4>0</vt:i4>
      </vt:variant>
      <vt:variant>
        <vt:i4>5</vt:i4>
      </vt:variant>
      <vt:variant>
        <vt:lpwstr>https://web.acma.gov.au/rrl/browse_licences.licence_list?pSV_ID=2&amp;pSS_ID=203</vt:lpwstr>
      </vt:variant>
      <vt:variant>
        <vt:lpwstr/>
      </vt:variant>
      <vt:variant>
        <vt:i4>65625</vt:i4>
      </vt:variant>
      <vt:variant>
        <vt:i4>228</vt:i4>
      </vt:variant>
      <vt:variant>
        <vt:i4>0</vt:i4>
      </vt:variant>
      <vt:variant>
        <vt:i4>5</vt:i4>
      </vt:variant>
      <vt:variant>
        <vt:lpwstr>https://web.acma.gov.au/rrl/browse_licences.licence_list?pSV_ID=2&amp;pSS_ID=202</vt:lpwstr>
      </vt:variant>
      <vt:variant>
        <vt:lpwstr/>
      </vt:variant>
      <vt:variant>
        <vt:i4>131161</vt:i4>
      </vt:variant>
      <vt:variant>
        <vt:i4>225</vt:i4>
      </vt:variant>
      <vt:variant>
        <vt:i4>0</vt:i4>
      </vt:variant>
      <vt:variant>
        <vt:i4>5</vt:i4>
      </vt:variant>
      <vt:variant>
        <vt:lpwstr>https://web.acma.gov.au/rrl/browse_licences.licence_list?pSV_ID=2&amp;pSS_ID=201</vt:lpwstr>
      </vt:variant>
      <vt:variant>
        <vt:lpwstr/>
      </vt:variant>
      <vt:variant>
        <vt:i4>196697</vt:i4>
      </vt:variant>
      <vt:variant>
        <vt:i4>222</vt:i4>
      </vt:variant>
      <vt:variant>
        <vt:i4>0</vt:i4>
      </vt:variant>
      <vt:variant>
        <vt:i4>5</vt:i4>
      </vt:variant>
      <vt:variant>
        <vt:lpwstr>https://web.acma.gov.au/rrl/browse_licences.licence_list?pSV_ID=2&amp;pSS_ID=200</vt:lpwstr>
      </vt:variant>
      <vt:variant>
        <vt:lpwstr/>
      </vt:variant>
      <vt:variant>
        <vt:i4>3670118</vt:i4>
      </vt:variant>
      <vt:variant>
        <vt:i4>219</vt:i4>
      </vt:variant>
      <vt:variant>
        <vt:i4>0</vt:i4>
      </vt:variant>
      <vt:variant>
        <vt:i4>5</vt:i4>
      </vt:variant>
      <vt:variant>
        <vt:lpwstr>https://web.acma.gov.au/rrl/browse_licences.licence_list?pSV_ID=109&amp;pSS_ID=950</vt:lpwstr>
      </vt:variant>
      <vt:variant>
        <vt:lpwstr/>
      </vt:variant>
      <vt:variant>
        <vt:i4>589906</vt:i4>
      </vt:variant>
      <vt:variant>
        <vt:i4>216</vt:i4>
      </vt:variant>
      <vt:variant>
        <vt:i4>0</vt:i4>
      </vt:variant>
      <vt:variant>
        <vt:i4>5</vt:i4>
      </vt:variant>
      <vt:variant>
        <vt:lpwstr>https://web.acma.gov.au/rrl/browse_licences.licence_list?pSV_ID=9&amp;pSS_ID=901</vt:lpwstr>
      </vt:variant>
      <vt:variant>
        <vt:lpwstr/>
      </vt:variant>
      <vt:variant>
        <vt:i4>524370</vt:i4>
      </vt:variant>
      <vt:variant>
        <vt:i4>213</vt:i4>
      </vt:variant>
      <vt:variant>
        <vt:i4>0</vt:i4>
      </vt:variant>
      <vt:variant>
        <vt:i4>5</vt:i4>
      </vt:variant>
      <vt:variant>
        <vt:lpwstr>https://web.acma.gov.au/rrl/browse_licences.licence_list?pSV_ID=9&amp;pSS_ID=900</vt:lpwstr>
      </vt:variant>
      <vt:variant>
        <vt:lpwstr/>
      </vt:variant>
      <vt:variant>
        <vt:i4>3407978</vt:i4>
      </vt:variant>
      <vt:variant>
        <vt:i4>210</vt:i4>
      </vt:variant>
      <vt:variant>
        <vt:i4>0</vt:i4>
      </vt:variant>
      <vt:variant>
        <vt:i4>5</vt:i4>
      </vt:variant>
      <vt:variant>
        <vt:lpwstr>https://web.acma.gov.au/rrl/browse_licences.licence_list?pSV_ID=165&amp;pSS_ID=655</vt:lpwstr>
      </vt:variant>
      <vt:variant>
        <vt:lpwstr/>
      </vt:variant>
      <vt:variant>
        <vt:i4>3670114</vt:i4>
      </vt:variant>
      <vt:variant>
        <vt:i4>207</vt:i4>
      </vt:variant>
      <vt:variant>
        <vt:i4>0</vt:i4>
      </vt:variant>
      <vt:variant>
        <vt:i4>5</vt:i4>
      </vt:variant>
      <vt:variant>
        <vt:lpwstr>https://web.acma.gov.au/rrl/browse_licences.licence_list?pSV_ID=65&amp;pSS_ID=650</vt:lpwstr>
      </vt:variant>
      <vt:variant>
        <vt:lpwstr/>
      </vt:variant>
      <vt:variant>
        <vt:i4>3866735</vt:i4>
      </vt:variant>
      <vt:variant>
        <vt:i4>204</vt:i4>
      </vt:variant>
      <vt:variant>
        <vt:i4>0</vt:i4>
      </vt:variant>
      <vt:variant>
        <vt:i4>5</vt:i4>
      </vt:variant>
      <vt:variant>
        <vt:lpwstr>https://web.acma.gov.au/rrl/browse_licences.licence_list?pSV_ID=93&amp;pSS_ID=409</vt:lpwstr>
      </vt:variant>
      <vt:variant>
        <vt:lpwstr/>
      </vt:variant>
      <vt:variant>
        <vt:i4>88</vt:i4>
      </vt:variant>
      <vt:variant>
        <vt:i4>201</vt:i4>
      </vt:variant>
      <vt:variant>
        <vt:i4>0</vt:i4>
      </vt:variant>
      <vt:variant>
        <vt:i4>5</vt:i4>
      </vt:variant>
      <vt:variant>
        <vt:lpwstr>https://web.acma.gov.au/rrl/browse_licences.licence_list?pSV_ID=1&amp;pSS_ID=120</vt:lpwstr>
      </vt:variant>
      <vt:variant>
        <vt:lpwstr/>
      </vt:variant>
      <vt:variant>
        <vt:i4>589915</vt:i4>
      </vt:variant>
      <vt:variant>
        <vt:i4>198</vt:i4>
      </vt:variant>
      <vt:variant>
        <vt:i4>0</vt:i4>
      </vt:variant>
      <vt:variant>
        <vt:i4>5</vt:i4>
      </vt:variant>
      <vt:variant>
        <vt:lpwstr>https://web.acma.gov.au/rrl/browse_licences.licence_list?pSV_ID=1&amp;pSS_ID=119</vt:lpwstr>
      </vt:variant>
      <vt:variant>
        <vt:lpwstr/>
      </vt:variant>
      <vt:variant>
        <vt:i4>458843</vt:i4>
      </vt:variant>
      <vt:variant>
        <vt:i4>195</vt:i4>
      </vt:variant>
      <vt:variant>
        <vt:i4>0</vt:i4>
      </vt:variant>
      <vt:variant>
        <vt:i4>5</vt:i4>
      </vt:variant>
      <vt:variant>
        <vt:lpwstr>https://web.acma.gov.au/rrl/browse_licences.licence_list?pSV_ID=1&amp;pSS_ID=117</vt:lpwstr>
      </vt:variant>
      <vt:variant>
        <vt:lpwstr/>
      </vt:variant>
      <vt:variant>
        <vt:i4>393307</vt:i4>
      </vt:variant>
      <vt:variant>
        <vt:i4>192</vt:i4>
      </vt:variant>
      <vt:variant>
        <vt:i4>0</vt:i4>
      </vt:variant>
      <vt:variant>
        <vt:i4>5</vt:i4>
      </vt:variant>
      <vt:variant>
        <vt:lpwstr>https://web.acma.gov.au/rrl/browse_licences.licence_list?pSV_ID=1&amp;pSS_ID=116</vt:lpwstr>
      </vt:variant>
      <vt:variant>
        <vt:lpwstr/>
      </vt:variant>
      <vt:variant>
        <vt:i4>458842</vt:i4>
      </vt:variant>
      <vt:variant>
        <vt:i4>189</vt:i4>
      </vt:variant>
      <vt:variant>
        <vt:i4>0</vt:i4>
      </vt:variant>
      <vt:variant>
        <vt:i4>5</vt:i4>
      </vt:variant>
      <vt:variant>
        <vt:lpwstr>https://web.acma.gov.au/rrl/browse_licences.licence_list?pSV_ID=1&amp;pSS_ID=107</vt:lpwstr>
      </vt:variant>
      <vt:variant>
        <vt:lpwstr/>
      </vt:variant>
      <vt:variant>
        <vt:i4>524379</vt:i4>
      </vt:variant>
      <vt:variant>
        <vt:i4>186</vt:i4>
      </vt:variant>
      <vt:variant>
        <vt:i4>0</vt:i4>
      </vt:variant>
      <vt:variant>
        <vt:i4>5</vt:i4>
      </vt:variant>
      <vt:variant>
        <vt:lpwstr>https://web.acma.gov.au/rrl/browse_licences.licence_list?pSV_ID=1&amp;pSS_ID=118</vt:lpwstr>
      </vt:variant>
      <vt:variant>
        <vt:lpwstr/>
      </vt:variant>
      <vt:variant>
        <vt:i4>327770</vt:i4>
      </vt:variant>
      <vt:variant>
        <vt:i4>183</vt:i4>
      </vt:variant>
      <vt:variant>
        <vt:i4>0</vt:i4>
      </vt:variant>
      <vt:variant>
        <vt:i4>5</vt:i4>
      </vt:variant>
      <vt:variant>
        <vt:lpwstr>https://web.acma.gov.au/rrl/browse_licences.licence_list?pSV_ID=1&amp;pSS_ID=105</vt:lpwstr>
      </vt:variant>
      <vt:variant>
        <vt:lpwstr/>
      </vt:variant>
      <vt:variant>
        <vt:i4>393306</vt:i4>
      </vt:variant>
      <vt:variant>
        <vt:i4>180</vt:i4>
      </vt:variant>
      <vt:variant>
        <vt:i4>0</vt:i4>
      </vt:variant>
      <vt:variant>
        <vt:i4>5</vt:i4>
      </vt:variant>
      <vt:variant>
        <vt:lpwstr>https://web.acma.gov.au/rrl/browse_licences.licence_list?pSV_ID=1&amp;pSS_ID=106</vt:lpwstr>
      </vt:variant>
      <vt:variant>
        <vt:lpwstr/>
      </vt:variant>
      <vt:variant>
        <vt:i4>262234</vt:i4>
      </vt:variant>
      <vt:variant>
        <vt:i4>177</vt:i4>
      </vt:variant>
      <vt:variant>
        <vt:i4>0</vt:i4>
      </vt:variant>
      <vt:variant>
        <vt:i4>5</vt:i4>
      </vt:variant>
      <vt:variant>
        <vt:lpwstr>https://web.acma.gov.au/rrl/browse_licences.licence_list?pSV_ID=1&amp;pSS_ID=104</vt:lpwstr>
      </vt:variant>
      <vt:variant>
        <vt:lpwstr/>
      </vt:variant>
      <vt:variant>
        <vt:i4>131162</vt:i4>
      </vt:variant>
      <vt:variant>
        <vt:i4>174</vt:i4>
      </vt:variant>
      <vt:variant>
        <vt:i4>0</vt:i4>
      </vt:variant>
      <vt:variant>
        <vt:i4>5</vt:i4>
      </vt:variant>
      <vt:variant>
        <vt:lpwstr>https://web.acma.gov.au/rrl/browse_licences.licence_list?pSV_ID=1&amp;pSS_ID=102</vt:lpwstr>
      </vt:variant>
      <vt:variant>
        <vt:lpwstr/>
      </vt:variant>
      <vt:variant>
        <vt:i4>65626</vt:i4>
      </vt:variant>
      <vt:variant>
        <vt:i4>171</vt:i4>
      </vt:variant>
      <vt:variant>
        <vt:i4>0</vt:i4>
      </vt:variant>
      <vt:variant>
        <vt:i4>5</vt:i4>
      </vt:variant>
      <vt:variant>
        <vt:lpwstr>https://web.acma.gov.au/rrl/browse_licences.licence_list?pSV_ID=1&amp;pSS_ID=101</vt:lpwstr>
      </vt:variant>
      <vt:variant>
        <vt:lpwstr/>
      </vt:variant>
      <vt:variant>
        <vt:i4>262235</vt:i4>
      </vt:variant>
      <vt:variant>
        <vt:i4>168</vt:i4>
      </vt:variant>
      <vt:variant>
        <vt:i4>0</vt:i4>
      </vt:variant>
      <vt:variant>
        <vt:i4>5</vt:i4>
      </vt:variant>
      <vt:variant>
        <vt:lpwstr>https://web.acma.gov.au/rrl/browse_licences.licence_list?pSV_ID=1&amp;pSS_ID=114</vt:lpwstr>
      </vt:variant>
      <vt:variant>
        <vt:lpwstr/>
      </vt:variant>
      <vt:variant>
        <vt:i4>91</vt:i4>
      </vt:variant>
      <vt:variant>
        <vt:i4>165</vt:i4>
      </vt:variant>
      <vt:variant>
        <vt:i4>0</vt:i4>
      </vt:variant>
      <vt:variant>
        <vt:i4>5</vt:i4>
      </vt:variant>
      <vt:variant>
        <vt:lpwstr>https://web.acma.gov.au/rrl/browse_licences.licence_list?pSV_ID=1&amp;pSS_ID=110</vt:lpwstr>
      </vt:variant>
      <vt:variant>
        <vt:lpwstr/>
      </vt:variant>
      <vt:variant>
        <vt:i4>589914</vt:i4>
      </vt:variant>
      <vt:variant>
        <vt:i4>162</vt:i4>
      </vt:variant>
      <vt:variant>
        <vt:i4>0</vt:i4>
      </vt:variant>
      <vt:variant>
        <vt:i4>5</vt:i4>
      </vt:variant>
      <vt:variant>
        <vt:lpwstr>https://web.acma.gov.au/rrl/browse_licences.licence_list?pSV_ID=1&amp;pSS_ID=109</vt:lpwstr>
      </vt:variant>
      <vt:variant>
        <vt:lpwstr/>
      </vt:variant>
      <vt:variant>
        <vt:i4>524378</vt:i4>
      </vt:variant>
      <vt:variant>
        <vt:i4>159</vt:i4>
      </vt:variant>
      <vt:variant>
        <vt:i4>0</vt:i4>
      </vt:variant>
      <vt:variant>
        <vt:i4>5</vt:i4>
      </vt:variant>
      <vt:variant>
        <vt:lpwstr>https://web.acma.gov.au/rrl/browse_licences.licence_list?pSV_ID=1&amp;pSS_ID=108</vt:lpwstr>
      </vt:variant>
      <vt:variant>
        <vt:lpwstr/>
      </vt:variant>
      <vt:variant>
        <vt:i4>196699</vt:i4>
      </vt:variant>
      <vt:variant>
        <vt:i4>156</vt:i4>
      </vt:variant>
      <vt:variant>
        <vt:i4>0</vt:i4>
      </vt:variant>
      <vt:variant>
        <vt:i4>5</vt:i4>
      </vt:variant>
      <vt:variant>
        <vt:lpwstr>https://web.acma.gov.au/rrl/browse_licences.licence_list?pSV_ID=1&amp;pSS_ID=113</vt:lpwstr>
      </vt:variant>
      <vt:variant>
        <vt:lpwstr/>
      </vt:variant>
      <vt:variant>
        <vt:i4>196701</vt:i4>
      </vt:variant>
      <vt:variant>
        <vt:i4>153</vt:i4>
      </vt:variant>
      <vt:variant>
        <vt:i4>0</vt:i4>
      </vt:variant>
      <vt:variant>
        <vt:i4>5</vt:i4>
      </vt:variant>
      <vt:variant>
        <vt:lpwstr>https://web.acma.gov.au/rrl/browse_licences.licence_list?pSV_ID=6&amp;pSS_ID=604</vt:lpwstr>
      </vt:variant>
      <vt:variant>
        <vt:lpwstr/>
      </vt:variant>
      <vt:variant>
        <vt:i4>262237</vt:i4>
      </vt:variant>
      <vt:variant>
        <vt:i4>150</vt:i4>
      </vt:variant>
      <vt:variant>
        <vt:i4>0</vt:i4>
      </vt:variant>
      <vt:variant>
        <vt:i4>5</vt:i4>
      </vt:variant>
      <vt:variant>
        <vt:lpwstr>https://web.acma.gov.au/rrl/browse_licences.licence_list?pSV_ID=6&amp;pSS_ID=603</vt:lpwstr>
      </vt:variant>
      <vt:variant>
        <vt:lpwstr/>
      </vt:variant>
      <vt:variant>
        <vt:i4>327773</vt:i4>
      </vt:variant>
      <vt:variant>
        <vt:i4>147</vt:i4>
      </vt:variant>
      <vt:variant>
        <vt:i4>0</vt:i4>
      </vt:variant>
      <vt:variant>
        <vt:i4>5</vt:i4>
      </vt:variant>
      <vt:variant>
        <vt:lpwstr>https://web.acma.gov.au/rrl/browse_licences.licence_list?pSV_ID=6&amp;pSS_ID=602</vt:lpwstr>
      </vt:variant>
      <vt:variant>
        <vt:lpwstr/>
      </vt:variant>
      <vt:variant>
        <vt:i4>393309</vt:i4>
      </vt:variant>
      <vt:variant>
        <vt:i4>144</vt:i4>
      </vt:variant>
      <vt:variant>
        <vt:i4>0</vt:i4>
      </vt:variant>
      <vt:variant>
        <vt:i4>5</vt:i4>
      </vt:variant>
      <vt:variant>
        <vt:lpwstr>https://web.acma.gov.au/rrl/browse_licences.licence_list?pSV_ID=6&amp;pSS_ID=601</vt:lpwstr>
      </vt:variant>
      <vt:variant>
        <vt:lpwstr/>
      </vt:variant>
      <vt:variant>
        <vt:i4>458845</vt:i4>
      </vt:variant>
      <vt:variant>
        <vt:i4>141</vt:i4>
      </vt:variant>
      <vt:variant>
        <vt:i4>0</vt:i4>
      </vt:variant>
      <vt:variant>
        <vt:i4>5</vt:i4>
      </vt:variant>
      <vt:variant>
        <vt:lpwstr>https://web.acma.gov.au/rrl/browse_licences.licence_list?pSV_ID=6&amp;pSS_ID=600</vt:lpwstr>
      </vt:variant>
      <vt:variant>
        <vt:lpwstr/>
      </vt:variant>
      <vt:variant>
        <vt:i4>3670114</vt:i4>
      </vt:variant>
      <vt:variant>
        <vt:i4>138</vt:i4>
      </vt:variant>
      <vt:variant>
        <vt:i4>0</vt:i4>
      </vt:variant>
      <vt:variant>
        <vt:i4>5</vt:i4>
      </vt:variant>
      <vt:variant>
        <vt:lpwstr>https://web.acma.gov.au/rrl/browse_licences.licence_list?pSV_ID=66&amp;pSS_ID=660</vt:lpwstr>
      </vt:variant>
      <vt:variant>
        <vt:lpwstr/>
      </vt:variant>
      <vt:variant>
        <vt:i4>589907</vt:i4>
      </vt:variant>
      <vt:variant>
        <vt:i4>135</vt:i4>
      </vt:variant>
      <vt:variant>
        <vt:i4>0</vt:i4>
      </vt:variant>
      <vt:variant>
        <vt:i4>5</vt:i4>
      </vt:variant>
      <vt:variant>
        <vt:lpwstr>https://web.acma.gov.au/rrl/browse_licences.licence_list?pSV_ID=8&amp;pSS_ID=800</vt:lpwstr>
      </vt:variant>
      <vt:variant>
        <vt:lpwstr/>
      </vt:variant>
      <vt:variant>
        <vt:i4>2162742</vt:i4>
      </vt:variant>
      <vt:variant>
        <vt:i4>132</vt:i4>
      </vt:variant>
      <vt:variant>
        <vt:i4>0</vt:i4>
      </vt:variant>
      <vt:variant>
        <vt:i4>5</vt:i4>
      </vt:variant>
      <vt:variant>
        <vt:lpwstr>https://www.acma.gov.au/apparatus-licences</vt:lpwstr>
      </vt:variant>
      <vt:variant>
        <vt:lpwstr/>
      </vt:variant>
      <vt:variant>
        <vt:i4>327769</vt:i4>
      </vt:variant>
      <vt:variant>
        <vt:i4>129</vt:i4>
      </vt:variant>
      <vt:variant>
        <vt:i4>0</vt:i4>
      </vt:variant>
      <vt:variant>
        <vt:i4>5</vt:i4>
      </vt:variant>
      <vt:variant>
        <vt:lpwstr>https://www.acma.gov.au/consultations/2020-12/response-implementation-spectrum-pricing-review-consultation-392020</vt:lpwstr>
      </vt:variant>
      <vt:variant>
        <vt:lpwstr/>
      </vt:variant>
      <vt:variant>
        <vt:i4>1376270</vt:i4>
      </vt:variant>
      <vt:variant>
        <vt:i4>126</vt:i4>
      </vt:variant>
      <vt:variant>
        <vt:i4>0</vt:i4>
      </vt:variant>
      <vt:variant>
        <vt:i4>5</vt:i4>
      </vt:variant>
      <vt:variant>
        <vt:lpwstr>https://www.communications.gov.au/file/34821/download?token=7jbYg1eg</vt:lpwstr>
      </vt:variant>
      <vt:variant>
        <vt:lpwstr/>
      </vt:variant>
      <vt:variant>
        <vt:i4>7536676</vt:i4>
      </vt:variant>
      <vt:variant>
        <vt:i4>123</vt:i4>
      </vt:variant>
      <vt:variant>
        <vt:i4>0</vt:i4>
      </vt:variant>
      <vt:variant>
        <vt:i4>5</vt:i4>
      </vt:variant>
      <vt:variant>
        <vt:lpwstr>https://www.legislation.gov.au/Details/F2021C00512</vt:lpwstr>
      </vt:variant>
      <vt:variant>
        <vt:lpwstr/>
      </vt:variant>
      <vt:variant>
        <vt:i4>8257568</vt:i4>
      </vt:variant>
      <vt:variant>
        <vt:i4>120</vt:i4>
      </vt:variant>
      <vt:variant>
        <vt:i4>0</vt:i4>
      </vt:variant>
      <vt:variant>
        <vt:i4>5</vt:i4>
      </vt:variant>
      <vt:variant>
        <vt:lpwstr>https://www.legislation.gov.au/Details/F2022C00158</vt:lpwstr>
      </vt:variant>
      <vt:variant>
        <vt:lpwstr/>
      </vt:variant>
      <vt:variant>
        <vt:i4>327759</vt:i4>
      </vt:variant>
      <vt:variant>
        <vt:i4>117</vt:i4>
      </vt:variant>
      <vt:variant>
        <vt:i4>0</vt:i4>
      </vt:variant>
      <vt:variant>
        <vt:i4>5</vt:i4>
      </vt:variant>
      <vt:variant>
        <vt:lpwstr>https://www.acma.gov.au/consultations/2021-10/response-implementation-spectrum-pricing-review-part-2-consultation-382021</vt:lpwstr>
      </vt:variant>
      <vt:variant>
        <vt:lpwstr/>
      </vt:variant>
      <vt:variant>
        <vt:i4>327769</vt:i4>
      </vt:variant>
      <vt:variant>
        <vt:i4>114</vt:i4>
      </vt:variant>
      <vt:variant>
        <vt:i4>0</vt:i4>
      </vt:variant>
      <vt:variant>
        <vt:i4>5</vt:i4>
      </vt:variant>
      <vt:variant>
        <vt:lpwstr>https://www.acma.gov.au/consultations/2020-12/response-implementation-spectrum-pricing-review-consultation-392020</vt:lpwstr>
      </vt:variant>
      <vt:variant>
        <vt:lpwstr/>
      </vt:variant>
      <vt:variant>
        <vt:i4>3014717</vt:i4>
      </vt:variant>
      <vt:variant>
        <vt:i4>111</vt:i4>
      </vt:variant>
      <vt:variant>
        <vt:i4>0</vt:i4>
      </vt:variant>
      <vt:variant>
        <vt:i4>5</vt:i4>
      </vt:variant>
      <vt:variant>
        <vt:lpwstr>https://www.communications.gov.au/documents/spectrum-pricing-review</vt:lpwstr>
      </vt:variant>
      <vt:variant>
        <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5505105</vt:i4>
      </vt:variant>
      <vt:variant>
        <vt:i4>9</vt:i4>
      </vt:variant>
      <vt:variant>
        <vt:i4>0</vt:i4>
      </vt:variant>
      <vt:variant>
        <vt:i4>5</vt:i4>
      </vt:variant>
      <vt:variant>
        <vt:lpwstr>https://www.acma.gov.au/publications/2019-09/instruction/rali-lm8-land-mobile-service</vt:lpwstr>
      </vt:variant>
      <vt:variant>
        <vt:lpwstr/>
      </vt:variant>
      <vt:variant>
        <vt:i4>2162742</vt:i4>
      </vt:variant>
      <vt:variant>
        <vt:i4>6</vt:i4>
      </vt:variant>
      <vt:variant>
        <vt:i4>0</vt:i4>
      </vt:variant>
      <vt:variant>
        <vt:i4>5</vt:i4>
      </vt:variant>
      <vt:variant>
        <vt:lpwstr>https://www.acma.gov.au/apparatus-licences</vt:lpwstr>
      </vt:variant>
      <vt:variant>
        <vt:lpwstr/>
      </vt:variant>
      <vt:variant>
        <vt:i4>458772</vt:i4>
      </vt:variant>
      <vt:variant>
        <vt:i4>3</vt:i4>
      </vt:variant>
      <vt:variant>
        <vt:i4>0</vt:i4>
      </vt:variant>
      <vt:variant>
        <vt:i4>5</vt:i4>
      </vt:variant>
      <vt:variant>
        <vt:lpwstr>https://www.acma.gov.au/publications/2020-06/guide/apparatus-licence-fee-schedule</vt:lpwstr>
      </vt:variant>
      <vt:variant>
        <vt:lpwstr/>
      </vt:variant>
      <vt:variant>
        <vt:i4>458772</vt:i4>
      </vt:variant>
      <vt:variant>
        <vt:i4>0</vt:i4>
      </vt:variant>
      <vt:variant>
        <vt:i4>0</vt:i4>
      </vt:variant>
      <vt:variant>
        <vt:i4>5</vt:i4>
      </vt:variant>
      <vt:variant>
        <vt:lpwstr>https://www.acma.gov.au/publications/2020-06/guide/apparatus-licence-fee-schedule</vt:lpwstr>
      </vt:variant>
      <vt:variant>
        <vt:lpwstr/>
      </vt:variant>
      <vt:variant>
        <vt:i4>4128816</vt:i4>
      </vt:variant>
      <vt:variant>
        <vt:i4>0</vt:i4>
      </vt:variant>
      <vt:variant>
        <vt:i4>0</vt:i4>
      </vt:variant>
      <vt:variant>
        <vt:i4>5</vt:i4>
      </vt:variant>
      <vt:variant>
        <vt:lpwstr>https://www.acma.gov.au/five-year-spectrum-outlook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2022-07-18T01:21:00Z</dcterms:created>
  <dcterms:modified xsi:type="dcterms:W3CDTF">2022-07-18T01:28:00Z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0x0101009CA239676470E04B809DDC4E24CF2322</vt:lpwstr>
  </property>
  <property fmtid="{D5CDD505-2E9C-101B-9397-08002B2CF9AE}" pid="4" name="_dlc_DocIdItemGuid">
    <vt:lpwstr>6f65d5d5-2e81-44f8-b2a6-ac925d40cbbb</vt:lpwstr>
  </property>
</Properties>
</file>