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35612" w14:textId="77777777" w:rsidR="00C47C54" w:rsidRDefault="00C47C54" w:rsidP="00ED3CD3">
      <w:bookmarkStart w:id="0" w:name="_GoBack"/>
      <w:bookmarkEnd w:id="0"/>
    </w:p>
    <w:p w14:paraId="7519957A" w14:textId="19554035" w:rsidR="00C47C54" w:rsidRPr="00694C76" w:rsidRDefault="00B6214D" w:rsidP="00694C76">
      <w:pPr>
        <w:pStyle w:val="CoverLine"/>
      </w:pPr>
      <w:r w:rsidRPr="008A3584">
        <w:rPr>
          <w:noProof/>
          <w:lang w:eastAsia="en-AU"/>
        </w:rPr>
        <mc:AlternateContent>
          <mc:Choice Requires="wps">
            <w:drawing>
              <wp:anchor distT="0" distB="0" distL="114300" distR="114300" simplePos="0" relativeHeight="251658241" behindDoc="0" locked="0" layoutInCell="1" allowOverlap="1" wp14:anchorId="21EB32FD" wp14:editId="570FE6B4">
                <wp:simplePos x="0" y="0"/>
                <wp:positionH relativeFrom="page">
                  <wp:posOffset>648335</wp:posOffset>
                </wp:positionH>
                <wp:positionV relativeFrom="paragraph">
                  <wp:posOffset>1223645</wp:posOffset>
                </wp:positionV>
                <wp:extent cx="2383200" cy="691200"/>
                <wp:effectExtent l="0" t="0" r="16510" b="13970"/>
                <wp:wrapNone/>
                <wp:docPr id="12" name="Rectangle 12" descr="Background shape" title="Background shape"/>
                <wp:cNvGraphicFramePr/>
                <a:graphic xmlns:a="http://schemas.openxmlformats.org/drawingml/2006/main">
                  <a:graphicData uri="http://schemas.microsoft.com/office/word/2010/wordprocessingShape">
                    <wps:wsp>
                      <wps:cNvSpPr/>
                      <wps:spPr>
                        <a:xfrm>
                          <a:off x="0" y="0"/>
                          <a:ext cx="2383200" cy="69120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E69ABE" w14:textId="16D6641B" w:rsidR="00464991" w:rsidRPr="00694C76" w:rsidRDefault="00464991" w:rsidP="00B6214D">
                            <w:pPr>
                              <w:pStyle w:val="Title"/>
                            </w:pPr>
                            <w:r>
                              <w:t>Discussion Paper</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1EB32FD" id="Rectangle 12" o:spid="_x0000_s1026" alt="Title: Background shape - Description: Background shape" style="position:absolute;left:0;text-align:left;margin-left:51.05pt;margin-top:96.35pt;width:187.65pt;height:54.45pt;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" filled="f" stroked="f" strokeweight=".25pt">
                <v:textbox style="mso-fit-shape-to-text:t" inset="0,0,0,0">
                  <w:txbxContent>
                    <w:p w14:paraId="77E69ABE" w14:textId="16D6641B" w:rsidR="00464991" w:rsidRPr="00694C76" w:rsidRDefault="00464991" w:rsidP="00B6214D">
                      <w:pPr>
                        <w:pStyle w:val="Title"/>
                      </w:pPr>
                      <w:r>
                        <w:t>Discussion Paper</w:t>
                      </w:r>
                    </w:p>
                  </w:txbxContent>
                </v:textbox>
                <w10:wrap anchorx="page"/>
              </v:rect>
            </w:pict>
          </mc:Fallback>
        </mc:AlternateContent>
      </w:r>
      <w:r w:rsidR="002871DF">
        <w:t>Discussion Paper</w:t>
      </w:r>
      <w:r w:rsidR="00FE110C" w:rsidRPr="008A3584">
        <w:rPr>
          <w:noProof/>
          <w:lang w:eastAsia="en-AU"/>
        </w:rPr>
        <mc:AlternateContent>
          <mc:Choice Requires="wps">
            <w:drawing>
              <wp:anchor distT="0" distB="0" distL="114300" distR="114300" simplePos="0" relativeHeight="251658240" behindDoc="1" locked="0" layoutInCell="1" allowOverlap="1" wp14:anchorId="18127C95" wp14:editId="184216E7">
                <wp:simplePos x="0" y="0"/>
                <wp:positionH relativeFrom="margin">
                  <wp:posOffset>-914400</wp:posOffset>
                </wp:positionH>
                <wp:positionV relativeFrom="margin">
                  <wp:posOffset>1019175</wp:posOffset>
                </wp:positionV>
                <wp:extent cx="6674400" cy="3045600"/>
                <wp:effectExtent l="0" t="0" r="0" b="3175"/>
                <wp:wrapNone/>
                <wp:docPr id="6" name="Rectangle 6" descr="Background shape" title="Background shape"/>
                <wp:cNvGraphicFramePr/>
                <a:graphic xmlns:a="http://schemas.openxmlformats.org/drawingml/2006/main">
                  <a:graphicData uri="http://schemas.microsoft.com/office/word/2010/wordprocessingShape">
                    <wps:wsp>
                      <wps:cNvSpPr/>
                      <wps:spPr>
                        <a:xfrm>
                          <a:off x="0" y="0"/>
                          <a:ext cx="6674400" cy="3045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9047D6" w14:textId="2FACF582" w:rsidR="00464991" w:rsidRDefault="00464991" w:rsidP="00FE110C">
                            <w:pPr>
                              <w:pStyle w:val="PaperTitle"/>
                            </w:pPr>
                            <w:r>
                              <w:t>Revisions to</w:t>
                            </w:r>
                            <w:r w:rsidRPr="002871DF">
                              <w:t xml:space="preserve"> APS 111 Capital Adequacy: Measurement of Capital</w:t>
                            </w:r>
                          </w:p>
                          <w:p w14:paraId="2520D36E" w14:textId="4927931E" w:rsidR="00464991" w:rsidRPr="00FE110C" w:rsidRDefault="00464991" w:rsidP="00FE110C">
                            <w:pPr>
                              <w:pStyle w:val="CoverDate"/>
                            </w:pPr>
                            <w:r>
                              <w:t>15 October 2019</w:t>
                            </w:r>
                          </w:p>
                        </w:txbxContent>
                      </wps:txbx>
                      <wps:bodyPr rot="0" spcFirstLastPara="0" vertOverflow="overflow" horzOverflow="overflow" vert="horz" wrap="square" lIns="648000" tIns="45720" rIns="288000" bIns="360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127C95" id="Rectangle 6" o:spid="_x0000_s1027" alt="Title: Background shape - Description: Background shape" style="position:absolute;left:0;text-align:left;margin-left:-1in;margin-top:80.25pt;width:525.55pt;height:239.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" fillcolor="white [3212]" stroked="f" strokeweight="2pt">
                <v:textbox style="mso-fit-shape-to-text:t" inset="18mm,,8mm,10mm">
                  <w:txbxContent>
                    <w:p w14:paraId="679047D6" w14:textId="2FACF582" w:rsidR="00464991" w:rsidRDefault="00464991" w:rsidP="00FE110C">
                      <w:pPr>
                        <w:pStyle w:val="PaperTitle"/>
                      </w:pPr>
                      <w:r>
                        <w:t>Revisions to</w:t>
                      </w:r>
                      <w:r w:rsidRPr="002871DF">
                        <w:t xml:space="preserve"> APS 111 Capital Adequacy: Measurement of Capital</w:t>
                      </w:r>
                    </w:p>
                    <w:p w14:paraId="2520D36E" w14:textId="4927931E" w:rsidR="00464991" w:rsidRPr="00FE110C" w:rsidRDefault="00464991" w:rsidP="00FE110C">
                      <w:pPr>
                        <w:pStyle w:val="CoverDate"/>
                      </w:pPr>
                      <w:r>
                        <w:t>15 October 2019</w:t>
                      </w:r>
                    </w:p>
                  </w:txbxContent>
                </v:textbox>
                <w10:wrap anchorx="margin" anchory="margin"/>
              </v:rect>
            </w:pict>
          </mc:Fallback>
        </mc:AlternateContent>
      </w:r>
    </w:p>
    <w:p w14:paraId="71885836" w14:textId="77777777" w:rsidR="003B51A4" w:rsidRDefault="003B51A4" w:rsidP="00C47C54">
      <w:r>
        <w:br w:type="page"/>
      </w:r>
    </w:p>
    <w:p w14:paraId="16AD14C5" w14:textId="77777777" w:rsidR="003B51A4" w:rsidRPr="003B51A4" w:rsidRDefault="003B51A4" w:rsidP="00460E6B">
      <w:pPr>
        <w:pStyle w:val="DisclaimerHeading"/>
        <w:framePr w:wrap="around"/>
      </w:pPr>
      <w:r w:rsidRPr="008F1B07">
        <w:lastRenderedPageBreak/>
        <w:t>Disclaimer Text</w:t>
      </w:r>
    </w:p>
    <w:p w14:paraId="7CF90388" w14:textId="77777777" w:rsidR="008F3B15" w:rsidRDefault="008F3B15" w:rsidP="008F3B15">
      <w:pPr>
        <w:pStyle w:val="DisclaimerText"/>
        <w:framePr w:wrap="around"/>
      </w:pPr>
      <w:r>
        <w:t xml:space="preserve">While APRA endeavours to ensure the quality of this publication, it does not accept any responsibility for the accuracy, completeness or currency of the material included in this publication and will not be liable for any loss or damage arising out of any use of, or reliance on, this publication. </w:t>
      </w:r>
    </w:p>
    <w:p w14:paraId="78097130" w14:textId="77777777" w:rsidR="008F3B15" w:rsidRPr="008F3B15" w:rsidRDefault="008F3B15" w:rsidP="008F3B15">
      <w:pPr>
        <w:pStyle w:val="DisclaimerText"/>
        <w:framePr w:wrap="around"/>
        <w:rPr>
          <w:rStyle w:val="BoldCharacterDINOTMedium"/>
        </w:rPr>
      </w:pPr>
      <w:r w:rsidRPr="008F3B15">
        <w:rPr>
          <w:rStyle w:val="BoldCharacterDINOTMedium"/>
        </w:rPr>
        <w:t xml:space="preserve">© Australian Prudential Regulation Authority (APRA) </w:t>
      </w:r>
    </w:p>
    <w:p w14:paraId="3E3C2F69" w14:textId="23737D5E" w:rsidR="003B51A4" w:rsidRPr="003B51A4" w:rsidRDefault="008F3B15" w:rsidP="008F3B15">
      <w:pPr>
        <w:pStyle w:val="DisclaimerText"/>
        <w:framePr w:wrap="around"/>
      </w:pPr>
      <w:r>
        <w:t xml:space="preserve">This work is licensed under the Creative Commons Attribution 3.0 Australia Licence (CCBY 3.0). This licence allows you to copy, distribute and adapt this work, provided you attribute the work and do not suggest that APRA endorses you or your work. To view a full copy of the terms of this licence, visit </w:t>
      </w:r>
      <w:hyperlink r:id="rId8" w:history="1">
        <w:r w:rsidR="00515B31" w:rsidRPr="00A52B2C">
          <w:rPr>
            <w:rStyle w:val="Hyperlink"/>
          </w:rPr>
          <w:t>https://creativecommons.org/licenses/by/3.0/au/</w:t>
        </w:r>
      </w:hyperlink>
      <w:r w:rsidR="00515B31">
        <w:t xml:space="preserve"> </w:t>
      </w:r>
    </w:p>
    <w:p w14:paraId="25F3B1FA" w14:textId="77777777" w:rsidR="003B51A4" w:rsidRDefault="003B51A4" w:rsidP="003B51A4">
      <w:pPr>
        <w:tabs>
          <w:tab w:val="clear" w:pos="1492"/>
        </w:tabs>
        <w:rPr>
          <w:rFonts w:ascii="DIN Offc Medium" w:eastAsiaTheme="majorEastAsia" w:hAnsi="DIN Offc Medium" w:cstheme="majorBidi"/>
          <w:color w:val="012169" w:themeColor="text2"/>
          <w:sz w:val="90"/>
          <w:szCs w:val="52"/>
        </w:rPr>
      </w:pPr>
      <w:r>
        <w:br w:type="page"/>
      </w:r>
    </w:p>
    <w:p w14:paraId="10FF8DB4" w14:textId="77777777" w:rsidR="00C636DA" w:rsidRDefault="00C636DA" w:rsidP="00BD7B83">
      <w:pPr>
        <w:pStyle w:val="TOCHeading"/>
      </w:pPr>
      <w:r w:rsidRPr="00BD7B83">
        <w:lastRenderedPageBreak/>
        <w:t>Contents</w:t>
      </w:r>
    </w:p>
    <w:p w14:paraId="6592557C" w14:textId="77777777" w:rsidR="002C18A4" w:rsidRDefault="00664151">
      <w:pPr>
        <w:pStyle w:val="TOC1"/>
        <w:rPr>
          <w:rFonts w:asciiTheme="minorHAnsi" w:eastAsiaTheme="minorEastAsia" w:hAnsiTheme="minorHAnsi"/>
          <w:noProof/>
          <w:color w:val="auto"/>
          <w:lang w:eastAsia="en-AU"/>
        </w:rPr>
      </w:pPr>
      <w:r>
        <w:rPr>
          <w:noProof/>
          <w:lang w:val="en-US"/>
        </w:rPr>
        <w:fldChar w:fldCharType="begin"/>
      </w:r>
      <w:r>
        <w:rPr>
          <w:noProof/>
          <w:lang w:val="en-US"/>
        </w:rPr>
        <w:instrText xml:space="preserve"> TOC \o "1-2" \h \z \u </w:instrText>
      </w:r>
      <w:r>
        <w:rPr>
          <w:noProof/>
          <w:lang w:val="en-US"/>
        </w:rPr>
        <w:fldChar w:fldCharType="separate"/>
      </w:r>
      <w:hyperlink w:anchor="_Toc20405501" w:history="1">
        <w:r w:rsidR="002C18A4" w:rsidRPr="00613D04">
          <w:rPr>
            <w:rStyle w:val="Hyperlink"/>
            <w:noProof/>
          </w:rPr>
          <w:t>Executive summary</w:t>
        </w:r>
        <w:r w:rsidR="002C18A4">
          <w:rPr>
            <w:noProof/>
            <w:webHidden/>
          </w:rPr>
          <w:tab/>
        </w:r>
        <w:r w:rsidR="002C18A4">
          <w:rPr>
            <w:noProof/>
            <w:webHidden/>
          </w:rPr>
          <w:fldChar w:fldCharType="begin"/>
        </w:r>
        <w:r w:rsidR="002C18A4">
          <w:rPr>
            <w:noProof/>
            <w:webHidden/>
          </w:rPr>
          <w:instrText xml:space="preserve"> PAGEREF _Toc20405501 \h </w:instrText>
        </w:r>
        <w:r w:rsidR="002C18A4">
          <w:rPr>
            <w:noProof/>
            <w:webHidden/>
          </w:rPr>
        </w:r>
        <w:r w:rsidR="002C18A4">
          <w:rPr>
            <w:noProof/>
            <w:webHidden/>
          </w:rPr>
          <w:fldChar w:fldCharType="separate"/>
        </w:r>
        <w:r w:rsidR="00F82B2A">
          <w:rPr>
            <w:noProof/>
            <w:webHidden/>
          </w:rPr>
          <w:t>4</w:t>
        </w:r>
        <w:r w:rsidR="002C18A4">
          <w:rPr>
            <w:noProof/>
            <w:webHidden/>
          </w:rPr>
          <w:fldChar w:fldCharType="end"/>
        </w:r>
      </w:hyperlink>
    </w:p>
    <w:p w14:paraId="39E66FCE" w14:textId="77777777" w:rsidR="002C18A4" w:rsidRDefault="001467C5">
      <w:pPr>
        <w:pStyle w:val="TOC1"/>
        <w:rPr>
          <w:rFonts w:asciiTheme="minorHAnsi" w:eastAsiaTheme="minorEastAsia" w:hAnsiTheme="minorHAnsi"/>
          <w:noProof/>
          <w:color w:val="auto"/>
          <w:lang w:eastAsia="en-AU"/>
        </w:rPr>
      </w:pPr>
      <w:hyperlink w:anchor="_Toc20405502" w:history="1">
        <w:r w:rsidR="002C18A4" w:rsidRPr="00613D04">
          <w:rPr>
            <w:rStyle w:val="Hyperlink"/>
            <w:noProof/>
          </w:rPr>
          <w:t>Glossary</w:t>
        </w:r>
        <w:r w:rsidR="002C18A4">
          <w:rPr>
            <w:noProof/>
            <w:webHidden/>
          </w:rPr>
          <w:tab/>
        </w:r>
        <w:r w:rsidR="002C18A4">
          <w:rPr>
            <w:noProof/>
            <w:webHidden/>
          </w:rPr>
          <w:fldChar w:fldCharType="begin"/>
        </w:r>
        <w:r w:rsidR="002C18A4">
          <w:rPr>
            <w:noProof/>
            <w:webHidden/>
          </w:rPr>
          <w:instrText xml:space="preserve"> PAGEREF _Toc20405502 \h </w:instrText>
        </w:r>
        <w:r w:rsidR="002C18A4">
          <w:rPr>
            <w:noProof/>
            <w:webHidden/>
          </w:rPr>
        </w:r>
        <w:r w:rsidR="002C18A4">
          <w:rPr>
            <w:noProof/>
            <w:webHidden/>
          </w:rPr>
          <w:fldChar w:fldCharType="separate"/>
        </w:r>
        <w:r w:rsidR="00F82B2A">
          <w:rPr>
            <w:noProof/>
            <w:webHidden/>
          </w:rPr>
          <w:t>6</w:t>
        </w:r>
        <w:r w:rsidR="002C18A4">
          <w:rPr>
            <w:noProof/>
            <w:webHidden/>
          </w:rPr>
          <w:fldChar w:fldCharType="end"/>
        </w:r>
      </w:hyperlink>
    </w:p>
    <w:p w14:paraId="585C120B" w14:textId="77777777" w:rsidR="002C18A4" w:rsidRDefault="001467C5">
      <w:pPr>
        <w:pStyle w:val="TOC1"/>
        <w:rPr>
          <w:rFonts w:asciiTheme="minorHAnsi" w:eastAsiaTheme="minorEastAsia" w:hAnsiTheme="minorHAnsi"/>
          <w:noProof/>
          <w:color w:val="auto"/>
          <w:lang w:eastAsia="en-AU"/>
        </w:rPr>
      </w:pPr>
      <w:hyperlink w:anchor="_Toc20405503" w:history="1">
        <w:r w:rsidR="002C18A4" w:rsidRPr="00613D04">
          <w:rPr>
            <w:rStyle w:val="Hyperlink"/>
            <w:noProof/>
          </w:rPr>
          <w:t>Chapter 1 - Introduction</w:t>
        </w:r>
        <w:r w:rsidR="002C18A4">
          <w:rPr>
            <w:noProof/>
            <w:webHidden/>
          </w:rPr>
          <w:tab/>
        </w:r>
        <w:r w:rsidR="002C18A4">
          <w:rPr>
            <w:noProof/>
            <w:webHidden/>
          </w:rPr>
          <w:fldChar w:fldCharType="begin"/>
        </w:r>
        <w:r w:rsidR="002C18A4">
          <w:rPr>
            <w:noProof/>
            <w:webHidden/>
          </w:rPr>
          <w:instrText xml:space="preserve"> PAGEREF _Toc20405503 \h </w:instrText>
        </w:r>
        <w:r w:rsidR="002C18A4">
          <w:rPr>
            <w:noProof/>
            <w:webHidden/>
          </w:rPr>
        </w:r>
        <w:r w:rsidR="002C18A4">
          <w:rPr>
            <w:noProof/>
            <w:webHidden/>
          </w:rPr>
          <w:fldChar w:fldCharType="separate"/>
        </w:r>
        <w:r w:rsidR="00F82B2A">
          <w:rPr>
            <w:noProof/>
            <w:webHidden/>
          </w:rPr>
          <w:t>7</w:t>
        </w:r>
        <w:r w:rsidR="002C18A4">
          <w:rPr>
            <w:noProof/>
            <w:webHidden/>
          </w:rPr>
          <w:fldChar w:fldCharType="end"/>
        </w:r>
      </w:hyperlink>
    </w:p>
    <w:p w14:paraId="03B3F44E" w14:textId="02771840" w:rsidR="002C18A4" w:rsidRDefault="001467C5">
      <w:pPr>
        <w:pStyle w:val="TOC1"/>
        <w:rPr>
          <w:rFonts w:asciiTheme="minorHAnsi" w:eastAsiaTheme="minorEastAsia" w:hAnsiTheme="minorHAnsi"/>
          <w:noProof/>
          <w:color w:val="auto"/>
          <w:lang w:eastAsia="en-AU"/>
        </w:rPr>
      </w:pPr>
      <w:hyperlink w:anchor="_Toc20405507" w:history="1">
        <w:r w:rsidR="002C18A4" w:rsidRPr="00613D04">
          <w:rPr>
            <w:rStyle w:val="Hyperlink"/>
            <w:noProof/>
          </w:rPr>
          <w:t>Chapter 2 - Proposed policy changes to APS 111</w:t>
        </w:r>
        <w:r w:rsidR="002C18A4">
          <w:rPr>
            <w:noProof/>
            <w:webHidden/>
          </w:rPr>
          <w:tab/>
        </w:r>
        <w:r w:rsidR="002C18A4">
          <w:rPr>
            <w:noProof/>
            <w:webHidden/>
          </w:rPr>
          <w:fldChar w:fldCharType="begin"/>
        </w:r>
        <w:r w:rsidR="002C18A4">
          <w:rPr>
            <w:noProof/>
            <w:webHidden/>
          </w:rPr>
          <w:instrText xml:space="preserve"> PAGEREF _Toc20405507 \h </w:instrText>
        </w:r>
        <w:r w:rsidR="002C18A4">
          <w:rPr>
            <w:noProof/>
            <w:webHidden/>
          </w:rPr>
        </w:r>
        <w:r w:rsidR="002C18A4">
          <w:rPr>
            <w:noProof/>
            <w:webHidden/>
          </w:rPr>
          <w:fldChar w:fldCharType="separate"/>
        </w:r>
        <w:r w:rsidR="00F82B2A">
          <w:rPr>
            <w:noProof/>
            <w:webHidden/>
          </w:rPr>
          <w:t>11</w:t>
        </w:r>
        <w:r w:rsidR="002C18A4">
          <w:rPr>
            <w:noProof/>
            <w:webHidden/>
          </w:rPr>
          <w:fldChar w:fldCharType="end"/>
        </w:r>
      </w:hyperlink>
    </w:p>
    <w:p w14:paraId="173DD952" w14:textId="2DE9F085" w:rsidR="002C18A4" w:rsidRDefault="001467C5">
      <w:pPr>
        <w:pStyle w:val="TOC1"/>
        <w:rPr>
          <w:rFonts w:asciiTheme="minorHAnsi" w:eastAsiaTheme="minorEastAsia" w:hAnsiTheme="minorHAnsi"/>
          <w:noProof/>
          <w:color w:val="auto"/>
          <w:lang w:eastAsia="en-AU"/>
        </w:rPr>
      </w:pPr>
      <w:hyperlink w:anchor="_Toc20405513" w:history="1">
        <w:r w:rsidR="002C18A4" w:rsidRPr="00613D04">
          <w:rPr>
            <w:rStyle w:val="Hyperlink"/>
            <w:noProof/>
          </w:rPr>
          <w:t>Chapter 3 - Other policy issues</w:t>
        </w:r>
        <w:r w:rsidR="002C18A4">
          <w:rPr>
            <w:noProof/>
            <w:webHidden/>
          </w:rPr>
          <w:tab/>
        </w:r>
        <w:r w:rsidR="002C18A4">
          <w:rPr>
            <w:noProof/>
            <w:webHidden/>
          </w:rPr>
          <w:fldChar w:fldCharType="begin"/>
        </w:r>
        <w:r w:rsidR="002C18A4">
          <w:rPr>
            <w:noProof/>
            <w:webHidden/>
          </w:rPr>
          <w:instrText xml:space="preserve"> PAGEREF _Toc20405513 \h </w:instrText>
        </w:r>
        <w:r w:rsidR="002C18A4">
          <w:rPr>
            <w:noProof/>
            <w:webHidden/>
          </w:rPr>
        </w:r>
        <w:r w:rsidR="002C18A4">
          <w:rPr>
            <w:noProof/>
            <w:webHidden/>
          </w:rPr>
          <w:fldChar w:fldCharType="separate"/>
        </w:r>
        <w:r w:rsidR="00F82B2A">
          <w:rPr>
            <w:noProof/>
            <w:webHidden/>
          </w:rPr>
          <w:t>17</w:t>
        </w:r>
        <w:r w:rsidR="002C18A4">
          <w:rPr>
            <w:noProof/>
            <w:webHidden/>
          </w:rPr>
          <w:fldChar w:fldCharType="end"/>
        </w:r>
      </w:hyperlink>
    </w:p>
    <w:p w14:paraId="3B9E771C" w14:textId="02BCEAAD" w:rsidR="002C18A4" w:rsidRDefault="001467C5">
      <w:pPr>
        <w:pStyle w:val="TOC1"/>
        <w:rPr>
          <w:rFonts w:asciiTheme="minorHAnsi" w:eastAsiaTheme="minorEastAsia" w:hAnsiTheme="minorHAnsi"/>
          <w:noProof/>
          <w:color w:val="auto"/>
          <w:lang w:eastAsia="en-AU"/>
        </w:rPr>
      </w:pPr>
      <w:hyperlink w:anchor="_Toc20405524" w:history="1">
        <w:r w:rsidR="002C18A4" w:rsidRPr="00613D04">
          <w:rPr>
            <w:rStyle w:val="Hyperlink"/>
            <w:noProof/>
          </w:rPr>
          <w:t>Chapter 4 - Consultation</w:t>
        </w:r>
        <w:r w:rsidR="002C18A4">
          <w:rPr>
            <w:noProof/>
            <w:webHidden/>
          </w:rPr>
          <w:tab/>
        </w:r>
        <w:r w:rsidR="002C18A4">
          <w:rPr>
            <w:noProof/>
            <w:webHidden/>
          </w:rPr>
          <w:fldChar w:fldCharType="begin"/>
        </w:r>
        <w:r w:rsidR="002C18A4">
          <w:rPr>
            <w:noProof/>
            <w:webHidden/>
          </w:rPr>
          <w:instrText xml:space="preserve"> PAGEREF _Toc20405524 \h </w:instrText>
        </w:r>
        <w:r w:rsidR="002C18A4">
          <w:rPr>
            <w:noProof/>
            <w:webHidden/>
          </w:rPr>
        </w:r>
        <w:r w:rsidR="002C18A4">
          <w:rPr>
            <w:noProof/>
            <w:webHidden/>
          </w:rPr>
          <w:fldChar w:fldCharType="separate"/>
        </w:r>
        <w:r w:rsidR="00F82B2A">
          <w:rPr>
            <w:noProof/>
            <w:webHidden/>
          </w:rPr>
          <w:t>27</w:t>
        </w:r>
        <w:r w:rsidR="002C18A4">
          <w:rPr>
            <w:noProof/>
            <w:webHidden/>
          </w:rPr>
          <w:fldChar w:fldCharType="end"/>
        </w:r>
      </w:hyperlink>
    </w:p>
    <w:p w14:paraId="3D2E6A7A" w14:textId="2483967D" w:rsidR="002C18A4" w:rsidRDefault="001467C5">
      <w:pPr>
        <w:pStyle w:val="TOC1"/>
        <w:rPr>
          <w:rFonts w:asciiTheme="minorHAnsi" w:eastAsiaTheme="minorEastAsia" w:hAnsiTheme="minorHAnsi"/>
          <w:noProof/>
          <w:color w:val="auto"/>
          <w:lang w:eastAsia="en-AU"/>
        </w:rPr>
      </w:pPr>
      <w:hyperlink w:anchor="_Toc20405528" w:history="1">
        <w:r w:rsidR="002C18A4" w:rsidRPr="00613D04">
          <w:rPr>
            <w:rStyle w:val="Hyperlink"/>
            <w:noProof/>
          </w:rPr>
          <w:t>Attachment A – Policy options and estimated comparative net benefits</w:t>
        </w:r>
        <w:r w:rsidR="002C18A4">
          <w:rPr>
            <w:noProof/>
            <w:webHidden/>
          </w:rPr>
          <w:tab/>
        </w:r>
        <w:r w:rsidR="002C18A4">
          <w:rPr>
            <w:noProof/>
            <w:webHidden/>
          </w:rPr>
          <w:fldChar w:fldCharType="begin"/>
        </w:r>
        <w:r w:rsidR="002C18A4">
          <w:rPr>
            <w:noProof/>
            <w:webHidden/>
          </w:rPr>
          <w:instrText xml:space="preserve"> PAGEREF _Toc20405528 \h </w:instrText>
        </w:r>
        <w:r w:rsidR="002C18A4">
          <w:rPr>
            <w:noProof/>
            <w:webHidden/>
          </w:rPr>
        </w:r>
        <w:r w:rsidR="002C18A4">
          <w:rPr>
            <w:noProof/>
            <w:webHidden/>
          </w:rPr>
          <w:fldChar w:fldCharType="separate"/>
        </w:r>
        <w:r w:rsidR="00F82B2A">
          <w:rPr>
            <w:noProof/>
            <w:webHidden/>
          </w:rPr>
          <w:t>29</w:t>
        </w:r>
        <w:r w:rsidR="002C18A4">
          <w:rPr>
            <w:noProof/>
            <w:webHidden/>
          </w:rPr>
          <w:fldChar w:fldCharType="end"/>
        </w:r>
      </w:hyperlink>
    </w:p>
    <w:p w14:paraId="568DD7A8" w14:textId="19D3466E" w:rsidR="0016272E" w:rsidRPr="0016272E" w:rsidRDefault="00664151" w:rsidP="0016272E">
      <w:r>
        <w:rPr>
          <w:rFonts w:ascii="DIN OT Medium" w:hAnsi="DIN OT Medium"/>
          <w:noProof/>
          <w:lang w:val="en-US"/>
        </w:rPr>
        <w:fldChar w:fldCharType="end"/>
      </w:r>
    </w:p>
    <w:p w14:paraId="1A972F83" w14:textId="37659748" w:rsidR="00AC1C12" w:rsidRDefault="00AC1C12" w:rsidP="00AC1C12">
      <w:pPr>
        <w:pStyle w:val="Heading1"/>
      </w:pPr>
      <w:bookmarkStart w:id="1" w:name="_Toc17283301"/>
      <w:bookmarkStart w:id="2" w:name="_Toc17291183"/>
      <w:bookmarkStart w:id="3" w:name="_Toc17376623"/>
      <w:bookmarkStart w:id="4" w:name="_Toc20405501"/>
      <w:r>
        <w:t>Executive summary</w:t>
      </w:r>
      <w:bookmarkEnd w:id="1"/>
      <w:bookmarkEnd w:id="2"/>
      <w:bookmarkEnd w:id="3"/>
      <w:bookmarkEnd w:id="4"/>
    </w:p>
    <w:p w14:paraId="3E5ECA96" w14:textId="5EFF0A9E" w:rsidR="00621ED4" w:rsidRDefault="00621ED4" w:rsidP="000F36C8">
      <w:pPr>
        <w:pStyle w:val="APRANORMAL"/>
      </w:pPr>
      <w:r>
        <w:t xml:space="preserve">An </w:t>
      </w:r>
      <w:r w:rsidR="00BD530D">
        <w:t>a</w:t>
      </w:r>
      <w:r w:rsidR="00AE5FBD">
        <w:t xml:space="preserve">uthorised </w:t>
      </w:r>
      <w:r w:rsidR="00BD530D">
        <w:t>d</w:t>
      </w:r>
      <w:r w:rsidR="00AE5FBD">
        <w:t xml:space="preserve">eposit-taking </w:t>
      </w:r>
      <w:r w:rsidR="00BD530D">
        <w:t>i</w:t>
      </w:r>
      <w:r w:rsidR="00AE5FBD">
        <w:t>nstitution’s (</w:t>
      </w:r>
      <w:r>
        <w:t>ADI's</w:t>
      </w:r>
      <w:r w:rsidR="00AE5FBD">
        <w:t>)</w:t>
      </w:r>
      <w:r>
        <w:t xml:space="preserve"> capital base is the cornerstone of its financial soundness. </w:t>
      </w:r>
      <w:r w:rsidR="00652576" w:rsidRPr="00C92343">
        <w:rPr>
          <w:i/>
        </w:rPr>
        <w:t>Prudential Standard APS 111 Capital Adequacy</w:t>
      </w:r>
      <w:r w:rsidR="00652576" w:rsidRPr="00DC6CC0">
        <w:t xml:space="preserve"> (APS 111) sets out </w:t>
      </w:r>
      <w:r>
        <w:t>detailed</w:t>
      </w:r>
      <w:r w:rsidR="00652576" w:rsidRPr="00DC6CC0">
        <w:t xml:space="preserve"> </w:t>
      </w:r>
      <w:r>
        <w:t xml:space="preserve">criteria for measuring an ADI's </w:t>
      </w:r>
      <w:r w:rsidR="00652576" w:rsidRPr="00F263E2">
        <w:t>Regulatory Capital</w:t>
      </w:r>
      <w:r w:rsidR="00F4214C">
        <w:t>.</w:t>
      </w:r>
      <w:r w:rsidR="002E56A8" w:rsidRPr="00F263E2">
        <w:t xml:space="preserve"> </w:t>
      </w:r>
      <w:r>
        <w:t xml:space="preserve">This Discussion Paper outlines a substantial update to this important </w:t>
      </w:r>
      <w:r w:rsidR="000B6C77">
        <w:t>P</w:t>
      </w:r>
      <w:r>
        <w:t xml:space="preserve">rudential </w:t>
      </w:r>
      <w:r w:rsidR="000B6C77">
        <w:t>S</w:t>
      </w:r>
      <w:r>
        <w:t>tandard.</w:t>
      </w:r>
    </w:p>
    <w:p w14:paraId="3143D57C" w14:textId="0C52377C" w:rsidR="00997C37" w:rsidRDefault="00997C37" w:rsidP="000F36C8">
      <w:pPr>
        <w:pStyle w:val="APRANORMAL"/>
      </w:pPr>
      <w:r>
        <w:t>The update incorporate</w:t>
      </w:r>
      <w:r w:rsidR="00EB29CE">
        <w:t>s</w:t>
      </w:r>
      <w:r>
        <w:t xml:space="preserve"> </w:t>
      </w:r>
      <w:r w:rsidR="00EB29CE">
        <w:t>fur</w:t>
      </w:r>
      <w:r>
        <w:t>t</w:t>
      </w:r>
      <w:r w:rsidR="00EB29CE">
        <w:t>her t</w:t>
      </w:r>
      <w:r>
        <w:t>echnical information</w:t>
      </w:r>
      <w:r w:rsidR="00EB29CE">
        <w:t xml:space="preserve"> to assist ADIs</w:t>
      </w:r>
      <w:r w:rsidR="003439AE">
        <w:t xml:space="preserve"> in issuing capital instruments</w:t>
      </w:r>
      <w:r w:rsidR="00EB29CE">
        <w:t>;</w:t>
      </w:r>
      <w:r>
        <w:t xml:space="preserve"> </w:t>
      </w:r>
      <w:r w:rsidR="003439AE">
        <w:t xml:space="preserve">recent </w:t>
      </w:r>
      <w:r w:rsidR="00EB29CE">
        <w:t>international standards, statements and guidance</w:t>
      </w:r>
      <w:r w:rsidR="003439AE">
        <w:t xml:space="preserve"> on capital </w:t>
      </w:r>
      <w:r w:rsidR="003439AE" w:rsidRPr="003439AE">
        <w:t>adequacy measures</w:t>
      </w:r>
      <w:r w:rsidR="00EB29CE">
        <w:t>; and changes to the capital treatment of a parent ADI’s equity investments in banking and insurance subs</w:t>
      </w:r>
      <w:r w:rsidR="008208E9">
        <w:t>i</w:t>
      </w:r>
      <w:r w:rsidR="00EB29CE">
        <w:t>diaries.</w:t>
      </w:r>
    </w:p>
    <w:p w14:paraId="1213F864" w14:textId="06919B8D" w:rsidR="00E573A2" w:rsidRDefault="000F36C8" w:rsidP="00F263E2">
      <w:pPr>
        <w:pStyle w:val="APRANORMAL"/>
      </w:pPr>
      <w:r>
        <w:t xml:space="preserve">Since the last </w:t>
      </w:r>
      <w:r w:rsidR="00464991">
        <w:t xml:space="preserve">significant </w:t>
      </w:r>
      <w:r>
        <w:t xml:space="preserve">update to APS 111 in 2013, </w:t>
      </w:r>
      <w:r w:rsidR="00652576" w:rsidRPr="00F263E2">
        <w:t xml:space="preserve">APRA </w:t>
      </w:r>
      <w:r w:rsidR="007D6BD2" w:rsidRPr="00F263E2">
        <w:t xml:space="preserve">has </w:t>
      </w:r>
      <w:r w:rsidR="006E6AB8" w:rsidRPr="00F263E2">
        <w:t xml:space="preserve">made </w:t>
      </w:r>
      <w:r>
        <w:t>various</w:t>
      </w:r>
      <w:r w:rsidR="006E6AB8" w:rsidRPr="00F263E2">
        <w:t xml:space="preserve"> rulings and </w:t>
      </w:r>
      <w:r w:rsidR="00652576" w:rsidRPr="00F263E2">
        <w:t>p</w:t>
      </w:r>
      <w:r w:rsidR="006E6AB8" w:rsidRPr="00F263E2">
        <w:t xml:space="preserve">ublished </w:t>
      </w:r>
      <w:r w:rsidR="00652576" w:rsidRPr="00F263E2">
        <w:t>further</w:t>
      </w:r>
      <w:r>
        <w:t xml:space="preserve"> technical</w:t>
      </w:r>
      <w:r w:rsidR="00652576" w:rsidRPr="00F263E2">
        <w:t xml:space="preserve"> information to assist ADIs </w:t>
      </w:r>
      <w:r w:rsidR="00621ED4">
        <w:t>with compliance, which APRA is now proposi</w:t>
      </w:r>
      <w:r>
        <w:t xml:space="preserve">ng to incorporate into the </w:t>
      </w:r>
      <w:r w:rsidR="004D4230">
        <w:t>Prudential S</w:t>
      </w:r>
      <w:r>
        <w:t>tandard</w:t>
      </w:r>
      <w:r w:rsidR="006E6AB8" w:rsidRPr="00F263E2">
        <w:t>.</w:t>
      </w:r>
      <w:r w:rsidR="00621ED4">
        <w:t xml:space="preserve"> </w:t>
      </w:r>
      <w:r w:rsidR="00C53E2A" w:rsidRPr="00F263E2">
        <w:t xml:space="preserve">In addition, the Basel Committee on Banking Supervision (Basel Committee) has released a number of standards, statements and guidance that are relevant to </w:t>
      </w:r>
      <w:r w:rsidR="007D6BD2" w:rsidRPr="00F263E2">
        <w:t>the measurement and determination of Regulatory Capital</w:t>
      </w:r>
      <w:r w:rsidR="00C53E2A" w:rsidRPr="00F263E2">
        <w:t>.</w:t>
      </w:r>
      <w:r w:rsidR="006374A6" w:rsidRPr="00F263E2">
        <w:t xml:space="preserve"> These relate to </w:t>
      </w:r>
      <w:r w:rsidR="000B4AB4" w:rsidRPr="00F263E2">
        <w:t>banks’ equity investments in funds</w:t>
      </w:r>
      <w:r w:rsidR="00A47537" w:rsidRPr="00F263E2">
        <w:t xml:space="preserve">, </w:t>
      </w:r>
      <w:r w:rsidR="00003A5E" w:rsidRPr="00F263E2">
        <w:t xml:space="preserve">banks’ </w:t>
      </w:r>
      <w:r>
        <w:t xml:space="preserve">holdings of </w:t>
      </w:r>
      <w:r w:rsidR="00A47537" w:rsidRPr="00F263E2">
        <w:t>Total Loss Absorbing Capacity (TLAC)</w:t>
      </w:r>
      <w:r>
        <w:t xml:space="preserve"> instruments</w:t>
      </w:r>
      <w:r w:rsidR="000B4AB4" w:rsidRPr="00F263E2">
        <w:t xml:space="preserve"> </w:t>
      </w:r>
      <w:r w:rsidR="006374A6" w:rsidRPr="00F263E2">
        <w:t>and capital arbitrage transactions.</w:t>
      </w:r>
      <w:r w:rsidR="00D81763" w:rsidRPr="00F263E2">
        <w:t xml:space="preserve"> APRA is proposing amendments</w:t>
      </w:r>
      <w:r w:rsidR="00B152DD" w:rsidRPr="00F263E2">
        <w:t>, where appropriate,</w:t>
      </w:r>
      <w:r w:rsidR="00D81763" w:rsidRPr="00F263E2">
        <w:t xml:space="preserve"> to </w:t>
      </w:r>
      <w:r w:rsidR="00B152DD" w:rsidRPr="00F263E2">
        <w:t xml:space="preserve">APS 111 to </w:t>
      </w:r>
      <w:r w:rsidR="00661087" w:rsidRPr="00F263E2">
        <w:t>incorporate these Basel proposals.</w:t>
      </w:r>
      <w:r w:rsidR="00D51094">
        <w:t xml:space="preserve"> </w:t>
      </w:r>
    </w:p>
    <w:p w14:paraId="2664D4B0" w14:textId="59F28D67" w:rsidR="0067476C" w:rsidRDefault="00E573A2" w:rsidP="000E251D">
      <w:pPr>
        <w:pStyle w:val="APRANORMAL"/>
      </w:pPr>
      <w:r w:rsidRPr="00E573A2">
        <w:t xml:space="preserve">In </w:t>
      </w:r>
      <w:r w:rsidR="005C10A1">
        <w:t xml:space="preserve">its </w:t>
      </w:r>
      <w:r w:rsidRPr="00E573A2">
        <w:t>recent</w:t>
      </w:r>
      <w:r w:rsidR="005C10A1">
        <w:t xml:space="preserve"> </w:t>
      </w:r>
      <w:r w:rsidRPr="00E573A2">
        <w:t xml:space="preserve">publications, APRA has also flagged a review of the capital treatment of </w:t>
      </w:r>
      <w:r w:rsidR="00DF20C3">
        <w:t xml:space="preserve">a parent </w:t>
      </w:r>
      <w:r w:rsidRPr="00E573A2">
        <w:t>AD</w:t>
      </w:r>
      <w:r w:rsidR="00DF20C3">
        <w:t>I</w:t>
      </w:r>
      <w:r w:rsidRPr="00E573A2">
        <w:t>’</w:t>
      </w:r>
      <w:r w:rsidR="00DF20C3">
        <w:t>s</w:t>
      </w:r>
      <w:r w:rsidRPr="00E573A2">
        <w:t xml:space="preserve"> equity investment</w:t>
      </w:r>
      <w:r w:rsidR="00162138">
        <w:t>s</w:t>
      </w:r>
      <w:r w:rsidRPr="00E573A2">
        <w:t xml:space="preserve"> in banking and insurance subsidiaries</w:t>
      </w:r>
      <w:r w:rsidR="00A4114C">
        <w:t xml:space="preserve">. This review was prompted </w:t>
      </w:r>
      <w:r w:rsidR="00F92D47">
        <w:t xml:space="preserve">in part </w:t>
      </w:r>
      <w:r w:rsidR="00A4114C">
        <w:t xml:space="preserve">by </w:t>
      </w:r>
      <w:r w:rsidR="00E20BF6">
        <w:t xml:space="preserve">recent </w:t>
      </w:r>
      <w:r w:rsidR="00A4114C">
        <w:t>propos</w:t>
      </w:r>
      <w:r w:rsidR="00E20BF6">
        <w:t>als by the Reserve Bank of New Zealand (RBNZ) to materially increase capital requirements in New Zealand.</w:t>
      </w:r>
      <w:r w:rsidR="001702EB">
        <w:t xml:space="preserve"> </w:t>
      </w:r>
      <w:r w:rsidR="00522F64">
        <w:t xml:space="preserve">The </w:t>
      </w:r>
      <w:r w:rsidR="007231CF">
        <w:t>RBNZ’s</w:t>
      </w:r>
      <w:r w:rsidR="0071799A">
        <w:t xml:space="preserve"> proposals </w:t>
      </w:r>
      <w:r w:rsidR="00522F64">
        <w:t xml:space="preserve">and APRA’s </w:t>
      </w:r>
      <w:r w:rsidR="0067476C">
        <w:t>process</w:t>
      </w:r>
      <w:r w:rsidR="007231CF">
        <w:t>es are</w:t>
      </w:r>
      <w:r w:rsidR="0067476C" w:rsidRPr="0067476C">
        <w:t xml:space="preserve"> a natural by-product of both regulators working to protect their respective communities from the costs of financial instability</w:t>
      </w:r>
      <w:r w:rsidR="00BB11C5">
        <w:t xml:space="preserve"> and the regulators continue to support each other as these reforms are developed</w:t>
      </w:r>
      <w:r w:rsidR="0067476C" w:rsidRPr="0067476C">
        <w:t xml:space="preserve">. </w:t>
      </w:r>
    </w:p>
    <w:p w14:paraId="612F6B6B" w14:textId="306CD4D5" w:rsidR="00DF20C3" w:rsidRDefault="00E573A2" w:rsidP="000E251D">
      <w:pPr>
        <w:pStyle w:val="APRANORMAL"/>
      </w:pPr>
      <w:r>
        <w:t>APR</w:t>
      </w:r>
      <w:r w:rsidR="00DF20C3">
        <w:t>A is proposing</w:t>
      </w:r>
      <w:r>
        <w:t xml:space="preserve"> </w:t>
      </w:r>
      <w:r w:rsidR="00DF20C3">
        <w:t xml:space="preserve">to </w:t>
      </w:r>
      <w:r w:rsidR="006E24A0" w:rsidRPr="00F263E2">
        <w:t xml:space="preserve">change the </w:t>
      </w:r>
      <w:r w:rsidR="005125F4">
        <w:t>capital treatment</w:t>
      </w:r>
      <w:r w:rsidR="00DF20C3">
        <w:t xml:space="preserve"> for these exposures</w:t>
      </w:r>
      <w:r w:rsidR="001A41FD">
        <w:t xml:space="preserve"> and</w:t>
      </w:r>
      <w:r w:rsidR="00DF20C3">
        <w:t xml:space="preserve"> </w:t>
      </w:r>
      <w:r w:rsidR="001A41FD">
        <w:t>t</w:t>
      </w:r>
      <w:r w:rsidR="00DF20C3">
        <w:t>his particular proposal is the most significant amendment to APS 111</w:t>
      </w:r>
      <w:r w:rsidR="005125F4">
        <w:t>.</w:t>
      </w:r>
      <w:r w:rsidR="00A4114C">
        <w:t xml:space="preserve"> </w:t>
      </w:r>
      <w:r w:rsidR="001A41FD">
        <w:t>In</w:t>
      </w:r>
      <w:r w:rsidR="008118C3">
        <w:t xml:space="preserve"> developing the proposal</w:t>
      </w:r>
      <w:r w:rsidR="001A41FD">
        <w:t xml:space="preserve">, APRA has considered long-established </w:t>
      </w:r>
      <w:r w:rsidR="002C010E">
        <w:t>t</w:t>
      </w:r>
      <w:r w:rsidR="001A41FD" w:rsidRPr="001A41FD">
        <w:t>rans-Tasman arrangements</w:t>
      </w:r>
      <w:r w:rsidR="00CE6FAC">
        <w:t xml:space="preserve"> provided for in the </w:t>
      </w:r>
      <w:r w:rsidR="00CE6FAC" w:rsidRPr="00FA3802">
        <w:rPr>
          <w:i/>
        </w:rPr>
        <w:t>Australian Prudential Regulation Authority Act 1998</w:t>
      </w:r>
      <w:r w:rsidR="00CE6FAC">
        <w:t xml:space="preserve"> and </w:t>
      </w:r>
      <w:r w:rsidR="003439AE">
        <w:t xml:space="preserve">the </w:t>
      </w:r>
      <w:r w:rsidR="00CE6FAC">
        <w:t>RBNZ’s enabling legislation</w:t>
      </w:r>
      <w:r w:rsidR="001A41FD" w:rsidRPr="001A41FD">
        <w:t xml:space="preserve">, </w:t>
      </w:r>
      <w:r w:rsidR="00920E95">
        <w:t xml:space="preserve">under </w:t>
      </w:r>
      <w:r w:rsidR="00CE6FAC">
        <w:t xml:space="preserve">which </w:t>
      </w:r>
      <w:r w:rsidR="00BB11C5">
        <w:t>the</w:t>
      </w:r>
      <w:r w:rsidR="00CE6FAC">
        <w:t xml:space="preserve"> agencies </w:t>
      </w:r>
      <w:r w:rsidR="003439AE">
        <w:t xml:space="preserve">assist </w:t>
      </w:r>
      <w:r w:rsidR="00CE6FAC" w:rsidRPr="00CE6FAC">
        <w:t>each other in the performance of their regulatory responsibilities.</w:t>
      </w:r>
      <w:r w:rsidR="000C4034">
        <w:t xml:space="preserve"> This is particularly important given </w:t>
      </w:r>
      <w:r w:rsidR="001A41FD" w:rsidRPr="001A41FD">
        <w:t xml:space="preserve">the </w:t>
      </w:r>
      <w:r w:rsidR="008118C3">
        <w:t xml:space="preserve">four major Australian banks </w:t>
      </w:r>
      <w:r w:rsidR="000656CA">
        <w:t>are</w:t>
      </w:r>
      <w:r w:rsidR="001A41FD" w:rsidRPr="001A41FD">
        <w:t xml:space="preserve"> the shareholders of the major banks in New Zealand</w:t>
      </w:r>
      <w:r w:rsidR="0071799A">
        <w:t>.</w:t>
      </w:r>
    </w:p>
    <w:p w14:paraId="42DD7C3C" w14:textId="6F2C3BE4" w:rsidR="00031338" w:rsidRDefault="00F83D5A" w:rsidP="000E251D">
      <w:pPr>
        <w:pStyle w:val="APRANORMAL"/>
      </w:pPr>
      <w:r w:rsidRPr="00F263E2">
        <w:t>APRA</w:t>
      </w:r>
      <w:r w:rsidR="000F36C8">
        <w:t xml:space="preserve">'s capital requirements currently permit </w:t>
      </w:r>
      <w:r w:rsidR="004F5CE5" w:rsidRPr="00F263E2">
        <w:t>ADIs to leverage their investments in banking and insurance subsidiaries</w:t>
      </w:r>
      <w:r w:rsidR="000F36C8">
        <w:t>, whether domestic or offshore</w:t>
      </w:r>
      <w:r w:rsidR="003B4DD6">
        <w:t>, and as such do not require dollar-for-dollar capital for these investments at the parent company level</w:t>
      </w:r>
      <w:r w:rsidR="004F5CE5" w:rsidRPr="00F263E2">
        <w:t>.</w:t>
      </w:r>
      <w:r w:rsidR="00011EA9">
        <w:t xml:space="preserve"> </w:t>
      </w:r>
      <w:r w:rsidR="00772B02">
        <w:t>T</w:t>
      </w:r>
      <w:r w:rsidR="000F36C8">
        <w:t>his treatment raises the</w:t>
      </w:r>
      <w:r w:rsidR="00C141C3">
        <w:t xml:space="preserve"> risk </w:t>
      </w:r>
      <w:r w:rsidR="006626B2">
        <w:t xml:space="preserve">that capital held </w:t>
      </w:r>
      <w:r w:rsidR="000F36C8">
        <w:t>by</w:t>
      </w:r>
      <w:r w:rsidR="006626B2">
        <w:t xml:space="preserve"> the </w:t>
      </w:r>
      <w:r w:rsidR="00AD72F4">
        <w:t xml:space="preserve">parent </w:t>
      </w:r>
      <w:r w:rsidR="000F36C8">
        <w:t>ADI</w:t>
      </w:r>
      <w:r w:rsidR="006626B2">
        <w:t xml:space="preserve"> is not sufficient to support risks to </w:t>
      </w:r>
      <w:r w:rsidR="00E411AA">
        <w:t xml:space="preserve">its </w:t>
      </w:r>
      <w:r w:rsidR="006626B2">
        <w:t>depositors</w:t>
      </w:r>
      <w:r w:rsidR="00F91818">
        <w:t xml:space="preserve">. </w:t>
      </w:r>
      <w:r w:rsidR="00756D10">
        <w:t xml:space="preserve"> </w:t>
      </w:r>
      <w:r w:rsidR="005C0024" w:rsidRPr="005C0024">
        <w:t xml:space="preserve">Any </w:t>
      </w:r>
      <w:r w:rsidR="001732C4">
        <w:t>reforms</w:t>
      </w:r>
      <w:r w:rsidR="005C0024" w:rsidRPr="005C0024">
        <w:t xml:space="preserve"> by other regulators to materially increase their capital requirements, </w:t>
      </w:r>
      <w:r w:rsidR="00BB11C5">
        <w:t xml:space="preserve">including </w:t>
      </w:r>
      <w:r w:rsidR="001732C4">
        <w:t xml:space="preserve">those proposed by the </w:t>
      </w:r>
      <w:r w:rsidR="00B71B96">
        <w:t>RBNZ</w:t>
      </w:r>
      <w:r w:rsidR="005C0024" w:rsidRPr="005C0024">
        <w:t>, could exacerbate this risk.</w:t>
      </w:r>
      <w:r w:rsidR="004E37BF" w:rsidRPr="004E37BF">
        <w:t xml:space="preserve"> </w:t>
      </w:r>
    </w:p>
    <w:p w14:paraId="5AD98AD2" w14:textId="063DB1B8" w:rsidR="00C86223" w:rsidRPr="00F263E2" w:rsidRDefault="00C86223" w:rsidP="000E251D">
      <w:pPr>
        <w:pStyle w:val="APRANORMAL"/>
      </w:pPr>
      <w:r w:rsidRPr="00C86223">
        <w:t>At current levels of equity investment, APRA estimates th</w:t>
      </w:r>
      <w:r w:rsidR="00CE3264">
        <w:t>e</w:t>
      </w:r>
      <w:r w:rsidRPr="00C86223">
        <w:t xml:space="preserve"> existing treatment provides an uplift to the average </w:t>
      </w:r>
      <w:r>
        <w:t xml:space="preserve">Common Equity Tier 1 </w:t>
      </w:r>
      <w:r w:rsidR="0018030B">
        <w:t xml:space="preserve">(CET1) </w:t>
      </w:r>
      <w:r>
        <w:t xml:space="preserve">Capital </w:t>
      </w:r>
      <w:r w:rsidRPr="00C86223">
        <w:t xml:space="preserve">ratio across the four major </w:t>
      </w:r>
      <w:r>
        <w:t xml:space="preserve">Australian </w:t>
      </w:r>
      <w:r w:rsidRPr="00C86223">
        <w:t>banks of approximately 90 basis points</w:t>
      </w:r>
      <w:r>
        <w:t xml:space="preserve"> for the</w:t>
      </w:r>
      <w:r w:rsidR="00CE3264">
        <w:t>ir</w:t>
      </w:r>
      <w:r>
        <w:t xml:space="preserve"> equity investment</w:t>
      </w:r>
      <w:r w:rsidR="00162138">
        <w:t>s</w:t>
      </w:r>
      <w:r>
        <w:t xml:space="preserve"> in New Zealand banking subsidiaries</w:t>
      </w:r>
      <w:r w:rsidRPr="00C86223">
        <w:t xml:space="preserve">. As a consequence, capital available to support risks </w:t>
      </w:r>
      <w:r w:rsidR="00CE3264">
        <w:t xml:space="preserve">to Australian depositors </w:t>
      </w:r>
      <w:r w:rsidRPr="00C86223">
        <w:t>could be overstated.</w:t>
      </w:r>
    </w:p>
    <w:p w14:paraId="3581AA46" w14:textId="6D3B0024" w:rsidR="0067476C" w:rsidRDefault="00EB2198" w:rsidP="00F263E2">
      <w:pPr>
        <w:pStyle w:val="APRANORMAL"/>
      </w:pPr>
      <w:r>
        <w:t xml:space="preserve">As </w:t>
      </w:r>
      <w:r w:rsidR="004A285B" w:rsidRPr="00F263E2">
        <w:t>APRA</w:t>
      </w:r>
      <w:r w:rsidR="00A51E57">
        <w:t xml:space="preserve"> </w:t>
      </w:r>
      <w:r w:rsidR="00A51E57" w:rsidRPr="00031338">
        <w:t xml:space="preserve">is more concerned about large concentrated </w:t>
      </w:r>
      <w:r w:rsidR="00A51E57">
        <w:t>exposures</w:t>
      </w:r>
      <w:r>
        <w:t>, it is</w:t>
      </w:r>
      <w:r w:rsidR="004A285B" w:rsidRPr="00F263E2">
        <w:t xml:space="preserve"> proposing </w:t>
      </w:r>
      <w:r w:rsidR="002606C8" w:rsidRPr="00F263E2">
        <w:t xml:space="preserve">to </w:t>
      </w:r>
      <w:r>
        <w:t>limit</w:t>
      </w:r>
      <w:r w:rsidR="00011EA9">
        <w:t xml:space="preserve"> the amount of </w:t>
      </w:r>
      <w:r>
        <w:t>these exposures</w:t>
      </w:r>
      <w:r w:rsidR="00011EA9">
        <w:t xml:space="preserve"> that can be </w:t>
      </w:r>
      <w:r w:rsidR="00C22137">
        <w:t>leveraged</w:t>
      </w:r>
      <w:r w:rsidR="00011EA9">
        <w:t xml:space="preserve"> to 10 </w:t>
      </w:r>
      <w:r w:rsidR="00F83D5A" w:rsidRPr="00DC6CC0">
        <w:t xml:space="preserve">per cent of </w:t>
      </w:r>
      <w:r w:rsidR="00011EA9">
        <w:t xml:space="preserve">an ADI’s </w:t>
      </w:r>
      <w:r w:rsidR="00F83D5A" w:rsidRPr="00DC6CC0">
        <w:t xml:space="preserve">CET1 Capital. </w:t>
      </w:r>
      <w:r w:rsidR="00701E61">
        <w:t>This means capital requirement</w:t>
      </w:r>
      <w:r w:rsidR="000656CA">
        <w:t>s</w:t>
      </w:r>
      <w:r w:rsidR="00701E61">
        <w:t xml:space="preserve"> are </w:t>
      </w:r>
      <w:r w:rsidR="00701E61" w:rsidRPr="00701E61">
        <w:t>increasing for large concentrated exposures</w:t>
      </w:r>
      <w:r w:rsidR="0070383E">
        <w:t>, as a</w:t>
      </w:r>
      <w:r w:rsidR="00F83D5A" w:rsidRPr="00DC6CC0">
        <w:t xml:space="preserve">mounts over the 10 per cent </w:t>
      </w:r>
      <w:r w:rsidR="00F83D5A" w:rsidRPr="00F263E2">
        <w:t xml:space="preserve">threshold would </w:t>
      </w:r>
      <w:r w:rsidR="005F4184" w:rsidRPr="00F263E2">
        <w:t xml:space="preserve">be </w:t>
      </w:r>
      <w:r w:rsidR="00F83D5A" w:rsidRPr="00F263E2">
        <w:t>require</w:t>
      </w:r>
      <w:r w:rsidR="005F4184" w:rsidRPr="00F263E2">
        <w:t>d</w:t>
      </w:r>
      <w:r w:rsidR="00F83D5A" w:rsidRPr="00F263E2">
        <w:t xml:space="preserve"> to be </w:t>
      </w:r>
      <w:r w:rsidR="00853C50">
        <w:t>met dollar</w:t>
      </w:r>
      <w:r w:rsidR="00A13BC2">
        <w:t>-</w:t>
      </w:r>
      <w:r w:rsidR="00853C50">
        <w:t>for</w:t>
      </w:r>
      <w:r w:rsidR="00A13BC2">
        <w:t>-</w:t>
      </w:r>
      <w:r w:rsidR="00853C50">
        <w:t>dollar by the ADI parent company</w:t>
      </w:r>
      <w:r w:rsidR="000E7243">
        <w:t xml:space="preserve">. </w:t>
      </w:r>
      <w:r w:rsidR="003439AE">
        <w:t xml:space="preserve">APRA is </w:t>
      </w:r>
      <w:r w:rsidR="003439AE" w:rsidRPr="008208E9">
        <w:t>less concerned about small equity exposures in banking and insurance subsidiaries and</w:t>
      </w:r>
      <w:r w:rsidR="003439AE">
        <w:t xml:space="preserve"> so</w:t>
      </w:r>
      <w:r w:rsidR="003439AE" w:rsidRPr="006B23F2">
        <w:t xml:space="preserve"> capital requirements</w:t>
      </w:r>
      <w:r w:rsidR="003439AE">
        <w:t xml:space="preserve"> </w:t>
      </w:r>
      <w:r w:rsidR="001800DA">
        <w:t>will</w:t>
      </w:r>
      <w:r w:rsidR="003439AE">
        <w:t xml:space="preserve"> </w:t>
      </w:r>
      <w:r w:rsidR="003439AE" w:rsidRPr="006B23F2">
        <w:t>decreas</w:t>
      </w:r>
      <w:r w:rsidR="001800DA">
        <w:t>e</w:t>
      </w:r>
      <w:r w:rsidR="003439AE" w:rsidRPr="006B23F2">
        <w:t xml:space="preserve"> for small exposures</w:t>
      </w:r>
      <w:r w:rsidR="003439AE">
        <w:t>.</w:t>
      </w:r>
      <w:r w:rsidR="00516D09">
        <w:t xml:space="preserve"> </w:t>
      </w:r>
      <w:r w:rsidR="000E7243" w:rsidRPr="0045502A">
        <w:t>Amounts under the 10 per cent threshold would be risk weighted at 250 per cent and</w:t>
      </w:r>
      <w:r w:rsidR="00D55AFA" w:rsidRPr="0045502A">
        <w:t xml:space="preserve"> included as part of the related party limits detailed in </w:t>
      </w:r>
      <w:r w:rsidR="00B67924" w:rsidRPr="0045502A">
        <w:t xml:space="preserve">APRA’s recently finalised </w:t>
      </w:r>
      <w:r w:rsidR="00B67924" w:rsidRPr="0045502A">
        <w:rPr>
          <w:i/>
        </w:rPr>
        <w:t>Prudential Standard APS 222 Associations with Related Entities</w:t>
      </w:r>
      <w:r w:rsidR="00B67924" w:rsidRPr="0045502A">
        <w:t xml:space="preserve"> (APS 222).</w:t>
      </w:r>
      <w:r w:rsidR="00B67924" w:rsidRPr="00BF323A">
        <w:t xml:space="preserve"> </w:t>
      </w:r>
      <w:r w:rsidR="00B212D1">
        <w:t>See Box 1 in Chapter 2 of this Discussion Paper for a s</w:t>
      </w:r>
      <w:r w:rsidR="00B212D1" w:rsidRPr="009F606B">
        <w:t>tylised example of the Level 1 treatment of a</w:t>
      </w:r>
      <w:r w:rsidR="00B212D1">
        <w:t>n investment</w:t>
      </w:r>
      <w:r w:rsidR="00B212D1" w:rsidRPr="009F606B">
        <w:t xml:space="preserve"> </w:t>
      </w:r>
      <w:r w:rsidR="00B212D1">
        <w:t xml:space="preserve">in a banking </w:t>
      </w:r>
      <w:r w:rsidR="00B212D1" w:rsidRPr="009F606B">
        <w:t>subsidiary</w:t>
      </w:r>
      <w:r w:rsidR="00B212D1">
        <w:t>.</w:t>
      </w:r>
    </w:p>
    <w:p w14:paraId="41B9BA90" w14:textId="33EC6C74" w:rsidR="00D31E35" w:rsidRDefault="00D31E35" w:rsidP="00F263E2">
      <w:pPr>
        <w:pStyle w:val="APRANORMAL"/>
      </w:pPr>
      <w:r>
        <w:t>APRA has calibrat</w:t>
      </w:r>
      <w:r w:rsidR="00832F0B">
        <w:t>ed</w:t>
      </w:r>
      <w:r>
        <w:t xml:space="preserve"> the proposed capital requirements so </w:t>
      </w:r>
      <w:r w:rsidR="00832F0B">
        <w:t>they are</w:t>
      </w:r>
      <w:r>
        <w:t xml:space="preserve"> broadly consistent with </w:t>
      </w:r>
      <w:r w:rsidR="007231CF">
        <w:t xml:space="preserve">the </w:t>
      </w:r>
      <w:r>
        <w:t>Basel treatment</w:t>
      </w:r>
      <w:r w:rsidR="007231CF">
        <w:t xml:space="preserve"> </w:t>
      </w:r>
      <w:r>
        <w:t xml:space="preserve">of </w:t>
      </w:r>
      <w:r w:rsidR="007231CF">
        <w:t>a banking group’s e</w:t>
      </w:r>
      <w:r>
        <w:t>quity investment</w:t>
      </w:r>
      <w:r w:rsidR="007231CF">
        <w:t>s</w:t>
      </w:r>
      <w:r>
        <w:t xml:space="preserve"> </w:t>
      </w:r>
      <w:r w:rsidRPr="00D31E35">
        <w:t>in non-consolidated financial entiti</w:t>
      </w:r>
      <w:r>
        <w:t>es</w:t>
      </w:r>
      <w:r w:rsidR="007231CF">
        <w:t xml:space="preserve">, and </w:t>
      </w:r>
      <w:r w:rsidR="00143E5A">
        <w:t>also</w:t>
      </w:r>
      <w:r w:rsidR="00BB11C5">
        <w:t xml:space="preserve"> with</w:t>
      </w:r>
      <w:r w:rsidR="007231CF" w:rsidRPr="007231CF">
        <w:t xml:space="preserve"> the current capital position </w:t>
      </w:r>
      <w:r w:rsidR="007231CF">
        <w:t>of the four major Austr</w:t>
      </w:r>
      <w:r w:rsidR="001702EB">
        <w:t>a</w:t>
      </w:r>
      <w:r w:rsidR="007231CF">
        <w:t>l</w:t>
      </w:r>
      <w:r w:rsidR="001702EB">
        <w:t>ian</w:t>
      </w:r>
      <w:r w:rsidR="007231CF">
        <w:t xml:space="preserve"> banks</w:t>
      </w:r>
      <w:r w:rsidR="001702EB">
        <w:t xml:space="preserve">, in respect of these exposures </w:t>
      </w:r>
      <w:r w:rsidR="007231CF" w:rsidRPr="007231CF">
        <w:t xml:space="preserve">(i.e. preserving </w:t>
      </w:r>
      <w:r w:rsidR="00143E5A">
        <w:t>most of</w:t>
      </w:r>
      <w:r w:rsidR="00920E95">
        <w:t xml:space="preserve"> </w:t>
      </w:r>
      <w:r w:rsidR="007231CF" w:rsidRPr="007231CF">
        <w:t xml:space="preserve">the </w:t>
      </w:r>
      <w:r w:rsidR="007231CF">
        <w:t>90</w:t>
      </w:r>
      <w:r w:rsidR="007231CF" w:rsidRPr="007231CF">
        <w:t xml:space="preserve"> basis points</w:t>
      </w:r>
      <w:r w:rsidR="007231CF">
        <w:t xml:space="preserve"> of c</w:t>
      </w:r>
      <w:r w:rsidR="003E373F">
        <w:t>apita</w:t>
      </w:r>
      <w:r w:rsidR="00832F0B">
        <w:t>l</w:t>
      </w:r>
      <w:r w:rsidR="003E373F">
        <w:t xml:space="preserve"> uplift</w:t>
      </w:r>
      <w:r w:rsidR="007231CF" w:rsidRPr="007231CF">
        <w:t>)</w:t>
      </w:r>
      <w:r w:rsidR="001702EB">
        <w:t>.</w:t>
      </w:r>
      <w:r w:rsidR="007231CF" w:rsidRPr="007231CF">
        <w:t xml:space="preserve"> </w:t>
      </w:r>
      <w:r>
        <w:t xml:space="preserve"> </w:t>
      </w:r>
    </w:p>
    <w:p w14:paraId="39E6D48B" w14:textId="225A950F" w:rsidR="003E373F" w:rsidRDefault="003E373F" w:rsidP="00AA2DEA">
      <w:pPr>
        <w:pStyle w:val="APRANORMAL"/>
      </w:pPr>
      <w:r>
        <w:t>APRA is not proposing a full dollar-for</w:t>
      </w:r>
      <w:r w:rsidR="00002696">
        <w:t>-</w:t>
      </w:r>
      <w:r>
        <w:t xml:space="preserve">dollar capital requirement for an ADI’s equity investments in these subsidiaries, in recognition of the </w:t>
      </w:r>
      <w:r w:rsidRPr="003E373F">
        <w:t>benefits of subsidiaries that are subject to prudential regulation</w:t>
      </w:r>
      <w:r w:rsidR="009F75BA">
        <w:t xml:space="preserve">, </w:t>
      </w:r>
      <w:r w:rsidRPr="003E373F">
        <w:t>and that ownership of banking and insurance subsidiaries generally provides some beneficial diversification</w:t>
      </w:r>
      <w:r>
        <w:t xml:space="preserve">. </w:t>
      </w:r>
      <w:r w:rsidR="00522F64">
        <w:t xml:space="preserve">However, </w:t>
      </w:r>
      <w:r w:rsidR="00516D09">
        <w:t xml:space="preserve">as these exposures increase in size, the concentration risk associated </w:t>
      </w:r>
      <w:r w:rsidR="00DC15D7">
        <w:t>such</w:t>
      </w:r>
      <w:r w:rsidR="00516D09">
        <w:t xml:space="preserve"> investments start to outweigh the diversification benefits. R</w:t>
      </w:r>
      <w:r w:rsidR="00522F64">
        <w:t>equiring dollar-for-dollar capital for amounts above 10 per cent CET1 Capital</w:t>
      </w:r>
      <w:r w:rsidR="005A302A">
        <w:t xml:space="preserve"> reduces </w:t>
      </w:r>
      <w:r w:rsidR="00832F0B">
        <w:t xml:space="preserve">the </w:t>
      </w:r>
      <w:r w:rsidR="005A302A">
        <w:t>risks to Australian depositors</w:t>
      </w:r>
      <w:r w:rsidR="00832F0B">
        <w:t xml:space="preserve"> of</w:t>
      </w:r>
      <w:r w:rsidR="005A302A">
        <w:t xml:space="preserve"> increasing levels of these exposures.</w:t>
      </w:r>
      <w:r w:rsidR="005A302A" w:rsidRPr="005A302A">
        <w:t xml:space="preserve"> </w:t>
      </w:r>
      <w:r w:rsidR="00FF012F">
        <w:t xml:space="preserve"> </w:t>
      </w:r>
    </w:p>
    <w:p w14:paraId="3063698A" w14:textId="6E254939" w:rsidR="00630021" w:rsidRDefault="00E052D6" w:rsidP="007260D1">
      <w:pPr>
        <w:pStyle w:val="APRANORMAL"/>
      </w:pPr>
      <w:r>
        <w:t>T</w:t>
      </w:r>
      <w:r w:rsidR="004F389F">
        <w:t>he finalisation</w:t>
      </w:r>
      <w:r w:rsidR="00AA4EA6" w:rsidRPr="00AA4EA6">
        <w:t xml:space="preserve"> of the </w:t>
      </w:r>
      <w:r w:rsidR="004009C3">
        <w:t>RB</w:t>
      </w:r>
      <w:r w:rsidR="002C18A4">
        <w:t>N</w:t>
      </w:r>
      <w:r w:rsidR="004009C3">
        <w:t xml:space="preserve">Z’s </w:t>
      </w:r>
      <w:r w:rsidR="00AA4EA6" w:rsidRPr="00AA4EA6">
        <w:t>proposed capital reforms,</w:t>
      </w:r>
      <w:r w:rsidR="00826B53" w:rsidRPr="00826B53">
        <w:t xml:space="preserve"> will, in all likelihood, </w:t>
      </w:r>
      <w:r w:rsidR="00826B53">
        <w:t>require</w:t>
      </w:r>
      <w:r w:rsidR="00826B53" w:rsidRPr="00826B53">
        <w:t xml:space="preserve"> higher capital requirements </w:t>
      </w:r>
      <w:r w:rsidR="00516BB0">
        <w:t xml:space="preserve">for banks </w:t>
      </w:r>
      <w:r w:rsidR="00826B53" w:rsidRPr="00826B53">
        <w:t>in New Zealand</w:t>
      </w:r>
      <w:r w:rsidR="00826B53">
        <w:t>.</w:t>
      </w:r>
      <w:r w:rsidR="005C0024">
        <w:t xml:space="preserve"> S</w:t>
      </w:r>
      <w:r w:rsidR="00D27438">
        <w:t xml:space="preserve">hould </w:t>
      </w:r>
      <w:r w:rsidR="00516BB0">
        <w:t xml:space="preserve">Australian ADIs fund </w:t>
      </w:r>
      <w:r w:rsidR="00202AA1">
        <w:t xml:space="preserve">higher capital </w:t>
      </w:r>
      <w:r w:rsidR="0021051E">
        <w:t>requirements</w:t>
      </w:r>
      <w:r w:rsidR="00593283">
        <w:t xml:space="preserve"> </w:t>
      </w:r>
      <w:r w:rsidR="005C0024">
        <w:t xml:space="preserve">in New Zealand </w:t>
      </w:r>
      <w:r w:rsidR="00D27438">
        <w:t>by</w:t>
      </w:r>
      <w:r w:rsidR="00593283">
        <w:t xml:space="preserve"> </w:t>
      </w:r>
      <w:r w:rsidR="00516BB0">
        <w:t xml:space="preserve">retaining </w:t>
      </w:r>
      <w:r w:rsidR="00B12BCE">
        <w:t xml:space="preserve">the </w:t>
      </w:r>
      <w:r w:rsidR="00516BB0">
        <w:t xml:space="preserve">profits of their New Zealand subsidiary banks in those </w:t>
      </w:r>
      <w:r w:rsidR="0018030B">
        <w:t>subsidiaries</w:t>
      </w:r>
      <w:r w:rsidR="00516BB0">
        <w:t xml:space="preserve">, </w:t>
      </w:r>
      <w:r w:rsidR="00202AA1" w:rsidRPr="00202AA1">
        <w:t>no material additional capital</w:t>
      </w:r>
      <w:r w:rsidR="00FA3B7D">
        <w:t>, in aggregate,</w:t>
      </w:r>
      <w:r w:rsidR="00202AA1" w:rsidRPr="00202AA1">
        <w:t xml:space="preserve"> is </w:t>
      </w:r>
      <w:r w:rsidR="00202AA1">
        <w:t>likely to be required</w:t>
      </w:r>
      <w:r w:rsidR="005B7AB7">
        <w:t xml:space="preserve"> </w:t>
      </w:r>
      <w:r w:rsidR="00516BB0">
        <w:t>by</w:t>
      </w:r>
      <w:r w:rsidR="005B7AB7">
        <w:t xml:space="preserve"> </w:t>
      </w:r>
      <w:r w:rsidR="00E411AA">
        <w:t xml:space="preserve">Australian </w:t>
      </w:r>
      <w:r w:rsidR="005B7AB7">
        <w:t>ADI</w:t>
      </w:r>
      <w:r w:rsidR="00516BB0">
        <w:t>s</w:t>
      </w:r>
      <w:r w:rsidR="005B7AB7">
        <w:t>.</w:t>
      </w:r>
    </w:p>
    <w:p w14:paraId="2E5FD62F" w14:textId="3E028295" w:rsidR="00956BE3" w:rsidRPr="00DC6CC0" w:rsidRDefault="00D81763" w:rsidP="00F263E2">
      <w:pPr>
        <w:pStyle w:val="APRANORMAL"/>
      </w:pPr>
      <w:r w:rsidRPr="00DC6CC0">
        <w:t xml:space="preserve">Other </w:t>
      </w:r>
      <w:r w:rsidR="00956BE3" w:rsidRPr="00DC6CC0">
        <w:t xml:space="preserve">proposed changes to APS 111 </w:t>
      </w:r>
      <w:r w:rsidRPr="00DC6CC0">
        <w:t>include</w:t>
      </w:r>
      <w:r w:rsidR="00956BE3" w:rsidRPr="00DC6CC0">
        <w:t>:</w:t>
      </w:r>
    </w:p>
    <w:p w14:paraId="4946252F" w14:textId="3FA86948" w:rsidR="004C1E52" w:rsidRPr="00DC6CC0" w:rsidRDefault="00524C03" w:rsidP="00907F82">
      <w:pPr>
        <w:pStyle w:val="ListBullet"/>
      </w:pPr>
      <w:r w:rsidRPr="00F263E2">
        <w:t xml:space="preserve">promoting simple and </w:t>
      </w:r>
      <w:r w:rsidR="009F3420" w:rsidRPr="00F263E2">
        <w:t>transparent</w:t>
      </w:r>
      <w:r w:rsidRPr="00F263E2">
        <w:t xml:space="preserve"> capital issuance by removing the </w:t>
      </w:r>
      <w:r w:rsidR="00D81763" w:rsidRPr="00F263E2">
        <w:t xml:space="preserve">allowance for the </w:t>
      </w:r>
      <w:r w:rsidRPr="00F263E2">
        <w:t xml:space="preserve">use of special purpose vehicles </w:t>
      </w:r>
      <w:r w:rsidR="00E02500" w:rsidRPr="00F263E2">
        <w:t xml:space="preserve">(SPVs) </w:t>
      </w:r>
      <w:r w:rsidRPr="00F263E2">
        <w:t xml:space="preserve">and </w:t>
      </w:r>
      <w:r w:rsidR="009F3420" w:rsidRPr="00F263E2">
        <w:t>stapled</w:t>
      </w:r>
      <w:r w:rsidR="0043161E">
        <w:t xml:space="preserve"> </w:t>
      </w:r>
      <w:r w:rsidR="009F3420" w:rsidRPr="00F263E2">
        <w:t>security structures; and</w:t>
      </w:r>
    </w:p>
    <w:p w14:paraId="4E9C8A4F" w14:textId="319D809A" w:rsidR="00C53E2A" w:rsidRPr="00DC6CC0" w:rsidRDefault="00956BE3" w:rsidP="002A2FBF">
      <w:pPr>
        <w:pStyle w:val="ListBullet"/>
      </w:pPr>
      <w:r w:rsidRPr="00DC6CC0">
        <w:t xml:space="preserve">clarifying </w:t>
      </w:r>
      <w:r w:rsidR="002C1AB2" w:rsidRPr="00DC6CC0">
        <w:t xml:space="preserve">and simplifying </w:t>
      </w:r>
      <w:r w:rsidR="00736FC3">
        <w:t>various parts</w:t>
      </w:r>
      <w:r w:rsidRPr="00DC6CC0">
        <w:t xml:space="preserve"> of</w:t>
      </w:r>
      <w:r w:rsidR="000E7731">
        <w:t xml:space="preserve"> APS 111</w:t>
      </w:r>
      <w:r w:rsidR="002C1AB2" w:rsidRPr="00DC6CC0">
        <w:t xml:space="preserve">, which </w:t>
      </w:r>
      <w:r w:rsidR="00335592" w:rsidRPr="00DC6CC0">
        <w:t xml:space="preserve">comprise </w:t>
      </w:r>
      <w:r w:rsidR="002C1AB2" w:rsidRPr="00DC6CC0">
        <w:t>the bulk of the proposed changes</w:t>
      </w:r>
      <w:r w:rsidR="000E3760" w:rsidRPr="00F263E2">
        <w:t>.</w:t>
      </w:r>
    </w:p>
    <w:p w14:paraId="44BD4726" w14:textId="269AB16D" w:rsidR="00C50F56" w:rsidRDefault="00C37076" w:rsidP="00C50F56">
      <w:pPr>
        <w:pStyle w:val="APRANORMAL"/>
      </w:pPr>
      <w:r>
        <w:t xml:space="preserve">APRA </w:t>
      </w:r>
      <w:r w:rsidR="00E764B4">
        <w:t xml:space="preserve">does not consider its </w:t>
      </w:r>
      <w:r w:rsidR="004E3013">
        <w:t xml:space="preserve">proposal to remove </w:t>
      </w:r>
      <w:r w:rsidR="00C50F56">
        <w:t xml:space="preserve">the use </w:t>
      </w:r>
      <w:r>
        <w:t>of SPV</w:t>
      </w:r>
      <w:r w:rsidR="00C50F56">
        <w:t>s</w:t>
      </w:r>
      <w:r>
        <w:t xml:space="preserve"> and stapled security structures</w:t>
      </w:r>
      <w:r w:rsidR="00E764B4">
        <w:t xml:space="preserve"> as material</w:t>
      </w:r>
      <w:r w:rsidR="00773DD4">
        <w:t xml:space="preserve"> as these structures </w:t>
      </w:r>
      <w:r w:rsidR="00773DD4" w:rsidRPr="00773DD4">
        <w:t xml:space="preserve">have not been a feature of ADI capital issuance </w:t>
      </w:r>
      <w:r w:rsidR="00762615">
        <w:t xml:space="preserve">since 2013 </w:t>
      </w:r>
      <w:r w:rsidR="00773DD4">
        <w:t>and</w:t>
      </w:r>
      <w:r w:rsidR="004009C3">
        <w:t xml:space="preserve">, in the case of stapled security structures, </w:t>
      </w:r>
      <w:r w:rsidR="00773DD4" w:rsidRPr="00773DD4">
        <w:t xml:space="preserve">less attractive </w:t>
      </w:r>
      <w:r w:rsidR="00773DD4">
        <w:t>for</w:t>
      </w:r>
      <w:r w:rsidR="00773DD4" w:rsidRPr="00773DD4">
        <w:t xml:space="preserve"> ADIs </w:t>
      </w:r>
      <w:r w:rsidR="00762615">
        <w:t xml:space="preserve">under </w:t>
      </w:r>
      <w:r w:rsidR="007349C9">
        <w:t xml:space="preserve">the </w:t>
      </w:r>
      <w:r w:rsidR="00773DD4" w:rsidRPr="00773DD4">
        <w:t>Basel III capital reform</w:t>
      </w:r>
      <w:r w:rsidR="00773DD4">
        <w:t>s</w:t>
      </w:r>
      <w:r w:rsidR="004E3013">
        <w:t>.</w:t>
      </w:r>
    </w:p>
    <w:p w14:paraId="1480039A" w14:textId="77594B1C" w:rsidR="00E232BB" w:rsidRPr="00DC6CC0" w:rsidRDefault="00335592" w:rsidP="00F263E2">
      <w:pPr>
        <w:pStyle w:val="APRANORMAL"/>
      </w:pPr>
      <w:r w:rsidRPr="00DC6CC0">
        <w:t xml:space="preserve">APS 111 is open for consultation until </w:t>
      </w:r>
      <w:r w:rsidR="00A54F51">
        <w:t>31 January 2020</w:t>
      </w:r>
      <w:r w:rsidRPr="00DC6CC0">
        <w:t xml:space="preserve">. </w:t>
      </w:r>
      <w:r w:rsidR="00E232BB" w:rsidRPr="00DC6CC0">
        <w:t>APRA intends to finalise the changes to the Prudential Standard in early 2020</w:t>
      </w:r>
      <w:r w:rsidR="00243052">
        <w:t xml:space="preserve"> with</w:t>
      </w:r>
      <w:r w:rsidR="00E232BB" w:rsidRPr="00DC6CC0">
        <w:t xml:space="preserve"> the </w:t>
      </w:r>
      <w:r w:rsidR="001C340F" w:rsidRPr="00F263E2">
        <w:t xml:space="preserve">updated Prudential Standard </w:t>
      </w:r>
      <w:r w:rsidR="00243052">
        <w:t>to</w:t>
      </w:r>
      <w:r w:rsidR="00E232BB" w:rsidRPr="00F263E2">
        <w:t xml:space="preserve"> come into force from 1 January 2021.</w:t>
      </w:r>
    </w:p>
    <w:p w14:paraId="685CF69F" w14:textId="4A68087C" w:rsidR="00AC1C12" w:rsidRDefault="00AC1C12" w:rsidP="00AC1C12">
      <w:pPr>
        <w:pStyle w:val="Heading1"/>
      </w:pPr>
      <w:bookmarkStart w:id="5" w:name="_Toc17283302"/>
      <w:bookmarkStart w:id="6" w:name="_Toc17291184"/>
      <w:bookmarkStart w:id="7" w:name="_Toc17376624"/>
      <w:bookmarkStart w:id="8" w:name="_Toc20405502"/>
      <w:r>
        <w:t>Glossary</w:t>
      </w:r>
      <w:bookmarkEnd w:id="5"/>
      <w:bookmarkEnd w:id="6"/>
      <w:bookmarkEnd w:id="7"/>
      <w:bookmarkEnd w:id="8"/>
    </w:p>
    <w:tbl>
      <w:tblPr>
        <w:tblStyle w:val="TableOption2"/>
        <w:tblW w:w="0" w:type="auto"/>
        <w:tblLayout w:type="fixed"/>
        <w:tblLook w:val="0480" w:firstRow="0" w:lastRow="0" w:firstColumn="1" w:lastColumn="0" w:noHBand="0" w:noVBand="1"/>
      </w:tblPr>
      <w:tblGrid>
        <w:gridCol w:w="1980"/>
        <w:gridCol w:w="7035"/>
      </w:tblGrid>
      <w:tr w:rsidR="002871DF" w14:paraId="21894746" w14:textId="77777777" w:rsidTr="008F08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71FBB7D" w14:textId="4EB7AD24" w:rsidR="002871DF" w:rsidRDefault="002871DF" w:rsidP="008F087B">
            <w:pPr>
              <w:pStyle w:val="TableHeading"/>
              <w:keepNext w:val="0"/>
              <w:spacing w:before="60" w:after="60"/>
            </w:pPr>
            <w:r>
              <w:t>ADI</w:t>
            </w:r>
          </w:p>
        </w:tc>
        <w:tc>
          <w:tcPr>
            <w:tcW w:w="7035" w:type="dxa"/>
            <w:shd w:val="clear" w:color="auto" w:fill="F2F2F2" w:themeFill="background1" w:themeFillShade="F2"/>
          </w:tcPr>
          <w:p w14:paraId="176890D7" w14:textId="69C533C9" w:rsidR="002871DF" w:rsidRDefault="00D11930" w:rsidP="008F087B">
            <w:pPr>
              <w:pStyle w:val="TableHeading"/>
              <w:keepNext w:val="0"/>
              <w:spacing w:before="60" w:after="60"/>
              <w:cnfStyle w:val="000000100000" w:firstRow="0" w:lastRow="0" w:firstColumn="0" w:lastColumn="0" w:oddVBand="0" w:evenVBand="0" w:oddHBand="1" w:evenHBand="0" w:firstRowFirstColumn="0" w:firstRowLastColumn="0" w:lastRowFirstColumn="0" w:lastRowLastColumn="0"/>
            </w:pPr>
            <w:r w:rsidRPr="00D11930">
              <w:rPr>
                <w:rFonts w:ascii="DIN OT Light" w:hAnsi="DIN OT Light"/>
              </w:rPr>
              <w:t>Authorised deposit-taking institution</w:t>
            </w:r>
          </w:p>
        </w:tc>
      </w:tr>
      <w:tr w:rsidR="000B74CA" w14:paraId="21CA58EF" w14:textId="77777777" w:rsidTr="008F08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87C0402" w14:textId="7926DB7B" w:rsidR="000B74CA" w:rsidRDefault="00655A0D" w:rsidP="008F087B">
            <w:pPr>
              <w:pStyle w:val="TableHeading"/>
              <w:keepNext w:val="0"/>
              <w:spacing w:before="60" w:after="60"/>
            </w:pPr>
            <w:r w:rsidRPr="00655A0D">
              <w:t>Additional Tier 1 Capital</w:t>
            </w:r>
          </w:p>
        </w:tc>
        <w:tc>
          <w:tcPr>
            <w:tcW w:w="7035" w:type="dxa"/>
            <w:shd w:val="clear" w:color="auto" w:fill="F2F2F2" w:themeFill="background1" w:themeFillShade="F2"/>
          </w:tcPr>
          <w:p w14:paraId="68B2789F" w14:textId="181E81B7" w:rsidR="000B74CA" w:rsidRPr="00D11930" w:rsidRDefault="005251BA" w:rsidP="008F087B">
            <w:pPr>
              <w:pStyle w:val="TableHeading"/>
              <w:keepNext w:val="0"/>
              <w:spacing w:before="60" w:after="60"/>
              <w:cnfStyle w:val="000000010000" w:firstRow="0" w:lastRow="0" w:firstColumn="0" w:lastColumn="0" w:oddVBand="0" w:evenVBand="0" w:oddHBand="0" w:evenHBand="1" w:firstRowFirstColumn="0" w:firstRowLastColumn="0" w:lastRowFirstColumn="0" w:lastRowLastColumn="0"/>
              <w:rPr>
                <w:rFonts w:ascii="DIN OT Light" w:hAnsi="DIN OT Light"/>
              </w:rPr>
            </w:pPr>
            <w:r w:rsidRPr="005251BA">
              <w:rPr>
                <w:rFonts w:ascii="DIN OT Light" w:hAnsi="DIN OT Light"/>
              </w:rPr>
              <w:t>Capital instruments that provide loss-absorption while the ADI remains a going concern, but do not satisfy all of the criteria for inclusion in C</w:t>
            </w:r>
            <w:r w:rsidR="0043161E">
              <w:rPr>
                <w:rFonts w:ascii="DIN OT Light" w:hAnsi="DIN OT Light"/>
              </w:rPr>
              <w:t xml:space="preserve">ET1 </w:t>
            </w:r>
            <w:r>
              <w:rPr>
                <w:rFonts w:ascii="DIN OT Light" w:hAnsi="DIN OT Light"/>
              </w:rPr>
              <w:t>C</w:t>
            </w:r>
            <w:r w:rsidRPr="005251BA">
              <w:rPr>
                <w:rFonts w:ascii="DIN OT Light" w:hAnsi="DIN OT Light"/>
              </w:rPr>
              <w:t>apital</w:t>
            </w:r>
            <w:r>
              <w:rPr>
                <w:rFonts w:ascii="DIN OT Light" w:hAnsi="DIN OT Light"/>
              </w:rPr>
              <w:t>.</w:t>
            </w:r>
          </w:p>
        </w:tc>
      </w:tr>
      <w:tr w:rsidR="000B74CA" w14:paraId="6E57BBEB" w14:textId="77777777" w:rsidTr="008F08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AC29540" w14:textId="2C77AB9E" w:rsidR="000B74CA" w:rsidRDefault="002871DF" w:rsidP="008F087B">
            <w:pPr>
              <w:pStyle w:val="TableHeading"/>
              <w:keepNext w:val="0"/>
              <w:spacing w:before="60" w:after="60"/>
            </w:pPr>
            <w:r>
              <w:t>APRA</w:t>
            </w:r>
          </w:p>
        </w:tc>
        <w:tc>
          <w:tcPr>
            <w:tcW w:w="7035" w:type="dxa"/>
            <w:shd w:val="clear" w:color="auto" w:fill="F2F2F2" w:themeFill="background1" w:themeFillShade="F2"/>
          </w:tcPr>
          <w:p w14:paraId="45E49C94" w14:textId="5074D73C" w:rsidR="000B74CA" w:rsidRPr="00D11930" w:rsidRDefault="00D11930" w:rsidP="008F087B">
            <w:pPr>
              <w:pStyle w:val="TableHeading"/>
              <w:keepNext w:val="0"/>
              <w:spacing w:before="60" w:after="60"/>
              <w:cnfStyle w:val="000000100000" w:firstRow="0" w:lastRow="0" w:firstColumn="0" w:lastColumn="0" w:oddVBand="0" w:evenVBand="0" w:oddHBand="1" w:evenHBand="0" w:firstRowFirstColumn="0" w:firstRowLastColumn="0" w:lastRowFirstColumn="0" w:lastRowLastColumn="0"/>
              <w:rPr>
                <w:rFonts w:ascii="DIN OT Light" w:hAnsi="DIN OT Light"/>
              </w:rPr>
            </w:pPr>
            <w:r w:rsidRPr="00D11930">
              <w:rPr>
                <w:rFonts w:ascii="DIN OT Light" w:hAnsi="DIN OT Light"/>
              </w:rPr>
              <w:t xml:space="preserve">Australian </w:t>
            </w:r>
            <w:r>
              <w:rPr>
                <w:rFonts w:ascii="DIN OT Light" w:hAnsi="DIN OT Light"/>
              </w:rPr>
              <w:t>Prudential Regulation Authority</w:t>
            </w:r>
          </w:p>
        </w:tc>
      </w:tr>
      <w:tr w:rsidR="000B74CA" w14:paraId="3D0F7C01" w14:textId="77777777" w:rsidTr="008F08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6D124A0" w14:textId="27D99CC6" w:rsidR="000B74CA" w:rsidRDefault="002871DF" w:rsidP="008F087B">
            <w:pPr>
              <w:pStyle w:val="TableHeading"/>
              <w:keepNext w:val="0"/>
              <w:spacing w:before="60" w:after="60"/>
            </w:pPr>
            <w:r w:rsidRPr="002871DF">
              <w:t>APS 110</w:t>
            </w:r>
          </w:p>
        </w:tc>
        <w:tc>
          <w:tcPr>
            <w:tcW w:w="7035" w:type="dxa"/>
            <w:shd w:val="clear" w:color="auto" w:fill="F2F2F2" w:themeFill="background1" w:themeFillShade="F2"/>
          </w:tcPr>
          <w:p w14:paraId="1076EA84" w14:textId="22B636E2" w:rsidR="000B74CA" w:rsidRPr="00095A5B" w:rsidRDefault="00D11930" w:rsidP="008F087B">
            <w:pPr>
              <w:tabs>
                <w:tab w:val="clear" w:pos="1492"/>
              </w:tabs>
              <w:cnfStyle w:val="000000010000" w:firstRow="0" w:lastRow="0" w:firstColumn="0" w:lastColumn="0" w:oddVBand="0" w:evenVBand="0" w:oddHBand="0" w:evenHBand="1" w:firstRowFirstColumn="0" w:firstRowLastColumn="0" w:lastRowFirstColumn="0" w:lastRowLastColumn="0"/>
              <w:rPr>
                <w:i/>
              </w:rPr>
            </w:pPr>
            <w:r w:rsidRPr="00095A5B">
              <w:rPr>
                <w:i/>
              </w:rPr>
              <w:t>Prudential Standard APS 110 Capital Adequacy</w:t>
            </w:r>
          </w:p>
        </w:tc>
      </w:tr>
      <w:tr w:rsidR="002871DF" w14:paraId="6FBD5346" w14:textId="77777777" w:rsidTr="008F08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4F142A7" w14:textId="46B250F8" w:rsidR="002871DF" w:rsidRPr="002871DF" w:rsidRDefault="00D11930" w:rsidP="008F087B">
            <w:pPr>
              <w:pStyle w:val="TableHeading"/>
              <w:keepNext w:val="0"/>
              <w:spacing w:before="60" w:after="60"/>
            </w:pPr>
            <w:r>
              <w:t>APS 111</w:t>
            </w:r>
          </w:p>
        </w:tc>
        <w:tc>
          <w:tcPr>
            <w:tcW w:w="7035" w:type="dxa"/>
            <w:shd w:val="clear" w:color="auto" w:fill="F2F2F2" w:themeFill="background1" w:themeFillShade="F2"/>
          </w:tcPr>
          <w:p w14:paraId="5696BC29" w14:textId="4DFCC367" w:rsidR="002871DF" w:rsidRPr="00095A5B" w:rsidRDefault="00D11930" w:rsidP="008F087B">
            <w:pPr>
              <w:tabs>
                <w:tab w:val="clear" w:pos="1492"/>
              </w:tabs>
              <w:cnfStyle w:val="000000100000" w:firstRow="0" w:lastRow="0" w:firstColumn="0" w:lastColumn="0" w:oddVBand="0" w:evenVBand="0" w:oddHBand="1" w:evenHBand="0" w:firstRowFirstColumn="0" w:firstRowLastColumn="0" w:lastRowFirstColumn="0" w:lastRowLastColumn="0"/>
              <w:rPr>
                <w:i/>
              </w:rPr>
            </w:pPr>
            <w:r w:rsidRPr="00095A5B">
              <w:rPr>
                <w:i/>
              </w:rPr>
              <w:t>Prudential Standard APS 111 Capital Adequacy: Measurement of Capital</w:t>
            </w:r>
          </w:p>
        </w:tc>
      </w:tr>
      <w:tr w:rsidR="00D11930" w14:paraId="0283B84A" w14:textId="77777777" w:rsidTr="008F08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6DCCC5D" w14:textId="5C6C13CE" w:rsidR="00D11930" w:rsidRPr="002871DF" w:rsidRDefault="00D11930" w:rsidP="008F087B">
            <w:pPr>
              <w:pStyle w:val="TableHeading"/>
              <w:keepNext w:val="0"/>
              <w:spacing w:before="60" w:after="60"/>
            </w:pPr>
            <w:r w:rsidRPr="002871DF">
              <w:t>Basel Committee</w:t>
            </w:r>
          </w:p>
        </w:tc>
        <w:tc>
          <w:tcPr>
            <w:tcW w:w="7035" w:type="dxa"/>
            <w:shd w:val="clear" w:color="auto" w:fill="F2F2F2" w:themeFill="background1" w:themeFillShade="F2"/>
          </w:tcPr>
          <w:p w14:paraId="5F98C328" w14:textId="2F3A5B46" w:rsidR="00D11930" w:rsidRDefault="00D11930" w:rsidP="008F087B">
            <w:pPr>
              <w:tabs>
                <w:tab w:val="clear" w:pos="1492"/>
              </w:tabs>
              <w:cnfStyle w:val="000000010000" w:firstRow="0" w:lastRow="0" w:firstColumn="0" w:lastColumn="0" w:oddVBand="0" w:evenVBand="0" w:oddHBand="0" w:evenHBand="1" w:firstRowFirstColumn="0" w:firstRowLastColumn="0" w:lastRowFirstColumn="0" w:lastRowLastColumn="0"/>
            </w:pPr>
            <w:r>
              <w:t>Basel Committee on Banking Supervision</w:t>
            </w:r>
          </w:p>
        </w:tc>
      </w:tr>
      <w:tr w:rsidR="00C10A65" w14:paraId="63CC8BBE" w14:textId="77777777" w:rsidTr="008F08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354DB6D" w14:textId="2F7EC0A4" w:rsidR="00C10A65" w:rsidRPr="002871DF" w:rsidRDefault="00C10A65" w:rsidP="008F087B">
            <w:pPr>
              <w:pStyle w:val="TableHeading"/>
              <w:keepNext w:val="0"/>
              <w:spacing w:before="60" w:after="60"/>
            </w:pPr>
            <w:r>
              <w:t>Basel III</w:t>
            </w:r>
            <w:r w:rsidR="00773DD4">
              <w:t xml:space="preserve"> </w:t>
            </w:r>
          </w:p>
        </w:tc>
        <w:tc>
          <w:tcPr>
            <w:tcW w:w="7035" w:type="dxa"/>
            <w:shd w:val="clear" w:color="auto" w:fill="F2F2F2" w:themeFill="background1" w:themeFillShade="F2"/>
          </w:tcPr>
          <w:p w14:paraId="1972CA6E" w14:textId="5D3DD413" w:rsidR="00C10A65" w:rsidRPr="00F263E2" w:rsidRDefault="00D54B27" w:rsidP="008F087B">
            <w:pPr>
              <w:pStyle w:val="TableHeading"/>
              <w:keepNext w:val="0"/>
              <w:spacing w:before="60" w:after="60"/>
              <w:cnfStyle w:val="000000100000" w:firstRow="0" w:lastRow="0" w:firstColumn="0" w:lastColumn="0" w:oddVBand="0" w:evenVBand="0" w:oddHBand="1" w:evenHBand="0" w:firstRowFirstColumn="0" w:firstRowLastColumn="0" w:lastRowFirstColumn="0" w:lastRowLastColumn="0"/>
            </w:pPr>
            <w:r w:rsidRPr="00F263E2">
              <w:rPr>
                <w:rFonts w:ascii="DIN OT Light" w:hAnsi="DIN OT Light"/>
              </w:rPr>
              <w:t>A series of revisions to the Basel capital framework following the global financial crisis that commenced with the Basel Committee</w:t>
            </w:r>
            <w:r w:rsidR="00DC6CC0" w:rsidRPr="00F263E2">
              <w:rPr>
                <w:rFonts w:ascii="DIN OT Light" w:hAnsi="DIN OT Light"/>
              </w:rPr>
              <w:t>’s</w:t>
            </w:r>
            <w:r w:rsidRPr="00F263E2">
              <w:rPr>
                <w:rFonts w:ascii="DIN OT Light" w:hAnsi="DIN OT Light"/>
              </w:rPr>
              <w:t xml:space="preserve"> </w:t>
            </w:r>
            <w:r w:rsidRPr="00F263E2">
              <w:rPr>
                <w:rFonts w:ascii="DIN OT Light" w:hAnsi="DIN OT Light"/>
                <w:i/>
              </w:rPr>
              <w:t>Basel III: A global regulatory framework for more resilient banks and banking systems</w:t>
            </w:r>
            <w:r w:rsidRPr="00F263E2">
              <w:rPr>
                <w:rFonts w:ascii="DIN OT Light" w:hAnsi="DIN OT Light"/>
              </w:rPr>
              <w:t>, December 2010 (revised June 2011).</w:t>
            </w:r>
          </w:p>
        </w:tc>
      </w:tr>
      <w:tr w:rsidR="00D11930" w14:paraId="762029BB" w14:textId="77777777" w:rsidTr="008F08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A0E9FF" w14:textId="7CC540EE" w:rsidR="00D11930" w:rsidRPr="002871DF" w:rsidRDefault="00655A0D" w:rsidP="008F087B">
            <w:pPr>
              <w:pStyle w:val="TableHeading"/>
              <w:keepNext w:val="0"/>
              <w:spacing w:before="60" w:after="60"/>
            </w:pPr>
            <w:r w:rsidRPr="00655A0D">
              <w:t>C</w:t>
            </w:r>
            <w:r w:rsidR="000157B6">
              <w:t>ET1</w:t>
            </w:r>
            <w:r w:rsidRPr="00655A0D">
              <w:t xml:space="preserve"> Capital</w:t>
            </w:r>
          </w:p>
        </w:tc>
        <w:tc>
          <w:tcPr>
            <w:tcW w:w="7035" w:type="dxa"/>
            <w:shd w:val="clear" w:color="auto" w:fill="F2F2F2" w:themeFill="background1" w:themeFillShade="F2"/>
          </w:tcPr>
          <w:p w14:paraId="413DACEF" w14:textId="5A5FF9CB" w:rsidR="00D11930" w:rsidRDefault="009B12CB" w:rsidP="008F087B">
            <w:pPr>
              <w:tabs>
                <w:tab w:val="clear" w:pos="1492"/>
              </w:tabs>
              <w:cnfStyle w:val="000000010000" w:firstRow="0" w:lastRow="0" w:firstColumn="0" w:lastColumn="0" w:oddVBand="0" w:evenVBand="0" w:oddHBand="0" w:evenHBand="1" w:firstRowFirstColumn="0" w:firstRowLastColumn="0" w:lastRowFirstColumn="0" w:lastRowLastColumn="0"/>
            </w:pPr>
            <w:r>
              <w:t xml:space="preserve">Common Equity Tier 1 Capital. </w:t>
            </w:r>
            <w:r w:rsidR="00432AE3" w:rsidRPr="00432AE3">
              <w:t>The highest quality component of capital. It is subordinated to all other elements of funding, absorbs losses as and when they occur, has full flexibility of dividend payments and has no maturity date</w:t>
            </w:r>
            <w:r w:rsidR="00432AE3">
              <w:t>.</w:t>
            </w:r>
          </w:p>
        </w:tc>
      </w:tr>
      <w:tr w:rsidR="00D11930" w14:paraId="536AC41B" w14:textId="77777777" w:rsidTr="008F08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2BD9FC1" w14:textId="32C96BDE" w:rsidR="00D11930" w:rsidRPr="002871DF" w:rsidRDefault="00D11930" w:rsidP="008F087B">
            <w:pPr>
              <w:pStyle w:val="TableHeading"/>
              <w:keepNext w:val="0"/>
              <w:spacing w:before="60" w:after="60"/>
            </w:pPr>
            <w:r>
              <w:t>Level 1</w:t>
            </w:r>
          </w:p>
        </w:tc>
        <w:tc>
          <w:tcPr>
            <w:tcW w:w="7035" w:type="dxa"/>
            <w:shd w:val="clear" w:color="auto" w:fill="F2F2F2" w:themeFill="background1" w:themeFillShade="F2"/>
          </w:tcPr>
          <w:p w14:paraId="1FA68C8D" w14:textId="4A6C3B1D" w:rsidR="00D11930" w:rsidRDefault="00F36344" w:rsidP="008F087B">
            <w:pPr>
              <w:tabs>
                <w:tab w:val="clear" w:pos="1492"/>
              </w:tabs>
              <w:cnfStyle w:val="000000100000" w:firstRow="0" w:lastRow="0" w:firstColumn="0" w:lastColumn="0" w:oddVBand="0" w:evenVBand="0" w:oddHBand="1" w:evenHBand="0" w:firstRowFirstColumn="0" w:firstRowLastColumn="0" w:lastRowFirstColumn="0" w:lastRowLastColumn="0"/>
            </w:pPr>
            <w:r>
              <w:t>T</w:t>
            </w:r>
            <w:r w:rsidRPr="00F36344">
              <w:t>he ADI itself or the E</w:t>
            </w:r>
            <w:r>
              <w:t>xtended Licensed Entity</w:t>
            </w:r>
            <w:r w:rsidR="00E64ED2">
              <w:t>.</w:t>
            </w:r>
          </w:p>
        </w:tc>
      </w:tr>
      <w:tr w:rsidR="00D11930" w14:paraId="13D0D3DB" w14:textId="77777777" w:rsidTr="008F08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A8189E3" w14:textId="6E879EF4" w:rsidR="00D11930" w:rsidRPr="002871DF" w:rsidRDefault="00D11930" w:rsidP="008F087B">
            <w:pPr>
              <w:pStyle w:val="TableHeading"/>
              <w:keepNext w:val="0"/>
              <w:spacing w:before="60" w:after="60"/>
            </w:pPr>
            <w:r>
              <w:t>Level 2</w:t>
            </w:r>
          </w:p>
        </w:tc>
        <w:tc>
          <w:tcPr>
            <w:tcW w:w="7035" w:type="dxa"/>
            <w:shd w:val="clear" w:color="auto" w:fill="F2F2F2" w:themeFill="background1" w:themeFillShade="F2"/>
          </w:tcPr>
          <w:p w14:paraId="76938135" w14:textId="00764111" w:rsidR="00D11930" w:rsidRPr="00D11930" w:rsidRDefault="00F36344" w:rsidP="008F087B">
            <w:pPr>
              <w:spacing w:before="0" w:after="240"/>
              <w:cnfStyle w:val="000000010000" w:firstRow="0" w:lastRow="0" w:firstColumn="0" w:lastColumn="0" w:oddVBand="0" w:evenVBand="0" w:oddHBand="0" w:evenHBand="1" w:firstRowFirstColumn="0" w:firstRowLastColumn="0" w:lastRowFirstColumn="0" w:lastRowLastColumn="0"/>
            </w:pPr>
            <w:r>
              <w:t>The consolidation of the ADI and all its subsidiar</w:t>
            </w:r>
            <w:r w:rsidR="00E64ED2">
              <w:t>ies o</w:t>
            </w:r>
            <w:r>
              <w:t xml:space="preserve">ther than non-consolidated subsidiaries; or if the ADI is a subsidiary of a non-operating holding company (NOHC), the consolidation of the </w:t>
            </w:r>
            <w:r w:rsidR="00DE0C48">
              <w:t>immediate</w:t>
            </w:r>
            <w:r w:rsidR="006F2681">
              <w:t xml:space="preserve"> parent </w:t>
            </w:r>
            <w:r>
              <w:t xml:space="preserve">NOHC and all the </w:t>
            </w:r>
            <w:r w:rsidR="006F2681">
              <w:t xml:space="preserve">immediate parent </w:t>
            </w:r>
            <w:r>
              <w:t>NOHC’s subsidiar</w:t>
            </w:r>
            <w:r w:rsidR="00E64ED2">
              <w:t>ies</w:t>
            </w:r>
            <w:r>
              <w:t xml:space="preserve"> (including any ADIs and their subsidiar</w:t>
            </w:r>
            <w:r w:rsidR="00E64ED2">
              <w:t>ies</w:t>
            </w:r>
            <w:r>
              <w:t>) other than non-consolidated subsidiaries.</w:t>
            </w:r>
          </w:p>
        </w:tc>
      </w:tr>
      <w:tr w:rsidR="009B258D" w14:paraId="213471E3" w14:textId="77777777" w:rsidTr="008F08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CA411E6" w14:textId="27FE6FC8" w:rsidR="009B258D" w:rsidRDefault="009B258D" w:rsidP="008F087B">
            <w:pPr>
              <w:pStyle w:val="TableHeading"/>
              <w:keepNext w:val="0"/>
              <w:spacing w:before="60" w:after="60"/>
            </w:pPr>
            <w:r>
              <w:t>Mutual equity interests</w:t>
            </w:r>
          </w:p>
        </w:tc>
        <w:tc>
          <w:tcPr>
            <w:tcW w:w="7035" w:type="dxa"/>
            <w:shd w:val="clear" w:color="auto" w:fill="F2F2F2" w:themeFill="background1" w:themeFillShade="F2"/>
          </w:tcPr>
          <w:p w14:paraId="6D4F95D8" w14:textId="4E18C9B1" w:rsidR="009B258D" w:rsidRPr="00D11930" w:rsidRDefault="009B258D" w:rsidP="009B258D">
            <w:pPr>
              <w:cnfStyle w:val="000000100000" w:firstRow="0" w:lastRow="0" w:firstColumn="0" w:lastColumn="0" w:oddVBand="0" w:evenVBand="0" w:oddHBand="1" w:evenHBand="0" w:firstRowFirstColumn="0" w:firstRowLastColumn="0" w:lastRowFirstColumn="0" w:lastRowLastColumn="0"/>
            </w:pPr>
            <w:r>
              <w:t>C</w:t>
            </w:r>
            <w:r w:rsidRPr="009B258D">
              <w:t xml:space="preserve">apital instruments </w:t>
            </w:r>
            <w:r>
              <w:t xml:space="preserve">issued by mutually-owned ADIs that </w:t>
            </w:r>
            <w:r w:rsidRPr="009B258D">
              <w:t xml:space="preserve">meet the definition of CET1 </w:t>
            </w:r>
            <w:r>
              <w:t>C</w:t>
            </w:r>
            <w:r w:rsidRPr="009B258D">
              <w:t>apita</w:t>
            </w:r>
            <w:r>
              <w:t>l.</w:t>
            </w:r>
          </w:p>
        </w:tc>
      </w:tr>
      <w:tr w:rsidR="00D11930" w14:paraId="0D0963A9" w14:textId="77777777" w:rsidTr="008F08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31DD84B" w14:textId="1FE0C31D" w:rsidR="00D11930" w:rsidRPr="002871DF" w:rsidRDefault="00D11930" w:rsidP="008F087B">
            <w:pPr>
              <w:pStyle w:val="TableHeading"/>
              <w:keepNext w:val="0"/>
              <w:spacing w:before="60" w:after="60"/>
            </w:pPr>
            <w:r>
              <w:t>Regulatory Capital</w:t>
            </w:r>
          </w:p>
        </w:tc>
        <w:tc>
          <w:tcPr>
            <w:tcW w:w="7035" w:type="dxa"/>
            <w:shd w:val="clear" w:color="auto" w:fill="F2F2F2" w:themeFill="background1" w:themeFillShade="F2"/>
          </w:tcPr>
          <w:p w14:paraId="0AFFA92A" w14:textId="5C783FF6" w:rsidR="00D11930" w:rsidRDefault="00D11930" w:rsidP="008F087B">
            <w:pPr>
              <w:cnfStyle w:val="000000010000" w:firstRow="0" w:lastRow="0" w:firstColumn="0" w:lastColumn="0" w:oddVBand="0" w:evenVBand="0" w:oddHBand="0" w:evenHBand="1" w:firstRowFirstColumn="0" w:firstRowLastColumn="0" w:lastRowFirstColumn="0" w:lastRowLastColumn="0"/>
            </w:pPr>
            <w:r w:rsidRPr="00D11930">
              <w:t>Consists of Tier 1 Capital and Tier 2 Capital</w:t>
            </w:r>
            <w:r w:rsidR="00F36344">
              <w:t>.</w:t>
            </w:r>
          </w:p>
        </w:tc>
      </w:tr>
      <w:tr w:rsidR="006731DA" w14:paraId="0E6B6756" w14:textId="77777777" w:rsidTr="008F08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EDAF684" w14:textId="1C08FA40" w:rsidR="006731DA" w:rsidRDefault="006731DA" w:rsidP="008F087B">
            <w:pPr>
              <w:pStyle w:val="TableHeading"/>
              <w:keepNext w:val="0"/>
              <w:spacing w:before="60" w:after="60"/>
            </w:pPr>
            <w:r>
              <w:t>Tier 1 Capital</w:t>
            </w:r>
          </w:p>
        </w:tc>
        <w:tc>
          <w:tcPr>
            <w:tcW w:w="7035" w:type="dxa"/>
            <w:shd w:val="clear" w:color="auto" w:fill="F2F2F2" w:themeFill="background1" w:themeFillShade="F2"/>
          </w:tcPr>
          <w:p w14:paraId="613020E9" w14:textId="75DF5DEC" w:rsidR="006731DA" w:rsidRPr="00B55B62" w:rsidRDefault="006731DA" w:rsidP="008F087B">
            <w:pPr>
              <w:cnfStyle w:val="000000100000" w:firstRow="0" w:lastRow="0" w:firstColumn="0" w:lastColumn="0" w:oddVBand="0" w:evenVBand="0" w:oddHBand="1" w:evenHBand="0" w:firstRowFirstColumn="0" w:firstRowLastColumn="0" w:lastRowFirstColumn="0" w:lastRowLastColumn="0"/>
            </w:pPr>
            <w:r>
              <w:t>The</w:t>
            </w:r>
            <w:r w:rsidRPr="006731DA">
              <w:t xml:space="preserve"> sum of the components of C</w:t>
            </w:r>
            <w:r w:rsidR="00E93EA1">
              <w:t>ET</w:t>
            </w:r>
            <w:r w:rsidRPr="006731DA">
              <w:t>1 Capital</w:t>
            </w:r>
            <w:r w:rsidR="003A347D">
              <w:t>,</w:t>
            </w:r>
            <w:r w:rsidRPr="006731DA">
              <w:t xml:space="preserve"> Additional Tier 1 Capital</w:t>
            </w:r>
            <w:r w:rsidR="009B12CB">
              <w:t>,</w:t>
            </w:r>
            <w:r w:rsidR="003A347D">
              <w:t xml:space="preserve"> and </w:t>
            </w:r>
            <w:r w:rsidR="009B12CB">
              <w:t xml:space="preserve">eligible </w:t>
            </w:r>
            <w:r w:rsidR="003A347D">
              <w:t>Mutual Equity Interests</w:t>
            </w:r>
            <w:r w:rsidR="009B12CB">
              <w:t xml:space="preserve"> that is </w:t>
            </w:r>
            <w:r w:rsidR="009B12CB" w:rsidRPr="009B12CB">
              <w:t>in excess of the limit for recognition as C</w:t>
            </w:r>
            <w:r w:rsidR="009B12CB">
              <w:t xml:space="preserve">ET1 </w:t>
            </w:r>
            <w:r w:rsidR="009B12CB" w:rsidRPr="009B12CB">
              <w:t>Capital</w:t>
            </w:r>
            <w:r w:rsidR="003A347D">
              <w:t>.</w:t>
            </w:r>
          </w:p>
        </w:tc>
      </w:tr>
      <w:tr w:rsidR="00D11930" w14:paraId="5CFC668E" w14:textId="77777777" w:rsidTr="008F08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1AD174C" w14:textId="315EE165" w:rsidR="00D11930" w:rsidRPr="002871DF" w:rsidRDefault="000217D9" w:rsidP="008F087B">
            <w:pPr>
              <w:pStyle w:val="TableHeading"/>
              <w:keepNext w:val="0"/>
              <w:spacing w:before="60" w:after="60"/>
            </w:pPr>
            <w:r>
              <w:t>Tier 2 Capital</w:t>
            </w:r>
          </w:p>
        </w:tc>
        <w:tc>
          <w:tcPr>
            <w:tcW w:w="7035" w:type="dxa"/>
            <w:shd w:val="clear" w:color="auto" w:fill="F2F2F2" w:themeFill="background1" w:themeFillShade="F2"/>
          </w:tcPr>
          <w:p w14:paraId="38638544" w14:textId="15966BF5" w:rsidR="00D11930" w:rsidRDefault="00B55B62" w:rsidP="008F087B">
            <w:pPr>
              <w:cnfStyle w:val="000000010000" w:firstRow="0" w:lastRow="0" w:firstColumn="0" w:lastColumn="0" w:oddVBand="0" w:evenVBand="0" w:oddHBand="0" w:evenHBand="1" w:firstRowFirstColumn="0" w:firstRowLastColumn="0" w:lastRowFirstColumn="0" w:lastRowLastColumn="0"/>
            </w:pPr>
            <w:r w:rsidRPr="00B55B62">
              <w:t xml:space="preserve">Other components of </w:t>
            </w:r>
            <w:r w:rsidR="001C3ED6">
              <w:t>Regulatory C</w:t>
            </w:r>
            <w:r w:rsidRPr="00B55B62">
              <w:t>apital that, to varying degrees, fall short of the quality of Tier 1 Capital but nonetheless contribute to the overall strength of an ADI and its capacity to absorb losses</w:t>
            </w:r>
            <w:r>
              <w:t>.</w:t>
            </w:r>
          </w:p>
        </w:tc>
      </w:tr>
      <w:tr w:rsidR="00D11930" w14:paraId="694016A9" w14:textId="77777777" w:rsidTr="008F08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D33504A" w14:textId="0A937EB9" w:rsidR="00D11930" w:rsidRDefault="00D11930" w:rsidP="008F087B">
            <w:pPr>
              <w:pStyle w:val="TableHeading"/>
              <w:keepNext w:val="0"/>
              <w:keepLines/>
              <w:spacing w:before="60" w:after="60"/>
            </w:pPr>
            <w:r>
              <w:t>TLAC</w:t>
            </w:r>
          </w:p>
        </w:tc>
        <w:tc>
          <w:tcPr>
            <w:tcW w:w="7035" w:type="dxa"/>
            <w:shd w:val="clear" w:color="auto" w:fill="F2F2F2" w:themeFill="background1" w:themeFillShade="F2"/>
          </w:tcPr>
          <w:p w14:paraId="049BD4D1" w14:textId="2155E561" w:rsidR="00D11930" w:rsidRDefault="003164E3" w:rsidP="00EA5E06">
            <w:pPr>
              <w:keepLines/>
              <w:tabs>
                <w:tab w:val="clear" w:pos="1492"/>
              </w:tabs>
              <w:cnfStyle w:val="000000100000" w:firstRow="0" w:lastRow="0" w:firstColumn="0" w:lastColumn="0" w:oddVBand="0" w:evenVBand="0" w:oddHBand="1" w:evenHBand="0" w:firstRowFirstColumn="0" w:firstRowLastColumn="0" w:lastRowFirstColumn="0" w:lastRowLastColumn="0"/>
            </w:pPr>
            <w:r w:rsidRPr="003164E3">
              <w:t xml:space="preserve">Financial Stability Board (FSB) standard for </w:t>
            </w:r>
            <w:r w:rsidR="00D11930" w:rsidRPr="00D11930">
              <w:t>Total Loss Absorbing Capacity</w:t>
            </w:r>
            <w:r>
              <w:t>, November 2015.</w:t>
            </w:r>
            <w:r w:rsidR="009D0901">
              <w:t xml:space="preserve"> </w:t>
            </w:r>
            <w:r w:rsidR="0037517D">
              <w:t xml:space="preserve">The </w:t>
            </w:r>
            <w:r w:rsidR="0037517D" w:rsidRPr="0037517D">
              <w:t>FSB’s TLAC Term Sheet</w:t>
            </w:r>
            <w:r w:rsidR="0037517D">
              <w:t xml:space="preserve"> </w:t>
            </w:r>
            <w:r w:rsidR="0037517D" w:rsidRPr="0037517D">
              <w:t xml:space="preserve">sets out eligibility criteria for TLAC-eligible instruments. For the purpose of the </w:t>
            </w:r>
            <w:r w:rsidR="001674E0">
              <w:t xml:space="preserve">deducting these holdings from Tier 2 </w:t>
            </w:r>
            <w:r w:rsidR="00EA5E06">
              <w:t>C</w:t>
            </w:r>
            <w:r w:rsidR="001674E0">
              <w:t>apital</w:t>
            </w:r>
            <w:r w:rsidR="0037517D" w:rsidRPr="0037517D">
              <w:t xml:space="preserve">, TLAC holdings include: all direct, indirect and synthetic holdings of external TLAC; all instruments ranking </w:t>
            </w:r>
            <w:r w:rsidR="0037517D" w:rsidRPr="0037517D">
              <w:rPr>
                <w:i/>
              </w:rPr>
              <w:t>pari passu</w:t>
            </w:r>
            <w:r w:rsidR="0037517D" w:rsidRPr="0037517D">
              <w:t xml:space="preserve"> with subordinated forms of TLAC; and excludes all holdings of instruments or other claims listed in the “Excluded Liabilities” section of the FSB TLAC Term Sheet.</w:t>
            </w:r>
          </w:p>
        </w:tc>
      </w:tr>
    </w:tbl>
    <w:p w14:paraId="6C78AAE5" w14:textId="51B77723" w:rsidR="00AC1C12" w:rsidRPr="00715369" w:rsidRDefault="00515B31" w:rsidP="00715369">
      <w:pPr>
        <w:pStyle w:val="Heading1Numbers"/>
      </w:pPr>
      <w:bookmarkStart w:id="9" w:name="_Toc17283303"/>
      <w:bookmarkStart w:id="10" w:name="_Toc17291185"/>
      <w:bookmarkStart w:id="11" w:name="_Toc17376625"/>
      <w:bookmarkStart w:id="12" w:name="_Toc20405503"/>
      <w:r w:rsidRPr="00715369">
        <w:t>Introduction</w:t>
      </w:r>
      <w:bookmarkEnd w:id="9"/>
      <w:bookmarkEnd w:id="10"/>
      <w:bookmarkEnd w:id="11"/>
      <w:bookmarkEnd w:id="12"/>
    </w:p>
    <w:p w14:paraId="6C40FB7D" w14:textId="2194E998" w:rsidR="00AC1C12" w:rsidRDefault="00095A5B" w:rsidP="000217D9">
      <w:pPr>
        <w:pStyle w:val="Heading2Numbers"/>
        <w:ind w:left="851"/>
      </w:pPr>
      <w:bookmarkStart w:id="13" w:name="_Toc15987921"/>
      <w:bookmarkStart w:id="14" w:name="_Toc16067944"/>
      <w:bookmarkStart w:id="15" w:name="_Toc16752456"/>
      <w:bookmarkStart w:id="16" w:name="_Toc16759893"/>
      <w:bookmarkStart w:id="17" w:name="_Toc16765482"/>
      <w:bookmarkStart w:id="18" w:name="_Toc16773492"/>
      <w:bookmarkStart w:id="19" w:name="_Toc16773749"/>
      <w:bookmarkStart w:id="20" w:name="_Toc17097502"/>
      <w:bookmarkStart w:id="21" w:name="_Toc17103789"/>
      <w:bookmarkStart w:id="22" w:name="_Toc17105585"/>
      <w:bookmarkStart w:id="23" w:name="_Toc17276151"/>
      <w:bookmarkStart w:id="24" w:name="_Toc17283304"/>
      <w:bookmarkStart w:id="25" w:name="_Toc17291186"/>
      <w:bookmarkStart w:id="26" w:name="_Toc17375773"/>
      <w:bookmarkStart w:id="27" w:name="_Toc17376626"/>
      <w:bookmarkStart w:id="28" w:name="_Toc17450817"/>
      <w:bookmarkStart w:id="29" w:name="_Toc17468072"/>
      <w:bookmarkStart w:id="30" w:name="_Toc17811651"/>
      <w:bookmarkStart w:id="31" w:name="_Toc19122132"/>
      <w:bookmarkStart w:id="32" w:name="_Toc20405504"/>
      <w:r>
        <w:t>Background</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79B353C4" w14:textId="1C537546" w:rsidR="00095A5B" w:rsidRDefault="00652576" w:rsidP="006E1E18">
      <w:r>
        <w:t>APS 111</w:t>
      </w:r>
      <w:r w:rsidR="00095A5B">
        <w:t xml:space="preserve"> </w:t>
      </w:r>
      <w:r w:rsidR="00446EDC">
        <w:t xml:space="preserve">requires </w:t>
      </w:r>
      <w:r w:rsidR="00095A5B">
        <w:t xml:space="preserve">an instrument </w:t>
      </w:r>
      <w:r w:rsidR="00446EDC">
        <w:t xml:space="preserve">to have certain characteristics </w:t>
      </w:r>
      <w:r w:rsidR="00095A5B">
        <w:t xml:space="preserve">to qualify as Regulatory Capital for an ADI and </w:t>
      </w:r>
      <w:r w:rsidR="00F64D08">
        <w:t xml:space="preserve">requires an ADI to make </w:t>
      </w:r>
      <w:r w:rsidR="00095A5B">
        <w:t xml:space="preserve">various </w:t>
      </w:r>
      <w:r w:rsidR="0088149D">
        <w:t>deductions</w:t>
      </w:r>
      <w:r w:rsidR="00095A5B">
        <w:t xml:space="preserve"> to determine total Regulatory Capital on both a Level 1 and Level 2 basis</w:t>
      </w:r>
      <w:r w:rsidR="00D36428">
        <w:t>.</w:t>
      </w:r>
    </w:p>
    <w:p w14:paraId="6FA1747F" w14:textId="77777777" w:rsidR="00095A5B" w:rsidRDefault="00095A5B" w:rsidP="00095A5B">
      <w:pPr>
        <w:tabs>
          <w:tab w:val="clear" w:pos="1492"/>
        </w:tabs>
      </w:pPr>
      <w:r>
        <w:t>The key requirements of APS 111 are that an ADI must:</w:t>
      </w:r>
    </w:p>
    <w:p w14:paraId="1FFF145D" w14:textId="5B234C86" w:rsidR="00095A5B" w:rsidRDefault="00095A5B" w:rsidP="00936211">
      <w:pPr>
        <w:pStyle w:val="ListBullet"/>
      </w:pPr>
      <w:r>
        <w:t>include in the appropriate category of Regulatory Capital only those capital instruments that meet the detailed criteria for that category;</w:t>
      </w:r>
    </w:p>
    <w:p w14:paraId="17BD00BD" w14:textId="69BCC988" w:rsidR="00095A5B" w:rsidRDefault="00095A5B" w:rsidP="00936211">
      <w:pPr>
        <w:pStyle w:val="ListBullet"/>
      </w:pPr>
      <w:r>
        <w:t>ensure all Regulatory Capital instruments are capable of bearing loss on either a ‘going-concern’ basis (Tier 1 Capital) or a ‘gone-concern’ basis (T</w:t>
      </w:r>
      <w:r w:rsidR="00A65BFA">
        <w:t xml:space="preserve">ier </w:t>
      </w:r>
      <w:r>
        <w:t>2 Capital); and</w:t>
      </w:r>
    </w:p>
    <w:p w14:paraId="48D21B0A" w14:textId="1F7DDB58" w:rsidR="00095A5B" w:rsidRDefault="00095A5B" w:rsidP="00936211">
      <w:pPr>
        <w:pStyle w:val="ListBullet"/>
      </w:pPr>
      <w:r>
        <w:t xml:space="preserve">make certain </w:t>
      </w:r>
      <w:r w:rsidR="0088149D">
        <w:t xml:space="preserve">deductions </w:t>
      </w:r>
      <w:r>
        <w:t xml:space="preserve">to capital, mainly from </w:t>
      </w:r>
      <w:r w:rsidR="00C729EC">
        <w:t>Common Equity Tier 1 (</w:t>
      </w:r>
      <w:r w:rsidR="003A347D">
        <w:t>CET1</w:t>
      </w:r>
      <w:r w:rsidR="00C729EC">
        <w:t>)</w:t>
      </w:r>
      <w:r w:rsidR="003A347D">
        <w:t xml:space="preserve"> Capital</w:t>
      </w:r>
      <w:r>
        <w:t>, to determine total Regulatory Capital.</w:t>
      </w:r>
    </w:p>
    <w:p w14:paraId="3F643A4E" w14:textId="7709CBB0" w:rsidR="00095A5B" w:rsidRDefault="00E02F32" w:rsidP="00095A5B">
      <w:pPr>
        <w:tabs>
          <w:tab w:val="clear" w:pos="1492"/>
        </w:tabs>
      </w:pPr>
      <w:r>
        <w:t xml:space="preserve">While </w:t>
      </w:r>
      <w:r w:rsidRPr="00095A5B">
        <w:rPr>
          <w:i/>
        </w:rPr>
        <w:t>Prudential Standard APS 110 Capital Adequacy</w:t>
      </w:r>
      <w:r>
        <w:t xml:space="preserve"> (APS 110) sets out the minimum capital adequacy measures required by APRA, </w:t>
      </w:r>
      <w:r w:rsidR="00095A5B">
        <w:t>APS 111 provides the detail of the components of th</w:t>
      </w:r>
      <w:r>
        <w:t>os</w:t>
      </w:r>
      <w:r w:rsidR="00095A5B">
        <w:t>e capital adequacy measures. Certainty and comparability are key elements in the measurement and assessment of capital adequacy across all ADIs.</w:t>
      </w:r>
    </w:p>
    <w:p w14:paraId="22171ADC" w14:textId="67E1F75A" w:rsidR="00095A5B" w:rsidRDefault="00095A5B" w:rsidP="00095A5B">
      <w:pPr>
        <w:tabs>
          <w:tab w:val="clear" w:pos="1492"/>
        </w:tabs>
      </w:pPr>
      <w:r>
        <w:t xml:space="preserve">APS 111 has not significantly changed since 2013 when </w:t>
      </w:r>
      <w:r w:rsidR="00A02790">
        <w:t xml:space="preserve">the Prudential Standard was updated </w:t>
      </w:r>
      <w:r w:rsidR="00D53D02">
        <w:t xml:space="preserve">for the </w:t>
      </w:r>
      <w:r w:rsidR="00A02790">
        <w:t>Basel III</w:t>
      </w:r>
      <w:r w:rsidR="00D53D02">
        <w:t xml:space="preserve"> capital reforms. </w:t>
      </w:r>
      <w:r w:rsidR="00A02790">
        <w:t>Th</w:t>
      </w:r>
      <w:r w:rsidR="004020E5">
        <w:t>ese changes</w:t>
      </w:r>
      <w:r w:rsidR="00A02790">
        <w:t xml:space="preserve"> included </w:t>
      </w:r>
      <w:r>
        <w:t xml:space="preserve">more detailed criteria for </w:t>
      </w:r>
      <w:r w:rsidR="00251015">
        <w:t xml:space="preserve">the </w:t>
      </w:r>
      <w:r w:rsidR="00E02F32">
        <w:t xml:space="preserve">inclusion </w:t>
      </w:r>
      <w:r w:rsidR="00251015">
        <w:t xml:space="preserve">of capital instruments </w:t>
      </w:r>
      <w:r w:rsidR="00E02F32">
        <w:t>in CET1</w:t>
      </w:r>
      <w:r w:rsidR="00CE20D4">
        <w:t xml:space="preserve"> Capital</w:t>
      </w:r>
      <w:r w:rsidR="00E02F32">
        <w:t xml:space="preserve">, Additional Tier 1 </w:t>
      </w:r>
      <w:r w:rsidR="00CE20D4">
        <w:t xml:space="preserve">Capital </w:t>
      </w:r>
      <w:r w:rsidR="00E02F32">
        <w:t>(AT1</w:t>
      </w:r>
      <w:r w:rsidR="00CE20D4">
        <w:t xml:space="preserve"> Capital</w:t>
      </w:r>
      <w:r w:rsidR="00E02F32">
        <w:t>) and Tier 2 Capital</w:t>
      </w:r>
      <w:r>
        <w:t xml:space="preserve">. </w:t>
      </w:r>
      <w:r w:rsidR="003333F9">
        <w:t>A</w:t>
      </w:r>
      <w:r w:rsidR="009D0901">
        <w:t>PRA</w:t>
      </w:r>
      <w:r w:rsidR="003333F9">
        <w:t xml:space="preserve"> </w:t>
      </w:r>
      <w:r w:rsidR="009D0901">
        <w:t xml:space="preserve">made </w:t>
      </w:r>
      <w:r w:rsidR="003333F9">
        <w:t>minor update</w:t>
      </w:r>
      <w:r w:rsidR="006B1411">
        <w:t>s</w:t>
      </w:r>
      <w:r w:rsidR="003333F9">
        <w:t xml:space="preserve"> </w:t>
      </w:r>
      <w:r>
        <w:t xml:space="preserve">to APS 111 in </w:t>
      </w:r>
      <w:r w:rsidR="006B1411">
        <w:t xml:space="preserve">2014 and </w:t>
      </w:r>
      <w:r>
        <w:t>2017 to allow</w:t>
      </w:r>
      <w:r w:rsidR="007A08C9">
        <w:t xml:space="preserve"> firstly,</w:t>
      </w:r>
      <w:r>
        <w:t xml:space="preserve"> </w:t>
      </w:r>
      <w:r w:rsidR="006B1411">
        <w:t xml:space="preserve">mutually owned ADIs to issue </w:t>
      </w:r>
      <w:r w:rsidR="006B1411" w:rsidRPr="006B1411">
        <w:t xml:space="preserve">AT1 </w:t>
      </w:r>
      <w:r w:rsidR="006B1411">
        <w:t xml:space="preserve">Capital </w:t>
      </w:r>
      <w:r w:rsidR="006B1411" w:rsidRPr="006B1411">
        <w:t>and T</w:t>
      </w:r>
      <w:r w:rsidR="006B1411">
        <w:t>ier 2</w:t>
      </w:r>
      <w:r w:rsidR="006B1411" w:rsidRPr="006B1411">
        <w:t xml:space="preserve"> Capital instruments that provide for conversion into mutual equity interests</w:t>
      </w:r>
      <w:r w:rsidR="006B1411">
        <w:t xml:space="preserve"> (MEIs)</w:t>
      </w:r>
      <w:r w:rsidR="007A08C9">
        <w:t xml:space="preserve"> </w:t>
      </w:r>
      <w:r w:rsidR="002C18A4">
        <w:t>and secondly</w:t>
      </w:r>
      <w:r w:rsidR="0054276C">
        <w:t>,</w:t>
      </w:r>
      <w:r w:rsidR="007A08C9">
        <w:t xml:space="preserve"> </w:t>
      </w:r>
      <w:r>
        <w:t xml:space="preserve">to </w:t>
      </w:r>
      <w:r w:rsidR="007A08C9">
        <w:t xml:space="preserve">allow mutually owned ADIs to </w:t>
      </w:r>
      <w:r>
        <w:t>directly issue MEIs by establishing criteria that must be met for these instruments to be eligible for inclusion in CET1 Capital.</w:t>
      </w:r>
      <w:r w:rsidR="00C85D91" w:rsidRPr="00C85D91">
        <w:t xml:space="preserve"> </w:t>
      </w:r>
    </w:p>
    <w:p w14:paraId="6B6E1E39" w14:textId="31DA894A" w:rsidR="00095A5B" w:rsidRDefault="00095A5B" w:rsidP="00095A5B">
      <w:pPr>
        <w:tabs>
          <w:tab w:val="clear" w:pos="1492"/>
        </w:tabs>
      </w:pPr>
      <w:r>
        <w:t xml:space="preserve">Over time, APRA have provided a number of rulings relating to APS 111 and some of these rulings have addressed a lack of clarity in the content of the </w:t>
      </w:r>
      <w:r w:rsidR="002E1B2A">
        <w:t>P</w:t>
      </w:r>
      <w:r>
        <w:t xml:space="preserve">rudential </w:t>
      </w:r>
      <w:r w:rsidR="002E1B2A">
        <w:t>S</w:t>
      </w:r>
      <w:r>
        <w:t>tandard. APRA ha</w:t>
      </w:r>
      <w:r w:rsidR="003333F9">
        <w:t>s</w:t>
      </w:r>
      <w:r>
        <w:t xml:space="preserve"> also published frequently asked questions (FAQs) to provide further information to assist ADIs in the interpretation of APS 111 with respect to the requirements for A</w:t>
      </w:r>
      <w:r w:rsidR="00003A5E">
        <w:t>T1</w:t>
      </w:r>
      <w:r>
        <w:t xml:space="preserve"> Capital instruments, Tier 2 Capital instruments, and MEIs.</w:t>
      </w:r>
      <w:r w:rsidR="005F1538">
        <w:rPr>
          <w:rStyle w:val="FootnoteReference"/>
        </w:rPr>
        <w:footnoteReference w:id="2"/>
      </w:r>
    </w:p>
    <w:p w14:paraId="7A8A594E" w14:textId="5E76DEC9" w:rsidR="00095A5B" w:rsidRDefault="00095A5B" w:rsidP="00095A5B">
      <w:pPr>
        <w:tabs>
          <w:tab w:val="clear" w:pos="1492"/>
        </w:tabs>
      </w:pPr>
      <w:r>
        <w:t>In addition, the Basel Committee has released standards</w:t>
      </w:r>
      <w:r w:rsidR="00D656F7">
        <w:t xml:space="preserve"> and statements relating to</w:t>
      </w:r>
      <w:r w:rsidR="00D656F7" w:rsidRPr="00D656F7">
        <w:t xml:space="preserve"> </w:t>
      </w:r>
      <w:r w:rsidR="00D656F7">
        <w:t>banks' equity investments in funds and banks’ investments in TLAC instruments and capital arbitrage transactions.</w:t>
      </w:r>
      <w:r w:rsidR="00F370AA">
        <w:rPr>
          <w:rStyle w:val="FootnoteReference"/>
        </w:rPr>
        <w:footnoteReference w:id="3"/>
      </w:r>
      <w:r w:rsidR="00D656F7">
        <w:t xml:space="preserve"> T</w:t>
      </w:r>
      <w:r>
        <w:t xml:space="preserve">he Basel Committee </w:t>
      </w:r>
      <w:r w:rsidR="00D656F7">
        <w:t xml:space="preserve">has </w:t>
      </w:r>
      <w:r>
        <w:t xml:space="preserve">also </w:t>
      </w:r>
      <w:r w:rsidR="00D656F7">
        <w:t>published</w:t>
      </w:r>
      <w:r>
        <w:t xml:space="preserve"> </w:t>
      </w:r>
      <w:r w:rsidR="00EE3FB0">
        <w:t>FAQs</w:t>
      </w:r>
      <w:r w:rsidR="00D656F7">
        <w:t xml:space="preserve"> </w:t>
      </w:r>
      <w:r>
        <w:t>in regard to the Basel III definition of capital.</w:t>
      </w:r>
      <w:r w:rsidR="00F952BE">
        <w:rPr>
          <w:rStyle w:val="FootnoteReference"/>
        </w:rPr>
        <w:footnoteReference w:id="4"/>
      </w:r>
      <w:r>
        <w:t xml:space="preserve"> </w:t>
      </w:r>
    </w:p>
    <w:p w14:paraId="5D9340EE" w14:textId="55408169" w:rsidR="00D01885" w:rsidRDefault="00D01885" w:rsidP="00095A5B">
      <w:pPr>
        <w:tabs>
          <w:tab w:val="clear" w:pos="1492"/>
        </w:tabs>
      </w:pPr>
      <w:r>
        <w:t>APRA is reviewing APS 111 in line with these developments</w:t>
      </w:r>
      <w:r w:rsidR="00FD3362">
        <w:t xml:space="preserve"> and with the intention of clarifying and simplifying the standard, where appropriate</w:t>
      </w:r>
      <w:r>
        <w:t>.</w:t>
      </w:r>
    </w:p>
    <w:p w14:paraId="56154C71" w14:textId="2E51459A" w:rsidR="0082052C" w:rsidRDefault="00991A90" w:rsidP="007B31F7">
      <w:pPr>
        <w:tabs>
          <w:tab w:val="clear" w:pos="1492"/>
        </w:tabs>
      </w:pPr>
      <w:r>
        <w:t>As part of this review of APS 111,</w:t>
      </w:r>
      <w:r w:rsidR="00D01885" w:rsidDel="003075F8">
        <w:t xml:space="preserve"> </w:t>
      </w:r>
      <w:r w:rsidR="00D01885">
        <w:t>APRA is</w:t>
      </w:r>
      <w:r>
        <w:t xml:space="preserve"> also</w:t>
      </w:r>
      <w:r w:rsidR="00D01885">
        <w:t xml:space="preserve"> proposing a change to the treatment of </w:t>
      </w:r>
      <w:r w:rsidR="00BD7C61">
        <w:t xml:space="preserve">a parent </w:t>
      </w:r>
      <w:r w:rsidR="00D01885">
        <w:t xml:space="preserve">ADI’s equity investments in </w:t>
      </w:r>
      <w:r w:rsidR="00FD3362">
        <w:t xml:space="preserve">banking and insurance </w:t>
      </w:r>
      <w:r w:rsidR="00D01885">
        <w:t xml:space="preserve">subsidiaries. </w:t>
      </w:r>
      <w:r w:rsidR="0097728A">
        <w:t>A long</w:t>
      </w:r>
      <w:r w:rsidR="00CE20D4">
        <w:t>-</w:t>
      </w:r>
      <w:r w:rsidR="0097728A">
        <w:t xml:space="preserve">standing principle underlying APRA’s capital framework has been that </w:t>
      </w:r>
      <w:r w:rsidR="00107F5F">
        <w:t xml:space="preserve">an </w:t>
      </w:r>
      <w:r>
        <w:t>ADI’</w:t>
      </w:r>
      <w:r w:rsidR="00107F5F">
        <w:t>s</w:t>
      </w:r>
      <w:r>
        <w:t xml:space="preserve"> </w:t>
      </w:r>
      <w:r w:rsidR="0097728A">
        <w:t xml:space="preserve">equity investments be supported by </w:t>
      </w:r>
      <w:r w:rsidR="000576AA">
        <w:t>CET1</w:t>
      </w:r>
      <w:r w:rsidR="0097728A">
        <w:t xml:space="preserve"> </w:t>
      </w:r>
      <w:r w:rsidR="0088149D">
        <w:t xml:space="preserve">Capital </w:t>
      </w:r>
      <w:r w:rsidR="0097728A">
        <w:t>deductions</w:t>
      </w:r>
      <w:r w:rsidR="000B5CA1">
        <w:t xml:space="preserve">, reflecting that equity risk should be borne by </w:t>
      </w:r>
      <w:r w:rsidR="002D0D60">
        <w:t>shareholders</w:t>
      </w:r>
      <w:r w:rsidR="000B5CA1">
        <w:t xml:space="preserve"> rather than depositors or other creditors</w:t>
      </w:r>
      <w:r w:rsidR="0097728A">
        <w:t xml:space="preserve">. </w:t>
      </w:r>
      <w:r w:rsidR="00C42B2B">
        <w:t xml:space="preserve">A </w:t>
      </w:r>
      <w:r w:rsidR="004B6898">
        <w:t>variant</w:t>
      </w:r>
      <w:r w:rsidR="00C42B2B">
        <w:t xml:space="preserve"> to this principl</w:t>
      </w:r>
      <w:r w:rsidR="009D1E30">
        <w:t>e</w:t>
      </w:r>
      <w:r w:rsidR="00C42B2B">
        <w:t xml:space="preserve"> is a</w:t>
      </w:r>
      <w:r w:rsidR="00480351">
        <w:t xml:space="preserve">t </w:t>
      </w:r>
      <w:r w:rsidR="00C141C3">
        <w:t>the parent ADI level</w:t>
      </w:r>
      <w:r w:rsidR="00480351">
        <w:t xml:space="preserve"> </w:t>
      </w:r>
      <w:r w:rsidR="00C42B2B">
        <w:t>wher</w:t>
      </w:r>
      <w:r w:rsidR="00FD3362">
        <w:t>e</w:t>
      </w:r>
      <w:r w:rsidR="00C42B2B">
        <w:t xml:space="preserve">by </w:t>
      </w:r>
      <w:r w:rsidR="00480351">
        <w:t>APRA</w:t>
      </w:r>
      <w:r w:rsidR="00EA7FFB">
        <w:t xml:space="preserve"> currently</w:t>
      </w:r>
      <w:r w:rsidR="00480351">
        <w:t xml:space="preserve"> </w:t>
      </w:r>
      <w:r w:rsidR="00C42B2B">
        <w:t xml:space="preserve">allows ADIs to leverage their investments in </w:t>
      </w:r>
      <w:r w:rsidR="00FD3362">
        <w:t xml:space="preserve">banking and insurance </w:t>
      </w:r>
      <w:r w:rsidR="00C42B2B">
        <w:t xml:space="preserve">subsidiaries. </w:t>
      </w:r>
      <w:r w:rsidR="00EA7FFB">
        <w:t xml:space="preserve">APRA is proposing to </w:t>
      </w:r>
      <w:r w:rsidR="004B6898">
        <w:t>amend the</w:t>
      </w:r>
      <w:r w:rsidR="00BD7C61">
        <w:t xml:space="preserve"> current policy by limiting the amount of equity exposures </w:t>
      </w:r>
      <w:r w:rsidR="00603A61">
        <w:t xml:space="preserve">in </w:t>
      </w:r>
      <w:r w:rsidR="00FD3362">
        <w:t>banking and insurance</w:t>
      </w:r>
      <w:r w:rsidR="00603A61">
        <w:t xml:space="preserve"> subsidiaries </w:t>
      </w:r>
      <w:r w:rsidR="00BD7C61">
        <w:t>that can be leveraged to 10 per cent</w:t>
      </w:r>
      <w:r w:rsidR="00EA7FFB">
        <w:t xml:space="preserve"> of </w:t>
      </w:r>
      <w:r w:rsidR="00BD7C61">
        <w:t xml:space="preserve">an ADI’s </w:t>
      </w:r>
      <w:r w:rsidR="00EA7FFB">
        <w:t xml:space="preserve">CET1 </w:t>
      </w:r>
      <w:r w:rsidR="009D1E30">
        <w:t>C</w:t>
      </w:r>
      <w:r w:rsidR="00EA7FFB">
        <w:t xml:space="preserve">apital. Amounts over the 10 per cent threshold would be required to be deducted from CET1 </w:t>
      </w:r>
      <w:r w:rsidR="009D1E30">
        <w:t>C</w:t>
      </w:r>
      <w:r w:rsidR="00EA7FFB">
        <w:t xml:space="preserve">apital. </w:t>
      </w:r>
      <w:bookmarkStart w:id="33" w:name="_Toc15987923"/>
      <w:bookmarkStart w:id="34" w:name="_Toc16067946"/>
      <w:bookmarkStart w:id="35" w:name="_Toc16752458"/>
      <w:bookmarkStart w:id="36" w:name="_Toc16759895"/>
      <w:bookmarkStart w:id="37" w:name="_Toc16765484"/>
      <w:bookmarkStart w:id="38" w:name="_Toc16773494"/>
      <w:bookmarkStart w:id="39" w:name="_Toc16773751"/>
      <w:bookmarkStart w:id="40" w:name="_Toc17097504"/>
      <w:bookmarkStart w:id="41" w:name="_Toc17103791"/>
      <w:bookmarkStart w:id="42" w:name="_Toc17105587"/>
      <w:bookmarkStart w:id="43" w:name="_Toc17276152"/>
      <w:bookmarkStart w:id="44" w:name="_Toc17283305"/>
      <w:bookmarkStart w:id="45" w:name="_Toc17291187"/>
      <w:bookmarkStart w:id="46" w:name="_Toc17375774"/>
      <w:bookmarkStart w:id="47" w:name="_Toc17376627"/>
      <w:bookmarkStart w:id="48" w:name="_Toc17450818"/>
      <w:bookmarkStart w:id="49" w:name="_Toc17468073"/>
      <w:bookmarkStart w:id="50" w:name="_Toc17811652"/>
      <w:bookmarkStart w:id="51" w:name="_Toc19122133"/>
      <w:bookmarkStart w:id="52" w:name="_Toc20405505"/>
    </w:p>
    <w:p w14:paraId="7148335D" w14:textId="0A226711" w:rsidR="008B39AF" w:rsidRPr="000217D9" w:rsidRDefault="00095A5B" w:rsidP="0082052C">
      <w:pPr>
        <w:pStyle w:val="Heading2Numbers"/>
        <w:ind w:left="567" w:hanging="567"/>
      </w:pPr>
      <w:r w:rsidRPr="000217D9">
        <w:t>Balancing APRA’s objectives</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5BF4FBEF" w14:textId="7C925139" w:rsidR="00095A5B" w:rsidRPr="00095A5B" w:rsidRDefault="00095A5B" w:rsidP="00095A5B">
      <w:r w:rsidRPr="00095A5B">
        <w:t xml:space="preserve">In proposing these revisions to APS 111, APRA has sought to find an appropriate balance between the objectives of financial safety and efficiency, competition, contestability and competitive neutrality, </w:t>
      </w:r>
      <w:r w:rsidR="000D0629" w:rsidRPr="00095A5B">
        <w:t>whil</w:t>
      </w:r>
      <w:r w:rsidR="000D0629">
        <w:t>e</w:t>
      </w:r>
      <w:r w:rsidR="000D0629" w:rsidRPr="00095A5B">
        <w:t xml:space="preserve"> </w:t>
      </w:r>
      <w:r w:rsidRPr="00095A5B">
        <w:t>promoting financial stability.</w:t>
      </w:r>
    </w:p>
    <w:tbl>
      <w:tblPr>
        <w:tblStyle w:val="TableGrid"/>
        <w:tblW w:w="0" w:type="auto"/>
        <w:tblLayout w:type="fixed"/>
        <w:tblLook w:val="0620" w:firstRow="1" w:lastRow="0" w:firstColumn="0" w:lastColumn="0" w:noHBand="1" w:noVBand="1"/>
      </w:tblPr>
      <w:tblGrid>
        <w:gridCol w:w="1843"/>
        <w:gridCol w:w="2693"/>
        <w:gridCol w:w="4395"/>
      </w:tblGrid>
      <w:tr w:rsidR="008B39AF" w:rsidRPr="008B39AF" w14:paraId="3D402E04" w14:textId="77777777" w:rsidTr="008F087B">
        <w:trPr>
          <w:cnfStyle w:val="100000000000" w:firstRow="1" w:lastRow="0" w:firstColumn="0" w:lastColumn="0" w:oddVBand="0" w:evenVBand="0" w:oddHBand="0" w:evenHBand="0" w:firstRowFirstColumn="0" w:firstRowLastColumn="0" w:lastRowFirstColumn="0" w:lastRowLastColumn="0"/>
        </w:trPr>
        <w:tc>
          <w:tcPr>
            <w:tcW w:w="8931" w:type="dxa"/>
            <w:gridSpan w:val="3"/>
          </w:tcPr>
          <w:p w14:paraId="79E765FA" w14:textId="77777777" w:rsidR="008B39AF" w:rsidRPr="008B39AF" w:rsidRDefault="008B39AF" w:rsidP="008F087B">
            <w:pPr>
              <w:pStyle w:val="TableHeading"/>
              <w:keepNext w:val="0"/>
              <w:jc w:val="center"/>
            </w:pPr>
            <w:r w:rsidRPr="008B39AF">
              <w:t>PRIMARY OBJECTIVES</w:t>
            </w:r>
          </w:p>
        </w:tc>
      </w:tr>
      <w:tr w:rsidR="008B39AF" w:rsidRPr="008B39AF" w14:paraId="199C2019" w14:textId="77777777" w:rsidTr="008F087B">
        <w:tc>
          <w:tcPr>
            <w:tcW w:w="4536" w:type="dxa"/>
            <w:gridSpan w:val="2"/>
            <w:shd w:val="clear" w:color="auto" w:fill="00A9E0"/>
          </w:tcPr>
          <w:p w14:paraId="62323594" w14:textId="7EB96FF6" w:rsidR="008B39AF" w:rsidRPr="008B39AF" w:rsidRDefault="008B39AF" w:rsidP="008F087B">
            <w:pPr>
              <w:pStyle w:val="Heading5"/>
              <w:keepNext w:val="0"/>
              <w:keepLines w:val="0"/>
              <w:jc w:val="center"/>
              <w:outlineLvl w:val="4"/>
              <w:rPr>
                <w:color w:val="FFFFFF" w:themeColor="background1"/>
              </w:rPr>
            </w:pPr>
            <w:r w:rsidRPr="008B39AF">
              <w:rPr>
                <w:color w:val="FFFFFF" w:themeColor="background1"/>
              </w:rPr>
              <w:t>Financial safety</w:t>
            </w:r>
          </w:p>
          <w:p w14:paraId="62C42DD4" w14:textId="2B093810" w:rsidR="00D42E6E" w:rsidRPr="000D0629" w:rsidRDefault="008B39AF" w:rsidP="008F087B">
            <w:pPr>
              <w:pStyle w:val="Heading5"/>
              <w:keepNext w:val="0"/>
              <w:keepLines w:val="0"/>
              <w:spacing w:after="120"/>
              <w:jc w:val="center"/>
              <w:outlineLvl w:val="4"/>
              <w:rPr>
                <w:color w:val="FFFFFF" w:themeColor="background1"/>
              </w:rPr>
            </w:pPr>
            <w:r w:rsidRPr="008B39AF">
              <w:rPr>
                <w:noProof/>
                <w:color w:val="FFFFFF" w:themeColor="background1"/>
                <w:lang w:eastAsia="en-AU"/>
              </w:rPr>
              <w:drawing>
                <wp:inline distT="0" distB="0" distL="0" distR="0" wp14:anchorId="367A2D28" wp14:editId="08231ABF">
                  <wp:extent cx="243840" cy="2438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pic:spPr>
                      </pic:pic>
                    </a:graphicData>
                  </a:graphic>
                </wp:inline>
              </w:drawing>
            </w:r>
          </w:p>
        </w:tc>
        <w:tc>
          <w:tcPr>
            <w:tcW w:w="4395" w:type="dxa"/>
            <w:shd w:val="clear" w:color="auto" w:fill="00A9E0"/>
          </w:tcPr>
          <w:p w14:paraId="1B1F0352" w14:textId="77777777" w:rsidR="008B39AF" w:rsidRPr="008B39AF" w:rsidRDefault="008B39AF" w:rsidP="008F087B">
            <w:pPr>
              <w:pStyle w:val="Heading5"/>
              <w:keepNext w:val="0"/>
              <w:keepLines w:val="0"/>
              <w:jc w:val="center"/>
              <w:outlineLvl w:val="4"/>
              <w:rPr>
                <w:color w:val="FFFFFF" w:themeColor="background1"/>
              </w:rPr>
            </w:pPr>
            <w:r w:rsidRPr="008B39AF">
              <w:rPr>
                <w:color w:val="FFFFFF" w:themeColor="background1"/>
              </w:rPr>
              <w:t>Financial system stability</w:t>
            </w:r>
          </w:p>
          <w:p w14:paraId="0FCF2A72" w14:textId="77777777" w:rsidR="008B39AF" w:rsidRPr="008B39AF" w:rsidRDefault="008B39AF" w:rsidP="008F087B">
            <w:pPr>
              <w:pStyle w:val="Heading5"/>
              <w:keepNext w:val="0"/>
              <w:keepLines w:val="0"/>
              <w:spacing w:after="120"/>
              <w:jc w:val="center"/>
              <w:outlineLvl w:val="4"/>
              <w:rPr>
                <w:color w:val="FFFFFF" w:themeColor="background1"/>
              </w:rPr>
            </w:pPr>
            <w:r w:rsidRPr="008B39AF">
              <w:rPr>
                <w:noProof/>
                <w:color w:val="FFFFFF" w:themeColor="background1"/>
                <w:lang w:eastAsia="en-AU"/>
              </w:rPr>
              <w:drawing>
                <wp:inline distT="0" distB="0" distL="0" distR="0" wp14:anchorId="03218036" wp14:editId="37405BE1">
                  <wp:extent cx="243840" cy="2438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pic:spPr>
                      </pic:pic>
                    </a:graphicData>
                  </a:graphic>
                </wp:inline>
              </w:drawing>
            </w:r>
          </w:p>
        </w:tc>
      </w:tr>
      <w:tr w:rsidR="008B39AF" w:rsidRPr="008B39AF" w14:paraId="0E043B71" w14:textId="77777777" w:rsidTr="008F087B">
        <w:tc>
          <w:tcPr>
            <w:tcW w:w="4536" w:type="dxa"/>
            <w:gridSpan w:val="2"/>
          </w:tcPr>
          <w:p w14:paraId="158819E7" w14:textId="2766920A" w:rsidR="008B39AF" w:rsidRPr="008B39AF" w:rsidRDefault="00AA42ED" w:rsidP="008F087B">
            <w:pPr>
              <w:spacing w:before="0" w:after="240"/>
            </w:pPr>
            <w:r w:rsidRPr="00AA42ED">
              <w:rPr>
                <w:b/>
              </w:rPr>
              <w:t>Improved</w:t>
            </w:r>
            <w:r>
              <w:t>:</w:t>
            </w:r>
            <w:r w:rsidR="00CD61E7">
              <w:t xml:space="preserve"> The proposed changes to the Prudential Standard are expected to improve financial safety</w:t>
            </w:r>
            <w:r w:rsidR="00842766">
              <w:t>.</w:t>
            </w:r>
            <w:r w:rsidR="00CD61E7">
              <w:t xml:space="preserve"> </w:t>
            </w:r>
            <w:r w:rsidR="003573DE">
              <w:t xml:space="preserve">The proposed changes to the capital treatment of equity investments in banking </w:t>
            </w:r>
            <w:r w:rsidR="008548F9">
              <w:t xml:space="preserve">and insurance </w:t>
            </w:r>
            <w:r w:rsidR="003573DE">
              <w:t xml:space="preserve">subsidiaries </w:t>
            </w:r>
            <w:r w:rsidR="00842766">
              <w:t xml:space="preserve">reinforces </w:t>
            </w:r>
            <w:r w:rsidR="003573DE" w:rsidRPr="003573DE">
              <w:t xml:space="preserve">‘unquestionably strong’ </w:t>
            </w:r>
            <w:r w:rsidR="00842766">
              <w:t xml:space="preserve">capital </w:t>
            </w:r>
            <w:r w:rsidR="003573DE" w:rsidRPr="003573DE">
              <w:t xml:space="preserve">targets </w:t>
            </w:r>
            <w:r w:rsidR="00842766">
              <w:t>at</w:t>
            </w:r>
            <w:r w:rsidR="000D0629">
              <w:t xml:space="preserve"> </w:t>
            </w:r>
            <w:r w:rsidR="007D752F">
              <w:t>Level 1</w:t>
            </w:r>
            <w:r w:rsidR="003573DE" w:rsidRPr="003573DE">
              <w:t>.</w:t>
            </w:r>
          </w:p>
        </w:tc>
        <w:tc>
          <w:tcPr>
            <w:tcW w:w="4395" w:type="dxa"/>
          </w:tcPr>
          <w:p w14:paraId="21567CF3" w14:textId="0352AA52" w:rsidR="008B39AF" w:rsidRPr="008B39AF" w:rsidRDefault="00AA42ED" w:rsidP="008F087B">
            <w:pPr>
              <w:spacing w:before="0" w:after="240"/>
            </w:pPr>
            <w:r w:rsidRPr="00AA42ED">
              <w:rPr>
                <w:b/>
              </w:rPr>
              <w:t>Improved</w:t>
            </w:r>
            <w:r>
              <w:t>:</w:t>
            </w:r>
            <w:r w:rsidR="00CD61E7">
              <w:t xml:space="preserve"> </w:t>
            </w:r>
            <w:r w:rsidR="00CD61E7" w:rsidRPr="00CD61E7">
              <w:t xml:space="preserve">The proposed changes to the Prudential Standard are expected to improve financial </w:t>
            </w:r>
            <w:r w:rsidR="00CD61E7">
              <w:t>system stability.</w:t>
            </w:r>
            <w:r w:rsidR="00233FEA">
              <w:t xml:space="preserve"> </w:t>
            </w:r>
            <w:r w:rsidR="0086262A" w:rsidRPr="0086262A">
              <w:t>The proposed changes promote certainty, and comparability which are key elements in the measurement and assessment of capital adequacy across all ADIs.</w:t>
            </w:r>
          </w:p>
        </w:tc>
      </w:tr>
      <w:tr w:rsidR="008B39AF" w:rsidRPr="008B39AF" w14:paraId="7ED5709A" w14:textId="77777777" w:rsidTr="008F087B">
        <w:tc>
          <w:tcPr>
            <w:tcW w:w="8931" w:type="dxa"/>
            <w:gridSpan w:val="3"/>
            <w:shd w:val="clear" w:color="auto" w:fill="012169"/>
          </w:tcPr>
          <w:p w14:paraId="53690443" w14:textId="77777777" w:rsidR="008B39AF" w:rsidRPr="008B39AF" w:rsidRDefault="008B39AF" w:rsidP="008F087B">
            <w:pPr>
              <w:pStyle w:val="TableHeading"/>
              <w:keepNext w:val="0"/>
              <w:jc w:val="center"/>
            </w:pPr>
            <w:r w:rsidRPr="008B39AF">
              <w:rPr>
                <w:color w:val="FFFFFF" w:themeColor="background1"/>
              </w:rPr>
              <w:t>OTHER CONSIDERATIONS</w:t>
            </w:r>
          </w:p>
        </w:tc>
      </w:tr>
      <w:tr w:rsidR="008B39AF" w:rsidRPr="008B39AF" w14:paraId="451D9317" w14:textId="77777777" w:rsidTr="008F087B">
        <w:tc>
          <w:tcPr>
            <w:tcW w:w="1843" w:type="dxa"/>
            <w:shd w:val="clear" w:color="auto" w:fill="00A9E0"/>
          </w:tcPr>
          <w:p w14:paraId="5D4DC439" w14:textId="43985DBE" w:rsidR="008B39AF" w:rsidRPr="008B39AF" w:rsidRDefault="008B39AF" w:rsidP="000D0629">
            <w:pPr>
              <w:pStyle w:val="Heading5"/>
              <w:spacing w:before="120"/>
              <w:jc w:val="center"/>
              <w:outlineLvl w:val="4"/>
              <w:rPr>
                <w:color w:val="FFFFFF" w:themeColor="background1"/>
              </w:rPr>
            </w:pPr>
            <w:r w:rsidRPr="008B39AF">
              <w:rPr>
                <w:color w:val="FFFFFF" w:themeColor="background1"/>
              </w:rPr>
              <w:t>Efficiency</w:t>
            </w:r>
          </w:p>
          <w:p w14:paraId="0B6D975A" w14:textId="7F066489" w:rsidR="008B39AF" w:rsidRPr="008B39AF" w:rsidRDefault="00A85214" w:rsidP="008B39AF">
            <w:pPr>
              <w:pStyle w:val="Heading5"/>
              <w:jc w:val="center"/>
              <w:outlineLvl w:val="4"/>
              <w:rPr>
                <w:color w:val="FFFFFF" w:themeColor="background1"/>
              </w:rPr>
            </w:pPr>
            <w:r w:rsidRPr="008B39AF">
              <w:rPr>
                <w:noProof/>
                <w:color w:val="FFFFFF" w:themeColor="background1"/>
                <w:lang w:eastAsia="en-AU"/>
              </w:rPr>
              <w:drawing>
                <wp:inline distT="0" distB="0" distL="0" distR="0" wp14:anchorId="109E4C6C" wp14:editId="23E681EF">
                  <wp:extent cx="243840" cy="243840"/>
                  <wp:effectExtent l="0" t="0" r="381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pic:spPr>
                      </pic:pic>
                    </a:graphicData>
                  </a:graphic>
                </wp:inline>
              </w:drawing>
            </w:r>
          </w:p>
        </w:tc>
        <w:tc>
          <w:tcPr>
            <w:tcW w:w="7088" w:type="dxa"/>
            <w:gridSpan w:val="2"/>
          </w:tcPr>
          <w:p w14:paraId="608E108B" w14:textId="42B82299" w:rsidR="008B39AF" w:rsidRPr="008B39AF" w:rsidRDefault="00A85214" w:rsidP="008F087B">
            <w:pPr>
              <w:spacing w:before="0" w:after="240"/>
            </w:pPr>
            <w:r w:rsidRPr="00A85214">
              <w:rPr>
                <w:b/>
              </w:rPr>
              <w:t>Improved</w:t>
            </w:r>
            <w:r>
              <w:t xml:space="preserve">: </w:t>
            </w:r>
            <w:r w:rsidRPr="00A85214">
              <w:t>The propos</w:t>
            </w:r>
            <w:r>
              <w:t>ed changes to the Prudential Standard</w:t>
            </w:r>
            <w:r w:rsidRPr="00A85214">
              <w:t xml:space="preserve"> are expected to improve efficiency.</w:t>
            </w:r>
            <w:r w:rsidR="00CD61E7">
              <w:t xml:space="preserve"> </w:t>
            </w:r>
            <w:r w:rsidR="00CD61E7" w:rsidRPr="00CD61E7">
              <w:t xml:space="preserve">The </w:t>
            </w:r>
            <w:r w:rsidR="00CD61E7">
              <w:t xml:space="preserve">proposed changes are </w:t>
            </w:r>
            <w:r w:rsidR="00CD61E7" w:rsidRPr="00CD61E7">
              <w:t>expected to provide greater clarity for ADIs</w:t>
            </w:r>
            <w:r w:rsidR="00CD61E7">
              <w:t>.</w:t>
            </w:r>
            <w:r w:rsidR="00233FEA">
              <w:t xml:space="preserve"> </w:t>
            </w:r>
            <w:r w:rsidR="0086262A" w:rsidRPr="0086262A">
              <w:t>The proposed changes to the requirements for disclosure and marketing of capital instruments are expected to improve the transparency of these instruments, and assist in their issuance.</w:t>
            </w:r>
          </w:p>
        </w:tc>
      </w:tr>
      <w:tr w:rsidR="008B39AF" w:rsidRPr="008B39AF" w14:paraId="1D06161F" w14:textId="77777777" w:rsidTr="008F087B">
        <w:tc>
          <w:tcPr>
            <w:tcW w:w="1843" w:type="dxa"/>
            <w:shd w:val="clear" w:color="auto" w:fill="00A9E0"/>
          </w:tcPr>
          <w:p w14:paraId="1AA0B718" w14:textId="0A6E54F0" w:rsidR="008B39AF" w:rsidRPr="008B39AF" w:rsidRDefault="008B39AF" w:rsidP="000D0629">
            <w:pPr>
              <w:pStyle w:val="Heading5"/>
              <w:spacing w:before="120"/>
              <w:jc w:val="center"/>
              <w:outlineLvl w:val="4"/>
              <w:rPr>
                <w:color w:val="FFFFFF" w:themeColor="background1"/>
              </w:rPr>
            </w:pPr>
            <w:r w:rsidRPr="008B39AF">
              <w:rPr>
                <w:color w:val="FFFFFF" w:themeColor="background1"/>
              </w:rPr>
              <w:t>Competition</w:t>
            </w:r>
          </w:p>
          <w:p w14:paraId="229CD01D" w14:textId="0B545C0B" w:rsidR="008B39AF" w:rsidRPr="008B39AF" w:rsidRDefault="0052013A" w:rsidP="008B39AF">
            <w:pPr>
              <w:pStyle w:val="Heading5"/>
              <w:jc w:val="center"/>
              <w:outlineLvl w:val="4"/>
              <w:rPr>
                <w:color w:val="FFFFFF" w:themeColor="background1"/>
              </w:rPr>
            </w:pPr>
            <w:r w:rsidRPr="008B39AF">
              <w:rPr>
                <w:noProof/>
                <w:color w:val="FFFFFF" w:themeColor="background1"/>
                <w:lang w:eastAsia="en-AU"/>
              </w:rPr>
              <w:drawing>
                <wp:inline distT="0" distB="0" distL="0" distR="0" wp14:anchorId="24995A33" wp14:editId="2A262248">
                  <wp:extent cx="560070" cy="24447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070" cy="244475"/>
                          </a:xfrm>
                          <a:prstGeom prst="rect">
                            <a:avLst/>
                          </a:prstGeom>
                          <a:noFill/>
                        </pic:spPr>
                      </pic:pic>
                    </a:graphicData>
                  </a:graphic>
                </wp:inline>
              </w:drawing>
            </w:r>
          </w:p>
        </w:tc>
        <w:tc>
          <w:tcPr>
            <w:tcW w:w="7088" w:type="dxa"/>
            <w:gridSpan w:val="2"/>
          </w:tcPr>
          <w:p w14:paraId="64613335" w14:textId="48911C35" w:rsidR="00CE3116" w:rsidRDefault="00A85214" w:rsidP="008F087B">
            <w:pPr>
              <w:spacing w:before="0" w:after="240"/>
            </w:pPr>
            <w:r w:rsidRPr="00A85214">
              <w:t xml:space="preserve">The </w:t>
            </w:r>
            <w:r w:rsidR="0052013A">
              <w:t xml:space="preserve">impact of the </w:t>
            </w:r>
            <w:r w:rsidRPr="00A85214">
              <w:t>proposed changes to the Prudential Standard</w:t>
            </w:r>
            <w:r>
              <w:t xml:space="preserve"> </w:t>
            </w:r>
            <w:r w:rsidR="0052013A">
              <w:t xml:space="preserve">on </w:t>
            </w:r>
            <w:r>
              <w:t>competition</w:t>
            </w:r>
            <w:r w:rsidR="0052013A">
              <w:t xml:space="preserve"> is expected to be neutral</w:t>
            </w:r>
            <w:r>
              <w:t>.</w:t>
            </w:r>
            <w:r w:rsidR="00B23F0B">
              <w:t xml:space="preserve"> </w:t>
            </w:r>
          </w:p>
          <w:p w14:paraId="360EA2D2" w14:textId="46410547" w:rsidR="00383126" w:rsidRDefault="00706CE5" w:rsidP="008F087B">
            <w:pPr>
              <w:spacing w:before="0" w:after="240"/>
            </w:pPr>
            <w:r>
              <w:t>A</w:t>
            </w:r>
            <w:r w:rsidRPr="00754583">
              <w:t xml:space="preserve">ll ADIs, regardless of size, are subject to the same criteria for which the capital instruments they issue must meet to qualify as Regulatory Capital and the various deductions to be made to determine total Regulatory Capital. </w:t>
            </w:r>
            <w:r w:rsidR="00E83C69">
              <w:t xml:space="preserve">Clarifications associated with these criteria </w:t>
            </w:r>
            <w:r w:rsidR="00265F12">
              <w:t>are the</w:t>
            </w:r>
            <w:r w:rsidR="00CA49B7">
              <w:t xml:space="preserve"> bulk of the </w:t>
            </w:r>
            <w:r w:rsidR="00265F12">
              <w:t xml:space="preserve">proposed </w:t>
            </w:r>
            <w:r w:rsidR="00CA49B7">
              <w:t xml:space="preserve">changes to the Prudential Standard and </w:t>
            </w:r>
            <w:r w:rsidR="00FF1241">
              <w:t xml:space="preserve">are </w:t>
            </w:r>
            <w:r w:rsidR="00CA49B7">
              <w:t>not expected to impact competition.</w:t>
            </w:r>
          </w:p>
          <w:p w14:paraId="4C5FED6D" w14:textId="4526DF23" w:rsidR="007D752F" w:rsidRDefault="0052013A" w:rsidP="008F087B">
            <w:pPr>
              <w:spacing w:before="0" w:after="240"/>
            </w:pPr>
            <w:r>
              <w:t>APRA’s proposal</w:t>
            </w:r>
            <w:r w:rsidR="003C3483" w:rsidRPr="00E573A2">
              <w:t xml:space="preserve"> </w:t>
            </w:r>
            <w:r w:rsidR="003C3483">
              <w:t>for</w:t>
            </w:r>
            <w:r w:rsidR="003C3483" w:rsidRPr="00E573A2">
              <w:t xml:space="preserve"> the capital treatment of </w:t>
            </w:r>
            <w:r w:rsidR="003C3483">
              <w:t xml:space="preserve">a parent </w:t>
            </w:r>
            <w:r w:rsidR="003C3483" w:rsidRPr="00E573A2">
              <w:t>AD</w:t>
            </w:r>
            <w:r w:rsidR="003C3483">
              <w:t>I</w:t>
            </w:r>
            <w:r w:rsidR="003C3483" w:rsidRPr="00E573A2">
              <w:t>’</w:t>
            </w:r>
            <w:r w:rsidR="003C3483">
              <w:t>s</w:t>
            </w:r>
            <w:r w:rsidR="003C3483" w:rsidRPr="00E573A2">
              <w:t xml:space="preserve"> equity investment</w:t>
            </w:r>
            <w:r w:rsidR="003C3483">
              <w:t>s</w:t>
            </w:r>
            <w:r w:rsidR="003C3483" w:rsidRPr="00E573A2">
              <w:t xml:space="preserve"> in banking and insurance subsidiaries</w:t>
            </w:r>
            <w:r>
              <w:t xml:space="preserve"> </w:t>
            </w:r>
            <w:r w:rsidR="003C3483">
              <w:t>is</w:t>
            </w:r>
            <w:r>
              <w:t xml:space="preserve"> not expected to</w:t>
            </w:r>
            <w:r w:rsidR="001E3D0C">
              <w:t xml:space="preserve"> disadvantage</w:t>
            </w:r>
            <w:r>
              <w:t xml:space="preserve"> small ADIs compared to large ADIs. </w:t>
            </w:r>
            <w:r w:rsidR="00B22007">
              <w:t xml:space="preserve">For </w:t>
            </w:r>
            <w:r w:rsidR="007D752F">
              <w:t xml:space="preserve">ADIs </w:t>
            </w:r>
            <w:r w:rsidR="00B22007">
              <w:t>that hold s</w:t>
            </w:r>
            <w:r w:rsidR="00B22007" w:rsidRPr="00B22007">
              <w:t xml:space="preserve">mall equity investments in banking and insurance subsidiaries, </w:t>
            </w:r>
            <w:r w:rsidR="00B22007">
              <w:t>APRA’s</w:t>
            </w:r>
            <w:r w:rsidR="00B22007" w:rsidRPr="00B22007">
              <w:t xml:space="preserve"> proposal</w:t>
            </w:r>
            <w:r w:rsidR="00B22007">
              <w:t>s</w:t>
            </w:r>
            <w:r w:rsidR="00B22007" w:rsidRPr="00B22007">
              <w:t xml:space="preserve"> </w:t>
            </w:r>
            <w:r w:rsidR="00B22007">
              <w:t xml:space="preserve">will </w:t>
            </w:r>
            <w:r w:rsidR="00B22007" w:rsidRPr="00B22007">
              <w:t>reduce capital costs.</w:t>
            </w:r>
            <w:r w:rsidR="003C3483">
              <w:t xml:space="preserve"> </w:t>
            </w:r>
            <w:r w:rsidR="002E7FF8">
              <w:t xml:space="preserve">However, </w:t>
            </w:r>
            <w:r w:rsidR="00B22007">
              <w:t xml:space="preserve">ADIs that have </w:t>
            </w:r>
            <w:r w:rsidR="00B22007" w:rsidRPr="00B22007">
              <w:t>large concentrated</w:t>
            </w:r>
            <w:r w:rsidR="00B22007">
              <w:t xml:space="preserve"> equity investments in </w:t>
            </w:r>
            <w:r w:rsidR="00B22007" w:rsidRPr="00B22007">
              <w:t>banking and insurance subsidiaries</w:t>
            </w:r>
            <w:r w:rsidR="00B22007">
              <w:t xml:space="preserve"> will have increased capital costs</w:t>
            </w:r>
            <w:r w:rsidR="00B85846">
              <w:t xml:space="preserve"> and are likely to be disadvantaged</w:t>
            </w:r>
            <w:r w:rsidR="001E3D0C">
              <w:t xml:space="preserve">. </w:t>
            </w:r>
            <w:r w:rsidR="00B85846">
              <w:t>That said, t</w:t>
            </w:r>
            <w:r w:rsidR="001E3D0C">
              <w:t>h</w:t>
            </w:r>
            <w:r w:rsidR="00437F55">
              <w:t xml:space="preserve">e </w:t>
            </w:r>
            <w:r w:rsidR="00745CCA">
              <w:t xml:space="preserve">proposal is only likely to result in increased capital costs for </w:t>
            </w:r>
            <w:r w:rsidR="001E3D0C">
              <w:t>a small number of large ADIs</w:t>
            </w:r>
            <w:r w:rsidR="00B22007">
              <w:t>.</w:t>
            </w:r>
            <w:r w:rsidR="00FC6240">
              <w:t xml:space="preserve"> </w:t>
            </w:r>
            <w:r w:rsidR="00437F55">
              <w:t xml:space="preserve"> </w:t>
            </w:r>
          </w:p>
          <w:p w14:paraId="460D4CD6" w14:textId="6C9F602A" w:rsidR="00B177FC" w:rsidRDefault="00DA2A34" w:rsidP="00BA1209">
            <w:pPr>
              <w:spacing w:before="0" w:after="240"/>
            </w:pPr>
            <w:r>
              <w:t>These large ADIs may address increased capital costs a number of ways</w:t>
            </w:r>
            <w:r w:rsidR="00BA1209">
              <w:t>, including restructuring</w:t>
            </w:r>
            <w:r w:rsidR="008320B6">
              <w:t xml:space="preserve"> </w:t>
            </w:r>
            <w:r w:rsidR="00B85846">
              <w:t xml:space="preserve">their business </w:t>
            </w:r>
            <w:r w:rsidR="008320B6">
              <w:t>or reducing their exposure</w:t>
            </w:r>
            <w:r w:rsidR="00D04C8B">
              <w:t xml:space="preserve"> and would have flexibility </w:t>
            </w:r>
            <w:r w:rsidR="0027208B">
              <w:t xml:space="preserve">in </w:t>
            </w:r>
            <w:r w:rsidR="00D04C8B">
              <w:t>manag</w:t>
            </w:r>
            <w:r w:rsidR="0027208B">
              <w:t>ing</w:t>
            </w:r>
            <w:r w:rsidR="00D04C8B">
              <w:t xml:space="preserve"> their capital in response to the proposal</w:t>
            </w:r>
            <w:r w:rsidR="0027208B">
              <w:t>, including increasing retained earnings</w:t>
            </w:r>
            <w:r w:rsidR="00D04C8B">
              <w:t>.</w:t>
            </w:r>
            <w:r w:rsidR="00C2377C">
              <w:t xml:space="preserve"> </w:t>
            </w:r>
          </w:p>
          <w:p w14:paraId="18ED702A" w14:textId="70BD4C3C" w:rsidR="00BA1209" w:rsidRDefault="00FC6240" w:rsidP="00BA1209">
            <w:pPr>
              <w:spacing w:before="0" w:after="240"/>
            </w:pPr>
            <w:r w:rsidRPr="00FC6240">
              <w:t>Should a strategic response to an increase in capital cost</w:t>
            </w:r>
            <w:r w:rsidR="003661E6">
              <w:t>s</w:t>
            </w:r>
            <w:r w:rsidRPr="00FC6240">
              <w:t xml:space="preserve"> be to divest part or all of the</w:t>
            </w:r>
            <w:r w:rsidR="00537495">
              <w:t>ir affected</w:t>
            </w:r>
            <w:r w:rsidRPr="00FC6240">
              <w:t xml:space="preserve"> subsidiaries, </w:t>
            </w:r>
            <w:r w:rsidR="001E3D0C">
              <w:t>the</w:t>
            </w:r>
            <w:r w:rsidR="00537495">
              <w:t>n affected</w:t>
            </w:r>
            <w:r w:rsidR="001E3D0C">
              <w:t xml:space="preserve"> </w:t>
            </w:r>
            <w:r w:rsidRPr="00FC6240">
              <w:t xml:space="preserve">ADIs may become more concentrated, potentially reducing revenue diversity. </w:t>
            </w:r>
            <w:r w:rsidR="00816E33">
              <w:t xml:space="preserve">That said, higher capital costs associated with the proposals are unlikely to </w:t>
            </w:r>
            <w:r w:rsidR="00437F55">
              <w:t>a</w:t>
            </w:r>
            <w:r w:rsidR="00816E33">
              <w:t>ffect particular product markets</w:t>
            </w:r>
            <w:r w:rsidR="001E3D0C">
              <w:t xml:space="preserve"> </w:t>
            </w:r>
            <w:r w:rsidR="00745CCA">
              <w:t>or</w:t>
            </w:r>
            <w:r w:rsidR="001E3D0C">
              <w:t xml:space="preserve"> competition as a whole</w:t>
            </w:r>
            <w:r w:rsidR="00745CCA">
              <w:t xml:space="preserve"> as</w:t>
            </w:r>
            <w:r w:rsidR="00437F55">
              <w:t xml:space="preserve"> there is no </w:t>
            </w:r>
            <w:r w:rsidR="00745CCA">
              <w:t>direct</w:t>
            </w:r>
            <w:r w:rsidR="00DA2A34">
              <w:t xml:space="preserve"> linkage between the</w:t>
            </w:r>
            <w:r w:rsidR="00745CCA">
              <w:t xml:space="preserve"> increased capital</w:t>
            </w:r>
            <w:r w:rsidR="00DA2A34">
              <w:t xml:space="preserve"> costs and </w:t>
            </w:r>
            <w:r w:rsidR="00745CCA">
              <w:t>any</w:t>
            </w:r>
            <w:r w:rsidR="00DA2A34">
              <w:t xml:space="preserve"> </w:t>
            </w:r>
            <w:r w:rsidR="00437F55" w:rsidRPr="00437F55">
              <w:t>particular portfolio</w:t>
            </w:r>
            <w:r w:rsidR="00745CCA">
              <w:t xml:space="preserve"> or product</w:t>
            </w:r>
            <w:r w:rsidR="004E4591">
              <w:t>.</w:t>
            </w:r>
            <w:r w:rsidR="00C2377C">
              <w:t xml:space="preserve"> </w:t>
            </w:r>
          </w:p>
          <w:p w14:paraId="74E8AB71" w14:textId="21104599" w:rsidR="00BA1209" w:rsidRPr="008B39AF" w:rsidRDefault="00BA1209" w:rsidP="00C44C18">
            <w:pPr>
              <w:spacing w:before="0" w:after="240"/>
            </w:pPr>
            <w:r>
              <w:t>T</w:t>
            </w:r>
            <w:r w:rsidRPr="00BA1209">
              <w:t>he costs of an ADI monitoring and complying with the proposed changes</w:t>
            </w:r>
            <w:r w:rsidR="008320B6">
              <w:t xml:space="preserve"> </w:t>
            </w:r>
            <w:r w:rsidR="00134315">
              <w:t>wil</w:t>
            </w:r>
            <w:r w:rsidR="0018422E">
              <w:t>l</w:t>
            </w:r>
            <w:r w:rsidR="00134315">
              <w:t xml:space="preserve"> </w:t>
            </w:r>
            <w:r w:rsidR="008320B6">
              <w:t>have no impact on competition</w:t>
            </w:r>
            <w:r w:rsidR="00C2377C">
              <w:t>. All A</w:t>
            </w:r>
            <w:r w:rsidR="008320B6">
              <w:t>DI</w:t>
            </w:r>
            <w:r w:rsidR="00C2377C">
              <w:t>s</w:t>
            </w:r>
            <w:r w:rsidR="008320B6">
              <w:t xml:space="preserve"> would have existing systems and data to monitor </w:t>
            </w:r>
            <w:r w:rsidR="004E4591">
              <w:t xml:space="preserve">exposure levels and </w:t>
            </w:r>
            <w:r w:rsidR="008320B6">
              <w:t>capital requirements</w:t>
            </w:r>
            <w:r w:rsidR="004E4591">
              <w:t>.</w:t>
            </w:r>
            <w:r w:rsidR="008320B6">
              <w:t xml:space="preserve"> C</w:t>
            </w:r>
            <w:r w:rsidR="008320B6" w:rsidRPr="008320B6">
              <w:t>apital compliance costs primarily relate to performing an alternative capital calculation</w:t>
            </w:r>
            <w:r w:rsidR="008320B6">
              <w:t xml:space="preserve"> and are considered immaterial.</w:t>
            </w:r>
          </w:p>
        </w:tc>
      </w:tr>
      <w:tr w:rsidR="008B39AF" w:rsidRPr="008B39AF" w14:paraId="118E545C" w14:textId="77777777" w:rsidTr="008F087B">
        <w:tc>
          <w:tcPr>
            <w:tcW w:w="1843" w:type="dxa"/>
            <w:shd w:val="clear" w:color="auto" w:fill="00A9E0"/>
          </w:tcPr>
          <w:p w14:paraId="0D8B77B6" w14:textId="77777777" w:rsidR="008B39AF" w:rsidRPr="008B39AF" w:rsidRDefault="008B39AF" w:rsidP="000D0629">
            <w:pPr>
              <w:pStyle w:val="Heading5"/>
              <w:spacing w:before="120"/>
              <w:jc w:val="center"/>
              <w:outlineLvl w:val="4"/>
              <w:rPr>
                <w:color w:val="FFFFFF" w:themeColor="background1"/>
              </w:rPr>
            </w:pPr>
            <w:r w:rsidRPr="008B39AF">
              <w:rPr>
                <w:color w:val="FFFFFF" w:themeColor="background1"/>
              </w:rPr>
              <w:t>Contestability</w:t>
            </w:r>
          </w:p>
          <w:p w14:paraId="484E3029" w14:textId="0FA44651" w:rsidR="008B39AF" w:rsidRPr="008B39AF" w:rsidRDefault="00A85214" w:rsidP="0037650F">
            <w:pPr>
              <w:pStyle w:val="Heading5"/>
              <w:jc w:val="center"/>
              <w:outlineLvl w:val="4"/>
              <w:rPr>
                <w:color w:val="FFFFFF" w:themeColor="background1"/>
              </w:rPr>
            </w:pPr>
            <w:r w:rsidRPr="008B39AF">
              <w:rPr>
                <w:noProof/>
                <w:color w:val="FFFFFF" w:themeColor="background1"/>
                <w:lang w:eastAsia="en-AU"/>
              </w:rPr>
              <w:drawing>
                <wp:inline distT="0" distB="0" distL="0" distR="0" wp14:anchorId="5593B456" wp14:editId="1E7A21E8">
                  <wp:extent cx="560070" cy="24447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070" cy="244475"/>
                          </a:xfrm>
                          <a:prstGeom prst="rect">
                            <a:avLst/>
                          </a:prstGeom>
                          <a:noFill/>
                        </pic:spPr>
                      </pic:pic>
                    </a:graphicData>
                  </a:graphic>
                </wp:inline>
              </w:drawing>
            </w:r>
          </w:p>
        </w:tc>
        <w:tc>
          <w:tcPr>
            <w:tcW w:w="7088" w:type="dxa"/>
            <w:gridSpan w:val="2"/>
          </w:tcPr>
          <w:p w14:paraId="7A9A6E81" w14:textId="6E24DFFA" w:rsidR="008B39AF" w:rsidRPr="00A85214" w:rsidRDefault="00A85214" w:rsidP="008F087B">
            <w:pPr>
              <w:spacing w:before="0" w:after="240"/>
              <w:rPr>
                <w:b/>
              </w:rPr>
            </w:pPr>
            <w:r w:rsidRPr="00A85214">
              <w:rPr>
                <w:b/>
              </w:rPr>
              <w:t>N</w:t>
            </w:r>
            <w:r w:rsidR="00BF021A" w:rsidRPr="00A85214">
              <w:rPr>
                <w:b/>
              </w:rPr>
              <w:t>o change</w:t>
            </w:r>
            <w:r w:rsidRPr="00A85214">
              <w:t>. The proposed changes to the Prudential Standard</w:t>
            </w:r>
            <w:r>
              <w:t xml:space="preserve"> </w:t>
            </w:r>
            <w:r w:rsidRPr="00A85214">
              <w:t>has no impact on the ability of new entrants to enter the banking industry.</w:t>
            </w:r>
            <w:r w:rsidR="0052192A">
              <w:t xml:space="preserve"> </w:t>
            </w:r>
          </w:p>
        </w:tc>
      </w:tr>
      <w:tr w:rsidR="008B39AF" w:rsidRPr="008B39AF" w14:paraId="0BF20F62" w14:textId="77777777" w:rsidTr="008F087B">
        <w:tc>
          <w:tcPr>
            <w:tcW w:w="1843" w:type="dxa"/>
            <w:shd w:val="clear" w:color="auto" w:fill="00A9E0"/>
          </w:tcPr>
          <w:p w14:paraId="1C470CE3" w14:textId="3C7F9812" w:rsidR="008B39AF" w:rsidRPr="008B39AF" w:rsidRDefault="008B39AF" w:rsidP="000D0629">
            <w:pPr>
              <w:pStyle w:val="Heading5"/>
              <w:spacing w:before="120"/>
              <w:jc w:val="center"/>
              <w:outlineLvl w:val="4"/>
              <w:rPr>
                <w:color w:val="FFFFFF" w:themeColor="background1"/>
              </w:rPr>
            </w:pPr>
            <w:r w:rsidRPr="008B39AF">
              <w:rPr>
                <w:color w:val="FFFFFF" w:themeColor="background1"/>
              </w:rPr>
              <w:t xml:space="preserve">Competitive </w:t>
            </w:r>
            <w:r w:rsidR="000D0629">
              <w:rPr>
                <w:color w:val="FFFFFF" w:themeColor="background1"/>
              </w:rPr>
              <w:t>n</w:t>
            </w:r>
            <w:r w:rsidRPr="008B39AF">
              <w:rPr>
                <w:color w:val="FFFFFF" w:themeColor="background1"/>
              </w:rPr>
              <w:t>eutrality</w:t>
            </w:r>
          </w:p>
          <w:p w14:paraId="0ADA3DF8" w14:textId="54C068DF" w:rsidR="008B39AF" w:rsidRPr="008B39AF" w:rsidRDefault="000D0629" w:rsidP="00A21E13">
            <w:pPr>
              <w:pStyle w:val="Heading5"/>
              <w:jc w:val="center"/>
              <w:outlineLvl w:val="4"/>
              <w:rPr>
                <w:color w:val="FFFFFF" w:themeColor="background1"/>
              </w:rPr>
            </w:pPr>
            <w:r w:rsidRPr="008B39AF">
              <w:rPr>
                <w:noProof/>
                <w:color w:val="FFFFFF" w:themeColor="background1"/>
                <w:lang w:eastAsia="en-AU"/>
              </w:rPr>
              <w:drawing>
                <wp:inline distT="0" distB="0" distL="0" distR="0" wp14:anchorId="7484086D" wp14:editId="08444080">
                  <wp:extent cx="560432" cy="244800"/>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432" cy="244800"/>
                          </a:xfrm>
                          <a:prstGeom prst="rect">
                            <a:avLst/>
                          </a:prstGeom>
                          <a:noFill/>
                        </pic:spPr>
                      </pic:pic>
                    </a:graphicData>
                  </a:graphic>
                </wp:inline>
              </w:drawing>
            </w:r>
          </w:p>
        </w:tc>
        <w:tc>
          <w:tcPr>
            <w:tcW w:w="7088" w:type="dxa"/>
            <w:gridSpan w:val="2"/>
          </w:tcPr>
          <w:p w14:paraId="7188109B" w14:textId="3A83E757" w:rsidR="008B39AF" w:rsidRPr="008B39AF" w:rsidRDefault="00117351" w:rsidP="008F087B">
            <w:pPr>
              <w:spacing w:before="0" w:after="240"/>
            </w:pPr>
            <w:r w:rsidRPr="007C2F24">
              <w:rPr>
                <w:b/>
              </w:rPr>
              <w:t>N</w:t>
            </w:r>
            <w:r w:rsidR="00BF021A" w:rsidRPr="007C2F24">
              <w:rPr>
                <w:b/>
              </w:rPr>
              <w:t>o change</w:t>
            </w:r>
            <w:r w:rsidR="007C2F24">
              <w:t xml:space="preserve">. </w:t>
            </w:r>
            <w:r w:rsidR="007C2F24" w:rsidRPr="007C2F24">
              <w:t xml:space="preserve">The </w:t>
            </w:r>
            <w:r w:rsidR="007C2F24">
              <w:t xml:space="preserve">proposed changes to the Prudential Standard </w:t>
            </w:r>
            <w:r w:rsidR="007C2F24" w:rsidRPr="007C2F24">
              <w:t>does not create advantage for public sector entities relative to other market participants.</w:t>
            </w:r>
            <w:r w:rsidR="007C2F24">
              <w:rPr>
                <w:rStyle w:val="FootnoteReference"/>
              </w:rPr>
              <w:footnoteReference w:id="5"/>
            </w:r>
          </w:p>
        </w:tc>
      </w:tr>
    </w:tbl>
    <w:p w14:paraId="5277522C" w14:textId="77777777" w:rsidR="00095A5B" w:rsidRDefault="00095A5B" w:rsidP="00A65BFA">
      <w:pPr>
        <w:pStyle w:val="Heading2Numbers"/>
        <w:ind w:left="851"/>
      </w:pPr>
      <w:bookmarkStart w:id="53" w:name="_Toc15987924"/>
      <w:bookmarkStart w:id="54" w:name="_Toc16067947"/>
      <w:bookmarkStart w:id="55" w:name="_Toc16752459"/>
      <w:bookmarkStart w:id="56" w:name="_Toc16759896"/>
      <w:bookmarkStart w:id="57" w:name="_Toc16765485"/>
      <w:bookmarkStart w:id="58" w:name="_Toc16773495"/>
      <w:bookmarkStart w:id="59" w:name="_Toc16773752"/>
      <w:bookmarkStart w:id="60" w:name="_Toc17097505"/>
      <w:bookmarkStart w:id="61" w:name="_Toc17103792"/>
      <w:bookmarkStart w:id="62" w:name="_Toc17105588"/>
      <w:bookmarkStart w:id="63" w:name="_Toc17276153"/>
      <w:bookmarkStart w:id="64" w:name="_Toc17283306"/>
      <w:bookmarkStart w:id="65" w:name="_Toc17291188"/>
      <w:bookmarkStart w:id="66" w:name="_Toc17375775"/>
      <w:bookmarkStart w:id="67" w:name="_Toc17376628"/>
      <w:bookmarkStart w:id="68" w:name="_Toc17450819"/>
      <w:bookmarkStart w:id="69" w:name="_Toc17468074"/>
      <w:bookmarkStart w:id="70" w:name="_Toc17811653"/>
      <w:bookmarkStart w:id="71" w:name="_Toc19122134"/>
      <w:bookmarkStart w:id="72" w:name="_Toc20405506"/>
      <w:r>
        <w:t>Timetable and next steps</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4E772557" w14:textId="661BC55E" w:rsidR="008B39AF" w:rsidRDefault="00095A5B" w:rsidP="00AC1C12">
      <w:pPr>
        <w:tabs>
          <w:tab w:val="clear" w:pos="1492"/>
        </w:tabs>
      </w:pPr>
      <w:r>
        <w:t xml:space="preserve">APRA intends to finalise the changes to the </w:t>
      </w:r>
      <w:r w:rsidR="00387AA0">
        <w:t>P</w:t>
      </w:r>
      <w:r>
        <w:t xml:space="preserve">rudential </w:t>
      </w:r>
      <w:r w:rsidR="00387AA0">
        <w:t>S</w:t>
      </w:r>
      <w:r>
        <w:t>tandard in early 2020</w:t>
      </w:r>
      <w:r w:rsidR="00B524B1">
        <w:t xml:space="preserve">, with </w:t>
      </w:r>
      <w:r>
        <w:t xml:space="preserve">the requirements </w:t>
      </w:r>
      <w:r w:rsidR="00B524B1">
        <w:t>expected to</w:t>
      </w:r>
      <w:r>
        <w:t xml:space="preserve"> come into force from 1 January 2021.</w:t>
      </w:r>
    </w:p>
    <w:p w14:paraId="0C52C3FF" w14:textId="0AA94C0F" w:rsidR="00F952BE" w:rsidRPr="00715369" w:rsidRDefault="00AC72AE" w:rsidP="00715369">
      <w:pPr>
        <w:pStyle w:val="Heading1Numbers"/>
      </w:pPr>
      <w:bookmarkStart w:id="73" w:name="_Toc16759897"/>
      <w:bookmarkStart w:id="74" w:name="_Toc17283307"/>
      <w:bookmarkStart w:id="75" w:name="_Toc17291189"/>
      <w:bookmarkStart w:id="76" w:name="_Toc17376629"/>
      <w:bookmarkStart w:id="77" w:name="_Toc20405507"/>
      <w:r w:rsidRPr="00715369">
        <w:t xml:space="preserve">Proposed </w:t>
      </w:r>
      <w:r w:rsidR="00397526" w:rsidRPr="00715369">
        <w:t>policy changes to APS 111</w:t>
      </w:r>
      <w:bookmarkEnd w:id="73"/>
      <w:bookmarkEnd w:id="74"/>
      <w:bookmarkEnd w:id="75"/>
      <w:bookmarkEnd w:id="76"/>
      <w:bookmarkEnd w:id="77"/>
    </w:p>
    <w:p w14:paraId="3EC9FAE9" w14:textId="3B70FCAA" w:rsidR="009D54E5" w:rsidRPr="002A2FBF" w:rsidRDefault="006F6700" w:rsidP="003010E4">
      <w:pPr>
        <w:pStyle w:val="Heading2Numbers"/>
        <w:ind w:left="851"/>
      </w:pPr>
      <w:bookmarkStart w:id="78" w:name="_Toc15987926"/>
      <w:bookmarkStart w:id="79" w:name="_Toc16067949"/>
      <w:bookmarkStart w:id="80" w:name="_Toc16752461"/>
      <w:bookmarkStart w:id="81" w:name="_Toc16759898"/>
      <w:bookmarkStart w:id="82" w:name="_Toc16765487"/>
      <w:bookmarkStart w:id="83" w:name="_Toc16773497"/>
      <w:bookmarkStart w:id="84" w:name="_Toc16773754"/>
      <w:bookmarkStart w:id="85" w:name="_Toc17097507"/>
      <w:bookmarkStart w:id="86" w:name="_Toc17103794"/>
      <w:bookmarkStart w:id="87" w:name="_Toc17105590"/>
      <w:bookmarkStart w:id="88" w:name="_Toc17276155"/>
      <w:bookmarkStart w:id="89" w:name="_Toc17283308"/>
      <w:bookmarkStart w:id="90" w:name="_Toc17291190"/>
      <w:bookmarkStart w:id="91" w:name="_Toc17375777"/>
      <w:bookmarkStart w:id="92" w:name="_Toc17376630"/>
      <w:bookmarkStart w:id="93" w:name="_Toc17450821"/>
      <w:bookmarkStart w:id="94" w:name="_Toc17468076"/>
      <w:bookmarkStart w:id="95" w:name="_Toc17811655"/>
      <w:bookmarkStart w:id="96" w:name="_Toc19122136"/>
      <w:bookmarkStart w:id="97" w:name="_Toc20405508"/>
      <w:r w:rsidRPr="00907F82">
        <w:t>Level 1</w:t>
      </w:r>
      <w:r w:rsidR="009E2B5A" w:rsidRPr="002A2FBF">
        <w:t xml:space="preserve"> treatment of equity </w:t>
      </w:r>
      <w:r w:rsidR="00045CA9" w:rsidRPr="002A2FBF">
        <w:t xml:space="preserve">investments </w:t>
      </w:r>
      <w:r w:rsidR="003010E4" w:rsidRPr="002A2FBF">
        <w:t xml:space="preserve">in </w:t>
      </w:r>
      <w:r w:rsidR="009E2B5A" w:rsidRPr="002A2FBF">
        <w:t>prudentially regulated subsidiaries</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1DCF83DD" w14:textId="453DB107" w:rsidR="008B0500" w:rsidRPr="008B0500" w:rsidRDefault="008F570D" w:rsidP="00293716">
      <w:r w:rsidRPr="002A2FBF">
        <w:t xml:space="preserve">In its </w:t>
      </w:r>
      <w:r w:rsidR="00501DA1" w:rsidRPr="002A2FBF">
        <w:t>June</w:t>
      </w:r>
      <w:r w:rsidRPr="002A2FBF">
        <w:t xml:space="preserve"> 201</w:t>
      </w:r>
      <w:r w:rsidR="00501DA1" w:rsidRPr="002A2FBF">
        <w:t>9</w:t>
      </w:r>
      <w:r w:rsidRPr="002A2FBF">
        <w:t xml:space="preserve"> Response to Submissions Paper</w:t>
      </w:r>
      <w:r w:rsidR="006468BB">
        <w:t>,</w:t>
      </w:r>
      <w:r w:rsidR="009E2B5A" w:rsidRPr="002A2FBF">
        <w:t xml:space="preserve"> </w:t>
      </w:r>
      <w:r w:rsidR="009E2B5A" w:rsidRPr="002A2FBF">
        <w:rPr>
          <w:i/>
        </w:rPr>
        <w:t>Revisions to the capital framework for authorised deposit-taking institutions</w:t>
      </w:r>
      <w:r w:rsidR="004832E9">
        <w:rPr>
          <w:i/>
        </w:rPr>
        <w:t xml:space="preserve"> </w:t>
      </w:r>
      <w:r w:rsidR="004832E9" w:rsidRPr="00165A28">
        <w:t>and</w:t>
      </w:r>
      <w:r w:rsidR="004832E9">
        <w:rPr>
          <w:i/>
        </w:rPr>
        <w:t xml:space="preserve"> </w:t>
      </w:r>
      <w:r w:rsidR="004832E9">
        <w:t>August 2019</w:t>
      </w:r>
      <w:r w:rsidR="004832E9" w:rsidRPr="008B0500">
        <w:t xml:space="preserve"> Response to Submissions Paper, </w:t>
      </w:r>
      <w:r w:rsidR="004832E9" w:rsidRPr="00D528FF">
        <w:rPr>
          <w:i/>
        </w:rPr>
        <w:t>Revisions to the related entities framework for ADIs</w:t>
      </w:r>
      <w:r w:rsidR="009E2B5A" w:rsidRPr="002A2FBF">
        <w:t>,</w:t>
      </w:r>
      <w:r w:rsidRPr="002A2FBF">
        <w:t xml:space="preserve"> APRA flagged </w:t>
      </w:r>
      <w:r w:rsidR="009E2B5A" w:rsidRPr="002A2FBF">
        <w:t xml:space="preserve">a </w:t>
      </w:r>
      <w:r w:rsidRPr="002A2FBF">
        <w:t xml:space="preserve">review of the existing approach to risk-weighting </w:t>
      </w:r>
      <w:r w:rsidR="00777FFE" w:rsidRPr="002A2FBF">
        <w:t xml:space="preserve">an </w:t>
      </w:r>
      <w:r w:rsidRPr="002A2FBF">
        <w:t>AD</w:t>
      </w:r>
      <w:r w:rsidR="00777FFE" w:rsidRPr="002A2FBF">
        <w:t>I’s</w:t>
      </w:r>
      <w:r w:rsidRPr="002A2FBF">
        <w:t xml:space="preserve"> equity</w:t>
      </w:r>
      <w:r w:rsidR="009E2B5A" w:rsidRPr="002A2FBF">
        <w:t xml:space="preserve"> investment</w:t>
      </w:r>
      <w:r w:rsidR="003661E6">
        <w:t>s</w:t>
      </w:r>
      <w:r w:rsidR="009E2B5A" w:rsidRPr="002A2FBF">
        <w:t xml:space="preserve"> in other ADIs and equivalent overseas deposit-taking institutions and insurance </w:t>
      </w:r>
      <w:r w:rsidRPr="002A2FBF">
        <w:t>subsidiaries at Level 1.</w:t>
      </w:r>
      <w:r w:rsidRPr="002A2FBF">
        <w:rPr>
          <w:rStyle w:val="FootnoteReference"/>
        </w:rPr>
        <w:footnoteReference w:id="6"/>
      </w:r>
      <w:r w:rsidR="00E2656E">
        <w:t xml:space="preserve"> </w:t>
      </w:r>
      <w:r w:rsidR="004832E9" w:rsidRPr="00165A28">
        <w:rPr>
          <w:vertAlign w:val="superscript"/>
        </w:rPr>
        <w:t>,</w:t>
      </w:r>
      <w:r w:rsidR="008B0500">
        <w:rPr>
          <w:rStyle w:val="FootnoteReference"/>
        </w:rPr>
        <w:footnoteReference w:id="7"/>
      </w:r>
    </w:p>
    <w:p w14:paraId="000FFA69" w14:textId="27761543" w:rsidR="006F4F06" w:rsidRPr="002A2FBF" w:rsidRDefault="00066C43" w:rsidP="00293716">
      <w:r w:rsidRPr="002A2FBF">
        <w:t xml:space="preserve">APS 111 </w:t>
      </w:r>
      <w:r w:rsidR="006F4F06" w:rsidRPr="002A2FBF">
        <w:t xml:space="preserve">provides a </w:t>
      </w:r>
      <w:r w:rsidR="002505AD" w:rsidRPr="002A2FBF">
        <w:t xml:space="preserve">long-standing </w:t>
      </w:r>
      <w:r w:rsidR="006F4F06" w:rsidRPr="002A2FBF">
        <w:t xml:space="preserve">treatment </w:t>
      </w:r>
      <w:r w:rsidR="002505AD" w:rsidRPr="002A2FBF">
        <w:t>which</w:t>
      </w:r>
      <w:r w:rsidR="006F4F06" w:rsidRPr="002A2FBF">
        <w:t xml:space="preserve"> allows </w:t>
      </w:r>
      <w:r w:rsidRPr="002A2FBF">
        <w:t>an ADI at Level 1 to risk w</w:t>
      </w:r>
      <w:r w:rsidR="00830FDD" w:rsidRPr="002A2FBF">
        <w:t>e</w:t>
      </w:r>
      <w:r w:rsidRPr="002A2FBF">
        <w:t>ight</w:t>
      </w:r>
      <w:r w:rsidR="00965E26" w:rsidRPr="002A2FBF">
        <w:t xml:space="preserve">, after deduction of any </w:t>
      </w:r>
      <w:r w:rsidR="0046026D" w:rsidRPr="0046026D">
        <w:t>intangible</w:t>
      </w:r>
      <w:r w:rsidR="00451A56">
        <w:t>s</w:t>
      </w:r>
      <w:r w:rsidR="00965E26" w:rsidRPr="00907F82">
        <w:t xml:space="preserve"> component,</w:t>
      </w:r>
      <w:r w:rsidR="00830FDD" w:rsidRPr="002A2FBF">
        <w:t xml:space="preserve"> </w:t>
      </w:r>
      <w:r w:rsidR="003225E0" w:rsidRPr="002A2FBF">
        <w:t xml:space="preserve">at 300 per cent (if </w:t>
      </w:r>
      <w:r w:rsidR="003661E6">
        <w:t xml:space="preserve">the subsidiary is </w:t>
      </w:r>
      <w:r w:rsidR="003225E0" w:rsidRPr="002A2FBF">
        <w:t xml:space="preserve">listed) or 400 per cent (if </w:t>
      </w:r>
      <w:r w:rsidR="003661E6">
        <w:t xml:space="preserve">the subsidiary is </w:t>
      </w:r>
      <w:r w:rsidR="003225E0" w:rsidRPr="002A2FBF">
        <w:t>unlisted)</w:t>
      </w:r>
      <w:r w:rsidR="00AE43E3">
        <w:t>,</w:t>
      </w:r>
      <w:r w:rsidR="003225E0" w:rsidRPr="002A2FBF">
        <w:t xml:space="preserve"> </w:t>
      </w:r>
      <w:r w:rsidR="00830FDD" w:rsidRPr="002A2FBF">
        <w:t xml:space="preserve">its equity </w:t>
      </w:r>
      <w:r w:rsidR="00792527" w:rsidRPr="002A2FBF">
        <w:t>investment</w:t>
      </w:r>
      <w:r w:rsidR="003661E6">
        <w:t>s</w:t>
      </w:r>
      <w:r w:rsidR="00830FDD" w:rsidRPr="002A2FBF">
        <w:t xml:space="preserve"> in </w:t>
      </w:r>
      <w:r w:rsidR="008068FC">
        <w:t>banking and insurance subsidiaries.</w:t>
      </w:r>
      <w:r w:rsidR="0017243F" w:rsidRPr="002A2FBF">
        <w:rPr>
          <w:rStyle w:val="FootnoteReference"/>
        </w:rPr>
        <w:footnoteReference w:id="8"/>
      </w:r>
      <w:r w:rsidR="00045CA9" w:rsidRPr="002A2FBF">
        <w:t xml:space="preserve"> </w:t>
      </w:r>
      <w:r w:rsidR="009E2B5A" w:rsidRPr="002A2FBF">
        <w:t xml:space="preserve">This </w:t>
      </w:r>
      <w:r w:rsidR="00275123" w:rsidRPr="002A2FBF">
        <w:t>is a variant to</w:t>
      </w:r>
      <w:r w:rsidR="009E2B5A" w:rsidRPr="002A2FBF">
        <w:t xml:space="preserve"> </w:t>
      </w:r>
      <w:r w:rsidR="002F5BAF" w:rsidRPr="00222409">
        <w:t>A</w:t>
      </w:r>
      <w:r w:rsidR="002F5BAF" w:rsidRPr="00281FC2">
        <w:t>PRA’s</w:t>
      </w:r>
      <w:r w:rsidR="002F5BAF" w:rsidRPr="00907F82">
        <w:t xml:space="preserve"> </w:t>
      </w:r>
      <w:r w:rsidR="009E2B5A" w:rsidRPr="002A2FBF">
        <w:t xml:space="preserve">general </w:t>
      </w:r>
      <w:r w:rsidR="00080B2A" w:rsidRPr="002A2FBF">
        <w:t xml:space="preserve">capital </w:t>
      </w:r>
      <w:r w:rsidR="009E2B5A" w:rsidRPr="002A2FBF">
        <w:t xml:space="preserve">treatment of equity </w:t>
      </w:r>
      <w:r w:rsidR="002F5BAF" w:rsidRPr="00222409">
        <w:t>exposures</w:t>
      </w:r>
      <w:r w:rsidR="009E2B5A" w:rsidRPr="00907F82">
        <w:t xml:space="preserve">, which </w:t>
      </w:r>
      <w:r w:rsidR="00FC24A6" w:rsidRPr="002A2FBF">
        <w:t xml:space="preserve">are required to be deducted from CET1 </w:t>
      </w:r>
      <w:r w:rsidR="000B3F3A" w:rsidRPr="000B3F3A">
        <w:t>C</w:t>
      </w:r>
      <w:r w:rsidR="00FC24A6" w:rsidRPr="0046026D">
        <w:t>apital</w:t>
      </w:r>
      <w:r w:rsidR="00FC24A6" w:rsidRPr="00222409">
        <w:t>.</w:t>
      </w:r>
      <w:r w:rsidR="009E2B5A" w:rsidRPr="00907F82">
        <w:t xml:space="preserve"> </w:t>
      </w:r>
    </w:p>
    <w:p w14:paraId="640DF0BB" w14:textId="77777777" w:rsidR="00433955" w:rsidRPr="002A2FBF" w:rsidRDefault="00FC24A6" w:rsidP="00293716">
      <w:r w:rsidRPr="002A2FBF">
        <w:t>T</w:t>
      </w:r>
      <w:r>
        <w:t>he current</w:t>
      </w:r>
      <w:r w:rsidR="003D4EAE" w:rsidRPr="00907F82">
        <w:t xml:space="preserve"> treatment recognises</w:t>
      </w:r>
      <w:r w:rsidR="007E1957">
        <w:t>, in part,</w:t>
      </w:r>
      <w:r w:rsidR="003D4EAE" w:rsidRPr="00907F82">
        <w:t xml:space="preserve"> that an</w:t>
      </w:r>
      <w:r w:rsidR="008E39A4" w:rsidRPr="002A2FBF">
        <w:t xml:space="preserve"> intra</w:t>
      </w:r>
      <w:r w:rsidR="00E71CDC" w:rsidRPr="002A2FBF">
        <w:t>-</w:t>
      </w:r>
      <w:r w:rsidR="008E39A4" w:rsidRPr="002A2FBF">
        <w:t>group</w:t>
      </w:r>
      <w:r w:rsidR="003D4EAE" w:rsidRPr="002A2FBF">
        <w:t xml:space="preserve"> equity investment in a prudentially regulated subsidiary</w:t>
      </w:r>
      <w:r w:rsidR="00E83E6F" w:rsidRPr="002A2FBF">
        <w:t>, usually offshore,</w:t>
      </w:r>
      <w:r w:rsidR="003D4EAE" w:rsidRPr="002A2FBF">
        <w:t xml:space="preserve"> </w:t>
      </w:r>
      <w:r w:rsidR="003225E0" w:rsidRPr="002A2FBF">
        <w:t>may w</w:t>
      </w:r>
      <w:r w:rsidR="003D4EAE" w:rsidRPr="002A2FBF">
        <w:t xml:space="preserve">arrant a favourable capital treatment compared to a full </w:t>
      </w:r>
      <w:r w:rsidR="00014CB5" w:rsidRPr="002A2FBF">
        <w:t xml:space="preserve">capital </w:t>
      </w:r>
      <w:r w:rsidR="003D4EAE" w:rsidRPr="002A2FBF">
        <w:t>deduction</w:t>
      </w:r>
      <w:r w:rsidR="009819CD" w:rsidRPr="002A2FBF">
        <w:t>, as</w:t>
      </w:r>
      <w:r w:rsidR="00B60E7D" w:rsidRPr="002A2FBF">
        <w:t xml:space="preserve"> a prudentially regulated subsidiary </w:t>
      </w:r>
      <w:r w:rsidR="00045CA9" w:rsidRPr="002A2FBF">
        <w:t xml:space="preserve">could represent </w:t>
      </w:r>
      <w:r w:rsidR="00B60E7D" w:rsidRPr="002A2FBF">
        <w:t xml:space="preserve">lower risk </w:t>
      </w:r>
      <w:r w:rsidR="000C61FA">
        <w:t xml:space="preserve">to the parent ADI </w:t>
      </w:r>
      <w:r w:rsidR="009819CD" w:rsidRPr="002A2FBF">
        <w:t xml:space="preserve">compared to </w:t>
      </w:r>
      <w:r w:rsidR="00B60E7D" w:rsidRPr="002A2FBF">
        <w:t>a non-prudentially regulated subsidiary.</w:t>
      </w:r>
      <w:r w:rsidR="007E1957">
        <w:t xml:space="preserve"> Equity investments in banking an</w:t>
      </w:r>
      <w:r w:rsidR="003B2E2E">
        <w:t>d</w:t>
      </w:r>
      <w:r w:rsidR="007E1957">
        <w:t xml:space="preserve"> insurance subsidiaries may </w:t>
      </w:r>
      <w:r w:rsidR="008D6CD8">
        <w:t xml:space="preserve">also </w:t>
      </w:r>
      <w:r w:rsidR="007E1957">
        <w:t xml:space="preserve">provide </w:t>
      </w:r>
      <w:r w:rsidR="008D6CD8">
        <w:t xml:space="preserve">the </w:t>
      </w:r>
      <w:r w:rsidR="007E1957">
        <w:t xml:space="preserve">parent ADI </w:t>
      </w:r>
      <w:r w:rsidR="008D6CD8">
        <w:t>with m</w:t>
      </w:r>
      <w:r w:rsidR="007E1957">
        <w:t>ore diverse revenue streams</w:t>
      </w:r>
      <w:r w:rsidR="008D6CD8">
        <w:t>.</w:t>
      </w:r>
      <w:r w:rsidR="007E1957">
        <w:t xml:space="preserve">  </w:t>
      </w:r>
    </w:p>
    <w:p w14:paraId="351BF942" w14:textId="0DCF399B" w:rsidR="002004DD" w:rsidRDefault="00697880" w:rsidP="00293716">
      <w:r w:rsidRPr="002A2FBF">
        <w:t xml:space="preserve">However, </w:t>
      </w:r>
      <w:r w:rsidR="00275123" w:rsidRPr="002A2FBF">
        <w:t xml:space="preserve">departure from the general capital treatment of </w:t>
      </w:r>
      <w:r w:rsidR="00931DB7" w:rsidRPr="002A2FBF">
        <w:t xml:space="preserve">deduction for </w:t>
      </w:r>
      <w:r w:rsidR="00275123" w:rsidRPr="002A2FBF">
        <w:t xml:space="preserve">an equity </w:t>
      </w:r>
      <w:r w:rsidR="00FC24A6">
        <w:t>exposure</w:t>
      </w:r>
      <w:r w:rsidR="00FC24A6" w:rsidRPr="00907F82">
        <w:t xml:space="preserve"> </w:t>
      </w:r>
      <w:r w:rsidR="006A696C">
        <w:t>must</w:t>
      </w:r>
      <w:r w:rsidR="00C4186E" w:rsidRPr="00907F82">
        <w:t xml:space="preserve"> be </w:t>
      </w:r>
      <w:r w:rsidR="00194D36" w:rsidRPr="002A2FBF">
        <w:t xml:space="preserve">weighed against having </w:t>
      </w:r>
      <w:r w:rsidR="003005B1">
        <w:t>appropriate</w:t>
      </w:r>
      <w:r w:rsidR="00254428">
        <w:t xml:space="preserve"> levels of</w:t>
      </w:r>
      <w:r w:rsidR="003005B1">
        <w:t xml:space="preserve"> </w:t>
      </w:r>
      <w:r w:rsidR="00194D36" w:rsidRPr="00907F82">
        <w:t>capital available</w:t>
      </w:r>
      <w:r w:rsidR="00DD2DC7">
        <w:t xml:space="preserve"> </w:t>
      </w:r>
      <w:r w:rsidR="00FC6240">
        <w:t xml:space="preserve">to protect </w:t>
      </w:r>
      <w:r w:rsidR="00DD2DC7">
        <w:t xml:space="preserve">the parent ADI’s </w:t>
      </w:r>
      <w:r w:rsidR="00FC6240">
        <w:t>depositors</w:t>
      </w:r>
      <w:r w:rsidR="00194D36" w:rsidRPr="00907F82">
        <w:t>.</w:t>
      </w:r>
      <w:r w:rsidR="00194D36" w:rsidRPr="002A2FBF" w:rsidDel="003005B1">
        <w:t xml:space="preserve"> </w:t>
      </w:r>
      <w:r w:rsidR="001B3B08" w:rsidRPr="002A2FBF">
        <w:t xml:space="preserve">In measuring Regulatory Capital at </w:t>
      </w:r>
      <w:r w:rsidR="00CF5B2E">
        <w:t>the parent ADI level</w:t>
      </w:r>
      <w:r w:rsidR="001B3B08" w:rsidRPr="002A2FBF">
        <w:t xml:space="preserve">, </w:t>
      </w:r>
      <w:r w:rsidR="00595C7E" w:rsidRPr="002A2FBF">
        <w:t xml:space="preserve">the existing </w:t>
      </w:r>
      <w:r w:rsidR="00626CF7" w:rsidRPr="002A2FBF">
        <w:t>risk weight</w:t>
      </w:r>
      <w:r w:rsidR="00595C7E" w:rsidRPr="002A2FBF">
        <w:t>s</w:t>
      </w:r>
      <w:r w:rsidR="00BD4290" w:rsidRPr="002A2FBF">
        <w:t xml:space="preserve"> </w:t>
      </w:r>
      <w:r w:rsidR="001A4A20" w:rsidRPr="002A2FBF">
        <w:t xml:space="preserve">applied to these </w:t>
      </w:r>
      <w:r w:rsidR="00E81243" w:rsidRPr="002A2FBF">
        <w:t>exposures</w:t>
      </w:r>
      <w:r w:rsidR="001A4A20" w:rsidRPr="002A2FBF">
        <w:t xml:space="preserve"> </w:t>
      </w:r>
      <w:r w:rsidR="001B3B08" w:rsidRPr="002A2FBF">
        <w:t xml:space="preserve">provide an incentive for </w:t>
      </w:r>
      <w:r w:rsidRPr="002A2FBF">
        <w:t>an</w:t>
      </w:r>
      <w:r w:rsidR="00C32BBB" w:rsidRPr="002A2FBF">
        <w:t xml:space="preserve"> ADI</w:t>
      </w:r>
      <w:r w:rsidR="00AC196C" w:rsidRPr="002A2FBF">
        <w:t xml:space="preserve"> </w:t>
      </w:r>
      <w:r w:rsidR="001B3B08" w:rsidRPr="002A2FBF">
        <w:t xml:space="preserve">to support </w:t>
      </w:r>
      <w:r w:rsidR="00830FDD" w:rsidRPr="002A2FBF">
        <w:t>these</w:t>
      </w:r>
      <w:r w:rsidR="001B3B08" w:rsidRPr="002A2FBF">
        <w:t xml:space="preserve"> </w:t>
      </w:r>
      <w:r w:rsidR="001A4A20" w:rsidRPr="002A2FBF">
        <w:t>inve</w:t>
      </w:r>
      <w:r w:rsidR="00FA2010" w:rsidRPr="002A2FBF">
        <w:t>s</w:t>
      </w:r>
      <w:r w:rsidR="001A4A20" w:rsidRPr="002A2FBF">
        <w:t>tments</w:t>
      </w:r>
      <w:r w:rsidR="001B3B08" w:rsidRPr="002A2FBF">
        <w:t xml:space="preserve"> with debt</w:t>
      </w:r>
      <w:r w:rsidR="008E39A4" w:rsidRPr="002A2FBF">
        <w:t xml:space="preserve">, </w:t>
      </w:r>
      <w:r w:rsidR="00034D35" w:rsidRPr="002A2FBF">
        <w:t xml:space="preserve">allowing the </w:t>
      </w:r>
      <w:r w:rsidR="00E81243" w:rsidRPr="002A2FBF">
        <w:t xml:space="preserve">equity </w:t>
      </w:r>
      <w:r w:rsidR="00034D35" w:rsidRPr="002A2FBF">
        <w:t>investment</w:t>
      </w:r>
      <w:r w:rsidR="001B3B08" w:rsidRPr="002A2FBF">
        <w:t xml:space="preserve"> to</w:t>
      </w:r>
      <w:r w:rsidR="00034D35" w:rsidRPr="002A2FBF">
        <w:t xml:space="preserve"> be levered</w:t>
      </w:r>
      <w:r w:rsidR="000401D7" w:rsidRPr="002A2FBF">
        <w:t xml:space="preserve">. </w:t>
      </w:r>
      <w:r w:rsidR="002004DD">
        <w:t>This has the effect of overstating c</w:t>
      </w:r>
      <w:r w:rsidR="00620C9E">
        <w:t xml:space="preserve">apital available at the parent ADI level. </w:t>
      </w:r>
    </w:p>
    <w:p w14:paraId="2DACF74D" w14:textId="37CBA80F" w:rsidR="008D6CD8" w:rsidRDefault="00115F08" w:rsidP="00293716">
      <w:r w:rsidRPr="002A2FBF">
        <w:t xml:space="preserve">To address this issue, APRA is proposing to </w:t>
      </w:r>
      <w:r w:rsidR="00CF5B2E">
        <w:t>limit</w:t>
      </w:r>
      <w:r w:rsidR="00825B80">
        <w:t xml:space="preserve"> </w:t>
      </w:r>
      <w:r w:rsidR="00825B80" w:rsidRPr="00825B80">
        <w:t xml:space="preserve">the extent to which an ADI may use </w:t>
      </w:r>
      <w:r w:rsidR="00CF5B2E">
        <w:t>debt</w:t>
      </w:r>
      <w:r w:rsidR="00995435">
        <w:t xml:space="preserve"> to fund these </w:t>
      </w:r>
      <w:r w:rsidR="00EF44BB">
        <w:t>exposures</w:t>
      </w:r>
      <w:r w:rsidR="003C7EC6">
        <w:t xml:space="preserve">. </w:t>
      </w:r>
      <w:r w:rsidRPr="002A2FBF">
        <w:t xml:space="preserve">ADIs, at </w:t>
      </w:r>
      <w:r w:rsidR="006F63EE" w:rsidRPr="002A2FBF">
        <w:t>L</w:t>
      </w:r>
      <w:r w:rsidRPr="002A2FBF">
        <w:t xml:space="preserve">evel 1, </w:t>
      </w:r>
      <w:r w:rsidR="003C7EC6">
        <w:t xml:space="preserve">will be required </w:t>
      </w:r>
      <w:r w:rsidRPr="002A2FBF">
        <w:t>to deduct these equity inve</w:t>
      </w:r>
      <w:r w:rsidR="00595C7E" w:rsidRPr="002A2FBF">
        <w:t>s</w:t>
      </w:r>
      <w:r w:rsidRPr="002A2FBF">
        <w:t xml:space="preserve">tments </w:t>
      </w:r>
      <w:r w:rsidR="00595C7E" w:rsidRPr="002A2FBF">
        <w:t xml:space="preserve">from CET1 Capital, </w:t>
      </w:r>
      <w:r w:rsidR="006F63EE" w:rsidRPr="002A2FBF">
        <w:t xml:space="preserve">but only to the </w:t>
      </w:r>
      <w:r w:rsidR="00C40EA7" w:rsidRPr="002A2FBF">
        <w:t>extent</w:t>
      </w:r>
      <w:r w:rsidR="006F63EE" w:rsidRPr="002A2FBF">
        <w:t xml:space="preserve"> the investment is in excess of 10 per cent </w:t>
      </w:r>
      <w:r w:rsidR="00B65865" w:rsidRPr="002A2FBF">
        <w:t xml:space="preserve">of </w:t>
      </w:r>
      <w:r w:rsidR="006F63EE" w:rsidRPr="002A2FBF">
        <w:t>CET1 Capital</w:t>
      </w:r>
      <w:r w:rsidR="006F63EE" w:rsidRPr="00907F82">
        <w:t>.</w:t>
      </w:r>
      <w:r w:rsidR="00595C7E" w:rsidRPr="002A2FBF">
        <w:t xml:space="preserve"> </w:t>
      </w:r>
      <w:r w:rsidR="006F63EE" w:rsidRPr="002A2FBF">
        <w:t>An ADI may risk weight the investment</w:t>
      </w:r>
      <w:r w:rsidR="00965E26" w:rsidRPr="002A2FBF">
        <w:t>, after deduction of any intangibles component,</w:t>
      </w:r>
      <w:r w:rsidR="006F63EE" w:rsidRPr="002A2FBF">
        <w:t xml:space="preserve"> at 250 per cent to </w:t>
      </w:r>
      <w:r w:rsidR="00346B9D" w:rsidRPr="002A2FBF">
        <w:t xml:space="preserve">the </w:t>
      </w:r>
      <w:r w:rsidR="006F63EE" w:rsidRPr="002A2FBF">
        <w:t>e</w:t>
      </w:r>
      <w:r w:rsidR="00346B9D" w:rsidRPr="002A2FBF">
        <w:t>x</w:t>
      </w:r>
      <w:r w:rsidR="006F63EE" w:rsidRPr="002A2FBF">
        <w:t>tent the investment is below this 10 per cent threshold.</w:t>
      </w:r>
      <w:r w:rsidR="004C2187" w:rsidRPr="002A2FBF">
        <w:t xml:space="preserve"> </w:t>
      </w:r>
      <w:r w:rsidR="0081457A">
        <w:t>The amount of the exposure that is risk weighted would be included as part of the related party limits detailed in the recently finalised APS 222.</w:t>
      </w:r>
      <w:r w:rsidR="00393844">
        <w:rPr>
          <w:rStyle w:val="FootnoteReference"/>
        </w:rPr>
        <w:footnoteReference w:id="9"/>
      </w:r>
      <w:r w:rsidR="00620C9E">
        <w:t xml:space="preserve"> </w:t>
      </w:r>
    </w:p>
    <w:p w14:paraId="0AFDF46B" w14:textId="1AFB16BA" w:rsidR="0067310B" w:rsidRDefault="00620C9E" w:rsidP="00293716">
      <w:r>
        <w:t xml:space="preserve">In proposing this capital treatment, </w:t>
      </w:r>
      <w:r w:rsidRPr="00620C9E">
        <w:t xml:space="preserve">APRA is less concerned about small equity investments in banking and insurance subsidiaries and more concerned about large concentrated </w:t>
      </w:r>
      <w:r w:rsidR="004B0B20">
        <w:t xml:space="preserve">equity </w:t>
      </w:r>
      <w:r w:rsidRPr="00620C9E">
        <w:t>investments.</w:t>
      </w:r>
      <w:r w:rsidR="0067310B" w:rsidRPr="0067310B">
        <w:t xml:space="preserve"> </w:t>
      </w:r>
      <w:r w:rsidR="004964CB">
        <w:t xml:space="preserve">For </w:t>
      </w:r>
      <w:r w:rsidR="0067310B" w:rsidRPr="0067310B">
        <w:t xml:space="preserve">ADIs whose investments in banking and insurance subsidiaries are currently below 10 per cent of CET1 Capital, the proposal </w:t>
      </w:r>
      <w:r w:rsidR="003F7EF2">
        <w:t>will likely</w:t>
      </w:r>
      <w:r w:rsidR="0067310B" w:rsidRPr="0067310B">
        <w:t xml:space="preserve"> provide a capital uplift</w:t>
      </w:r>
      <w:r w:rsidR="003F7EF2">
        <w:t xml:space="preserve"> as the risk weight for </w:t>
      </w:r>
      <w:r w:rsidR="004B0B20">
        <w:t xml:space="preserve">equity </w:t>
      </w:r>
      <w:r w:rsidR="003F7EF2">
        <w:t>exposures under the threshold will reduce from 400 per cent currently to 250 per cent</w:t>
      </w:r>
      <w:r w:rsidR="0067310B">
        <w:t xml:space="preserve">. However, </w:t>
      </w:r>
      <w:r w:rsidR="009C1A5A">
        <w:t xml:space="preserve">for </w:t>
      </w:r>
      <w:r w:rsidR="0067310B">
        <w:t>ADIs that have large concentrated exposures</w:t>
      </w:r>
      <w:r w:rsidR="009C1A5A">
        <w:t>, t</w:t>
      </w:r>
      <w:r w:rsidR="009C1A5A" w:rsidRPr="009C1A5A">
        <w:t>here is likely a requirement to hold more capital</w:t>
      </w:r>
      <w:r w:rsidR="0067310B">
        <w:t xml:space="preserve">. </w:t>
      </w:r>
    </w:p>
    <w:p w14:paraId="4AE91F51" w14:textId="4B96540F" w:rsidR="00607675" w:rsidRPr="002A2FBF" w:rsidRDefault="00620C9E" w:rsidP="00293716">
      <w:r w:rsidRPr="00620C9E">
        <w:t>APRA has considered, but is not proposing, a full deduction of equity investments in banking and insurance subsidiaries. The existing treatment is long-standing, recognises the benefits of subsidiaries that are subject to prudential regulation, and recognises that ownership of banking and insurance subsidiaries generally provides some beneficial diversification to ADIs and therefore may have a positive effect on financial safety and stability. Should a strategic response (to a full deduction) be to divest part or all of their subsidiaries, ADIs may become more concentrated, potentially reducing revenue diversity and viable recovery options in a domestic stress event.</w:t>
      </w:r>
    </w:p>
    <w:p w14:paraId="76BCB2C7" w14:textId="7802FF64" w:rsidR="00620C9E" w:rsidRDefault="00620C9E" w:rsidP="00254428">
      <w:pPr>
        <w:tabs>
          <w:tab w:val="clear" w:pos="1492"/>
        </w:tabs>
      </w:pPr>
      <w:r>
        <w:t xml:space="preserve">In proposing </w:t>
      </w:r>
      <w:r w:rsidR="008E48D2">
        <w:t>th</w:t>
      </w:r>
      <w:r w:rsidR="002E7FF8">
        <w:t>is</w:t>
      </w:r>
      <w:r w:rsidR="008E48D2">
        <w:t xml:space="preserve"> change to the existing </w:t>
      </w:r>
      <w:r>
        <w:t>treatment, APRA has considered the</w:t>
      </w:r>
      <w:r w:rsidR="0067310B">
        <w:t xml:space="preserve"> impact of the proposals</w:t>
      </w:r>
      <w:r w:rsidR="00281769">
        <w:t xml:space="preserve">, particularly </w:t>
      </w:r>
      <w:r w:rsidR="0067310B">
        <w:t>on the</w:t>
      </w:r>
      <w:r w:rsidRPr="00620C9E">
        <w:t xml:space="preserve"> four major Australian banks</w:t>
      </w:r>
      <w:r w:rsidR="00EC1EA2">
        <w:t>’</w:t>
      </w:r>
      <w:r w:rsidR="0067310B">
        <w:t xml:space="preserve"> investments</w:t>
      </w:r>
      <w:r w:rsidRPr="00620C9E">
        <w:t xml:space="preserve"> </w:t>
      </w:r>
      <w:r w:rsidR="0067310B">
        <w:t xml:space="preserve">in their </w:t>
      </w:r>
      <w:r w:rsidRPr="00620C9E">
        <w:t>New Zealand banking subsidiaries</w:t>
      </w:r>
      <w:r w:rsidR="0067310B">
        <w:t>, which</w:t>
      </w:r>
      <w:r w:rsidRPr="00620C9E">
        <w:t xml:space="preserve"> are material from both a business and capital perspective. At current levels of </w:t>
      </w:r>
      <w:r w:rsidR="004964CB">
        <w:t xml:space="preserve">the </w:t>
      </w:r>
      <w:r w:rsidRPr="00620C9E">
        <w:t>equity investment</w:t>
      </w:r>
      <w:r w:rsidR="004964CB">
        <w:t>s</w:t>
      </w:r>
      <w:r w:rsidRPr="00620C9E">
        <w:t xml:space="preserve">, APRA estimates the </w:t>
      </w:r>
      <w:r w:rsidR="0067310B">
        <w:t xml:space="preserve">existing </w:t>
      </w:r>
      <w:r w:rsidRPr="00620C9E">
        <w:t>treatment to allow risk-weighting rather than deduction provides an uplift to the average CET1 Capital ratio across the four major banks of approximately 90 basis points.</w:t>
      </w:r>
    </w:p>
    <w:p w14:paraId="15BB706A" w14:textId="4886357E" w:rsidR="00984B9C" w:rsidRDefault="00FB1761" w:rsidP="00254428">
      <w:pPr>
        <w:tabs>
          <w:tab w:val="clear" w:pos="1492"/>
        </w:tabs>
      </w:pPr>
      <w:r w:rsidRPr="00FB1761">
        <w:t>Based on data available to APRA</w:t>
      </w:r>
      <w:r w:rsidR="00281769">
        <w:t xml:space="preserve"> and at an industry level, </w:t>
      </w:r>
      <w:r>
        <w:t>the</w:t>
      </w:r>
      <w:r w:rsidRPr="00FB1761">
        <w:t xml:space="preserve"> impact of the proposed </w:t>
      </w:r>
      <w:r w:rsidR="00EC1EA2">
        <w:t>treatment</w:t>
      </w:r>
      <w:r w:rsidRPr="00FB1761">
        <w:t xml:space="preserve"> is no change in the aggregate capital requirement for these exposures</w:t>
      </w:r>
      <w:r>
        <w:t xml:space="preserve"> and</w:t>
      </w:r>
      <w:r w:rsidR="00EF44BB">
        <w:t xml:space="preserve"> </w:t>
      </w:r>
      <w:r>
        <w:t xml:space="preserve">that </w:t>
      </w:r>
      <w:r w:rsidR="00EF44BB">
        <w:t>capital requirements remain, in aggregate, consistent with APRA’s intent under the ‘unquestionably strong’ framework</w:t>
      </w:r>
      <w:r w:rsidR="00254428" w:rsidRPr="003005B1">
        <w:t>. The capital outcome does, however, vary for individual ADIs</w:t>
      </w:r>
      <w:r w:rsidR="001D38BC">
        <w:t xml:space="preserve">, </w:t>
      </w:r>
      <w:r w:rsidR="00167059">
        <w:t>with</w:t>
      </w:r>
      <w:r w:rsidR="001D38BC">
        <w:t xml:space="preserve"> </w:t>
      </w:r>
      <w:r w:rsidR="00167059">
        <w:t xml:space="preserve">a relatively larger impact on </w:t>
      </w:r>
      <w:r w:rsidR="001D38BC">
        <w:t xml:space="preserve">those ADIs </w:t>
      </w:r>
      <w:r w:rsidR="00167059">
        <w:t xml:space="preserve">invested relatively more in offshore subsidiaries compared to more domestically </w:t>
      </w:r>
      <w:r w:rsidR="0046026D">
        <w:t>focused</w:t>
      </w:r>
      <w:r w:rsidR="00167059">
        <w:t xml:space="preserve"> peers</w:t>
      </w:r>
      <w:r w:rsidR="00D675FB">
        <w:t>.</w:t>
      </w:r>
      <w:r w:rsidR="004832E9">
        <w:t xml:space="preserve"> </w:t>
      </w:r>
      <w:r w:rsidR="00D675FB">
        <w:t>Notwithstanding</w:t>
      </w:r>
      <w:r w:rsidR="008A7A6F">
        <w:t xml:space="preserve">, </w:t>
      </w:r>
      <w:r w:rsidR="00254428" w:rsidRPr="002563BD">
        <w:t>reforms to strengthen capital in offshore subsidiaries by other regulators</w:t>
      </w:r>
      <w:r w:rsidR="00CF31CC">
        <w:t>, including the implementation of the R</w:t>
      </w:r>
      <w:r w:rsidR="003B2E2E">
        <w:t>BNZ</w:t>
      </w:r>
      <w:r w:rsidR="00CF31CC">
        <w:t>’s proposed capital reforms,</w:t>
      </w:r>
      <w:r w:rsidR="00254428" w:rsidRPr="002563BD">
        <w:t xml:space="preserve"> </w:t>
      </w:r>
      <w:r w:rsidR="00CB7A9B">
        <w:t>could</w:t>
      </w:r>
      <w:r w:rsidR="00254428" w:rsidRPr="002563BD">
        <w:t xml:space="preserve"> require </w:t>
      </w:r>
      <w:r w:rsidR="00CF31CC">
        <w:t xml:space="preserve">a substantial amount of additional </w:t>
      </w:r>
      <w:r w:rsidR="00254428" w:rsidRPr="002563BD">
        <w:t>capital beyond APRA’s unquestionably str</w:t>
      </w:r>
      <w:r w:rsidR="002C06C4">
        <w:t>o</w:t>
      </w:r>
      <w:r w:rsidR="00254428" w:rsidRPr="002563BD">
        <w:t>ng benchmarks</w:t>
      </w:r>
      <w:r w:rsidR="00CF31CC">
        <w:t>.</w:t>
      </w:r>
      <w:r w:rsidR="00254428" w:rsidRPr="002563BD">
        <w:t xml:space="preserve"> </w:t>
      </w:r>
    </w:p>
    <w:p w14:paraId="37F05B0D" w14:textId="021BF9FB" w:rsidR="0045065E" w:rsidRDefault="00A603DE" w:rsidP="00293716">
      <w:r>
        <w:t xml:space="preserve">APRA </w:t>
      </w:r>
      <w:r w:rsidR="0046026D">
        <w:t>considers</w:t>
      </w:r>
      <w:r>
        <w:t xml:space="preserve"> that its proposal balances the </w:t>
      </w:r>
      <w:r w:rsidR="004F7128">
        <w:t>issues</w:t>
      </w:r>
      <w:r>
        <w:t xml:space="preserve"> </w:t>
      </w:r>
      <w:r w:rsidR="00657EF4">
        <w:t xml:space="preserve">noted above </w:t>
      </w:r>
      <w:r>
        <w:t xml:space="preserve">with the </w:t>
      </w:r>
      <w:r w:rsidR="004F7128">
        <w:t xml:space="preserve">objective of ensuring sufficient capital is held </w:t>
      </w:r>
      <w:r w:rsidR="00B703A6">
        <w:t>against the business of the ADI</w:t>
      </w:r>
      <w:r w:rsidR="004F7128">
        <w:t xml:space="preserve"> to support risks to Australian depositors</w:t>
      </w:r>
      <w:r w:rsidR="00C424B4">
        <w:t>. Importantly, the proposal</w:t>
      </w:r>
      <w:r w:rsidR="00FC24A6">
        <w:t xml:space="preserve"> ensures that APRA’s ‘unquestionably strong’ framework applies at both </w:t>
      </w:r>
      <w:r w:rsidR="00222409">
        <w:t>the ADI (</w:t>
      </w:r>
      <w:r w:rsidR="00FC24A6">
        <w:t>Level 1</w:t>
      </w:r>
      <w:r w:rsidR="00222409">
        <w:t xml:space="preserve">) </w:t>
      </w:r>
      <w:r w:rsidR="00E2656E">
        <w:t xml:space="preserve">and </w:t>
      </w:r>
      <w:r w:rsidR="00222409">
        <w:t>consolidated group (</w:t>
      </w:r>
      <w:r w:rsidR="00FC24A6">
        <w:t>Level 2</w:t>
      </w:r>
      <w:r w:rsidR="00222409">
        <w:t>)</w:t>
      </w:r>
      <w:r w:rsidR="006A696C">
        <w:t xml:space="preserve"> levels</w:t>
      </w:r>
      <w:r w:rsidR="004A72BA">
        <w:t>, consistent with APRA’s original intent</w:t>
      </w:r>
      <w:r w:rsidR="00FC24A6">
        <w:t>.</w:t>
      </w:r>
    </w:p>
    <w:tbl>
      <w:tblPr>
        <w:tblStyle w:val="TableGrid"/>
        <w:tblW w:w="0" w:type="auto"/>
        <w:tblBorders>
          <w:top w:val="single" w:sz="4" w:space="0" w:color="CDECF8"/>
          <w:left w:val="single" w:sz="4" w:space="0" w:color="CDECF8"/>
          <w:bottom w:val="single" w:sz="4" w:space="0" w:color="CDECF8"/>
          <w:right w:val="single" w:sz="4" w:space="0" w:color="CDECF8"/>
          <w:insideH w:val="none" w:sz="0" w:space="0" w:color="auto"/>
          <w:insideV w:val="none" w:sz="0" w:space="0" w:color="auto"/>
        </w:tblBorders>
        <w:shd w:val="clear" w:color="auto" w:fill="CDECF8"/>
        <w:tblLayout w:type="fixed"/>
        <w:tblCellMar>
          <w:top w:w="85" w:type="dxa"/>
          <w:bottom w:w="85" w:type="dxa"/>
        </w:tblCellMar>
        <w:tblLook w:val="04A0" w:firstRow="1" w:lastRow="0" w:firstColumn="1" w:lastColumn="0" w:noHBand="0" w:noVBand="1"/>
      </w:tblPr>
      <w:tblGrid>
        <w:gridCol w:w="9016"/>
      </w:tblGrid>
      <w:tr w:rsidR="0007674D" w14:paraId="6045A0DF" w14:textId="77777777" w:rsidTr="00F010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CDECF8"/>
          </w:tcPr>
          <w:p w14:paraId="12C296F3" w14:textId="410B83AE" w:rsidR="00652CC5" w:rsidRDefault="00652CC5" w:rsidP="008F087B">
            <w:pPr>
              <w:pStyle w:val="SubHeadingNoTOC"/>
              <w:keepNext w:val="0"/>
              <w:keepLines w:val="0"/>
              <w:spacing w:before="0"/>
            </w:pPr>
            <w:r>
              <w:t xml:space="preserve">Box 1 – Stylised example of the Level 1 treatment of a </w:t>
            </w:r>
            <w:r w:rsidR="004009C3">
              <w:t>banking</w:t>
            </w:r>
            <w:r>
              <w:t xml:space="preserve"> subsidiary</w:t>
            </w:r>
          </w:p>
          <w:p w14:paraId="4E259A7B" w14:textId="1BE8C113" w:rsidR="00652CC5" w:rsidRDefault="00652CC5" w:rsidP="008F087B">
            <w:pPr>
              <w:rPr>
                <w:color w:val="auto"/>
              </w:rPr>
            </w:pPr>
            <w:r w:rsidRPr="00652CC5">
              <w:rPr>
                <w:color w:val="auto"/>
              </w:rPr>
              <w:t xml:space="preserve">This box sets out a stylised example </w:t>
            </w:r>
            <w:r w:rsidR="00692D9B">
              <w:rPr>
                <w:color w:val="auto"/>
              </w:rPr>
              <w:t xml:space="preserve">of </w:t>
            </w:r>
            <w:r w:rsidRPr="00652CC5">
              <w:rPr>
                <w:color w:val="auto"/>
              </w:rPr>
              <w:t>the capital treatment of an ADI’s investment in a prudentially regulated banking subsidiary and the impact of the proposed 10</w:t>
            </w:r>
            <w:r w:rsidR="0066377A">
              <w:rPr>
                <w:color w:val="auto"/>
              </w:rPr>
              <w:t xml:space="preserve"> per cent </w:t>
            </w:r>
            <w:r w:rsidRPr="00652CC5">
              <w:rPr>
                <w:color w:val="auto"/>
              </w:rPr>
              <w:t xml:space="preserve">CET1 threshold </w:t>
            </w:r>
            <w:r w:rsidR="00B96819">
              <w:rPr>
                <w:color w:val="auto"/>
              </w:rPr>
              <w:t xml:space="preserve">for a </w:t>
            </w:r>
            <w:r w:rsidR="009838F6">
              <w:rPr>
                <w:color w:val="auto"/>
              </w:rPr>
              <w:t>given</w:t>
            </w:r>
            <w:r w:rsidR="00B96819">
              <w:rPr>
                <w:color w:val="auto"/>
              </w:rPr>
              <w:t xml:space="preserve"> level of equity investment in the subsidiary</w:t>
            </w:r>
            <w:r w:rsidRPr="00652CC5">
              <w:rPr>
                <w:color w:val="auto"/>
              </w:rPr>
              <w:t>.</w:t>
            </w:r>
            <w:r w:rsidR="00D72C05">
              <w:rPr>
                <w:color w:val="auto"/>
              </w:rPr>
              <w:t xml:space="preserve"> </w:t>
            </w:r>
          </w:p>
          <w:p w14:paraId="0A471743" w14:textId="0E0219D2" w:rsidR="003F1B8E" w:rsidRDefault="003F1B8E" w:rsidP="008F087B">
            <w:pPr>
              <w:rPr>
                <w:color w:val="auto"/>
              </w:rPr>
            </w:pPr>
            <w:r w:rsidRPr="003F1B8E">
              <w:rPr>
                <w:color w:val="auto"/>
              </w:rPr>
              <w:t xml:space="preserve">The diagram outlines the boundaries between a full deduction approach (dark blue line), the current treatment (grey line) and the treatment </w:t>
            </w:r>
            <w:r w:rsidR="003B2E2E">
              <w:rPr>
                <w:color w:val="auto"/>
              </w:rPr>
              <w:t xml:space="preserve">proposed </w:t>
            </w:r>
            <w:r w:rsidRPr="003F1B8E">
              <w:rPr>
                <w:color w:val="auto"/>
              </w:rPr>
              <w:t>in this Discussion Paper (light blue line). These represent the boundaries that balance the size of the investment with the capital required under the limits in APRA’s prudential framework for equity investments (APS 111) and related entities (APS 222).</w:t>
            </w:r>
          </w:p>
          <w:p w14:paraId="2847BCFF" w14:textId="260C8575" w:rsidR="00D3749B" w:rsidRDefault="003F1B8E" w:rsidP="008F087B">
            <w:pPr>
              <w:rPr>
                <w:color w:val="auto"/>
              </w:rPr>
            </w:pPr>
            <w:r w:rsidRPr="003F1B8E">
              <w:rPr>
                <w:color w:val="auto"/>
              </w:rPr>
              <w:t xml:space="preserve">A full deduction approach will result in dollar-for-dollar capital for this investment, regardless of the size of the investment. The treatment under the current APS 111 is a 300 per cent (if the subsidiary is unlisted) or 400 per cent (if the subsidiary is unlisted) risk weight for this investment. The proposed treatment in this Discussion Paper for this investment will depend on the size of the investment; for an equity investment below 10 per cent CET1 Capital, the investment is risk weighted at 250 per cent, with amounts above the 10 per cent CET1 Capital </w:t>
            </w:r>
            <w:r>
              <w:rPr>
                <w:color w:val="auto"/>
              </w:rPr>
              <w:t xml:space="preserve">threshold </w:t>
            </w:r>
            <w:r w:rsidRPr="003F1B8E">
              <w:rPr>
                <w:color w:val="auto"/>
              </w:rPr>
              <w:t>deducted from CET1 Capital. Under the proposed treatment, capital requirements are decreasing for small exposures and increasing for large concentrated exposures.</w:t>
            </w:r>
          </w:p>
          <w:p w14:paraId="1056850A" w14:textId="667331B3" w:rsidR="008F087B" w:rsidRDefault="005E33B7" w:rsidP="008F087B">
            <w:pPr>
              <w:rPr>
                <w:color w:val="auto"/>
                <w:sz w:val="18"/>
              </w:rPr>
            </w:pPr>
            <w:r w:rsidRPr="005E33B7">
              <w:rPr>
                <w:noProof/>
                <w:color w:val="auto"/>
                <w:sz w:val="18"/>
                <w:lang w:eastAsia="en-AU"/>
              </w:rPr>
              <w:drawing>
                <wp:inline distT="0" distB="0" distL="0" distR="0" wp14:anchorId="3671FFDC" wp14:editId="117F9491">
                  <wp:extent cx="5581650" cy="3257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81650" cy="3257550"/>
                          </a:xfrm>
                          <a:prstGeom prst="rect">
                            <a:avLst/>
                          </a:prstGeom>
                          <a:noFill/>
                          <a:ln>
                            <a:noFill/>
                          </a:ln>
                        </pic:spPr>
                      </pic:pic>
                    </a:graphicData>
                  </a:graphic>
                </wp:inline>
              </w:drawing>
            </w:r>
          </w:p>
          <w:p w14:paraId="5DFA240B" w14:textId="0E0E8A8C" w:rsidR="00AD43F0" w:rsidRPr="00652CC5" w:rsidRDefault="00AD43F0" w:rsidP="008F087B">
            <w:pPr>
              <w:rPr>
                <w:color w:val="auto"/>
                <w:sz w:val="18"/>
              </w:rPr>
            </w:pPr>
          </w:p>
        </w:tc>
      </w:tr>
    </w:tbl>
    <w:p w14:paraId="467A919E" w14:textId="2C0E9E09" w:rsidR="009D54E5" w:rsidRDefault="009D54E5" w:rsidP="006300D4">
      <w:pPr>
        <w:pStyle w:val="Heading2Numbers"/>
        <w:ind w:left="851"/>
      </w:pPr>
      <w:bookmarkStart w:id="98" w:name="_Toc15987928"/>
      <w:bookmarkStart w:id="99" w:name="_Toc16067951"/>
      <w:bookmarkStart w:id="100" w:name="_Toc16752462"/>
      <w:bookmarkStart w:id="101" w:name="_Toc16759899"/>
      <w:bookmarkStart w:id="102" w:name="_Toc16765488"/>
      <w:bookmarkStart w:id="103" w:name="_Toc16773498"/>
      <w:bookmarkStart w:id="104" w:name="_Toc16773755"/>
      <w:bookmarkStart w:id="105" w:name="_Toc17097508"/>
      <w:bookmarkStart w:id="106" w:name="_Toc17103795"/>
      <w:bookmarkStart w:id="107" w:name="_Toc17105591"/>
      <w:bookmarkStart w:id="108" w:name="_Toc17276156"/>
      <w:bookmarkStart w:id="109" w:name="_Toc17283309"/>
      <w:bookmarkStart w:id="110" w:name="_Toc17291191"/>
      <w:bookmarkStart w:id="111" w:name="_Toc17375778"/>
      <w:bookmarkStart w:id="112" w:name="_Toc17376631"/>
      <w:bookmarkStart w:id="113" w:name="_Toc17450822"/>
      <w:bookmarkStart w:id="114" w:name="_Toc17468077"/>
      <w:bookmarkStart w:id="115" w:name="_Toc17811656"/>
      <w:bookmarkStart w:id="116" w:name="_Toc19122137"/>
      <w:bookmarkStart w:id="117" w:name="_Toc20405509"/>
      <w:r w:rsidRPr="009D54E5">
        <w:t xml:space="preserve">TLAC </w:t>
      </w:r>
      <w:r w:rsidR="006300D4">
        <w:t>holdings</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46144D3A" w14:textId="28FA2F5D" w:rsidR="009D0901" w:rsidRDefault="009D0901" w:rsidP="00B44B2B">
      <w:r w:rsidRPr="009D0901">
        <w:rPr>
          <w:lang w:val="en"/>
        </w:rPr>
        <w:t xml:space="preserve">Total </w:t>
      </w:r>
      <w:r>
        <w:rPr>
          <w:lang w:val="en"/>
        </w:rPr>
        <w:t>L</w:t>
      </w:r>
      <w:r w:rsidRPr="009D0901">
        <w:rPr>
          <w:lang w:val="en"/>
        </w:rPr>
        <w:t>oss</w:t>
      </w:r>
      <w:r>
        <w:rPr>
          <w:lang w:val="en"/>
        </w:rPr>
        <w:t xml:space="preserve"> A</w:t>
      </w:r>
      <w:r w:rsidRPr="009D0901">
        <w:rPr>
          <w:lang w:val="en"/>
        </w:rPr>
        <w:t xml:space="preserve">bsorbing </w:t>
      </w:r>
      <w:r>
        <w:rPr>
          <w:lang w:val="en"/>
        </w:rPr>
        <w:t>C</w:t>
      </w:r>
      <w:r w:rsidRPr="009D0901">
        <w:rPr>
          <w:lang w:val="en"/>
        </w:rPr>
        <w:t xml:space="preserve">apacity </w:t>
      </w:r>
      <w:r>
        <w:rPr>
          <w:lang w:val="en"/>
        </w:rPr>
        <w:t xml:space="preserve">(TLAC) </w:t>
      </w:r>
      <w:r w:rsidRPr="009D0901">
        <w:rPr>
          <w:lang w:val="en"/>
        </w:rPr>
        <w:t>is an international standard</w:t>
      </w:r>
      <w:r w:rsidR="006111CB">
        <w:rPr>
          <w:lang w:val="en"/>
        </w:rPr>
        <w:t xml:space="preserve"> which was </w:t>
      </w:r>
      <w:r w:rsidRPr="009D0901">
        <w:rPr>
          <w:lang w:val="en"/>
        </w:rPr>
        <w:t>finalised by the Financial Stability Board (FSB) in November 2015</w:t>
      </w:r>
      <w:r w:rsidR="006111CB">
        <w:rPr>
          <w:lang w:val="en"/>
        </w:rPr>
        <w:t>.</w:t>
      </w:r>
      <w:r w:rsidR="006111CB">
        <w:rPr>
          <w:rStyle w:val="FootnoteReference"/>
        </w:rPr>
        <w:footnoteReference w:id="10"/>
      </w:r>
      <w:r w:rsidR="006111CB">
        <w:rPr>
          <w:lang w:val="en"/>
        </w:rPr>
        <w:t xml:space="preserve"> The objective of </w:t>
      </w:r>
      <w:r w:rsidR="00F77F3F">
        <w:rPr>
          <w:lang w:val="en"/>
        </w:rPr>
        <w:t xml:space="preserve">the </w:t>
      </w:r>
      <w:r w:rsidR="006111CB">
        <w:rPr>
          <w:lang w:val="en"/>
        </w:rPr>
        <w:t xml:space="preserve">standard is </w:t>
      </w:r>
      <w:r w:rsidRPr="009D0901">
        <w:rPr>
          <w:lang w:val="en"/>
        </w:rPr>
        <w:t>to ensure that</w:t>
      </w:r>
      <w:r>
        <w:rPr>
          <w:lang w:val="en"/>
        </w:rPr>
        <w:t xml:space="preserve"> banks</w:t>
      </w:r>
      <w:r w:rsidRPr="009D0901">
        <w:rPr>
          <w:lang w:val="en"/>
        </w:rPr>
        <w:t xml:space="preserve"> have enough equity </w:t>
      </w:r>
      <w:r>
        <w:rPr>
          <w:lang w:val="en"/>
        </w:rPr>
        <w:t xml:space="preserve">capital </w:t>
      </w:r>
      <w:r w:rsidRPr="009D0901">
        <w:rPr>
          <w:lang w:val="en"/>
        </w:rPr>
        <w:t xml:space="preserve">and bail-in debt to </w:t>
      </w:r>
      <w:r w:rsidR="006111CB">
        <w:rPr>
          <w:lang w:val="en"/>
        </w:rPr>
        <w:t>transfer</w:t>
      </w:r>
      <w:r w:rsidRPr="009D0901">
        <w:rPr>
          <w:lang w:val="en"/>
        </w:rPr>
        <w:t xml:space="preserve"> losses to investors and minimise the risk of </w:t>
      </w:r>
      <w:r w:rsidR="006D3954">
        <w:rPr>
          <w:lang w:val="en"/>
        </w:rPr>
        <w:t xml:space="preserve">a </w:t>
      </w:r>
      <w:r w:rsidRPr="009D0901">
        <w:rPr>
          <w:lang w:val="en"/>
        </w:rPr>
        <w:t>government bailout</w:t>
      </w:r>
      <w:r>
        <w:rPr>
          <w:lang w:val="en"/>
        </w:rPr>
        <w:t>.</w:t>
      </w:r>
    </w:p>
    <w:p w14:paraId="7C4E2F55" w14:textId="22520470" w:rsidR="00640D82" w:rsidRDefault="00640D82" w:rsidP="00B44B2B">
      <w:r>
        <w:t xml:space="preserve">The Basel Committee recently finalised its treatment of banks' investments in </w:t>
      </w:r>
      <w:r w:rsidR="00812560">
        <w:t xml:space="preserve">other banks' </w:t>
      </w:r>
      <w:r>
        <w:t>TLAC</w:t>
      </w:r>
      <w:r w:rsidR="00812560">
        <w:t xml:space="preserve"> instruments</w:t>
      </w:r>
      <w:r>
        <w:t>.</w:t>
      </w:r>
      <w:r w:rsidR="006111CB">
        <w:rPr>
          <w:rStyle w:val="FootnoteReference"/>
        </w:rPr>
        <w:footnoteReference w:id="11"/>
      </w:r>
      <w:r>
        <w:t xml:space="preserve"> The main elements of the Basel </w:t>
      </w:r>
      <w:r w:rsidR="00176E3D">
        <w:t xml:space="preserve">framework </w:t>
      </w:r>
      <w:r>
        <w:t>are as follows:</w:t>
      </w:r>
    </w:p>
    <w:p w14:paraId="5E7AC092" w14:textId="0DB75C90" w:rsidR="00640D82" w:rsidRDefault="00640D82" w:rsidP="00640D82">
      <w:pPr>
        <w:pStyle w:val="ListBullet"/>
      </w:pPr>
      <w:r>
        <w:t>Tier 2</w:t>
      </w:r>
      <w:r w:rsidR="00E24579">
        <w:t xml:space="preserve"> Capital </w:t>
      </w:r>
      <w:r>
        <w:t xml:space="preserve">deduction: banks must deduct </w:t>
      </w:r>
      <w:r w:rsidR="00812560">
        <w:t xml:space="preserve">their </w:t>
      </w:r>
      <w:r>
        <w:t xml:space="preserve">holdings of </w:t>
      </w:r>
      <w:r w:rsidR="00812560">
        <w:t xml:space="preserve">other banks' </w:t>
      </w:r>
      <w:r>
        <w:t>TLAC instruments</w:t>
      </w:r>
      <w:r w:rsidR="00E24579">
        <w:t xml:space="preserve"> </w:t>
      </w:r>
      <w:r>
        <w:t xml:space="preserve">from their own Tier 2 Capital. This would include instruments </w:t>
      </w:r>
      <w:r w:rsidR="00D70256">
        <w:t xml:space="preserve">commonly </w:t>
      </w:r>
      <w:r>
        <w:t>referred to as ‘Tier 3’ issued by offshore banks;</w:t>
      </w:r>
    </w:p>
    <w:p w14:paraId="263A8213" w14:textId="4B4BF3E1" w:rsidR="00640D82" w:rsidRDefault="00DD091B" w:rsidP="00640D82">
      <w:pPr>
        <w:pStyle w:val="ListBullet"/>
      </w:pPr>
      <w:r>
        <w:t>e</w:t>
      </w:r>
      <w:r w:rsidR="00640D82">
        <w:t>xtension of the threshold approach to TLAC instruments, below which no deduction is required</w:t>
      </w:r>
      <w:r w:rsidR="00D851C8">
        <w:t>:</w:t>
      </w:r>
      <w:r w:rsidR="00176E3D">
        <w:t xml:space="preserve"> b</w:t>
      </w:r>
      <w:r w:rsidR="00640D82">
        <w:t>anks are allowed to risk weight</w:t>
      </w:r>
      <w:r w:rsidR="00DA7A90">
        <w:t xml:space="preserve"> at 250 per cent</w:t>
      </w:r>
      <w:r w:rsidR="00640D82">
        <w:t xml:space="preserve"> </w:t>
      </w:r>
      <w:r w:rsidR="00F07618">
        <w:t xml:space="preserve">the </w:t>
      </w:r>
      <w:r w:rsidR="00640D82">
        <w:t xml:space="preserve">aggregate amount of </w:t>
      </w:r>
      <w:r w:rsidR="00812560">
        <w:t xml:space="preserve">their holdings of </w:t>
      </w:r>
      <w:r w:rsidR="00640D82">
        <w:t xml:space="preserve">TLAC </w:t>
      </w:r>
      <w:r w:rsidR="00812560">
        <w:t>instruments issued by other banks</w:t>
      </w:r>
      <w:r w:rsidR="00640D82">
        <w:t xml:space="preserve"> below 10 per cent of </w:t>
      </w:r>
      <w:r w:rsidR="008810A2">
        <w:t>their</w:t>
      </w:r>
      <w:r w:rsidR="00640D82">
        <w:t xml:space="preserve"> CET1 Capital</w:t>
      </w:r>
      <w:r w:rsidR="00F07618">
        <w:t xml:space="preserve"> with a</w:t>
      </w:r>
      <w:r w:rsidR="00640D82">
        <w:t>mounts above the threshold deducted</w:t>
      </w:r>
      <w:r w:rsidR="00176E3D">
        <w:t>;</w:t>
      </w:r>
      <w:r w:rsidR="005C4BDF">
        <w:t xml:space="preserve"> and</w:t>
      </w:r>
    </w:p>
    <w:p w14:paraId="14A6ADA5" w14:textId="6274393F" w:rsidR="00176E3D" w:rsidRDefault="00DD091B" w:rsidP="00640D82">
      <w:pPr>
        <w:pStyle w:val="ListBullet"/>
      </w:pPr>
      <w:r>
        <w:t>i</w:t>
      </w:r>
      <w:r w:rsidR="005C4BDF">
        <w:t xml:space="preserve">nstruments ranking </w:t>
      </w:r>
      <w:r w:rsidR="00E963D8" w:rsidRPr="00D81732">
        <w:rPr>
          <w:i/>
          <w:iCs/>
        </w:rPr>
        <w:t>pari passu</w:t>
      </w:r>
      <w:r w:rsidR="00E963D8">
        <w:t xml:space="preserve"> </w:t>
      </w:r>
      <w:r w:rsidR="005C4BDF">
        <w:t>with TLAC instruments must also be deducted from Tier</w:t>
      </w:r>
      <w:r w:rsidR="00C95D61">
        <w:t> </w:t>
      </w:r>
      <w:r w:rsidR="005C4BDF">
        <w:t>2 Capital.</w:t>
      </w:r>
    </w:p>
    <w:p w14:paraId="41AEC3D8" w14:textId="7C9FD90A" w:rsidR="00D851C8" w:rsidRDefault="00D851C8">
      <w:pPr>
        <w:pStyle w:val="ListBullet"/>
        <w:numPr>
          <w:ilvl w:val="0"/>
          <w:numId w:val="0"/>
        </w:numPr>
      </w:pPr>
      <w:r>
        <w:t>The Basel framework aims to reduce the risk of contagion within the financial system should a bank enter resolution.</w:t>
      </w:r>
    </w:p>
    <w:p w14:paraId="44367506" w14:textId="2C1147B3" w:rsidR="00F07618" w:rsidRPr="00F07618" w:rsidRDefault="00640D82" w:rsidP="00293716">
      <w:r>
        <w:rPr>
          <w:rFonts w:cs="Arial"/>
        </w:rPr>
        <w:t>APR</w:t>
      </w:r>
      <w:r w:rsidR="00F07618">
        <w:rPr>
          <w:rFonts w:cs="Arial"/>
        </w:rPr>
        <w:t>A</w:t>
      </w:r>
      <w:r>
        <w:rPr>
          <w:rFonts w:cs="Arial"/>
        </w:rPr>
        <w:t xml:space="preserve"> </w:t>
      </w:r>
      <w:r w:rsidR="00812560">
        <w:rPr>
          <w:rFonts w:cs="Arial"/>
        </w:rPr>
        <w:t>agrees that the</w:t>
      </w:r>
      <w:r w:rsidRPr="00EB1DA1">
        <w:rPr>
          <w:rFonts w:cs="Arial"/>
        </w:rPr>
        <w:t xml:space="preserve"> deduction approach reduces a </w:t>
      </w:r>
      <w:r w:rsidR="00812560">
        <w:rPr>
          <w:rFonts w:cs="Arial"/>
        </w:rPr>
        <w:t xml:space="preserve">potential </w:t>
      </w:r>
      <w:r w:rsidRPr="00EB1DA1">
        <w:rPr>
          <w:rFonts w:cs="Arial"/>
        </w:rPr>
        <w:t>source of contagion in the banking system. Without deduction</w:t>
      </w:r>
      <w:r w:rsidR="00812560">
        <w:rPr>
          <w:rFonts w:cs="Arial"/>
        </w:rPr>
        <w:t xml:space="preserve"> of TLAC holdings across banks</w:t>
      </w:r>
      <w:r w:rsidRPr="00EB1DA1">
        <w:rPr>
          <w:rFonts w:cs="Arial"/>
        </w:rPr>
        <w:t>, the failure of one</w:t>
      </w:r>
      <w:r w:rsidR="00E24579">
        <w:rPr>
          <w:rFonts w:cs="Arial"/>
        </w:rPr>
        <w:t xml:space="preserve"> </w:t>
      </w:r>
      <w:r w:rsidR="005C4BDF">
        <w:rPr>
          <w:rFonts w:cs="Arial"/>
        </w:rPr>
        <w:t>bank</w:t>
      </w:r>
      <w:r w:rsidRPr="00EB1DA1">
        <w:rPr>
          <w:rFonts w:cs="Arial"/>
        </w:rPr>
        <w:t xml:space="preserve"> </w:t>
      </w:r>
      <w:r w:rsidR="00812560">
        <w:rPr>
          <w:rFonts w:cs="Arial"/>
        </w:rPr>
        <w:t xml:space="preserve">could lead </w:t>
      </w:r>
      <w:r w:rsidRPr="00EB1DA1">
        <w:rPr>
          <w:rFonts w:cs="Arial"/>
        </w:rPr>
        <w:t xml:space="preserve">to a reduction in the loss absorbency and recapitalisation capacity of another </w:t>
      </w:r>
      <w:r>
        <w:rPr>
          <w:rFonts w:cs="Arial"/>
        </w:rPr>
        <w:t>bank</w:t>
      </w:r>
      <w:r w:rsidRPr="00EB1DA1">
        <w:rPr>
          <w:rFonts w:cs="Arial"/>
        </w:rPr>
        <w:t>. Deducting TLAC holdings</w:t>
      </w:r>
      <w:r w:rsidR="00E24579">
        <w:rPr>
          <w:rFonts w:cs="Arial"/>
        </w:rPr>
        <w:t xml:space="preserve"> </w:t>
      </w:r>
      <w:r w:rsidRPr="00EB1DA1">
        <w:rPr>
          <w:rFonts w:cs="Arial"/>
        </w:rPr>
        <w:t xml:space="preserve">from Tier 2 </w:t>
      </w:r>
      <w:r w:rsidR="00F07618">
        <w:rPr>
          <w:rFonts w:cs="Arial"/>
        </w:rPr>
        <w:t xml:space="preserve">Capital </w:t>
      </w:r>
      <w:r w:rsidRPr="00EB1DA1">
        <w:rPr>
          <w:rFonts w:cs="Arial"/>
        </w:rPr>
        <w:t>provides sufficient disincentive for</w:t>
      </w:r>
      <w:r>
        <w:rPr>
          <w:rFonts w:cs="Arial"/>
        </w:rPr>
        <w:t xml:space="preserve"> ADIs</w:t>
      </w:r>
      <w:r w:rsidRPr="00EB1DA1">
        <w:rPr>
          <w:rFonts w:cs="Arial"/>
        </w:rPr>
        <w:t xml:space="preserve"> to invest in </w:t>
      </w:r>
      <w:r w:rsidR="00812560">
        <w:rPr>
          <w:rFonts w:cs="Arial"/>
        </w:rPr>
        <w:t xml:space="preserve">other banks' </w:t>
      </w:r>
      <w:r w:rsidRPr="00EB1DA1">
        <w:rPr>
          <w:rFonts w:cs="Arial"/>
        </w:rPr>
        <w:t>TLAC</w:t>
      </w:r>
      <w:r w:rsidR="00DC6D88">
        <w:rPr>
          <w:rFonts w:cs="Arial"/>
        </w:rPr>
        <w:t xml:space="preserve"> instruments</w:t>
      </w:r>
      <w:r w:rsidRPr="00EB1DA1">
        <w:rPr>
          <w:rFonts w:cs="Arial"/>
        </w:rPr>
        <w:t>.</w:t>
      </w:r>
    </w:p>
    <w:p w14:paraId="2D9CCEFF" w14:textId="3B4FC442" w:rsidR="00640D82" w:rsidRPr="0055204E" w:rsidRDefault="00640D82" w:rsidP="00293716">
      <w:r>
        <w:rPr>
          <w:rFonts w:cs="Arial"/>
        </w:rPr>
        <w:t>Accordingly</w:t>
      </w:r>
      <w:r w:rsidR="00E24579">
        <w:rPr>
          <w:rFonts w:cs="Arial"/>
        </w:rPr>
        <w:t>,</w:t>
      </w:r>
      <w:r>
        <w:rPr>
          <w:rFonts w:cs="Arial"/>
        </w:rPr>
        <w:t xml:space="preserve"> </w:t>
      </w:r>
      <w:r w:rsidR="00F07618">
        <w:rPr>
          <w:rFonts w:cs="Arial"/>
        </w:rPr>
        <w:t>APRA</w:t>
      </w:r>
      <w:r>
        <w:rPr>
          <w:rFonts w:cs="Arial"/>
        </w:rPr>
        <w:t xml:space="preserve"> proposes a full deduction of TLAC exposures</w:t>
      </w:r>
      <w:r w:rsidR="00066C43">
        <w:rPr>
          <w:rFonts w:cs="Arial"/>
        </w:rPr>
        <w:t xml:space="preserve"> and </w:t>
      </w:r>
      <w:r w:rsidR="0046026D" w:rsidRPr="005C4BDF">
        <w:rPr>
          <w:rFonts w:cs="Arial"/>
          <w:i/>
        </w:rPr>
        <w:t>par</w:t>
      </w:r>
      <w:r w:rsidR="00165A28">
        <w:rPr>
          <w:rFonts w:cs="Arial"/>
          <w:i/>
        </w:rPr>
        <w:t>i</w:t>
      </w:r>
      <w:r w:rsidR="005C4BDF" w:rsidRPr="005C4BDF">
        <w:rPr>
          <w:rFonts w:cs="Arial"/>
          <w:i/>
        </w:rPr>
        <w:t xml:space="preserve"> </w:t>
      </w:r>
      <w:r w:rsidR="0046026D" w:rsidRPr="005C4BDF">
        <w:rPr>
          <w:rFonts w:cs="Arial"/>
          <w:i/>
        </w:rPr>
        <w:t>pass</w:t>
      </w:r>
      <w:r w:rsidR="00EE40C7">
        <w:rPr>
          <w:rFonts w:cs="Arial"/>
          <w:i/>
        </w:rPr>
        <w:t>u</w:t>
      </w:r>
      <w:r w:rsidR="005C4BDF">
        <w:rPr>
          <w:rFonts w:cs="Arial"/>
        </w:rPr>
        <w:t xml:space="preserve"> instruments</w:t>
      </w:r>
      <w:r w:rsidR="00610D32">
        <w:rPr>
          <w:rFonts w:cs="Arial"/>
        </w:rPr>
        <w:t xml:space="preserve"> from Tier 2 Capital</w:t>
      </w:r>
      <w:r w:rsidR="005C4BDF">
        <w:rPr>
          <w:rFonts w:cs="Arial"/>
        </w:rPr>
        <w:t>.</w:t>
      </w:r>
      <w:r w:rsidR="00D851C8">
        <w:rPr>
          <w:rFonts w:cs="Arial"/>
        </w:rPr>
        <w:t xml:space="preserve"> </w:t>
      </w:r>
      <w:r w:rsidR="00F07618">
        <w:rPr>
          <w:rFonts w:cs="Arial"/>
        </w:rPr>
        <w:t xml:space="preserve">A full deduction </w:t>
      </w:r>
      <w:r>
        <w:rPr>
          <w:rFonts w:cs="Arial"/>
        </w:rPr>
        <w:t xml:space="preserve">is consistent with APRA’s </w:t>
      </w:r>
      <w:r w:rsidR="00D30CAC">
        <w:rPr>
          <w:rFonts w:cs="Arial"/>
        </w:rPr>
        <w:t>existing</w:t>
      </w:r>
      <w:r>
        <w:rPr>
          <w:rFonts w:cs="Arial"/>
        </w:rPr>
        <w:t xml:space="preserve"> approach to an ADI’s holdings of another ADI’s, or their own, regulatory capital instruments.</w:t>
      </w:r>
      <w:r w:rsidR="00610D32" w:rsidRPr="00610D32">
        <w:t xml:space="preserve"> </w:t>
      </w:r>
      <w:r w:rsidR="00610D32">
        <w:t>APRA’s propos</w:t>
      </w:r>
      <w:r w:rsidR="00793E5A">
        <w:t>al adopts</w:t>
      </w:r>
      <w:r w:rsidR="00610D32">
        <w:t xml:space="preserve"> the </w:t>
      </w:r>
      <w:r w:rsidR="00610D32" w:rsidRPr="00610D32">
        <w:rPr>
          <w:rFonts w:cs="Arial"/>
        </w:rPr>
        <w:t>Basel framework of requiring a Tier 2 deduction</w:t>
      </w:r>
      <w:r w:rsidR="00793E5A">
        <w:rPr>
          <w:rFonts w:cs="Arial"/>
        </w:rPr>
        <w:t xml:space="preserve"> of TLAC instruments</w:t>
      </w:r>
      <w:r w:rsidR="00610D32" w:rsidRPr="00610D32">
        <w:rPr>
          <w:rFonts w:cs="Arial"/>
        </w:rPr>
        <w:t xml:space="preserve">, </w:t>
      </w:r>
      <w:r w:rsidR="00793E5A">
        <w:rPr>
          <w:rFonts w:cs="Arial"/>
        </w:rPr>
        <w:t>but</w:t>
      </w:r>
      <w:r w:rsidR="00610D32">
        <w:rPr>
          <w:rFonts w:cs="Arial"/>
        </w:rPr>
        <w:t xml:space="preserve"> </w:t>
      </w:r>
      <w:r w:rsidR="00793E5A">
        <w:rPr>
          <w:rFonts w:cs="Arial"/>
        </w:rPr>
        <w:t xml:space="preserve">does not adopt a </w:t>
      </w:r>
      <w:r w:rsidR="00610D32" w:rsidRPr="00610D32">
        <w:rPr>
          <w:rFonts w:cs="Arial"/>
        </w:rPr>
        <w:t>threshold</w:t>
      </w:r>
      <w:r w:rsidR="00793E5A">
        <w:rPr>
          <w:rFonts w:cs="Arial"/>
        </w:rPr>
        <w:t xml:space="preserve"> approach.</w:t>
      </w:r>
      <w:r w:rsidR="00610D32">
        <w:rPr>
          <w:rFonts w:cs="Arial"/>
        </w:rPr>
        <w:t xml:space="preserve"> </w:t>
      </w:r>
    </w:p>
    <w:p w14:paraId="6357587C" w14:textId="76647C4B" w:rsidR="0055204E" w:rsidRDefault="0055204E" w:rsidP="00293716">
      <w:r>
        <w:t>I</w:t>
      </w:r>
      <w:r w:rsidRPr="00D30CAC">
        <w:t xml:space="preserve">nternational developments </w:t>
      </w:r>
      <w:r>
        <w:t xml:space="preserve">in regard to TLAC instruments </w:t>
      </w:r>
      <w:r w:rsidRPr="00D30CAC">
        <w:t>have been guided by the principles outlined in the FSB</w:t>
      </w:r>
      <w:r w:rsidR="006111CB">
        <w:t>’s</w:t>
      </w:r>
      <w:r w:rsidRPr="00D30CAC">
        <w:t xml:space="preserve"> TLAC standard. </w:t>
      </w:r>
      <w:r w:rsidR="00A616DF">
        <w:t>Notwithstanding</w:t>
      </w:r>
      <w:r>
        <w:t xml:space="preserve">, a </w:t>
      </w:r>
      <w:r w:rsidRPr="00D30CAC">
        <w:t xml:space="preserve">number of different TLAC regimes have emerged globally. For the purpose of </w:t>
      </w:r>
      <w:r>
        <w:t>the deduction</w:t>
      </w:r>
      <w:r w:rsidRPr="00D30CAC">
        <w:t>, APRA is proposing that TLAC instruments include, but are not limited to, any facility or instrument accepted by regulators, financial markets and creditors as a TLAC instrument.</w:t>
      </w:r>
    </w:p>
    <w:p w14:paraId="0F8ED566" w14:textId="22E1E59B" w:rsidR="005D4775" w:rsidRDefault="009F3420" w:rsidP="005D4775">
      <w:pPr>
        <w:pStyle w:val="Heading2Numbers"/>
        <w:ind w:left="851"/>
      </w:pPr>
      <w:bookmarkStart w:id="118" w:name="_Toc16759900"/>
      <w:bookmarkStart w:id="119" w:name="_Toc16765489"/>
      <w:bookmarkStart w:id="120" w:name="_Toc16773499"/>
      <w:bookmarkStart w:id="121" w:name="_Toc16773756"/>
      <w:bookmarkStart w:id="122" w:name="_Toc17097509"/>
      <w:bookmarkStart w:id="123" w:name="_Toc17103796"/>
      <w:bookmarkStart w:id="124" w:name="_Toc17105592"/>
      <w:bookmarkStart w:id="125" w:name="_Toc17276157"/>
      <w:bookmarkStart w:id="126" w:name="_Toc17283310"/>
      <w:bookmarkStart w:id="127" w:name="_Toc17291192"/>
      <w:bookmarkStart w:id="128" w:name="_Toc17375779"/>
      <w:bookmarkStart w:id="129" w:name="_Toc17376632"/>
      <w:bookmarkStart w:id="130" w:name="_Toc17450823"/>
      <w:bookmarkStart w:id="131" w:name="_Toc17468078"/>
      <w:bookmarkStart w:id="132" w:name="_Toc17811657"/>
      <w:bookmarkStart w:id="133" w:name="_Toc19122138"/>
      <w:bookmarkStart w:id="134" w:name="_Toc20405510"/>
      <w:r>
        <w:t>Simpl</w:t>
      </w:r>
      <w:r w:rsidR="009A0A54">
        <w:t>i</w:t>
      </w:r>
      <w:r>
        <w:t>city and t</w:t>
      </w:r>
      <w:r w:rsidR="005D4775">
        <w:t>ransparency of capital instruments</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759D63F9" w14:textId="11CDBB0E" w:rsidR="005D4775" w:rsidRDefault="00182BF7" w:rsidP="005D4775">
      <w:r>
        <w:t>As a general principle</w:t>
      </w:r>
      <w:r w:rsidR="00372C0B">
        <w:t>,</w:t>
      </w:r>
      <w:r>
        <w:t xml:space="preserve"> t</w:t>
      </w:r>
      <w:r w:rsidR="005D4775" w:rsidRPr="004D2993">
        <w:t>he features of a capital instrument included as a component of Regulatory Capital, and the structure under which such an instrument is issued</w:t>
      </w:r>
      <w:r>
        <w:t>,</w:t>
      </w:r>
      <w:r w:rsidR="005D4775" w:rsidRPr="004D2993">
        <w:t xml:space="preserve"> </w:t>
      </w:r>
      <w:r w:rsidR="005D4775">
        <w:t>should be</w:t>
      </w:r>
      <w:r w:rsidR="005D4775" w:rsidRPr="004D2993">
        <w:t xml:space="preserve"> transparent and capable of being readily understood by investors.</w:t>
      </w:r>
    </w:p>
    <w:p w14:paraId="58F68D4B" w14:textId="19D55864" w:rsidR="00915576" w:rsidRDefault="00250D19" w:rsidP="005D4775">
      <w:r>
        <w:t>P</w:t>
      </w:r>
      <w:r w:rsidR="00954AF4">
        <w:t xml:space="preserve">rovisions in the existing APS 111 rule instruments </w:t>
      </w:r>
      <w:r w:rsidR="002020AB">
        <w:t xml:space="preserve">ineligible </w:t>
      </w:r>
      <w:r w:rsidR="00915576" w:rsidRPr="00915576">
        <w:t>for inclusion in Regulatory Capital if the nature or complexity of</w:t>
      </w:r>
      <w:r w:rsidR="00954AF4">
        <w:t xml:space="preserve"> their</w:t>
      </w:r>
      <w:r w:rsidR="00915576">
        <w:t xml:space="preserve"> </w:t>
      </w:r>
      <w:r w:rsidR="00915576" w:rsidRPr="00915576">
        <w:t xml:space="preserve">terms and conditions, location of issue, or </w:t>
      </w:r>
      <w:r w:rsidR="00954AF4">
        <w:t>the</w:t>
      </w:r>
      <w:r w:rsidR="00EB2346">
        <w:t>ir</w:t>
      </w:r>
      <w:r w:rsidR="00915576" w:rsidRPr="00915576">
        <w:t xml:space="preserve"> structure raises concerns over whether the instrument</w:t>
      </w:r>
      <w:r w:rsidR="00954AF4">
        <w:t>s</w:t>
      </w:r>
      <w:r w:rsidR="00915576" w:rsidRPr="00915576">
        <w:t xml:space="preserve"> fully, and unequivocally, satisf</w:t>
      </w:r>
      <w:r w:rsidR="00954AF4">
        <w:t>y</w:t>
      </w:r>
      <w:r w:rsidR="00915576" w:rsidRPr="00915576">
        <w:t xml:space="preserve"> the requirements for Regulatory Capital.</w:t>
      </w:r>
    </w:p>
    <w:p w14:paraId="6AA0AA1B" w14:textId="742B01BB" w:rsidR="008D7453" w:rsidRDefault="00954AF4" w:rsidP="005D4775">
      <w:r>
        <w:t xml:space="preserve">These </w:t>
      </w:r>
      <w:r w:rsidR="005D4775" w:rsidRPr="0042588E">
        <w:t>provisions in the existing APS 111 apply only to the use of special purpose vehicles (SPVs)</w:t>
      </w:r>
      <w:r w:rsidR="0015489F">
        <w:t>. A</w:t>
      </w:r>
      <w:r w:rsidR="00411D5B">
        <w:t>PRA is proposing to remove</w:t>
      </w:r>
      <w:r w:rsidR="008C41B9">
        <w:t xml:space="preserve"> the relevant Attachment in the existing APS 111 on the use of SPVs (see 2.</w:t>
      </w:r>
      <w:r w:rsidR="00430B65">
        <w:t>4</w:t>
      </w:r>
      <w:r w:rsidR="008C41B9">
        <w:t xml:space="preserve"> below)</w:t>
      </w:r>
      <w:r w:rsidR="005D4775" w:rsidRPr="0042588E">
        <w:t xml:space="preserve">. </w:t>
      </w:r>
    </w:p>
    <w:p w14:paraId="321130F5" w14:textId="30496A30" w:rsidR="004C2C86" w:rsidRPr="0042588E" w:rsidRDefault="008D7453" w:rsidP="005D4775">
      <w:r>
        <w:t>Notwithstanding the proposals in regard to the use of SPVs,</w:t>
      </w:r>
      <w:r w:rsidR="005D4775" w:rsidRPr="0042588E">
        <w:t xml:space="preserve"> APRA </w:t>
      </w:r>
      <w:r w:rsidR="005D4775">
        <w:t>consider</w:t>
      </w:r>
      <w:r w:rsidR="00182BF7">
        <w:t>s</w:t>
      </w:r>
      <w:r w:rsidR="00A616DF">
        <w:t xml:space="preserve"> that it </w:t>
      </w:r>
      <w:r w:rsidR="00165A28">
        <w:t>is</w:t>
      </w:r>
      <w:r w:rsidR="00165A28" w:rsidDel="00A616DF">
        <w:t xml:space="preserve"> </w:t>
      </w:r>
      <w:r w:rsidR="00165A28">
        <w:t>appropriate</w:t>
      </w:r>
      <w:r w:rsidR="005D4775">
        <w:t xml:space="preserve"> that </w:t>
      </w:r>
      <w:r w:rsidR="005D4775" w:rsidRPr="0042588E">
        <w:t xml:space="preserve">these </w:t>
      </w:r>
      <w:r w:rsidR="008C41B9">
        <w:t>existing</w:t>
      </w:r>
      <w:r w:rsidR="005D4775" w:rsidRPr="0042588E">
        <w:t xml:space="preserve"> provisions </w:t>
      </w:r>
      <w:r w:rsidR="008C41B9">
        <w:t>should</w:t>
      </w:r>
      <w:r w:rsidR="00182BF7">
        <w:t xml:space="preserve"> </w:t>
      </w:r>
      <w:r w:rsidR="005D4775">
        <w:t xml:space="preserve">apply </w:t>
      </w:r>
      <w:r w:rsidR="005D4775" w:rsidRPr="0042588E">
        <w:t>to all issues of capital instruments</w:t>
      </w:r>
      <w:r>
        <w:t xml:space="preserve"> and thus </w:t>
      </w:r>
      <w:r w:rsidR="00580E87">
        <w:t xml:space="preserve">these requirements </w:t>
      </w:r>
      <w:r>
        <w:t>have been retained in the Prudential Standard to apply broadly</w:t>
      </w:r>
      <w:r w:rsidR="005D4775">
        <w:t>.</w:t>
      </w:r>
    </w:p>
    <w:p w14:paraId="4CB3B246" w14:textId="5FD60AEA" w:rsidR="009A0A54" w:rsidRPr="00430B65" w:rsidRDefault="009A0A54" w:rsidP="00430B65">
      <w:pPr>
        <w:pStyle w:val="Heading2Numbers"/>
        <w:ind w:left="851"/>
      </w:pPr>
      <w:bookmarkStart w:id="135" w:name="_Toc19122139"/>
      <w:bookmarkStart w:id="136" w:name="_Toc20405511"/>
      <w:r w:rsidRPr="00430B65">
        <w:t>Use of special purpose vehicles and stapled security structures</w:t>
      </w:r>
      <w:bookmarkEnd w:id="135"/>
      <w:bookmarkEnd w:id="136"/>
    </w:p>
    <w:p w14:paraId="0B2708B0" w14:textId="58267C26" w:rsidR="00345F72" w:rsidRDefault="00345F72" w:rsidP="005D4775">
      <w:r>
        <w:t xml:space="preserve">Under the existing APS 111, an ADI may issue a capital instrument through an SPV, subject to certain criteria. </w:t>
      </w:r>
      <w:r w:rsidRPr="00345F72">
        <w:t xml:space="preserve">A stapled security structure consisting of the issue of a preference share and a stapled instrument of another form may </w:t>
      </w:r>
      <w:r>
        <w:t xml:space="preserve">also </w:t>
      </w:r>
      <w:r w:rsidRPr="00345F72">
        <w:t>be included in A</w:t>
      </w:r>
      <w:r>
        <w:t>T</w:t>
      </w:r>
      <w:r w:rsidRPr="00345F72">
        <w:t>1 Capital, subject to satisfying additional criteria</w:t>
      </w:r>
      <w:r w:rsidR="001A4EF7">
        <w:t>.</w:t>
      </w:r>
    </w:p>
    <w:p w14:paraId="779C1EB0" w14:textId="77111690" w:rsidR="004F35E7" w:rsidRDefault="004F35E7" w:rsidP="005D4775">
      <w:r w:rsidRPr="004F35E7">
        <w:t xml:space="preserve">In line with the objective of simplifying </w:t>
      </w:r>
      <w:r w:rsidR="00603AC9">
        <w:t>APS 111</w:t>
      </w:r>
      <w:r w:rsidRPr="004F35E7">
        <w:t xml:space="preserve"> and </w:t>
      </w:r>
      <w:r w:rsidR="009B12CB">
        <w:t xml:space="preserve">ensuring </w:t>
      </w:r>
      <w:r w:rsidRPr="004F35E7">
        <w:t xml:space="preserve">that capital instruments </w:t>
      </w:r>
      <w:r w:rsidR="009B12CB">
        <w:t>are</w:t>
      </w:r>
      <w:r w:rsidRPr="004F35E7">
        <w:t xml:space="preserve"> transparent and capable of being readily understood, APRA is proposing to amend APS 111 so that capital instruments involving SPVs and stapled security structures are not recognised for capital adequacy purposes.</w:t>
      </w:r>
    </w:p>
    <w:p w14:paraId="476F3288" w14:textId="6247DAEB" w:rsidR="00403C40" w:rsidRDefault="00403C40" w:rsidP="00DE1723">
      <w:r>
        <w:t xml:space="preserve">APRA understands </w:t>
      </w:r>
      <w:r w:rsidR="00837B3F">
        <w:t xml:space="preserve">these </w:t>
      </w:r>
      <w:r>
        <w:t>structures may be less attractive for ADIs (and investors)</w:t>
      </w:r>
      <w:r w:rsidR="00D81178">
        <w:t xml:space="preserve"> due to their complexity, and in the case of stapled securities, their</w:t>
      </w:r>
      <w:r w:rsidR="00B4382E">
        <w:t xml:space="preserve"> reduced</w:t>
      </w:r>
      <w:r w:rsidR="00D81178">
        <w:t xml:space="preserve"> tax </w:t>
      </w:r>
      <w:r w:rsidR="00625CF4">
        <w:t>e</w:t>
      </w:r>
      <w:r w:rsidR="00D81178">
        <w:t>ffectiveness.</w:t>
      </w:r>
      <w:r w:rsidR="00A4510F">
        <w:t xml:space="preserve"> </w:t>
      </w:r>
      <w:r>
        <w:t>T</w:t>
      </w:r>
      <w:r w:rsidR="00D80068">
        <w:t xml:space="preserve">he use of SPVs and </w:t>
      </w:r>
      <w:r w:rsidR="00DE1723">
        <w:t>stapled security st</w:t>
      </w:r>
      <w:r w:rsidR="00D80068">
        <w:t>ructures</w:t>
      </w:r>
      <w:r w:rsidR="00DE1723">
        <w:t xml:space="preserve"> </w:t>
      </w:r>
      <w:r w:rsidR="00625CF4">
        <w:t>al</w:t>
      </w:r>
      <w:r w:rsidR="00837B3F">
        <w:t>so</w:t>
      </w:r>
      <w:r w:rsidR="00625CF4">
        <w:t xml:space="preserve"> </w:t>
      </w:r>
      <w:r w:rsidR="00B4382E">
        <w:t>increases</w:t>
      </w:r>
      <w:r>
        <w:t xml:space="preserve"> complexity in regard to loss absorption and non-vi</w:t>
      </w:r>
      <w:r w:rsidR="00625CF4">
        <w:t>a</w:t>
      </w:r>
      <w:r>
        <w:t>bility</w:t>
      </w:r>
      <w:r w:rsidR="00625CF4">
        <w:t xml:space="preserve"> prov</w:t>
      </w:r>
      <w:r w:rsidR="00837B3F">
        <w:t>i</w:t>
      </w:r>
      <w:r w:rsidR="00625CF4">
        <w:t>sions</w:t>
      </w:r>
      <w:r w:rsidR="00B4382E">
        <w:t xml:space="preserve"> included in APS 111</w:t>
      </w:r>
      <w:r>
        <w:t xml:space="preserve">. </w:t>
      </w:r>
    </w:p>
    <w:p w14:paraId="6CA64DD7" w14:textId="3C4597E9" w:rsidR="004F35E7" w:rsidRDefault="004F35E7" w:rsidP="00DE1723">
      <w:r w:rsidRPr="004F35E7">
        <w:t>The use of SPVs to issue capital instruments and stapled security structures have not been a feature of ADI capital issuance since 2013, when APS 111 was updated for the Basel III capital reforms. Prior to Basel III, the difference in limits for inclusion in Tier 1 Capital favoured the use of non-innovative capital such as stapled securities. Under Basel III, this incentive no longer applies.</w:t>
      </w:r>
    </w:p>
    <w:p w14:paraId="02FFE4D3" w14:textId="6A276FE0" w:rsidR="00453205" w:rsidRDefault="005B2987" w:rsidP="00DE1723">
      <w:r>
        <w:t xml:space="preserve">APRA understands there are no existing Basel III capital instruments issued by ADIs involving SPVs and stapled </w:t>
      </w:r>
      <w:r w:rsidR="004813E3">
        <w:t xml:space="preserve">security </w:t>
      </w:r>
      <w:r>
        <w:t>structures. C</w:t>
      </w:r>
      <w:r w:rsidR="00CB7B4B">
        <w:t xml:space="preserve">apital </w:t>
      </w:r>
      <w:r w:rsidR="00453205" w:rsidRPr="00453205">
        <w:t>instruments</w:t>
      </w:r>
      <w:r w:rsidR="00453205">
        <w:t xml:space="preserve"> involving SPVs and stapled secur</w:t>
      </w:r>
      <w:r w:rsidR="00CB7B4B">
        <w:t>it</w:t>
      </w:r>
      <w:r w:rsidR="004813E3">
        <w:t>y structures</w:t>
      </w:r>
      <w:r w:rsidR="00453205">
        <w:t xml:space="preserve"> </w:t>
      </w:r>
      <w:r>
        <w:t xml:space="preserve">issued prior </w:t>
      </w:r>
      <w:r w:rsidRPr="005B1AF9">
        <w:t>to 1 January 2013</w:t>
      </w:r>
      <w:r w:rsidR="00ED5ED9">
        <w:t>,</w:t>
      </w:r>
      <w:r>
        <w:t xml:space="preserve"> </w:t>
      </w:r>
      <w:r w:rsidR="005B1AF9">
        <w:t>where the ADI</w:t>
      </w:r>
      <w:r w:rsidR="005B1AF9" w:rsidRPr="005B1AF9">
        <w:t xml:space="preserve"> had obtained APRA’s approval </w:t>
      </w:r>
      <w:r>
        <w:t>for transition</w:t>
      </w:r>
      <w:r w:rsidR="00ED5ED9">
        <w:t>,</w:t>
      </w:r>
      <w:r>
        <w:t xml:space="preserve"> remain eligible for </w:t>
      </w:r>
      <w:r w:rsidR="004813E3">
        <w:t xml:space="preserve">this </w:t>
      </w:r>
      <w:r>
        <w:t>transition</w:t>
      </w:r>
      <w:r w:rsidR="00ED5ED9">
        <w:t xml:space="preserve"> under </w:t>
      </w:r>
      <w:r w:rsidR="004813E3">
        <w:t xml:space="preserve">the revised </w:t>
      </w:r>
      <w:r w:rsidR="00ED5ED9">
        <w:t>APS 111</w:t>
      </w:r>
      <w:r>
        <w:t>.</w:t>
      </w:r>
    </w:p>
    <w:p w14:paraId="68C9C5D3" w14:textId="77777777" w:rsidR="005D4775" w:rsidRDefault="005D4775" w:rsidP="005D4775">
      <w:pPr>
        <w:pStyle w:val="Heading2Numbers"/>
        <w:ind w:left="851"/>
      </w:pPr>
      <w:bookmarkStart w:id="137" w:name="_Toc16759903"/>
      <w:bookmarkStart w:id="138" w:name="_Toc16765492"/>
      <w:bookmarkStart w:id="139" w:name="_Toc16773502"/>
      <w:bookmarkStart w:id="140" w:name="_Toc16773759"/>
      <w:bookmarkStart w:id="141" w:name="_Toc17097512"/>
      <w:bookmarkStart w:id="142" w:name="_Toc17103799"/>
      <w:bookmarkStart w:id="143" w:name="_Toc17105595"/>
      <w:bookmarkStart w:id="144" w:name="_Toc17276160"/>
      <w:bookmarkStart w:id="145" w:name="_Toc17283313"/>
      <w:bookmarkStart w:id="146" w:name="_Toc17291195"/>
      <w:bookmarkStart w:id="147" w:name="_Toc17375782"/>
      <w:bookmarkStart w:id="148" w:name="_Toc17376635"/>
      <w:bookmarkStart w:id="149" w:name="_Toc17450826"/>
      <w:bookmarkStart w:id="150" w:name="_Toc17468081"/>
      <w:bookmarkStart w:id="151" w:name="_Toc17811660"/>
      <w:bookmarkStart w:id="152" w:name="_Toc19122140"/>
      <w:bookmarkStart w:id="153" w:name="_Toc20405512"/>
      <w:r w:rsidRPr="006300D4">
        <w:t>Use of fair values</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1FB72BF6" w14:textId="4E470C98" w:rsidR="00D0610B" w:rsidRDefault="005D4775" w:rsidP="005D4775">
      <w:r w:rsidRPr="005D1C43">
        <w:t xml:space="preserve">The </w:t>
      </w:r>
      <w:r>
        <w:t>use</w:t>
      </w:r>
      <w:r w:rsidRPr="005D1C43">
        <w:t xml:space="preserve"> of fair value</w:t>
      </w:r>
      <w:r>
        <w:t>s</w:t>
      </w:r>
      <w:r w:rsidRPr="005D1C43">
        <w:t xml:space="preserve">, together with experiences from the </w:t>
      </w:r>
      <w:r>
        <w:t>global financial crisis</w:t>
      </w:r>
      <w:r w:rsidRPr="005D1C43">
        <w:t>, have emphasised the critical importance of robust</w:t>
      </w:r>
      <w:r>
        <w:t xml:space="preserve"> </w:t>
      </w:r>
      <w:r w:rsidRPr="005D1C43">
        <w:t>risk management and control processes around fair value measurement</w:t>
      </w:r>
      <w:r>
        <w:t>s</w:t>
      </w:r>
      <w:r w:rsidRPr="005D1C43">
        <w:t>.</w:t>
      </w:r>
      <w:r w:rsidR="00A4510F">
        <w:t xml:space="preserve"> </w:t>
      </w:r>
    </w:p>
    <w:p w14:paraId="511E3CF4" w14:textId="260F190C" w:rsidR="005D4775" w:rsidRDefault="005D4775" w:rsidP="005D4775">
      <w:r>
        <w:t>The existing APS 111 requires an ADI to notify APRA promptly whenever there is a material reclassification by the ADI of financial assets and liabilities from amortised cost to fair values or from fair values to amortised cost.</w:t>
      </w:r>
    </w:p>
    <w:p w14:paraId="10154C83" w14:textId="6893C7DC" w:rsidR="005D4775" w:rsidRDefault="005D4775" w:rsidP="005D4775">
      <w:r>
        <w:t xml:space="preserve">APRA is proposing to include a further requirement in </w:t>
      </w:r>
      <w:r w:rsidR="005340D8">
        <w:t xml:space="preserve">APS 111 </w:t>
      </w:r>
      <w:r>
        <w:t xml:space="preserve">for an ADI to </w:t>
      </w:r>
      <w:r w:rsidRPr="005D1C43">
        <w:t>notify APRA whenever there is a material</w:t>
      </w:r>
      <w:r>
        <w:t xml:space="preserve"> change in the systems and controls used for valuation purposes; valuation methodologies; and valuation adjustments employed to produce fair values of financial instruments.</w:t>
      </w:r>
    </w:p>
    <w:p w14:paraId="23FD1677" w14:textId="5F8367C1" w:rsidR="009D1E30" w:rsidRDefault="005D4775" w:rsidP="005D4775">
      <w:r>
        <w:t xml:space="preserve">APRA is also proposing </w:t>
      </w:r>
      <w:r w:rsidR="009B12CB">
        <w:t xml:space="preserve">that </w:t>
      </w:r>
      <w:r w:rsidRPr="00CD4C24">
        <w:t xml:space="preserve">the </w:t>
      </w:r>
      <w:r>
        <w:t>use</w:t>
      </w:r>
      <w:r w:rsidRPr="00CD4C24">
        <w:t xml:space="preserve"> of fair values is specifically addressed as part of the </w:t>
      </w:r>
      <w:r w:rsidR="00284D88">
        <w:t xml:space="preserve">internal or external audit </w:t>
      </w:r>
      <w:r w:rsidRPr="00CD4C24">
        <w:t xml:space="preserve">review of the ADI’s risk management </w:t>
      </w:r>
      <w:r w:rsidR="00284D88">
        <w:t xml:space="preserve">framework </w:t>
      </w:r>
      <w:r w:rsidR="00264721">
        <w:t>under</w:t>
      </w:r>
      <w:r w:rsidRPr="00CD4C24">
        <w:t xml:space="preserve"> </w:t>
      </w:r>
      <w:r w:rsidRPr="00CD4C24">
        <w:rPr>
          <w:i/>
        </w:rPr>
        <w:t>Prudential Standard CPS 220 Risk Management</w:t>
      </w:r>
      <w:r w:rsidRPr="00CD4C24">
        <w:t xml:space="preserve"> (CPS 220), including </w:t>
      </w:r>
      <w:r w:rsidR="00264721">
        <w:t>in the</w:t>
      </w:r>
      <w:r w:rsidRPr="00CD4C24">
        <w:t xml:space="preserve"> internal audit review of the implementation of policies and procedures for producing fair values and their </w:t>
      </w:r>
      <w:r>
        <w:t>use.</w:t>
      </w:r>
    </w:p>
    <w:p w14:paraId="00865581" w14:textId="35E3841F" w:rsidR="00911654" w:rsidRDefault="002C017E" w:rsidP="005B017D">
      <w:pPr>
        <w:keepNext/>
        <w:tabs>
          <w:tab w:val="clear" w:pos="1492"/>
        </w:tabs>
        <w:jc w:val="both"/>
      </w:pPr>
      <w:bookmarkStart w:id="154" w:name="_Toc16752463"/>
      <w:bookmarkEnd w:id="154"/>
      <w:r w:rsidRPr="0046026D">
        <w:rPr>
          <w:rFonts w:eastAsia="Times New Roman"/>
        </w:rPr>
        <w:t>.</w:t>
      </w:r>
      <w:r w:rsidRPr="00974BA9">
        <w:rPr>
          <w:rFonts w:eastAsia="Times New Roman"/>
        </w:rPr>
        <w:t xml:space="preserve"> </w:t>
      </w:r>
      <w:r w:rsidR="00911654">
        <w:br w:type="page"/>
      </w:r>
    </w:p>
    <w:p w14:paraId="6D88CBB2" w14:textId="14DED539" w:rsidR="00F952BE" w:rsidRPr="00715369" w:rsidRDefault="002264E1" w:rsidP="00715369">
      <w:pPr>
        <w:pStyle w:val="Heading1Numbers"/>
      </w:pPr>
      <w:bookmarkStart w:id="155" w:name="_Toc15987934"/>
      <w:bookmarkStart w:id="156" w:name="_Toc16067957"/>
      <w:bookmarkStart w:id="157" w:name="_Toc16752469"/>
      <w:bookmarkStart w:id="158" w:name="_Toc16759905"/>
      <w:bookmarkStart w:id="159" w:name="_Toc17283315"/>
      <w:bookmarkStart w:id="160" w:name="_Toc17291197"/>
      <w:bookmarkStart w:id="161" w:name="_Toc17376637"/>
      <w:bookmarkStart w:id="162" w:name="_Toc20405513"/>
      <w:bookmarkEnd w:id="155"/>
      <w:bookmarkEnd w:id="156"/>
      <w:bookmarkEnd w:id="157"/>
      <w:bookmarkEnd w:id="158"/>
      <w:r w:rsidRPr="00715369">
        <w:t xml:space="preserve">Other </w:t>
      </w:r>
      <w:r w:rsidR="001832E4">
        <w:t xml:space="preserve">policy </w:t>
      </w:r>
      <w:r w:rsidR="00CC437D">
        <w:t>issues</w:t>
      </w:r>
      <w:bookmarkEnd w:id="159"/>
      <w:bookmarkEnd w:id="160"/>
      <w:bookmarkEnd w:id="161"/>
      <w:bookmarkEnd w:id="162"/>
    </w:p>
    <w:p w14:paraId="4BE498F9" w14:textId="77777777" w:rsidR="00371399" w:rsidRPr="006300D4" w:rsidRDefault="00371399" w:rsidP="00371399">
      <w:pPr>
        <w:pStyle w:val="Heading2Numbers"/>
        <w:ind w:left="851"/>
      </w:pPr>
      <w:bookmarkStart w:id="163" w:name="_Toc16759913"/>
      <w:bookmarkStart w:id="164" w:name="_Toc16765494"/>
      <w:bookmarkStart w:id="165" w:name="_Toc16773504"/>
      <w:bookmarkStart w:id="166" w:name="_Toc16773761"/>
      <w:bookmarkStart w:id="167" w:name="_Toc17097514"/>
      <w:bookmarkStart w:id="168" w:name="_Toc17103801"/>
      <w:bookmarkStart w:id="169" w:name="_Toc17105597"/>
      <w:bookmarkStart w:id="170" w:name="_Toc17276163"/>
      <w:bookmarkStart w:id="171" w:name="_Toc17283316"/>
      <w:bookmarkStart w:id="172" w:name="_Toc17291198"/>
      <w:bookmarkStart w:id="173" w:name="_Toc17375785"/>
      <w:bookmarkStart w:id="174" w:name="_Toc17376638"/>
      <w:bookmarkStart w:id="175" w:name="_Toc17450829"/>
      <w:bookmarkStart w:id="176" w:name="_Toc17468084"/>
      <w:bookmarkStart w:id="177" w:name="_Toc17811663"/>
      <w:bookmarkStart w:id="178" w:name="_Toc19122142"/>
      <w:bookmarkStart w:id="179" w:name="_Toc20405514"/>
      <w:bookmarkStart w:id="180" w:name="_Toc15987942"/>
      <w:bookmarkStart w:id="181" w:name="_Toc16067965"/>
      <w:bookmarkStart w:id="182" w:name="_Toc16752477"/>
      <w:r w:rsidRPr="006300D4">
        <w:t xml:space="preserve">Equity </w:t>
      </w:r>
      <w:r>
        <w:t>investments in funds management vehicles</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1BCD6DD6" w14:textId="1F587171" w:rsidR="00371399" w:rsidRDefault="00371399" w:rsidP="00371399">
      <w:r>
        <w:t xml:space="preserve">The Basel Committee has revised its framework for the treatment of banks' investments in the equity of funds management vehicles. The revised framework applies to equity investments in all types of funds </w:t>
      </w:r>
      <w:r w:rsidR="007E6B03">
        <w:t>including</w:t>
      </w:r>
      <w:r>
        <w:t xml:space="preserve"> hedge funds, managed funds and investment funds.</w:t>
      </w:r>
    </w:p>
    <w:p w14:paraId="32FB7B5E" w14:textId="77777777" w:rsidR="00371399" w:rsidRDefault="00371399" w:rsidP="00371399">
      <w:r>
        <w:t>The revised Basel framework includes a hierarchy of approaches for calculating capital requirements for equity investments in funds management vehicles:</w:t>
      </w:r>
    </w:p>
    <w:p w14:paraId="74B889B4" w14:textId="6255543A" w:rsidR="00371399" w:rsidRDefault="00371399" w:rsidP="00371399">
      <w:pPr>
        <w:pStyle w:val="ListBullet"/>
      </w:pPr>
      <w:r>
        <w:t>‘look-through approach’, where banks apply the risk weights of the fund’s underlying exposures as if the exposures were held directly by the bank;</w:t>
      </w:r>
    </w:p>
    <w:p w14:paraId="6687C64F" w14:textId="58EF1E12" w:rsidR="00371399" w:rsidRPr="0086528E" w:rsidRDefault="00371399" w:rsidP="00371399">
      <w:pPr>
        <w:pStyle w:val="ListBullet"/>
      </w:pPr>
      <w:r w:rsidRPr="0086528E">
        <w:t>‘mandate-based approach’</w:t>
      </w:r>
      <w:r>
        <w:t>,</w:t>
      </w:r>
      <w:r w:rsidRPr="0086528E">
        <w:t xml:space="preserve"> wh</w:t>
      </w:r>
      <w:r>
        <w:t xml:space="preserve">ere banks </w:t>
      </w:r>
      <w:r w:rsidRPr="0086528E">
        <w:t>assign</w:t>
      </w:r>
      <w:r>
        <w:t xml:space="preserve"> risk weights </w:t>
      </w:r>
      <w:r w:rsidRPr="0086528E">
        <w:t>on the basis of the information contained in a fund’s mandate or in relevant legislation governing the funds</w:t>
      </w:r>
      <w:r>
        <w:t>; and</w:t>
      </w:r>
    </w:p>
    <w:p w14:paraId="01CFB1B9" w14:textId="53633F92" w:rsidR="00371399" w:rsidRDefault="00371399" w:rsidP="00371399">
      <w:pPr>
        <w:pStyle w:val="ListBullet"/>
      </w:pPr>
      <w:r>
        <w:t>‘fall back approach’, where banks assign a 1250 per cent risk weight to their equity investments in funds.</w:t>
      </w:r>
    </w:p>
    <w:p w14:paraId="17E1C4B3" w14:textId="77777777" w:rsidR="00371399" w:rsidRDefault="00371399" w:rsidP="00371399">
      <w:r>
        <w:t>The Basel framework also applies a leverage adjustment to the risk-weighted assets derived from the above approaches to appropriately reflect a fund’s leverage.</w:t>
      </w:r>
    </w:p>
    <w:p w14:paraId="4B43CD3D" w14:textId="77777777" w:rsidR="00371399" w:rsidRDefault="00371399" w:rsidP="00371399">
      <w:r>
        <w:t>While a ‘look-through’ approach or a ‘mandate-based’ approach may provide incentives for ADIs to enhance their risk management of their investments, the approaches introduce significant complexity and may present operational challenges for ADIs.</w:t>
      </w:r>
    </w:p>
    <w:p w14:paraId="03256F36" w14:textId="430C1D9C" w:rsidR="00371399" w:rsidRDefault="00371399" w:rsidP="00371399">
      <w:r>
        <w:t>A</w:t>
      </w:r>
      <w:r w:rsidR="00174B73">
        <w:t xml:space="preserve">PS 111 </w:t>
      </w:r>
      <w:r>
        <w:t>current</w:t>
      </w:r>
      <w:r w:rsidR="00174B73">
        <w:t>ly requires</w:t>
      </w:r>
      <w:r>
        <w:t xml:space="preserve"> an ADI’s equity investment in fund</w:t>
      </w:r>
      <w:r w:rsidR="002A47B8">
        <w:t>s</w:t>
      </w:r>
      <w:r>
        <w:t xml:space="preserve"> management vehicles to </w:t>
      </w:r>
      <w:r w:rsidR="00174B73">
        <w:t xml:space="preserve">be </w:t>
      </w:r>
      <w:r>
        <w:t>deduct</w:t>
      </w:r>
      <w:r w:rsidR="00174B73">
        <w:t>ed</w:t>
      </w:r>
      <w:r>
        <w:t xml:space="preserve"> from CET1 Capital. This reflects APRA’s long-standing policy to deduct from regulatory capital most equity holdings and other capital support provided by ADIs, based on the principle that equity risk should be borne by shareholders rather than depositors. In the instance of an ADI’s equity investments in funds management vehicles, this treatment also reflects the potential risk of a fund’s underlying investments, including where the fund’s holdings are not sufficiently transparent, are illiquid or the fund itself is highly leveraged, and that funds management </w:t>
      </w:r>
      <w:r w:rsidR="007E6B03">
        <w:t xml:space="preserve">does not generally </w:t>
      </w:r>
      <w:r>
        <w:t>constitute banking business.</w:t>
      </w:r>
    </w:p>
    <w:p w14:paraId="04D230C6" w14:textId="12F69112" w:rsidR="00655E9A" w:rsidRDefault="00371399" w:rsidP="00371399">
      <w:r>
        <w:t>APRA proposes not to adopt the Basel framework in this regard and instead retain the current deduction approach to equity investments in funds management vehicles.</w:t>
      </w:r>
      <w:r w:rsidR="00D11E00">
        <w:t xml:space="preserve"> </w:t>
      </w:r>
      <w:r w:rsidR="00E8028B">
        <w:t xml:space="preserve">This proposal does not necessitate a change </w:t>
      </w:r>
      <w:r w:rsidR="00734CE7">
        <w:t>to</w:t>
      </w:r>
      <w:r w:rsidR="00E8028B">
        <w:t xml:space="preserve"> the existing APS 111.</w:t>
      </w:r>
      <w:r w:rsidR="001330C1">
        <w:t xml:space="preserve"> </w:t>
      </w:r>
    </w:p>
    <w:p w14:paraId="737EF73F" w14:textId="1F4E9940" w:rsidR="00371399" w:rsidRPr="00446EDC" w:rsidRDefault="00655E9A" w:rsidP="00446EDC">
      <w:pPr>
        <w:pStyle w:val="APRANORMAL"/>
      </w:pPr>
      <w:r w:rsidRPr="00446EDC">
        <w:t xml:space="preserve">Further, APRA is not proposing a change to </w:t>
      </w:r>
      <w:r w:rsidRPr="00446EDC">
        <w:rPr>
          <w:i/>
        </w:rPr>
        <w:t>Prudential Standard APS 113 Capital Adequacy: Internal Ratings-based Approach to Credit Risk</w:t>
      </w:r>
      <w:r w:rsidRPr="00446EDC">
        <w:t xml:space="preserve"> (APS 113) in regar</w:t>
      </w:r>
      <w:r w:rsidRPr="00F64D08">
        <w:t>d to equity investments that are structured with the intent of conveying the economic substance of debt. Such investments are not required to be treated as equity exposures.</w:t>
      </w:r>
    </w:p>
    <w:p w14:paraId="2E074AC5" w14:textId="4DF50B62" w:rsidR="0059362F" w:rsidRDefault="0059362F" w:rsidP="0059362F">
      <w:pPr>
        <w:pStyle w:val="Heading2Numbers"/>
        <w:ind w:left="851"/>
      </w:pPr>
      <w:bookmarkStart w:id="183" w:name="_Toc16759914"/>
      <w:bookmarkStart w:id="184" w:name="_Toc16765495"/>
      <w:bookmarkStart w:id="185" w:name="_Toc16773505"/>
      <w:bookmarkStart w:id="186" w:name="_Toc16773762"/>
      <w:bookmarkStart w:id="187" w:name="_Toc17097515"/>
      <w:bookmarkStart w:id="188" w:name="_Toc17103802"/>
      <w:bookmarkStart w:id="189" w:name="_Toc17105598"/>
      <w:bookmarkStart w:id="190" w:name="_Toc17276164"/>
      <w:bookmarkStart w:id="191" w:name="_Toc17283317"/>
      <w:bookmarkStart w:id="192" w:name="_Toc17291199"/>
      <w:bookmarkStart w:id="193" w:name="_Toc17375786"/>
      <w:bookmarkStart w:id="194" w:name="_Toc17376639"/>
      <w:bookmarkStart w:id="195" w:name="_Toc17450830"/>
      <w:bookmarkStart w:id="196" w:name="_Toc17468085"/>
      <w:bookmarkStart w:id="197" w:name="_Toc17811664"/>
      <w:bookmarkStart w:id="198" w:name="_Toc19122143"/>
      <w:bookmarkStart w:id="199" w:name="_Toc20405515"/>
      <w:r>
        <w:t>Capital arbitrage</w:t>
      </w:r>
      <w:r w:rsidR="001B7ACF">
        <w:t xml:space="preserve"> transactions</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193F513C" w14:textId="561FC514" w:rsidR="0059362F" w:rsidRDefault="00C40A6D" w:rsidP="00293716">
      <w:pPr>
        <w:rPr>
          <w:lang w:val="en"/>
        </w:rPr>
      </w:pPr>
      <w:r>
        <w:t xml:space="preserve">Over time, </w:t>
      </w:r>
      <w:r w:rsidR="005E623D">
        <w:t xml:space="preserve">APRA </w:t>
      </w:r>
      <w:r w:rsidR="005E623D" w:rsidRPr="005E623D">
        <w:rPr>
          <w:lang w:val="en"/>
        </w:rPr>
        <w:t>ha</w:t>
      </w:r>
      <w:r w:rsidR="00E22C04">
        <w:rPr>
          <w:lang w:val="en"/>
        </w:rPr>
        <w:t>s</w:t>
      </w:r>
      <w:r w:rsidR="005E623D" w:rsidRPr="005E623D">
        <w:rPr>
          <w:lang w:val="en"/>
        </w:rPr>
        <w:t xml:space="preserve"> received requests to review or approve transactions </w:t>
      </w:r>
      <w:r>
        <w:rPr>
          <w:lang w:val="en"/>
        </w:rPr>
        <w:t xml:space="preserve">(e.g. </w:t>
      </w:r>
      <w:r w:rsidR="00AD31FA">
        <w:rPr>
          <w:lang w:val="en"/>
        </w:rPr>
        <w:t xml:space="preserve">credit derivatives, </w:t>
      </w:r>
      <w:r w:rsidR="0093796C">
        <w:rPr>
          <w:lang w:val="en"/>
        </w:rPr>
        <w:t>guarantees</w:t>
      </w:r>
      <w:r>
        <w:rPr>
          <w:lang w:val="en"/>
        </w:rPr>
        <w:t xml:space="preserve">), </w:t>
      </w:r>
      <w:r w:rsidR="005E623D" w:rsidRPr="005E623D">
        <w:rPr>
          <w:lang w:val="en"/>
        </w:rPr>
        <w:t>that seek to alter the form or substance of items subject to</w:t>
      </w:r>
      <w:r w:rsidR="00AD31FA">
        <w:rPr>
          <w:lang w:val="en"/>
        </w:rPr>
        <w:t xml:space="preserve"> deduction</w:t>
      </w:r>
      <w:r w:rsidR="005E623D">
        <w:rPr>
          <w:lang w:val="en"/>
        </w:rPr>
        <w:t>.</w:t>
      </w:r>
      <w:r w:rsidRPr="00C40A6D">
        <w:t xml:space="preserve"> </w:t>
      </w:r>
      <w:r w:rsidR="00B560C6">
        <w:t>In APRA’s view t</w:t>
      </w:r>
      <w:r>
        <w:t xml:space="preserve">hese </w:t>
      </w:r>
      <w:r w:rsidRPr="00C40A6D">
        <w:rPr>
          <w:lang w:val="en"/>
        </w:rPr>
        <w:t>transactions can have the effect of overestimating eligible capital, without commensurately reducing the risk in the financial system</w:t>
      </w:r>
      <w:r>
        <w:rPr>
          <w:lang w:val="en"/>
        </w:rPr>
        <w:t>.</w:t>
      </w:r>
    </w:p>
    <w:p w14:paraId="25AB3C84" w14:textId="6AC06016" w:rsidR="008769F1" w:rsidRPr="005E623D" w:rsidRDefault="008769F1" w:rsidP="00293716">
      <w:r w:rsidRPr="00597C47">
        <w:rPr>
          <w:rStyle w:val="APRANORMALChar"/>
        </w:rPr>
        <w:t>Consistent with the Basel Committee</w:t>
      </w:r>
      <w:r w:rsidR="00835CFF">
        <w:rPr>
          <w:rStyle w:val="APRANORMALChar"/>
        </w:rPr>
        <w:t>’</w:t>
      </w:r>
      <w:r w:rsidRPr="00597C47">
        <w:rPr>
          <w:rStyle w:val="APRANORMALChar"/>
        </w:rPr>
        <w:t>s statement on capital arbitrage transactions, it is APRA’s long-standing policy that transactions that have the aim of offsetting deductions are not recognised for capital adequacy purposes. APRA is proposing to make this explicit in APS 111</w:t>
      </w:r>
      <w:r>
        <w:rPr>
          <w:lang w:val="en"/>
        </w:rPr>
        <w:t>.</w:t>
      </w:r>
    </w:p>
    <w:p w14:paraId="55674665" w14:textId="78E07B8A" w:rsidR="00206544" w:rsidRDefault="00206544">
      <w:pPr>
        <w:pStyle w:val="Heading2Numbers"/>
        <w:ind w:left="851"/>
      </w:pPr>
      <w:bookmarkStart w:id="200" w:name="_Toc15987943"/>
      <w:bookmarkStart w:id="201" w:name="_Toc16067966"/>
      <w:bookmarkStart w:id="202" w:name="_Toc16752478"/>
      <w:bookmarkStart w:id="203" w:name="_Toc16773507"/>
      <w:bookmarkStart w:id="204" w:name="_Toc16773764"/>
      <w:bookmarkStart w:id="205" w:name="_Toc17097517"/>
      <w:bookmarkStart w:id="206" w:name="_Toc17103804"/>
      <w:bookmarkStart w:id="207" w:name="_Toc17105600"/>
      <w:bookmarkStart w:id="208" w:name="_Toc17276165"/>
      <w:bookmarkStart w:id="209" w:name="_Toc17283318"/>
      <w:bookmarkStart w:id="210" w:name="_Toc17291200"/>
      <w:bookmarkStart w:id="211" w:name="_Toc17375787"/>
      <w:bookmarkStart w:id="212" w:name="_Toc17376640"/>
      <w:bookmarkStart w:id="213" w:name="_Toc17450831"/>
      <w:bookmarkStart w:id="214" w:name="_Toc17468086"/>
      <w:bookmarkStart w:id="215" w:name="_Toc17811665"/>
      <w:bookmarkStart w:id="216" w:name="_Toc19122144"/>
      <w:bookmarkStart w:id="217" w:name="_Toc20405516"/>
      <w:bookmarkStart w:id="218" w:name="_Toc16765499"/>
      <w:bookmarkStart w:id="219" w:name="_Toc16759918"/>
      <w:bookmarkStart w:id="220" w:name="_Toc15987947"/>
      <w:bookmarkStart w:id="221" w:name="_Toc16067970"/>
      <w:bookmarkStart w:id="222" w:name="_Toc16752482"/>
      <w:bookmarkEnd w:id="200"/>
      <w:bookmarkEnd w:id="201"/>
      <w:bookmarkEnd w:id="202"/>
      <w:r>
        <w:t>Cross default</w:t>
      </w:r>
      <w:bookmarkEnd w:id="203"/>
      <w:bookmarkEnd w:id="204"/>
      <w:bookmarkEnd w:id="205"/>
      <w:bookmarkEnd w:id="206"/>
      <w:bookmarkEnd w:id="207"/>
      <w:bookmarkEnd w:id="208"/>
      <w:bookmarkEnd w:id="209"/>
      <w:bookmarkEnd w:id="210"/>
      <w:bookmarkEnd w:id="211"/>
      <w:bookmarkEnd w:id="212"/>
      <w:bookmarkEnd w:id="213"/>
      <w:bookmarkEnd w:id="214"/>
      <w:bookmarkEnd w:id="215"/>
      <w:r w:rsidR="00E22C04">
        <w:t xml:space="preserve"> clauses</w:t>
      </w:r>
      <w:bookmarkEnd w:id="216"/>
      <w:bookmarkEnd w:id="217"/>
    </w:p>
    <w:p w14:paraId="135ACE83" w14:textId="55FB5BE0" w:rsidR="00CE0658" w:rsidRPr="002A2FBF" w:rsidRDefault="00CE0658" w:rsidP="00CE0658">
      <w:pPr>
        <w:pStyle w:val="APRANORMAL"/>
      </w:pPr>
      <w:r w:rsidRPr="00907F82">
        <w:t>The existing APS 111 requires that, in relation to AT1 Capital and Tier 2 Capital</w:t>
      </w:r>
      <w:r w:rsidR="00C230DE" w:rsidRPr="002A2FBF">
        <w:t xml:space="preserve"> instruments</w:t>
      </w:r>
      <w:r w:rsidRPr="002A2FBF">
        <w:t xml:space="preserve">, there must be no cross-default clauses in the documentation of any debt or other capital instrument of the issuer linking the issuer’s obligations under the </w:t>
      </w:r>
      <w:r w:rsidR="009B12CB">
        <w:t xml:space="preserve">AT1 Capital and Tier 2 Capital </w:t>
      </w:r>
      <w:r w:rsidRPr="002A2FBF">
        <w:t>instrument to default by the issuer under any of its other obligations, or default by another party, related or otherwise.</w:t>
      </w:r>
    </w:p>
    <w:p w14:paraId="488B7C88" w14:textId="31CE95DC" w:rsidR="001D360F" w:rsidRDefault="00F443C3" w:rsidP="00F443C3">
      <w:pPr>
        <w:pStyle w:val="APRANORMAL"/>
      </w:pPr>
      <w:r w:rsidRPr="005B017D">
        <w:t>APRA propos</w:t>
      </w:r>
      <w:r w:rsidR="00F26DDA">
        <w:t>es</w:t>
      </w:r>
      <w:r w:rsidRPr="005B017D">
        <w:t xml:space="preserve"> to clarify in </w:t>
      </w:r>
      <w:r w:rsidR="00CC6935">
        <w:t>APS 111</w:t>
      </w:r>
      <w:r w:rsidRPr="005B017D">
        <w:t xml:space="preserve"> that </w:t>
      </w:r>
      <w:r w:rsidR="009B12CB">
        <w:t xml:space="preserve">this restriction extends to </w:t>
      </w:r>
      <w:r w:rsidR="00CE0658" w:rsidRPr="005B017D">
        <w:t>event of default</w:t>
      </w:r>
      <w:r w:rsidR="009B12CB">
        <w:t xml:space="preserve"> clauses</w:t>
      </w:r>
      <w:r w:rsidR="001D360F" w:rsidRPr="005B017D">
        <w:t xml:space="preserve"> </w:t>
      </w:r>
      <w:r w:rsidR="009B12CB">
        <w:t xml:space="preserve">specifying </w:t>
      </w:r>
      <w:r w:rsidR="00CE0658" w:rsidRPr="005B017D">
        <w:t xml:space="preserve">any acts/events/consequences arising in </w:t>
      </w:r>
      <w:r w:rsidR="009B12CB">
        <w:t>relation</w:t>
      </w:r>
      <w:r w:rsidR="00CE0658" w:rsidRPr="005B017D">
        <w:t xml:space="preserve"> </w:t>
      </w:r>
      <w:r w:rsidR="009B12CB">
        <w:t>to</w:t>
      </w:r>
      <w:r w:rsidR="00CE0658" w:rsidRPr="005B017D">
        <w:t xml:space="preserve"> </w:t>
      </w:r>
      <w:r w:rsidR="009C5ACC" w:rsidRPr="005B017D">
        <w:t>a</w:t>
      </w:r>
      <w:r w:rsidR="00DC34CF">
        <w:t>n</w:t>
      </w:r>
      <w:r w:rsidR="009C5ACC" w:rsidRPr="005B017D">
        <w:t xml:space="preserve"> </w:t>
      </w:r>
      <w:r w:rsidR="009B12CB">
        <w:t xml:space="preserve">AT1 Capital or Tier 2 </w:t>
      </w:r>
      <w:r w:rsidR="009B12CB" w:rsidRPr="005B017D">
        <w:t>C</w:t>
      </w:r>
      <w:r w:rsidR="00CE0658" w:rsidRPr="005B017D">
        <w:t>apital instrument</w:t>
      </w:r>
      <w:r w:rsidR="009B12CB">
        <w:t xml:space="preserve"> that would trigger default under the debt or other capital instrument</w:t>
      </w:r>
      <w:r w:rsidR="00CE0658" w:rsidRPr="005B017D">
        <w:t xml:space="preserve">. </w:t>
      </w:r>
      <w:r w:rsidR="00A25217" w:rsidRPr="00A25217">
        <w:t>This clarification reflects APRA’s current assessment approach, which has been applied over recent years, when assessing capital instrument proposals.</w:t>
      </w:r>
    </w:p>
    <w:p w14:paraId="534BB526" w14:textId="5223667F" w:rsidR="009B12CB" w:rsidRPr="005B017D" w:rsidRDefault="009B12CB" w:rsidP="00F443C3">
      <w:pPr>
        <w:pStyle w:val="APRANORMAL"/>
      </w:pPr>
      <w:r w:rsidRPr="009B12CB">
        <w:t>Taken as a whole, th</w:t>
      </w:r>
      <w:r w:rsidR="00F6142B">
        <w:t xml:space="preserve">is proposal </w:t>
      </w:r>
      <w:r w:rsidRPr="009B12CB">
        <w:t>would restrict any clause triggering default by the issuer upon any of the following events occurring</w:t>
      </w:r>
      <w:r>
        <w:t>:</w:t>
      </w:r>
    </w:p>
    <w:p w14:paraId="0DC61791" w14:textId="2332B4DB" w:rsidR="001D360F" w:rsidRPr="00D66946" w:rsidRDefault="00CE0658" w:rsidP="0043267A">
      <w:pPr>
        <w:pStyle w:val="APRANORMAL"/>
        <w:numPr>
          <w:ilvl w:val="0"/>
          <w:numId w:val="23"/>
        </w:numPr>
      </w:pPr>
      <w:r w:rsidRPr="00D66946">
        <w:t>breach of obligations (e.g. non-payment) and consequences of</w:t>
      </w:r>
      <w:r w:rsidR="0043267A">
        <w:t>, or actions to prevent a</w:t>
      </w:r>
      <w:r w:rsidRPr="00D66946">
        <w:t xml:space="preserve"> breach (e.g. enforcement of a judgement for debt</w:t>
      </w:r>
      <w:r w:rsidR="0043267A">
        <w:t xml:space="preserve">, </w:t>
      </w:r>
      <w:r w:rsidR="0043267A" w:rsidRPr="0043267A">
        <w:t>moratoriums or arrangements with creditors</w:t>
      </w:r>
      <w:r w:rsidRPr="00D66946">
        <w:t>)</w:t>
      </w:r>
      <w:r w:rsidR="001D360F" w:rsidRPr="00D66946">
        <w:t>;</w:t>
      </w:r>
      <w:r w:rsidR="009C5ACC" w:rsidRPr="00D66946">
        <w:t xml:space="preserve"> </w:t>
      </w:r>
    </w:p>
    <w:p w14:paraId="4EA1C9DA" w14:textId="2F44B3F8" w:rsidR="001D360F" w:rsidRPr="00D66946" w:rsidRDefault="00CE0658" w:rsidP="00C81F2B">
      <w:pPr>
        <w:pStyle w:val="APRANORMAL"/>
        <w:numPr>
          <w:ilvl w:val="0"/>
          <w:numId w:val="23"/>
        </w:numPr>
        <w:ind w:left="357" w:hanging="357"/>
      </w:pPr>
      <w:r w:rsidRPr="00D66946">
        <w:t>material adverse change clauses (e.g. an event which the lender believes could affect the ability or willingness of the issuer to repay)</w:t>
      </w:r>
      <w:r w:rsidR="001D360F" w:rsidRPr="00D66946">
        <w:t>;</w:t>
      </w:r>
      <w:r w:rsidR="009C5ACC" w:rsidRPr="00D66946">
        <w:t xml:space="preserve"> and </w:t>
      </w:r>
    </w:p>
    <w:p w14:paraId="06EA300A" w14:textId="2FC9943A" w:rsidR="00CE0658" w:rsidRPr="00D66946" w:rsidRDefault="009C5ACC" w:rsidP="00C81F2B">
      <w:pPr>
        <w:pStyle w:val="APRANORMAL"/>
        <w:numPr>
          <w:ilvl w:val="0"/>
          <w:numId w:val="23"/>
        </w:numPr>
        <w:ind w:left="357" w:hanging="357"/>
      </w:pPr>
      <w:r w:rsidRPr="00D66946">
        <w:t>discretionary actions</w:t>
      </w:r>
      <w:r w:rsidR="00700266" w:rsidRPr="00D66946">
        <w:t>.</w:t>
      </w:r>
    </w:p>
    <w:p w14:paraId="2D7D21F5" w14:textId="63E89017" w:rsidR="00CE0658" w:rsidRDefault="00700266" w:rsidP="00CE0658">
      <w:pPr>
        <w:pStyle w:val="APRANORMAL"/>
      </w:pPr>
      <w:r w:rsidRPr="00907F82">
        <w:t xml:space="preserve">This </w:t>
      </w:r>
      <w:r w:rsidR="00F443C3" w:rsidRPr="002A2FBF">
        <w:t xml:space="preserve">clarification </w:t>
      </w:r>
      <w:r w:rsidR="00CE0658" w:rsidRPr="002A2FBF">
        <w:t xml:space="preserve">reflects the importance of capital being available to support an ADI’s financial position. </w:t>
      </w:r>
      <w:r w:rsidR="00BB6DB6">
        <w:t>Such</w:t>
      </w:r>
      <w:r w:rsidR="00CE0658" w:rsidRPr="002A2FBF">
        <w:t xml:space="preserve"> support would be detrimentally affected if an adverse event relating to the capital instrument could trigger a default on other instruments.</w:t>
      </w:r>
    </w:p>
    <w:p w14:paraId="19844431" w14:textId="4060D340" w:rsidR="00A25217" w:rsidRDefault="00A25217" w:rsidP="00A25217">
      <w:pPr>
        <w:pStyle w:val="APRANORMAL"/>
      </w:pPr>
      <w:r>
        <w:t xml:space="preserve">APRA is also proposing to clarify that the restriction also means that an AT1 Capital or Tier 2 Capital instrument itself </w:t>
      </w:r>
      <w:r w:rsidR="00C53A89">
        <w:t>must</w:t>
      </w:r>
      <w:r>
        <w:t xml:space="preserve"> not include clauses that would trigger default by the issuer upon the occurrence of the events referred to above in relation to any of the issuer’s debt or other capital instruments.</w:t>
      </w:r>
    </w:p>
    <w:p w14:paraId="014D13FA" w14:textId="1AA5CDB3" w:rsidR="00A25217" w:rsidRDefault="00A25217" w:rsidP="00A25217">
      <w:pPr>
        <w:pStyle w:val="APRANORMAL"/>
      </w:pPr>
      <w:r>
        <w:t xml:space="preserve">APRA is </w:t>
      </w:r>
      <w:r w:rsidR="00335ECE">
        <w:t xml:space="preserve">further </w:t>
      </w:r>
      <w:r>
        <w:t>proposing that, in applying the prohibition, other debt instruments and capital instruments which were issued or drawn prior to the revised draft Prudential Standard being published will be excluded, reflecting the impracticality of having those instruments amended. Any new issue or drawing from this date would need to meet these requirements.</w:t>
      </w:r>
    </w:p>
    <w:p w14:paraId="4A140CF1" w14:textId="77777777" w:rsidR="009305FA" w:rsidRPr="00DE09BB" w:rsidRDefault="009305FA" w:rsidP="00DE09BB">
      <w:pPr>
        <w:pStyle w:val="Heading2Numbers"/>
        <w:ind w:left="851"/>
      </w:pPr>
      <w:bookmarkStart w:id="223" w:name="_Toc16773508"/>
      <w:bookmarkStart w:id="224" w:name="_Toc16773765"/>
      <w:bookmarkStart w:id="225" w:name="_Toc17097518"/>
      <w:bookmarkStart w:id="226" w:name="_Toc17103805"/>
      <w:bookmarkStart w:id="227" w:name="_Toc17105601"/>
      <w:bookmarkStart w:id="228" w:name="_Toc17276166"/>
      <w:bookmarkStart w:id="229" w:name="_Toc17283319"/>
      <w:bookmarkStart w:id="230" w:name="_Toc17291201"/>
      <w:bookmarkStart w:id="231" w:name="_Toc17375788"/>
      <w:bookmarkStart w:id="232" w:name="_Toc17376641"/>
      <w:bookmarkStart w:id="233" w:name="_Toc17450832"/>
      <w:bookmarkStart w:id="234" w:name="_Toc17468087"/>
      <w:bookmarkStart w:id="235" w:name="_Toc17811666"/>
      <w:bookmarkStart w:id="236" w:name="_Toc19122145"/>
      <w:bookmarkStart w:id="237" w:name="_Toc20405517"/>
      <w:r w:rsidRPr="00DE09BB">
        <w:t>Funding of capital instruments</w:t>
      </w:r>
      <w:bookmarkEnd w:id="218"/>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7E41679E" w14:textId="77777777" w:rsidR="009305FA" w:rsidRDefault="009305FA" w:rsidP="009305FA">
      <w:pPr>
        <w:tabs>
          <w:tab w:val="clear" w:pos="1492"/>
        </w:tabs>
      </w:pPr>
      <w:r>
        <w:t>The criteria</w:t>
      </w:r>
      <w:r w:rsidRPr="00BC6BF2">
        <w:t xml:space="preserve"> for </w:t>
      </w:r>
      <w:r>
        <w:t xml:space="preserve">an </w:t>
      </w:r>
      <w:r w:rsidRPr="00BC6BF2">
        <w:t xml:space="preserve">instrument to be classified as </w:t>
      </w:r>
      <w:r>
        <w:t>R</w:t>
      </w:r>
      <w:r w:rsidRPr="00BC6BF2">
        <w:t xml:space="preserve">egulatory </w:t>
      </w:r>
      <w:r>
        <w:t>C</w:t>
      </w:r>
      <w:r w:rsidRPr="00BC6BF2">
        <w:t>apital</w:t>
      </w:r>
      <w:r>
        <w:t xml:space="preserve"> includes a requirement that the i</w:t>
      </w:r>
      <w:r w:rsidRPr="00BC6BF2">
        <w:t>ssuer, any other member of a group to which the issuer belongs, or any related entity, cannot have purchased or directly or indirectly funded the purchase of the instrument</w:t>
      </w:r>
      <w:r>
        <w:t>.</w:t>
      </w:r>
    </w:p>
    <w:p w14:paraId="2457690E" w14:textId="77777777" w:rsidR="00C60CC8" w:rsidRDefault="00F443C3" w:rsidP="009305FA">
      <w:pPr>
        <w:tabs>
          <w:tab w:val="clear" w:pos="1492"/>
        </w:tabs>
      </w:pPr>
      <w:r>
        <w:t>APRA is proposing to clarify in the Prudential Standard that w</w:t>
      </w:r>
      <w:r w:rsidR="009305FA" w:rsidRPr="00B573E5">
        <w:t>here the capital instruments of an ADI are used as collateral for a margin lending exposure, and the ADI has full recourse to the borrower for the margin loan, it is not required to deduct the capital instruments from the corresponding category of Regulatory Capital</w:t>
      </w:r>
      <w:r w:rsidR="009305FA">
        <w:t>.</w:t>
      </w:r>
      <w:r w:rsidR="00C23EAA">
        <w:t xml:space="preserve"> </w:t>
      </w:r>
    </w:p>
    <w:p w14:paraId="1B5B518A" w14:textId="77777777" w:rsidR="00CC0DD1" w:rsidRDefault="00C23EAA">
      <w:bookmarkStart w:id="238" w:name="_Toc17291202"/>
      <w:bookmarkStart w:id="239" w:name="_Toc17375789"/>
      <w:r>
        <w:t>For the purposes of the Prudential Standard, l</w:t>
      </w:r>
      <w:r w:rsidRPr="00C23EAA">
        <w:t>ending to a borrower on a non-recourse basis secured against any capital instruments is to be treated as an indirect funding of the capital instruments</w:t>
      </w:r>
      <w:r>
        <w:t>.</w:t>
      </w:r>
      <w:bookmarkEnd w:id="238"/>
      <w:bookmarkEnd w:id="239"/>
    </w:p>
    <w:p w14:paraId="559FC894" w14:textId="1175324C" w:rsidR="00FA207C" w:rsidRDefault="00FA207C" w:rsidP="00FA207C">
      <w:pPr>
        <w:pStyle w:val="Heading2Numbers"/>
        <w:ind w:left="851"/>
      </w:pPr>
      <w:bookmarkStart w:id="240" w:name="_Toc17376642"/>
      <w:bookmarkStart w:id="241" w:name="_Toc17450833"/>
      <w:bookmarkStart w:id="242" w:name="_Toc17468088"/>
      <w:bookmarkStart w:id="243" w:name="_Toc17811667"/>
      <w:bookmarkStart w:id="244" w:name="_Toc19122146"/>
      <w:bookmarkStart w:id="245" w:name="_Toc20405518"/>
      <w:bookmarkEnd w:id="219"/>
      <w:r>
        <w:t>Intra-group capital transactions</w:t>
      </w:r>
      <w:bookmarkEnd w:id="240"/>
      <w:bookmarkEnd w:id="241"/>
      <w:bookmarkEnd w:id="242"/>
      <w:bookmarkEnd w:id="243"/>
      <w:bookmarkEnd w:id="244"/>
      <w:bookmarkEnd w:id="245"/>
    </w:p>
    <w:p w14:paraId="530B647B" w14:textId="6ABE0958" w:rsidR="00B911B4" w:rsidRPr="002A2FBF" w:rsidRDefault="00B911B4" w:rsidP="00B911B4">
      <w:pPr>
        <w:tabs>
          <w:tab w:val="clear" w:pos="1492"/>
        </w:tabs>
      </w:pPr>
      <w:r w:rsidRPr="00907F82">
        <w:t xml:space="preserve">To </w:t>
      </w:r>
      <w:r w:rsidR="001D2AA2" w:rsidRPr="002A2FBF">
        <w:t xml:space="preserve">improve </w:t>
      </w:r>
      <w:r w:rsidRPr="002A2FBF">
        <w:t xml:space="preserve">transparency, APRA is proposing to include in </w:t>
      </w:r>
      <w:r w:rsidR="001D2AA2" w:rsidRPr="002A2FBF">
        <w:t>APS 111</w:t>
      </w:r>
      <w:r w:rsidRPr="002A2FBF">
        <w:t xml:space="preserve"> more detail of the matters APRA </w:t>
      </w:r>
      <w:r w:rsidR="00335FE4">
        <w:t>will</w:t>
      </w:r>
      <w:r w:rsidRPr="002A2FBF">
        <w:t xml:space="preserve"> consider in assessing the overall strength of Level 1 and Level 2 capital adequacy.</w:t>
      </w:r>
    </w:p>
    <w:p w14:paraId="771A9421" w14:textId="71DB171F" w:rsidR="00B911B4" w:rsidRPr="002A2FBF" w:rsidRDefault="00411D5B" w:rsidP="00B911B4">
      <w:pPr>
        <w:tabs>
          <w:tab w:val="clear" w:pos="1492"/>
        </w:tabs>
      </w:pPr>
      <w:r>
        <w:t>This would include, f</w:t>
      </w:r>
      <w:r w:rsidR="00B911B4" w:rsidRPr="0046026D">
        <w:t>or</w:t>
      </w:r>
      <w:r w:rsidR="00B911B4" w:rsidRPr="00907F82">
        <w:t xml:space="preserve"> example, the inability to extract capital from group members </w:t>
      </w:r>
      <w:r>
        <w:t xml:space="preserve">which </w:t>
      </w:r>
      <w:r w:rsidR="00B911B4" w:rsidRPr="00907F82">
        <w:t xml:space="preserve">may impact on the capital position of an ADI as head of </w:t>
      </w:r>
      <w:r w:rsidR="002320CD">
        <w:t xml:space="preserve">a </w:t>
      </w:r>
      <w:r w:rsidR="00B911B4" w:rsidRPr="00907F82">
        <w:t>group (i.e. the Level 1 ca</w:t>
      </w:r>
      <w:r w:rsidR="00B911B4" w:rsidRPr="002A2FBF">
        <w:t xml:space="preserve">pital position). If capital cannot be extracted from other group members it may need to come from the parent ADI itself </w:t>
      </w:r>
      <w:r w:rsidR="00A85B59">
        <w:t xml:space="preserve">thereby </w:t>
      </w:r>
      <w:r w:rsidR="00B911B4" w:rsidRPr="002A2FBF">
        <w:t>undermining its capital position. The potential for such an outcome needs to be considered in assessing the capital position of the ADI.</w:t>
      </w:r>
    </w:p>
    <w:p w14:paraId="51B1A0D6" w14:textId="05E9DC77" w:rsidR="00B911B4" w:rsidRDefault="00B911B4" w:rsidP="00B911B4">
      <w:pPr>
        <w:tabs>
          <w:tab w:val="clear" w:pos="1492"/>
        </w:tabs>
      </w:pPr>
      <w:r w:rsidRPr="002A2FBF">
        <w:t xml:space="preserve">APRA is also proposing to include in the Prudential Standard a </w:t>
      </w:r>
      <w:r w:rsidR="00BE62E6">
        <w:t xml:space="preserve">specific </w:t>
      </w:r>
      <w:r w:rsidRPr="00907F82">
        <w:t>requirement that an ADI must deduct from C</w:t>
      </w:r>
      <w:r w:rsidR="000E6C51">
        <w:t>ET1</w:t>
      </w:r>
      <w:r w:rsidRPr="00907F82">
        <w:t xml:space="preserve"> Capital, at Level 1 and Level 2, an amount to capture any capital support which APRA assesses might potentially be needed</w:t>
      </w:r>
      <w:r w:rsidRPr="002A2FBF">
        <w:t xml:space="preserve"> to support individual group members</w:t>
      </w:r>
      <w:r w:rsidR="00BE2C20">
        <w:t xml:space="preserve"> of</w:t>
      </w:r>
      <w:r w:rsidRPr="002A2FBF">
        <w:t xml:space="preserve"> a group to which an ADI belong</w:t>
      </w:r>
      <w:r w:rsidR="001D360F" w:rsidRPr="002A2FBF">
        <w:t>s</w:t>
      </w:r>
      <w:r w:rsidRPr="002A2FBF">
        <w:t>.</w:t>
      </w:r>
    </w:p>
    <w:p w14:paraId="3F2A6C67" w14:textId="0EA46B44" w:rsidR="008F42FC" w:rsidRPr="006300D4" w:rsidRDefault="008F42FC" w:rsidP="008F42FC">
      <w:pPr>
        <w:pStyle w:val="Heading2Numbers"/>
        <w:ind w:left="851"/>
      </w:pPr>
      <w:bookmarkStart w:id="246" w:name="_Toc16759920"/>
      <w:bookmarkStart w:id="247" w:name="_Toc16765506"/>
      <w:bookmarkStart w:id="248" w:name="_Toc16773510"/>
      <w:bookmarkStart w:id="249" w:name="_Toc16773767"/>
      <w:bookmarkStart w:id="250" w:name="_Toc17097520"/>
      <w:bookmarkStart w:id="251" w:name="_Toc17103807"/>
      <w:bookmarkStart w:id="252" w:name="_Toc17105603"/>
      <w:bookmarkStart w:id="253" w:name="_Toc17276168"/>
      <w:bookmarkStart w:id="254" w:name="_Toc17283321"/>
      <w:bookmarkStart w:id="255" w:name="_Toc17291204"/>
      <w:bookmarkStart w:id="256" w:name="_Toc17375790"/>
      <w:bookmarkStart w:id="257" w:name="_Toc17376643"/>
      <w:bookmarkStart w:id="258" w:name="_Toc17450834"/>
      <w:bookmarkStart w:id="259" w:name="_Toc17468089"/>
      <w:bookmarkStart w:id="260" w:name="_Toc17811668"/>
      <w:bookmarkStart w:id="261" w:name="_Toc19122147"/>
      <w:bookmarkStart w:id="262" w:name="_Toc20405519"/>
      <w:r w:rsidRPr="006300D4">
        <w:t>Minority interest and other capital issued out of fully consolidated subsidiaries held by third parties</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598D8FE5" w14:textId="177965E3" w:rsidR="008F42FC" w:rsidRPr="00907F82" w:rsidRDefault="008F42FC" w:rsidP="008F42FC">
      <w:r w:rsidRPr="00907F82">
        <w:t xml:space="preserve">Where an ADI is a subsidiary of a </w:t>
      </w:r>
      <w:r w:rsidR="002320CD">
        <w:t>non</w:t>
      </w:r>
      <w:r w:rsidR="00FC1C7A">
        <w:t>-</w:t>
      </w:r>
      <w:r w:rsidR="002320CD">
        <w:t>operating holding company (</w:t>
      </w:r>
      <w:r w:rsidRPr="00907F82">
        <w:t>NOHC</w:t>
      </w:r>
      <w:r w:rsidR="002320CD">
        <w:t>)</w:t>
      </w:r>
      <w:r w:rsidRPr="00907F82">
        <w:t xml:space="preserve"> which heads a Level 2 group, cap</w:t>
      </w:r>
      <w:r w:rsidRPr="002A2FBF">
        <w:t xml:space="preserve">ital instruments issued by an ADI subsidiary to third </w:t>
      </w:r>
      <w:r w:rsidRPr="0046026D">
        <w:t xml:space="preserve">parties are subject </w:t>
      </w:r>
      <w:r w:rsidRPr="00907F82">
        <w:t>to the provisions in the Prudential Standard relating to minority interest.</w:t>
      </w:r>
    </w:p>
    <w:p w14:paraId="03CEBF33" w14:textId="483213BA" w:rsidR="00AB3595" w:rsidRDefault="008F42FC" w:rsidP="008F42FC">
      <w:r w:rsidRPr="00FA207C">
        <w:t xml:space="preserve">APRA is proposing to clarify in the Prudential Standard that this </w:t>
      </w:r>
      <w:r w:rsidR="00580CF8" w:rsidRPr="00FA207C">
        <w:t>requirement does not apply</w:t>
      </w:r>
      <w:r w:rsidR="00AB3595">
        <w:t xml:space="preserve"> w</w:t>
      </w:r>
      <w:r w:rsidR="00AB3595" w:rsidRPr="00AB3595">
        <w:t xml:space="preserve">here </w:t>
      </w:r>
      <w:r w:rsidR="00AB3595">
        <w:t xml:space="preserve">a </w:t>
      </w:r>
      <w:r w:rsidR="001433FF">
        <w:t>NOHC</w:t>
      </w:r>
      <w:r w:rsidR="00611724">
        <w:t xml:space="preserve"> owns 100 per cent </w:t>
      </w:r>
      <w:r w:rsidR="00DD6DC9">
        <w:t>of</w:t>
      </w:r>
      <w:r w:rsidR="0076631E">
        <w:t>,</w:t>
      </w:r>
      <w:r w:rsidR="00DD6DC9">
        <w:t xml:space="preserve"> </w:t>
      </w:r>
      <w:r w:rsidR="00611724">
        <w:t>and its</w:t>
      </w:r>
      <w:r w:rsidR="00AB3595" w:rsidRPr="00AB3595">
        <w:t xml:space="preserve"> sole direct investment </w:t>
      </w:r>
      <w:r w:rsidR="00AB3595">
        <w:t>is</w:t>
      </w:r>
      <w:r w:rsidR="00AB3595" w:rsidRPr="00AB3595">
        <w:t xml:space="preserve"> </w:t>
      </w:r>
      <w:r w:rsidR="00611724">
        <w:t>in</w:t>
      </w:r>
      <w:r w:rsidR="0076631E">
        <w:t>,</w:t>
      </w:r>
      <w:r w:rsidR="00AB3595" w:rsidRPr="00AB3595">
        <w:t xml:space="preserve"> the ADI subsidiary. </w:t>
      </w:r>
    </w:p>
    <w:p w14:paraId="11681537" w14:textId="0A064B9A" w:rsidR="00FA207C" w:rsidRDefault="00AB3595" w:rsidP="008F42FC">
      <w:r w:rsidRPr="00AB3595">
        <w:t xml:space="preserve">In the event the </w:t>
      </w:r>
      <w:r w:rsidR="00A76560">
        <w:t xml:space="preserve">NOHC </w:t>
      </w:r>
      <w:r w:rsidRPr="00AB3595">
        <w:t xml:space="preserve">holds investments in other entities (whether in the Level 2 group or a wider group), the capital instruments issued by the ADI subsidiary to third parties are subject, at Level 2, to the </w:t>
      </w:r>
      <w:r w:rsidR="00A43C08">
        <w:t xml:space="preserve">minority interest </w:t>
      </w:r>
      <w:r w:rsidRPr="00AB3595">
        <w:t>provisions of t</w:t>
      </w:r>
      <w:r w:rsidR="00A43C08">
        <w:t>he Prudential Standard</w:t>
      </w:r>
      <w:r w:rsidRPr="00AB3595">
        <w:t xml:space="preserve">. This reflects the fact that capital raised by the ADI </w:t>
      </w:r>
      <w:r>
        <w:t xml:space="preserve">subsidiary </w:t>
      </w:r>
      <w:r w:rsidRPr="00AB3595">
        <w:t>in these circumstances is not available for general usage by the group.</w:t>
      </w:r>
    </w:p>
    <w:p w14:paraId="02A0A42C" w14:textId="6FAEAC92" w:rsidR="008F42FC" w:rsidRDefault="008F42FC" w:rsidP="008F42FC">
      <w:r w:rsidRPr="00907F82">
        <w:t>APRA is</w:t>
      </w:r>
      <w:r w:rsidRPr="002A2FBF">
        <w:t xml:space="preserve"> also proposing to clarify in the Prudential Standard that a fully consolidated subsidiary does not have to be a wholly</w:t>
      </w:r>
      <w:r w:rsidR="00E22C04">
        <w:t xml:space="preserve"> </w:t>
      </w:r>
      <w:r w:rsidRPr="002A2FBF">
        <w:t>owned subsidiary.</w:t>
      </w:r>
    </w:p>
    <w:p w14:paraId="78B47213" w14:textId="77777777" w:rsidR="00AF0A7B" w:rsidRDefault="00AF0A7B" w:rsidP="00AF0A7B">
      <w:pPr>
        <w:pStyle w:val="Heading2Numbers"/>
        <w:ind w:left="851"/>
      </w:pPr>
      <w:bookmarkStart w:id="263" w:name="_Toc19122148"/>
      <w:bookmarkStart w:id="264" w:name="_Toc20405520"/>
      <w:r>
        <w:t>Documentation and statement of compliance</w:t>
      </w:r>
      <w:bookmarkEnd w:id="263"/>
      <w:bookmarkEnd w:id="264"/>
    </w:p>
    <w:p w14:paraId="3D893DEF" w14:textId="77777777" w:rsidR="00AF0A7B" w:rsidRDefault="00AF0A7B" w:rsidP="00AF0A7B">
      <w:pPr>
        <w:tabs>
          <w:tab w:val="clear" w:pos="1492"/>
        </w:tabs>
      </w:pPr>
      <w:r>
        <w:t>Under the existing APS 111, ADIs must provide copies of relevant documentation associated with the issue of AT1 Capital and Tier 2 Capital instruments. Where the terms of a capital instrument depart from established precedent, an ADI must consult with APRA on the eligibility of the instrument in advance of the issuance of the instrument, and provide APRA with all the documentation it requires to assess its eligibility.</w:t>
      </w:r>
    </w:p>
    <w:p w14:paraId="5519DD8E" w14:textId="77777777" w:rsidR="00AF0A7B" w:rsidRDefault="00AF0A7B" w:rsidP="00AF0A7B">
      <w:pPr>
        <w:tabs>
          <w:tab w:val="clear" w:pos="1492"/>
        </w:tabs>
      </w:pPr>
      <w:r>
        <w:t xml:space="preserve">APRA is proposing to extend the requirement to provide relevant issue documentation to CET1 Capital instruments. </w:t>
      </w:r>
    </w:p>
    <w:p w14:paraId="5C55615B" w14:textId="77777777" w:rsidR="00AF0A7B" w:rsidRDefault="00AF0A7B" w:rsidP="00AF0A7B">
      <w:pPr>
        <w:tabs>
          <w:tab w:val="clear" w:pos="1492"/>
        </w:tabs>
      </w:pPr>
      <w:r>
        <w:t xml:space="preserve">To further assist APRA’s assessment of all capital instruments, APRA is also proposing to include in the Prudential Standard a requirement for a statement of compliance which is expected to: </w:t>
      </w:r>
    </w:p>
    <w:p w14:paraId="5284D8EB" w14:textId="6F901F15" w:rsidR="00AF0A7B" w:rsidRPr="002A2FBF" w:rsidRDefault="00AF0A7B" w:rsidP="00AF0A7B">
      <w:pPr>
        <w:pStyle w:val="ListBullet"/>
      </w:pPr>
      <w:r w:rsidRPr="00907F82">
        <w:t>address each required capital eligibility criterion set out in the Pruden</w:t>
      </w:r>
      <w:r w:rsidRPr="002A2FBF">
        <w:t xml:space="preserve">tial Standard; </w:t>
      </w:r>
      <w:r w:rsidR="005B4D08">
        <w:t>and</w:t>
      </w:r>
    </w:p>
    <w:p w14:paraId="4D8288AF" w14:textId="2746850A" w:rsidR="00AF0A7B" w:rsidRPr="002A2FBF" w:rsidRDefault="00AF0A7B" w:rsidP="00AF0A7B">
      <w:pPr>
        <w:pStyle w:val="ListBullet"/>
      </w:pPr>
      <w:r w:rsidRPr="002A2FBF">
        <w:t>clearly set out references to supporting documents and opinions</w:t>
      </w:r>
      <w:r w:rsidR="005B4D08">
        <w:t>.</w:t>
      </w:r>
      <w:r w:rsidRPr="002A2FBF">
        <w:t xml:space="preserve"> </w:t>
      </w:r>
    </w:p>
    <w:p w14:paraId="79FC4109" w14:textId="4D88D4AF" w:rsidR="00AF0A7B" w:rsidRDefault="00AF0A7B" w:rsidP="00AF0A7B">
      <w:pPr>
        <w:tabs>
          <w:tab w:val="clear" w:pos="1492"/>
        </w:tabs>
      </w:pPr>
      <w:r>
        <w:t xml:space="preserve">A senior </w:t>
      </w:r>
      <w:r w:rsidR="00386752">
        <w:t>manager</w:t>
      </w:r>
      <w:r>
        <w:t xml:space="preserve"> of the </w:t>
      </w:r>
      <w:r w:rsidR="002A7F72">
        <w:t>ADI</w:t>
      </w:r>
      <w:r>
        <w:t xml:space="preserve"> will be required to sign the statement of compliance, acknowledging responsibility for the assessment.</w:t>
      </w:r>
    </w:p>
    <w:p w14:paraId="5D57E83C" w14:textId="77777777" w:rsidR="00AF0A7B" w:rsidRDefault="00AF0A7B" w:rsidP="00AF0A7B">
      <w:pPr>
        <w:pStyle w:val="Heading2Numbers"/>
        <w:ind w:left="851"/>
      </w:pPr>
      <w:bookmarkStart w:id="265" w:name="_Toc19122149"/>
      <w:bookmarkStart w:id="266" w:name="_Toc20405521"/>
      <w:r>
        <w:t>Disclosure and marketing of capital instruments</w:t>
      </w:r>
      <w:bookmarkEnd w:id="265"/>
      <w:bookmarkEnd w:id="266"/>
    </w:p>
    <w:p w14:paraId="10752A47" w14:textId="34369429" w:rsidR="00AF0A7B" w:rsidRDefault="00AF0A7B" w:rsidP="00AF0A7B">
      <w:pPr>
        <w:tabs>
          <w:tab w:val="clear" w:pos="1492"/>
        </w:tabs>
      </w:pPr>
      <w:r w:rsidRPr="00E468AF">
        <w:t>The existing APS 111</w:t>
      </w:r>
      <w:r>
        <w:t xml:space="preserve"> does not provide for a</w:t>
      </w:r>
      <w:r w:rsidRPr="00E468AF">
        <w:t xml:space="preserve"> consistent disclosure regime across capital instruments</w:t>
      </w:r>
      <w:r>
        <w:t>.</w:t>
      </w:r>
    </w:p>
    <w:p w14:paraId="79E3AF85" w14:textId="77777777" w:rsidR="00AF0A7B" w:rsidRDefault="00AF0A7B" w:rsidP="00AF0A7B">
      <w:pPr>
        <w:tabs>
          <w:tab w:val="clear" w:pos="1492"/>
        </w:tabs>
      </w:pPr>
      <w:r>
        <w:t xml:space="preserve">APRA is proposing to apply disclosure requirements in the Prudential Standard that are </w:t>
      </w:r>
      <w:r w:rsidRPr="007225C6">
        <w:t>common across instruments but tailored to each form of capital instrument as appropriate.</w:t>
      </w:r>
      <w:r>
        <w:t xml:space="preserve"> A consistent disclosure regime also makes</w:t>
      </w:r>
      <w:r w:rsidRPr="007225C6">
        <w:t xml:space="preserve"> clear that</w:t>
      </w:r>
      <w:r>
        <w:t>,</w:t>
      </w:r>
      <w:r w:rsidRPr="007225C6">
        <w:t xml:space="preserve"> for the large part</w:t>
      </w:r>
      <w:r>
        <w:t>,</w:t>
      </w:r>
      <w:r w:rsidRPr="007225C6">
        <w:t xml:space="preserve"> </w:t>
      </w:r>
      <w:r>
        <w:t>AT1 Capital instruments, Tier 2 Capital instruments</w:t>
      </w:r>
      <w:r w:rsidRPr="007225C6">
        <w:t xml:space="preserve"> and MEIs are subject to similar disclosure regimes.</w:t>
      </w:r>
    </w:p>
    <w:p w14:paraId="2ED17754" w14:textId="77777777" w:rsidR="00AF0A7B" w:rsidRDefault="00AF0A7B" w:rsidP="00AF0A7B">
      <w:pPr>
        <w:tabs>
          <w:tab w:val="clear" w:pos="1492"/>
        </w:tabs>
      </w:pPr>
      <w:r>
        <w:t xml:space="preserve">In addition, APRA is proposing to apply </w:t>
      </w:r>
      <w:r w:rsidRPr="00E136AA">
        <w:t>a consistent reference to marketing across all forms of capital instruments</w:t>
      </w:r>
      <w:r>
        <w:t>, including ordinary shares</w:t>
      </w:r>
      <w:r w:rsidRPr="00E136AA">
        <w:t xml:space="preserve">. </w:t>
      </w:r>
      <w:r w:rsidRPr="00011394">
        <w:t>Where documentation, marketing of an instrument, or any ongoing dealings with investors in the instrument, suggest the instrument has attributes not consistent with the eligibility requirements</w:t>
      </w:r>
      <w:r>
        <w:t xml:space="preserve"> in the Prudential Standard</w:t>
      </w:r>
      <w:r w:rsidRPr="00011394">
        <w:t xml:space="preserve">, the instrument will be ineligible to be included in </w:t>
      </w:r>
      <w:r>
        <w:t xml:space="preserve">Regulatory </w:t>
      </w:r>
      <w:r w:rsidRPr="00011394">
        <w:t>Capital</w:t>
      </w:r>
      <w:r>
        <w:t>.</w:t>
      </w:r>
    </w:p>
    <w:p w14:paraId="4D95266F" w14:textId="77777777" w:rsidR="00AF0A7B" w:rsidRPr="00D0610B" w:rsidRDefault="00AF0A7B" w:rsidP="00D0610B">
      <w:pPr>
        <w:pStyle w:val="Heading2Numbers"/>
        <w:ind w:left="851"/>
      </w:pPr>
      <w:bookmarkStart w:id="267" w:name="_Toc19122150"/>
      <w:bookmarkStart w:id="268" w:name="_Toc20405522"/>
      <w:r w:rsidRPr="00D0610B">
        <w:t>Notification to APRA</w:t>
      </w:r>
      <w:bookmarkEnd w:id="267"/>
      <w:bookmarkEnd w:id="268"/>
    </w:p>
    <w:p w14:paraId="6DF04045" w14:textId="77777777" w:rsidR="00AF0A7B" w:rsidRPr="002A2FBF" w:rsidRDefault="00AF0A7B" w:rsidP="00AF0A7B">
      <w:r w:rsidRPr="00907F82">
        <w:t xml:space="preserve">The existing APS 111 requires an ADI to notify APRA immediately, when its Level 1 or Level 2 </w:t>
      </w:r>
      <w:r w:rsidRPr="002A2FBF">
        <w:t>CET1 Capital ratio falls to or below 5.125 per cent of total risk weighted assets.</w:t>
      </w:r>
    </w:p>
    <w:p w14:paraId="34DE9000" w14:textId="77777777" w:rsidR="00AF0A7B" w:rsidRPr="002A2FBF" w:rsidRDefault="00AF0A7B" w:rsidP="00AF0A7B">
      <w:pPr>
        <w:keepNext/>
        <w:tabs>
          <w:tab w:val="clear" w:pos="1492"/>
        </w:tabs>
        <w:jc w:val="both"/>
        <w:rPr>
          <w:rFonts w:eastAsia="Times New Roman"/>
        </w:rPr>
      </w:pPr>
      <w:r w:rsidRPr="002A2FBF">
        <w:t>APRA is proposing to</w:t>
      </w:r>
      <w:r>
        <w:t xml:space="preserve"> extend this requirement</w:t>
      </w:r>
      <w:r w:rsidRPr="00D7105E">
        <w:t xml:space="preserve"> </w:t>
      </w:r>
      <w:r>
        <w:t>so that an</w:t>
      </w:r>
      <w:r w:rsidRPr="00907F82">
        <w:t xml:space="preserve"> ADI </w:t>
      </w:r>
      <w:r>
        <w:t xml:space="preserve">is required </w:t>
      </w:r>
      <w:r w:rsidRPr="00907F82">
        <w:t xml:space="preserve">to notify APRA </w:t>
      </w:r>
      <w:r w:rsidRPr="00D7105E">
        <w:t xml:space="preserve">if </w:t>
      </w:r>
      <w:r w:rsidRPr="00C81F2B">
        <w:t>it</w:t>
      </w:r>
      <w:r w:rsidRPr="005B017D">
        <w:t xml:space="preserve"> </w:t>
      </w:r>
      <w:r w:rsidRPr="00CE77F0">
        <w:t>anticipates</w:t>
      </w:r>
      <w:r w:rsidRPr="00CE77F0" w:rsidDel="00D7105E">
        <w:t xml:space="preserve"> </w:t>
      </w:r>
      <w:r w:rsidRPr="00CE77F0">
        <w:t>the</w:t>
      </w:r>
      <w:r>
        <w:t xml:space="preserve"> </w:t>
      </w:r>
      <w:r w:rsidRPr="009606D7">
        <w:t>CET1 Capital ratio fall</w:t>
      </w:r>
      <w:r>
        <w:t xml:space="preserve">ing below </w:t>
      </w:r>
      <w:r w:rsidRPr="009606D7">
        <w:t>5.125 per cent of total risk weighted assets</w:t>
      </w:r>
      <w:r w:rsidRPr="00907F82">
        <w:t>.</w:t>
      </w:r>
      <w:r w:rsidRPr="002A2FBF">
        <w:t xml:space="preserve"> This also applies in the case of a </w:t>
      </w:r>
      <w:r w:rsidRPr="002A2FBF">
        <w:rPr>
          <w:rFonts w:eastAsia="Times New Roman"/>
        </w:rPr>
        <w:t>fully consolidated subsidiary in the Level 2 group wh</w:t>
      </w:r>
      <w:r>
        <w:rPr>
          <w:rFonts w:eastAsia="Times New Roman"/>
        </w:rPr>
        <w:t>ich</w:t>
      </w:r>
      <w:r w:rsidRPr="002A2FBF">
        <w:rPr>
          <w:rFonts w:eastAsia="Times New Roman"/>
        </w:rPr>
        <w:t xml:space="preserve"> may be exposed to the occurrence of a non-viability event imposed on it by a host regulator or by statute; or a foreign bank owned locally-incorporated ADI subsidiary subject to a non-viability event imposed by a home regulator or statute upon its foreign bank parent or group. </w:t>
      </w:r>
    </w:p>
    <w:p w14:paraId="14BDDC40" w14:textId="6BE5004D" w:rsidR="00644E84" w:rsidRPr="00907F82" w:rsidRDefault="00D979B3" w:rsidP="003E042A">
      <w:pPr>
        <w:pStyle w:val="Heading2Numbers"/>
        <w:ind w:left="851"/>
      </w:pPr>
      <w:bookmarkStart w:id="269" w:name="_Toc17103808"/>
      <w:bookmarkStart w:id="270" w:name="_Toc17105604"/>
      <w:bookmarkStart w:id="271" w:name="_Toc17276169"/>
      <w:bookmarkStart w:id="272" w:name="_Toc17281157"/>
      <w:bookmarkStart w:id="273" w:name="_Toc17281508"/>
      <w:bookmarkStart w:id="274" w:name="_Toc17282435"/>
      <w:bookmarkStart w:id="275" w:name="_Toc17282781"/>
      <w:bookmarkStart w:id="276" w:name="_Toc17283322"/>
      <w:bookmarkStart w:id="277" w:name="_Toc17289744"/>
      <w:bookmarkStart w:id="278" w:name="_Toc17295323"/>
      <w:bookmarkStart w:id="279" w:name="_Toc17375791"/>
      <w:bookmarkStart w:id="280" w:name="_Toc17376644"/>
      <w:bookmarkStart w:id="281" w:name="_Toc17450835"/>
      <w:bookmarkStart w:id="282" w:name="_Toc17468090"/>
      <w:bookmarkStart w:id="283" w:name="_Toc17811669"/>
      <w:bookmarkStart w:id="284" w:name="_Toc19122151"/>
      <w:bookmarkStart w:id="285" w:name="_Toc20405523"/>
      <w:bookmarkStart w:id="286" w:name="_Toc16773768"/>
      <w:bookmarkStart w:id="287" w:name="_Toc17097521"/>
      <w:r>
        <w:t>Other clarifications to APS 111</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bookmarkEnd w:id="220"/>
    <w:bookmarkEnd w:id="221"/>
    <w:bookmarkEnd w:id="222"/>
    <w:bookmarkEnd w:id="286"/>
    <w:bookmarkEnd w:id="287"/>
    <w:p w14:paraId="12C9CF14" w14:textId="036F9F98" w:rsidR="000E48D0" w:rsidRDefault="00D979B3" w:rsidP="00D979B3">
      <w:pPr>
        <w:tabs>
          <w:tab w:val="clear" w:pos="1492"/>
        </w:tabs>
      </w:pPr>
      <w:r w:rsidRPr="00907F82">
        <w:rPr>
          <w:b/>
        </w:rPr>
        <w:t>Table 1</w:t>
      </w:r>
      <w:r>
        <w:t xml:space="preserve"> </w:t>
      </w:r>
      <w:r w:rsidR="000E48D0">
        <w:t xml:space="preserve">sets out other </w:t>
      </w:r>
      <w:r>
        <w:t xml:space="preserve">minor </w:t>
      </w:r>
      <w:r w:rsidR="000E48D0">
        <w:t>clarif</w:t>
      </w:r>
      <w:r w:rsidR="00FA5AD4">
        <w:t>i</w:t>
      </w:r>
      <w:r w:rsidR="000E48D0">
        <w:t>cations to APS 111</w:t>
      </w:r>
      <w:r w:rsidR="00FA5AD4" w:rsidRPr="00FA5AD4">
        <w:t xml:space="preserve">. </w:t>
      </w:r>
      <w:r w:rsidR="00A92C3B" w:rsidRPr="00FA5AD4">
        <w:t>These items, for the most part, do not seek to implement any change in policy</w:t>
      </w:r>
      <w:r w:rsidR="00A92C3B">
        <w:t xml:space="preserve"> </w:t>
      </w:r>
      <w:r w:rsidR="00A92C3B" w:rsidRPr="00FA5AD4">
        <w:t xml:space="preserve">but rather seek to clarify or make certain existing </w:t>
      </w:r>
      <w:r w:rsidR="00A92C3B">
        <w:t>requirements in the Prudential Standard.</w:t>
      </w:r>
    </w:p>
    <w:p w14:paraId="280D8ECF" w14:textId="54448059" w:rsidR="00D979B3" w:rsidRPr="00907F82" w:rsidRDefault="00D979B3" w:rsidP="00D979B3">
      <w:pPr>
        <w:tabs>
          <w:tab w:val="clear" w:pos="1492"/>
        </w:tabs>
        <w:rPr>
          <w:b/>
        </w:rPr>
      </w:pPr>
      <w:r w:rsidRPr="00907F82">
        <w:rPr>
          <w:b/>
        </w:rPr>
        <w:t xml:space="preserve">Table 1: Other </w:t>
      </w:r>
      <w:r w:rsidR="0046026D" w:rsidRPr="0046026D">
        <w:rPr>
          <w:b/>
        </w:rPr>
        <w:t>clarifications</w:t>
      </w:r>
      <w:r w:rsidRPr="00907F82">
        <w:rPr>
          <w:b/>
        </w:rPr>
        <w:t xml:space="preserve"> to APS 111 </w:t>
      </w:r>
    </w:p>
    <w:tbl>
      <w:tblPr>
        <w:tblStyle w:val="TableOption2"/>
        <w:tblW w:w="5000" w:type="pct"/>
        <w:tblLook w:val="0480" w:firstRow="0" w:lastRow="0" w:firstColumn="1" w:lastColumn="0" w:noHBand="0" w:noVBand="1"/>
      </w:tblPr>
      <w:tblGrid>
        <w:gridCol w:w="2324"/>
        <w:gridCol w:w="3351"/>
        <w:gridCol w:w="3351"/>
      </w:tblGrid>
      <w:tr w:rsidR="00D202A2" w:rsidRPr="000B5CA1" w14:paraId="0D88A3D5" w14:textId="77777777" w:rsidTr="001672DD">
        <w:trPr>
          <w:cnfStyle w:val="000000010000" w:firstRow="0" w:lastRow="0" w:firstColumn="0" w:lastColumn="0" w:oddVBand="0" w:evenVBand="0" w:oddHBand="0" w:evenHBand="1"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87" w:type="pct"/>
            <w:vAlign w:val="bottom"/>
          </w:tcPr>
          <w:p w14:paraId="12674BDC" w14:textId="77777777" w:rsidR="00D202A2" w:rsidRPr="000B5CA1" w:rsidRDefault="00D202A2" w:rsidP="001672DD">
            <w:pPr>
              <w:pStyle w:val="TableHeading"/>
              <w:keepNext w:val="0"/>
              <w:rPr>
                <w:color w:val="FFFFFF" w:themeColor="background1"/>
              </w:rPr>
            </w:pPr>
            <w:r w:rsidRPr="000B5CA1">
              <w:rPr>
                <w:color w:val="FFFFFF" w:themeColor="background1"/>
              </w:rPr>
              <w:t>Issue</w:t>
            </w:r>
          </w:p>
        </w:tc>
        <w:tc>
          <w:tcPr>
            <w:tcW w:w="1856" w:type="pct"/>
            <w:shd w:val="clear" w:color="auto" w:fill="012169" w:themeFill="accent1"/>
            <w:vAlign w:val="bottom"/>
          </w:tcPr>
          <w:p w14:paraId="1FD5E036" w14:textId="77777777" w:rsidR="00D202A2" w:rsidRPr="000B5CA1" w:rsidRDefault="00D202A2" w:rsidP="001672DD">
            <w:pPr>
              <w:pStyle w:val="TableHeading"/>
              <w:keepNext w:val="0"/>
              <w:cnfStyle w:val="000000010000" w:firstRow="0" w:lastRow="0" w:firstColumn="0" w:lastColumn="0" w:oddVBand="0" w:evenVBand="0" w:oddHBand="0" w:evenHBand="1" w:firstRowFirstColumn="0" w:firstRowLastColumn="0" w:lastRowFirstColumn="0" w:lastRowLastColumn="0"/>
              <w:rPr>
                <w:color w:val="FFFFFF" w:themeColor="background1"/>
              </w:rPr>
            </w:pPr>
            <w:r w:rsidRPr="000B5CA1">
              <w:rPr>
                <w:color w:val="FFFFFF" w:themeColor="background1"/>
              </w:rPr>
              <w:t>Existing APS 111</w:t>
            </w:r>
          </w:p>
        </w:tc>
        <w:tc>
          <w:tcPr>
            <w:tcW w:w="1856" w:type="pct"/>
            <w:shd w:val="clear" w:color="auto" w:fill="012169" w:themeFill="accent1"/>
            <w:vAlign w:val="bottom"/>
          </w:tcPr>
          <w:p w14:paraId="6B072E50" w14:textId="06BEE685" w:rsidR="00D202A2" w:rsidRPr="000B5CA1" w:rsidRDefault="00D202A2" w:rsidP="001672DD">
            <w:pPr>
              <w:pStyle w:val="TableHeading"/>
              <w:keepNext w:val="0"/>
              <w:cnfStyle w:val="000000010000" w:firstRow="0" w:lastRow="0" w:firstColumn="0" w:lastColumn="0" w:oddVBand="0" w:evenVBand="0" w:oddHBand="0" w:evenHBand="1" w:firstRowFirstColumn="0" w:firstRowLastColumn="0" w:lastRowFirstColumn="0" w:lastRowLastColumn="0"/>
              <w:rPr>
                <w:color w:val="FFFFFF" w:themeColor="background1"/>
              </w:rPr>
            </w:pPr>
            <w:r w:rsidRPr="000B5CA1">
              <w:rPr>
                <w:color w:val="FFFFFF" w:themeColor="background1"/>
              </w:rPr>
              <w:t xml:space="preserve">Proposed </w:t>
            </w:r>
            <w:r>
              <w:rPr>
                <w:color w:val="FFFFFF" w:themeColor="background1"/>
              </w:rPr>
              <w:t>clarification to APS 111</w:t>
            </w:r>
          </w:p>
        </w:tc>
      </w:tr>
      <w:tr w:rsidR="00D202A2" w14:paraId="456E0767" w14:textId="77777777" w:rsidTr="001672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7" w:type="pct"/>
          </w:tcPr>
          <w:p w14:paraId="4E01E417" w14:textId="77777777" w:rsidR="00D202A2" w:rsidRDefault="00D202A2" w:rsidP="001672DD">
            <w:pPr>
              <w:pStyle w:val="TableHeading"/>
              <w:keepNext w:val="0"/>
              <w:spacing w:before="60" w:after="60"/>
            </w:pPr>
            <w:r>
              <w:t>Fee income</w:t>
            </w:r>
          </w:p>
        </w:tc>
        <w:tc>
          <w:tcPr>
            <w:tcW w:w="1856" w:type="pct"/>
            <w:shd w:val="clear" w:color="auto" w:fill="F2F2F2" w:themeFill="background1" w:themeFillShade="F2"/>
          </w:tcPr>
          <w:p w14:paraId="39982BA9" w14:textId="3A38D478" w:rsidR="00D202A2" w:rsidRDefault="00D202A2" w:rsidP="001672DD">
            <w:pPr>
              <w:spacing w:before="100" w:beforeAutospacing="1"/>
              <w:cnfStyle w:val="000000100000" w:firstRow="0" w:lastRow="0" w:firstColumn="0" w:lastColumn="0" w:oddVBand="0" w:evenVBand="0" w:oddHBand="1" w:evenHBand="0" w:firstRowFirstColumn="0" w:firstRowLastColumn="0" w:lastRowFirstColumn="0" w:lastRowLastColumn="0"/>
            </w:pPr>
            <w:r w:rsidRPr="00DF2E3F">
              <w:t>Current year earnings include the full value of upfront fee income</w:t>
            </w:r>
            <w:r>
              <w:t>, subject to certain criteria.</w:t>
            </w:r>
          </w:p>
        </w:tc>
        <w:tc>
          <w:tcPr>
            <w:tcW w:w="1856" w:type="pct"/>
            <w:shd w:val="clear" w:color="auto" w:fill="F2F2F2" w:themeFill="background1" w:themeFillShade="F2"/>
          </w:tcPr>
          <w:p w14:paraId="1DCFBC0D" w14:textId="5B70B8C1" w:rsidR="00D202A2" w:rsidRDefault="00D202A2" w:rsidP="00777A6B">
            <w:pPr>
              <w:cnfStyle w:val="000000100000" w:firstRow="0" w:lastRow="0" w:firstColumn="0" w:lastColumn="0" w:oddVBand="0" w:evenVBand="0" w:oddHBand="1" w:evenHBand="0" w:firstRowFirstColumn="0" w:firstRowLastColumn="0" w:lastRowFirstColumn="0" w:lastRowLastColumn="0"/>
            </w:pPr>
            <w:r>
              <w:t xml:space="preserve">Reference to upfront fee income has been </w:t>
            </w:r>
            <w:r w:rsidR="00EC6B9D">
              <w:t xml:space="preserve">removed. </w:t>
            </w:r>
            <w:r w:rsidR="00C92343">
              <w:t>This is to make clear that a</w:t>
            </w:r>
            <w:r>
              <w:t>ll forms of fee income, whether received or future income, may be included in current year and retained earnings, subject to certain criteria.</w:t>
            </w:r>
          </w:p>
        </w:tc>
      </w:tr>
      <w:tr w:rsidR="00D202A2" w14:paraId="0737A4C4" w14:textId="77777777" w:rsidTr="001672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7" w:type="pct"/>
          </w:tcPr>
          <w:p w14:paraId="291EDB9A" w14:textId="77777777" w:rsidR="00D202A2" w:rsidRDefault="00D202A2" w:rsidP="001672DD">
            <w:pPr>
              <w:pStyle w:val="TableHeading"/>
              <w:keepNext w:val="0"/>
              <w:spacing w:before="60" w:after="60"/>
            </w:pPr>
            <w:r>
              <w:t xml:space="preserve">Accumulated other comprehensive income and other disclosed reserves </w:t>
            </w:r>
          </w:p>
        </w:tc>
        <w:tc>
          <w:tcPr>
            <w:tcW w:w="1856" w:type="pct"/>
            <w:shd w:val="clear" w:color="auto" w:fill="F2F2F2" w:themeFill="background1" w:themeFillShade="F2"/>
          </w:tcPr>
          <w:p w14:paraId="1FDB6CFA" w14:textId="77777777" w:rsidR="00D202A2" w:rsidRPr="00DF2E3F" w:rsidRDefault="00D202A2" w:rsidP="001672DD">
            <w:pPr>
              <w:spacing w:before="100" w:beforeAutospacing="1"/>
              <w:cnfStyle w:val="000000010000" w:firstRow="0" w:lastRow="0" w:firstColumn="0" w:lastColumn="0" w:oddVBand="0" w:evenVBand="0" w:oddHBand="0" w:evenHBand="1" w:firstRowFirstColumn="0" w:firstRowLastColumn="0" w:lastRowFirstColumn="0" w:lastRowLastColumn="0"/>
            </w:pPr>
            <w:r>
              <w:t>R</w:t>
            </w:r>
            <w:r w:rsidRPr="001B7B4D">
              <w:t>eserves from equity-settled share-based payments granted to employees as part of their remuneration package</w:t>
            </w:r>
            <w:r>
              <w:t xml:space="preserve"> may be included in a</w:t>
            </w:r>
            <w:r w:rsidRPr="0008072F">
              <w:t>ccumulated other comprehensive income and other disclosed reserves</w:t>
            </w:r>
            <w:r>
              <w:t>.</w:t>
            </w:r>
          </w:p>
        </w:tc>
        <w:tc>
          <w:tcPr>
            <w:tcW w:w="1856" w:type="pct"/>
            <w:shd w:val="clear" w:color="auto" w:fill="F2F2F2" w:themeFill="background1" w:themeFillShade="F2"/>
          </w:tcPr>
          <w:p w14:paraId="3FF077FB" w14:textId="77777777" w:rsidR="00D202A2" w:rsidRDefault="00D202A2" w:rsidP="001672DD">
            <w:pPr>
              <w:cnfStyle w:val="000000010000" w:firstRow="0" w:lastRow="0" w:firstColumn="0" w:lastColumn="0" w:oddVBand="0" w:evenVBand="0" w:oddHBand="0" w:evenHBand="1" w:firstRowFirstColumn="0" w:firstRowLastColumn="0" w:lastRowFirstColumn="0" w:lastRowLastColumn="0"/>
            </w:pPr>
            <w:r>
              <w:t>T</w:t>
            </w:r>
            <w:r w:rsidRPr="0008072F">
              <w:t xml:space="preserve">he amount of </w:t>
            </w:r>
            <w:r>
              <w:t>the</w:t>
            </w:r>
            <w:r w:rsidRPr="0008072F">
              <w:t xml:space="preserve"> reserve</w:t>
            </w:r>
            <w:r>
              <w:t xml:space="preserve"> must be </w:t>
            </w:r>
            <w:r w:rsidRPr="0008072F">
              <w:t>matched by an equivalent charge to profit or loss of the ADI for expensing the future issue of, or funding of the acquisition of ordinary shares by, employees.</w:t>
            </w:r>
          </w:p>
        </w:tc>
      </w:tr>
      <w:tr w:rsidR="00D202A2" w14:paraId="2BF82749" w14:textId="77777777" w:rsidTr="001672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7" w:type="pct"/>
          </w:tcPr>
          <w:p w14:paraId="7CB898BD" w14:textId="77777777" w:rsidR="00D202A2" w:rsidRPr="00145032" w:rsidRDefault="00D202A2" w:rsidP="001672DD">
            <w:pPr>
              <w:pStyle w:val="TableHeading"/>
              <w:keepNext w:val="0"/>
              <w:spacing w:before="60" w:after="60"/>
            </w:pPr>
            <w:r>
              <w:t>Deferred tax assets and deferred tax liabilities</w:t>
            </w:r>
          </w:p>
        </w:tc>
        <w:tc>
          <w:tcPr>
            <w:tcW w:w="1856" w:type="pct"/>
            <w:shd w:val="clear" w:color="auto" w:fill="F2F2F2" w:themeFill="background1" w:themeFillShade="F2"/>
          </w:tcPr>
          <w:p w14:paraId="50C88AF0" w14:textId="77777777" w:rsidR="00D202A2" w:rsidRDefault="00D202A2" w:rsidP="001672DD">
            <w:pPr>
              <w:spacing w:before="100" w:beforeAutospacing="1"/>
              <w:cnfStyle w:val="000000100000" w:firstRow="0" w:lastRow="0" w:firstColumn="0" w:lastColumn="0" w:oddVBand="0" w:evenVBand="0" w:oddHBand="1" w:evenHBand="0" w:firstRowFirstColumn="0" w:firstRowLastColumn="0" w:lastRowFirstColumn="0" w:lastRowLastColumn="0"/>
            </w:pPr>
            <w:r>
              <w:t xml:space="preserve">An </w:t>
            </w:r>
            <w:r w:rsidRPr="00C230DE">
              <w:t xml:space="preserve">ADI </w:t>
            </w:r>
            <w:r>
              <w:t>must</w:t>
            </w:r>
            <w:r w:rsidRPr="00C230DE">
              <w:t xml:space="preserve"> deduct from its CET1 Capital the net amount of its deferred tax assets less deferred tax liabilities.</w:t>
            </w:r>
          </w:p>
        </w:tc>
        <w:tc>
          <w:tcPr>
            <w:tcW w:w="1856" w:type="pct"/>
            <w:shd w:val="clear" w:color="auto" w:fill="F2F2F2" w:themeFill="background1" w:themeFillShade="F2"/>
          </w:tcPr>
          <w:p w14:paraId="3886F1D4" w14:textId="74038EB3" w:rsidR="00D202A2" w:rsidRDefault="00F8367D" w:rsidP="001672DD">
            <w:pPr>
              <w:cnfStyle w:val="000000100000" w:firstRow="0" w:lastRow="0" w:firstColumn="0" w:lastColumn="0" w:oddVBand="0" w:evenVBand="0" w:oddHBand="1" w:evenHBand="0" w:firstRowFirstColumn="0" w:firstRowLastColumn="0" w:lastRowFirstColumn="0" w:lastRowLastColumn="0"/>
            </w:pPr>
            <w:r>
              <w:t>For the purposes of this calculation, d</w:t>
            </w:r>
            <w:r w:rsidR="00D202A2" w:rsidRPr="00C230DE">
              <w:t xml:space="preserve">eferred tax liabilities </w:t>
            </w:r>
            <w:r>
              <w:t>and</w:t>
            </w:r>
            <w:r w:rsidR="00D202A2" w:rsidRPr="00C230DE">
              <w:t xml:space="preserve"> deferred tax assets must exclude amounts that have been netted </w:t>
            </w:r>
            <w:r>
              <w:t>in calculating</w:t>
            </w:r>
            <w:r w:rsidR="00D202A2" w:rsidRPr="00C230DE">
              <w:t xml:space="preserve"> goodwill and intangible assets and defined benefit superannuation assets.</w:t>
            </w:r>
          </w:p>
        </w:tc>
      </w:tr>
      <w:tr w:rsidR="00D202A2" w14:paraId="3C21E7FC" w14:textId="77777777" w:rsidTr="001672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7" w:type="pct"/>
          </w:tcPr>
          <w:p w14:paraId="6A07EA1E" w14:textId="77777777" w:rsidR="00D202A2" w:rsidRDefault="00D202A2" w:rsidP="001672DD">
            <w:pPr>
              <w:pStyle w:val="TableHeading"/>
              <w:keepNext w:val="0"/>
              <w:spacing w:before="60" w:after="60"/>
            </w:pPr>
            <w:r>
              <w:t>Gains and losses arising from changes in own creditworthiness</w:t>
            </w:r>
          </w:p>
        </w:tc>
        <w:tc>
          <w:tcPr>
            <w:tcW w:w="1856" w:type="pct"/>
            <w:shd w:val="clear" w:color="auto" w:fill="F2F2F2" w:themeFill="background1" w:themeFillShade="F2"/>
          </w:tcPr>
          <w:p w14:paraId="4CAD6F7E" w14:textId="3084F2EB" w:rsidR="00D202A2" w:rsidRDefault="00D202A2" w:rsidP="001672DD">
            <w:pPr>
              <w:spacing w:before="100" w:beforeAutospacing="1"/>
              <w:cnfStyle w:val="000000010000" w:firstRow="0" w:lastRow="0" w:firstColumn="0" w:lastColumn="0" w:oddVBand="0" w:evenVBand="0" w:oddHBand="0" w:evenHBand="1" w:firstRowFirstColumn="0" w:firstRowLastColumn="0" w:lastRowFirstColumn="0" w:lastRowLastColumn="0"/>
            </w:pPr>
            <w:r>
              <w:t xml:space="preserve">An </w:t>
            </w:r>
            <w:r w:rsidRPr="00C230DE">
              <w:t>ADI</w:t>
            </w:r>
            <w:r>
              <w:t xml:space="preserve"> must</w:t>
            </w:r>
            <w:r w:rsidRPr="00C230DE">
              <w:t xml:space="preserve"> eliminate </w:t>
            </w:r>
            <w:r>
              <w:t>from CET</w:t>
            </w:r>
            <w:r w:rsidR="000E4753">
              <w:t>1</w:t>
            </w:r>
            <w:r>
              <w:t xml:space="preserve"> Capital </w:t>
            </w:r>
            <w:r w:rsidRPr="00C230DE">
              <w:t>all unrealised gains and losses that have resulted from changes in the fair value of liabilities (including capital instruments), due to changes in the ADI’s own creditworthiness.</w:t>
            </w:r>
          </w:p>
        </w:tc>
        <w:tc>
          <w:tcPr>
            <w:tcW w:w="1856" w:type="pct"/>
            <w:shd w:val="clear" w:color="auto" w:fill="F2F2F2" w:themeFill="background1" w:themeFillShade="F2"/>
          </w:tcPr>
          <w:p w14:paraId="349B1282" w14:textId="472452D3" w:rsidR="00D202A2" w:rsidRDefault="00D202A2" w:rsidP="001672DD">
            <w:pPr>
              <w:cnfStyle w:val="000000010000" w:firstRow="0" w:lastRow="0" w:firstColumn="0" w:lastColumn="0" w:oddVBand="0" w:evenVBand="0" w:oddHBand="0" w:evenHBand="1" w:firstRowFirstColumn="0" w:firstRowLastColumn="0" w:lastRowFirstColumn="0" w:lastRowLastColumn="0"/>
            </w:pPr>
            <w:r>
              <w:t>A</w:t>
            </w:r>
            <w:r w:rsidRPr="00C230DE">
              <w:t xml:space="preserve">ll unrealised gains and losses in this regard include any </w:t>
            </w:r>
            <w:r w:rsidR="00F8367D">
              <w:t xml:space="preserve">adjustments to the value of liabilities and any </w:t>
            </w:r>
            <w:r w:rsidRPr="00C230DE">
              <w:t>associated embedded derivatives</w:t>
            </w:r>
            <w:r w:rsidR="00F8367D">
              <w:t>, where the adjustment is related to changes in the ADI’s own creditworthiness</w:t>
            </w:r>
            <w:r w:rsidRPr="00C230DE">
              <w:t>.</w:t>
            </w:r>
          </w:p>
        </w:tc>
      </w:tr>
      <w:tr w:rsidR="00D202A2" w14:paraId="701F5F7C" w14:textId="77777777" w:rsidTr="001672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7" w:type="pct"/>
          </w:tcPr>
          <w:p w14:paraId="7BCD7174" w14:textId="77777777" w:rsidR="00D202A2" w:rsidRDefault="00D202A2" w:rsidP="001672DD">
            <w:pPr>
              <w:pStyle w:val="TableHeading"/>
              <w:keepNext w:val="0"/>
              <w:spacing w:before="60" w:after="60"/>
            </w:pPr>
            <w:r>
              <w:t>Paid-up</w:t>
            </w:r>
          </w:p>
        </w:tc>
        <w:tc>
          <w:tcPr>
            <w:tcW w:w="1856" w:type="pct"/>
            <w:shd w:val="clear" w:color="auto" w:fill="F2F2F2" w:themeFill="background1" w:themeFillShade="F2"/>
          </w:tcPr>
          <w:p w14:paraId="13867737" w14:textId="77777777" w:rsidR="00D202A2" w:rsidRDefault="00D202A2" w:rsidP="001672DD">
            <w:pPr>
              <w:spacing w:before="100" w:beforeAutospacing="1"/>
              <w:cnfStyle w:val="000000100000" w:firstRow="0" w:lastRow="0" w:firstColumn="0" w:lastColumn="0" w:oddVBand="0" w:evenVBand="0" w:oddHBand="1" w:evenHBand="0" w:firstRowFirstColumn="0" w:firstRowLastColumn="0" w:lastRowFirstColumn="0" w:lastRowLastColumn="0"/>
            </w:pPr>
            <w:r>
              <w:t>Capital i</w:t>
            </w:r>
            <w:r w:rsidRPr="00F976F6">
              <w:t>nstrumen</w:t>
            </w:r>
            <w:r>
              <w:t>ts</w:t>
            </w:r>
            <w:r w:rsidRPr="00F976F6">
              <w:t xml:space="preserve"> must be paid-up and the amount must be irrevocably received by the issuer</w:t>
            </w:r>
            <w:r>
              <w:t>.</w:t>
            </w:r>
          </w:p>
        </w:tc>
        <w:tc>
          <w:tcPr>
            <w:tcW w:w="1856" w:type="pct"/>
            <w:shd w:val="clear" w:color="auto" w:fill="F2F2F2" w:themeFill="background1" w:themeFillShade="F2"/>
          </w:tcPr>
          <w:p w14:paraId="28982710" w14:textId="77777777" w:rsidR="00D202A2" w:rsidRDefault="00D202A2" w:rsidP="001672DD">
            <w:pPr>
              <w:cnfStyle w:val="000000100000" w:firstRow="0" w:lastRow="0" w:firstColumn="0" w:lastColumn="0" w:oddVBand="0" w:evenVBand="0" w:oddHBand="1" w:evenHBand="0" w:firstRowFirstColumn="0" w:firstRowLastColumn="0" w:lastRowFirstColumn="0" w:lastRowLastColumn="0"/>
            </w:pPr>
            <w:r>
              <w:t xml:space="preserve">Paid up means the </w:t>
            </w:r>
            <w:r w:rsidRPr="00F976F6">
              <w:t>capital/payment has been received with finality by the issuer, is reliably valued, fully under the issuer’s control and does not, directly or indirectly, expose the issuer to the credit risk of an investor.</w:t>
            </w:r>
          </w:p>
        </w:tc>
      </w:tr>
      <w:tr w:rsidR="00D202A2" w14:paraId="30EF81D2" w14:textId="77777777" w:rsidTr="001672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7" w:type="pct"/>
          </w:tcPr>
          <w:p w14:paraId="7E9F0D9B" w14:textId="77777777" w:rsidR="00D202A2" w:rsidRPr="00145032" w:rsidRDefault="00D202A2" w:rsidP="001672DD">
            <w:pPr>
              <w:pStyle w:val="TableHeading"/>
              <w:keepNext w:val="0"/>
              <w:spacing w:before="60" w:after="60"/>
            </w:pPr>
            <w:r>
              <w:t>Ordinary shares</w:t>
            </w:r>
          </w:p>
        </w:tc>
        <w:tc>
          <w:tcPr>
            <w:tcW w:w="1856" w:type="pct"/>
            <w:shd w:val="clear" w:color="auto" w:fill="F2F2F2" w:themeFill="background1" w:themeFillShade="F2"/>
          </w:tcPr>
          <w:p w14:paraId="36D9F35D" w14:textId="644F8CFF" w:rsidR="00D202A2" w:rsidRDefault="006A345B" w:rsidP="001672DD">
            <w:pPr>
              <w:spacing w:before="100" w:beforeAutospacing="1"/>
              <w:cnfStyle w:val="000000010000" w:firstRow="0" w:lastRow="0" w:firstColumn="0" w:lastColumn="0" w:oddVBand="0" w:evenVBand="0" w:oddHBand="0" w:evenHBand="1" w:firstRowFirstColumn="0" w:firstRowLastColumn="0" w:lastRowFirstColumn="0" w:lastRowLastColumn="0"/>
            </w:pPr>
            <w:r w:rsidRPr="006A345B">
              <w:t>To be classified as paid-up ordinary shares in C</w:t>
            </w:r>
            <w:r>
              <w:t xml:space="preserve">ET1 </w:t>
            </w:r>
            <w:r w:rsidRPr="006A345B">
              <w:t xml:space="preserve">Capital, an instrument must satisfy </w:t>
            </w:r>
            <w:r>
              <w:t xml:space="preserve">certain </w:t>
            </w:r>
            <w:r w:rsidRPr="006A345B">
              <w:t>criteria</w:t>
            </w:r>
            <w:r>
              <w:t>.</w:t>
            </w:r>
          </w:p>
        </w:tc>
        <w:tc>
          <w:tcPr>
            <w:tcW w:w="1856" w:type="pct"/>
            <w:shd w:val="clear" w:color="auto" w:fill="F2F2F2" w:themeFill="background1" w:themeFillShade="F2"/>
          </w:tcPr>
          <w:p w14:paraId="6259FA98" w14:textId="1B831BAE" w:rsidR="00D202A2" w:rsidRDefault="00D202A2" w:rsidP="001672DD">
            <w:pPr>
              <w:cnfStyle w:val="000000010000" w:firstRow="0" w:lastRow="0" w:firstColumn="0" w:lastColumn="0" w:oddVBand="0" w:evenVBand="0" w:oddHBand="0" w:evenHBand="1" w:firstRowFirstColumn="0" w:firstRowLastColumn="0" w:lastRowFirstColumn="0" w:lastRowLastColumn="0"/>
            </w:pPr>
            <w:r>
              <w:t>T</w:t>
            </w:r>
            <w:r w:rsidRPr="00CA5678">
              <w:t>he instrument must</w:t>
            </w:r>
            <w:r w:rsidR="006A345B">
              <w:t xml:space="preserve"> also </w:t>
            </w:r>
            <w:r w:rsidRPr="00CA5678">
              <w:t>be the only class of</w:t>
            </w:r>
            <w:r w:rsidR="001A1C52">
              <w:t xml:space="preserve"> ordinary</w:t>
            </w:r>
            <w:r w:rsidRPr="00CA5678">
              <w:t xml:space="preserve"> share, except for the distinction between voting and non-voting ordinary shares. Non-voting ordinary shares must be identical to voting ordinary shares of the issuer in all respects except the absence of voting rights</w:t>
            </w:r>
            <w:r>
              <w:t>.</w:t>
            </w:r>
          </w:p>
        </w:tc>
      </w:tr>
      <w:tr w:rsidR="00D202A2" w14:paraId="5647C260" w14:textId="77777777" w:rsidTr="001672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7" w:type="pct"/>
          </w:tcPr>
          <w:p w14:paraId="6F541EA4" w14:textId="77777777" w:rsidR="00D202A2" w:rsidRPr="00145032" w:rsidRDefault="00D202A2" w:rsidP="001672DD">
            <w:pPr>
              <w:pStyle w:val="TableHeading"/>
              <w:keepNext w:val="0"/>
              <w:spacing w:before="60" w:after="60"/>
            </w:pPr>
            <w:r>
              <w:t>Distributable items</w:t>
            </w:r>
          </w:p>
        </w:tc>
        <w:tc>
          <w:tcPr>
            <w:tcW w:w="1856" w:type="pct"/>
            <w:shd w:val="clear" w:color="auto" w:fill="F2F2F2" w:themeFill="background1" w:themeFillShade="F2"/>
          </w:tcPr>
          <w:p w14:paraId="0928731E" w14:textId="77777777" w:rsidR="00D202A2" w:rsidRDefault="00D202A2" w:rsidP="001672DD">
            <w:pPr>
              <w:spacing w:before="100" w:beforeAutospacing="1"/>
              <w:cnfStyle w:val="000000100000" w:firstRow="0" w:lastRow="0" w:firstColumn="0" w:lastColumn="0" w:oddVBand="0" w:evenVBand="0" w:oddHBand="1" w:evenHBand="0" w:firstRowFirstColumn="0" w:firstRowLastColumn="0" w:lastRowFirstColumn="0" w:lastRowLastColumn="0"/>
            </w:pPr>
            <w:r>
              <w:t>D</w:t>
            </w:r>
            <w:r w:rsidRPr="00F4347F">
              <w:t xml:space="preserve">istributions on </w:t>
            </w:r>
            <w:r>
              <w:t xml:space="preserve">ordinary shares, AT1 Capital and MEIs </w:t>
            </w:r>
            <w:r w:rsidRPr="00F4347F">
              <w:t>are paid out of distributable items (retained earnings included) of the issuer</w:t>
            </w:r>
            <w:r>
              <w:t>.</w:t>
            </w:r>
          </w:p>
        </w:tc>
        <w:tc>
          <w:tcPr>
            <w:tcW w:w="1856" w:type="pct"/>
            <w:shd w:val="clear" w:color="auto" w:fill="F2F2F2" w:themeFill="background1" w:themeFillShade="F2"/>
          </w:tcPr>
          <w:p w14:paraId="6FD4EAFC" w14:textId="7CE17A3A" w:rsidR="00D202A2" w:rsidRDefault="00B262A8" w:rsidP="001672DD">
            <w:pPr>
              <w:cnfStyle w:val="000000100000" w:firstRow="0" w:lastRow="0" w:firstColumn="0" w:lastColumn="0" w:oddVBand="0" w:evenVBand="0" w:oddHBand="1" w:evenHBand="0" w:firstRowFirstColumn="0" w:firstRowLastColumn="0" w:lastRowFirstColumn="0" w:lastRowLastColumn="0"/>
            </w:pPr>
            <w:r>
              <w:t>Distributable items are t</w:t>
            </w:r>
            <w:r w:rsidR="00D202A2" w:rsidRPr="00907F82">
              <w:t>hose items which are permitted to be distributed in accordance with relevant statutory and regulatory requirements applicable to distributions by an is</w:t>
            </w:r>
            <w:r w:rsidR="00D202A2" w:rsidRPr="002A2FBF">
              <w:t>suer.</w:t>
            </w:r>
            <w:r w:rsidR="00D202A2" w:rsidRPr="00F4347F">
              <w:t xml:space="preserve"> </w:t>
            </w:r>
          </w:p>
        </w:tc>
      </w:tr>
      <w:tr w:rsidR="00D202A2" w14:paraId="65CFC552" w14:textId="77777777" w:rsidTr="001672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7" w:type="pct"/>
          </w:tcPr>
          <w:p w14:paraId="19F8CE65" w14:textId="4DE4988C" w:rsidR="00D202A2" w:rsidRDefault="00D202A2" w:rsidP="001672DD">
            <w:pPr>
              <w:pStyle w:val="TableHeading"/>
              <w:keepNext w:val="0"/>
              <w:spacing w:before="60" w:after="60"/>
            </w:pPr>
            <w:r>
              <w:t>Recapitalisation</w:t>
            </w:r>
            <w:r w:rsidR="002F6BE4">
              <w:t xml:space="preserve"> of issuer</w:t>
            </w:r>
          </w:p>
        </w:tc>
        <w:tc>
          <w:tcPr>
            <w:tcW w:w="1856" w:type="pct"/>
            <w:shd w:val="clear" w:color="auto" w:fill="F2F2F2" w:themeFill="background1" w:themeFillShade="F2"/>
          </w:tcPr>
          <w:p w14:paraId="7912B348" w14:textId="6E488933" w:rsidR="00D202A2" w:rsidRDefault="00D202A2" w:rsidP="001672DD">
            <w:pPr>
              <w:spacing w:before="100" w:beforeAutospacing="1"/>
              <w:cnfStyle w:val="000000010000" w:firstRow="0" w:lastRow="0" w:firstColumn="0" w:lastColumn="0" w:oddVBand="0" w:evenVBand="0" w:oddHBand="0" w:evenHBand="1" w:firstRowFirstColumn="0" w:firstRowLastColumn="0" w:lastRowFirstColumn="0" w:lastRowLastColumn="0"/>
            </w:pPr>
            <w:r>
              <w:t xml:space="preserve">AT1 Capital and Tier 2 Capital instruments </w:t>
            </w:r>
            <w:r w:rsidR="002F6BE4">
              <w:t xml:space="preserve">must </w:t>
            </w:r>
            <w:r w:rsidRPr="00D1236C">
              <w:t>have no features that hinder recapitalisation of the issuer, or any other members of the group to which the issuer belongs</w:t>
            </w:r>
            <w:r w:rsidR="002F6BE4">
              <w:t>.</w:t>
            </w:r>
          </w:p>
        </w:tc>
        <w:tc>
          <w:tcPr>
            <w:tcW w:w="1856" w:type="pct"/>
            <w:shd w:val="clear" w:color="auto" w:fill="F2F2F2" w:themeFill="background1" w:themeFillShade="F2"/>
          </w:tcPr>
          <w:p w14:paraId="5D74D301" w14:textId="77777777" w:rsidR="00D202A2" w:rsidRDefault="00D202A2" w:rsidP="001672DD">
            <w:pPr>
              <w:cnfStyle w:val="000000010000" w:firstRow="0" w:lastRow="0" w:firstColumn="0" w:lastColumn="0" w:oddVBand="0" w:evenVBand="0" w:oddHBand="0" w:evenHBand="1" w:firstRowFirstColumn="0" w:firstRowLastColumn="0" w:lastRowFirstColumn="0" w:lastRowLastColumn="0"/>
            </w:pPr>
            <w:r>
              <w:t>All capital in</w:t>
            </w:r>
            <w:r w:rsidRPr="00D1236C">
              <w:t>strument</w:t>
            </w:r>
            <w:r>
              <w:t xml:space="preserve">s must have </w:t>
            </w:r>
            <w:r w:rsidRPr="00D1236C">
              <w:t>no features that hinder recapitalisation of the issuer, or any other members of the group to which the issuer belongs</w:t>
            </w:r>
            <w:r>
              <w:t>.</w:t>
            </w:r>
          </w:p>
        </w:tc>
      </w:tr>
      <w:tr w:rsidR="00D202A2" w:rsidRPr="00D11930" w14:paraId="1436CE5D" w14:textId="77777777" w:rsidTr="001672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7" w:type="pct"/>
          </w:tcPr>
          <w:p w14:paraId="6ED1D392" w14:textId="77777777" w:rsidR="00D202A2" w:rsidRPr="002871DF" w:rsidRDefault="00D202A2" w:rsidP="001672DD">
            <w:pPr>
              <w:pStyle w:val="TableHeading"/>
              <w:keepNext w:val="0"/>
              <w:spacing w:before="60" w:after="60"/>
            </w:pPr>
            <w:r w:rsidRPr="00145032">
              <w:t>Perpetual instruments</w:t>
            </w:r>
          </w:p>
        </w:tc>
        <w:tc>
          <w:tcPr>
            <w:tcW w:w="1856" w:type="pct"/>
            <w:shd w:val="clear" w:color="auto" w:fill="F2F2F2" w:themeFill="background1" w:themeFillShade="F2"/>
          </w:tcPr>
          <w:p w14:paraId="02AE80C1" w14:textId="1C97E982" w:rsidR="00D202A2" w:rsidRDefault="00D202A2" w:rsidP="001672DD">
            <w:pPr>
              <w:spacing w:before="100" w:beforeAutospacing="1" w:after="240"/>
              <w:cnfStyle w:val="000000100000" w:firstRow="0" w:lastRow="0" w:firstColumn="0" w:lastColumn="0" w:oddVBand="0" w:evenVBand="0" w:oddHBand="1" w:evenHBand="0" w:firstRowFirstColumn="0" w:firstRowLastColumn="0" w:lastRowFirstColumn="0" w:lastRowLastColumn="0"/>
            </w:pPr>
            <w:r>
              <w:t>T</w:t>
            </w:r>
            <w:r w:rsidRPr="00145032">
              <w:t>he principal amount of an A</w:t>
            </w:r>
            <w:r>
              <w:t>T1</w:t>
            </w:r>
            <w:r w:rsidRPr="00145032">
              <w:t xml:space="preserve"> Capital instrument </w:t>
            </w:r>
            <w:r w:rsidR="00EE314F">
              <w:t>is</w:t>
            </w:r>
            <w:r w:rsidR="00FC0B5C">
              <w:t xml:space="preserve"> required </w:t>
            </w:r>
            <w:r w:rsidRPr="00145032">
              <w:t>to be perpetual (i.e. it has no maturity date).</w:t>
            </w:r>
          </w:p>
        </w:tc>
        <w:tc>
          <w:tcPr>
            <w:tcW w:w="1856" w:type="pct"/>
            <w:shd w:val="clear" w:color="auto" w:fill="F2F2F2" w:themeFill="background1" w:themeFillShade="F2"/>
          </w:tcPr>
          <w:p w14:paraId="7B8E1133" w14:textId="77777777" w:rsidR="00D202A2" w:rsidRPr="00D11930" w:rsidRDefault="00D202A2" w:rsidP="001672DD">
            <w:pPr>
              <w:spacing w:before="0" w:after="240"/>
              <w:cnfStyle w:val="000000100000" w:firstRow="0" w:lastRow="0" w:firstColumn="0" w:lastColumn="0" w:oddVBand="0" w:evenVBand="0" w:oddHBand="1" w:evenHBand="0" w:firstRowFirstColumn="0" w:firstRowLastColumn="0" w:lastRowFirstColumn="0" w:lastRowLastColumn="0"/>
            </w:pPr>
            <w:r>
              <w:t>Instruments with maturity dates and automatic roll-over features are not considered perpetual instruments.</w:t>
            </w:r>
          </w:p>
        </w:tc>
      </w:tr>
      <w:tr w:rsidR="00D202A2" w14:paraId="106595A2" w14:textId="77777777" w:rsidTr="001672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7" w:type="pct"/>
          </w:tcPr>
          <w:p w14:paraId="15978182" w14:textId="77777777" w:rsidR="00D202A2" w:rsidRPr="002871DF" w:rsidRDefault="00D202A2" w:rsidP="001672DD">
            <w:pPr>
              <w:pStyle w:val="TableHeading"/>
              <w:keepNext w:val="0"/>
              <w:spacing w:before="60" w:after="60"/>
            </w:pPr>
            <w:r w:rsidRPr="00256ACD">
              <w:t>Payments/distributions</w:t>
            </w:r>
          </w:p>
        </w:tc>
        <w:tc>
          <w:tcPr>
            <w:tcW w:w="1856" w:type="pct"/>
            <w:shd w:val="clear" w:color="auto" w:fill="F2F2F2" w:themeFill="background1" w:themeFillShade="F2"/>
          </w:tcPr>
          <w:p w14:paraId="705002C9" w14:textId="77777777" w:rsidR="00D202A2" w:rsidRDefault="00D202A2" w:rsidP="001672DD">
            <w:pPr>
              <w:spacing w:before="0" w:after="240"/>
              <w:cnfStyle w:val="000000010000" w:firstRow="0" w:lastRow="0" w:firstColumn="0" w:lastColumn="0" w:oddVBand="0" w:evenVBand="0" w:oddHBand="0" w:evenHBand="1" w:firstRowFirstColumn="0" w:firstRowLastColumn="0" w:lastRowFirstColumn="0" w:lastRowLastColumn="0"/>
            </w:pPr>
            <w:r>
              <w:t>A</w:t>
            </w:r>
            <w:r w:rsidRPr="00256ACD">
              <w:t xml:space="preserve">n issuer </w:t>
            </w:r>
            <w:r>
              <w:t>must</w:t>
            </w:r>
            <w:r w:rsidRPr="00256ACD">
              <w:t xml:space="preserve"> have full discretion at all times to cancel payments/distributions on </w:t>
            </w:r>
            <w:r>
              <w:t xml:space="preserve">an AT1 Capital </w:t>
            </w:r>
            <w:r w:rsidRPr="00256ACD">
              <w:t>instrument</w:t>
            </w:r>
            <w:r>
              <w:t>.</w:t>
            </w:r>
          </w:p>
          <w:p w14:paraId="4887B974" w14:textId="77777777" w:rsidR="00D202A2" w:rsidRDefault="00D202A2" w:rsidP="001672DD">
            <w:pPr>
              <w:spacing w:before="0" w:after="240"/>
              <w:cnfStyle w:val="000000010000" w:firstRow="0" w:lastRow="0" w:firstColumn="0" w:lastColumn="0" w:oddVBand="0" w:evenVBand="0" w:oddHBand="0" w:evenHBand="1" w:firstRowFirstColumn="0" w:firstRowLastColumn="0" w:lastRowFirstColumn="0" w:lastRowLastColumn="0"/>
            </w:pPr>
            <w:r>
              <w:t>L</w:t>
            </w:r>
            <w:r w:rsidRPr="00256ACD">
              <w:t>imits</w:t>
            </w:r>
            <w:r>
              <w:t xml:space="preserve"> on </w:t>
            </w:r>
            <w:r w:rsidRPr="00256ACD">
              <w:t>the use of dividend stoppers within A</w:t>
            </w:r>
            <w:r>
              <w:t>T1</w:t>
            </w:r>
            <w:r w:rsidRPr="00256ACD">
              <w:t xml:space="preserve"> Capital instrument</w:t>
            </w:r>
            <w:r>
              <w:t>s.</w:t>
            </w:r>
          </w:p>
        </w:tc>
        <w:tc>
          <w:tcPr>
            <w:tcW w:w="1856" w:type="pct"/>
            <w:shd w:val="clear" w:color="auto" w:fill="F2F2F2" w:themeFill="background1" w:themeFillShade="F2"/>
          </w:tcPr>
          <w:p w14:paraId="19E2684A" w14:textId="77777777" w:rsidR="00D202A2" w:rsidRDefault="00D202A2" w:rsidP="001672DD">
            <w:pPr>
              <w:cnfStyle w:val="000000010000" w:firstRow="0" w:lastRow="0" w:firstColumn="0" w:lastColumn="0" w:oddVBand="0" w:evenVBand="0" w:oddHBand="0" w:evenHBand="1" w:firstRowFirstColumn="0" w:firstRowLastColumn="0" w:lastRowFirstColumn="0" w:lastRowLastColumn="0"/>
            </w:pPr>
            <w:r>
              <w:t>An AT1 Capital instrument must not provide for investors upon non-payment of a distribution to convert an AT1 Capital instrument, and the amount of any unpaid dividend or interest, into ordinary shares or MEIs.</w:t>
            </w:r>
          </w:p>
          <w:p w14:paraId="1DC7ADDC" w14:textId="061EC09F" w:rsidR="00D202A2" w:rsidRDefault="00D202A2" w:rsidP="001672DD">
            <w:pPr>
              <w:spacing w:before="0" w:after="240"/>
              <w:cnfStyle w:val="000000010000" w:firstRow="0" w:lastRow="0" w:firstColumn="0" w:lastColumn="0" w:oddVBand="0" w:evenVBand="0" w:oddHBand="0" w:evenHBand="1" w:firstRowFirstColumn="0" w:firstRowLastColumn="0" w:lastRowFirstColumn="0" w:lastRowLastColumn="0"/>
            </w:pPr>
            <w:r>
              <w:t xml:space="preserve">Any restriction on the payment of distributions, or any restriction on redemptions or buybacks of CET1 Capital instruments, </w:t>
            </w:r>
            <w:r w:rsidR="00B915C0">
              <w:t>can</w:t>
            </w:r>
            <w:r>
              <w:t>not apply to any existing holding company of the issuer, or any potential future holding company of the issuer, where the holding company does not undertake the role of issuer of the instrument.</w:t>
            </w:r>
          </w:p>
        </w:tc>
      </w:tr>
      <w:tr w:rsidR="00D202A2" w14:paraId="07C69762" w14:textId="77777777" w:rsidTr="001672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7" w:type="pct"/>
          </w:tcPr>
          <w:p w14:paraId="242A30FC" w14:textId="77777777" w:rsidR="00D202A2" w:rsidRPr="00256ACD" w:rsidRDefault="00D202A2" w:rsidP="001672DD">
            <w:pPr>
              <w:pStyle w:val="TableHeading"/>
              <w:keepNext w:val="0"/>
              <w:spacing w:before="60" w:after="60"/>
            </w:pPr>
            <w:r>
              <w:t xml:space="preserve">Maturity of instruments </w:t>
            </w:r>
          </w:p>
        </w:tc>
        <w:tc>
          <w:tcPr>
            <w:tcW w:w="1856" w:type="pct"/>
            <w:shd w:val="clear" w:color="auto" w:fill="F2F2F2" w:themeFill="background1" w:themeFillShade="F2"/>
          </w:tcPr>
          <w:p w14:paraId="01A5F1D1" w14:textId="77777777" w:rsidR="00D202A2" w:rsidRDefault="00D202A2" w:rsidP="001672DD">
            <w:pPr>
              <w:cnfStyle w:val="000000100000" w:firstRow="0" w:lastRow="0" w:firstColumn="0" w:lastColumn="0" w:oddVBand="0" w:evenVBand="0" w:oddHBand="1" w:evenHBand="0" w:firstRowFirstColumn="0" w:firstRowLastColumn="0" w:lastRowFirstColumn="0" w:lastRowLastColumn="0"/>
            </w:pPr>
            <w:r>
              <w:t>The principal amount of a Tier 2 Capital instrument must have a minimum maturity of at least five years.</w:t>
            </w:r>
          </w:p>
          <w:p w14:paraId="563A903A" w14:textId="77777777" w:rsidR="00D202A2" w:rsidRDefault="00D202A2" w:rsidP="001672DD">
            <w:pPr>
              <w:cnfStyle w:val="000000100000" w:firstRow="0" w:lastRow="0" w:firstColumn="0" w:lastColumn="0" w:oddVBand="0" w:evenVBand="0" w:oddHBand="1" w:evenHBand="0" w:firstRowFirstColumn="0" w:firstRowLastColumn="0" w:lastRowFirstColumn="0" w:lastRowLastColumn="0"/>
            </w:pPr>
          </w:p>
        </w:tc>
        <w:tc>
          <w:tcPr>
            <w:tcW w:w="1856" w:type="pct"/>
            <w:shd w:val="clear" w:color="auto" w:fill="F2F2F2" w:themeFill="background1" w:themeFillShade="F2"/>
          </w:tcPr>
          <w:p w14:paraId="1FBBEED8" w14:textId="77777777" w:rsidR="00D202A2" w:rsidRDefault="00D202A2" w:rsidP="001672DD">
            <w:pPr>
              <w:cnfStyle w:val="000000100000" w:firstRow="0" w:lastRow="0" w:firstColumn="0" w:lastColumn="0" w:oddVBand="0" w:evenVBand="0" w:oddHBand="1" w:evenHBand="0" w:firstRowFirstColumn="0" w:firstRowLastColumn="0" w:lastRowFirstColumn="0" w:lastRowLastColumn="0"/>
            </w:pPr>
            <w:r>
              <w:t>W</w:t>
            </w:r>
            <w:r w:rsidRPr="00256ACD">
              <w:t>here a</w:t>
            </w:r>
            <w:r>
              <w:t xml:space="preserve"> Tier 2 Capital </w:t>
            </w:r>
            <w:r w:rsidRPr="00256ACD">
              <w:t>instrument has a defined maturity and provides for a mandatory roll-over, the maturity of the instrument is deemed to only extend to the date upon which any roll-over may take effect.</w:t>
            </w:r>
          </w:p>
        </w:tc>
      </w:tr>
      <w:tr w:rsidR="00D202A2" w14:paraId="56C8F748" w14:textId="77777777" w:rsidTr="001672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7" w:type="pct"/>
          </w:tcPr>
          <w:p w14:paraId="68AA45F1" w14:textId="77777777" w:rsidR="00D202A2" w:rsidRDefault="00D202A2" w:rsidP="001672DD">
            <w:pPr>
              <w:pStyle w:val="TableHeading"/>
              <w:keepNext w:val="0"/>
              <w:spacing w:before="60" w:after="60"/>
            </w:pPr>
            <w:r>
              <w:t>Optional redemption</w:t>
            </w:r>
          </w:p>
        </w:tc>
        <w:tc>
          <w:tcPr>
            <w:tcW w:w="1856" w:type="pct"/>
            <w:shd w:val="clear" w:color="auto" w:fill="F2F2F2" w:themeFill="background1" w:themeFillShade="F2"/>
          </w:tcPr>
          <w:p w14:paraId="674A295B" w14:textId="77777777" w:rsidR="00D202A2" w:rsidRDefault="00D202A2" w:rsidP="001672DD">
            <w:pPr>
              <w:cnfStyle w:val="000000010000" w:firstRow="0" w:lastRow="0" w:firstColumn="0" w:lastColumn="0" w:oddVBand="0" w:evenVBand="0" w:oddHBand="0" w:evenHBand="1" w:firstRowFirstColumn="0" w:firstRowLastColumn="0" w:lastRowFirstColumn="0" w:lastRowLastColumn="0"/>
            </w:pPr>
            <w:r w:rsidRPr="00967E61">
              <w:t>In relation to A</w:t>
            </w:r>
            <w:r>
              <w:t>T1</w:t>
            </w:r>
            <w:r w:rsidRPr="00967E61">
              <w:t xml:space="preserve"> Capital or Tier 2 Capital instruments, early redemption </w:t>
            </w:r>
            <w:r>
              <w:t xml:space="preserve">is permitted </w:t>
            </w:r>
            <w:r w:rsidRPr="00967E61">
              <w:t>in certain circumstances.</w:t>
            </w:r>
          </w:p>
        </w:tc>
        <w:tc>
          <w:tcPr>
            <w:tcW w:w="1856" w:type="pct"/>
            <w:shd w:val="clear" w:color="auto" w:fill="F2F2F2" w:themeFill="background1" w:themeFillShade="F2"/>
          </w:tcPr>
          <w:p w14:paraId="23217D19" w14:textId="77777777" w:rsidR="00D202A2" w:rsidRDefault="00D202A2" w:rsidP="001672DD">
            <w:pPr>
              <w:cnfStyle w:val="000000010000" w:firstRow="0" w:lastRow="0" w:firstColumn="0" w:lastColumn="0" w:oddVBand="0" w:evenVBand="0" w:oddHBand="0" w:evenHBand="1" w:firstRowFirstColumn="0" w:firstRowLastColumn="0" w:lastRowFirstColumn="0" w:lastRowLastColumn="0"/>
            </w:pPr>
            <w:r>
              <w:t>W</w:t>
            </w:r>
            <w:r w:rsidRPr="00967E61">
              <w:t>hen a loss absorption trigger point is reached (A</w:t>
            </w:r>
            <w:r>
              <w:t>T1</w:t>
            </w:r>
            <w:r w:rsidRPr="00967E61">
              <w:t xml:space="preserve"> Capital) or a non-viability trigger event occurs (AT1 Capital or Tier 2 Capital), the loss absorption or non-viability provisions must operate without regard to any notification of early redemption.</w:t>
            </w:r>
          </w:p>
        </w:tc>
      </w:tr>
      <w:tr w:rsidR="00D202A2" w14:paraId="00803DD9" w14:textId="77777777" w:rsidTr="001672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7" w:type="pct"/>
          </w:tcPr>
          <w:p w14:paraId="76C35EC4" w14:textId="77777777" w:rsidR="00D202A2" w:rsidRDefault="00D202A2" w:rsidP="001672DD">
            <w:pPr>
              <w:pStyle w:val="TableHeading"/>
              <w:keepNext w:val="0"/>
              <w:spacing w:before="60" w:after="60"/>
            </w:pPr>
            <w:r>
              <w:t xml:space="preserve">Incentives to redeem </w:t>
            </w:r>
          </w:p>
        </w:tc>
        <w:tc>
          <w:tcPr>
            <w:tcW w:w="1856" w:type="pct"/>
            <w:shd w:val="clear" w:color="auto" w:fill="F2F2F2" w:themeFill="background1" w:themeFillShade="F2"/>
          </w:tcPr>
          <w:p w14:paraId="40178EB2" w14:textId="105BEF3F" w:rsidR="00D202A2" w:rsidRPr="00967E61" w:rsidRDefault="00D202A2" w:rsidP="001672DD">
            <w:pPr>
              <w:cnfStyle w:val="000000100000" w:firstRow="0" w:lastRow="0" w:firstColumn="0" w:lastColumn="0" w:oddVBand="0" w:evenVBand="0" w:oddHBand="1" w:evenHBand="0" w:firstRowFirstColumn="0" w:firstRowLastColumn="0" w:lastRowFirstColumn="0" w:lastRowLastColumn="0"/>
            </w:pPr>
            <w:r w:rsidRPr="00967E61">
              <w:t>AT</w:t>
            </w:r>
            <w:r>
              <w:t>1</w:t>
            </w:r>
            <w:r w:rsidRPr="00967E61">
              <w:t xml:space="preserve"> Capital and Tier 2 Capital instruments must not contain step-ups in interest rates or other incentives to redeem</w:t>
            </w:r>
            <w:r w:rsidR="001A0647">
              <w:t>.</w:t>
            </w:r>
          </w:p>
        </w:tc>
        <w:tc>
          <w:tcPr>
            <w:tcW w:w="1856" w:type="pct"/>
            <w:shd w:val="clear" w:color="auto" w:fill="F2F2F2" w:themeFill="background1" w:themeFillShade="F2"/>
          </w:tcPr>
          <w:p w14:paraId="62CA287D" w14:textId="77777777" w:rsidR="00D202A2" w:rsidRDefault="00D202A2" w:rsidP="001672DD">
            <w:pPr>
              <w:cnfStyle w:val="000000100000" w:firstRow="0" w:lastRow="0" w:firstColumn="0" w:lastColumn="0" w:oddVBand="0" w:evenVBand="0" w:oddHBand="1" w:evenHBand="0" w:firstRowFirstColumn="0" w:firstRowLastColumn="0" w:lastRowFirstColumn="0" w:lastRowLastColumn="0"/>
            </w:pPr>
            <w:r>
              <w:t>Additional examples of incentives to redeem include mandatory conversions and options for investors to require a conversion and minimum and maximum interest rates on distributions.</w:t>
            </w:r>
          </w:p>
        </w:tc>
      </w:tr>
      <w:tr w:rsidR="00D202A2" w14:paraId="21B6B1AD" w14:textId="77777777" w:rsidTr="001672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7" w:type="pct"/>
          </w:tcPr>
          <w:p w14:paraId="52D159AA" w14:textId="77777777" w:rsidR="00D202A2" w:rsidRDefault="00D202A2" w:rsidP="001672DD">
            <w:pPr>
              <w:pStyle w:val="TableHeading"/>
              <w:keepNext w:val="0"/>
              <w:spacing w:before="60" w:after="60"/>
            </w:pPr>
            <w:r w:rsidRPr="00967E61">
              <w:t>Taxation or regulatory events</w:t>
            </w:r>
          </w:p>
        </w:tc>
        <w:tc>
          <w:tcPr>
            <w:tcW w:w="1856" w:type="pct"/>
            <w:shd w:val="clear" w:color="auto" w:fill="F2F2F2" w:themeFill="background1" w:themeFillShade="F2"/>
          </w:tcPr>
          <w:p w14:paraId="4469B290" w14:textId="736DCCB1" w:rsidR="00D202A2" w:rsidRPr="00967E61" w:rsidRDefault="00D202A2" w:rsidP="001672DD">
            <w:pPr>
              <w:cnfStyle w:val="000000010000" w:firstRow="0" w:lastRow="0" w:firstColumn="0" w:lastColumn="0" w:oddVBand="0" w:evenVBand="0" w:oddHBand="0" w:evenHBand="1" w:firstRowFirstColumn="0" w:firstRowLastColumn="0" w:lastRowFirstColumn="0" w:lastRowLastColumn="0"/>
            </w:pPr>
            <w:r w:rsidRPr="00967E61">
              <w:t>A</w:t>
            </w:r>
            <w:r>
              <w:t xml:space="preserve">T1 </w:t>
            </w:r>
            <w:r w:rsidRPr="00967E61">
              <w:t>Capital or Tier 2 Capital instrument</w:t>
            </w:r>
            <w:r w:rsidR="00F00200">
              <w:t>s</w:t>
            </w:r>
            <w:r w:rsidRPr="00967E61">
              <w:t xml:space="preserve"> may only provide for a call within the first five years of issuance as a result of a tax or regulatory event</w:t>
            </w:r>
            <w:r w:rsidR="00D47CF7">
              <w:t>.</w:t>
            </w:r>
          </w:p>
        </w:tc>
        <w:tc>
          <w:tcPr>
            <w:tcW w:w="1856" w:type="pct"/>
            <w:shd w:val="clear" w:color="auto" w:fill="F2F2F2" w:themeFill="background1" w:themeFillShade="F2"/>
          </w:tcPr>
          <w:p w14:paraId="25F42185" w14:textId="64D049B5" w:rsidR="00D202A2" w:rsidRDefault="00D202A2" w:rsidP="001672DD">
            <w:pPr>
              <w:cnfStyle w:val="000000010000" w:firstRow="0" w:lastRow="0" w:firstColumn="0" w:lastColumn="0" w:oddVBand="0" w:evenVBand="0" w:oddHBand="0" w:evenHBand="1" w:firstRowFirstColumn="0" w:firstRowLastColumn="0" w:lastRowFirstColumn="0" w:lastRowLastColumn="0"/>
            </w:pPr>
            <w:r>
              <w:t>A</w:t>
            </w:r>
            <w:r w:rsidRPr="00967E61">
              <w:t xml:space="preserve"> tax or regulatory event, after which an instrument may be called, </w:t>
            </w:r>
            <w:r>
              <w:t>is</w:t>
            </w:r>
            <w:r w:rsidRPr="00967E61">
              <w:t xml:space="preserve"> confined to certain changes in law; related to the specific instrument and jurisdictions relevant to the instrument; </w:t>
            </w:r>
            <w:r w:rsidRPr="00FA207C">
              <w:t xml:space="preserve">not </w:t>
            </w:r>
            <w:r w:rsidR="00B915C0">
              <w:t>anticipated</w:t>
            </w:r>
            <w:r w:rsidRPr="00FA207C">
              <w:t xml:space="preserve"> at the time of issue</w:t>
            </w:r>
            <w:r w:rsidRPr="00967E61">
              <w:t>; and a consequence of an adverse impact on the issuer of the instrument.</w:t>
            </w:r>
          </w:p>
        </w:tc>
      </w:tr>
      <w:tr w:rsidR="00D202A2" w14:paraId="4B7DC8EB" w14:textId="77777777" w:rsidTr="001672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7" w:type="pct"/>
          </w:tcPr>
          <w:p w14:paraId="78CB02D3" w14:textId="77777777" w:rsidR="00D202A2" w:rsidRPr="00967E61" w:rsidRDefault="00D202A2" w:rsidP="001672DD">
            <w:pPr>
              <w:pStyle w:val="TableHeading"/>
              <w:keepNext w:val="0"/>
              <w:spacing w:before="60" w:after="60"/>
            </w:pPr>
            <w:r w:rsidRPr="005F609B">
              <w:t>Conversion into ordinary shares</w:t>
            </w:r>
          </w:p>
        </w:tc>
        <w:tc>
          <w:tcPr>
            <w:tcW w:w="1856" w:type="pct"/>
            <w:shd w:val="clear" w:color="auto" w:fill="F2F2F2" w:themeFill="background1" w:themeFillShade="F2"/>
          </w:tcPr>
          <w:p w14:paraId="1F3855B6" w14:textId="77777777" w:rsidR="00D202A2" w:rsidRPr="00967E61" w:rsidRDefault="00D202A2" w:rsidP="001672DD">
            <w:pPr>
              <w:cnfStyle w:val="000000100000" w:firstRow="0" w:lastRow="0" w:firstColumn="0" w:lastColumn="0" w:oddVBand="0" w:evenVBand="0" w:oddHBand="1" w:evenHBand="0" w:firstRowFirstColumn="0" w:firstRowLastColumn="0" w:lastRowFirstColumn="0" w:lastRowLastColumn="0"/>
            </w:pPr>
            <w:r>
              <w:t xml:space="preserve">The </w:t>
            </w:r>
            <w:r w:rsidRPr="005F609B">
              <w:t>conversion formula must be fixed in the issue documentation of the capital instrument.</w:t>
            </w:r>
          </w:p>
        </w:tc>
        <w:tc>
          <w:tcPr>
            <w:tcW w:w="1856" w:type="pct"/>
            <w:shd w:val="clear" w:color="auto" w:fill="F2F2F2" w:themeFill="background1" w:themeFillShade="F2"/>
          </w:tcPr>
          <w:p w14:paraId="4F3CE0BD" w14:textId="2026C7F1" w:rsidR="00D202A2" w:rsidRDefault="00D202A2" w:rsidP="001672DD">
            <w:pPr>
              <w:cnfStyle w:val="000000100000" w:firstRow="0" w:lastRow="0" w:firstColumn="0" w:lastColumn="0" w:oddVBand="0" w:evenVBand="0" w:oddHBand="1" w:evenHBand="0" w:firstRowFirstColumn="0" w:firstRowLastColumn="0" w:lastRowFirstColumn="0" w:lastRowLastColumn="0"/>
            </w:pPr>
            <w:r>
              <w:t>T</w:t>
            </w:r>
            <w:r w:rsidRPr="005F609B">
              <w:t>he conversion number must be capable of being ascertained immediately, objectively and without further steps.</w:t>
            </w:r>
            <w:r>
              <w:t xml:space="preserve"> I</w:t>
            </w:r>
            <w:r w:rsidRPr="005F609B">
              <w:t xml:space="preserve">ssue documentation must specify the </w:t>
            </w:r>
            <w:r w:rsidR="00DD46A9">
              <w:t xml:space="preserve">financial </w:t>
            </w:r>
            <w:r w:rsidRPr="005F609B">
              <w:t>a</w:t>
            </w:r>
            <w:r w:rsidRPr="00FA207C">
              <w:t>ccounts</w:t>
            </w:r>
            <w:r w:rsidRPr="005F609B">
              <w:t xml:space="preserve"> which will be used unequivocally to determine, at the point of conversion, the book value to be utilised.</w:t>
            </w:r>
          </w:p>
          <w:p w14:paraId="711B0BD0" w14:textId="77777777" w:rsidR="00B262A8" w:rsidRDefault="00D202A2" w:rsidP="001672DD">
            <w:pPr>
              <w:cnfStyle w:val="000000100000" w:firstRow="0" w:lastRow="0" w:firstColumn="0" w:lastColumn="0" w:oddVBand="0" w:evenVBand="0" w:oddHBand="1" w:evenHBand="0" w:firstRowFirstColumn="0" w:firstRowLastColumn="0" w:lastRowFirstColumn="0" w:lastRowLastColumn="0"/>
            </w:pPr>
            <w:r w:rsidRPr="00775FCB">
              <w:t>In calculating the ordinary share price at time of issue, adjustments may be made for ordinary share splits, bonus issues and share consolidations.</w:t>
            </w:r>
            <w:r>
              <w:t xml:space="preserve"> </w:t>
            </w:r>
          </w:p>
          <w:p w14:paraId="6D868049" w14:textId="35A1176F" w:rsidR="00D202A2" w:rsidRDefault="00D202A2" w:rsidP="001672DD">
            <w:pPr>
              <w:cnfStyle w:val="000000100000" w:firstRow="0" w:lastRow="0" w:firstColumn="0" w:lastColumn="0" w:oddVBand="0" w:evenVBand="0" w:oddHBand="1" w:evenHBand="0" w:firstRowFirstColumn="0" w:firstRowLastColumn="0" w:lastRowFirstColumn="0" w:lastRowLastColumn="0"/>
            </w:pPr>
            <w:r>
              <w:t>For instruments which are, or may be, issued in foreign currency, the method for determining the exchange rate at relevant times must be clear in issue documentation.</w:t>
            </w:r>
          </w:p>
          <w:p w14:paraId="46DDF145" w14:textId="1DADDBA7" w:rsidR="00D202A2" w:rsidRDefault="00D202A2" w:rsidP="001672DD">
            <w:pPr>
              <w:cnfStyle w:val="000000100000" w:firstRow="0" w:lastRow="0" w:firstColumn="0" w:lastColumn="0" w:oddVBand="0" w:evenVBand="0" w:oddHBand="1" w:evenHBand="0" w:firstRowFirstColumn="0" w:firstRowLastColumn="0" w:lastRowFirstColumn="0" w:lastRowLastColumn="0"/>
            </w:pPr>
            <w:r w:rsidRPr="00FA207C">
              <w:t xml:space="preserve">For </w:t>
            </w:r>
            <w:r w:rsidR="00586A58" w:rsidRPr="00FA207C">
              <w:t xml:space="preserve">mutually-owned ADIs, </w:t>
            </w:r>
            <w:r w:rsidRPr="00FA207C">
              <w:t xml:space="preserve">conversion provisions </w:t>
            </w:r>
            <w:r w:rsidR="00586A58" w:rsidRPr="00FA207C">
              <w:t>hav</w:t>
            </w:r>
            <w:r w:rsidR="00F5668A" w:rsidRPr="00FA207C">
              <w:t>e</w:t>
            </w:r>
            <w:r w:rsidR="00586A58" w:rsidRPr="00FA207C">
              <w:t xml:space="preserve"> been </w:t>
            </w:r>
            <w:r w:rsidRPr="00FA207C">
              <w:t xml:space="preserve">included </w:t>
            </w:r>
            <w:r w:rsidR="006B7B92">
              <w:t xml:space="preserve">in APS 111 </w:t>
            </w:r>
            <w:r w:rsidRPr="00FA207C">
              <w:t xml:space="preserve">for AT1 Capital and Tier 2 Capital instruments which can convert </w:t>
            </w:r>
            <w:r w:rsidR="0083564F" w:rsidRPr="00FA207C">
              <w:t xml:space="preserve">specifically </w:t>
            </w:r>
            <w:r w:rsidRPr="00FA207C">
              <w:t>into MEIs.</w:t>
            </w:r>
          </w:p>
        </w:tc>
      </w:tr>
      <w:tr w:rsidR="00D202A2" w14:paraId="18C05C6D" w14:textId="77777777" w:rsidTr="001672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7" w:type="pct"/>
          </w:tcPr>
          <w:p w14:paraId="3391CBF1" w14:textId="77777777" w:rsidR="00D202A2" w:rsidRPr="005F609B" w:rsidRDefault="00D202A2" w:rsidP="001672DD">
            <w:pPr>
              <w:pStyle w:val="TableHeading"/>
              <w:keepNext w:val="0"/>
              <w:spacing w:before="60" w:after="60"/>
            </w:pPr>
            <w:r w:rsidRPr="00775FCB">
              <w:t>Immediate conversion or write-off</w:t>
            </w:r>
          </w:p>
        </w:tc>
        <w:tc>
          <w:tcPr>
            <w:tcW w:w="1856" w:type="pct"/>
            <w:shd w:val="clear" w:color="auto" w:fill="F2F2F2" w:themeFill="background1" w:themeFillShade="F2"/>
          </w:tcPr>
          <w:p w14:paraId="7B49BDF4" w14:textId="77777777" w:rsidR="00D202A2" w:rsidRDefault="00D202A2" w:rsidP="001672DD">
            <w:pPr>
              <w:cnfStyle w:val="000000010000" w:firstRow="0" w:lastRow="0" w:firstColumn="0" w:lastColumn="0" w:oddVBand="0" w:evenVBand="0" w:oddHBand="0" w:evenHBand="1" w:firstRowFirstColumn="0" w:firstRowLastColumn="0" w:lastRowFirstColumn="0" w:lastRowLastColumn="0"/>
            </w:pPr>
            <w:r>
              <w:t>I</w:t>
            </w:r>
            <w:r w:rsidRPr="00775FCB">
              <w:t>mmediate conversion or write-off must occur when the ADI reaches a loss absorption trigger point or when the ADI is notified that APRA considers it would become non-viable.</w:t>
            </w:r>
          </w:p>
        </w:tc>
        <w:tc>
          <w:tcPr>
            <w:tcW w:w="1856" w:type="pct"/>
            <w:shd w:val="clear" w:color="auto" w:fill="F2F2F2" w:themeFill="background1" w:themeFillShade="F2"/>
          </w:tcPr>
          <w:p w14:paraId="57093EF0" w14:textId="2BEDE50A" w:rsidR="00D202A2" w:rsidRDefault="00B31E2D" w:rsidP="001672DD">
            <w:pPr>
              <w:cnfStyle w:val="000000010000" w:firstRow="0" w:lastRow="0" w:firstColumn="0" w:lastColumn="0" w:oddVBand="0" w:evenVBand="0" w:oddHBand="0" w:evenHBand="1" w:firstRowFirstColumn="0" w:firstRowLastColumn="0" w:lastRowFirstColumn="0" w:lastRowLastColumn="0"/>
            </w:pPr>
            <w:r>
              <w:t>T</w:t>
            </w:r>
            <w:r w:rsidR="00B262A8">
              <w:t>h</w:t>
            </w:r>
            <w:r w:rsidR="00D202A2" w:rsidRPr="00907F82">
              <w:t xml:space="preserve">e capital instrument must enable conversion or write-off to occur at any time of the day and on a day that is not a </w:t>
            </w:r>
            <w:r w:rsidR="00D202A2" w:rsidRPr="002A2FBF">
              <w:t>business day.</w:t>
            </w:r>
          </w:p>
        </w:tc>
      </w:tr>
      <w:tr w:rsidR="008E0E5D" w14:paraId="7BE154AA" w14:textId="77777777" w:rsidTr="001672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7" w:type="pct"/>
          </w:tcPr>
          <w:p w14:paraId="5CB53E2C" w14:textId="34BD2EA4" w:rsidR="008E0E5D" w:rsidRPr="00775FCB" w:rsidRDefault="008E0E5D" w:rsidP="008E0E5D">
            <w:pPr>
              <w:pStyle w:val="TableHeading"/>
              <w:keepNext w:val="0"/>
              <w:spacing w:before="60" w:after="60"/>
            </w:pPr>
            <w:r>
              <w:t>H</w:t>
            </w:r>
            <w:r w:rsidRPr="008E0E5D">
              <w:t>ierarchy of conversion or write-off</w:t>
            </w:r>
          </w:p>
        </w:tc>
        <w:tc>
          <w:tcPr>
            <w:tcW w:w="1856" w:type="pct"/>
            <w:shd w:val="clear" w:color="auto" w:fill="F2F2F2" w:themeFill="background1" w:themeFillShade="F2"/>
          </w:tcPr>
          <w:p w14:paraId="301F1486" w14:textId="45135614" w:rsidR="008E0E5D" w:rsidRDefault="008E0E5D" w:rsidP="008E0E5D">
            <w:pPr>
              <w:cnfStyle w:val="000000100000" w:firstRow="0" w:lastRow="0" w:firstColumn="0" w:lastColumn="0" w:oddVBand="0" w:evenVBand="0" w:oddHBand="1" w:evenHBand="0" w:firstRowFirstColumn="0" w:firstRowLastColumn="0" w:lastRowFirstColumn="0" w:lastRowLastColumn="0"/>
            </w:pPr>
            <w:r w:rsidRPr="008E0E5D">
              <w:t>Issue documentation may provide, upon a loss absorption event</w:t>
            </w:r>
            <w:r>
              <w:t xml:space="preserve"> (ATI Capital) and a loss absorption event at the point of non-viability (AT1 Capital and Tier 2 Capital)</w:t>
            </w:r>
            <w:r w:rsidRPr="008E0E5D">
              <w:t xml:space="preserve">, a hierarchy of conversion or write-off. </w:t>
            </w:r>
          </w:p>
        </w:tc>
        <w:tc>
          <w:tcPr>
            <w:tcW w:w="1856" w:type="pct"/>
            <w:shd w:val="clear" w:color="auto" w:fill="F2F2F2" w:themeFill="background1" w:themeFillShade="F2"/>
          </w:tcPr>
          <w:p w14:paraId="336319CB" w14:textId="31D05E0D" w:rsidR="008E0E5D" w:rsidDel="00B31E2D" w:rsidRDefault="008E0E5D" w:rsidP="00396F24">
            <w:pPr>
              <w:cnfStyle w:val="000000100000" w:firstRow="0" w:lastRow="0" w:firstColumn="0" w:lastColumn="0" w:oddVBand="0" w:evenVBand="0" w:oddHBand="1" w:evenHBand="0" w:firstRowFirstColumn="0" w:firstRowLastColumn="0" w:lastRowFirstColumn="0" w:lastRowLastColumn="0"/>
            </w:pPr>
            <w:r w:rsidRPr="008E0E5D">
              <w:t xml:space="preserve">Any </w:t>
            </w:r>
            <w:r w:rsidR="00396F24">
              <w:t>ranking</w:t>
            </w:r>
            <w:r w:rsidRPr="008E0E5D">
              <w:t xml:space="preserve"> must also provide for all A</w:t>
            </w:r>
            <w:r>
              <w:t>T</w:t>
            </w:r>
            <w:r w:rsidRPr="008E0E5D">
              <w:t xml:space="preserve">1 Capital to be fully converted or written-off before any Tier 2 Capital are required to be converted or written-off. Any conversion or write-off of Tier 2 Capital instruments will only be necessary to the extent that conversion or write-off of </w:t>
            </w:r>
            <w:r>
              <w:t>AT1</w:t>
            </w:r>
            <w:r w:rsidRPr="008E0E5D">
              <w:t xml:space="preserve"> Capital is insufficient to permit a declaration that a non-viability event ceases to apply</w:t>
            </w:r>
            <w:r>
              <w:t>.</w:t>
            </w:r>
          </w:p>
        </w:tc>
      </w:tr>
      <w:tr w:rsidR="00D202A2" w14:paraId="21FBBEFC" w14:textId="77777777" w:rsidTr="001672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7" w:type="pct"/>
          </w:tcPr>
          <w:p w14:paraId="26A66FE8" w14:textId="77777777" w:rsidR="00D202A2" w:rsidRPr="00775FCB" w:rsidRDefault="00D202A2" w:rsidP="001672DD">
            <w:pPr>
              <w:pStyle w:val="TableHeading"/>
              <w:keepNext w:val="0"/>
              <w:spacing w:before="60" w:after="60"/>
            </w:pPr>
            <w:r w:rsidRPr="00775FCB">
              <w:t>Amounts converted or written off</w:t>
            </w:r>
          </w:p>
        </w:tc>
        <w:tc>
          <w:tcPr>
            <w:tcW w:w="1856" w:type="pct"/>
            <w:shd w:val="clear" w:color="auto" w:fill="F2F2F2" w:themeFill="background1" w:themeFillShade="F2"/>
          </w:tcPr>
          <w:p w14:paraId="5A1FD47F" w14:textId="77777777" w:rsidR="00D202A2" w:rsidRDefault="00D202A2" w:rsidP="001672DD">
            <w:pPr>
              <w:cnfStyle w:val="000000010000" w:firstRow="0" w:lastRow="0" w:firstColumn="0" w:lastColumn="0" w:oddVBand="0" w:evenVBand="0" w:oddHBand="0" w:evenHBand="1" w:firstRowFirstColumn="0" w:firstRowLastColumn="0" w:lastRowFirstColumn="0" w:lastRowLastColumn="0"/>
            </w:pPr>
            <w:r w:rsidRPr="00775FCB">
              <w:t>The amount of an instrument to be converted into ordinary shares or written off is the face value of the instrument, excluding any declared but unpaid dividends and accrued and unpaid interest.</w:t>
            </w:r>
          </w:p>
        </w:tc>
        <w:tc>
          <w:tcPr>
            <w:tcW w:w="1856" w:type="pct"/>
            <w:shd w:val="clear" w:color="auto" w:fill="F2F2F2" w:themeFill="background1" w:themeFillShade="F2"/>
          </w:tcPr>
          <w:p w14:paraId="1136D391" w14:textId="0548B3AB" w:rsidR="00D202A2" w:rsidRDefault="00D202A2" w:rsidP="001672DD">
            <w:pPr>
              <w:cnfStyle w:val="000000010000" w:firstRow="0" w:lastRow="0" w:firstColumn="0" w:lastColumn="0" w:oddVBand="0" w:evenVBand="0" w:oddHBand="0" w:evenHBand="1" w:firstRowFirstColumn="0" w:firstRowLastColumn="0" w:lastRowFirstColumn="0" w:lastRowLastColumn="0"/>
            </w:pPr>
            <w:r>
              <w:t>T</w:t>
            </w:r>
            <w:r w:rsidRPr="00EB1F35">
              <w:t xml:space="preserve">he amount to be converted or written off </w:t>
            </w:r>
            <w:r w:rsidR="00C87632">
              <w:t>is</w:t>
            </w:r>
            <w:r w:rsidRPr="00EB1F35">
              <w:t xml:space="preserve"> the face value of the instrument. Dividends and interest associated with the instrument which has been converted or written off, but which are not yet due and payable must also be extinguished</w:t>
            </w:r>
            <w:r>
              <w:t>.</w:t>
            </w:r>
          </w:p>
          <w:p w14:paraId="3700FF57" w14:textId="18393086" w:rsidR="005469CB" w:rsidRDefault="00BD3B79" w:rsidP="001672DD">
            <w:pPr>
              <w:cnfStyle w:val="000000010000" w:firstRow="0" w:lastRow="0" w:firstColumn="0" w:lastColumn="0" w:oddVBand="0" w:evenVBand="0" w:oddHBand="0" w:evenHBand="1" w:firstRowFirstColumn="0" w:firstRowLastColumn="0" w:lastRowFirstColumn="0" w:lastRowLastColumn="0"/>
            </w:pPr>
            <w:r>
              <w:t>T</w:t>
            </w:r>
            <w:r w:rsidR="00133710">
              <w:t xml:space="preserve">he aggregate amount of full or partial conversion or write-off must, as a minimum, be no less </w:t>
            </w:r>
            <w:r w:rsidR="00B915C0">
              <w:t xml:space="preserve">than </w:t>
            </w:r>
            <w:r w:rsidR="005469CB">
              <w:t>the amount required to ensure the loss absorption event no longer applies; or the principal amount of all the instruments.</w:t>
            </w:r>
          </w:p>
          <w:p w14:paraId="1227F557" w14:textId="08687809" w:rsidR="00D202A2" w:rsidRDefault="00BD3B79" w:rsidP="00B31E2D">
            <w:pPr>
              <w:cnfStyle w:val="000000010000" w:firstRow="0" w:lastRow="0" w:firstColumn="0" w:lastColumn="0" w:oddVBand="0" w:evenVBand="0" w:oddHBand="0" w:evenHBand="1" w:firstRowFirstColumn="0" w:firstRowLastColumn="0" w:lastRowFirstColumn="0" w:lastRowLastColumn="0"/>
            </w:pPr>
            <w:r>
              <w:t xml:space="preserve">Once </w:t>
            </w:r>
            <w:r w:rsidR="005469CB">
              <w:t>a loss absorption event ceases to apply, no further conversion or write-off need be undertaken.</w:t>
            </w:r>
          </w:p>
        </w:tc>
      </w:tr>
      <w:tr w:rsidR="0078530E" w14:paraId="7633A646" w14:textId="77777777" w:rsidTr="001672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7" w:type="pct"/>
          </w:tcPr>
          <w:p w14:paraId="3B62170B" w14:textId="27EF2FD4" w:rsidR="0078530E" w:rsidRDefault="0078530E" w:rsidP="001672DD">
            <w:pPr>
              <w:pStyle w:val="TableHeading"/>
              <w:keepNext w:val="0"/>
              <w:spacing w:before="60" w:after="60"/>
            </w:pPr>
            <w:r>
              <w:t>Non-viability</w:t>
            </w:r>
            <w:r w:rsidR="008C1228">
              <w:t xml:space="preserve"> event</w:t>
            </w:r>
          </w:p>
        </w:tc>
        <w:tc>
          <w:tcPr>
            <w:tcW w:w="1856" w:type="pct"/>
            <w:shd w:val="clear" w:color="auto" w:fill="F2F2F2" w:themeFill="background1" w:themeFillShade="F2"/>
          </w:tcPr>
          <w:p w14:paraId="3D1AC555" w14:textId="0173A74D" w:rsidR="0078530E" w:rsidRDefault="00E15964" w:rsidP="001672DD">
            <w:pPr>
              <w:cnfStyle w:val="000000100000" w:firstRow="0" w:lastRow="0" w:firstColumn="0" w:lastColumn="0" w:oddVBand="0" w:evenVBand="0" w:oddHBand="1" w:evenHBand="0" w:firstRowFirstColumn="0" w:firstRowLastColumn="0" w:lastRowFirstColumn="0" w:lastRowLastColumn="0"/>
            </w:pPr>
            <w:r>
              <w:t xml:space="preserve">AT1 Capital and Tier 2 Capital instruments </w:t>
            </w:r>
            <w:r w:rsidR="00952A1C">
              <w:t>may</w:t>
            </w:r>
            <w:r>
              <w:t xml:space="preserve"> </w:t>
            </w:r>
            <w:r w:rsidR="00590CA1">
              <w:t xml:space="preserve">also </w:t>
            </w:r>
            <w:r w:rsidR="00952A1C">
              <w:t>be</w:t>
            </w:r>
            <w:r w:rsidR="00590CA1">
              <w:t xml:space="preserve"> </w:t>
            </w:r>
            <w:r>
              <w:t>subject to</w:t>
            </w:r>
            <w:r w:rsidRPr="00E15964">
              <w:t xml:space="preserve"> non-viability trigger event</w:t>
            </w:r>
            <w:r>
              <w:t>s</w:t>
            </w:r>
            <w:r w:rsidRPr="00E15964">
              <w:t xml:space="preserve"> </w:t>
            </w:r>
            <w:r w:rsidR="00952A1C">
              <w:t xml:space="preserve">imposed by a home or host regulator </w:t>
            </w:r>
            <w:r>
              <w:t>i</w:t>
            </w:r>
            <w:r w:rsidRPr="00E15964">
              <w:t>n relation to instruments issued by a fully consolidated</w:t>
            </w:r>
            <w:r w:rsidR="00BB284A">
              <w:t xml:space="preserve"> </w:t>
            </w:r>
            <w:r w:rsidR="00BB0CA0">
              <w:t xml:space="preserve">overseas </w:t>
            </w:r>
            <w:r w:rsidRPr="00E15964">
              <w:t xml:space="preserve">subsidiary of an ADI </w:t>
            </w:r>
            <w:r>
              <w:t xml:space="preserve">and </w:t>
            </w:r>
            <w:r w:rsidRPr="00E15964">
              <w:t>in relation to instruments issued by a locally incorporated subsidiary ADI of a foreign bank</w:t>
            </w:r>
            <w:r>
              <w:t>.</w:t>
            </w:r>
          </w:p>
        </w:tc>
        <w:tc>
          <w:tcPr>
            <w:tcW w:w="1856" w:type="pct"/>
            <w:shd w:val="clear" w:color="auto" w:fill="F2F2F2" w:themeFill="background1" w:themeFillShade="F2"/>
          </w:tcPr>
          <w:p w14:paraId="7072AA44" w14:textId="45726681" w:rsidR="009F2392" w:rsidRDefault="009F2392" w:rsidP="001672DD">
            <w:pPr>
              <w:cnfStyle w:val="000000100000" w:firstRow="0" w:lastRow="0" w:firstColumn="0" w:lastColumn="0" w:oddVBand="0" w:evenVBand="0" w:oddHBand="1" w:evenHBand="0" w:firstRowFirstColumn="0" w:firstRowLastColumn="0" w:lastRowFirstColumn="0" w:lastRowLastColumn="0"/>
            </w:pPr>
            <w:r>
              <w:t>A</w:t>
            </w:r>
            <w:r w:rsidRPr="009F2392">
              <w:t xml:space="preserve"> non-viability event applicable to a parent ADI must function as a non-viability event for </w:t>
            </w:r>
            <w:r>
              <w:t>a</w:t>
            </w:r>
            <w:r w:rsidRPr="009F2392">
              <w:t xml:space="preserve"> subsidiary itself for A</w:t>
            </w:r>
            <w:r>
              <w:t>T1</w:t>
            </w:r>
            <w:r w:rsidRPr="009F2392">
              <w:t xml:space="preserve"> Capital and Tier 2 Capital instruments it issues.</w:t>
            </w:r>
          </w:p>
          <w:p w14:paraId="25CE54E4" w14:textId="187CD53F" w:rsidR="009F2392" w:rsidRDefault="009F2392" w:rsidP="001672DD">
            <w:pPr>
              <w:cnfStyle w:val="000000100000" w:firstRow="0" w:lastRow="0" w:firstColumn="0" w:lastColumn="0" w:oddVBand="0" w:evenVBand="0" w:oddHBand="1" w:evenHBand="0" w:firstRowFirstColumn="0" w:firstRowLastColumn="0" w:lastRowFirstColumn="0" w:lastRowLastColumn="0"/>
            </w:pPr>
            <w:r w:rsidRPr="009F2392">
              <w:t>A fully consolidated subsidiary incorporated overseas may, however, also be subject to non-viability requirements imposed by a host regulator. The implementation of such non-viability requirements upon the overseas incorporated subsidiary must not, however, serve as a loss absorption event for a parent ADI.</w:t>
            </w:r>
          </w:p>
          <w:p w14:paraId="50565AB3" w14:textId="0164E65E" w:rsidR="008C1228" w:rsidRDefault="008C1228" w:rsidP="001672DD">
            <w:pPr>
              <w:cnfStyle w:val="000000100000" w:firstRow="0" w:lastRow="0" w:firstColumn="0" w:lastColumn="0" w:oddVBand="0" w:evenVBand="0" w:oddHBand="1" w:evenHBand="0" w:firstRowFirstColumn="0" w:firstRowLastColumn="0" w:lastRowFirstColumn="0" w:lastRowLastColumn="0"/>
            </w:pPr>
            <w:r>
              <w:t>A</w:t>
            </w:r>
            <w:r w:rsidRPr="009B4C6A">
              <w:t xml:space="preserve"> non-viability</w:t>
            </w:r>
            <w:r>
              <w:t xml:space="preserve"> event </w:t>
            </w:r>
            <w:r w:rsidRPr="009B4C6A">
              <w:t xml:space="preserve">applicable to a parent foreign bank, or to the group to which </w:t>
            </w:r>
            <w:r>
              <w:t>a</w:t>
            </w:r>
            <w:r w:rsidRPr="009B4C6A">
              <w:t xml:space="preserve"> foreign bank owned locally-incorporated ADI subsidiary belongs, may function as a non-viability event for the subsidiary itself for A</w:t>
            </w:r>
            <w:r>
              <w:t>T1 Capital</w:t>
            </w:r>
            <w:r w:rsidRPr="009B4C6A">
              <w:t xml:space="preserve"> or Tier 2 Capital instruments it issues</w:t>
            </w:r>
            <w:r>
              <w:t>.</w:t>
            </w:r>
          </w:p>
          <w:p w14:paraId="7FC9F037" w14:textId="098AAD10" w:rsidR="007711B0" w:rsidRDefault="007711B0" w:rsidP="001672DD">
            <w:pPr>
              <w:cnfStyle w:val="000000100000" w:firstRow="0" w:lastRow="0" w:firstColumn="0" w:lastColumn="0" w:oddVBand="0" w:evenVBand="0" w:oddHBand="1" w:evenHBand="0" w:firstRowFirstColumn="0" w:firstRowLastColumn="0" w:lastRowFirstColumn="0" w:lastRowLastColumn="0"/>
            </w:pPr>
            <w:r>
              <w:t>A</w:t>
            </w:r>
            <w:r w:rsidRPr="007711B0">
              <w:t xml:space="preserve"> locally-incorporated ADI subsidiary of a foreign bank </w:t>
            </w:r>
            <w:r>
              <w:t xml:space="preserve">would also </w:t>
            </w:r>
            <w:r w:rsidRPr="007711B0">
              <w:t>disclose for A</w:t>
            </w:r>
            <w:r>
              <w:t>T</w:t>
            </w:r>
            <w:r w:rsidRPr="007711B0">
              <w:t>1 Capital and Tier 2 Capital instruments it issues that such instruments are subject to potential loss as a result of home regulatory provisions.</w:t>
            </w:r>
          </w:p>
          <w:p w14:paraId="47111A88" w14:textId="25A89C91" w:rsidR="0078530E" w:rsidRPr="0078530E" w:rsidRDefault="008B4E06" w:rsidP="001672DD">
            <w:pPr>
              <w:cnfStyle w:val="000000100000" w:firstRow="0" w:lastRow="0" w:firstColumn="0" w:lastColumn="0" w:oddVBand="0" w:evenVBand="0" w:oddHBand="1" w:evenHBand="0" w:firstRowFirstColumn="0" w:firstRowLastColumn="0" w:lastRowFirstColumn="0" w:lastRowLastColumn="0"/>
            </w:pPr>
            <w:r w:rsidRPr="008B4E06">
              <w:t>If a non-viability event occurs as a result of only host or home regulator or statutory non-viability requirements, the amount of conversion or write-off of A</w:t>
            </w:r>
            <w:r w:rsidR="00BB284A">
              <w:t>T</w:t>
            </w:r>
            <w:r w:rsidRPr="008B4E06">
              <w:t xml:space="preserve">1 </w:t>
            </w:r>
            <w:r w:rsidR="00BB0CA0">
              <w:t xml:space="preserve">Capital </w:t>
            </w:r>
            <w:r w:rsidRPr="008B4E06">
              <w:t xml:space="preserve">or Tier 2 Capital instruments issued by a fully consolidated </w:t>
            </w:r>
            <w:r w:rsidR="00BB0CA0">
              <w:t xml:space="preserve">overseas </w:t>
            </w:r>
            <w:r w:rsidRPr="008B4E06">
              <w:t>subsidiary of an ADI, or by a foreign bank owned locally</w:t>
            </w:r>
            <w:r w:rsidR="00E22C04">
              <w:t xml:space="preserve"> </w:t>
            </w:r>
            <w:r w:rsidRPr="008B4E06">
              <w:t>incorporated ADI subsidiary</w:t>
            </w:r>
            <w:r w:rsidR="00BB0CA0">
              <w:t>,</w:t>
            </w:r>
            <w:r w:rsidR="00BB284A">
              <w:t xml:space="preserve"> is determined </w:t>
            </w:r>
            <w:r w:rsidRPr="008B4E06">
              <w:t>by the relevant host or home regulator or statutory requirements</w:t>
            </w:r>
            <w:r w:rsidR="00BB284A">
              <w:t>.</w:t>
            </w:r>
          </w:p>
        </w:tc>
      </w:tr>
      <w:tr w:rsidR="00D202A2" w14:paraId="1F137D67" w14:textId="77777777" w:rsidTr="001672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7" w:type="pct"/>
          </w:tcPr>
          <w:p w14:paraId="51DA7BC0" w14:textId="77777777" w:rsidR="00D202A2" w:rsidRPr="00775FCB" w:rsidRDefault="00D202A2" w:rsidP="001672DD">
            <w:pPr>
              <w:pStyle w:val="TableHeading"/>
              <w:keepNext w:val="0"/>
              <w:spacing w:before="60" w:after="60"/>
            </w:pPr>
            <w:r>
              <w:t>MEIs</w:t>
            </w:r>
          </w:p>
        </w:tc>
        <w:tc>
          <w:tcPr>
            <w:tcW w:w="1856" w:type="pct"/>
            <w:shd w:val="clear" w:color="auto" w:fill="F2F2F2" w:themeFill="background1" w:themeFillShade="F2"/>
          </w:tcPr>
          <w:p w14:paraId="45CA430D" w14:textId="77777777" w:rsidR="00D202A2" w:rsidRPr="00775FCB" w:rsidRDefault="00D202A2" w:rsidP="001672DD">
            <w:pPr>
              <w:cnfStyle w:val="000000010000" w:firstRow="0" w:lastRow="0" w:firstColumn="0" w:lastColumn="0" w:oddVBand="0" w:evenVBand="0" w:oddHBand="0" w:evenHBand="1" w:firstRowFirstColumn="0" w:firstRowLastColumn="0" w:lastRowFirstColumn="0" w:lastRowLastColumn="0"/>
            </w:pPr>
            <w:r>
              <w:t>There are no preferential distributions, including in respect of other elements classified as CET1 Capital.</w:t>
            </w:r>
          </w:p>
        </w:tc>
        <w:tc>
          <w:tcPr>
            <w:tcW w:w="1856" w:type="pct"/>
            <w:shd w:val="clear" w:color="auto" w:fill="F2F2F2" w:themeFill="background1" w:themeFillShade="F2"/>
          </w:tcPr>
          <w:p w14:paraId="7B7B1C71" w14:textId="13273A06" w:rsidR="00D202A2" w:rsidRPr="00DB2E3E" w:rsidRDefault="00D202A2" w:rsidP="001672DD">
            <w:pPr>
              <w:cnfStyle w:val="000000010000" w:firstRow="0" w:lastRow="0" w:firstColumn="0" w:lastColumn="0" w:oddVBand="0" w:evenVBand="0" w:oddHBand="0" w:evenHBand="1" w:firstRowFirstColumn="0" w:firstRowLastColumn="0" w:lastRowFirstColumn="0" w:lastRowLastColumn="0"/>
            </w:pPr>
            <w:r w:rsidRPr="00907F82">
              <w:t>MEIs</w:t>
            </w:r>
            <w:r w:rsidR="00DB2E3E" w:rsidRPr="002A2FBF">
              <w:t xml:space="preserve"> involve </w:t>
            </w:r>
            <w:r w:rsidRPr="002A2FBF">
              <w:t>preferential distributions</w:t>
            </w:r>
            <w:r w:rsidR="00B262A8" w:rsidRPr="002A2FBF">
              <w:t xml:space="preserve"> and thus </w:t>
            </w:r>
            <w:r w:rsidR="00DB2E3E" w:rsidRPr="002A2FBF">
              <w:t xml:space="preserve">the existing </w:t>
            </w:r>
            <w:r w:rsidR="00492E0E">
              <w:t xml:space="preserve">APS 111 </w:t>
            </w:r>
            <w:r w:rsidR="00DB2E3E" w:rsidRPr="002A2FBF">
              <w:t>reference to non</w:t>
            </w:r>
            <w:r w:rsidR="0046026D">
              <w:t>-</w:t>
            </w:r>
            <w:r w:rsidR="00DB2E3E" w:rsidRPr="00907F82">
              <w:t xml:space="preserve">preferential </w:t>
            </w:r>
            <w:r w:rsidR="0046026D" w:rsidRPr="0046026D">
              <w:t>distributions</w:t>
            </w:r>
            <w:r w:rsidR="00DB2E3E" w:rsidRPr="00907F82">
              <w:t xml:space="preserve"> is not applicable to MEIs</w:t>
            </w:r>
            <w:r w:rsidRPr="002A2FBF">
              <w:t>.</w:t>
            </w:r>
          </w:p>
          <w:p w14:paraId="3CFF0945" w14:textId="2C367D2E" w:rsidR="00D202A2" w:rsidRDefault="00DB2E3E" w:rsidP="001672DD">
            <w:pPr>
              <w:cnfStyle w:val="000000010000" w:firstRow="0" w:lastRow="0" w:firstColumn="0" w:lastColumn="0" w:oddVBand="0" w:evenVBand="0" w:oddHBand="0" w:evenHBand="1" w:firstRowFirstColumn="0" w:firstRowLastColumn="0" w:lastRowFirstColumn="0" w:lastRowLastColumn="0"/>
            </w:pPr>
            <w:r w:rsidRPr="00907F82">
              <w:t xml:space="preserve">For MEIs, the </w:t>
            </w:r>
            <w:r w:rsidR="00D202A2" w:rsidRPr="002A2FBF">
              <w:t>principal amount is perpetual and is never repaid outside liquidation (other than discretionary repurchases subject to APRA’s approval)</w:t>
            </w:r>
            <w:r w:rsidR="00D47CF7">
              <w:t>.</w:t>
            </w:r>
          </w:p>
        </w:tc>
      </w:tr>
    </w:tbl>
    <w:p w14:paraId="3B4D2869" w14:textId="77777777" w:rsidR="00D202A2" w:rsidRPr="00D202A2" w:rsidRDefault="00D202A2" w:rsidP="00907F82"/>
    <w:p w14:paraId="5794BD2B" w14:textId="0EC4FCFD" w:rsidR="00B55B62" w:rsidRDefault="006C1E97" w:rsidP="006C1E97">
      <w:pPr>
        <w:pStyle w:val="Heading1Numbers"/>
      </w:pPr>
      <w:bookmarkStart w:id="288" w:name="_Toc17283324"/>
      <w:bookmarkStart w:id="289" w:name="_Toc17291206"/>
      <w:bookmarkStart w:id="290" w:name="_Toc17376645"/>
      <w:bookmarkStart w:id="291" w:name="_Toc20405524"/>
      <w:r>
        <w:t>Consultation</w:t>
      </w:r>
      <w:bookmarkEnd w:id="288"/>
      <w:bookmarkEnd w:id="289"/>
      <w:bookmarkEnd w:id="290"/>
      <w:bookmarkEnd w:id="291"/>
    </w:p>
    <w:p w14:paraId="33997EDC" w14:textId="16C3D5D0" w:rsidR="006C1E97" w:rsidRDefault="006C1E97" w:rsidP="006C1E97">
      <w:pPr>
        <w:pStyle w:val="Heading2Numbers"/>
        <w:ind w:left="851"/>
      </w:pPr>
      <w:bookmarkStart w:id="292" w:name="_Toc15987954"/>
      <w:bookmarkStart w:id="293" w:name="_Toc16067977"/>
      <w:bookmarkStart w:id="294" w:name="_Toc16752489"/>
      <w:bookmarkStart w:id="295" w:name="_Toc16759922"/>
      <w:bookmarkStart w:id="296" w:name="_Toc16765509"/>
      <w:bookmarkStart w:id="297" w:name="_Toc16773513"/>
      <w:bookmarkStart w:id="298" w:name="_Toc16773770"/>
      <w:bookmarkStart w:id="299" w:name="_Toc17097523"/>
      <w:bookmarkStart w:id="300" w:name="_Toc17103811"/>
      <w:bookmarkStart w:id="301" w:name="_Toc17105607"/>
      <w:bookmarkStart w:id="302" w:name="_Toc17276172"/>
      <w:bookmarkStart w:id="303" w:name="_Toc17283325"/>
      <w:bookmarkStart w:id="304" w:name="_Toc17291207"/>
      <w:bookmarkStart w:id="305" w:name="_Toc17375793"/>
      <w:bookmarkStart w:id="306" w:name="_Toc17376646"/>
      <w:bookmarkStart w:id="307" w:name="_Toc17450837"/>
      <w:bookmarkStart w:id="308" w:name="_Toc17468092"/>
      <w:bookmarkStart w:id="309" w:name="_Toc17811671"/>
      <w:bookmarkStart w:id="310" w:name="_Toc19122153"/>
      <w:bookmarkStart w:id="311" w:name="_Toc20405525"/>
      <w:r>
        <w:t>Request for submissions</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4BC37BD7" w14:textId="77777777" w:rsidR="006C1E97" w:rsidRDefault="006C1E97" w:rsidP="00293716">
      <w:r>
        <w:t xml:space="preserve">APRA invites written submissions on the proposals set out in this Discussion Paper. </w:t>
      </w:r>
    </w:p>
    <w:p w14:paraId="2572CB49" w14:textId="647EF654" w:rsidR="006C1E97" w:rsidRDefault="006C1E97" w:rsidP="00293716">
      <w:r>
        <w:t xml:space="preserve">Written submissions should be sent to </w:t>
      </w:r>
      <w:hyperlink r:id="rId12" w:history="1">
        <w:r w:rsidR="004956D7" w:rsidRPr="00AE7260">
          <w:rPr>
            <w:rStyle w:val="Hyperlink"/>
          </w:rPr>
          <w:t>ADIpolicy@apra.gov.au</w:t>
        </w:r>
      </w:hyperlink>
      <w:r w:rsidR="004956D7">
        <w:t xml:space="preserve"> </w:t>
      </w:r>
      <w:r>
        <w:t xml:space="preserve">by </w:t>
      </w:r>
      <w:r w:rsidR="00DC1AA7">
        <w:t>31</w:t>
      </w:r>
      <w:r w:rsidR="002D7EBE">
        <w:t xml:space="preserve"> </w:t>
      </w:r>
      <w:r w:rsidR="00DC1AA7">
        <w:t>January</w:t>
      </w:r>
      <w:r>
        <w:t xml:space="preserve"> 20</w:t>
      </w:r>
      <w:r w:rsidR="00DC1AA7">
        <w:t>20</w:t>
      </w:r>
      <w:r>
        <w:t xml:space="preserve"> and addressed to: </w:t>
      </w:r>
    </w:p>
    <w:p w14:paraId="3FED83BD" w14:textId="77777777" w:rsidR="006C1E97" w:rsidRDefault="006C1E97" w:rsidP="00293716">
      <w:pPr>
        <w:contextualSpacing/>
      </w:pPr>
      <w:r>
        <w:t xml:space="preserve">General Manager </w:t>
      </w:r>
    </w:p>
    <w:p w14:paraId="15E3C9CC" w14:textId="77777777" w:rsidR="006C1E97" w:rsidRDefault="006C1E97" w:rsidP="00293716">
      <w:pPr>
        <w:contextualSpacing/>
      </w:pPr>
      <w:r>
        <w:t xml:space="preserve">Policy Development </w:t>
      </w:r>
    </w:p>
    <w:p w14:paraId="5EC14C4F" w14:textId="77777777" w:rsidR="006C1E97" w:rsidRDefault="006C1E97" w:rsidP="00293716">
      <w:pPr>
        <w:contextualSpacing/>
      </w:pPr>
      <w:r>
        <w:t xml:space="preserve">Policy and Advice Division </w:t>
      </w:r>
    </w:p>
    <w:p w14:paraId="71EE42BC" w14:textId="38994B31" w:rsidR="006C1E97" w:rsidRDefault="006C1E97" w:rsidP="00293716">
      <w:pPr>
        <w:contextualSpacing/>
      </w:pPr>
      <w:r>
        <w:t>Australian Prudential Regulation Authority</w:t>
      </w:r>
    </w:p>
    <w:p w14:paraId="7F65EDDD" w14:textId="564B958B" w:rsidR="004956D7" w:rsidRDefault="004956D7" w:rsidP="004956D7">
      <w:pPr>
        <w:pStyle w:val="Heading2Numbers"/>
        <w:ind w:left="851"/>
      </w:pPr>
      <w:bookmarkStart w:id="312" w:name="_Toc15987955"/>
      <w:bookmarkStart w:id="313" w:name="_Toc16067978"/>
      <w:bookmarkStart w:id="314" w:name="_Toc16752490"/>
      <w:bookmarkStart w:id="315" w:name="_Toc16759923"/>
      <w:bookmarkStart w:id="316" w:name="_Toc16765510"/>
      <w:bookmarkStart w:id="317" w:name="_Toc16773514"/>
      <w:bookmarkStart w:id="318" w:name="_Toc16773771"/>
      <w:bookmarkStart w:id="319" w:name="_Toc17097524"/>
      <w:bookmarkStart w:id="320" w:name="_Toc17103812"/>
      <w:bookmarkStart w:id="321" w:name="_Toc17105608"/>
      <w:bookmarkStart w:id="322" w:name="_Toc17276173"/>
      <w:bookmarkStart w:id="323" w:name="_Toc17283326"/>
      <w:bookmarkStart w:id="324" w:name="_Toc17291208"/>
      <w:bookmarkStart w:id="325" w:name="_Toc17375794"/>
      <w:bookmarkStart w:id="326" w:name="_Toc17376647"/>
      <w:bookmarkStart w:id="327" w:name="_Toc17450838"/>
      <w:bookmarkStart w:id="328" w:name="_Toc17468093"/>
      <w:bookmarkStart w:id="329" w:name="_Toc17811672"/>
      <w:bookmarkStart w:id="330" w:name="_Toc19122154"/>
      <w:bookmarkStart w:id="331" w:name="_Toc20405526"/>
      <w:r>
        <w:t>Important disclosure notice – publication of submissions</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5CA0B5E3" w14:textId="77777777" w:rsidR="004956D7" w:rsidRDefault="004956D7" w:rsidP="00293716">
      <w:r>
        <w:t>All information in submissions will be made available to the public on the APRA website unless a respondent expressly requests that all or part of the submission is to remain in confidence.</w:t>
      </w:r>
    </w:p>
    <w:p w14:paraId="1C6EAA52" w14:textId="77777777" w:rsidR="004956D7" w:rsidRDefault="004956D7" w:rsidP="00293716">
      <w:r>
        <w:t>Automatically generated confidentiality statements in emails do not suffice for this purpose.</w:t>
      </w:r>
    </w:p>
    <w:p w14:paraId="5C88D1FF" w14:textId="77777777" w:rsidR="004956D7" w:rsidRDefault="004956D7" w:rsidP="00293716">
      <w:r>
        <w:t>Respondents who would like part of their submission to remain in confidence should provide this information marked as confidential in a separate attachment.</w:t>
      </w:r>
    </w:p>
    <w:p w14:paraId="07ED050C" w14:textId="77777777" w:rsidR="004956D7" w:rsidRDefault="004956D7" w:rsidP="00293716">
      <w:r>
        <w:t>Submissions may be the subject of a request for access made under the Freedom of Information Act 1982 (FOIA).</w:t>
      </w:r>
    </w:p>
    <w:p w14:paraId="3CE00305" w14:textId="2AE755EF" w:rsidR="004956D7" w:rsidRDefault="004956D7" w:rsidP="00293716">
      <w:r>
        <w:t>APRA will determine such requests, if any, in accordance with the provisions of the FOIA. Information in the submission about any APRA-regulated entity that is not in the public domain and that is identified as confidential will be protected by section 56 of the Australian Prudential Regulation Authority Act 1998 and will therefore be exempt from production under the FOIA.</w:t>
      </w:r>
    </w:p>
    <w:p w14:paraId="20E404B1" w14:textId="06B28283" w:rsidR="004956D7" w:rsidRPr="006C1E97" w:rsidRDefault="004956D7" w:rsidP="004956D7">
      <w:pPr>
        <w:pStyle w:val="Heading2Numbers"/>
        <w:ind w:left="851"/>
      </w:pPr>
      <w:bookmarkStart w:id="332" w:name="_Toc15987956"/>
      <w:bookmarkStart w:id="333" w:name="_Toc16067979"/>
      <w:bookmarkStart w:id="334" w:name="_Toc16752491"/>
      <w:bookmarkStart w:id="335" w:name="_Toc16759924"/>
      <w:bookmarkStart w:id="336" w:name="_Toc16765511"/>
      <w:bookmarkStart w:id="337" w:name="_Toc16773515"/>
      <w:bookmarkStart w:id="338" w:name="_Toc16773772"/>
      <w:bookmarkStart w:id="339" w:name="_Toc17097525"/>
      <w:bookmarkStart w:id="340" w:name="_Toc17103813"/>
      <w:bookmarkStart w:id="341" w:name="_Toc17105609"/>
      <w:bookmarkStart w:id="342" w:name="_Toc17276174"/>
      <w:bookmarkStart w:id="343" w:name="_Toc17283327"/>
      <w:bookmarkStart w:id="344" w:name="_Toc17291209"/>
      <w:bookmarkStart w:id="345" w:name="_Toc17375795"/>
      <w:bookmarkStart w:id="346" w:name="_Toc17376648"/>
      <w:bookmarkStart w:id="347" w:name="_Toc17450839"/>
      <w:bookmarkStart w:id="348" w:name="_Toc17468094"/>
      <w:bookmarkStart w:id="349" w:name="_Toc17811673"/>
      <w:bookmarkStart w:id="350" w:name="_Toc19122155"/>
      <w:bookmarkStart w:id="351" w:name="_Toc20405527"/>
      <w:r>
        <w:t>Request for cost-benefit analysis information</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74ED4C84" w14:textId="77777777" w:rsidR="004956D7" w:rsidRDefault="004956D7" w:rsidP="00293716">
      <w:r>
        <w:t>APRA requests that all interested stakeholders use this consultation opportunity to provide information on the compliance impact of the proposed changes and any other substantive costs associated with the changes. Compliance costs are defined as direct costs to businesses of performing activities associated with complying with government regulation. Specifically, information is sought on any increases or decreases to the compliance costs incurred by businesses as a result of APRA’s proposal.</w:t>
      </w:r>
    </w:p>
    <w:p w14:paraId="4E9D6414" w14:textId="75D8D2A1" w:rsidR="004956D7" w:rsidRDefault="004956D7" w:rsidP="00293716">
      <w:r>
        <w:t xml:space="preserve">Consistent with the Government’s approach, APRA will use the methodology behind the Regulatory Burden Measurement Tool to assess compliance costs. This tool is designed to capture the relevant costs in a structured way, including a separate assessment of upfront costs and ongoing costs. It is available at: </w:t>
      </w:r>
      <w:hyperlink r:id="rId13" w:history="1">
        <w:r w:rsidRPr="00AE7260">
          <w:rPr>
            <w:rStyle w:val="Hyperlink"/>
          </w:rPr>
          <w:t>https://rbm.obpr.gov.au/home.aspx</w:t>
        </w:r>
      </w:hyperlink>
      <w:r>
        <w:t xml:space="preserve">. </w:t>
      </w:r>
    </w:p>
    <w:p w14:paraId="09458242" w14:textId="0715447C" w:rsidR="004956D7" w:rsidRDefault="004956D7" w:rsidP="00293716">
      <w:r>
        <w:t>Respondents are requested to use this methodology to estimate costs to ensure that the data supplied to APRA can be aggregated and used in an industry-wide assessment. When submitting their cost assessment to APRA, respondents are asked to include any assumptions made and, where relevant, any limitations inherent in their assessment. Feedback should address the additional costs incurred as a result of complying with APRA’s requirements, not activities that institutions would undertake regardless of regulatory requirements in their ordinary course of business.</w:t>
      </w:r>
    </w:p>
    <w:p w14:paraId="4B41EF19" w14:textId="77777777" w:rsidR="00B55B62" w:rsidRDefault="00B55B62">
      <w:pPr>
        <w:tabs>
          <w:tab w:val="clear" w:pos="1492"/>
        </w:tabs>
      </w:pPr>
      <w:r>
        <w:br w:type="page"/>
      </w:r>
    </w:p>
    <w:p w14:paraId="1F1DBAD5" w14:textId="53A08EA3" w:rsidR="005468A1" w:rsidRDefault="00773DCA" w:rsidP="00DE09BB">
      <w:pPr>
        <w:pStyle w:val="Heading1"/>
      </w:pPr>
      <w:bookmarkStart w:id="352" w:name="_Toc17376649"/>
      <w:bookmarkStart w:id="353" w:name="_Toc20405528"/>
      <w:r w:rsidDel="00D202A2">
        <w:t xml:space="preserve">Attachment A – </w:t>
      </w:r>
      <w:bookmarkStart w:id="354" w:name="_Toc16765513"/>
      <w:bookmarkStart w:id="355" w:name="_Toc16765891"/>
      <w:bookmarkStart w:id="356" w:name="_Toc16765520"/>
      <w:bookmarkStart w:id="357" w:name="_Toc16765898"/>
      <w:bookmarkStart w:id="358" w:name="_Toc16765523"/>
      <w:bookmarkStart w:id="359" w:name="_Toc16765901"/>
      <w:bookmarkStart w:id="360" w:name="_Toc16765525"/>
      <w:bookmarkStart w:id="361" w:name="_Toc16765903"/>
      <w:bookmarkStart w:id="362" w:name="_Toc16765542"/>
      <w:bookmarkStart w:id="363" w:name="_Toc16765920"/>
      <w:bookmarkStart w:id="364" w:name="_Toc16765546"/>
      <w:bookmarkStart w:id="365" w:name="_Toc16765924"/>
      <w:bookmarkStart w:id="366" w:name="_Toc16765547"/>
      <w:bookmarkStart w:id="367" w:name="_Toc16765925"/>
      <w:bookmarkStart w:id="368" w:name="_Toc17283328"/>
      <w:bookmarkStart w:id="369" w:name="_Toc17291210"/>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005468A1" w:rsidRPr="00F952BE">
        <w:t>Policy options and estimated comparative net benefits</w:t>
      </w:r>
      <w:bookmarkEnd w:id="352"/>
      <w:bookmarkEnd w:id="368"/>
      <w:bookmarkEnd w:id="369"/>
      <w:bookmarkEnd w:id="353"/>
    </w:p>
    <w:p w14:paraId="0E344029" w14:textId="1C0FDB23" w:rsidR="00F952BE" w:rsidRDefault="006961E4" w:rsidP="00F952BE">
      <w:pPr>
        <w:tabs>
          <w:tab w:val="clear" w:pos="1492"/>
        </w:tabs>
      </w:pPr>
      <w:r>
        <w:t>Two</w:t>
      </w:r>
      <w:r w:rsidR="00F952BE">
        <w:t xml:space="preserve"> </w:t>
      </w:r>
      <w:r w:rsidR="00E85F54">
        <w:t>policy</w:t>
      </w:r>
      <w:r w:rsidR="00F952BE">
        <w:t xml:space="preserve"> options are discussed further below, together with a preliminary analysis of the costs and benefits of each. The analysis of costs associated with each option focuses on compliance costs, that is, the direct administrative, substantive (business) and financial costs incurred by ADIs in complying with government regulation. Indirect costs for ADIs and other stakeholders arising as a consequence of regulation (or not applying regulation) are also considered. </w:t>
      </w:r>
    </w:p>
    <w:p w14:paraId="61C11681" w14:textId="058E2F74" w:rsidR="008B39AF" w:rsidRPr="003A473C" w:rsidRDefault="00F952BE" w:rsidP="00F952BE">
      <w:pPr>
        <w:tabs>
          <w:tab w:val="clear" w:pos="1492"/>
        </w:tabs>
      </w:pPr>
      <w:r>
        <w:t>Any information provided in response to APRA’s request for cost-benefit analysis information will be used by APRA to quantify the change in regulatory burden using the Regulatory Burden Measurement Tool, and inform calculations of the net benefits of the proposal.</w:t>
      </w:r>
    </w:p>
    <w:tbl>
      <w:tblPr>
        <w:tblStyle w:val="TableGrid"/>
        <w:tblW w:w="0" w:type="auto"/>
        <w:tblBorders>
          <w:bottom w:val="none" w:sz="0" w:space="0" w:color="auto"/>
          <w:insideH w:val="none" w:sz="0" w:space="0" w:color="auto"/>
          <w:insideV w:val="none" w:sz="0" w:space="0" w:color="auto"/>
        </w:tblBorders>
        <w:tblLook w:val="04A0" w:firstRow="1" w:lastRow="0" w:firstColumn="1" w:lastColumn="0" w:noHBand="0" w:noVBand="1"/>
      </w:tblPr>
      <w:tblGrid>
        <w:gridCol w:w="1980"/>
        <w:gridCol w:w="7036"/>
      </w:tblGrid>
      <w:tr w:rsidR="005B77F3" w:rsidRPr="003D5F81" w14:paraId="0AC422F1" w14:textId="77777777" w:rsidTr="00A00A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FFFFFF" w:themeColor="background1"/>
            </w:tcBorders>
            <w:shd w:val="clear" w:color="auto" w:fill="002060"/>
          </w:tcPr>
          <w:p w14:paraId="7C525169" w14:textId="77777777" w:rsidR="005B77F3" w:rsidRPr="002D79A9" w:rsidRDefault="005B77F3" w:rsidP="00A00A02">
            <w:pPr>
              <w:pStyle w:val="APRAHEADING5"/>
              <w:spacing w:before="0" w:after="240" w:line="240" w:lineRule="auto"/>
              <w:rPr>
                <w:i w:val="0"/>
                <w:color w:val="FFFFFF" w:themeColor="background1"/>
              </w:rPr>
            </w:pPr>
            <w:r w:rsidRPr="002D79A9">
              <w:rPr>
                <w:i w:val="0"/>
                <w:color w:val="FFFFFF" w:themeColor="background1"/>
              </w:rPr>
              <w:t>Option 1</w:t>
            </w:r>
          </w:p>
        </w:tc>
        <w:tc>
          <w:tcPr>
            <w:tcW w:w="7036" w:type="dxa"/>
            <w:tcBorders>
              <w:bottom w:val="single" w:sz="4" w:space="0" w:color="FFFFFF" w:themeColor="background1"/>
            </w:tcBorders>
            <w:shd w:val="clear" w:color="auto" w:fill="F2F2F2" w:themeFill="background1" w:themeFillShade="F2"/>
          </w:tcPr>
          <w:p w14:paraId="7D0A2F43" w14:textId="23A61316" w:rsidR="005B77F3" w:rsidRPr="008D1099" w:rsidRDefault="005B77F3" w:rsidP="005B77F3">
            <w:pPr>
              <w:pStyle w:val="APRANORMAL"/>
              <w:cnfStyle w:val="100000000000" w:firstRow="1" w:lastRow="0" w:firstColumn="0" w:lastColumn="0" w:oddVBand="0" w:evenVBand="0" w:oddHBand="0" w:evenHBand="0" w:firstRowFirstColumn="0" w:firstRowLastColumn="0" w:lastRowFirstColumn="0" w:lastRowLastColumn="0"/>
            </w:pPr>
            <w:r w:rsidRPr="008D1099">
              <w:t xml:space="preserve">No change to the </w:t>
            </w:r>
            <w:r>
              <w:t>existing</w:t>
            </w:r>
            <w:r w:rsidRPr="008D1099">
              <w:t xml:space="preserve"> APS </w:t>
            </w:r>
            <w:r>
              <w:t>111.</w:t>
            </w:r>
          </w:p>
        </w:tc>
      </w:tr>
      <w:tr w:rsidR="005B77F3" w14:paraId="146E28DA" w14:textId="77777777" w:rsidTr="00A00A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FFFFF" w:themeColor="background1"/>
              <w:bottom w:val="single" w:sz="4" w:space="0" w:color="FFFFFF" w:themeColor="background1"/>
            </w:tcBorders>
            <w:shd w:val="clear" w:color="auto" w:fill="002060"/>
          </w:tcPr>
          <w:p w14:paraId="31BC3CF3" w14:textId="540AFBBD" w:rsidR="005B77F3" w:rsidRPr="002D79A9" w:rsidRDefault="005B77F3" w:rsidP="00DB2E3E">
            <w:pPr>
              <w:pStyle w:val="APRAHEADING5"/>
              <w:spacing w:before="0" w:after="240" w:line="240" w:lineRule="auto"/>
              <w:rPr>
                <w:i w:val="0"/>
                <w:color w:val="FFFFFF" w:themeColor="background1"/>
              </w:rPr>
            </w:pPr>
            <w:r w:rsidRPr="002D79A9">
              <w:rPr>
                <w:i w:val="0"/>
                <w:color w:val="FFFFFF" w:themeColor="background1"/>
              </w:rPr>
              <w:t xml:space="preserve">Option </w:t>
            </w:r>
            <w:r w:rsidR="00DB2E3E">
              <w:rPr>
                <w:i w:val="0"/>
                <w:color w:val="FFFFFF" w:themeColor="background1"/>
              </w:rPr>
              <w:t>2</w:t>
            </w:r>
          </w:p>
        </w:tc>
        <w:tc>
          <w:tcPr>
            <w:tcW w:w="7036" w:type="dxa"/>
            <w:tcBorders>
              <w:top w:val="single" w:sz="4" w:space="0" w:color="FFFFFF" w:themeColor="background1"/>
              <w:bottom w:val="single" w:sz="4" w:space="0" w:color="FFFFFF" w:themeColor="background1"/>
            </w:tcBorders>
            <w:shd w:val="clear" w:color="auto" w:fill="F2F2F2" w:themeFill="background1" w:themeFillShade="F2"/>
          </w:tcPr>
          <w:p w14:paraId="1D7B0B53" w14:textId="446870A1" w:rsidR="005B77F3" w:rsidRPr="008D1099" w:rsidRDefault="005B77F3" w:rsidP="00DB2E3E">
            <w:pPr>
              <w:pStyle w:val="APRANORMAL"/>
              <w:cnfStyle w:val="000000100000" w:firstRow="0" w:lastRow="0" w:firstColumn="0" w:lastColumn="0" w:oddVBand="0" w:evenVBand="0" w:oddHBand="1" w:evenHBand="0" w:firstRowFirstColumn="0" w:firstRowLastColumn="0" w:lastRowFirstColumn="0" w:lastRowLastColumn="0"/>
            </w:pPr>
            <w:r w:rsidRPr="008D1099">
              <w:t>A</w:t>
            </w:r>
            <w:r w:rsidR="00DB2E3E">
              <w:t>n</w:t>
            </w:r>
            <w:r w:rsidRPr="008D1099">
              <w:t xml:space="preserve"> update </w:t>
            </w:r>
            <w:r>
              <w:t xml:space="preserve">of </w:t>
            </w:r>
            <w:r w:rsidRPr="008D1099">
              <w:t xml:space="preserve">APS </w:t>
            </w:r>
            <w:r>
              <w:t>111</w:t>
            </w:r>
            <w:r w:rsidRPr="008D1099">
              <w:t xml:space="preserve"> to </w:t>
            </w:r>
            <w:r>
              <w:t>amend the capital treatment, at Level 1, of equity investments in ADIs and equivalent overseas deposit-taking institutions and their subsidiaries, and insurance companies that are subsidiaries of the ADI;</w:t>
            </w:r>
            <w:r w:rsidR="00A31814">
              <w:t xml:space="preserve"> </w:t>
            </w:r>
            <w:r>
              <w:t>reflect APRA’s position on the Basel Committee standards, statements and guidance for ADIs’ equity investments in funds and TLAC holdings and capital arbitrage transactions; and</w:t>
            </w:r>
            <w:r w:rsidR="00A31814">
              <w:t xml:space="preserve"> </w:t>
            </w:r>
            <w:r>
              <w:t>clarify and simplify</w:t>
            </w:r>
            <w:r w:rsidR="00A31814">
              <w:t xml:space="preserve"> </w:t>
            </w:r>
            <w:r>
              <w:t>some of the content in the Prudential Standard</w:t>
            </w:r>
            <w:r w:rsidR="00A31814">
              <w:t>.</w:t>
            </w:r>
          </w:p>
        </w:tc>
      </w:tr>
    </w:tbl>
    <w:p w14:paraId="6121E16D" w14:textId="77777777" w:rsidR="005B77F3" w:rsidRDefault="005B77F3" w:rsidP="005B77F3"/>
    <w:p w14:paraId="6BD1EF35" w14:textId="01DB1099" w:rsidR="005B77F3" w:rsidRPr="00EF6FA0" w:rsidRDefault="005B77F3" w:rsidP="005B77F3">
      <w:pPr>
        <w:pStyle w:val="APRAHEADING5"/>
        <w:spacing w:before="0" w:after="240" w:line="240" w:lineRule="auto"/>
        <w:rPr>
          <w:rFonts w:ascii="DIN OT Light" w:hAnsi="DIN OT Light"/>
          <w:b/>
          <w:i w:val="0"/>
        </w:rPr>
      </w:pPr>
      <w:r w:rsidRPr="00F70BDB">
        <w:rPr>
          <w:rFonts w:ascii="DIN OT Light" w:hAnsi="DIN OT Light"/>
          <w:b/>
          <w:i w:val="0"/>
        </w:rPr>
        <w:t xml:space="preserve">Option 1 – No change to the existing </w:t>
      </w:r>
      <w:r w:rsidRPr="00EF6FA0">
        <w:rPr>
          <w:rFonts w:ascii="DIN OT Light" w:hAnsi="DIN OT Light"/>
          <w:b/>
          <w:i w:val="0"/>
        </w:rPr>
        <w:t xml:space="preserve">APS </w:t>
      </w:r>
      <w:r w:rsidR="00A31814">
        <w:rPr>
          <w:rFonts w:ascii="DIN OT Light" w:hAnsi="DIN OT Light"/>
          <w:b/>
          <w:i w:val="0"/>
        </w:rPr>
        <w:t>111</w:t>
      </w:r>
    </w:p>
    <w:p w14:paraId="6FD2B192" w14:textId="09B1F6C4" w:rsidR="005B77F3" w:rsidRDefault="005B77F3" w:rsidP="005B77F3">
      <w:r w:rsidRPr="00F0011C">
        <w:t>Under th</w:t>
      </w:r>
      <w:r>
        <w:t>is</w:t>
      </w:r>
      <w:r w:rsidRPr="00F0011C">
        <w:t xml:space="preserve"> option, ADIs would not incur any additional </w:t>
      </w:r>
      <w:r>
        <w:t xml:space="preserve">compliance </w:t>
      </w:r>
      <w:r w:rsidRPr="00F0011C">
        <w:t>costs.</w:t>
      </w:r>
    </w:p>
    <w:p w14:paraId="3E02B167" w14:textId="6D93DF87" w:rsidR="007F6F80" w:rsidRDefault="007F6F80" w:rsidP="005B77F3">
      <w:r>
        <w:t>However, as</w:t>
      </w:r>
      <w:r w:rsidRPr="007F6F80">
        <w:t xml:space="preserve">pects of APS 111 may remain unclear and open to interpretation, requiring an expanded suite of FAQs </w:t>
      </w:r>
      <w:r w:rsidR="00E85F54">
        <w:t xml:space="preserve">or </w:t>
      </w:r>
      <w:r w:rsidR="00E85F54" w:rsidRPr="00E85F54">
        <w:rPr>
          <w:i/>
        </w:rPr>
        <w:t>ad hoc</w:t>
      </w:r>
      <w:r w:rsidR="00E85F54">
        <w:t xml:space="preserve"> letters </w:t>
      </w:r>
      <w:r w:rsidRPr="007F6F80">
        <w:t>to clarify the Prudential Standard.</w:t>
      </w:r>
    </w:p>
    <w:p w14:paraId="3033C2BC" w14:textId="3F965674" w:rsidR="00E65E8C" w:rsidRDefault="00E65E8C" w:rsidP="00D02C15">
      <w:r>
        <w:t>P</w:t>
      </w:r>
      <w:r w:rsidRPr="00E65E8C">
        <w:t xml:space="preserve">eer group comparisons with banks in other jurisdictions may be </w:t>
      </w:r>
      <w:r w:rsidR="007F6F80">
        <w:t xml:space="preserve">more </w:t>
      </w:r>
      <w:r w:rsidRPr="00E65E8C">
        <w:t>difficult since regulators in these jurisdictions are likely to take account of Basel standards, statements and guidance.</w:t>
      </w:r>
    </w:p>
    <w:p w14:paraId="2729435D" w14:textId="75BCCF1A" w:rsidR="007F6F80" w:rsidRDefault="00822A62" w:rsidP="00D02C15">
      <w:r>
        <w:t>Whilst not related to compliance costs, the</w:t>
      </w:r>
      <w:r w:rsidR="007F6F80" w:rsidRPr="007F6F80">
        <w:t xml:space="preserve"> costs of maintaining the status quo (e.g. continuing the existing capital treatment of equity investments in banking </w:t>
      </w:r>
      <w:r w:rsidR="008258D3">
        <w:t xml:space="preserve">and insurance </w:t>
      </w:r>
      <w:r w:rsidR="007F6F80" w:rsidRPr="007F6F80">
        <w:t xml:space="preserve">subsidiaries) could well be high, </w:t>
      </w:r>
      <w:r w:rsidR="00E85F54">
        <w:t xml:space="preserve">and </w:t>
      </w:r>
      <w:r w:rsidR="00165A28">
        <w:t>detrimental</w:t>
      </w:r>
      <w:r w:rsidR="00E85F54">
        <w:t xml:space="preserve"> to Australian depositors, </w:t>
      </w:r>
      <w:r w:rsidR="007F6F80" w:rsidRPr="007F6F80">
        <w:t>with the amount of Regulatory Capital likely overstated for domestic risks</w:t>
      </w:r>
      <w:r w:rsidR="00903C12">
        <w:t xml:space="preserve"> for ADIs with large concentrated exposures</w:t>
      </w:r>
      <w:r w:rsidR="007F6F80" w:rsidRPr="007F6F80">
        <w:t>.</w:t>
      </w:r>
      <w:r w:rsidR="00EC0900" w:rsidRPr="00EC0900">
        <w:t xml:space="preserve"> </w:t>
      </w:r>
      <w:r w:rsidR="00EC0900">
        <w:t>The status quo would provide further</w:t>
      </w:r>
      <w:r w:rsidR="00EC0900" w:rsidRPr="00EC0900">
        <w:t xml:space="preserve"> incentive for an ADI to support these investments with debt, allowing the equity investment to be </w:t>
      </w:r>
      <w:r w:rsidR="00EC0900">
        <w:t xml:space="preserve">further </w:t>
      </w:r>
      <w:r w:rsidR="00EC0900" w:rsidRPr="00EC0900">
        <w:t>levered</w:t>
      </w:r>
      <w:r w:rsidR="00EC0900">
        <w:t xml:space="preserve">, </w:t>
      </w:r>
      <w:r w:rsidR="00EA5ECC">
        <w:t xml:space="preserve">amplifying </w:t>
      </w:r>
      <w:r w:rsidR="00EC0900">
        <w:t>risks to Australian depositors</w:t>
      </w:r>
      <w:r w:rsidR="00EC0900" w:rsidRPr="00EC0900">
        <w:t xml:space="preserve">. </w:t>
      </w:r>
    </w:p>
    <w:p w14:paraId="64D089D3" w14:textId="4746FCEF" w:rsidR="005B77F3" w:rsidRPr="00B95993" w:rsidRDefault="005B77F3" w:rsidP="005B77F3">
      <w:pPr>
        <w:pStyle w:val="APRAHEADING5"/>
        <w:spacing w:before="0" w:after="240" w:line="240" w:lineRule="auto"/>
        <w:rPr>
          <w:rFonts w:ascii="DIN OT Light" w:hAnsi="DIN OT Light"/>
          <w:b/>
          <w:i w:val="0"/>
        </w:rPr>
      </w:pPr>
      <w:r w:rsidRPr="00B95993">
        <w:rPr>
          <w:rFonts w:ascii="DIN OT Light" w:hAnsi="DIN OT Light"/>
          <w:b/>
          <w:i w:val="0"/>
        </w:rPr>
        <w:t xml:space="preserve">Option </w:t>
      </w:r>
      <w:r w:rsidR="00A47510">
        <w:rPr>
          <w:rFonts w:ascii="DIN OT Light" w:hAnsi="DIN OT Light"/>
          <w:b/>
          <w:i w:val="0"/>
        </w:rPr>
        <w:t>2</w:t>
      </w:r>
      <w:r w:rsidRPr="00B95993">
        <w:rPr>
          <w:rFonts w:ascii="DIN OT Light" w:hAnsi="DIN OT Light"/>
          <w:b/>
          <w:i w:val="0"/>
        </w:rPr>
        <w:t xml:space="preserve"> – A</w:t>
      </w:r>
      <w:r w:rsidR="00DB2E3E">
        <w:rPr>
          <w:rFonts w:ascii="DIN OT Light" w:hAnsi="DIN OT Light"/>
          <w:b/>
          <w:i w:val="0"/>
        </w:rPr>
        <w:t>n</w:t>
      </w:r>
      <w:r w:rsidRPr="00B95993">
        <w:rPr>
          <w:rFonts w:ascii="DIN OT Light" w:hAnsi="DIN OT Light"/>
          <w:b/>
          <w:i w:val="0"/>
        </w:rPr>
        <w:t xml:space="preserve"> update of APS </w:t>
      </w:r>
      <w:r w:rsidR="00A31814">
        <w:rPr>
          <w:rFonts w:ascii="DIN OT Light" w:hAnsi="DIN OT Light"/>
          <w:b/>
          <w:i w:val="0"/>
        </w:rPr>
        <w:t>111</w:t>
      </w:r>
    </w:p>
    <w:p w14:paraId="2F4448A8" w14:textId="057F7EB4" w:rsidR="005B77F3" w:rsidRDefault="005B77F3" w:rsidP="005B77F3">
      <w:r w:rsidRPr="0065020F">
        <w:t xml:space="preserve">Under this option, ADIs </w:t>
      </w:r>
      <w:r w:rsidR="007F6F80">
        <w:t xml:space="preserve">would </w:t>
      </w:r>
      <w:r w:rsidRPr="0065020F">
        <w:t>incur additional compliance costs</w:t>
      </w:r>
      <w:r w:rsidR="0027363F">
        <w:t>.</w:t>
      </w:r>
    </w:p>
    <w:p w14:paraId="02680C85" w14:textId="739E9A52" w:rsidR="00961864" w:rsidRDefault="007F6F80" w:rsidP="005B77F3">
      <w:r w:rsidRPr="007F6F80">
        <w:t>The additional compliance costs under</w:t>
      </w:r>
      <w:r w:rsidR="008B6404">
        <w:t xml:space="preserve"> this</w:t>
      </w:r>
      <w:r w:rsidRPr="007F6F80">
        <w:t xml:space="preserve"> option involve a one-off update to an ADI’s policies and processes to reflect changes to the Prudential Standard.</w:t>
      </w:r>
      <w:r w:rsidR="000D5ECF">
        <w:t xml:space="preserve"> There are</w:t>
      </w:r>
      <w:r w:rsidR="00B53BC0">
        <w:t xml:space="preserve"> also l</w:t>
      </w:r>
      <w:r w:rsidR="000D5ECF">
        <w:t xml:space="preserve">egal costs of updating </w:t>
      </w:r>
      <w:r w:rsidR="00822A62">
        <w:t xml:space="preserve">the </w:t>
      </w:r>
      <w:r w:rsidR="000D5ECF">
        <w:t>documentation of capital instruments.</w:t>
      </w:r>
      <w:r w:rsidR="00CE0D4F" w:rsidRPr="00CE0D4F">
        <w:t xml:space="preserve"> Under th</w:t>
      </w:r>
      <w:r w:rsidR="008B6404">
        <w:t>is</w:t>
      </w:r>
      <w:r w:rsidR="00CE0D4F" w:rsidRPr="00CE0D4F">
        <w:t xml:space="preserve"> option, APRA envisages a start date of 1 January 2021 for the introduction of the reforms. APRA considers there would be sufficient notice of proposed prudential standard requirements to allow ADIs to undertake any necessary changes to </w:t>
      </w:r>
      <w:r w:rsidR="0048081A">
        <w:t xml:space="preserve">their </w:t>
      </w:r>
      <w:r w:rsidR="00CE0D4F" w:rsidRPr="00CE0D4F">
        <w:t>policies and processes</w:t>
      </w:r>
      <w:r w:rsidR="00DC1AA7">
        <w:t xml:space="preserve"> and documentation</w:t>
      </w:r>
      <w:r w:rsidR="00CE0D4F" w:rsidRPr="00CE0D4F">
        <w:t>.</w:t>
      </w:r>
    </w:p>
    <w:p w14:paraId="62626960" w14:textId="13E67ED6" w:rsidR="00BF081F" w:rsidRDefault="007F6F80" w:rsidP="005B77F3">
      <w:r w:rsidRPr="007F6F80">
        <w:t xml:space="preserve">APRA considers the costs of complying is not </w:t>
      </w:r>
      <w:r w:rsidR="00837B3F">
        <w:t>materially</w:t>
      </w:r>
      <w:r w:rsidR="00961864">
        <w:t xml:space="preserve"> </w:t>
      </w:r>
      <w:r w:rsidRPr="007F6F80">
        <w:t xml:space="preserve">more burdensome </w:t>
      </w:r>
      <w:r w:rsidR="00B53BC0">
        <w:t xml:space="preserve">for ADIs </w:t>
      </w:r>
      <w:r w:rsidR="00961864" w:rsidRPr="00961864">
        <w:t>th</w:t>
      </w:r>
      <w:r w:rsidR="00961864">
        <w:t>an</w:t>
      </w:r>
      <w:r w:rsidR="00961864" w:rsidRPr="00961864">
        <w:t xml:space="preserve"> </w:t>
      </w:r>
      <w:r w:rsidR="00961864">
        <w:t xml:space="preserve">the </w:t>
      </w:r>
      <w:r w:rsidR="00961864" w:rsidRPr="00961864">
        <w:t>current costs of complying</w:t>
      </w:r>
      <w:r w:rsidR="009B1DD1">
        <w:t xml:space="preserve"> as this option does not involve any changes to ADIs’ regulatory reporting requirements to APRA. </w:t>
      </w:r>
      <w:r w:rsidR="00BF081F">
        <w:t xml:space="preserve">ADIs already provide APRA with documentation associated with the issue of capital instruments and </w:t>
      </w:r>
      <w:r w:rsidR="00CE0D4F">
        <w:t>a s</w:t>
      </w:r>
      <w:r w:rsidR="00BF081F">
        <w:t>tatement of compliance.</w:t>
      </w:r>
      <w:r w:rsidR="00CE0D4F">
        <w:t xml:space="preserve"> </w:t>
      </w:r>
      <w:r w:rsidR="00CE0D4F" w:rsidRPr="00CE0D4F">
        <w:t>APRA considers there are no delay costs in relation to th</w:t>
      </w:r>
      <w:r w:rsidR="00006B39">
        <w:t>is</w:t>
      </w:r>
      <w:r w:rsidR="00CE0D4F" w:rsidRPr="00CE0D4F">
        <w:t xml:space="preserve"> option (e.g. expenses and loss of income incurred by an ADI through an application delay or an approval delay)</w:t>
      </w:r>
      <w:r w:rsidR="00CE0D4F">
        <w:t xml:space="preserve"> as </w:t>
      </w:r>
      <w:r w:rsidR="00381201">
        <w:t>w</w:t>
      </w:r>
      <w:r w:rsidR="00381201" w:rsidRPr="00381201">
        <w:t xml:space="preserve">here the terms of a capital instrument depart from established precedent, an ADI </w:t>
      </w:r>
      <w:r w:rsidR="00381201">
        <w:t xml:space="preserve">is already required to </w:t>
      </w:r>
      <w:r w:rsidR="00381201" w:rsidRPr="00381201">
        <w:t>consult with APRA on the eligibility of the instrument in advance of the issuance of the instrument, and provide APRA with all information and documentation it requires to assess the eligibility of the instrument</w:t>
      </w:r>
      <w:r w:rsidR="00381201">
        <w:t>.</w:t>
      </w:r>
    </w:p>
    <w:p w14:paraId="5391F40C" w14:textId="1FF90D37" w:rsidR="00964CC6" w:rsidRDefault="00BF081F" w:rsidP="0048081A">
      <w:r>
        <w:t xml:space="preserve">Clarification of technical issues </w:t>
      </w:r>
      <w:r w:rsidR="005A679A" w:rsidRPr="005A679A">
        <w:t xml:space="preserve">is being included </w:t>
      </w:r>
      <w:r>
        <w:t xml:space="preserve">in the Prudential Standard </w:t>
      </w:r>
      <w:r w:rsidR="005A679A" w:rsidRPr="005A679A">
        <w:t>so</w:t>
      </w:r>
      <w:r w:rsidR="005A679A">
        <w:t xml:space="preserve"> there are </w:t>
      </w:r>
      <w:r w:rsidR="005A679A" w:rsidRPr="005A679A">
        <w:t xml:space="preserve">no </w:t>
      </w:r>
      <w:r w:rsidR="005A679A">
        <w:t xml:space="preserve">material </w:t>
      </w:r>
      <w:r w:rsidR="005A679A" w:rsidRPr="005A679A">
        <w:t>extra costs</w:t>
      </w:r>
      <w:r w:rsidR="00E85F54">
        <w:t xml:space="preserve"> </w:t>
      </w:r>
      <w:r w:rsidR="00165A28">
        <w:t>expected. The</w:t>
      </w:r>
      <w:r w:rsidR="00A32BCF" w:rsidRPr="00A32BCF">
        <w:t xml:space="preserve"> Prudential Standard would be clearer and less open to interpretation.</w:t>
      </w:r>
      <w:r w:rsidR="00964CC6" w:rsidRPr="00964CC6">
        <w:t xml:space="preserve"> The proposed changes are expected to improve the transparency of </w:t>
      </w:r>
      <w:r w:rsidR="00964CC6">
        <w:t xml:space="preserve">capital </w:t>
      </w:r>
      <w:r w:rsidR="00964CC6" w:rsidRPr="00964CC6">
        <w:t>instruments, and assist in their issuance.</w:t>
      </w:r>
    </w:p>
    <w:p w14:paraId="485EBD56" w14:textId="39720AF3" w:rsidR="00964CC6" w:rsidRDefault="00964CC6" w:rsidP="005B77F3">
      <w:r>
        <w:t xml:space="preserve">This option also </w:t>
      </w:r>
      <w:r w:rsidRPr="00964CC6">
        <w:t>promote</w:t>
      </w:r>
      <w:r>
        <w:t>s</w:t>
      </w:r>
      <w:r w:rsidRPr="00964CC6">
        <w:t xml:space="preserve"> certainty, and comparability which are key elements in the measurement and assessment of capital adequacy across all ADIs.</w:t>
      </w:r>
    </w:p>
    <w:p w14:paraId="4EC2B093" w14:textId="74B8D181" w:rsidR="00964CC6" w:rsidRDefault="00964CC6" w:rsidP="005B77F3">
      <w:r w:rsidRPr="00964CC6">
        <w:t xml:space="preserve">Peer group comparisons with banks in other jurisdictions </w:t>
      </w:r>
      <w:r>
        <w:t xml:space="preserve">is enhanced </w:t>
      </w:r>
      <w:r w:rsidRPr="00964CC6">
        <w:t xml:space="preserve">since regulators in these jurisdictions are </w:t>
      </w:r>
      <w:r>
        <w:t xml:space="preserve">also </w:t>
      </w:r>
      <w:r w:rsidRPr="00964CC6">
        <w:t>likely to take account of Basel standards, statements and guidance.</w:t>
      </w:r>
    </w:p>
    <w:p w14:paraId="5A57D000" w14:textId="0CEE5FA3" w:rsidR="00697300" w:rsidRDefault="005B77F3" w:rsidP="000E6973">
      <w:pPr>
        <w:tabs>
          <w:tab w:val="clear" w:pos="1492"/>
        </w:tabs>
      </w:pPr>
      <w:r w:rsidDel="00DB2E3E">
        <w:t>A</w:t>
      </w:r>
      <w:r w:rsidR="00D02C15">
        <w:t xml:space="preserve"> benefit of</w:t>
      </w:r>
      <w:r w:rsidR="00964CC6">
        <w:t xml:space="preserve"> the </w:t>
      </w:r>
      <w:r w:rsidR="00964CC6" w:rsidRPr="00964CC6">
        <w:t xml:space="preserve">proposed changes to the capital treatment of equity investments in banking </w:t>
      </w:r>
      <w:r w:rsidR="007B31F7">
        <w:t xml:space="preserve">and insurance </w:t>
      </w:r>
      <w:r w:rsidR="00964CC6" w:rsidRPr="00964CC6">
        <w:t xml:space="preserve">subsidiaries </w:t>
      </w:r>
      <w:r w:rsidR="00D02C15">
        <w:t xml:space="preserve">under Option </w:t>
      </w:r>
      <w:r w:rsidR="00DB2E3E">
        <w:t>2</w:t>
      </w:r>
      <w:r w:rsidR="00D02C15">
        <w:t xml:space="preserve"> </w:t>
      </w:r>
      <w:r w:rsidR="00412791">
        <w:t xml:space="preserve">is that it </w:t>
      </w:r>
      <w:r w:rsidR="00964CC6" w:rsidRPr="00964CC6">
        <w:t>mitigates domestic risks</w:t>
      </w:r>
      <w:r w:rsidR="00D02C15">
        <w:t>,</w:t>
      </w:r>
      <w:r w:rsidR="00964CC6" w:rsidRPr="00964CC6">
        <w:t xml:space="preserve"> reinforces ‘unquestionably strong’ capital targets at Level 1</w:t>
      </w:r>
      <w:r w:rsidR="00D02C15">
        <w:t>, and enhances financial stability</w:t>
      </w:r>
      <w:r w:rsidR="00B53BC0">
        <w:t>.</w:t>
      </w:r>
      <w:r w:rsidR="00CE0D4F" w:rsidRPr="00CE0D4F">
        <w:t xml:space="preserve"> </w:t>
      </w:r>
      <w:r w:rsidR="00412791">
        <w:t>While</w:t>
      </w:r>
      <w:r w:rsidR="00903C12" w:rsidRPr="00903C12">
        <w:t xml:space="preserve"> costs associated with this particular proposal are capital costs and not regulatory costs (i.e. administrative, substantive compliance costs and delay costs</w:t>
      </w:r>
      <w:r w:rsidR="00412791">
        <w:t xml:space="preserve">), </w:t>
      </w:r>
      <w:r w:rsidR="00903C12" w:rsidRPr="00903C12">
        <w:t>APRA</w:t>
      </w:r>
      <w:r w:rsidR="00903C12">
        <w:t>’s</w:t>
      </w:r>
      <w:r w:rsidR="00903C12" w:rsidRPr="00903C12">
        <w:t xml:space="preserve"> proposal does not change the aggregate amount of capital in the system for these investments; ADIs</w:t>
      </w:r>
      <w:r w:rsidR="00412791">
        <w:t xml:space="preserve"> with small diversified exposures </w:t>
      </w:r>
      <w:r w:rsidR="00903C12" w:rsidRPr="00903C12">
        <w:t xml:space="preserve">will hold less capital for the exposures and others </w:t>
      </w:r>
      <w:r w:rsidR="00903C12">
        <w:t xml:space="preserve">with large concentrated exposures will </w:t>
      </w:r>
      <w:r w:rsidR="00903C12" w:rsidRPr="00903C12">
        <w:t xml:space="preserve">hold more. </w:t>
      </w:r>
    </w:p>
    <w:p w14:paraId="01B233CD" w14:textId="03B8A3F2" w:rsidR="00B57087" w:rsidRDefault="00903C12" w:rsidP="000E6973">
      <w:pPr>
        <w:tabs>
          <w:tab w:val="clear" w:pos="1492"/>
        </w:tabs>
      </w:pPr>
      <w:r w:rsidRPr="00903C12">
        <w:t xml:space="preserve">ADIs will have a number of options in the way they choose to respond to the proposal </w:t>
      </w:r>
      <w:r w:rsidR="008258D3">
        <w:t xml:space="preserve">to change the capital treatment </w:t>
      </w:r>
      <w:r w:rsidR="008258D3" w:rsidRPr="008258D3">
        <w:t xml:space="preserve">of ADIs’ investments in banking and insurance subsidiaries </w:t>
      </w:r>
      <w:r w:rsidRPr="00903C12">
        <w:t>– in this regard restructuring is an option but not a requirement to comply with the proposal.</w:t>
      </w:r>
      <w:r w:rsidR="00697300" w:rsidRPr="00697300">
        <w:t xml:space="preserve"> </w:t>
      </w:r>
      <w:r w:rsidR="00697300">
        <w:t>How</w:t>
      </w:r>
      <w:r w:rsidR="00697300" w:rsidRPr="00697300">
        <w:t xml:space="preserve"> </w:t>
      </w:r>
      <w:r w:rsidR="00697300">
        <w:t>ADIs</w:t>
      </w:r>
      <w:r w:rsidR="00697300" w:rsidRPr="00697300">
        <w:t xml:space="preserve"> choose to respond to the proposal to change the capital treatment will </w:t>
      </w:r>
      <w:r w:rsidR="00697300">
        <w:t xml:space="preserve">also </w:t>
      </w:r>
      <w:r w:rsidR="00697300" w:rsidRPr="00697300">
        <w:t>partly depend on where the R</w:t>
      </w:r>
      <w:r w:rsidR="007B31F7">
        <w:t>BNZ</w:t>
      </w:r>
      <w:r w:rsidR="00697300" w:rsidRPr="00697300">
        <w:t xml:space="preserve"> lands on its proposed capital reforms.</w:t>
      </w:r>
    </w:p>
    <w:p w14:paraId="5CB868FB" w14:textId="6762096F" w:rsidR="00753033" w:rsidRDefault="00753033" w:rsidP="000E6973">
      <w:pPr>
        <w:tabs>
          <w:tab w:val="clear" w:pos="1492"/>
        </w:tabs>
      </w:pPr>
      <w:r>
        <w:t xml:space="preserve">Removal of the use of SPVs and stapled security structures promote simple structures, and is not expected to materially </w:t>
      </w:r>
      <w:r w:rsidR="0046026D">
        <w:t>affect</w:t>
      </w:r>
      <w:r>
        <w:t xml:space="preserve"> the ability of ADIs to issue capital instruments. </w:t>
      </w:r>
      <w:r w:rsidR="001A5A31">
        <w:t>Existing capital instruments eligible for transition under the existing APS 111 will continue to be eligible for transition under the revised standard</w:t>
      </w:r>
      <w:r w:rsidR="00F0787C">
        <w:t>.</w:t>
      </w:r>
    </w:p>
    <w:p w14:paraId="67AA57D5" w14:textId="7C5A3672" w:rsidR="00822A62" w:rsidRDefault="00822A62" w:rsidP="000E6973">
      <w:pPr>
        <w:tabs>
          <w:tab w:val="clear" w:pos="1492"/>
        </w:tabs>
      </w:pPr>
      <w:r w:rsidRPr="00822A62">
        <w:t xml:space="preserve">For these reasons, APRA is of the view that </w:t>
      </w:r>
      <w:r>
        <w:t>O</w:t>
      </w:r>
      <w:r w:rsidRPr="00822A62">
        <w:t xml:space="preserve">ption </w:t>
      </w:r>
      <w:r w:rsidR="00DB2E3E">
        <w:t>2</w:t>
      </w:r>
      <w:r w:rsidRPr="00822A62">
        <w:t xml:space="preserve"> provides the greatest net benefi</w:t>
      </w:r>
      <w:r>
        <w:t>t.</w:t>
      </w:r>
    </w:p>
    <w:p w14:paraId="15E5E3B0" w14:textId="77777777" w:rsidR="00964CC6" w:rsidRDefault="00964CC6" w:rsidP="000E6973">
      <w:pPr>
        <w:tabs>
          <w:tab w:val="clear" w:pos="1492"/>
        </w:tabs>
      </w:pPr>
    </w:p>
    <w:p w14:paraId="1181F4E2" w14:textId="77777777" w:rsidR="000E6973" w:rsidRDefault="000E6973" w:rsidP="000E6973">
      <w:pPr>
        <w:tabs>
          <w:tab w:val="clear" w:pos="1492"/>
        </w:tabs>
        <w:sectPr w:rsidR="000E6973" w:rsidSect="00AD7CB0">
          <w:footerReference w:type="default" r:id="rId14"/>
          <w:headerReference w:type="first" r:id="rId15"/>
          <w:pgSz w:w="11906" w:h="16838" w:code="9"/>
          <w:pgMar w:top="1440" w:right="1440" w:bottom="1440" w:left="1440" w:header="567" w:footer="567" w:gutter="0"/>
          <w:pgNumType w:start="1"/>
          <w:cols w:space="708"/>
          <w:titlePg/>
          <w:docGrid w:linePitch="360"/>
        </w:sectPr>
      </w:pPr>
    </w:p>
    <w:p w14:paraId="419C3D5F" w14:textId="77777777" w:rsidR="003A473C" w:rsidRPr="003A473C" w:rsidRDefault="003A473C" w:rsidP="00691276"/>
    <w:sectPr w:rsidR="003A473C" w:rsidRPr="003A473C" w:rsidSect="00AD7CB0">
      <w:headerReference w:type="first" r:id="rId16"/>
      <w:pgSz w:w="11906" w:h="16838" w:code="9"/>
      <w:pgMar w:top="1440" w:right="1440" w:bottom="1440" w:left="144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3546A" w14:textId="77777777" w:rsidR="00464991" w:rsidRPr="000D4EDE" w:rsidRDefault="00464991" w:rsidP="000D4EDE">
      <w:r>
        <w:separator/>
      </w:r>
    </w:p>
  </w:endnote>
  <w:endnote w:type="continuationSeparator" w:id="0">
    <w:p w14:paraId="2B275757" w14:textId="77777777" w:rsidR="00464991" w:rsidRPr="000D4EDE" w:rsidRDefault="00464991" w:rsidP="000D4EDE">
      <w:r>
        <w:continuationSeparator/>
      </w:r>
    </w:p>
  </w:endnote>
  <w:endnote w:type="continuationNotice" w:id="1">
    <w:p w14:paraId="1D565B21" w14:textId="77777777" w:rsidR="00464991" w:rsidRDefault="004649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DIN OT">
    <w:charset w:val="00"/>
    <w:family w:val="swiss"/>
    <w:pitch w:val="variable"/>
    <w:sig w:usb0="800000EF" w:usb1="4000A47B" w:usb2="00000000" w:usb3="00000000" w:csb0="00000001" w:csb1="00000000"/>
  </w:font>
  <w:font w:name="DIN OT Light">
    <w:altName w:val="MV Boli"/>
    <w:charset w:val="00"/>
    <w:family w:val="swiss"/>
    <w:pitch w:val="variable"/>
    <w:sig w:usb0="00000003" w:usb1="4000A47B" w:usb2="00000000" w:usb3="00000000" w:csb0="00000001" w:csb1="00000000"/>
  </w:font>
  <w:font w:name="DIN OT Medium">
    <w:altName w:val="Arial"/>
    <w:charset w:val="00"/>
    <w:family w:val="swiss"/>
    <w:pitch w:val="variable"/>
    <w:sig w:usb0="00000003" w:usb1="4000A47B" w:usb2="00000000" w:usb3="00000000" w:csb0="00000001" w:csb1="00000000"/>
  </w:font>
  <w:font w:name="DIN Offc Medium">
    <w:altName w:val="Arial"/>
    <w:charset w:val="00"/>
    <w:family w:val="swiss"/>
    <w:pitch w:val="variable"/>
    <w:sig w:usb0="00000003"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IN Offc">
    <w:altName w:val="Segoe Script"/>
    <w:charset w:val="00"/>
    <w:family w:val="swiss"/>
    <w:pitch w:val="variable"/>
    <w:sig w:usb0="00000003" w:usb1="4000A47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CBFD5" w14:textId="37976CE7" w:rsidR="00464991" w:rsidRDefault="00464991" w:rsidP="002A641A">
    <w:pPr>
      <w:pStyle w:val="Footer"/>
    </w:pPr>
    <w:r w:rsidRPr="002A641A">
      <w:ptab w:relativeTo="margin" w:alignment="left" w:leader="none"/>
    </w:r>
    <w:r w:rsidRPr="00BB2437">
      <w:t xml:space="preserve">AUSTRALIAN PRUDENTIAL REGULATION AUTHORITY </w:t>
    </w:r>
    <w:r>
      <w:ptab w:relativeTo="margin" w:alignment="right" w:leader="none"/>
    </w:r>
    <w:r>
      <w:fldChar w:fldCharType="begin"/>
    </w:r>
    <w:r>
      <w:instrText xml:space="preserve"> PAGE  \* Arabic  \* MERGEFORMAT </w:instrText>
    </w:r>
    <w:r>
      <w:fldChar w:fldCharType="separate"/>
    </w:r>
    <w:r w:rsidR="001467C5">
      <w:rPr>
        <w:noProof/>
      </w:rPr>
      <w:t>20</w:t>
    </w:r>
    <w:r>
      <w:fldChar w:fldCharType="end"/>
    </w:r>
  </w:p>
  <w:p w14:paraId="14C7F532" w14:textId="77777777" w:rsidR="00464991" w:rsidRDefault="00464991">
    <w:r>
      <w:rPr>
        <w:noProof/>
        <w:lang w:eastAsia="en-AU"/>
      </w:rPr>
      <mc:AlternateContent>
        <mc:Choice Requires="wpg">
          <w:drawing>
            <wp:anchor distT="0" distB="0" distL="114300" distR="114300" simplePos="0" relativeHeight="251658240" behindDoc="0" locked="0" layoutInCell="1" allowOverlap="1" wp14:anchorId="3A11C15E" wp14:editId="56340365">
              <wp:simplePos x="0" y="0"/>
              <wp:positionH relativeFrom="column">
                <wp:posOffset>-914400</wp:posOffset>
              </wp:positionH>
              <wp:positionV relativeFrom="paragraph">
                <wp:posOffset>419735</wp:posOffset>
              </wp:positionV>
              <wp:extent cx="15120000" cy="277200"/>
              <wp:effectExtent l="0" t="0" r="5715" b="8890"/>
              <wp:wrapNone/>
              <wp:docPr id="1" name="Group 1" descr="Footer Banner" title="Footer Banner"/>
              <wp:cNvGraphicFramePr/>
              <a:graphic xmlns:a="http://schemas.openxmlformats.org/drawingml/2006/main">
                <a:graphicData uri="http://schemas.microsoft.com/office/word/2010/wordprocessingGroup">
                  <wpg:wgp>
                    <wpg:cNvGrpSpPr/>
                    <wpg:grpSpPr>
                      <a:xfrm>
                        <a:off x="0" y="0"/>
                        <a:ext cx="15120000" cy="277200"/>
                        <a:chOff x="0" y="0"/>
                        <a:chExt cx="15120000" cy="277200"/>
                      </a:xfrm>
                    </wpg:grpSpPr>
                    <wps:wsp>
                      <wps:cNvPr id="8" name="Rectangle 5" descr="Footer Banner" title="Footer Banner"/>
                      <wps:cNvSpPr/>
                      <wps:spPr>
                        <a:xfrm>
                          <a:off x="0" y="0"/>
                          <a:ext cx="15120000" cy="2772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3" descr="Footer Banner" title="Footer Banner"/>
                      <wps:cNvSpPr/>
                      <wps:spPr>
                        <a:xfrm>
                          <a:off x="914400" y="0"/>
                          <a:ext cx="2732400" cy="277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F244D1A" id="Group 1" o:spid="_x0000_s1026" alt="Title: Footer Banner - Description: Footer Banner" style="position:absolute;margin-left:-1in;margin-top:33.05pt;width:1190.55pt;height:21.85pt;z-index:251658240" coordsize="151200,2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">
              <v:rect id="Rectangle 5" o:spid="_x0000_s1027" alt="Footer Banner" style="position:absolute;width:151200;height:2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" fillcolor="#00a9e0 [3205]" stroked="f" strokeweight="2pt"/>
              <v:rect id="Rectangle 3" o:spid="_x0000_s1028" alt="Footer Banner" style="position:absolute;left:9144;width:27324;height:2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fillcolor="#012169 [3204]" stroked="f" strokeweight="2p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94822" w14:textId="77777777" w:rsidR="00464991" w:rsidRPr="000D4EDE" w:rsidRDefault="00464991" w:rsidP="000D4EDE">
      <w:r>
        <w:separator/>
      </w:r>
    </w:p>
  </w:footnote>
  <w:footnote w:type="continuationSeparator" w:id="0">
    <w:p w14:paraId="554852D3" w14:textId="77777777" w:rsidR="00464991" w:rsidRPr="000D4EDE" w:rsidRDefault="00464991" w:rsidP="000D4EDE">
      <w:r>
        <w:continuationSeparator/>
      </w:r>
    </w:p>
  </w:footnote>
  <w:footnote w:type="continuationNotice" w:id="1">
    <w:p w14:paraId="1C35EFC7" w14:textId="77777777" w:rsidR="00464991" w:rsidRDefault="00464991">
      <w:pPr>
        <w:spacing w:after="0"/>
      </w:pPr>
    </w:p>
  </w:footnote>
  <w:footnote w:id="2">
    <w:p w14:paraId="27D1A6DA" w14:textId="1D469CF6" w:rsidR="00464991" w:rsidRDefault="00464991">
      <w:pPr>
        <w:pStyle w:val="FootnoteText"/>
      </w:pPr>
      <w:r>
        <w:rPr>
          <w:rStyle w:val="FootnoteReference"/>
        </w:rPr>
        <w:footnoteRef/>
      </w:r>
      <w:r>
        <w:t xml:space="preserve"> APRA </w:t>
      </w:r>
      <w:r w:rsidRPr="005F1538">
        <w:rPr>
          <w:i/>
        </w:rPr>
        <w:t>Measurement of capital - frequently asked questions</w:t>
      </w:r>
      <w:r>
        <w:rPr>
          <w:i/>
        </w:rPr>
        <w:t xml:space="preserve">, </w:t>
      </w:r>
      <w:r w:rsidRPr="005F1538">
        <w:t>updated June 2019.</w:t>
      </w:r>
    </w:p>
  </w:footnote>
  <w:footnote w:id="3">
    <w:p w14:paraId="114DAB4D" w14:textId="624FAC73" w:rsidR="00464991" w:rsidRDefault="00464991" w:rsidP="00F370AA">
      <w:pPr>
        <w:pStyle w:val="FootnoteText"/>
        <w:ind w:left="0" w:firstLine="0"/>
      </w:pPr>
      <w:r>
        <w:rPr>
          <w:rStyle w:val="FootnoteReference"/>
        </w:rPr>
        <w:footnoteRef/>
      </w:r>
      <w:r>
        <w:t xml:space="preserve"> </w:t>
      </w:r>
      <w:r w:rsidRPr="00F370AA">
        <w:t xml:space="preserve">Basel Committee </w:t>
      </w:r>
      <w:r w:rsidRPr="00F370AA">
        <w:rPr>
          <w:i/>
        </w:rPr>
        <w:t>Capital requirements for banks' equity investments in funds</w:t>
      </w:r>
      <w:r w:rsidRPr="00F370AA">
        <w:t xml:space="preserve">, December 2013, Basel Committee </w:t>
      </w:r>
      <w:r w:rsidRPr="00F370AA">
        <w:rPr>
          <w:i/>
        </w:rPr>
        <w:t>TLAC holdings standard</w:t>
      </w:r>
      <w:r w:rsidRPr="00F370AA">
        <w:t>, October 2016</w:t>
      </w:r>
      <w:r>
        <w:t xml:space="preserve">, and Basel Committee </w:t>
      </w:r>
      <w:r w:rsidRPr="00F370AA">
        <w:rPr>
          <w:i/>
        </w:rPr>
        <w:t>Statement on capital arbitrage transactions</w:t>
      </w:r>
      <w:r>
        <w:rPr>
          <w:i/>
        </w:rPr>
        <w:t xml:space="preserve">, </w:t>
      </w:r>
      <w:r w:rsidRPr="00F370AA">
        <w:t>June 2016.</w:t>
      </w:r>
    </w:p>
  </w:footnote>
  <w:footnote w:id="4">
    <w:p w14:paraId="1AA11C8F" w14:textId="087156CB" w:rsidR="00464991" w:rsidRPr="00F263E2" w:rsidRDefault="00464991" w:rsidP="0046026D">
      <w:pPr>
        <w:pStyle w:val="FootnoteText"/>
        <w:ind w:left="0" w:firstLine="0"/>
      </w:pPr>
      <w:r>
        <w:rPr>
          <w:rStyle w:val="FootnoteReference"/>
        </w:rPr>
        <w:footnoteRef/>
      </w:r>
      <w:r>
        <w:t xml:space="preserve"> </w:t>
      </w:r>
      <w:r w:rsidRPr="00F952BE">
        <w:t xml:space="preserve">Basel Committee, </w:t>
      </w:r>
      <w:r w:rsidRPr="00F952BE">
        <w:rPr>
          <w:i/>
        </w:rPr>
        <w:t xml:space="preserve">Basel III definition of capital – Frequently asked questions </w:t>
      </w:r>
      <w:r w:rsidRPr="00F263E2">
        <w:t>September 2017 (update of FAQs published in December 2011).</w:t>
      </w:r>
    </w:p>
  </w:footnote>
  <w:footnote w:id="5">
    <w:p w14:paraId="714ED629" w14:textId="2410BB1D" w:rsidR="00464991" w:rsidRDefault="00464991" w:rsidP="007C2F24">
      <w:pPr>
        <w:pStyle w:val="FootnoteText"/>
        <w:spacing w:after="240"/>
        <w:ind w:left="0" w:firstLine="0"/>
      </w:pPr>
      <w:r>
        <w:rPr>
          <w:rStyle w:val="FootnoteReference"/>
        </w:rPr>
        <w:footnoteRef/>
      </w:r>
      <w:r>
        <w:t xml:space="preserve"> </w:t>
      </w:r>
      <w:r w:rsidRPr="007C2F24">
        <w:t>APRA has previously interpreted the objective of competitive neutrality as ensuring consistency in the treatment of classes or types of institutions. To ensure alignment with Parliament’s original intention, APRA now follows the more common usage of this term (for example, as found in the Commonwealth Competitive Neutrality Policy Statement). Ensuring consistency in regulatory treatment now falls within the competition objective.</w:t>
      </w:r>
    </w:p>
  </w:footnote>
  <w:footnote w:id="6">
    <w:p w14:paraId="576A543E" w14:textId="1421C66C" w:rsidR="00464991" w:rsidRDefault="00464991" w:rsidP="008B6E45">
      <w:r>
        <w:rPr>
          <w:rStyle w:val="FootnoteReference"/>
        </w:rPr>
        <w:footnoteRef/>
      </w:r>
      <w:r>
        <w:t xml:space="preserve"> </w:t>
      </w:r>
      <w:r>
        <w:rPr>
          <w:sz w:val="18"/>
        </w:rPr>
        <w:t xml:space="preserve">APRA Response to Submissions, </w:t>
      </w:r>
      <w:r w:rsidRPr="008B6E45">
        <w:rPr>
          <w:i/>
          <w:sz w:val="18"/>
        </w:rPr>
        <w:t>Revisions to the capital framework for authorised deposit-taking institutions</w:t>
      </w:r>
      <w:r>
        <w:rPr>
          <w:sz w:val="18"/>
        </w:rPr>
        <w:t>, J</w:t>
      </w:r>
      <w:r w:rsidRPr="008B6E45">
        <w:rPr>
          <w:sz w:val="18"/>
        </w:rPr>
        <w:t>une 2019</w:t>
      </w:r>
      <w:r>
        <w:rPr>
          <w:sz w:val="18"/>
        </w:rPr>
        <w:t>.</w:t>
      </w:r>
    </w:p>
  </w:footnote>
  <w:footnote w:id="7">
    <w:p w14:paraId="2D0C1E14" w14:textId="6AEF2952" w:rsidR="00464991" w:rsidRDefault="00464991">
      <w:pPr>
        <w:pStyle w:val="FootnoteText"/>
      </w:pPr>
      <w:r>
        <w:rPr>
          <w:rStyle w:val="FootnoteReference"/>
        </w:rPr>
        <w:footnoteRef/>
      </w:r>
      <w:r>
        <w:t xml:space="preserve"> APRA </w:t>
      </w:r>
      <w:r w:rsidRPr="008B0500">
        <w:t>Response to Submissions Paper,</w:t>
      </w:r>
      <w:r>
        <w:t xml:space="preserve"> </w:t>
      </w:r>
      <w:r w:rsidRPr="00165A28">
        <w:rPr>
          <w:i/>
        </w:rPr>
        <w:t>Revisions to the related entities framework for ADIs</w:t>
      </w:r>
      <w:r>
        <w:rPr>
          <w:i/>
        </w:rPr>
        <w:t xml:space="preserve">, </w:t>
      </w:r>
      <w:r w:rsidRPr="00165A28">
        <w:t>August 2019.</w:t>
      </w:r>
    </w:p>
  </w:footnote>
  <w:footnote w:id="8">
    <w:p w14:paraId="1C1E7589" w14:textId="1398D5EB" w:rsidR="00464991" w:rsidRDefault="00464991" w:rsidP="0017243F">
      <w:pPr>
        <w:pStyle w:val="FootnoteText"/>
        <w:spacing w:after="240"/>
        <w:ind w:left="0" w:firstLine="0"/>
      </w:pPr>
      <w:r>
        <w:rPr>
          <w:rStyle w:val="FootnoteReference"/>
        </w:rPr>
        <w:footnoteRef/>
      </w:r>
      <w:r>
        <w:t xml:space="preserve"> </w:t>
      </w:r>
      <w:r w:rsidRPr="0017243F">
        <w:t>An</w:t>
      </w:r>
      <w:r>
        <w:t xml:space="preserve"> ‘equivalent </w:t>
      </w:r>
      <w:r w:rsidRPr="0017243F">
        <w:t xml:space="preserve">overseas deposit-taking institution’ refers to an overseas financial institution that is subject to equivalent minimum prudential standards and level of supervision as an ADI. </w:t>
      </w:r>
    </w:p>
  </w:footnote>
  <w:footnote w:id="9">
    <w:p w14:paraId="4B865D44" w14:textId="31C88CC7" w:rsidR="00464991" w:rsidRDefault="00464991">
      <w:pPr>
        <w:pStyle w:val="FootnoteText"/>
      </w:pPr>
      <w:r>
        <w:rPr>
          <w:rStyle w:val="FootnoteReference"/>
        </w:rPr>
        <w:footnoteRef/>
      </w:r>
      <w:r>
        <w:t xml:space="preserve"> APRA Response to Submissions </w:t>
      </w:r>
      <w:r w:rsidRPr="00393844">
        <w:rPr>
          <w:i/>
        </w:rPr>
        <w:t>Revisions to the related entities framework for ADIs</w:t>
      </w:r>
      <w:r>
        <w:t>,</w:t>
      </w:r>
      <w:r w:rsidRPr="00393844">
        <w:t xml:space="preserve"> August 2019</w:t>
      </w:r>
      <w:r>
        <w:t>.</w:t>
      </w:r>
    </w:p>
  </w:footnote>
  <w:footnote w:id="10">
    <w:p w14:paraId="4BB47C42" w14:textId="67D5BB90" w:rsidR="00464991" w:rsidRDefault="00464991">
      <w:pPr>
        <w:pStyle w:val="FootnoteText"/>
      </w:pPr>
      <w:r>
        <w:rPr>
          <w:rStyle w:val="FootnoteReference"/>
        </w:rPr>
        <w:footnoteRef/>
      </w:r>
      <w:r>
        <w:t xml:space="preserve"> </w:t>
      </w:r>
      <w:r w:rsidRPr="006111CB">
        <w:t xml:space="preserve">FSB, </w:t>
      </w:r>
      <w:r w:rsidRPr="006111CB">
        <w:rPr>
          <w:i/>
        </w:rPr>
        <w:t>Total Loss-Absorbing Capacity (TLAC) Principles and Term Sheet</w:t>
      </w:r>
      <w:r w:rsidRPr="006111CB">
        <w:t>, November 2015.</w:t>
      </w:r>
    </w:p>
  </w:footnote>
  <w:footnote w:id="11">
    <w:p w14:paraId="7710CCA4" w14:textId="1C2C0F68" w:rsidR="00464991" w:rsidRDefault="00464991">
      <w:pPr>
        <w:pStyle w:val="FootnoteText"/>
      </w:pPr>
      <w:r>
        <w:rPr>
          <w:rStyle w:val="FootnoteReference"/>
        </w:rPr>
        <w:footnoteRef/>
      </w:r>
      <w:r>
        <w:t xml:space="preserve"> </w:t>
      </w:r>
      <w:r w:rsidRPr="006111CB">
        <w:t xml:space="preserve">Basel Committee </w:t>
      </w:r>
      <w:r w:rsidRPr="006111CB">
        <w:rPr>
          <w:i/>
        </w:rPr>
        <w:t>TLAC holdings standard</w:t>
      </w:r>
      <w:r w:rsidRPr="006111CB">
        <w:t>, October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5C94D" w14:textId="7E8E9220" w:rsidR="00464991" w:rsidRDefault="00464991">
    <w:pPr>
      <w:pStyle w:val="Header"/>
    </w:pPr>
    <w:r>
      <w:rPr>
        <w:noProof/>
        <w:lang w:eastAsia="en-AU"/>
      </w:rPr>
      <w:drawing>
        <wp:anchor distT="0" distB="0" distL="114300" distR="114300" simplePos="0" relativeHeight="251658241" behindDoc="1" locked="0" layoutInCell="1" allowOverlap="1" wp14:anchorId="24732823" wp14:editId="70D79683">
          <wp:simplePos x="0" y="0"/>
          <wp:positionH relativeFrom="page">
            <wp:align>left</wp:align>
          </wp:positionH>
          <wp:positionV relativeFrom="page">
            <wp:align>top</wp:align>
          </wp:positionV>
          <wp:extent cx="7560000" cy="10699200"/>
          <wp:effectExtent l="0" t="0" r="3175" b="6985"/>
          <wp:wrapNone/>
          <wp:docPr id="13" name="Picture 13" descr="Logo and Background Image" title="Logo and 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nk-Cov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EC221" w14:textId="3E88CA70" w:rsidR="00464991" w:rsidRDefault="00464991">
    <w:pPr>
      <w:pStyle w:val="Header"/>
    </w:pPr>
    <w:r>
      <w:rPr>
        <w:noProof/>
        <w:lang w:eastAsia="en-AU"/>
      </w:rPr>
      <w:drawing>
        <wp:anchor distT="0" distB="0" distL="114300" distR="114300" simplePos="0" relativeHeight="251658242" behindDoc="1" locked="0" layoutInCell="1" allowOverlap="1" wp14:anchorId="19B60A97" wp14:editId="77C10504">
          <wp:simplePos x="0" y="0"/>
          <wp:positionH relativeFrom="page">
            <wp:align>left</wp:align>
          </wp:positionH>
          <wp:positionV relativeFrom="page">
            <wp:align>top</wp:align>
          </wp:positionV>
          <wp:extent cx="7560000" cy="10698352"/>
          <wp:effectExtent l="0" t="0" r="3175"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nk-Cov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83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270B82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2A8032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2E4434B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DF3E05E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776129"/>
    <w:multiLevelType w:val="hybridMultilevel"/>
    <w:tmpl w:val="2E3885DE"/>
    <w:lvl w:ilvl="0" w:tplc="4D169E66">
      <w:start w:val="1"/>
      <w:numFmt w:val="bullet"/>
      <w:pStyle w:val="BULLET2"/>
      <w:lvlText w:val="―"/>
      <w:lvlJc w:val="left"/>
      <w:pPr>
        <w:ind w:left="785"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983867"/>
    <w:multiLevelType w:val="multilevel"/>
    <w:tmpl w:val="6034109E"/>
    <w:styleLink w:val="AppendixList"/>
    <w:lvl w:ilvl="0">
      <w:start w:val="1"/>
      <w:numFmt w:val="upperLetter"/>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098E3705"/>
    <w:multiLevelType w:val="hybridMultilevel"/>
    <w:tmpl w:val="6F98A076"/>
    <w:lvl w:ilvl="0" w:tplc="5AAE4E7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01268E"/>
    <w:multiLevelType w:val="hybridMultilevel"/>
    <w:tmpl w:val="97A2D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AE53F4"/>
    <w:multiLevelType w:val="multilevel"/>
    <w:tmpl w:val="73EC9368"/>
    <w:lvl w:ilvl="0">
      <w:start w:val="1"/>
      <w:numFmt w:val="decimal"/>
      <w:pStyle w:val="ListNumber"/>
      <w:lvlText w:val="%1."/>
      <w:lvlJc w:val="left"/>
      <w:pPr>
        <w:tabs>
          <w:tab w:val="num" w:pos="851"/>
        </w:tabs>
        <w:ind w:left="851" w:hanging="851"/>
      </w:pPr>
      <w:rPr>
        <w:rFonts w:hint="default"/>
        <w:spacing w:val="0"/>
      </w:rPr>
    </w:lvl>
    <w:lvl w:ilvl="1">
      <w:start w:val="1"/>
      <w:numFmt w:val="decimal"/>
      <w:pStyle w:val="ListNumber2"/>
      <w:lvlText w:val="%1.%2."/>
      <w:lvlJc w:val="left"/>
      <w:pPr>
        <w:tabs>
          <w:tab w:val="num" w:pos="1701"/>
        </w:tabs>
        <w:ind w:left="1701" w:hanging="850"/>
      </w:pPr>
      <w:rPr>
        <w:rFonts w:hint="default"/>
        <w:spacing w:val="0"/>
      </w:rPr>
    </w:lvl>
    <w:lvl w:ilvl="2">
      <w:start w:val="1"/>
      <w:numFmt w:val="decimal"/>
      <w:pStyle w:val="ListNumber3"/>
      <w:lvlText w:val="%1.%2.%3."/>
      <w:lvlJc w:val="left"/>
      <w:pPr>
        <w:tabs>
          <w:tab w:val="num" w:pos="2552"/>
        </w:tabs>
        <w:ind w:left="2552" w:hanging="851"/>
      </w:pPr>
      <w:rPr>
        <w:rFonts w:hint="default"/>
        <w:spacing w:val="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3" w15:restartNumberingAfterBreak="0">
    <w:nsid w:val="3037679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087CCB"/>
    <w:multiLevelType w:val="multilevel"/>
    <w:tmpl w:val="585898BE"/>
    <w:lvl w:ilvl="0">
      <w:start w:val="1"/>
      <w:numFmt w:val="decimal"/>
      <w:suff w:val="nothing"/>
      <w:lvlText w:val="Chapter %1 - "/>
      <w:lvlJc w:val="left"/>
      <w:pPr>
        <w:ind w:left="0" w:firstLine="0"/>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356639B8"/>
    <w:multiLevelType w:val="hybridMultilevel"/>
    <w:tmpl w:val="19A88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FE1B54"/>
    <w:multiLevelType w:val="multilevel"/>
    <w:tmpl w:val="8188DAF8"/>
    <w:lvl w:ilvl="0">
      <w:start w:val="1"/>
      <w:numFmt w:val="decimal"/>
      <w:pStyle w:val="Heading1Numbers"/>
      <w:suff w:val="nothing"/>
      <w:lvlText w:val="Chapter %1 - "/>
      <w:lvlJc w:val="left"/>
      <w:pPr>
        <w:ind w:left="0" w:firstLine="0"/>
      </w:pPr>
      <w:rPr>
        <w:rFonts w:hint="default"/>
      </w:rPr>
    </w:lvl>
    <w:lvl w:ilvl="1">
      <w:start w:val="1"/>
      <w:numFmt w:val="decimal"/>
      <w:pStyle w:val="Heading2Numbers"/>
      <w:lvlText w:val="%1.%2"/>
      <w:lvlJc w:val="left"/>
      <w:pPr>
        <w:tabs>
          <w:tab w:val="num" w:pos="1844"/>
        </w:tabs>
        <w:ind w:left="1844" w:hanging="851"/>
      </w:pPr>
      <w:rPr>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Numbers"/>
      <w:lvlText w:val="%1.%2.%3"/>
      <w:lvlJc w:val="left"/>
      <w:pPr>
        <w:tabs>
          <w:tab w:val="num" w:pos="1276"/>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4A723CF6"/>
    <w:multiLevelType w:val="multilevel"/>
    <w:tmpl w:val="936C2D52"/>
    <w:lvl w:ilvl="0">
      <w:start w:val="31"/>
      <w:numFmt w:val="decimal"/>
      <w:lvlText w:val="%1."/>
      <w:lvlJc w:val="left"/>
      <w:pPr>
        <w:tabs>
          <w:tab w:val="num" w:pos="567"/>
        </w:tabs>
        <w:ind w:left="567" w:hanging="567"/>
      </w:pPr>
      <w:rPr>
        <w:rFonts w:hint="default"/>
        <w:b w:val="0"/>
        <w:bCs w:val="0"/>
        <w:i w:val="0"/>
        <w:iCs w:val="0"/>
        <w:color w:val="auto"/>
        <w:sz w:val="24"/>
        <w:szCs w:val="24"/>
      </w:rPr>
    </w:lvl>
    <w:lvl w:ilvl="1">
      <w:start w:val="1"/>
      <w:numFmt w:val="lowerLetter"/>
      <w:lvlText w:val="(%2)"/>
      <w:lvlJc w:val="left"/>
      <w:pPr>
        <w:tabs>
          <w:tab w:val="num" w:pos="1134"/>
        </w:tabs>
        <w:ind w:left="1134" w:hanging="567"/>
      </w:pPr>
      <w:rPr>
        <w:rFonts w:hint="default"/>
        <w:b w:val="0"/>
        <w:bCs w:val="0"/>
        <w:i w:val="0"/>
        <w:iCs w:val="0"/>
        <w:sz w:val="24"/>
        <w:szCs w:val="24"/>
      </w:rPr>
    </w:lvl>
    <w:lvl w:ilvl="2">
      <w:start w:val="1"/>
      <w:numFmt w:val="lowerRoman"/>
      <w:lvlText w:val="(%3)"/>
      <w:lvlJc w:val="left"/>
      <w:pPr>
        <w:tabs>
          <w:tab w:val="num" w:pos="1701"/>
        </w:tabs>
        <w:ind w:left="1701" w:hanging="567"/>
      </w:pPr>
      <w:rPr>
        <w:rFonts w:hint="default"/>
        <w:b w:val="0"/>
        <w:bCs w:val="0"/>
        <w:i w:val="0"/>
        <w:iCs w:val="0"/>
        <w:sz w:val="24"/>
        <w:szCs w:val="24"/>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1135"/>
        </w:tabs>
        <w:ind w:left="1135" w:hanging="567"/>
      </w:pPr>
      <w:rPr>
        <w:rFonts w:hint="default"/>
        <w:b w:val="0"/>
        <w:bCs w:val="0"/>
        <w:i w:val="0"/>
        <w:iCs w:val="0"/>
        <w:sz w:val="24"/>
        <w:szCs w:val="24"/>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701"/>
        </w:tabs>
        <w:ind w:left="1701" w:hanging="567"/>
      </w:pPr>
      <w:rPr>
        <w:rFonts w:hint="default"/>
      </w:rPr>
    </w:lvl>
  </w:abstractNum>
  <w:abstractNum w:abstractNumId="18" w15:restartNumberingAfterBreak="0">
    <w:nsid w:val="4B5A7A2E"/>
    <w:multiLevelType w:val="hybridMultilevel"/>
    <w:tmpl w:val="0CC663C0"/>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9" w15:restartNumberingAfterBreak="0">
    <w:nsid w:val="540E5588"/>
    <w:multiLevelType w:val="multilevel"/>
    <w:tmpl w:val="060A2B94"/>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5D526774"/>
    <w:multiLevelType w:val="multilevel"/>
    <w:tmpl w:val="F55EB32E"/>
    <w:lvl w:ilvl="0">
      <w:start w:val="2"/>
      <w:numFmt w:val="upperLetter"/>
      <w:pStyle w:val="AttachmentHeading"/>
      <w:suff w:val="space"/>
      <w:lvlText w:val="Attachment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9B17A3F"/>
    <w:multiLevelType w:val="multilevel"/>
    <w:tmpl w:val="4218048E"/>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
  </w:num>
  <w:num w:numId="2">
    <w:abstractNumId w:val="0"/>
  </w:num>
  <w:num w:numId="3">
    <w:abstractNumId w:val="8"/>
  </w:num>
  <w:num w:numId="4">
    <w:abstractNumId w:val="19"/>
  </w:num>
  <w:num w:numId="5">
    <w:abstractNumId w:val="21"/>
  </w:num>
  <w:num w:numId="6">
    <w:abstractNumId w:val="1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num>
  <w:num w:numId="10">
    <w:abstractNumId w:val="6"/>
  </w:num>
  <w:num w:numId="11">
    <w:abstractNumId w:val="4"/>
  </w:num>
  <w:num w:numId="12">
    <w:abstractNumId w:val="3"/>
  </w:num>
  <w:num w:numId="13">
    <w:abstractNumId w:val="13"/>
  </w:num>
  <w:num w:numId="14">
    <w:abstractNumId w:val="11"/>
  </w:num>
  <w:num w:numId="15">
    <w:abstractNumId w:val="14"/>
  </w:num>
  <w:num w:numId="16">
    <w:abstractNumId w:val="20"/>
  </w:num>
  <w:num w:numId="17">
    <w:abstractNumId w:val="2"/>
  </w:num>
  <w:num w:numId="18">
    <w:abstractNumId w:val="15"/>
  </w:num>
  <w:num w:numId="19">
    <w:abstractNumId w:val="7"/>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0"/>
  </w:num>
  <w:num w:numId="23">
    <w:abstractNumId w:val="18"/>
  </w:num>
  <w:num w:numId="24">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stylePaneSortMethod w:val="0004"/>
  <w:documentProtection w:formatting="1" w:enforcement="0"/>
  <w:styleLockTheme/>
  <w:styleLockQFSet/>
  <w:defaultTabStop w:val="425"/>
  <w:characterSpacingControl w:val="doNotCompress"/>
  <w:hdrShapeDefaults>
    <o:shapedefaults v:ext="edit" spidmax="292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840"/>
    <w:rsid w:val="000003A3"/>
    <w:rsid w:val="00001EB5"/>
    <w:rsid w:val="00002696"/>
    <w:rsid w:val="000032C6"/>
    <w:rsid w:val="00003A5E"/>
    <w:rsid w:val="000056F6"/>
    <w:rsid w:val="00005D98"/>
    <w:rsid w:val="00006B39"/>
    <w:rsid w:val="00007262"/>
    <w:rsid w:val="00011394"/>
    <w:rsid w:val="00011C96"/>
    <w:rsid w:val="00011EA9"/>
    <w:rsid w:val="000128E6"/>
    <w:rsid w:val="0001306B"/>
    <w:rsid w:val="000141B9"/>
    <w:rsid w:val="00014CB5"/>
    <w:rsid w:val="00014DB5"/>
    <w:rsid w:val="0001566E"/>
    <w:rsid w:val="000157B6"/>
    <w:rsid w:val="000165D3"/>
    <w:rsid w:val="00016C4A"/>
    <w:rsid w:val="000217D9"/>
    <w:rsid w:val="00021BCE"/>
    <w:rsid w:val="000220C9"/>
    <w:rsid w:val="00024081"/>
    <w:rsid w:val="00024254"/>
    <w:rsid w:val="000264B0"/>
    <w:rsid w:val="0002669B"/>
    <w:rsid w:val="000266C1"/>
    <w:rsid w:val="0002676F"/>
    <w:rsid w:val="00030B25"/>
    <w:rsid w:val="00031338"/>
    <w:rsid w:val="0003397F"/>
    <w:rsid w:val="00034A19"/>
    <w:rsid w:val="00034D35"/>
    <w:rsid w:val="00036F9E"/>
    <w:rsid w:val="000401D7"/>
    <w:rsid w:val="000413B3"/>
    <w:rsid w:val="00044409"/>
    <w:rsid w:val="00045CA9"/>
    <w:rsid w:val="00046E03"/>
    <w:rsid w:val="00050553"/>
    <w:rsid w:val="000521D0"/>
    <w:rsid w:val="00052A74"/>
    <w:rsid w:val="00053BBA"/>
    <w:rsid w:val="00054406"/>
    <w:rsid w:val="000566F6"/>
    <w:rsid w:val="00056ED0"/>
    <w:rsid w:val="000573E5"/>
    <w:rsid w:val="000576AA"/>
    <w:rsid w:val="00057B71"/>
    <w:rsid w:val="0006065B"/>
    <w:rsid w:val="00063BA9"/>
    <w:rsid w:val="000656CA"/>
    <w:rsid w:val="00066897"/>
    <w:rsid w:val="00066C43"/>
    <w:rsid w:val="00070212"/>
    <w:rsid w:val="00071CC6"/>
    <w:rsid w:val="0007202C"/>
    <w:rsid w:val="0007219F"/>
    <w:rsid w:val="00072B30"/>
    <w:rsid w:val="0007319C"/>
    <w:rsid w:val="000732AA"/>
    <w:rsid w:val="0007342D"/>
    <w:rsid w:val="00075C20"/>
    <w:rsid w:val="0007674D"/>
    <w:rsid w:val="000767DD"/>
    <w:rsid w:val="0007683F"/>
    <w:rsid w:val="00077782"/>
    <w:rsid w:val="0008011A"/>
    <w:rsid w:val="0008072F"/>
    <w:rsid w:val="00080B2A"/>
    <w:rsid w:val="0008369F"/>
    <w:rsid w:val="00084F8B"/>
    <w:rsid w:val="000851D0"/>
    <w:rsid w:val="0008689D"/>
    <w:rsid w:val="00086D07"/>
    <w:rsid w:val="00086F71"/>
    <w:rsid w:val="0008774E"/>
    <w:rsid w:val="00090DAB"/>
    <w:rsid w:val="00091998"/>
    <w:rsid w:val="00093915"/>
    <w:rsid w:val="000949AD"/>
    <w:rsid w:val="00094FE9"/>
    <w:rsid w:val="00095109"/>
    <w:rsid w:val="00095A5B"/>
    <w:rsid w:val="00096B0F"/>
    <w:rsid w:val="000A0929"/>
    <w:rsid w:val="000A0F82"/>
    <w:rsid w:val="000A490E"/>
    <w:rsid w:val="000B04C5"/>
    <w:rsid w:val="000B0BFA"/>
    <w:rsid w:val="000B0FF7"/>
    <w:rsid w:val="000B29DC"/>
    <w:rsid w:val="000B2C4C"/>
    <w:rsid w:val="000B3F3A"/>
    <w:rsid w:val="000B49A0"/>
    <w:rsid w:val="000B4AB4"/>
    <w:rsid w:val="000B4F3A"/>
    <w:rsid w:val="000B5CA1"/>
    <w:rsid w:val="000B63CA"/>
    <w:rsid w:val="000B68AB"/>
    <w:rsid w:val="000B6C77"/>
    <w:rsid w:val="000B74CA"/>
    <w:rsid w:val="000B752A"/>
    <w:rsid w:val="000C06D2"/>
    <w:rsid w:val="000C14D9"/>
    <w:rsid w:val="000C15C7"/>
    <w:rsid w:val="000C21C8"/>
    <w:rsid w:val="000C4034"/>
    <w:rsid w:val="000C61FA"/>
    <w:rsid w:val="000C694B"/>
    <w:rsid w:val="000C6FAB"/>
    <w:rsid w:val="000D0629"/>
    <w:rsid w:val="000D0CFD"/>
    <w:rsid w:val="000D12EB"/>
    <w:rsid w:val="000D1D02"/>
    <w:rsid w:val="000D2C1C"/>
    <w:rsid w:val="000D374B"/>
    <w:rsid w:val="000D4511"/>
    <w:rsid w:val="000D4578"/>
    <w:rsid w:val="000D4EDE"/>
    <w:rsid w:val="000D542E"/>
    <w:rsid w:val="000D5BF8"/>
    <w:rsid w:val="000D5ECF"/>
    <w:rsid w:val="000E1557"/>
    <w:rsid w:val="000E1DB0"/>
    <w:rsid w:val="000E2460"/>
    <w:rsid w:val="000E251D"/>
    <w:rsid w:val="000E2813"/>
    <w:rsid w:val="000E2B8F"/>
    <w:rsid w:val="000E3427"/>
    <w:rsid w:val="000E3760"/>
    <w:rsid w:val="000E43AC"/>
    <w:rsid w:val="000E4753"/>
    <w:rsid w:val="000E48D0"/>
    <w:rsid w:val="000E548A"/>
    <w:rsid w:val="000E54B4"/>
    <w:rsid w:val="000E6870"/>
    <w:rsid w:val="000E6973"/>
    <w:rsid w:val="000E6C51"/>
    <w:rsid w:val="000E6E37"/>
    <w:rsid w:val="000E7243"/>
    <w:rsid w:val="000E7731"/>
    <w:rsid w:val="000F0E6F"/>
    <w:rsid w:val="000F132D"/>
    <w:rsid w:val="000F1615"/>
    <w:rsid w:val="000F2274"/>
    <w:rsid w:val="000F36C8"/>
    <w:rsid w:val="000F3A7B"/>
    <w:rsid w:val="000F435C"/>
    <w:rsid w:val="000F56BB"/>
    <w:rsid w:val="000F5BE5"/>
    <w:rsid w:val="000F5C98"/>
    <w:rsid w:val="000F714B"/>
    <w:rsid w:val="000F717F"/>
    <w:rsid w:val="0010005C"/>
    <w:rsid w:val="0010067D"/>
    <w:rsid w:val="001018A5"/>
    <w:rsid w:val="00104F6B"/>
    <w:rsid w:val="0010593D"/>
    <w:rsid w:val="00106E31"/>
    <w:rsid w:val="00106F56"/>
    <w:rsid w:val="0010769D"/>
    <w:rsid w:val="00107DA4"/>
    <w:rsid w:val="00107F5F"/>
    <w:rsid w:val="00111A35"/>
    <w:rsid w:val="00112DC5"/>
    <w:rsid w:val="001150C1"/>
    <w:rsid w:val="00115540"/>
    <w:rsid w:val="00115A39"/>
    <w:rsid w:val="00115F08"/>
    <w:rsid w:val="00116F22"/>
    <w:rsid w:val="00117351"/>
    <w:rsid w:val="00120CEF"/>
    <w:rsid w:val="00123007"/>
    <w:rsid w:val="00123576"/>
    <w:rsid w:val="001235A6"/>
    <w:rsid w:val="001241CB"/>
    <w:rsid w:val="00124B21"/>
    <w:rsid w:val="00126ABD"/>
    <w:rsid w:val="00131F7B"/>
    <w:rsid w:val="001327B8"/>
    <w:rsid w:val="001330C1"/>
    <w:rsid w:val="00133710"/>
    <w:rsid w:val="00134315"/>
    <w:rsid w:val="0013446C"/>
    <w:rsid w:val="0013471B"/>
    <w:rsid w:val="001352D4"/>
    <w:rsid w:val="00136937"/>
    <w:rsid w:val="00137B6C"/>
    <w:rsid w:val="00140C1F"/>
    <w:rsid w:val="001411F8"/>
    <w:rsid w:val="00142DEF"/>
    <w:rsid w:val="001433FF"/>
    <w:rsid w:val="00143E5A"/>
    <w:rsid w:val="00144295"/>
    <w:rsid w:val="00145032"/>
    <w:rsid w:val="00145279"/>
    <w:rsid w:val="00145AD2"/>
    <w:rsid w:val="00145C9C"/>
    <w:rsid w:val="001467C5"/>
    <w:rsid w:val="001467C9"/>
    <w:rsid w:val="001514ED"/>
    <w:rsid w:val="00151946"/>
    <w:rsid w:val="00151D32"/>
    <w:rsid w:val="00151D78"/>
    <w:rsid w:val="001532C3"/>
    <w:rsid w:val="0015489F"/>
    <w:rsid w:val="00155190"/>
    <w:rsid w:val="001562B5"/>
    <w:rsid w:val="00156F71"/>
    <w:rsid w:val="0015784E"/>
    <w:rsid w:val="00157C98"/>
    <w:rsid w:val="001620ED"/>
    <w:rsid w:val="00162138"/>
    <w:rsid w:val="0016272E"/>
    <w:rsid w:val="001631C9"/>
    <w:rsid w:val="00163EEE"/>
    <w:rsid w:val="001653B6"/>
    <w:rsid w:val="00165A28"/>
    <w:rsid w:val="00165BF6"/>
    <w:rsid w:val="00165ED3"/>
    <w:rsid w:val="00167059"/>
    <w:rsid w:val="001672DD"/>
    <w:rsid w:val="001674E0"/>
    <w:rsid w:val="0016796C"/>
    <w:rsid w:val="001702EB"/>
    <w:rsid w:val="0017243F"/>
    <w:rsid w:val="00173121"/>
    <w:rsid w:val="001732C4"/>
    <w:rsid w:val="001742AB"/>
    <w:rsid w:val="00174B0F"/>
    <w:rsid w:val="00174B73"/>
    <w:rsid w:val="00175322"/>
    <w:rsid w:val="0017583F"/>
    <w:rsid w:val="00175FA0"/>
    <w:rsid w:val="00176E3D"/>
    <w:rsid w:val="001800DA"/>
    <w:rsid w:val="0018030B"/>
    <w:rsid w:val="0018080E"/>
    <w:rsid w:val="0018165C"/>
    <w:rsid w:val="0018235E"/>
    <w:rsid w:val="00182BF7"/>
    <w:rsid w:val="001832E4"/>
    <w:rsid w:val="00184187"/>
    <w:rsid w:val="0018422E"/>
    <w:rsid w:val="00184CF7"/>
    <w:rsid w:val="00185BBE"/>
    <w:rsid w:val="00186111"/>
    <w:rsid w:val="00186CE5"/>
    <w:rsid w:val="00186EEC"/>
    <w:rsid w:val="00194D36"/>
    <w:rsid w:val="00196191"/>
    <w:rsid w:val="001A0647"/>
    <w:rsid w:val="001A1C52"/>
    <w:rsid w:val="001A2A0A"/>
    <w:rsid w:val="001A2A11"/>
    <w:rsid w:val="001A41FD"/>
    <w:rsid w:val="001A4A20"/>
    <w:rsid w:val="001A4EA4"/>
    <w:rsid w:val="001A4EF7"/>
    <w:rsid w:val="001A55F9"/>
    <w:rsid w:val="001A5A31"/>
    <w:rsid w:val="001A61E2"/>
    <w:rsid w:val="001A664F"/>
    <w:rsid w:val="001B0078"/>
    <w:rsid w:val="001B02B5"/>
    <w:rsid w:val="001B2B44"/>
    <w:rsid w:val="001B2DB7"/>
    <w:rsid w:val="001B3A9F"/>
    <w:rsid w:val="001B3B08"/>
    <w:rsid w:val="001B47A6"/>
    <w:rsid w:val="001B4EED"/>
    <w:rsid w:val="001B507B"/>
    <w:rsid w:val="001B7ACF"/>
    <w:rsid w:val="001B7B4D"/>
    <w:rsid w:val="001B7E52"/>
    <w:rsid w:val="001C340F"/>
    <w:rsid w:val="001C3ED6"/>
    <w:rsid w:val="001C439D"/>
    <w:rsid w:val="001C5FB6"/>
    <w:rsid w:val="001C71FE"/>
    <w:rsid w:val="001D0C02"/>
    <w:rsid w:val="001D1C7D"/>
    <w:rsid w:val="001D2AA2"/>
    <w:rsid w:val="001D360F"/>
    <w:rsid w:val="001D38BC"/>
    <w:rsid w:val="001D3D43"/>
    <w:rsid w:val="001D3FBE"/>
    <w:rsid w:val="001D5368"/>
    <w:rsid w:val="001D5F5D"/>
    <w:rsid w:val="001E0E07"/>
    <w:rsid w:val="001E0F51"/>
    <w:rsid w:val="001E1C81"/>
    <w:rsid w:val="001E3D0C"/>
    <w:rsid w:val="001E55BF"/>
    <w:rsid w:val="001E57D7"/>
    <w:rsid w:val="001E5953"/>
    <w:rsid w:val="001E7761"/>
    <w:rsid w:val="001E7FE1"/>
    <w:rsid w:val="001F3985"/>
    <w:rsid w:val="001F41F1"/>
    <w:rsid w:val="001F4A13"/>
    <w:rsid w:val="001F53FD"/>
    <w:rsid w:val="001F6E1A"/>
    <w:rsid w:val="001F6FF0"/>
    <w:rsid w:val="001F780A"/>
    <w:rsid w:val="001F7917"/>
    <w:rsid w:val="002004DD"/>
    <w:rsid w:val="00200613"/>
    <w:rsid w:val="00200B58"/>
    <w:rsid w:val="002011C6"/>
    <w:rsid w:val="00202078"/>
    <w:rsid w:val="002020AB"/>
    <w:rsid w:val="00202AA1"/>
    <w:rsid w:val="00203E6C"/>
    <w:rsid w:val="002050EA"/>
    <w:rsid w:val="002051CB"/>
    <w:rsid w:val="00205F2E"/>
    <w:rsid w:val="00206544"/>
    <w:rsid w:val="0021051E"/>
    <w:rsid w:val="00212A65"/>
    <w:rsid w:val="00213142"/>
    <w:rsid w:val="00214883"/>
    <w:rsid w:val="00214C85"/>
    <w:rsid w:val="00214D58"/>
    <w:rsid w:val="00215891"/>
    <w:rsid w:val="00215C0F"/>
    <w:rsid w:val="002178C9"/>
    <w:rsid w:val="00217E47"/>
    <w:rsid w:val="00220214"/>
    <w:rsid w:val="00220550"/>
    <w:rsid w:val="00221C5B"/>
    <w:rsid w:val="00221D6D"/>
    <w:rsid w:val="00221E94"/>
    <w:rsid w:val="00222409"/>
    <w:rsid w:val="0022386D"/>
    <w:rsid w:val="0022593C"/>
    <w:rsid w:val="0022630C"/>
    <w:rsid w:val="002264E1"/>
    <w:rsid w:val="002273F4"/>
    <w:rsid w:val="00227531"/>
    <w:rsid w:val="002301A2"/>
    <w:rsid w:val="00231E61"/>
    <w:rsid w:val="00231EE0"/>
    <w:rsid w:val="002320CD"/>
    <w:rsid w:val="00232825"/>
    <w:rsid w:val="00232B1E"/>
    <w:rsid w:val="00233FEA"/>
    <w:rsid w:val="00234229"/>
    <w:rsid w:val="0023443D"/>
    <w:rsid w:val="002363D0"/>
    <w:rsid w:val="00236C2D"/>
    <w:rsid w:val="002374B7"/>
    <w:rsid w:val="002377A2"/>
    <w:rsid w:val="00237D1A"/>
    <w:rsid w:val="00240126"/>
    <w:rsid w:val="00240C8F"/>
    <w:rsid w:val="00241B20"/>
    <w:rsid w:val="00241FCC"/>
    <w:rsid w:val="00242384"/>
    <w:rsid w:val="00242666"/>
    <w:rsid w:val="0024304D"/>
    <w:rsid w:val="00243052"/>
    <w:rsid w:val="00243888"/>
    <w:rsid w:val="00244826"/>
    <w:rsid w:val="00244A9D"/>
    <w:rsid w:val="002468AC"/>
    <w:rsid w:val="00247665"/>
    <w:rsid w:val="00247ACA"/>
    <w:rsid w:val="002505AD"/>
    <w:rsid w:val="0025093C"/>
    <w:rsid w:val="00250D19"/>
    <w:rsid w:val="00251015"/>
    <w:rsid w:val="00251308"/>
    <w:rsid w:val="00251567"/>
    <w:rsid w:val="002522AD"/>
    <w:rsid w:val="00252E6A"/>
    <w:rsid w:val="0025417C"/>
    <w:rsid w:val="00254428"/>
    <w:rsid w:val="00254FE1"/>
    <w:rsid w:val="002555CF"/>
    <w:rsid w:val="00255A20"/>
    <w:rsid w:val="00255E30"/>
    <w:rsid w:val="002563BD"/>
    <w:rsid w:val="00256ACD"/>
    <w:rsid w:val="00256B55"/>
    <w:rsid w:val="0025782A"/>
    <w:rsid w:val="002606C8"/>
    <w:rsid w:val="00260EE8"/>
    <w:rsid w:val="00262B79"/>
    <w:rsid w:val="00263414"/>
    <w:rsid w:val="00263611"/>
    <w:rsid w:val="00263BD9"/>
    <w:rsid w:val="00263D69"/>
    <w:rsid w:val="00264721"/>
    <w:rsid w:val="0026556E"/>
    <w:rsid w:val="00265F12"/>
    <w:rsid w:val="002661A6"/>
    <w:rsid w:val="00266248"/>
    <w:rsid w:val="00266C23"/>
    <w:rsid w:val="0027194D"/>
    <w:rsid w:val="0027208B"/>
    <w:rsid w:val="00272DBC"/>
    <w:rsid w:val="0027363F"/>
    <w:rsid w:val="00275123"/>
    <w:rsid w:val="002761FE"/>
    <w:rsid w:val="00276929"/>
    <w:rsid w:val="00277D6C"/>
    <w:rsid w:val="00280B01"/>
    <w:rsid w:val="00281769"/>
    <w:rsid w:val="00281FC2"/>
    <w:rsid w:val="00283D5B"/>
    <w:rsid w:val="00283DF4"/>
    <w:rsid w:val="00284D88"/>
    <w:rsid w:val="00285B95"/>
    <w:rsid w:val="00286BFC"/>
    <w:rsid w:val="00286EAD"/>
    <w:rsid w:val="00286F58"/>
    <w:rsid w:val="002871DF"/>
    <w:rsid w:val="00291E30"/>
    <w:rsid w:val="00292C6E"/>
    <w:rsid w:val="002934D4"/>
    <w:rsid w:val="00293716"/>
    <w:rsid w:val="0029389B"/>
    <w:rsid w:val="00293BFF"/>
    <w:rsid w:val="0029418D"/>
    <w:rsid w:val="002956FD"/>
    <w:rsid w:val="002A16EE"/>
    <w:rsid w:val="002A1883"/>
    <w:rsid w:val="002A1894"/>
    <w:rsid w:val="002A2188"/>
    <w:rsid w:val="002A2FBF"/>
    <w:rsid w:val="002A36F2"/>
    <w:rsid w:val="002A39E2"/>
    <w:rsid w:val="002A3C19"/>
    <w:rsid w:val="002A3CCE"/>
    <w:rsid w:val="002A3CEB"/>
    <w:rsid w:val="002A4494"/>
    <w:rsid w:val="002A47B8"/>
    <w:rsid w:val="002A641A"/>
    <w:rsid w:val="002A6448"/>
    <w:rsid w:val="002A6EFD"/>
    <w:rsid w:val="002A7D14"/>
    <w:rsid w:val="002A7F72"/>
    <w:rsid w:val="002B03E0"/>
    <w:rsid w:val="002B0913"/>
    <w:rsid w:val="002B1EEB"/>
    <w:rsid w:val="002B28E4"/>
    <w:rsid w:val="002B2A88"/>
    <w:rsid w:val="002B2E53"/>
    <w:rsid w:val="002B3C7D"/>
    <w:rsid w:val="002B59C6"/>
    <w:rsid w:val="002B5F62"/>
    <w:rsid w:val="002B7504"/>
    <w:rsid w:val="002B762B"/>
    <w:rsid w:val="002C010E"/>
    <w:rsid w:val="002C017E"/>
    <w:rsid w:val="002C06C4"/>
    <w:rsid w:val="002C0D97"/>
    <w:rsid w:val="002C11D7"/>
    <w:rsid w:val="002C18A4"/>
    <w:rsid w:val="002C1AB2"/>
    <w:rsid w:val="002C25F8"/>
    <w:rsid w:val="002C3522"/>
    <w:rsid w:val="002C458B"/>
    <w:rsid w:val="002C5B73"/>
    <w:rsid w:val="002C6420"/>
    <w:rsid w:val="002C66D1"/>
    <w:rsid w:val="002C66D3"/>
    <w:rsid w:val="002C6BF2"/>
    <w:rsid w:val="002C7065"/>
    <w:rsid w:val="002C7432"/>
    <w:rsid w:val="002C7C95"/>
    <w:rsid w:val="002C7F4A"/>
    <w:rsid w:val="002D0D33"/>
    <w:rsid w:val="002D0D60"/>
    <w:rsid w:val="002D2804"/>
    <w:rsid w:val="002D4B6C"/>
    <w:rsid w:val="002D5203"/>
    <w:rsid w:val="002D5274"/>
    <w:rsid w:val="002D6BDC"/>
    <w:rsid w:val="002D7864"/>
    <w:rsid w:val="002D7EBE"/>
    <w:rsid w:val="002E1B2A"/>
    <w:rsid w:val="002E1FAE"/>
    <w:rsid w:val="002E2866"/>
    <w:rsid w:val="002E2CD9"/>
    <w:rsid w:val="002E56A8"/>
    <w:rsid w:val="002E662F"/>
    <w:rsid w:val="002E67E8"/>
    <w:rsid w:val="002E7A6F"/>
    <w:rsid w:val="002E7FF8"/>
    <w:rsid w:val="002F0135"/>
    <w:rsid w:val="002F069F"/>
    <w:rsid w:val="002F092E"/>
    <w:rsid w:val="002F0C2C"/>
    <w:rsid w:val="002F17FA"/>
    <w:rsid w:val="002F19BA"/>
    <w:rsid w:val="002F2A27"/>
    <w:rsid w:val="002F2CB6"/>
    <w:rsid w:val="002F42E4"/>
    <w:rsid w:val="002F53CA"/>
    <w:rsid w:val="002F55F0"/>
    <w:rsid w:val="002F5BAF"/>
    <w:rsid w:val="002F6684"/>
    <w:rsid w:val="002F6991"/>
    <w:rsid w:val="002F6BE4"/>
    <w:rsid w:val="003005B1"/>
    <w:rsid w:val="00300655"/>
    <w:rsid w:val="003010E4"/>
    <w:rsid w:val="00301721"/>
    <w:rsid w:val="003032FA"/>
    <w:rsid w:val="00303D18"/>
    <w:rsid w:val="00303E7E"/>
    <w:rsid w:val="003075F8"/>
    <w:rsid w:val="00307ADD"/>
    <w:rsid w:val="00307E55"/>
    <w:rsid w:val="003100EF"/>
    <w:rsid w:val="00310669"/>
    <w:rsid w:val="00310A90"/>
    <w:rsid w:val="00312A66"/>
    <w:rsid w:val="003130CA"/>
    <w:rsid w:val="003136CA"/>
    <w:rsid w:val="0031591B"/>
    <w:rsid w:val="0031594C"/>
    <w:rsid w:val="003164E3"/>
    <w:rsid w:val="00316E05"/>
    <w:rsid w:val="00320E93"/>
    <w:rsid w:val="00321582"/>
    <w:rsid w:val="0032180D"/>
    <w:rsid w:val="003225E0"/>
    <w:rsid w:val="00322849"/>
    <w:rsid w:val="0032305C"/>
    <w:rsid w:val="00324DBA"/>
    <w:rsid w:val="003259BE"/>
    <w:rsid w:val="003260B8"/>
    <w:rsid w:val="003301FA"/>
    <w:rsid w:val="00330C9D"/>
    <w:rsid w:val="00331850"/>
    <w:rsid w:val="00332909"/>
    <w:rsid w:val="003333F9"/>
    <w:rsid w:val="003338F6"/>
    <w:rsid w:val="003343AD"/>
    <w:rsid w:val="00335592"/>
    <w:rsid w:val="00335ECE"/>
    <w:rsid w:val="00335FE4"/>
    <w:rsid w:val="00336CC1"/>
    <w:rsid w:val="00340872"/>
    <w:rsid w:val="0034088F"/>
    <w:rsid w:val="00341053"/>
    <w:rsid w:val="00341B15"/>
    <w:rsid w:val="00343464"/>
    <w:rsid w:val="003439AE"/>
    <w:rsid w:val="00345695"/>
    <w:rsid w:val="00345F72"/>
    <w:rsid w:val="00346B9D"/>
    <w:rsid w:val="00347EE0"/>
    <w:rsid w:val="003516AB"/>
    <w:rsid w:val="003518F2"/>
    <w:rsid w:val="003521AA"/>
    <w:rsid w:val="00354C4B"/>
    <w:rsid w:val="00354C61"/>
    <w:rsid w:val="0035579D"/>
    <w:rsid w:val="00355D40"/>
    <w:rsid w:val="00355F73"/>
    <w:rsid w:val="003573DE"/>
    <w:rsid w:val="00360814"/>
    <w:rsid w:val="00362355"/>
    <w:rsid w:val="003640F4"/>
    <w:rsid w:val="003648D3"/>
    <w:rsid w:val="00365FD1"/>
    <w:rsid w:val="003661E6"/>
    <w:rsid w:val="00370423"/>
    <w:rsid w:val="00371399"/>
    <w:rsid w:val="00371AAC"/>
    <w:rsid w:val="00371F54"/>
    <w:rsid w:val="00372C0B"/>
    <w:rsid w:val="00373ED3"/>
    <w:rsid w:val="0037517D"/>
    <w:rsid w:val="0037545F"/>
    <w:rsid w:val="0037650F"/>
    <w:rsid w:val="0037770C"/>
    <w:rsid w:val="00377C8B"/>
    <w:rsid w:val="00381201"/>
    <w:rsid w:val="0038180F"/>
    <w:rsid w:val="0038245D"/>
    <w:rsid w:val="00383126"/>
    <w:rsid w:val="00383A95"/>
    <w:rsid w:val="00384329"/>
    <w:rsid w:val="0038521C"/>
    <w:rsid w:val="00385CA0"/>
    <w:rsid w:val="00386752"/>
    <w:rsid w:val="00386B56"/>
    <w:rsid w:val="00387AA0"/>
    <w:rsid w:val="003914EC"/>
    <w:rsid w:val="00391AB3"/>
    <w:rsid w:val="00393844"/>
    <w:rsid w:val="00394C27"/>
    <w:rsid w:val="00395538"/>
    <w:rsid w:val="00396F24"/>
    <w:rsid w:val="00397526"/>
    <w:rsid w:val="00397A47"/>
    <w:rsid w:val="003A0824"/>
    <w:rsid w:val="003A174C"/>
    <w:rsid w:val="003A2733"/>
    <w:rsid w:val="003A2AD6"/>
    <w:rsid w:val="003A3021"/>
    <w:rsid w:val="003A347D"/>
    <w:rsid w:val="003A46E3"/>
    <w:rsid w:val="003A473C"/>
    <w:rsid w:val="003A627E"/>
    <w:rsid w:val="003A78BC"/>
    <w:rsid w:val="003A79EE"/>
    <w:rsid w:val="003B0D74"/>
    <w:rsid w:val="003B10B1"/>
    <w:rsid w:val="003B116C"/>
    <w:rsid w:val="003B13B7"/>
    <w:rsid w:val="003B2E2E"/>
    <w:rsid w:val="003B4DD6"/>
    <w:rsid w:val="003B5186"/>
    <w:rsid w:val="003B51A4"/>
    <w:rsid w:val="003B53BB"/>
    <w:rsid w:val="003B548E"/>
    <w:rsid w:val="003B6109"/>
    <w:rsid w:val="003B69A0"/>
    <w:rsid w:val="003B6E16"/>
    <w:rsid w:val="003B7020"/>
    <w:rsid w:val="003B7F1E"/>
    <w:rsid w:val="003C04C1"/>
    <w:rsid w:val="003C17B0"/>
    <w:rsid w:val="003C180A"/>
    <w:rsid w:val="003C1885"/>
    <w:rsid w:val="003C1E25"/>
    <w:rsid w:val="003C3483"/>
    <w:rsid w:val="003C49C0"/>
    <w:rsid w:val="003C777E"/>
    <w:rsid w:val="003C7EC6"/>
    <w:rsid w:val="003D0A5F"/>
    <w:rsid w:val="003D1222"/>
    <w:rsid w:val="003D24E9"/>
    <w:rsid w:val="003D27CB"/>
    <w:rsid w:val="003D3191"/>
    <w:rsid w:val="003D329D"/>
    <w:rsid w:val="003D34A3"/>
    <w:rsid w:val="003D4A47"/>
    <w:rsid w:val="003D4DAA"/>
    <w:rsid w:val="003D4EAE"/>
    <w:rsid w:val="003D624C"/>
    <w:rsid w:val="003D7104"/>
    <w:rsid w:val="003D79C8"/>
    <w:rsid w:val="003E042A"/>
    <w:rsid w:val="003E14C8"/>
    <w:rsid w:val="003E373F"/>
    <w:rsid w:val="003E3CB6"/>
    <w:rsid w:val="003E5AA1"/>
    <w:rsid w:val="003E6BF6"/>
    <w:rsid w:val="003E77A9"/>
    <w:rsid w:val="003F0125"/>
    <w:rsid w:val="003F018B"/>
    <w:rsid w:val="003F0F0D"/>
    <w:rsid w:val="003F1B8E"/>
    <w:rsid w:val="003F3A0D"/>
    <w:rsid w:val="003F3C8F"/>
    <w:rsid w:val="003F4C34"/>
    <w:rsid w:val="003F7EF2"/>
    <w:rsid w:val="004003E0"/>
    <w:rsid w:val="004009C3"/>
    <w:rsid w:val="00400FF0"/>
    <w:rsid w:val="00401255"/>
    <w:rsid w:val="00401590"/>
    <w:rsid w:val="0040173E"/>
    <w:rsid w:val="00401B9E"/>
    <w:rsid w:val="004020E5"/>
    <w:rsid w:val="004029DA"/>
    <w:rsid w:val="00403C40"/>
    <w:rsid w:val="00404234"/>
    <w:rsid w:val="00404371"/>
    <w:rsid w:val="00410192"/>
    <w:rsid w:val="00410A20"/>
    <w:rsid w:val="00411813"/>
    <w:rsid w:val="00411D5B"/>
    <w:rsid w:val="004121DE"/>
    <w:rsid w:val="00412791"/>
    <w:rsid w:val="00412A65"/>
    <w:rsid w:val="0041363A"/>
    <w:rsid w:val="00413F96"/>
    <w:rsid w:val="00416F15"/>
    <w:rsid w:val="00417124"/>
    <w:rsid w:val="00421885"/>
    <w:rsid w:val="00424F91"/>
    <w:rsid w:val="0042588E"/>
    <w:rsid w:val="00426C3A"/>
    <w:rsid w:val="00430B65"/>
    <w:rsid w:val="004311E4"/>
    <w:rsid w:val="0043161E"/>
    <w:rsid w:val="0043267A"/>
    <w:rsid w:val="00432892"/>
    <w:rsid w:val="00432AE3"/>
    <w:rsid w:val="00433955"/>
    <w:rsid w:val="00435288"/>
    <w:rsid w:val="00435339"/>
    <w:rsid w:val="00437F55"/>
    <w:rsid w:val="004410DC"/>
    <w:rsid w:val="00443D94"/>
    <w:rsid w:val="0044447D"/>
    <w:rsid w:val="00444B2D"/>
    <w:rsid w:val="0044604D"/>
    <w:rsid w:val="004465A6"/>
    <w:rsid w:val="00446EDC"/>
    <w:rsid w:val="00446EDF"/>
    <w:rsid w:val="0045065E"/>
    <w:rsid w:val="00450C67"/>
    <w:rsid w:val="00451A56"/>
    <w:rsid w:val="00453205"/>
    <w:rsid w:val="00453810"/>
    <w:rsid w:val="0045445E"/>
    <w:rsid w:val="0045502A"/>
    <w:rsid w:val="004550E3"/>
    <w:rsid w:val="0045549F"/>
    <w:rsid w:val="004564E5"/>
    <w:rsid w:val="00456836"/>
    <w:rsid w:val="00456A17"/>
    <w:rsid w:val="0046026D"/>
    <w:rsid w:val="00460CF7"/>
    <w:rsid w:val="00460E6B"/>
    <w:rsid w:val="00462AC7"/>
    <w:rsid w:val="00463FA8"/>
    <w:rsid w:val="00464991"/>
    <w:rsid w:val="00464A0E"/>
    <w:rsid w:val="00464CC4"/>
    <w:rsid w:val="00466069"/>
    <w:rsid w:val="00466188"/>
    <w:rsid w:val="0046652D"/>
    <w:rsid w:val="00466648"/>
    <w:rsid w:val="004669E2"/>
    <w:rsid w:val="00470438"/>
    <w:rsid w:val="00470E21"/>
    <w:rsid w:val="00471433"/>
    <w:rsid w:val="004728C4"/>
    <w:rsid w:val="00472CBC"/>
    <w:rsid w:val="0047649D"/>
    <w:rsid w:val="004765B3"/>
    <w:rsid w:val="004771E8"/>
    <w:rsid w:val="00480351"/>
    <w:rsid w:val="0048081A"/>
    <w:rsid w:val="004813E3"/>
    <w:rsid w:val="00482828"/>
    <w:rsid w:val="004832E9"/>
    <w:rsid w:val="00483FC5"/>
    <w:rsid w:val="00484471"/>
    <w:rsid w:val="00484BF5"/>
    <w:rsid w:val="004857E2"/>
    <w:rsid w:val="00485C98"/>
    <w:rsid w:val="00486F4C"/>
    <w:rsid w:val="00490AD8"/>
    <w:rsid w:val="00492E0E"/>
    <w:rsid w:val="00493DAA"/>
    <w:rsid w:val="00494335"/>
    <w:rsid w:val="0049442F"/>
    <w:rsid w:val="004956D7"/>
    <w:rsid w:val="004957A9"/>
    <w:rsid w:val="00495A4C"/>
    <w:rsid w:val="004964CB"/>
    <w:rsid w:val="004967A1"/>
    <w:rsid w:val="004A2232"/>
    <w:rsid w:val="004A285B"/>
    <w:rsid w:val="004A399B"/>
    <w:rsid w:val="004A3B93"/>
    <w:rsid w:val="004A4661"/>
    <w:rsid w:val="004A4DFC"/>
    <w:rsid w:val="004A550C"/>
    <w:rsid w:val="004A6087"/>
    <w:rsid w:val="004A72BA"/>
    <w:rsid w:val="004A7F48"/>
    <w:rsid w:val="004B0B20"/>
    <w:rsid w:val="004B26E1"/>
    <w:rsid w:val="004B33F4"/>
    <w:rsid w:val="004B381B"/>
    <w:rsid w:val="004B3FEC"/>
    <w:rsid w:val="004B584E"/>
    <w:rsid w:val="004B6898"/>
    <w:rsid w:val="004B6CA2"/>
    <w:rsid w:val="004C0EDD"/>
    <w:rsid w:val="004C1106"/>
    <w:rsid w:val="004C1E52"/>
    <w:rsid w:val="004C2187"/>
    <w:rsid w:val="004C23EE"/>
    <w:rsid w:val="004C2C86"/>
    <w:rsid w:val="004C3874"/>
    <w:rsid w:val="004C6724"/>
    <w:rsid w:val="004C692A"/>
    <w:rsid w:val="004C6D4B"/>
    <w:rsid w:val="004C766B"/>
    <w:rsid w:val="004D2993"/>
    <w:rsid w:val="004D33E3"/>
    <w:rsid w:val="004D4162"/>
    <w:rsid w:val="004D4230"/>
    <w:rsid w:val="004D5DEF"/>
    <w:rsid w:val="004D6479"/>
    <w:rsid w:val="004D677D"/>
    <w:rsid w:val="004E15C8"/>
    <w:rsid w:val="004E2269"/>
    <w:rsid w:val="004E3013"/>
    <w:rsid w:val="004E3211"/>
    <w:rsid w:val="004E37BF"/>
    <w:rsid w:val="004E4591"/>
    <w:rsid w:val="004E7370"/>
    <w:rsid w:val="004E7DAB"/>
    <w:rsid w:val="004F07E7"/>
    <w:rsid w:val="004F2667"/>
    <w:rsid w:val="004F3339"/>
    <w:rsid w:val="004F35E7"/>
    <w:rsid w:val="004F389F"/>
    <w:rsid w:val="004F474C"/>
    <w:rsid w:val="004F5664"/>
    <w:rsid w:val="004F5CE5"/>
    <w:rsid w:val="004F7128"/>
    <w:rsid w:val="004F72A2"/>
    <w:rsid w:val="00501DA1"/>
    <w:rsid w:val="005026D4"/>
    <w:rsid w:val="00503A51"/>
    <w:rsid w:val="00505297"/>
    <w:rsid w:val="00506774"/>
    <w:rsid w:val="00506D85"/>
    <w:rsid w:val="0050768D"/>
    <w:rsid w:val="00507DC9"/>
    <w:rsid w:val="005113A6"/>
    <w:rsid w:val="00511E8D"/>
    <w:rsid w:val="00512309"/>
    <w:rsid w:val="005125F4"/>
    <w:rsid w:val="005141CA"/>
    <w:rsid w:val="00515B31"/>
    <w:rsid w:val="00516BB0"/>
    <w:rsid w:val="00516D09"/>
    <w:rsid w:val="0052013A"/>
    <w:rsid w:val="00520D5E"/>
    <w:rsid w:val="0052192A"/>
    <w:rsid w:val="00522353"/>
    <w:rsid w:val="00522926"/>
    <w:rsid w:val="00522F64"/>
    <w:rsid w:val="0052306E"/>
    <w:rsid w:val="00524C03"/>
    <w:rsid w:val="005251BA"/>
    <w:rsid w:val="00531E13"/>
    <w:rsid w:val="00531F5C"/>
    <w:rsid w:val="005321D2"/>
    <w:rsid w:val="00532CB2"/>
    <w:rsid w:val="00532FFF"/>
    <w:rsid w:val="005331E2"/>
    <w:rsid w:val="005333B4"/>
    <w:rsid w:val="00534059"/>
    <w:rsid w:val="005340D8"/>
    <w:rsid w:val="0053577C"/>
    <w:rsid w:val="00535F2D"/>
    <w:rsid w:val="00537495"/>
    <w:rsid w:val="00540C54"/>
    <w:rsid w:val="00541D54"/>
    <w:rsid w:val="00542522"/>
    <w:rsid w:val="0054276C"/>
    <w:rsid w:val="00544DB1"/>
    <w:rsid w:val="00544E69"/>
    <w:rsid w:val="0054526E"/>
    <w:rsid w:val="0054552F"/>
    <w:rsid w:val="00545CE1"/>
    <w:rsid w:val="005468A1"/>
    <w:rsid w:val="005469CB"/>
    <w:rsid w:val="00546CEA"/>
    <w:rsid w:val="005476B5"/>
    <w:rsid w:val="0055106F"/>
    <w:rsid w:val="0055170A"/>
    <w:rsid w:val="00551916"/>
    <w:rsid w:val="00551B23"/>
    <w:rsid w:val="0055204E"/>
    <w:rsid w:val="005521B9"/>
    <w:rsid w:val="00553038"/>
    <w:rsid w:val="00553E30"/>
    <w:rsid w:val="005549D7"/>
    <w:rsid w:val="00555311"/>
    <w:rsid w:val="00560121"/>
    <w:rsid w:val="005602DA"/>
    <w:rsid w:val="005605D0"/>
    <w:rsid w:val="00562087"/>
    <w:rsid w:val="00562DE9"/>
    <w:rsid w:val="00562F8F"/>
    <w:rsid w:val="00565089"/>
    <w:rsid w:val="005678FC"/>
    <w:rsid w:val="00571F92"/>
    <w:rsid w:val="00571FCB"/>
    <w:rsid w:val="00573327"/>
    <w:rsid w:val="00573D4E"/>
    <w:rsid w:val="00576E7E"/>
    <w:rsid w:val="00577A18"/>
    <w:rsid w:val="0058026A"/>
    <w:rsid w:val="00580CF8"/>
    <w:rsid w:val="00580E87"/>
    <w:rsid w:val="00581AC2"/>
    <w:rsid w:val="00581E50"/>
    <w:rsid w:val="00582CBB"/>
    <w:rsid w:val="00582FFE"/>
    <w:rsid w:val="005835A5"/>
    <w:rsid w:val="00586A58"/>
    <w:rsid w:val="00586C7B"/>
    <w:rsid w:val="00587756"/>
    <w:rsid w:val="005901B7"/>
    <w:rsid w:val="00590CA1"/>
    <w:rsid w:val="00592344"/>
    <w:rsid w:val="0059241C"/>
    <w:rsid w:val="0059277D"/>
    <w:rsid w:val="00592F64"/>
    <w:rsid w:val="00593283"/>
    <w:rsid w:val="0059362F"/>
    <w:rsid w:val="00595C7E"/>
    <w:rsid w:val="005964C8"/>
    <w:rsid w:val="005971F3"/>
    <w:rsid w:val="00597361"/>
    <w:rsid w:val="00597C47"/>
    <w:rsid w:val="005A1683"/>
    <w:rsid w:val="005A1B40"/>
    <w:rsid w:val="005A2D30"/>
    <w:rsid w:val="005A302A"/>
    <w:rsid w:val="005A30F4"/>
    <w:rsid w:val="005A37DA"/>
    <w:rsid w:val="005A3F63"/>
    <w:rsid w:val="005A59D0"/>
    <w:rsid w:val="005A679A"/>
    <w:rsid w:val="005A7757"/>
    <w:rsid w:val="005A7933"/>
    <w:rsid w:val="005B0087"/>
    <w:rsid w:val="005B017D"/>
    <w:rsid w:val="005B073E"/>
    <w:rsid w:val="005B080F"/>
    <w:rsid w:val="005B1AF9"/>
    <w:rsid w:val="005B227F"/>
    <w:rsid w:val="005B2840"/>
    <w:rsid w:val="005B2987"/>
    <w:rsid w:val="005B4697"/>
    <w:rsid w:val="005B4D08"/>
    <w:rsid w:val="005B67B1"/>
    <w:rsid w:val="005B75D6"/>
    <w:rsid w:val="005B7615"/>
    <w:rsid w:val="005B76AD"/>
    <w:rsid w:val="005B77F3"/>
    <w:rsid w:val="005B7801"/>
    <w:rsid w:val="005B7AB7"/>
    <w:rsid w:val="005C0024"/>
    <w:rsid w:val="005C10A1"/>
    <w:rsid w:val="005C295A"/>
    <w:rsid w:val="005C45DC"/>
    <w:rsid w:val="005C4BDF"/>
    <w:rsid w:val="005C5891"/>
    <w:rsid w:val="005C5B97"/>
    <w:rsid w:val="005C674E"/>
    <w:rsid w:val="005C7B70"/>
    <w:rsid w:val="005D0A29"/>
    <w:rsid w:val="005D1C43"/>
    <w:rsid w:val="005D2D4F"/>
    <w:rsid w:val="005D4775"/>
    <w:rsid w:val="005D47DD"/>
    <w:rsid w:val="005D5449"/>
    <w:rsid w:val="005D5FAE"/>
    <w:rsid w:val="005D607B"/>
    <w:rsid w:val="005E0C27"/>
    <w:rsid w:val="005E2C91"/>
    <w:rsid w:val="005E33B7"/>
    <w:rsid w:val="005E4276"/>
    <w:rsid w:val="005E4BC9"/>
    <w:rsid w:val="005E623D"/>
    <w:rsid w:val="005E6C8B"/>
    <w:rsid w:val="005E6CAA"/>
    <w:rsid w:val="005F1538"/>
    <w:rsid w:val="005F1718"/>
    <w:rsid w:val="005F29B7"/>
    <w:rsid w:val="005F4184"/>
    <w:rsid w:val="005F4743"/>
    <w:rsid w:val="005F609B"/>
    <w:rsid w:val="005F7BE4"/>
    <w:rsid w:val="00600759"/>
    <w:rsid w:val="006028BA"/>
    <w:rsid w:val="00602D39"/>
    <w:rsid w:val="00603405"/>
    <w:rsid w:val="00603846"/>
    <w:rsid w:val="00603A61"/>
    <w:rsid w:val="00603AC9"/>
    <w:rsid w:val="00606EB5"/>
    <w:rsid w:val="00606FC8"/>
    <w:rsid w:val="00607675"/>
    <w:rsid w:val="00607FB9"/>
    <w:rsid w:val="00607FC9"/>
    <w:rsid w:val="00610343"/>
    <w:rsid w:val="006107A6"/>
    <w:rsid w:val="00610D32"/>
    <w:rsid w:val="006111CB"/>
    <w:rsid w:val="00611724"/>
    <w:rsid w:val="006131D0"/>
    <w:rsid w:val="006142D7"/>
    <w:rsid w:val="00614F7C"/>
    <w:rsid w:val="006156D2"/>
    <w:rsid w:val="00615BEB"/>
    <w:rsid w:val="00616C90"/>
    <w:rsid w:val="00617492"/>
    <w:rsid w:val="00617FDA"/>
    <w:rsid w:val="00620C9E"/>
    <w:rsid w:val="0062116F"/>
    <w:rsid w:val="00621ED4"/>
    <w:rsid w:val="00622285"/>
    <w:rsid w:val="00623A29"/>
    <w:rsid w:val="00623FD7"/>
    <w:rsid w:val="00625362"/>
    <w:rsid w:val="00625CF4"/>
    <w:rsid w:val="00626087"/>
    <w:rsid w:val="00626112"/>
    <w:rsid w:val="00626A99"/>
    <w:rsid w:val="00626CF7"/>
    <w:rsid w:val="00627B0F"/>
    <w:rsid w:val="00630021"/>
    <w:rsid w:val="006300D4"/>
    <w:rsid w:val="00632B09"/>
    <w:rsid w:val="0063372A"/>
    <w:rsid w:val="00633B03"/>
    <w:rsid w:val="00634E4C"/>
    <w:rsid w:val="00636B8B"/>
    <w:rsid w:val="00636BBD"/>
    <w:rsid w:val="006372D8"/>
    <w:rsid w:val="006374A6"/>
    <w:rsid w:val="006379B5"/>
    <w:rsid w:val="00637EBD"/>
    <w:rsid w:val="00640279"/>
    <w:rsid w:val="00640CCF"/>
    <w:rsid w:val="00640D82"/>
    <w:rsid w:val="00641B20"/>
    <w:rsid w:val="00641EAA"/>
    <w:rsid w:val="006427FE"/>
    <w:rsid w:val="00644E84"/>
    <w:rsid w:val="00646695"/>
    <w:rsid w:val="006468BB"/>
    <w:rsid w:val="00647BCE"/>
    <w:rsid w:val="006506C1"/>
    <w:rsid w:val="00651428"/>
    <w:rsid w:val="00651840"/>
    <w:rsid w:val="0065219C"/>
    <w:rsid w:val="00652576"/>
    <w:rsid w:val="00652CC5"/>
    <w:rsid w:val="006544F1"/>
    <w:rsid w:val="00655A0D"/>
    <w:rsid w:val="00655E9A"/>
    <w:rsid w:val="0065747A"/>
    <w:rsid w:val="00657EF4"/>
    <w:rsid w:val="00661087"/>
    <w:rsid w:val="006626B2"/>
    <w:rsid w:val="00662E28"/>
    <w:rsid w:val="00663593"/>
    <w:rsid w:val="0066377A"/>
    <w:rsid w:val="00664151"/>
    <w:rsid w:val="00665E6E"/>
    <w:rsid w:val="0066674D"/>
    <w:rsid w:val="00666A78"/>
    <w:rsid w:val="00670698"/>
    <w:rsid w:val="00671DC0"/>
    <w:rsid w:val="00672C29"/>
    <w:rsid w:val="0067310B"/>
    <w:rsid w:val="006731DA"/>
    <w:rsid w:val="006733F9"/>
    <w:rsid w:val="00673726"/>
    <w:rsid w:val="00673C38"/>
    <w:rsid w:val="0067476C"/>
    <w:rsid w:val="00676546"/>
    <w:rsid w:val="00676C12"/>
    <w:rsid w:val="006808FD"/>
    <w:rsid w:val="00681F92"/>
    <w:rsid w:val="006835E2"/>
    <w:rsid w:val="00690FBE"/>
    <w:rsid w:val="00691276"/>
    <w:rsid w:val="00691B40"/>
    <w:rsid w:val="00692768"/>
    <w:rsid w:val="00692D9B"/>
    <w:rsid w:val="006934B4"/>
    <w:rsid w:val="0069375D"/>
    <w:rsid w:val="0069407C"/>
    <w:rsid w:val="00694C76"/>
    <w:rsid w:val="0069574E"/>
    <w:rsid w:val="00695D5B"/>
    <w:rsid w:val="006961E4"/>
    <w:rsid w:val="006969C0"/>
    <w:rsid w:val="00696FF8"/>
    <w:rsid w:val="00697300"/>
    <w:rsid w:val="00697880"/>
    <w:rsid w:val="00697A2F"/>
    <w:rsid w:val="006A1921"/>
    <w:rsid w:val="006A2303"/>
    <w:rsid w:val="006A3181"/>
    <w:rsid w:val="006A345B"/>
    <w:rsid w:val="006A346F"/>
    <w:rsid w:val="006A4BC5"/>
    <w:rsid w:val="006A605F"/>
    <w:rsid w:val="006A65C7"/>
    <w:rsid w:val="006A67DA"/>
    <w:rsid w:val="006A696C"/>
    <w:rsid w:val="006A6CE6"/>
    <w:rsid w:val="006B0207"/>
    <w:rsid w:val="006B0347"/>
    <w:rsid w:val="006B133C"/>
    <w:rsid w:val="006B1411"/>
    <w:rsid w:val="006B23F2"/>
    <w:rsid w:val="006B4624"/>
    <w:rsid w:val="006B5493"/>
    <w:rsid w:val="006B7B92"/>
    <w:rsid w:val="006C1E97"/>
    <w:rsid w:val="006C3C87"/>
    <w:rsid w:val="006C4941"/>
    <w:rsid w:val="006C5D89"/>
    <w:rsid w:val="006C6C47"/>
    <w:rsid w:val="006D03BA"/>
    <w:rsid w:val="006D2A45"/>
    <w:rsid w:val="006D370F"/>
    <w:rsid w:val="006D3954"/>
    <w:rsid w:val="006D5993"/>
    <w:rsid w:val="006D5DD4"/>
    <w:rsid w:val="006D6D61"/>
    <w:rsid w:val="006D71B8"/>
    <w:rsid w:val="006D7682"/>
    <w:rsid w:val="006D76BD"/>
    <w:rsid w:val="006E1E18"/>
    <w:rsid w:val="006E24A0"/>
    <w:rsid w:val="006E3234"/>
    <w:rsid w:val="006E37C9"/>
    <w:rsid w:val="006E4272"/>
    <w:rsid w:val="006E536E"/>
    <w:rsid w:val="006E629A"/>
    <w:rsid w:val="006E6AB8"/>
    <w:rsid w:val="006F0641"/>
    <w:rsid w:val="006F145A"/>
    <w:rsid w:val="006F1AEF"/>
    <w:rsid w:val="006F2681"/>
    <w:rsid w:val="006F27CB"/>
    <w:rsid w:val="006F33E8"/>
    <w:rsid w:val="006F359B"/>
    <w:rsid w:val="006F3E04"/>
    <w:rsid w:val="006F495F"/>
    <w:rsid w:val="006F4F06"/>
    <w:rsid w:val="006F5865"/>
    <w:rsid w:val="006F5D0F"/>
    <w:rsid w:val="006F63EE"/>
    <w:rsid w:val="006F664E"/>
    <w:rsid w:val="006F6700"/>
    <w:rsid w:val="006F6A65"/>
    <w:rsid w:val="006F72F5"/>
    <w:rsid w:val="00700266"/>
    <w:rsid w:val="0070135F"/>
    <w:rsid w:val="00701E61"/>
    <w:rsid w:val="00701EC6"/>
    <w:rsid w:val="00702DFA"/>
    <w:rsid w:val="0070383E"/>
    <w:rsid w:val="00706179"/>
    <w:rsid w:val="00706A27"/>
    <w:rsid w:val="00706CE5"/>
    <w:rsid w:val="00706EA1"/>
    <w:rsid w:val="00706ED5"/>
    <w:rsid w:val="00710EA9"/>
    <w:rsid w:val="00711517"/>
    <w:rsid w:val="00712284"/>
    <w:rsid w:val="00714F78"/>
    <w:rsid w:val="0071515C"/>
    <w:rsid w:val="007152B0"/>
    <w:rsid w:val="00715369"/>
    <w:rsid w:val="00715E04"/>
    <w:rsid w:val="007170F7"/>
    <w:rsid w:val="0071799A"/>
    <w:rsid w:val="00721A5B"/>
    <w:rsid w:val="007225C6"/>
    <w:rsid w:val="00722F9F"/>
    <w:rsid w:val="007231CF"/>
    <w:rsid w:val="00724B2E"/>
    <w:rsid w:val="007253B8"/>
    <w:rsid w:val="00725554"/>
    <w:rsid w:val="00725F47"/>
    <w:rsid w:val="007260D1"/>
    <w:rsid w:val="00731243"/>
    <w:rsid w:val="00732188"/>
    <w:rsid w:val="00732928"/>
    <w:rsid w:val="007349C9"/>
    <w:rsid w:val="00734CE7"/>
    <w:rsid w:val="00736E7D"/>
    <w:rsid w:val="00736FC3"/>
    <w:rsid w:val="0073722A"/>
    <w:rsid w:val="0074088C"/>
    <w:rsid w:val="007421F9"/>
    <w:rsid w:val="00742458"/>
    <w:rsid w:val="00742F46"/>
    <w:rsid w:val="007456EC"/>
    <w:rsid w:val="00745B65"/>
    <w:rsid w:val="00745CCA"/>
    <w:rsid w:val="00745F23"/>
    <w:rsid w:val="007509A6"/>
    <w:rsid w:val="0075290B"/>
    <w:rsid w:val="00753033"/>
    <w:rsid w:val="00753F83"/>
    <w:rsid w:val="007541B0"/>
    <w:rsid w:val="00754583"/>
    <w:rsid w:val="0075469B"/>
    <w:rsid w:val="0075476B"/>
    <w:rsid w:val="00755163"/>
    <w:rsid w:val="00755C39"/>
    <w:rsid w:val="00756039"/>
    <w:rsid w:val="007568F8"/>
    <w:rsid w:val="00756AAB"/>
    <w:rsid w:val="00756D10"/>
    <w:rsid w:val="00757A6B"/>
    <w:rsid w:val="00757F63"/>
    <w:rsid w:val="00761F06"/>
    <w:rsid w:val="00761FAB"/>
    <w:rsid w:val="00762615"/>
    <w:rsid w:val="00762F05"/>
    <w:rsid w:val="007645AE"/>
    <w:rsid w:val="00764992"/>
    <w:rsid w:val="007652FD"/>
    <w:rsid w:val="00765983"/>
    <w:rsid w:val="0076631E"/>
    <w:rsid w:val="0076669D"/>
    <w:rsid w:val="007711B0"/>
    <w:rsid w:val="007729D1"/>
    <w:rsid w:val="00772B02"/>
    <w:rsid w:val="00773DCA"/>
    <w:rsid w:val="00773DD4"/>
    <w:rsid w:val="00774FA5"/>
    <w:rsid w:val="00775AA0"/>
    <w:rsid w:val="00775FCB"/>
    <w:rsid w:val="007770FA"/>
    <w:rsid w:val="00777A6B"/>
    <w:rsid w:val="00777FFE"/>
    <w:rsid w:val="00782028"/>
    <w:rsid w:val="00784DCB"/>
    <w:rsid w:val="0078530E"/>
    <w:rsid w:val="00786002"/>
    <w:rsid w:val="00791738"/>
    <w:rsid w:val="00791780"/>
    <w:rsid w:val="00791BC3"/>
    <w:rsid w:val="00791D5C"/>
    <w:rsid w:val="00792527"/>
    <w:rsid w:val="00792D37"/>
    <w:rsid w:val="00793E5A"/>
    <w:rsid w:val="007947A9"/>
    <w:rsid w:val="007A08C9"/>
    <w:rsid w:val="007A0EB7"/>
    <w:rsid w:val="007B1F61"/>
    <w:rsid w:val="007B31F7"/>
    <w:rsid w:val="007B3B0D"/>
    <w:rsid w:val="007B4924"/>
    <w:rsid w:val="007B6871"/>
    <w:rsid w:val="007B69D7"/>
    <w:rsid w:val="007B7DCF"/>
    <w:rsid w:val="007B7F41"/>
    <w:rsid w:val="007C072A"/>
    <w:rsid w:val="007C08B1"/>
    <w:rsid w:val="007C12C7"/>
    <w:rsid w:val="007C2CC2"/>
    <w:rsid w:val="007C2F24"/>
    <w:rsid w:val="007C32D9"/>
    <w:rsid w:val="007C38BD"/>
    <w:rsid w:val="007C3BB9"/>
    <w:rsid w:val="007C3BBA"/>
    <w:rsid w:val="007C6B4B"/>
    <w:rsid w:val="007C79AA"/>
    <w:rsid w:val="007C7AE0"/>
    <w:rsid w:val="007D225E"/>
    <w:rsid w:val="007D31DA"/>
    <w:rsid w:val="007D5E69"/>
    <w:rsid w:val="007D664E"/>
    <w:rsid w:val="007D6BD2"/>
    <w:rsid w:val="007D6F2F"/>
    <w:rsid w:val="007D72C5"/>
    <w:rsid w:val="007D752F"/>
    <w:rsid w:val="007E1957"/>
    <w:rsid w:val="007E1CCE"/>
    <w:rsid w:val="007E43E4"/>
    <w:rsid w:val="007E525D"/>
    <w:rsid w:val="007E5544"/>
    <w:rsid w:val="007E5D0C"/>
    <w:rsid w:val="007E68EF"/>
    <w:rsid w:val="007E6B03"/>
    <w:rsid w:val="007E7F27"/>
    <w:rsid w:val="007F0323"/>
    <w:rsid w:val="007F0C1E"/>
    <w:rsid w:val="007F3414"/>
    <w:rsid w:val="007F379E"/>
    <w:rsid w:val="007F471C"/>
    <w:rsid w:val="007F5236"/>
    <w:rsid w:val="007F6F80"/>
    <w:rsid w:val="007F738A"/>
    <w:rsid w:val="007F75E5"/>
    <w:rsid w:val="00800C90"/>
    <w:rsid w:val="008019C8"/>
    <w:rsid w:val="00802696"/>
    <w:rsid w:val="00802852"/>
    <w:rsid w:val="008047AA"/>
    <w:rsid w:val="00804878"/>
    <w:rsid w:val="00806724"/>
    <w:rsid w:val="008068FC"/>
    <w:rsid w:val="00807933"/>
    <w:rsid w:val="008118C3"/>
    <w:rsid w:val="00812560"/>
    <w:rsid w:val="008125F8"/>
    <w:rsid w:val="0081457A"/>
    <w:rsid w:val="00814E1E"/>
    <w:rsid w:val="008167DB"/>
    <w:rsid w:val="008169B5"/>
    <w:rsid w:val="00816E33"/>
    <w:rsid w:val="0082052C"/>
    <w:rsid w:val="008208E9"/>
    <w:rsid w:val="00820A2B"/>
    <w:rsid w:val="00822A62"/>
    <w:rsid w:val="00824E78"/>
    <w:rsid w:val="008258D3"/>
    <w:rsid w:val="00825986"/>
    <w:rsid w:val="00825B80"/>
    <w:rsid w:val="00826B53"/>
    <w:rsid w:val="00830FDD"/>
    <w:rsid w:val="008310AF"/>
    <w:rsid w:val="008320B6"/>
    <w:rsid w:val="00832A0B"/>
    <w:rsid w:val="00832B31"/>
    <w:rsid w:val="00832F0B"/>
    <w:rsid w:val="00833AE2"/>
    <w:rsid w:val="00833D7C"/>
    <w:rsid w:val="008342F3"/>
    <w:rsid w:val="00834CE0"/>
    <w:rsid w:val="0083564F"/>
    <w:rsid w:val="00835C86"/>
    <w:rsid w:val="00835CFF"/>
    <w:rsid w:val="00837330"/>
    <w:rsid w:val="00837B3F"/>
    <w:rsid w:val="00840F0B"/>
    <w:rsid w:val="0084110F"/>
    <w:rsid w:val="008414C0"/>
    <w:rsid w:val="0084174D"/>
    <w:rsid w:val="00841FD0"/>
    <w:rsid w:val="00841FD2"/>
    <w:rsid w:val="00842766"/>
    <w:rsid w:val="008436C7"/>
    <w:rsid w:val="00844B1D"/>
    <w:rsid w:val="00844F5C"/>
    <w:rsid w:val="00845843"/>
    <w:rsid w:val="00845FAD"/>
    <w:rsid w:val="008462F0"/>
    <w:rsid w:val="00846D34"/>
    <w:rsid w:val="008473A1"/>
    <w:rsid w:val="00853C50"/>
    <w:rsid w:val="008548F9"/>
    <w:rsid w:val="00860D79"/>
    <w:rsid w:val="0086224F"/>
    <w:rsid w:val="0086262A"/>
    <w:rsid w:val="00863020"/>
    <w:rsid w:val="008637EC"/>
    <w:rsid w:val="0086528E"/>
    <w:rsid w:val="00866FF9"/>
    <w:rsid w:val="00867B83"/>
    <w:rsid w:val="00867B8C"/>
    <w:rsid w:val="00870BC6"/>
    <w:rsid w:val="00871D6F"/>
    <w:rsid w:val="00872A29"/>
    <w:rsid w:val="00872D0F"/>
    <w:rsid w:val="00874230"/>
    <w:rsid w:val="00875DAD"/>
    <w:rsid w:val="008769F1"/>
    <w:rsid w:val="00877B84"/>
    <w:rsid w:val="0088036D"/>
    <w:rsid w:val="00880DB7"/>
    <w:rsid w:val="008810A2"/>
    <w:rsid w:val="0088111F"/>
    <w:rsid w:val="00881155"/>
    <w:rsid w:val="0088149D"/>
    <w:rsid w:val="00881F97"/>
    <w:rsid w:val="00882892"/>
    <w:rsid w:val="00882A2F"/>
    <w:rsid w:val="0088401D"/>
    <w:rsid w:val="00885A14"/>
    <w:rsid w:val="0088689B"/>
    <w:rsid w:val="0088761C"/>
    <w:rsid w:val="0089060D"/>
    <w:rsid w:val="00890FA0"/>
    <w:rsid w:val="008910E8"/>
    <w:rsid w:val="00894653"/>
    <w:rsid w:val="008947BF"/>
    <w:rsid w:val="00896B68"/>
    <w:rsid w:val="008976C7"/>
    <w:rsid w:val="008A0CBE"/>
    <w:rsid w:val="008A1CA8"/>
    <w:rsid w:val="008A214D"/>
    <w:rsid w:val="008A27A5"/>
    <w:rsid w:val="008A3584"/>
    <w:rsid w:val="008A5676"/>
    <w:rsid w:val="008A72D2"/>
    <w:rsid w:val="008A74A3"/>
    <w:rsid w:val="008A7A6F"/>
    <w:rsid w:val="008B0500"/>
    <w:rsid w:val="008B08AA"/>
    <w:rsid w:val="008B11F6"/>
    <w:rsid w:val="008B1B95"/>
    <w:rsid w:val="008B2BF9"/>
    <w:rsid w:val="008B2E22"/>
    <w:rsid w:val="008B2FAB"/>
    <w:rsid w:val="008B39AF"/>
    <w:rsid w:val="008B4E06"/>
    <w:rsid w:val="008B6404"/>
    <w:rsid w:val="008B6868"/>
    <w:rsid w:val="008B6963"/>
    <w:rsid w:val="008B69B8"/>
    <w:rsid w:val="008B6D24"/>
    <w:rsid w:val="008B6E45"/>
    <w:rsid w:val="008C1228"/>
    <w:rsid w:val="008C29AD"/>
    <w:rsid w:val="008C34F7"/>
    <w:rsid w:val="008C41B9"/>
    <w:rsid w:val="008C428E"/>
    <w:rsid w:val="008C5D20"/>
    <w:rsid w:val="008C6A43"/>
    <w:rsid w:val="008D080C"/>
    <w:rsid w:val="008D145D"/>
    <w:rsid w:val="008D4917"/>
    <w:rsid w:val="008D544A"/>
    <w:rsid w:val="008D6437"/>
    <w:rsid w:val="008D6CD8"/>
    <w:rsid w:val="008D6EDF"/>
    <w:rsid w:val="008D7453"/>
    <w:rsid w:val="008D7AC1"/>
    <w:rsid w:val="008E0E5D"/>
    <w:rsid w:val="008E16F2"/>
    <w:rsid w:val="008E2BBA"/>
    <w:rsid w:val="008E39A4"/>
    <w:rsid w:val="008E3EF5"/>
    <w:rsid w:val="008E4861"/>
    <w:rsid w:val="008E48D2"/>
    <w:rsid w:val="008E5612"/>
    <w:rsid w:val="008E61F8"/>
    <w:rsid w:val="008E62EB"/>
    <w:rsid w:val="008E6BE9"/>
    <w:rsid w:val="008E7716"/>
    <w:rsid w:val="008F058C"/>
    <w:rsid w:val="008F087B"/>
    <w:rsid w:val="008F2232"/>
    <w:rsid w:val="008F33B5"/>
    <w:rsid w:val="008F36D3"/>
    <w:rsid w:val="008F3B15"/>
    <w:rsid w:val="008F42FC"/>
    <w:rsid w:val="008F44E9"/>
    <w:rsid w:val="008F55CA"/>
    <w:rsid w:val="008F570D"/>
    <w:rsid w:val="008F5EE0"/>
    <w:rsid w:val="008F6BA5"/>
    <w:rsid w:val="008F7008"/>
    <w:rsid w:val="008F7571"/>
    <w:rsid w:val="009005A5"/>
    <w:rsid w:val="009020DA"/>
    <w:rsid w:val="00902603"/>
    <w:rsid w:val="00902AEF"/>
    <w:rsid w:val="00903C12"/>
    <w:rsid w:val="0090442D"/>
    <w:rsid w:val="009056D9"/>
    <w:rsid w:val="00905F7E"/>
    <w:rsid w:val="00906799"/>
    <w:rsid w:val="009073D4"/>
    <w:rsid w:val="00907F82"/>
    <w:rsid w:val="00911654"/>
    <w:rsid w:val="009117B2"/>
    <w:rsid w:val="00914041"/>
    <w:rsid w:val="009149B0"/>
    <w:rsid w:val="00914D97"/>
    <w:rsid w:val="00915576"/>
    <w:rsid w:val="009173F8"/>
    <w:rsid w:val="00920E95"/>
    <w:rsid w:val="00921299"/>
    <w:rsid w:val="00922193"/>
    <w:rsid w:val="00923AAA"/>
    <w:rsid w:val="00924152"/>
    <w:rsid w:val="009257FB"/>
    <w:rsid w:val="00925CE1"/>
    <w:rsid w:val="00926072"/>
    <w:rsid w:val="009305FA"/>
    <w:rsid w:val="0093194D"/>
    <w:rsid w:val="00931DB7"/>
    <w:rsid w:val="00933609"/>
    <w:rsid w:val="00933C7A"/>
    <w:rsid w:val="009342E6"/>
    <w:rsid w:val="00934760"/>
    <w:rsid w:val="00934C3F"/>
    <w:rsid w:val="00935D0D"/>
    <w:rsid w:val="0093618F"/>
    <w:rsid w:val="00936211"/>
    <w:rsid w:val="0093796C"/>
    <w:rsid w:val="009417AE"/>
    <w:rsid w:val="00941ECF"/>
    <w:rsid w:val="009446F6"/>
    <w:rsid w:val="0094514D"/>
    <w:rsid w:val="00945635"/>
    <w:rsid w:val="00945B3F"/>
    <w:rsid w:val="0094697B"/>
    <w:rsid w:val="0095058A"/>
    <w:rsid w:val="00950DCB"/>
    <w:rsid w:val="00952A1C"/>
    <w:rsid w:val="00952D47"/>
    <w:rsid w:val="00952D4C"/>
    <w:rsid w:val="00953192"/>
    <w:rsid w:val="00953D43"/>
    <w:rsid w:val="00954AF4"/>
    <w:rsid w:val="00956503"/>
    <w:rsid w:val="00956BE3"/>
    <w:rsid w:val="00957F3B"/>
    <w:rsid w:val="00960246"/>
    <w:rsid w:val="0096140F"/>
    <w:rsid w:val="00961864"/>
    <w:rsid w:val="00963167"/>
    <w:rsid w:val="00964CC6"/>
    <w:rsid w:val="00965E26"/>
    <w:rsid w:val="00967B48"/>
    <w:rsid w:val="00967E61"/>
    <w:rsid w:val="00970E8A"/>
    <w:rsid w:val="009720E1"/>
    <w:rsid w:val="0097221E"/>
    <w:rsid w:val="009725BA"/>
    <w:rsid w:val="00972C52"/>
    <w:rsid w:val="00972CE2"/>
    <w:rsid w:val="00973543"/>
    <w:rsid w:val="0097392A"/>
    <w:rsid w:val="00974BA9"/>
    <w:rsid w:val="00974F0E"/>
    <w:rsid w:val="00975624"/>
    <w:rsid w:val="00975CD7"/>
    <w:rsid w:val="009760EE"/>
    <w:rsid w:val="0097728A"/>
    <w:rsid w:val="00980AE0"/>
    <w:rsid w:val="0098195A"/>
    <w:rsid w:val="009819CD"/>
    <w:rsid w:val="009838F6"/>
    <w:rsid w:val="009839D6"/>
    <w:rsid w:val="00984B9C"/>
    <w:rsid w:val="00984F9E"/>
    <w:rsid w:val="00985E70"/>
    <w:rsid w:val="0098743E"/>
    <w:rsid w:val="0098783B"/>
    <w:rsid w:val="009879A6"/>
    <w:rsid w:val="009900D4"/>
    <w:rsid w:val="00990B82"/>
    <w:rsid w:val="00991A90"/>
    <w:rsid w:val="00991DAC"/>
    <w:rsid w:val="0099310E"/>
    <w:rsid w:val="0099365D"/>
    <w:rsid w:val="00993C2B"/>
    <w:rsid w:val="009951D7"/>
    <w:rsid w:val="00995435"/>
    <w:rsid w:val="009979F4"/>
    <w:rsid w:val="00997C37"/>
    <w:rsid w:val="009A0A54"/>
    <w:rsid w:val="009A117C"/>
    <w:rsid w:val="009A3B25"/>
    <w:rsid w:val="009A3F4A"/>
    <w:rsid w:val="009A427C"/>
    <w:rsid w:val="009A45B2"/>
    <w:rsid w:val="009A4704"/>
    <w:rsid w:val="009A5585"/>
    <w:rsid w:val="009A59D5"/>
    <w:rsid w:val="009A6135"/>
    <w:rsid w:val="009A66EF"/>
    <w:rsid w:val="009A6EEC"/>
    <w:rsid w:val="009B12CB"/>
    <w:rsid w:val="009B1DD1"/>
    <w:rsid w:val="009B203B"/>
    <w:rsid w:val="009B258D"/>
    <w:rsid w:val="009B2CB7"/>
    <w:rsid w:val="009B3C9A"/>
    <w:rsid w:val="009B473E"/>
    <w:rsid w:val="009B5D51"/>
    <w:rsid w:val="009C0C14"/>
    <w:rsid w:val="009C1211"/>
    <w:rsid w:val="009C1A5A"/>
    <w:rsid w:val="009C473D"/>
    <w:rsid w:val="009C5ACC"/>
    <w:rsid w:val="009D009A"/>
    <w:rsid w:val="009D05F2"/>
    <w:rsid w:val="009D0901"/>
    <w:rsid w:val="009D092D"/>
    <w:rsid w:val="009D0AB5"/>
    <w:rsid w:val="009D0D66"/>
    <w:rsid w:val="009D1E30"/>
    <w:rsid w:val="009D2DDD"/>
    <w:rsid w:val="009D40B4"/>
    <w:rsid w:val="009D54E5"/>
    <w:rsid w:val="009D7827"/>
    <w:rsid w:val="009E0C10"/>
    <w:rsid w:val="009E0C35"/>
    <w:rsid w:val="009E148F"/>
    <w:rsid w:val="009E1936"/>
    <w:rsid w:val="009E2119"/>
    <w:rsid w:val="009E2B5A"/>
    <w:rsid w:val="009E37E4"/>
    <w:rsid w:val="009E4116"/>
    <w:rsid w:val="009E770F"/>
    <w:rsid w:val="009F00E8"/>
    <w:rsid w:val="009F15EC"/>
    <w:rsid w:val="009F1BFF"/>
    <w:rsid w:val="009F2392"/>
    <w:rsid w:val="009F3420"/>
    <w:rsid w:val="009F5F3B"/>
    <w:rsid w:val="009F606B"/>
    <w:rsid w:val="009F75BA"/>
    <w:rsid w:val="009F7BE5"/>
    <w:rsid w:val="00A00A02"/>
    <w:rsid w:val="00A01BBB"/>
    <w:rsid w:val="00A02152"/>
    <w:rsid w:val="00A02790"/>
    <w:rsid w:val="00A02A84"/>
    <w:rsid w:val="00A03721"/>
    <w:rsid w:val="00A10AC6"/>
    <w:rsid w:val="00A10DA6"/>
    <w:rsid w:val="00A13331"/>
    <w:rsid w:val="00A13BC2"/>
    <w:rsid w:val="00A151E9"/>
    <w:rsid w:val="00A15DBB"/>
    <w:rsid w:val="00A164EE"/>
    <w:rsid w:val="00A17856"/>
    <w:rsid w:val="00A209B1"/>
    <w:rsid w:val="00A21981"/>
    <w:rsid w:val="00A21CAA"/>
    <w:rsid w:val="00A21E13"/>
    <w:rsid w:val="00A2317C"/>
    <w:rsid w:val="00A2345B"/>
    <w:rsid w:val="00A250F6"/>
    <w:rsid w:val="00A25217"/>
    <w:rsid w:val="00A259F2"/>
    <w:rsid w:val="00A2758A"/>
    <w:rsid w:val="00A31814"/>
    <w:rsid w:val="00A32BCF"/>
    <w:rsid w:val="00A33802"/>
    <w:rsid w:val="00A35A66"/>
    <w:rsid w:val="00A35C22"/>
    <w:rsid w:val="00A36283"/>
    <w:rsid w:val="00A37162"/>
    <w:rsid w:val="00A37E51"/>
    <w:rsid w:val="00A40CFB"/>
    <w:rsid w:val="00A40E9C"/>
    <w:rsid w:val="00A4114C"/>
    <w:rsid w:val="00A43C08"/>
    <w:rsid w:val="00A4510F"/>
    <w:rsid w:val="00A47510"/>
    <w:rsid w:val="00A47537"/>
    <w:rsid w:val="00A47DCC"/>
    <w:rsid w:val="00A50F25"/>
    <w:rsid w:val="00A519AE"/>
    <w:rsid w:val="00A51E2D"/>
    <w:rsid w:val="00A51E57"/>
    <w:rsid w:val="00A52317"/>
    <w:rsid w:val="00A5317F"/>
    <w:rsid w:val="00A5319F"/>
    <w:rsid w:val="00A53690"/>
    <w:rsid w:val="00A541D7"/>
    <w:rsid w:val="00A545D9"/>
    <w:rsid w:val="00A54F51"/>
    <w:rsid w:val="00A57261"/>
    <w:rsid w:val="00A603DE"/>
    <w:rsid w:val="00A616DF"/>
    <w:rsid w:val="00A61CB4"/>
    <w:rsid w:val="00A62D31"/>
    <w:rsid w:val="00A631A2"/>
    <w:rsid w:val="00A63380"/>
    <w:rsid w:val="00A6388E"/>
    <w:rsid w:val="00A63DEF"/>
    <w:rsid w:val="00A649EE"/>
    <w:rsid w:val="00A64B54"/>
    <w:rsid w:val="00A64FF0"/>
    <w:rsid w:val="00A65710"/>
    <w:rsid w:val="00A65BFA"/>
    <w:rsid w:val="00A707ED"/>
    <w:rsid w:val="00A710E5"/>
    <w:rsid w:val="00A72800"/>
    <w:rsid w:val="00A73EF9"/>
    <w:rsid w:val="00A75458"/>
    <w:rsid w:val="00A76560"/>
    <w:rsid w:val="00A77447"/>
    <w:rsid w:val="00A77869"/>
    <w:rsid w:val="00A80A71"/>
    <w:rsid w:val="00A8129D"/>
    <w:rsid w:val="00A8156A"/>
    <w:rsid w:val="00A85214"/>
    <w:rsid w:val="00A85B59"/>
    <w:rsid w:val="00A865C7"/>
    <w:rsid w:val="00A90140"/>
    <w:rsid w:val="00A9043B"/>
    <w:rsid w:val="00A909CC"/>
    <w:rsid w:val="00A92C3B"/>
    <w:rsid w:val="00A94979"/>
    <w:rsid w:val="00A94BFA"/>
    <w:rsid w:val="00A9624B"/>
    <w:rsid w:val="00A964A5"/>
    <w:rsid w:val="00A96C78"/>
    <w:rsid w:val="00A97E3B"/>
    <w:rsid w:val="00AA00CB"/>
    <w:rsid w:val="00AA030D"/>
    <w:rsid w:val="00AA0CAD"/>
    <w:rsid w:val="00AA0D3B"/>
    <w:rsid w:val="00AA15A9"/>
    <w:rsid w:val="00AA20A1"/>
    <w:rsid w:val="00AA2DEA"/>
    <w:rsid w:val="00AA4169"/>
    <w:rsid w:val="00AA41F2"/>
    <w:rsid w:val="00AA42ED"/>
    <w:rsid w:val="00AA49B3"/>
    <w:rsid w:val="00AA49F7"/>
    <w:rsid w:val="00AA4EA6"/>
    <w:rsid w:val="00AA4FBA"/>
    <w:rsid w:val="00AA7A2A"/>
    <w:rsid w:val="00AB039E"/>
    <w:rsid w:val="00AB0ECE"/>
    <w:rsid w:val="00AB3595"/>
    <w:rsid w:val="00AB3B8A"/>
    <w:rsid w:val="00AB3C1A"/>
    <w:rsid w:val="00AB3DAF"/>
    <w:rsid w:val="00AB4206"/>
    <w:rsid w:val="00AC07AE"/>
    <w:rsid w:val="00AC154E"/>
    <w:rsid w:val="00AC196C"/>
    <w:rsid w:val="00AC1C12"/>
    <w:rsid w:val="00AC2045"/>
    <w:rsid w:val="00AC3AA2"/>
    <w:rsid w:val="00AC72AE"/>
    <w:rsid w:val="00AC7E54"/>
    <w:rsid w:val="00AD171E"/>
    <w:rsid w:val="00AD26FE"/>
    <w:rsid w:val="00AD2C19"/>
    <w:rsid w:val="00AD31FA"/>
    <w:rsid w:val="00AD393D"/>
    <w:rsid w:val="00AD3B61"/>
    <w:rsid w:val="00AD3F76"/>
    <w:rsid w:val="00AD43F0"/>
    <w:rsid w:val="00AD5D70"/>
    <w:rsid w:val="00AD72F4"/>
    <w:rsid w:val="00AD7CB0"/>
    <w:rsid w:val="00AE1054"/>
    <w:rsid w:val="00AE2CE8"/>
    <w:rsid w:val="00AE3259"/>
    <w:rsid w:val="00AE3E3A"/>
    <w:rsid w:val="00AE43E3"/>
    <w:rsid w:val="00AE4C04"/>
    <w:rsid w:val="00AE5FBD"/>
    <w:rsid w:val="00AE6A4E"/>
    <w:rsid w:val="00AE7294"/>
    <w:rsid w:val="00AE7B98"/>
    <w:rsid w:val="00AF02D1"/>
    <w:rsid w:val="00AF0A7B"/>
    <w:rsid w:val="00AF129F"/>
    <w:rsid w:val="00AF1DFE"/>
    <w:rsid w:val="00AF7954"/>
    <w:rsid w:val="00B00CF1"/>
    <w:rsid w:val="00B00E6A"/>
    <w:rsid w:val="00B011ED"/>
    <w:rsid w:val="00B0138E"/>
    <w:rsid w:val="00B04C2A"/>
    <w:rsid w:val="00B05F85"/>
    <w:rsid w:val="00B06819"/>
    <w:rsid w:val="00B06854"/>
    <w:rsid w:val="00B07E54"/>
    <w:rsid w:val="00B11F35"/>
    <w:rsid w:val="00B12BCE"/>
    <w:rsid w:val="00B12DC9"/>
    <w:rsid w:val="00B1369F"/>
    <w:rsid w:val="00B13F84"/>
    <w:rsid w:val="00B14604"/>
    <w:rsid w:val="00B152DD"/>
    <w:rsid w:val="00B15ABA"/>
    <w:rsid w:val="00B164BA"/>
    <w:rsid w:val="00B177FC"/>
    <w:rsid w:val="00B20154"/>
    <w:rsid w:val="00B203CD"/>
    <w:rsid w:val="00B208A9"/>
    <w:rsid w:val="00B20AE8"/>
    <w:rsid w:val="00B20DFD"/>
    <w:rsid w:val="00B212D1"/>
    <w:rsid w:val="00B215EF"/>
    <w:rsid w:val="00B22007"/>
    <w:rsid w:val="00B22D3E"/>
    <w:rsid w:val="00B22F3D"/>
    <w:rsid w:val="00B23F0B"/>
    <w:rsid w:val="00B24DD4"/>
    <w:rsid w:val="00B24DDE"/>
    <w:rsid w:val="00B258C5"/>
    <w:rsid w:val="00B262A8"/>
    <w:rsid w:val="00B2664D"/>
    <w:rsid w:val="00B269A7"/>
    <w:rsid w:val="00B26E62"/>
    <w:rsid w:val="00B31E2D"/>
    <w:rsid w:val="00B34339"/>
    <w:rsid w:val="00B34BDD"/>
    <w:rsid w:val="00B35B49"/>
    <w:rsid w:val="00B41623"/>
    <w:rsid w:val="00B42B2F"/>
    <w:rsid w:val="00B4382E"/>
    <w:rsid w:val="00B43B73"/>
    <w:rsid w:val="00B448FF"/>
    <w:rsid w:val="00B44900"/>
    <w:rsid w:val="00B44B2B"/>
    <w:rsid w:val="00B467F6"/>
    <w:rsid w:val="00B46AA8"/>
    <w:rsid w:val="00B46E2D"/>
    <w:rsid w:val="00B472E0"/>
    <w:rsid w:val="00B472E1"/>
    <w:rsid w:val="00B47746"/>
    <w:rsid w:val="00B524B1"/>
    <w:rsid w:val="00B52821"/>
    <w:rsid w:val="00B53BC0"/>
    <w:rsid w:val="00B552BB"/>
    <w:rsid w:val="00B5587B"/>
    <w:rsid w:val="00B55B62"/>
    <w:rsid w:val="00B55D88"/>
    <w:rsid w:val="00B560C6"/>
    <w:rsid w:val="00B57087"/>
    <w:rsid w:val="00B573E5"/>
    <w:rsid w:val="00B60E7D"/>
    <w:rsid w:val="00B6214D"/>
    <w:rsid w:val="00B621DB"/>
    <w:rsid w:val="00B634D2"/>
    <w:rsid w:val="00B65865"/>
    <w:rsid w:val="00B6781E"/>
    <w:rsid w:val="00B67924"/>
    <w:rsid w:val="00B703A6"/>
    <w:rsid w:val="00B70E2E"/>
    <w:rsid w:val="00B71170"/>
    <w:rsid w:val="00B71B96"/>
    <w:rsid w:val="00B72339"/>
    <w:rsid w:val="00B733B2"/>
    <w:rsid w:val="00B75D38"/>
    <w:rsid w:val="00B7668E"/>
    <w:rsid w:val="00B80BCE"/>
    <w:rsid w:val="00B81524"/>
    <w:rsid w:val="00B81740"/>
    <w:rsid w:val="00B82956"/>
    <w:rsid w:val="00B83542"/>
    <w:rsid w:val="00B85846"/>
    <w:rsid w:val="00B85D7B"/>
    <w:rsid w:val="00B85F44"/>
    <w:rsid w:val="00B86EBF"/>
    <w:rsid w:val="00B87756"/>
    <w:rsid w:val="00B87B6C"/>
    <w:rsid w:val="00B900EA"/>
    <w:rsid w:val="00B907CB"/>
    <w:rsid w:val="00B90F84"/>
    <w:rsid w:val="00B91069"/>
    <w:rsid w:val="00B911B4"/>
    <w:rsid w:val="00B915C0"/>
    <w:rsid w:val="00B92842"/>
    <w:rsid w:val="00B949EE"/>
    <w:rsid w:val="00B949FF"/>
    <w:rsid w:val="00B94F82"/>
    <w:rsid w:val="00B95511"/>
    <w:rsid w:val="00B95AB5"/>
    <w:rsid w:val="00B95B0B"/>
    <w:rsid w:val="00B96197"/>
    <w:rsid w:val="00B965CD"/>
    <w:rsid w:val="00B96819"/>
    <w:rsid w:val="00B96B83"/>
    <w:rsid w:val="00B975B2"/>
    <w:rsid w:val="00BA1209"/>
    <w:rsid w:val="00BA241B"/>
    <w:rsid w:val="00BA2713"/>
    <w:rsid w:val="00BA2941"/>
    <w:rsid w:val="00BA4C61"/>
    <w:rsid w:val="00BA627A"/>
    <w:rsid w:val="00BB0CA0"/>
    <w:rsid w:val="00BB11C5"/>
    <w:rsid w:val="00BB1B3F"/>
    <w:rsid w:val="00BB22FA"/>
    <w:rsid w:val="00BB2437"/>
    <w:rsid w:val="00BB284A"/>
    <w:rsid w:val="00BB2A6F"/>
    <w:rsid w:val="00BB3AA7"/>
    <w:rsid w:val="00BB5876"/>
    <w:rsid w:val="00BB6983"/>
    <w:rsid w:val="00BB6A6C"/>
    <w:rsid w:val="00BB6DB6"/>
    <w:rsid w:val="00BB7EB9"/>
    <w:rsid w:val="00BC1AA9"/>
    <w:rsid w:val="00BC3336"/>
    <w:rsid w:val="00BC3B8E"/>
    <w:rsid w:val="00BC4548"/>
    <w:rsid w:val="00BC652C"/>
    <w:rsid w:val="00BC6BF2"/>
    <w:rsid w:val="00BD12A1"/>
    <w:rsid w:val="00BD1D09"/>
    <w:rsid w:val="00BD2D34"/>
    <w:rsid w:val="00BD36C1"/>
    <w:rsid w:val="00BD3B79"/>
    <w:rsid w:val="00BD4290"/>
    <w:rsid w:val="00BD530D"/>
    <w:rsid w:val="00BD546D"/>
    <w:rsid w:val="00BD6E6F"/>
    <w:rsid w:val="00BD7B83"/>
    <w:rsid w:val="00BD7C61"/>
    <w:rsid w:val="00BE2C20"/>
    <w:rsid w:val="00BE33D7"/>
    <w:rsid w:val="00BE62E6"/>
    <w:rsid w:val="00BE70B8"/>
    <w:rsid w:val="00BE7F55"/>
    <w:rsid w:val="00BF021A"/>
    <w:rsid w:val="00BF081F"/>
    <w:rsid w:val="00BF156F"/>
    <w:rsid w:val="00BF17C6"/>
    <w:rsid w:val="00BF21B7"/>
    <w:rsid w:val="00BF35DE"/>
    <w:rsid w:val="00BF6F09"/>
    <w:rsid w:val="00BF7480"/>
    <w:rsid w:val="00C00FDA"/>
    <w:rsid w:val="00C02EB9"/>
    <w:rsid w:val="00C030FD"/>
    <w:rsid w:val="00C031E9"/>
    <w:rsid w:val="00C0373C"/>
    <w:rsid w:val="00C03F15"/>
    <w:rsid w:val="00C045C4"/>
    <w:rsid w:val="00C04E4B"/>
    <w:rsid w:val="00C06835"/>
    <w:rsid w:val="00C109B9"/>
    <w:rsid w:val="00C10A65"/>
    <w:rsid w:val="00C11531"/>
    <w:rsid w:val="00C11B56"/>
    <w:rsid w:val="00C122F0"/>
    <w:rsid w:val="00C13466"/>
    <w:rsid w:val="00C139B6"/>
    <w:rsid w:val="00C141C3"/>
    <w:rsid w:val="00C14C04"/>
    <w:rsid w:val="00C15264"/>
    <w:rsid w:val="00C15EE4"/>
    <w:rsid w:val="00C16045"/>
    <w:rsid w:val="00C160D6"/>
    <w:rsid w:val="00C16B5F"/>
    <w:rsid w:val="00C201F2"/>
    <w:rsid w:val="00C209C2"/>
    <w:rsid w:val="00C21E27"/>
    <w:rsid w:val="00C21F5F"/>
    <w:rsid w:val="00C22137"/>
    <w:rsid w:val="00C22470"/>
    <w:rsid w:val="00C230DE"/>
    <w:rsid w:val="00C2332A"/>
    <w:rsid w:val="00C2377C"/>
    <w:rsid w:val="00C23EAA"/>
    <w:rsid w:val="00C24B14"/>
    <w:rsid w:val="00C30128"/>
    <w:rsid w:val="00C31A65"/>
    <w:rsid w:val="00C32BBB"/>
    <w:rsid w:val="00C339FE"/>
    <w:rsid w:val="00C350E6"/>
    <w:rsid w:val="00C37076"/>
    <w:rsid w:val="00C37E2C"/>
    <w:rsid w:val="00C40A6D"/>
    <w:rsid w:val="00C40EA7"/>
    <w:rsid w:val="00C4186E"/>
    <w:rsid w:val="00C424B4"/>
    <w:rsid w:val="00C42B2B"/>
    <w:rsid w:val="00C42EA5"/>
    <w:rsid w:val="00C4474D"/>
    <w:rsid w:val="00C44C18"/>
    <w:rsid w:val="00C46EF1"/>
    <w:rsid w:val="00C47C54"/>
    <w:rsid w:val="00C50F56"/>
    <w:rsid w:val="00C5333F"/>
    <w:rsid w:val="00C53A89"/>
    <w:rsid w:val="00C53E2A"/>
    <w:rsid w:val="00C54CC6"/>
    <w:rsid w:val="00C576FC"/>
    <w:rsid w:val="00C60CC8"/>
    <w:rsid w:val="00C611FF"/>
    <w:rsid w:val="00C61879"/>
    <w:rsid w:val="00C61BC1"/>
    <w:rsid w:val="00C62BF5"/>
    <w:rsid w:val="00C636DA"/>
    <w:rsid w:val="00C64B03"/>
    <w:rsid w:val="00C64BDA"/>
    <w:rsid w:val="00C67E22"/>
    <w:rsid w:val="00C72271"/>
    <w:rsid w:val="00C72542"/>
    <w:rsid w:val="00C729EC"/>
    <w:rsid w:val="00C72A17"/>
    <w:rsid w:val="00C743C5"/>
    <w:rsid w:val="00C75A7A"/>
    <w:rsid w:val="00C81356"/>
    <w:rsid w:val="00C813CD"/>
    <w:rsid w:val="00C81F2B"/>
    <w:rsid w:val="00C858D2"/>
    <w:rsid w:val="00C858D9"/>
    <w:rsid w:val="00C85D91"/>
    <w:rsid w:val="00C86223"/>
    <w:rsid w:val="00C87632"/>
    <w:rsid w:val="00C87A8D"/>
    <w:rsid w:val="00C87AA2"/>
    <w:rsid w:val="00C87DA0"/>
    <w:rsid w:val="00C90CA9"/>
    <w:rsid w:val="00C91208"/>
    <w:rsid w:val="00C91C47"/>
    <w:rsid w:val="00C91E77"/>
    <w:rsid w:val="00C92343"/>
    <w:rsid w:val="00C92A94"/>
    <w:rsid w:val="00C93657"/>
    <w:rsid w:val="00C95D61"/>
    <w:rsid w:val="00C961F4"/>
    <w:rsid w:val="00C9686B"/>
    <w:rsid w:val="00CA2DD1"/>
    <w:rsid w:val="00CA498A"/>
    <w:rsid w:val="00CA49B7"/>
    <w:rsid w:val="00CA4E4D"/>
    <w:rsid w:val="00CA5678"/>
    <w:rsid w:val="00CA6FF9"/>
    <w:rsid w:val="00CA7DB9"/>
    <w:rsid w:val="00CB1E85"/>
    <w:rsid w:val="00CB213B"/>
    <w:rsid w:val="00CB26CC"/>
    <w:rsid w:val="00CB4238"/>
    <w:rsid w:val="00CB5938"/>
    <w:rsid w:val="00CB5B27"/>
    <w:rsid w:val="00CB720B"/>
    <w:rsid w:val="00CB73BD"/>
    <w:rsid w:val="00CB7A9B"/>
    <w:rsid w:val="00CB7B4B"/>
    <w:rsid w:val="00CB7C54"/>
    <w:rsid w:val="00CC05DD"/>
    <w:rsid w:val="00CC0DD1"/>
    <w:rsid w:val="00CC1A64"/>
    <w:rsid w:val="00CC32D0"/>
    <w:rsid w:val="00CC3384"/>
    <w:rsid w:val="00CC34EB"/>
    <w:rsid w:val="00CC437D"/>
    <w:rsid w:val="00CC513F"/>
    <w:rsid w:val="00CC53AB"/>
    <w:rsid w:val="00CC66EA"/>
    <w:rsid w:val="00CC6935"/>
    <w:rsid w:val="00CD23AC"/>
    <w:rsid w:val="00CD3BCD"/>
    <w:rsid w:val="00CD3C17"/>
    <w:rsid w:val="00CD4C24"/>
    <w:rsid w:val="00CD61E7"/>
    <w:rsid w:val="00CD750E"/>
    <w:rsid w:val="00CD7F1E"/>
    <w:rsid w:val="00CE0426"/>
    <w:rsid w:val="00CE0658"/>
    <w:rsid w:val="00CE0D4F"/>
    <w:rsid w:val="00CE1F9C"/>
    <w:rsid w:val="00CE1F9D"/>
    <w:rsid w:val="00CE20D4"/>
    <w:rsid w:val="00CE2D14"/>
    <w:rsid w:val="00CE2E48"/>
    <w:rsid w:val="00CE3116"/>
    <w:rsid w:val="00CE317C"/>
    <w:rsid w:val="00CE3264"/>
    <w:rsid w:val="00CE3590"/>
    <w:rsid w:val="00CE3ABB"/>
    <w:rsid w:val="00CE6FAC"/>
    <w:rsid w:val="00CE77F0"/>
    <w:rsid w:val="00CE7B95"/>
    <w:rsid w:val="00CF0184"/>
    <w:rsid w:val="00CF034A"/>
    <w:rsid w:val="00CF0401"/>
    <w:rsid w:val="00CF06BC"/>
    <w:rsid w:val="00CF0AAB"/>
    <w:rsid w:val="00CF127F"/>
    <w:rsid w:val="00CF15B5"/>
    <w:rsid w:val="00CF1DEE"/>
    <w:rsid w:val="00CF31CC"/>
    <w:rsid w:val="00CF3C1B"/>
    <w:rsid w:val="00CF3E48"/>
    <w:rsid w:val="00CF55F6"/>
    <w:rsid w:val="00CF59E0"/>
    <w:rsid w:val="00CF5B2E"/>
    <w:rsid w:val="00CF65CA"/>
    <w:rsid w:val="00CF6672"/>
    <w:rsid w:val="00CF6701"/>
    <w:rsid w:val="00D003E7"/>
    <w:rsid w:val="00D01885"/>
    <w:rsid w:val="00D021F7"/>
    <w:rsid w:val="00D02C15"/>
    <w:rsid w:val="00D0421D"/>
    <w:rsid w:val="00D04329"/>
    <w:rsid w:val="00D04C8B"/>
    <w:rsid w:val="00D053A7"/>
    <w:rsid w:val="00D0610B"/>
    <w:rsid w:val="00D069C7"/>
    <w:rsid w:val="00D078A2"/>
    <w:rsid w:val="00D1120A"/>
    <w:rsid w:val="00D11930"/>
    <w:rsid w:val="00D11E00"/>
    <w:rsid w:val="00D1236C"/>
    <w:rsid w:val="00D1404B"/>
    <w:rsid w:val="00D14D5C"/>
    <w:rsid w:val="00D151A1"/>
    <w:rsid w:val="00D17A49"/>
    <w:rsid w:val="00D20198"/>
    <w:rsid w:val="00D202A2"/>
    <w:rsid w:val="00D205DF"/>
    <w:rsid w:val="00D209DD"/>
    <w:rsid w:val="00D21123"/>
    <w:rsid w:val="00D233CD"/>
    <w:rsid w:val="00D237E2"/>
    <w:rsid w:val="00D238D6"/>
    <w:rsid w:val="00D23A55"/>
    <w:rsid w:val="00D24A3A"/>
    <w:rsid w:val="00D26BB7"/>
    <w:rsid w:val="00D26D45"/>
    <w:rsid w:val="00D27438"/>
    <w:rsid w:val="00D27A40"/>
    <w:rsid w:val="00D302FE"/>
    <w:rsid w:val="00D30CAC"/>
    <w:rsid w:val="00D31E35"/>
    <w:rsid w:val="00D320D9"/>
    <w:rsid w:val="00D337F0"/>
    <w:rsid w:val="00D33B05"/>
    <w:rsid w:val="00D35297"/>
    <w:rsid w:val="00D35727"/>
    <w:rsid w:val="00D35D9C"/>
    <w:rsid w:val="00D36428"/>
    <w:rsid w:val="00D367EB"/>
    <w:rsid w:val="00D36C91"/>
    <w:rsid w:val="00D3749B"/>
    <w:rsid w:val="00D41871"/>
    <w:rsid w:val="00D41BB3"/>
    <w:rsid w:val="00D42E6E"/>
    <w:rsid w:val="00D43D1F"/>
    <w:rsid w:val="00D444E6"/>
    <w:rsid w:val="00D45954"/>
    <w:rsid w:val="00D4595E"/>
    <w:rsid w:val="00D461C2"/>
    <w:rsid w:val="00D47AB6"/>
    <w:rsid w:val="00D47CF7"/>
    <w:rsid w:val="00D50CE2"/>
    <w:rsid w:val="00D51094"/>
    <w:rsid w:val="00D511C3"/>
    <w:rsid w:val="00D51618"/>
    <w:rsid w:val="00D532C0"/>
    <w:rsid w:val="00D53D02"/>
    <w:rsid w:val="00D5415B"/>
    <w:rsid w:val="00D5426A"/>
    <w:rsid w:val="00D54B27"/>
    <w:rsid w:val="00D55AFA"/>
    <w:rsid w:val="00D55E59"/>
    <w:rsid w:val="00D562DB"/>
    <w:rsid w:val="00D56DCA"/>
    <w:rsid w:val="00D577E3"/>
    <w:rsid w:val="00D5795F"/>
    <w:rsid w:val="00D57BBF"/>
    <w:rsid w:val="00D61AAE"/>
    <w:rsid w:val="00D624B1"/>
    <w:rsid w:val="00D64CB8"/>
    <w:rsid w:val="00D656F7"/>
    <w:rsid w:val="00D65B76"/>
    <w:rsid w:val="00D66946"/>
    <w:rsid w:val="00D675FB"/>
    <w:rsid w:val="00D70256"/>
    <w:rsid w:val="00D7105E"/>
    <w:rsid w:val="00D71E52"/>
    <w:rsid w:val="00D72C05"/>
    <w:rsid w:val="00D72FD8"/>
    <w:rsid w:val="00D73CD6"/>
    <w:rsid w:val="00D74070"/>
    <w:rsid w:val="00D7450E"/>
    <w:rsid w:val="00D77197"/>
    <w:rsid w:val="00D80068"/>
    <w:rsid w:val="00D8080D"/>
    <w:rsid w:val="00D81178"/>
    <w:rsid w:val="00D81763"/>
    <w:rsid w:val="00D851C8"/>
    <w:rsid w:val="00D854C2"/>
    <w:rsid w:val="00D8613F"/>
    <w:rsid w:val="00D86D58"/>
    <w:rsid w:val="00D90825"/>
    <w:rsid w:val="00D9142C"/>
    <w:rsid w:val="00D92A45"/>
    <w:rsid w:val="00D93852"/>
    <w:rsid w:val="00D9697A"/>
    <w:rsid w:val="00D96A79"/>
    <w:rsid w:val="00D979B3"/>
    <w:rsid w:val="00DA2A34"/>
    <w:rsid w:val="00DA4C48"/>
    <w:rsid w:val="00DA727D"/>
    <w:rsid w:val="00DA7A90"/>
    <w:rsid w:val="00DB0001"/>
    <w:rsid w:val="00DB2357"/>
    <w:rsid w:val="00DB2905"/>
    <w:rsid w:val="00DB2E3E"/>
    <w:rsid w:val="00DB34F0"/>
    <w:rsid w:val="00DB3FF4"/>
    <w:rsid w:val="00DB4CE4"/>
    <w:rsid w:val="00DB53A7"/>
    <w:rsid w:val="00DC15D7"/>
    <w:rsid w:val="00DC16E8"/>
    <w:rsid w:val="00DC1AA7"/>
    <w:rsid w:val="00DC1B37"/>
    <w:rsid w:val="00DC1D93"/>
    <w:rsid w:val="00DC34CF"/>
    <w:rsid w:val="00DC510D"/>
    <w:rsid w:val="00DC6CC0"/>
    <w:rsid w:val="00DC6D88"/>
    <w:rsid w:val="00DC70B1"/>
    <w:rsid w:val="00DD091B"/>
    <w:rsid w:val="00DD0DCB"/>
    <w:rsid w:val="00DD15F4"/>
    <w:rsid w:val="00DD170F"/>
    <w:rsid w:val="00DD2DC7"/>
    <w:rsid w:val="00DD30E2"/>
    <w:rsid w:val="00DD46A9"/>
    <w:rsid w:val="00DD5719"/>
    <w:rsid w:val="00DD5ED2"/>
    <w:rsid w:val="00DD5EEB"/>
    <w:rsid w:val="00DD6DC9"/>
    <w:rsid w:val="00DD7091"/>
    <w:rsid w:val="00DE0193"/>
    <w:rsid w:val="00DE09BB"/>
    <w:rsid w:val="00DE0A8A"/>
    <w:rsid w:val="00DE0C48"/>
    <w:rsid w:val="00DE133B"/>
    <w:rsid w:val="00DE1723"/>
    <w:rsid w:val="00DE1E3D"/>
    <w:rsid w:val="00DE2083"/>
    <w:rsid w:val="00DE2D08"/>
    <w:rsid w:val="00DE7612"/>
    <w:rsid w:val="00DF17C6"/>
    <w:rsid w:val="00DF1853"/>
    <w:rsid w:val="00DF20C3"/>
    <w:rsid w:val="00DF2E3F"/>
    <w:rsid w:val="00DF68E4"/>
    <w:rsid w:val="00DF6E54"/>
    <w:rsid w:val="00E01288"/>
    <w:rsid w:val="00E01B26"/>
    <w:rsid w:val="00E02500"/>
    <w:rsid w:val="00E02F32"/>
    <w:rsid w:val="00E03016"/>
    <w:rsid w:val="00E04228"/>
    <w:rsid w:val="00E04457"/>
    <w:rsid w:val="00E04BBC"/>
    <w:rsid w:val="00E052D6"/>
    <w:rsid w:val="00E07E34"/>
    <w:rsid w:val="00E10450"/>
    <w:rsid w:val="00E136AA"/>
    <w:rsid w:val="00E1478E"/>
    <w:rsid w:val="00E15135"/>
    <w:rsid w:val="00E15396"/>
    <w:rsid w:val="00E1567A"/>
    <w:rsid w:val="00E157DD"/>
    <w:rsid w:val="00E15964"/>
    <w:rsid w:val="00E159D7"/>
    <w:rsid w:val="00E20BF6"/>
    <w:rsid w:val="00E213AB"/>
    <w:rsid w:val="00E21653"/>
    <w:rsid w:val="00E21C9B"/>
    <w:rsid w:val="00E221CF"/>
    <w:rsid w:val="00E22C04"/>
    <w:rsid w:val="00E232BB"/>
    <w:rsid w:val="00E2414E"/>
    <w:rsid w:val="00E24579"/>
    <w:rsid w:val="00E25F68"/>
    <w:rsid w:val="00E2656E"/>
    <w:rsid w:val="00E26830"/>
    <w:rsid w:val="00E26FAF"/>
    <w:rsid w:val="00E27B7B"/>
    <w:rsid w:val="00E3153A"/>
    <w:rsid w:val="00E316B1"/>
    <w:rsid w:val="00E31AE8"/>
    <w:rsid w:val="00E355D0"/>
    <w:rsid w:val="00E36DA0"/>
    <w:rsid w:val="00E4031C"/>
    <w:rsid w:val="00E40B36"/>
    <w:rsid w:val="00E40D21"/>
    <w:rsid w:val="00E411AA"/>
    <w:rsid w:val="00E41A36"/>
    <w:rsid w:val="00E44FB7"/>
    <w:rsid w:val="00E468AF"/>
    <w:rsid w:val="00E479EF"/>
    <w:rsid w:val="00E509FB"/>
    <w:rsid w:val="00E51672"/>
    <w:rsid w:val="00E522FC"/>
    <w:rsid w:val="00E52852"/>
    <w:rsid w:val="00E52EDA"/>
    <w:rsid w:val="00E549D1"/>
    <w:rsid w:val="00E55EE5"/>
    <w:rsid w:val="00E564BF"/>
    <w:rsid w:val="00E565EB"/>
    <w:rsid w:val="00E573A2"/>
    <w:rsid w:val="00E573C2"/>
    <w:rsid w:val="00E5767F"/>
    <w:rsid w:val="00E61784"/>
    <w:rsid w:val="00E62042"/>
    <w:rsid w:val="00E625B3"/>
    <w:rsid w:val="00E64743"/>
    <w:rsid w:val="00E64ED2"/>
    <w:rsid w:val="00E65E8C"/>
    <w:rsid w:val="00E6676E"/>
    <w:rsid w:val="00E669C2"/>
    <w:rsid w:val="00E66BAE"/>
    <w:rsid w:val="00E715D7"/>
    <w:rsid w:val="00E71CDC"/>
    <w:rsid w:val="00E72122"/>
    <w:rsid w:val="00E72336"/>
    <w:rsid w:val="00E7257D"/>
    <w:rsid w:val="00E728CB"/>
    <w:rsid w:val="00E7336F"/>
    <w:rsid w:val="00E73F26"/>
    <w:rsid w:val="00E73F62"/>
    <w:rsid w:val="00E741D9"/>
    <w:rsid w:val="00E74F3B"/>
    <w:rsid w:val="00E76032"/>
    <w:rsid w:val="00E76262"/>
    <w:rsid w:val="00E764B4"/>
    <w:rsid w:val="00E8028B"/>
    <w:rsid w:val="00E81243"/>
    <w:rsid w:val="00E83C69"/>
    <w:rsid w:val="00E83E6F"/>
    <w:rsid w:val="00E847B5"/>
    <w:rsid w:val="00E84A6B"/>
    <w:rsid w:val="00E84B3F"/>
    <w:rsid w:val="00E85F54"/>
    <w:rsid w:val="00E910A2"/>
    <w:rsid w:val="00E92385"/>
    <w:rsid w:val="00E93EA1"/>
    <w:rsid w:val="00E93F74"/>
    <w:rsid w:val="00E95BF6"/>
    <w:rsid w:val="00E963D8"/>
    <w:rsid w:val="00E96DEA"/>
    <w:rsid w:val="00EA0E46"/>
    <w:rsid w:val="00EA1585"/>
    <w:rsid w:val="00EA2092"/>
    <w:rsid w:val="00EA48AE"/>
    <w:rsid w:val="00EA526B"/>
    <w:rsid w:val="00EA5E06"/>
    <w:rsid w:val="00EA5ECC"/>
    <w:rsid w:val="00EA7FFB"/>
    <w:rsid w:val="00EB0077"/>
    <w:rsid w:val="00EB041C"/>
    <w:rsid w:val="00EB07A7"/>
    <w:rsid w:val="00EB09E2"/>
    <w:rsid w:val="00EB0B21"/>
    <w:rsid w:val="00EB0EC5"/>
    <w:rsid w:val="00EB1F35"/>
    <w:rsid w:val="00EB2198"/>
    <w:rsid w:val="00EB2346"/>
    <w:rsid w:val="00EB29CE"/>
    <w:rsid w:val="00EB74A5"/>
    <w:rsid w:val="00EB7547"/>
    <w:rsid w:val="00EB75A2"/>
    <w:rsid w:val="00EB7C1C"/>
    <w:rsid w:val="00EC03E7"/>
    <w:rsid w:val="00EC066A"/>
    <w:rsid w:val="00EC0900"/>
    <w:rsid w:val="00EC11D3"/>
    <w:rsid w:val="00EC1EA2"/>
    <w:rsid w:val="00EC282D"/>
    <w:rsid w:val="00EC28F7"/>
    <w:rsid w:val="00EC302E"/>
    <w:rsid w:val="00EC4983"/>
    <w:rsid w:val="00EC6B9D"/>
    <w:rsid w:val="00EC749E"/>
    <w:rsid w:val="00ED2F3F"/>
    <w:rsid w:val="00ED3CD3"/>
    <w:rsid w:val="00ED420F"/>
    <w:rsid w:val="00ED4D06"/>
    <w:rsid w:val="00ED5ED9"/>
    <w:rsid w:val="00ED77F0"/>
    <w:rsid w:val="00ED7D65"/>
    <w:rsid w:val="00EE0126"/>
    <w:rsid w:val="00EE0CE7"/>
    <w:rsid w:val="00EE314F"/>
    <w:rsid w:val="00EE3B1A"/>
    <w:rsid w:val="00EE3FB0"/>
    <w:rsid w:val="00EE40C7"/>
    <w:rsid w:val="00EE47FE"/>
    <w:rsid w:val="00EE50C6"/>
    <w:rsid w:val="00EE565F"/>
    <w:rsid w:val="00EE70EE"/>
    <w:rsid w:val="00EE766D"/>
    <w:rsid w:val="00EE767F"/>
    <w:rsid w:val="00EF21B4"/>
    <w:rsid w:val="00EF2954"/>
    <w:rsid w:val="00EF2A15"/>
    <w:rsid w:val="00EF2CE6"/>
    <w:rsid w:val="00EF44BB"/>
    <w:rsid w:val="00EF4AFB"/>
    <w:rsid w:val="00EF5BFD"/>
    <w:rsid w:val="00EF7F80"/>
    <w:rsid w:val="00F00200"/>
    <w:rsid w:val="00F00470"/>
    <w:rsid w:val="00F010BA"/>
    <w:rsid w:val="00F01C6F"/>
    <w:rsid w:val="00F02892"/>
    <w:rsid w:val="00F0509B"/>
    <w:rsid w:val="00F06EE2"/>
    <w:rsid w:val="00F074DC"/>
    <w:rsid w:val="00F07618"/>
    <w:rsid w:val="00F0787C"/>
    <w:rsid w:val="00F07A6D"/>
    <w:rsid w:val="00F1087C"/>
    <w:rsid w:val="00F117D8"/>
    <w:rsid w:val="00F128C9"/>
    <w:rsid w:val="00F12A83"/>
    <w:rsid w:val="00F131E8"/>
    <w:rsid w:val="00F15632"/>
    <w:rsid w:val="00F16887"/>
    <w:rsid w:val="00F17535"/>
    <w:rsid w:val="00F20CCE"/>
    <w:rsid w:val="00F24F8F"/>
    <w:rsid w:val="00F263E2"/>
    <w:rsid w:val="00F26DDA"/>
    <w:rsid w:val="00F27B40"/>
    <w:rsid w:val="00F30097"/>
    <w:rsid w:val="00F303B2"/>
    <w:rsid w:val="00F307E0"/>
    <w:rsid w:val="00F3138B"/>
    <w:rsid w:val="00F31637"/>
    <w:rsid w:val="00F32021"/>
    <w:rsid w:val="00F34D63"/>
    <w:rsid w:val="00F36344"/>
    <w:rsid w:val="00F370AA"/>
    <w:rsid w:val="00F40195"/>
    <w:rsid w:val="00F4214C"/>
    <w:rsid w:val="00F42812"/>
    <w:rsid w:val="00F4320C"/>
    <w:rsid w:val="00F4347F"/>
    <w:rsid w:val="00F442CF"/>
    <w:rsid w:val="00F443C3"/>
    <w:rsid w:val="00F46AF8"/>
    <w:rsid w:val="00F50534"/>
    <w:rsid w:val="00F50F54"/>
    <w:rsid w:val="00F5193B"/>
    <w:rsid w:val="00F51D92"/>
    <w:rsid w:val="00F54A8B"/>
    <w:rsid w:val="00F5566F"/>
    <w:rsid w:val="00F5668A"/>
    <w:rsid w:val="00F56888"/>
    <w:rsid w:val="00F570E5"/>
    <w:rsid w:val="00F57F7A"/>
    <w:rsid w:val="00F6077D"/>
    <w:rsid w:val="00F6116E"/>
    <w:rsid w:val="00F61362"/>
    <w:rsid w:val="00F6142B"/>
    <w:rsid w:val="00F6199C"/>
    <w:rsid w:val="00F62D33"/>
    <w:rsid w:val="00F64D08"/>
    <w:rsid w:val="00F6570B"/>
    <w:rsid w:val="00F6597C"/>
    <w:rsid w:val="00F67615"/>
    <w:rsid w:val="00F70314"/>
    <w:rsid w:val="00F714BB"/>
    <w:rsid w:val="00F71C95"/>
    <w:rsid w:val="00F739CD"/>
    <w:rsid w:val="00F76C98"/>
    <w:rsid w:val="00F77CB2"/>
    <w:rsid w:val="00F77F3F"/>
    <w:rsid w:val="00F804CD"/>
    <w:rsid w:val="00F80750"/>
    <w:rsid w:val="00F80BB0"/>
    <w:rsid w:val="00F80EBE"/>
    <w:rsid w:val="00F82846"/>
    <w:rsid w:val="00F82B2A"/>
    <w:rsid w:val="00F83414"/>
    <w:rsid w:val="00F8359B"/>
    <w:rsid w:val="00F8367D"/>
    <w:rsid w:val="00F837D2"/>
    <w:rsid w:val="00F83D5A"/>
    <w:rsid w:val="00F85801"/>
    <w:rsid w:val="00F85F59"/>
    <w:rsid w:val="00F86538"/>
    <w:rsid w:val="00F86717"/>
    <w:rsid w:val="00F86CD2"/>
    <w:rsid w:val="00F86DD4"/>
    <w:rsid w:val="00F90CC5"/>
    <w:rsid w:val="00F91818"/>
    <w:rsid w:val="00F91FC4"/>
    <w:rsid w:val="00F92D47"/>
    <w:rsid w:val="00F93E81"/>
    <w:rsid w:val="00F952BE"/>
    <w:rsid w:val="00F96506"/>
    <w:rsid w:val="00F9682B"/>
    <w:rsid w:val="00F976F6"/>
    <w:rsid w:val="00F97C7A"/>
    <w:rsid w:val="00FA15C8"/>
    <w:rsid w:val="00FA2010"/>
    <w:rsid w:val="00FA207C"/>
    <w:rsid w:val="00FA2909"/>
    <w:rsid w:val="00FA3802"/>
    <w:rsid w:val="00FA3B7D"/>
    <w:rsid w:val="00FA3CEC"/>
    <w:rsid w:val="00FA5AD4"/>
    <w:rsid w:val="00FA7D72"/>
    <w:rsid w:val="00FB0A36"/>
    <w:rsid w:val="00FB1761"/>
    <w:rsid w:val="00FB1762"/>
    <w:rsid w:val="00FB1CD7"/>
    <w:rsid w:val="00FB3D76"/>
    <w:rsid w:val="00FB47E0"/>
    <w:rsid w:val="00FB491E"/>
    <w:rsid w:val="00FB4CF2"/>
    <w:rsid w:val="00FB5F02"/>
    <w:rsid w:val="00FB7F5C"/>
    <w:rsid w:val="00FB7FAC"/>
    <w:rsid w:val="00FB7FCB"/>
    <w:rsid w:val="00FC07F8"/>
    <w:rsid w:val="00FC0B5C"/>
    <w:rsid w:val="00FC1C7A"/>
    <w:rsid w:val="00FC24A6"/>
    <w:rsid w:val="00FC398C"/>
    <w:rsid w:val="00FC4845"/>
    <w:rsid w:val="00FC6240"/>
    <w:rsid w:val="00FC6B03"/>
    <w:rsid w:val="00FD05C9"/>
    <w:rsid w:val="00FD06D5"/>
    <w:rsid w:val="00FD101D"/>
    <w:rsid w:val="00FD14CB"/>
    <w:rsid w:val="00FD1D38"/>
    <w:rsid w:val="00FD1E8D"/>
    <w:rsid w:val="00FD28FF"/>
    <w:rsid w:val="00FD2E84"/>
    <w:rsid w:val="00FD3362"/>
    <w:rsid w:val="00FD461A"/>
    <w:rsid w:val="00FD50EA"/>
    <w:rsid w:val="00FD5283"/>
    <w:rsid w:val="00FD68A1"/>
    <w:rsid w:val="00FE0130"/>
    <w:rsid w:val="00FE0945"/>
    <w:rsid w:val="00FE110C"/>
    <w:rsid w:val="00FE254C"/>
    <w:rsid w:val="00FE27E4"/>
    <w:rsid w:val="00FE419E"/>
    <w:rsid w:val="00FE498F"/>
    <w:rsid w:val="00FE6475"/>
    <w:rsid w:val="00FE6BE1"/>
    <w:rsid w:val="00FE71B6"/>
    <w:rsid w:val="00FE7C2B"/>
    <w:rsid w:val="00FE7F60"/>
    <w:rsid w:val="00FF00B9"/>
    <w:rsid w:val="00FF012F"/>
    <w:rsid w:val="00FF1241"/>
    <w:rsid w:val="00FF2484"/>
    <w:rsid w:val="00FF2825"/>
    <w:rsid w:val="00FF3223"/>
    <w:rsid w:val="00FF3333"/>
    <w:rsid w:val="00FF3C77"/>
    <w:rsid w:val="00FF4082"/>
    <w:rsid w:val="00FF4201"/>
    <w:rsid w:val="00FF4440"/>
    <w:rsid w:val="00FF5DA9"/>
    <w:rsid w:val="00FF7C3D"/>
    <w:rsid w:val="00FF7D0F"/>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92865"/>
    <o:shapelayout v:ext="edit">
      <o:idmap v:ext="edit" data="1"/>
    </o:shapelayout>
  </w:shapeDefaults>
  <w:decimalSymbol w:val="."/>
  <w:listSeparator w:val=","/>
  <w14:docId w14:val="5048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IN OT" w:eastAsiaTheme="minorHAnsi" w:hAnsi="DIN OT" w:cstheme="minorBidi"/>
        <w:color w:val="000000"/>
        <w:sz w:val="22"/>
        <w:szCs w:val="22"/>
        <w:lang w:val="en-AU" w:eastAsia="en-US" w:bidi="ar-SA"/>
      </w:rPr>
    </w:rPrDefault>
    <w:pPrDefault>
      <w:pPr>
        <w:spacing w:after="240"/>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iPriority="0" w:unhideWhenUsed="1"/>
    <w:lsdException w:name="annotation text" w:semiHidden="1" w:unhideWhenUsed="1"/>
    <w:lsdException w:name="header" w:locked="0" w:unhideWhenUsed="1"/>
    <w:lsdException w:name="footer" w:locked="0" w:unhideWhenUsed="1"/>
    <w:lsdException w:name="index heading" w:semiHidden="1" w:unhideWhenUsed="1"/>
    <w:lsdException w:name="caption" w:uiPriority="34"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iPriority="12" w:unhideWhenUsed="1" w:qFormat="1"/>
    <w:lsdException w:name="List Number" w:uiPriority="15"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iPriority="12" w:unhideWhenUsed="1" w:qFormat="1"/>
    <w:lsdException w:name="List Bullet 3" w:uiPriority="12"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1"/>
    <w:lsdException w:name="Closing" w:semiHidden="1" w:unhideWhenUsed="1"/>
    <w:lsdException w:name="Signature" w:semiHidden="1" w:uiPriority="29"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2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1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CB4"/>
    <w:pPr>
      <w:tabs>
        <w:tab w:val="num" w:pos="1492"/>
      </w:tabs>
    </w:pPr>
    <w:rPr>
      <w:rFonts w:ascii="DIN OT Light" w:hAnsi="DIN OT Light"/>
    </w:rPr>
  </w:style>
  <w:style w:type="paragraph" w:styleId="Heading1">
    <w:name w:val="heading 1"/>
    <w:basedOn w:val="Normal"/>
    <w:next w:val="Normal"/>
    <w:link w:val="Heading1Char"/>
    <w:uiPriority w:val="9"/>
    <w:qFormat/>
    <w:rsid w:val="00BB2437"/>
    <w:pPr>
      <w:keepNext/>
      <w:keepLines/>
      <w:pageBreakBefore/>
      <w:pBdr>
        <w:bottom w:val="single" w:sz="4" w:space="3" w:color="BFBFBF" w:themeColor="background1" w:themeShade="BF"/>
      </w:pBdr>
      <w:tabs>
        <w:tab w:val="clear" w:pos="1492"/>
      </w:tabs>
      <w:spacing w:after="480"/>
      <w:outlineLvl w:val="0"/>
    </w:pPr>
    <w:rPr>
      <w:rFonts w:ascii="DIN OT Medium" w:eastAsiaTheme="majorEastAsia" w:hAnsi="DIN OT Medium" w:cstheme="majorBidi"/>
      <w:bCs/>
      <w:color w:val="012169" w:themeColor="text2"/>
      <w:sz w:val="48"/>
      <w:szCs w:val="28"/>
    </w:rPr>
  </w:style>
  <w:style w:type="paragraph" w:styleId="Heading2">
    <w:name w:val="heading 2"/>
    <w:basedOn w:val="Normal"/>
    <w:next w:val="Normal"/>
    <w:link w:val="Heading2Char"/>
    <w:uiPriority w:val="9"/>
    <w:qFormat/>
    <w:rsid w:val="00F61362"/>
    <w:pPr>
      <w:keepNext/>
      <w:keepLines/>
      <w:tabs>
        <w:tab w:val="clear" w:pos="1492"/>
      </w:tabs>
      <w:spacing w:before="320"/>
      <w:outlineLvl w:val="1"/>
    </w:pPr>
    <w:rPr>
      <w:rFonts w:ascii="DIN OT Medium" w:eastAsiaTheme="majorEastAsia" w:hAnsi="DIN OT Medium" w:cstheme="majorBidi"/>
      <w:bCs/>
      <w:color w:val="012169" w:themeColor="text2"/>
      <w:sz w:val="30"/>
      <w:szCs w:val="26"/>
    </w:rPr>
  </w:style>
  <w:style w:type="paragraph" w:styleId="Heading3">
    <w:name w:val="heading 3"/>
    <w:basedOn w:val="Normal"/>
    <w:next w:val="Normal"/>
    <w:link w:val="Heading3Char"/>
    <w:uiPriority w:val="9"/>
    <w:qFormat/>
    <w:rsid w:val="007568F8"/>
    <w:pPr>
      <w:keepNext/>
      <w:keepLines/>
      <w:tabs>
        <w:tab w:val="clear" w:pos="1492"/>
      </w:tabs>
      <w:spacing w:before="280" w:after="120"/>
      <w:outlineLvl w:val="2"/>
    </w:pPr>
    <w:rPr>
      <w:rFonts w:ascii="DIN OT Medium" w:eastAsiaTheme="majorEastAsia" w:hAnsi="DIN OT Medium" w:cstheme="majorBidi"/>
      <w:bCs/>
      <w:color w:val="012169" w:themeColor="text2"/>
      <w:sz w:val="26"/>
    </w:rPr>
  </w:style>
  <w:style w:type="paragraph" w:styleId="Heading4">
    <w:name w:val="heading 4"/>
    <w:basedOn w:val="Normal"/>
    <w:next w:val="Normal"/>
    <w:link w:val="Heading4Char"/>
    <w:uiPriority w:val="9"/>
    <w:qFormat/>
    <w:rsid w:val="0016272E"/>
    <w:pPr>
      <w:keepNext/>
      <w:keepLines/>
      <w:tabs>
        <w:tab w:val="clear" w:pos="1492"/>
      </w:tabs>
      <w:spacing w:before="240" w:after="120"/>
      <w:outlineLvl w:val="3"/>
    </w:pPr>
    <w:rPr>
      <w:rFonts w:ascii="DIN OT Medium" w:eastAsiaTheme="majorEastAsia" w:hAnsi="DIN OT Medium" w:cstheme="majorBidi"/>
      <w:bCs/>
      <w:i/>
      <w:iCs/>
      <w:color w:val="012169" w:themeColor="text2"/>
      <w:sz w:val="26"/>
    </w:rPr>
  </w:style>
  <w:style w:type="paragraph" w:styleId="Heading5">
    <w:name w:val="heading 5"/>
    <w:basedOn w:val="Normal"/>
    <w:next w:val="Normal"/>
    <w:link w:val="Heading5Char"/>
    <w:uiPriority w:val="9"/>
    <w:qFormat/>
    <w:rsid w:val="006C6C47"/>
    <w:pPr>
      <w:keepNext/>
      <w:keepLines/>
      <w:tabs>
        <w:tab w:val="clear" w:pos="1492"/>
      </w:tabs>
      <w:spacing w:before="240" w:after="60"/>
      <w:outlineLvl w:val="4"/>
    </w:pPr>
    <w:rPr>
      <w:rFonts w:ascii="DIN OT Medium" w:eastAsiaTheme="majorEastAsia" w:hAnsi="DIN OT Medium" w:cstheme="majorBidi"/>
      <w:color w:val="000000" w:themeColor="text1"/>
    </w:rPr>
  </w:style>
  <w:style w:type="paragraph" w:styleId="Heading6">
    <w:name w:val="heading 6"/>
    <w:basedOn w:val="Normal"/>
    <w:next w:val="Normal"/>
    <w:link w:val="Heading6Char"/>
    <w:uiPriority w:val="9"/>
    <w:semiHidden/>
    <w:qFormat/>
    <w:rsid w:val="00BB6983"/>
    <w:pPr>
      <w:keepNext/>
      <w:keepLines/>
      <w:tabs>
        <w:tab w:val="clear" w:pos="1492"/>
      </w:tabs>
      <w:spacing w:after="120" w:line="288" w:lineRule="auto"/>
      <w:outlineLvl w:val="5"/>
    </w:pPr>
    <w:rPr>
      <w:rFonts w:ascii="DIN Offc Medium" w:eastAsiaTheme="majorEastAsia" w:hAnsi="DIN Offc Medium" w:cstheme="majorBidi"/>
      <w:i/>
      <w:iCs/>
      <w:color w:val="012169" w:themeColor="text2"/>
    </w:rPr>
  </w:style>
  <w:style w:type="paragraph" w:styleId="Heading7">
    <w:name w:val="heading 7"/>
    <w:basedOn w:val="Normal"/>
    <w:next w:val="Normal"/>
    <w:link w:val="Heading7Char"/>
    <w:uiPriority w:val="9"/>
    <w:semiHidden/>
    <w:qFormat/>
    <w:rsid w:val="00BB6983"/>
    <w:pPr>
      <w:keepNext/>
      <w:keepLines/>
      <w:tabs>
        <w:tab w:val="clear" w:pos="1492"/>
      </w:tabs>
      <w:spacing w:after="120" w:line="288" w:lineRule="auto"/>
      <w:outlineLvl w:val="6"/>
    </w:pPr>
    <w:rPr>
      <w:rFonts w:ascii="DIN Offc Medium" w:eastAsiaTheme="majorEastAsia" w:hAnsi="DIN Offc Medium" w:cstheme="majorBidi"/>
      <w:i/>
      <w:iCs/>
      <w:color w:val="012169" w:themeColor="text2"/>
    </w:rPr>
  </w:style>
  <w:style w:type="paragraph" w:styleId="Heading8">
    <w:name w:val="heading 8"/>
    <w:basedOn w:val="Normal"/>
    <w:next w:val="Normal"/>
    <w:link w:val="Heading8Char"/>
    <w:uiPriority w:val="9"/>
    <w:semiHidden/>
    <w:qFormat/>
    <w:rsid w:val="00BB6983"/>
    <w:pPr>
      <w:keepNext/>
      <w:keepLines/>
      <w:tabs>
        <w:tab w:val="clear" w:pos="1492"/>
      </w:tabs>
      <w:spacing w:after="120" w:line="288" w:lineRule="auto"/>
      <w:outlineLvl w:val="7"/>
    </w:pPr>
    <w:rPr>
      <w:rFonts w:ascii="DIN Offc Medium" w:eastAsiaTheme="majorEastAsia" w:hAnsi="DIN Offc Medium" w:cstheme="majorBidi"/>
      <w:i/>
      <w:color w:val="012169" w:themeColor="text2"/>
    </w:rPr>
  </w:style>
  <w:style w:type="paragraph" w:styleId="Heading9">
    <w:name w:val="heading 9"/>
    <w:basedOn w:val="Normal"/>
    <w:next w:val="Normal"/>
    <w:link w:val="Heading9Char"/>
    <w:uiPriority w:val="9"/>
    <w:semiHidden/>
    <w:qFormat/>
    <w:rsid w:val="00BB6983"/>
    <w:pPr>
      <w:keepNext/>
      <w:keepLines/>
      <w:tabs>
        <w:tab w:val="clear" w:pos="1492"/>
      </w:tabs>
      <w:spacing w:after="120" w:line="288" w:lineRule="auto"/>
      <w:outlineLvl w:val="8"/>
    </w:pPr>
    <w:rPr>
      <w:rFonts w:ascii="DIN Offc Medium" w:eastAsiaTheme="majorEastAsia" w:hAnsi="DIN Offc Medium" w:cstheme="majorBidi"/>
      <w:i/>
      <w:iCs/>
      <w:color w:val="01216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437"/>
    <w:rPr>
      <w:rFonts w:ascii="DIN OT Medium" w:eastAsiaTheme="majorEastAsia" w:hAnsi="DIN OT Medium" w:cstheme="majorBidi"/>
      <w:bCs/>
      <w:color w:val="012169" w:themeColor="text2"/>
      <w:sz w:val="48"/>
      <w:szCs w:val="28"/>
    </w:rPr>
  </w:style>
  <w:style w:type="character" w:customStyle="1" w:styleId="Heading2Char">
    <w:name w:val="Heading 2 Char"/>
    <w:basedOn w:val="DefaultParagraphFont"/>
    <w:link w:val="Heading2"/>
    <w:uiPriority w:val="9"/>
    <w:rsid w:val="00F61362"/>
    <w:rPr>
      <w:rFonts w:ascii="DIN OT Medium" w:eastAsiaTheme="majorEastAsia" w:hAnsi="DIN OT Medium" w:cstheme="majorBidi"/>
      <w:bCs/>
      <w:color w:val="012169" w:themeColor="text2"/>
      <w:sz w:val="30"/>
      <w:szCs w:val="26"/>
    </w:rPr>
  </w:style>
  <w:style w:type="character" w:customStyle="1" w:styleId="Heading3Char">
    <w:name w:val="Heading 3 Char"/>
    <w:basedOn w:val="DefaultParagraphFont"/>
    <w:link w:val="Heading3"/>
    <w:uiPriority w:val="9"/>
    <w:rsid w:val="007568F8"/>
    <w:rPr>
      <w:rFonts w:ascii="DIN OT Medium" w:eastAsiaTheme="majorEastAsia" w:hAnsi="DIN OT Medium" w:cstheme="majorBidi"/>
      <w:bCs/>
      <w:color w:val="012169" w:themeColor="text2"/>
      <w:sz w:val="26"/>
    </w:rPr>
  </w:style>
  <w:style w:type="paragraph" w:customStyle="1" w:styleId="CoverSubtitle">
    <w:name w:val="Cover Subtitle"/>
    <w:basedOn w:val="Normal"/>
    <w:next w:val="Normal"/>
    <w:uiPriority w:val="21"/>
    <w:semiHidden/>
    <w:locked/>
    <w:rsid w:val="00072B30"/>
    <w:pPr>
      <w:tabs>
        <w:tab w:val="clear" w:pos="1492"/>
      </w:tabs>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AD393D"/>
    <w:pPr>
      <w:keepNext/>
      <w:keepLines/>
      <w:tabs>
        <w:tab w:val="clear" w:pos="1492"/>
      </w:tabs>
      <w:spacing w:before="240" w:after="120"/>
    </w:pPr>
    <w:rPr>
      <w:rFonts w:ascii="DIN OT Medium" w:hAnsi="DIN OT Medium"/>
      <w:color w:val="012169" w:themeColor="text2"/>
      <w:sz w:val="26"/>
    </w:rPr>
  </w:style>
  <w:style w:type="character" w:customStyle="1" w:styleId="Heading4Char">
    <w:name w:val="Heading 4 Char"/>
    <w:basedOn w:val="DefaultParagraphFont"/>
    <w:link w:val="Heading4"/>
    <w:uiPriority w:val="9"/>
    <w:rsid w:val="0016272E"/>
    <w:rPr>
      <w:rFonts w:ascii="DIN OT Medium" w:eastAsiaTheme="majorEastAsia" w:hAnsi="DIN OT Medium" w:cstheme="majorBidi"/>
      <w:bCs/>
      <w:i/>
      <w:iCs/>
      <w:color w:val="012169" w:themeColor="text2"/>
      <w:sz w:val="26"/>
    </w:rPr>
  </w:style>
  <w:style w:type="paragraph" w:styleId="ListBullet">
    <w:name w:val="List Bullet"/>
    <w:basedOn w:val="Normal"/>
    <w:uiPriority w:val="12"/>
    <w:qFormat/>
    <w:rsid w:val="00641EAA"/>
    <w:pPr>
      <w:numPr>
        <w:numId w:val="8"/>
      </w:numPr>
    </w:pPr>
  </w:style>
  <w:style w:type="paragraph" w:styleId="ListBullet2">
    <w:name w:val="List Bullet 2"/>
    <w:basedOn w:val="ListBullet"/>
    <w:uiPriority w:val="12"/>
    <w:qFormat/>
    <w:rsid w:val="00641EAA"/>
    <w:pPr>
      <w:numPr>
        <w:ilvl w:val="1"/>
      </w:numPr>
    </w:pPr>
  </w:style>
  <w:style w:type="paragraph" w:styleId="ListNumber">
    <w:name w:val="List Number"/>
    <w:basedOn w:val="Normal"/>
    <w:uiPriority w:val="15"/>
    <w:qFormat/>
    <w:rsid w:val="00662E28"/>
    <w:pPr>
      <w:numPr>
        <w:numId w:val="14"/>
      </w:numPr>
    </w:pPr>
  </w:style>
  <w:style w:type="paragraph" w:styleId="ListNumber2">
    <w:name w:val="List Number 2"/>
    <w:basedOn w:val="Normal"/>
    <w:uiPriority w:val="16"/>
    <w:qFormat/>
    <w:rsid w:val="00662E28"/>
    <w:pPr>
      <w:numPr>
        <w:ilvl w:val="1"/>
        <w:numId w:val="14"/>
      </w:numPr>
    </w:pPr>
  </w:style>
  <w:style w:type="numbering" w:customStyle="1" w:styleId="HeadingList">
    <w:name w:val="Heading List"/>
    <w:uiPriority w:val="99"/>
    <w:rsid w:val="001241CB"/>
  </w:style>
  <w:style w:type="paragraph" w:styleId="ListNumber3">
    <w:name w:val="List Number 3"/>
    <w:basedOn w:val="Normal"/>
    <w:uiPriority w:val="16"/>
    <w:qFormat/>
    <w:rsid w:val="00662E28"/>
    <w:pPr>
      <w:numPr>
        <w:ilvl w:val="2"/>
        <w:numId w:val="14"/>
      </w:numPr>
    </w:pPr>
  </w:style>
  <w:style w:type="paragraph" w:styleId="Title">
    <w:name w:val="Title"/>
    <w:basedOn w:val="Normal"/>
    <w:next w:val="Normal"/>
    <w:link w:val="TitleChar"/>
    <w:uiPriority w:val="31"/>
    <w:rsid w:val="00DD5719"/>
    <w:pPr>
      <w:pBdr>
        <w:bottom w:val="single" w:sz="24" w:space="10" w:color="012169" w:themeColor="accent1"/>
      </w:pBdr>
      <w:tabs>
        <w:tab w:val="clear" w:pos="1492"/>
      </w:tabs>
      <w:spacing w:after="0" w:line="192" w:lineRule="auto"/>
      <w:ind w:right="567"/>
    </w:pPr>
    <w:rPr>
      <w:rFonts w:ascii="DIN OT Medium" w:eastAsiaTheme="majorEastAsia" w:hAnsi="DIN OT Medium" w:cstheme="majorBidi"/>
      <w:caps/>
      <w:color w:val="012169" w:themeColor="text2"/>
      <w:sz w:val="80"/>
      <w:szCs w:val="52"/>
    </w:rPr>
  </w:style>
  <w:style w:type="character" w:customStyle="1" w:styleId="TitleChar">
    <w:name w:val="Title Char"/>
    <w:basedOn w:val="DefaultParagraphFont"/>
    <w:link w:val="Title"/>
    <w:uiPriority w:val="31"/>
    <w:rsid w:val="000E3427"/>
    <w:rPr>
      <w:rFonts w:ascii="DIN OT Medium" w:eastAsiaTheme="majorEastAsia" w:hAnsi="DIN OT Medium" w:cstheme="majorBidi"/>
      <w:caps/>
      <w:color w:val="012169" w:themeColor="text2"/>
      <w:sz w:val="80"/>
      <w:szCs w:val="52"/>
    </w:rPr>
  </w:style>
  <w:style w:type="numbering" w:styleId="111111">
    <w:name w:val="Outline List 2"/>
    <w:basedOn w:val="NoList"/>
    <w:uiPriority w:val="99"/>
    <w:semiHidden/>
    <w:unhideWhenUsed/>
    <w:locked/>
    <w:rsid w:val="00466648"/>
  </w:style>
  <w:style w:type="paragraph" w:styleId="TOC1">
    <w:name w:val="toc 1"/>
    <w:basedOn w:val="Normal"/>
    <w:next w:val="Normal"/>
    <w:autoRedefine/>
    <w:uiPriority w:val="39"/>
    <w:unhideWhenUsed/>
    <w:rsid w:val="00BB2437"/>
    <w:pPr>
      <w:tabs>
        <w:tab w:val="clear" w:pos="1492"/>
        <w:tab w:val="right" w:pos="9027"/>
      </w:tabs>
    </w:pPr>
    <w:rPr>
      <w:rFonts w:ascii="DIN OT Medium" w:hAnsi="DIN OT Medium"/>
    </w:rPr>
  </w:style>
  <w:style w:type="paragraph" w:styleId="TOCHeading">
    <w:name w:val="TOC Heading"/>
    <w:basedOn w:val="Heading1"/>
    <w:next w:val="Normal"/>
    <w:uiPriority w:val="39"/>
    <w:unhideWhenUsed/>
    <w:qFormat/>
    <w:rsid w:val="00616C90"/>
    <w:pPr>
      <w:outlineLvl w:val="9"/>
    </w:pPr>
  </w:style>
  <w:style w:type="paragraph" w:styleId="Footer">
    <w:name w:val="footer"/>
    <w:basedOn w:val="Normal"/>
    <w:link w:val="FooterChar"/>
    <w:uiPriority w:val="99"/>
    <w:rsid w:val="00EE70EE"/>
    <w:pPr>
      <w:tabs>
        <w:tab w:val="clear" w:pos="1492"/>
        <w:tab w:val="right" w:pos="9639"/>
      </w:tabs>
      <w:spacing w:after="0" w:line="200" w:lineRule="exact"/>
      <w:contextualSpacing/>
    </w:pPr>
    <w:rPr>
      <w:caps/>
      <w:sz w:val="16"/>
    </w:rPr>
  </w:style>
  <w:style w:type="character" w:customStyle="1" w:styleId="FooterChar">
    <w:name w:val="Footer Char"/>
    <w:basedOn w:val="DefaultParagraphFont"/>
    <w:link w:val="Footer"/>
    <w:uiPriority w:val="99"/>
    <w:rsid w:val="00EE70EE"/>
    <w:rPr>
      <w:rFonts w:ascii="DIN OT Light" w:hAnsi="DIN OT Light"/>
      <w:caps/>
      <w:sz w:val="16"/>
    </w:rPr>
  </w:style>
  <w:style w:type="paragraph" w:styleId="ListBullet3">
    <w:name w:val="List Bullet 3"/>
    <w:basedOn w:val="Normal"/>
    <w:uiPriority w:val="12"/>
    <w:qFormat/>
    <w:rsid w:val="00641EAA"/>
    <w:pPr>
      <w:numPr>
        <w:ilvl w:val="2"/>
        <w:numId w:val="8"/>
      </w:numPr>
    </w:pPr>
  </w:style>
  <w:style w:type="table" w:styleId="TableGrid">
    <w:name w:val="Table Grid"/>
    <w:basedOn w:val="TableNormal"/>
    <w:uiPriority w:val="59"/>
    <w:rsid w:val="00B20DFD"/>
    <w:pPr>
      <w:spacing w:before="60" w:after="60"/>
    </w:pPr>
    <w:rPr>
      <w:sz w:val="20"/>
    </w:r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rFonts w:ascii="DIN OT Medium" w:hAnsi="DIN OT Medium"/>
        <w:b w:val="0"/>
        <w:color w:val="FFFFFF" w:themeColor="background1"/>
      </w:rPr>
      <w:tblPr/>
      <w:trPr>
        <w:cantSplit/>
        <w:tblHeader/>
      </w:trPr>
      <w:tcPr>
        <w:shd w:val="clear" w:color="auto" w:fill="012169" w:themeFill="accent1"/>
      </w:tcPr>
    </w:tblStylePr>
    <w:tblStylePr w:type="lastRow">
      <w:rPr>
        <w:rFonts w:ascii="DIN OT Medium" w:hAnsi="DIN OT Medium"/>
        <w:b w:val="0"/>
      </w:rPr>
      <w:tblPr/>
      <w:tcPr>
        <w:shd w:val="clear" w:color="auto" w:fill="EAECEE" w:themeFill="accent4" w:themeFillTint="33"/>
      </w:tcPr>
    </w:tblStylePr>
    <w:tblStylePr w:type="firstCol">
      <w:rPr>
        <w:rFonts w:ascii="DIN OT Medium" w:hAnsi="DIN OT Medium"/>
        <w:b w:val="0"/>
        <w:color w:val="auto"/>
      </w:rPr>
    </w:tblStylePr>
    <w:tblStylePr w:type="lastCol">
      <w:pPr>
        <w:jc w:val="right"/>
      </w:pPr>
      <w:rPr>
        <w:rFonts w:ascii="DIN OT Medium" w:hAnsi="DIN OT Medium"/>
        <w:b w:val="0"/>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27194D"/>
    <w:pPr>
      <w:tabs>
        <w:tab w:val="left" w:pos="1134"/>
      </w:tabs>
      <w:spacing w:before="240" w:after="120"/>
    </w:pPr>
    <w:rPr>
      <w:rFonts w:ascii="DIN OT Medium" w:hAnsi="DIN OT Medium"/>
      <w:bCs/>
      <w:i/>
      <w:szCs w:val="18"/>
    </w:rPr>
  </w:style>
  <w:style w:type="paragraph" w:styleId="Header">
    <w:name w:val="header"/>
    <w:basedOn w:val="Normal"/>
    <w:link w:val="HeaderChar"/>
    <w:uiPriority w:val="99"/>
    <w:rsid w:val="00722F9F"/>
    <w:pPr>
      <w:tabs>
        <w:tab w:val="clear" w:pos="1492"/>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tabs>
        <w:tab w:val="clear" w:pos="1492"/>
      </w:tabs>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29"/>
    <w:qFormat/>
    <w:locked/>
    <w:rsid w:val="003B51A4"/>
    <w:pPr>
      <w:tabs>
        <w:tab w:val="clear" w:pos="1492"/>
      </w:tabs>
      <w:spacing w:after="840"/>
      <w:contextualSpacing/>
    </w:pPr>
  </w:style>
  <w:style w:type="character" w:customStyle="1" w:styleId="DateChar">
    <w:name w:val="Date Char"/>
    <w:basedOn w:val="DefaultParagraphFont"/>
    <w:link w:val="Date"/>
    <w:uiPriority w:val="29"/>
    <w:rsid w:val="003B51A4"/>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tabs>
        <w:tab w:val="clear" w:pos="1492"/>
      </w:tabs>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rsid w:val="0016272E"/>
    <w:pPr>
      <w:tabs>
        <w:tab w:val="clear" w:pos="1492"/>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16272E"/>
    <w:rPr>
      <w:sz w:val="18"/>
    </w:rPr>
  </w:style>
  <w:style w:type="character" w:customStyle="1" w:styleId="Heading5Char">
    <w:name w:val="Heading 5 Char"/>
    <w:basedOn w:val="DefaultParagraphFont"/>
    <w:link w:val="Heading5"/>
    <w:uiPriority w:val="9"/>
    <w:rsid w:val="006C6C47"/>
    <w:rPr>
      <w:rFonts w:ascii="DIN OT Medium" w:eastAsiaTheme="majorEastAsia" w:hAnsi="DIN OT Medium" w:cstheme="majorBidi"/>
      <w:color w:val="000000" w:themeColor="text1"/>
    </w:rPr>
  </w:style>
  <w:style w:type="character" w:customStyle="1" w:styleId="Heading6Char">
    <w:name w:val="Heading 6 Char"/>
    <w:basedOn w:val="DefaultParagraphFont"/>
    <w:link w:val="Heading6"/>
    <w:uiPriority w:val="9"/>
    <w:semiHidden/>
    <w:rsid w:val="00283DF4"/>
    <w:rPr>
      <w:rFonts w:ascii="DIN Offc Medium" w:eastAsiaTheme="majorEastAsia" w:hAnsi="DIN Offc Medium" w:cstheme="majorBidi"/>
      <w:i/>
      <w:iCs/>
      <w:color w:val="012169" w:themeColor="text2"/>
    </w:rPr>
  </w:style>
  <w:style w:type="character" w:customStyle="1" w:styleId="Heading7Char">
    <w:name w:val="Heading 7 Char"/>
    <w:basedOn w:val="DefaultParagraphFont"/>
    <w:link w:val="Heading7"/>
    <w:uiPriority w:val="9"/>
    <w:semiHidden/>
    <w:rsid w:val="00283DF4"/>
    <w:rPr>
      <w:rFonts w:ascii="DIN Offc Medium" w:eastAsiaTheme="majorEastAsia" w:hAnsi="DIN Offc Medium" w:cstheme="majorBidi"/>
      <w:i/>
      <w:iCs/>
      <w:color w:val="012169" w:themeColor="text2"/>
    </w:rPr>
  </w:style>
  <w:style w:type="character" w:customStyle="1" w:styleId="Heading8Char">
    <w:name w:val="Heading 8 Char"/>
    <w:basedOn w:val="DefaultParagraphFont"/>
    <w:link w:val="Heading8"/>
    <w:uiPriority w:val="9"/>
    <w:semiHidden/>
    <w:rsid w:val="00283DF4"/>
    <w:rPr>
      <w:rFonts w:ascii="DIN Offc Medium" w:eastAsiaTheme="majorEastAsia" w:hAnsi="DIN Offc Medium" w:cstheme="majorBidi"/>
      <w:i/>
      <w:color w:val="012169" w:themeColor="text2"/>
    </w:rPr>
  </w:style>
  <w:style w:type="character" w:customStyle="1" w:styleId="Heading9Char">
    <w:name w:val="Heading 9 Char"/>
    <w:basedOn w:val="DefaultParagraphFont"/>
    <w:link w:val="Heading9"/>
    <w:uiPriority w:val="9"/>
    <w:semiHidden/>
    <w:rsid w:val="00283DF4"/>
    <w:rPr>
      <w:rFonts w:ascii="DIN Offc Medium" w:eastAsiaTheme="majorEastAsia" w:hAnsi="DIN Offc Medium" w:cstheme="majorBidi"/>
      <w:i/>
      <w:iCs/>
      <w:color w:val="012169" w:themeColor="text2"/>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tabs>
        <w:tab w:val="num" w:pos="1492"/>
      </w:tabs>
    </w:pPr>
  </w:style>
  <w:style w:type="paragraph" w:styleId="List2">
    <w:name w:val="List 2"/>
    <w:basedOn w:val="Normal"/>
    <w:uiPriority w:val="17"/>
    <w:qFormat/>
    <w:rsid w:val="00A8129D"/>
    <w:pPr>
      <w:numPr>
        <w:ilvl w:val="2"/>
      </w:numPr>
      <w:tabs>
        <w:tab w:val="num" w:pos="1492"/>
      </w:tabs>
    </w:pPr>
  </w:style>
  <w:style w:type="paragraph" w:styleId="List3">
    <w:name w:val="List 3"/>
    <w:basedOn w:val="Normal"/>
    <w:uiPriority w:val="17"/>
    <w:qFormat/>
    <w:rsid w:val="00A8129D"/>
    <w:pPr>
      <w:numPr>
        <w:ilvl w:val="3"/>
      </w:numPr>
      <w:tabs>
        <w:tab w:val="num" w:pos="1492"/>
      </w:tabs>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BB7EB9"/>
    <w:pPr>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E910A2"/>
    <w:pPr>
      <w:tabs>
        <w:tab w:val="clear" w:pos="1492"/>
      </w:tabs>
    </w:pPr>
    <w:rPr>
      <w:rFonts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945635"/>
    <w:pPr>
      <w:tabs>
        <w:tab w:val="clear" w:pos="1492"/>
      </w:tabs>
      <w:ind w:left="425" w:right="425"/>
    </w:pPr>
    <w:rPr>
      <w:i/>
      <w:iCs/>
    </w:rPr>
  </w:style>
  <w:style w:type="character" w:customStyle="1" w:styleId="QuoteChar">
    <w:name w:val="Quote Char"/>
    <w:basedOn w:val="DefaultParagraphFont"/>
    <w:link w:val="Quote"/>
    <w:uiPriority w:val="19"/>
    <w:rsid w:val="00945635"/>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tabs>
        <w:tab w:val="clear" w:pos="1492"/>
      </w:tabs>
      <w:contextualSpacing/>
    </w:pPr>
  </w:style>
  <w:style w:type="character" w:customStyle="1" w:styleId="SignatureChar">
    <w:name w:val="Signature Char"/>
    <w:basedOn w:val="DefaultParagraphFont"/>
    <w:link w:val="Signature"/>
    <w:uiPriority w:val="29"/>
    <w:semiHidden/>
    <w:rsid w:val="00E910A2"/>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FC398C"/>
    <w:pPr>
      <w:tabs>
        <w:tab w:val="clear" w:pos="1492"/>
        <w:tab w:val="left" w:pos="851"/>
        <w:tab w:val="right" w:pos="9027"/>
      </w:tabs>
      <w:ind w:left="850" w:hanging="737"/>
    </w:pPr>
  </w:style>
  <w:style w:type="paragraph" w:styleId="TOC3">
    <w:name w:val="toc 3"/>
    <w:basedOn w:val="Normal"/>
    <w:next w:val="Normal"/>
    <w:autoRedefine/>
    <w:uiPriority w:val="39"/>
    <w:rsid w:val="00AD393D"/>
    <w:pPr>
      <w:tabs>
        <w:tab w:val="clear" w:pos="1492"/>
        <w:tab w:val="left" w:pos="851"/>
        <w:tab w:val="right" w:pos="9038"/>
      </w:tabs>
      <w:ind w:left="1702" w:hanging="851"/>
    </w:pPr>
  </w:style>
  <w:style w:type="paragraph" w:styleId="TOC4">
    <w:name w:val="toc 4"/>
    <w:basedOn w:val="Normal"/>
    <w:next w:val="Normal"/>
    <w:autoRedefine/>
    <w:uiPriority w:val="39"/>
    <w:rsid w:val="00AD393D"/>
    <w:pPr>
      <w:tabs>
        <w:tab w:val="clear" w:pos="1492"/>
        <w:tab w:val="right" w:pos="9027"/>
      </w:tabs>
    </w:pPr>
    <w:rPr>
      <w:rFonts w:ascii="DIN OT Medium" w:hAnsi="DIN OT Medium"/>
    </w:rPr>
  </w:style>
  <w:style w:type="paragraph" w:styleId="TOC5">
    <w:name w:val="toc 5"/>
    <w:basedOn w:val="Normal"/>
    <w:next w:val="Normal"/>
    <w:autoRedefine/>
    <w:uiPriority w:val="39"/>
    <w:rsid w:val="00FC398C"/>
    <w:pPr>
      <w:tabs>
        <w:tab w:val="clear" w:pos="1492"/>
        <w:tab w:val="left" w:pos="851"/>
        <w:tab w:val="right" w:pos="9027"/>
      </w:tabs>
      <w:ind w:left="113"/>
    </w:pPr>
  </w:style>
  <w:style w:type="paragraph" w:styleId="TOC6">
    <w:name w:val="toc 6"/>
    <w:basedOn w:val="Normal"/>
    <w:next w:val="Normal"/>
    <w:autoRedefine/>
    <w:uiPriority w:val="39"/>
    <w:rsid w:val="00EE70EE"/>
    <w:pPr>
      <w:tabs>
        <w:tab w:val="clear" w:pos="1492"/>
        <w:tab w:val="left" w:pos="851"/>
        <w:tab w:val="right" w:pos="9027"/>
      </w:tabs>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144295"/>
  </w:style>
  <w:style w:type="numbering" w:customStyle="1" w:styleId="BulletList">
    <w:name w:val="Bullet List"/>
    <w:uiPriority w:val="99"/>
    <w:rsid w:val="00641EAA"/>
    <w:pPr>
      <w:numPr>
        <w:numId w:val="8"/>
      </w:numPr>
    </w:pPr>
  </w:style>
  <w:style w:type="paragraph" w:customStyle="1" w:styleId="PaperTitle">
    <w:name w:val="Paper Title"/>
    <w:next w:val="CoverDate"/>
    <w:uiPriority w:val="31"/>
    <w:rsid w:val="007E7F27"/>
    <w:pPr>
      <w:spacing w:before="2760"/>
      <w:contextualSpacing/>
    </w:pPr>
    <w:rPr>
      <w:rFonts w:ascii="DIN OT Medium" w:eastAsiaTheme="majorEastAsia" w:hAnsi="DIN OT Medium" w:cstheme="majorBidi"/>
      <w:color w:val="012169" w:themeColor="text2"/>
      <w:sz w:val="44"/>
      <w:szCs w:val="52"/>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ttachmentHeading">
    <w:name w:val="Attachment Heading"/>
    <w:basedOn w:val="Heading1"/>
    <w:next w:val="Normal"/>
    <w:uiPriority w:val="10"/>
    <w:qFormat/>
    <w:rsid w:val="003A2733"/>
    <w:pPr>
      <w:numPr>
        <w:numId w:val="16"/>
      </w:numPr>
    </w:pPr>
  </w:style>
  <w:style w:type="paragraph" w:customStyle="1" w:styleId="AttachmentSubHeading">
    <w:name w:val="Attachment Sub Heading"/>
    <w:basedOn w:val="Heading2"/>
    <w:next w:val="Normal"/>
    <w:uiPriority w:val="10"/>
    <w:qFormat/>
    <w:rsid w:val="003A2733"/>
  </w:style>
  <w:style w:type="paragraph" w:customStyle="1" w:styleId="Heading1Numbers">
    <w:name w:val="Heading 1 Numbers"/>
    <w:basedOn w:val="Heading1"/>
    <w:next w:val="Normal"/>
    <w:uiPriority w:val="9"/>
    <w:qFormat/>
    <w:rsid w:val="00BA627A"/>
    <w:pPr>
      <w:numPr>
        <w:numId w:val="6"/>
      </w:numPr>
    </w:pPr>
  </w:style>
  <w:style w:type="paragraph" w:customStyle="1" w:styleId="Heading2Numbers">
    <w:name w:val="Heading 2 Numbers"/>
    <w:basedOn w:val="Heading2"/>
    <w:next w:val="Normal"/>
    <w:uiPriority w:val="9"/>
    <w:qFormat/>
    <w:rsid w:val="00AD393D"/>
    <w:pPr>
      <w:numPr>
        <w:ilvl w:val="1"/>
        <w:numId w:val="6"/>
      </w:numPr>
    </w:pPr>
    <w:rPr>
      <w:bCs w:val="0"/>
    </w:rPr>
  </w:style>
  <w:style w:type="paragraph" w:customStyle="1" w:styleId="Heading3Numbers">
    <w:name w:val="Heading 3 Numbers"/>
    <w:basedOn w:val="Heading3"/>
    <w:next w:val="Normal"/>
    <w:uiPriority w:val="9"/>
    <w:qFormat/>
    <w:rsid w:val="00BA627A"/>
    <w:pPr>
      <w:numPr>
        <w:ilvl w:val="2"/>
        <w:numId w:val="6"/>
      </w:numPr>
    </w:pPr>
  </w:style>
  <w:style w:type="paragraph" w:customStyle="1" w:styleId="Heading4NoNumber">
    <w:name w:val="Heading 4 No Number"/>
    <w:basedOn w:val="Heading4"/>
    <w:uiPriority w:val="9"/>
    <w:semiHidden/>
    <w:qFormat/>
    <w:rsid w:val="00BA627A"/>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semiHidden/>
    <w:qFormat/>
    <w:rsid w:val="00E910A2"/>
    <w:pPr>
      <w:tabs>
        <w:tab w:val="clear" w:pos="1492"/>
      </w:tabs>
    </w:pPr>
    <w:rPr>
      <w:rFonts w:ascii="DIN Offc Medium" w:hAnsi="DIN Offc Medium"/>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uiPriority w:val="31"/>
    <w:rsid w:val="005113A6"/>
    <w:rPr>
      <w:rFonts w:ascii="DIN OT Medium" w:eastAsiaTheme="majorEastAsia" w:hAnsi="DIN OT Medium" w:cstheme="majorBidi"/>
      <w:color w:val="00A9E0" w:themeColor="background2"/>
      <w:sz w:val="24"/>
      <w:szCs w:val="52"/>
    </w:rPr>
  </w:style>
  <w:style w:type="paragraph" w:customStyle="1" w:styleId="Address">
    <w:name w:val="Address"/>
    <w:basedOn w:val="Normal"/>
    <w:uiPriority w:val="29"/>
    <w:qFormat/>
    <w:rsid w:val="00E910A2"/>
    <w:pPr>
      <w:tabs>
        <w:tab w:val="clear" w:pos="1492"/>
      </w:tabs>
      <w:spacing w:after="840"/>
      <w:contextualSpacing/>
    </w:pPr>
  </w:style>
  <w:style w:type="paragraph" w:customStyle="1" w:styleId="Sincerely">
    <w:name w:val="Sincerely"/>
    <w:basedOn w:val="Normal"/>
    <w:uiPriority w:val="29"/>
    <w:qFormat/>
    <w:rsid w:val="00E910A2"/>
    <w:pPr>
      <w:tabs>
        <w:tab w:val="clear" w:pos="1492"/>
      </w:tabs>
      <w:spacing w:before="720" w:after="600"/>
    </w:pPr>
  </w:style>
  <w:style w:type="paragraph" w:customStyle="1" w:styleId="Subject">
    <w:name w:val="Subject"/>
    <w:basedOn w:val="Normal"/>
    <w:uiPriority w:val="29"/>
    <w:qFormat/>
    <w:rsid w:val="00EE70EE"/>
    <w:pPr>
      <w:tabs>
        <w:tab w:val="clear" w:pos="1492"/>
      </w:tabs>
      <w:spacing w:before="480" w:after="480"/>
    </w:pPr>
    <w:rPr>
      <w:rFonts w:ascii="DIN OT Medium" w:hAnsi="DIN OT Medium"/>
    </w:rPr>
  </w:style>
  <w:style w:type="table" w:customStyle="1" w:styleId="TableOption2">
    <w:name w:val="Table Option 2"/>
    <w:basedOn w:val="TableGrid"/>
    <w:uiPriority w:val="99"/>
    <w:rsid w:val="00B20DFD"/>
    <w:tblPr/>
    <w:tcPr>
      <w:shd w:val="clear" w:color="auto" w:fill="EAECEE" w:themeFill="accent4" w:themeFillTint="33"/>
    </w:tcPr>
    <w:tblStylePr w:type="firstRow">
      <w:rPr>
        <w:rFonts w:ascii="DIN OT Medium" w:hAnsi="DIN OT Medium"/>
        <w:b w:val="0"/>
        <w:color w:val="FFFFFF" w:themeColor="background1"/>
      </w:rPr>
      <w:tblPr/>
      <w:trPr>
        <w:cantSplit/>
        <w:tblHeader/>
      </w:trPr>
      <w:tcPr>
        <w:shd w:val="clear" w:color="auto" w:fill="012169" w:themeFill="accent1"/>
      </w:tcPr>
    </w:tblStylePr>
    <w:tblStylePr w:type="lastRow">
      <w:rPr>
        <w:rFonts w:ascii="DIN OT Medium" w:hAnsi="DIN OT Medium"/>
        <w:b w:val="0"/>
      </w:rPr>
      <w:tblPr/>
      <w:tcPr>
        <w:shd w:val="clear" w:color="auto" w:fill="EAECEE" w:themeFill="accent4" w:themeFillTint="33"/>
      </w:tcPr>
    </w:tblStylePr>
    <w:tblStylePr w:type="firstCol">
      <w:rPr>
        <w:rFonts w:ascii="DIN OT Medium" w:hAnsi="DIN OT Medium"/>
        <w:b w:val="0"/>
        <w:color w:val="auto"/>
      </w:rPr>
      <w:tblPr/>
      <w:tcPr>
        <w:shd w:val="clear" w:color="auto" w:fill="012169" w:themeFill="accent1"/>
      </w:tcPr>
    </w:tblStylePr>
    <w:tblStylePr w:type="lastCol">
      <w:pPr>
        <w:jc w:val="right"/>
      </w:pPr>
      <w:rPr>
        <w:rFonts w:ascii="DIN OT Medium" w:hAnsi="DIN OT Medium"/>
        <w:b w:val="0"/>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0B74CA"/>
    <w:pPr>
      <w:keepNext/>
      <w:tabs>
        <w:tab w:val="clear" w:pos="1492"/>
      </w:tabs>
      <w:spacing w:before="240" w:after="120"/>
    </w:pPr>
    <w:rPr>
      <w:rFonts w:ascii="DIN OT Medium" w:hAnsi="DIN OT Medium"/>
    </w:rPr>
  </w:style>
  <w:style w:type="paragraph" w:customStyle="1" w:styleId="NameTitleDivision">
    <w:name w:val="Name/Title/Division"/>
    <w:basedOn w:val="Normal"/>
    <w:uiPriority w:val="18"/>
    <w:qFormat/>
    <w:rsid w:val="000573E5"/>
    <w:pPr>
      <w:tabs>
        <w:tab w:val="clear" w:pos="1492"/>
      </w:tabs>
      <w:contextualSpacing/>
    </w:pPr>
    <w:rPr>
      <w:i/>
    </w:rPr>
  </w:style>
  <w:style w:type="paragraph" w:customStyle="1" w:styleId="DisclaimerHeading">
    <w:name w:val="Disclaimer Heading"/>
    <w:basedOn w:val="Normal"/>
    <w:next w:val="Normal"/>
    <w:uiPriority w:val="32"/>
    <w:rsid w:val="00EE70EE"/>
    <w:pPr>
      <w:framePr w:w="9027" w:wrap="around" w:hAnchor="text" w:yAlign="bottom"/>
      <w:pBdr>
        <w:top w:val="single" w:sz="48" w:space="1" w:color="D9D9D9" w:themeColor="background1" w:themeShade="D9"/>
        <w:left w:val="single" w:sz="24" w:space="4" w:color="D9D9D9" w:themeColor="background1" w:themeShade="D9"/>
        <w:bottom w:val="single" w:sz="48" w:space="1" w:color="D9D9D9" w:themeColor="background1" w:themeShade="D9"/>
        <w:right w:val="single" w:sz="24" w:space="4" w:color="D9D9D9" w:themeColor="background1" w:themeShade="D9"/>
      </w:pBdr>
      <w:shd w:val="clear" w:color="auto" w:fill="D9D9D9" w:themeFill="background1" w:themeFillShade="D9"/>
      <w:tabs>
        <w:tab w:val="clear" w:pos="1492"/>
      </w:tabs>
      <w:spacing w:before="240"/>
      <w:ind w:left="170" w:right="170"/>
    </w:pPr>
    <w:rPr>
      <w:rFonts w:ascii="DIN OT Medium" w:hAnsi="DIN OT Medium"/>
      <w:sz w:val="28"/>
    </w:rPr>
  </w:style>
  <w:style w:type="paragraph" w:customStyle="1" w:styleId="DisclaimerText">
    <w:name w:val="Disclaimer Text"/>
    <w:basedOn w:val="DisclaimerHeading"/>
    <w:uiPriority w:val="32"/>
    <w:rsid w:val="00EE70EE"/>
    <w:pPr>
      <w:framePr w:wrap="around"/>
    </w:pPr>
    <w:rPr>
      <w:rFonts w:ascii="DIN OT Light" w:hAnsi="DIN OT Light"/>
      <w:sz w:val="22"/>
    </w:rPr>
  </w:style>
  <w:style w:type="character" w:customStyle="1" w:styleId="BoldCharacterDINOTMedium">
    <w:name w:val="Bold Character (DIN OT Medium)"/>
    <w:basedOn w:val="DefaultParagraphFont"/>
    <w:uiPriority w:val="10"/>
    <w:qFormat/>
    <w:rsid w:val="00484BF5"/>
    <w:rPr>
      <w:rFonts w:ascii="DIN OT Medium" w:hAnsi="DIN OT Medium"/>
    </w:rPr>
  </w:style>
  <w:style w:type="paragraph" w:customStyle="1" w:styleId="CoverLine">
    <w:name w:val="Cover Line"/>
    <w:basedOn w:val="Normal"/>
    <w:uiPriority w:val="31"/>
    <w:qFormat/>
    <w:rsid w:val="008B2BF9"/>
    <w:pPr>
      <w:pBdr>
        <w:bottom w:val="single" w:sz="24" w:space="10" w:color="00A9E0" w:themeColor="accent2"/>
      </w:pBdr>
      <w:tabs>
        <w:tab w:val="clear" w:pos="1492"/>
      </w:tabs>
      <w:spacing w:before="2170" w:after="0" w:line="192" w:lineRule="auto"/>
      <w:ind w:left="-1440" w:firstLine="1021"/>
    </w:pPr>
    <w:rPr>
      <w:rFonts w:ascii="DIN OT Medium" w:hAnsi="DIN OT Medium"/>
      <w:caps/>
      <w:color w:val="FFFFFF" w:themeColor="background1"/>
      <w:sz w:val="80"/>
    </w:rPr>
  </w:style>
  <w:style w:type="table" w:customStyle="1" w:styleId="Style1">
    <w:name w:val="Style1"/>
    <w:basedOn w:val="TableNormal"/>
    <w:uiPriority w:val="99"/>
    <w:rsid w:val="00362355"/>
    <w:pPr>
      <w:spacing w:after="0"/>
    </w:pPr>
    <w:rPr>
      <w:sz w:val="20"/>
    </w:rPr>
    <w:tblPr/>
  </w:style>
  <w:style w:type="table" w:styleId="GridTable7Colorful-Accent6">
    <w:name w:val="Grid Table 7 Colorful Accent 6"/>
    <w:basedOn w:val="TableNormal"/>
    <w:uiPriority w:val="52"/>
    <w:locked/>
    <w:rsid w:val="005971F3"/>
    <w:pPr>
      <w:spacing w:after="0"/>
    </w:pPr>
    <w:rPr>
      <w:color w:val="26A6DC" w:themeColor="accent6" w:themeShade="BF"/>
    </w:rPr>
    <w:tblPr>
      <w:tblStyleRowBandSize w:val="1"/>
      <w:tblStyleColBandSize w:val="1"/>
      <w:tblBorders>
        <w:top w:val="single" w:sz="4" w:space="0" w:color="A9DCF1" w:themeColor="accent6" w:themeTint="99"/>
        <w:left w:val="single" w:sz="4" w:space="0" w:color="A9DCF1" w:themeColor="accent6" w:themeTint="99"/>
        <w:bottom w:val="single" w:sz="4" w:space="0" w:color="A9DCF1" w:themeColor="accent6" w:themeTint="99"/>
        <w:right w:val="single" w:sz="4" w:space="0" w:color="A9DCF1" w:themeColor="accent6" w:themeTint="99"/>
        <w:insideH w:val="single" w:sz="4" w:space="0" w:color="A9DCF1" w:themeColor="accent6" w:themeTint="99"/>
        <w:insideV w:val="single" w:sz="4" w:space="0" w:color="A9DCF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3FA" w:themeFill="accent6" w:themeFillTint="33"/>
      </w:tcPr>
    </w:tblStylePr>
    <w:tblStylePr w:type="band1Horz">
      <w:tblPr/>
      <w:tcPr>
        <w:shd w:val="clear" w:color="auto" w:fill="E2F3FA" w:themeFill="accent6" w:themeFillTint="33"/>
      </w:tcPr>
    </w:tblStylePr>
    <w:tblStylePr w:type="neCell">
      <w:tblPr/>
      <w:tcPr>
        <w:tcBorders>
          <w:bottom w:val="single" w:sz="4" w:space="0" w:color="A9DCF1" w:themeColor="accent6" w:themeTint="99"/>
        </w:tcBorders>
      </w:tcPr>
    </w:tblStylePr>
    <w:tblStylePr w:type="nwCell">
      <w:tblPr/>
      <w:tcPr>
        <w:tcBorders>
          <w:bottom w:val="single" w:sz="4" w:space="0" w:color="A9DCF1" w:themeColor="accent6" w:themeTint="99"/>
        </w:tcBorders>
      </w:tcPr>
    </w:tblStylePr>
    <w:tblStylePr w:type="seCell">
      <w:tblPr/>
      <w:tcPr>
        <w:tcBorders>
          <w:top w:val="single" w:sz="4" w:space="0" w:color="A9DCF1" w:themeColor="accent6" w:themeTint="99"/>
        </w:tcBorders>
      </w:tcPr>
    </w:tblStylePr>
    <w:tblStylePr w:type="swCell">
      <w:tblPr/>
      <w:tcPr>
        <w:tcBorders>
          <w:top w:val="single" w:sz="4" w:space="0" w:color="A9DCF1" w:themeColor="accent6" w:themeTint="99"/>
        </w:tcBorders>
      </w:tcPr>
    </w:tblStylePr>
  </w:style>
  <w:style w:type="character" w:customStyle="1" w:styleId="LightCharacterDINOTLight">
    <w:name w:val="Light Character (DIN OT Light)"/>
    <w:basedOn w:val="DefaultParagraphFont"/>
    <w:uiPriority w:val="10"/>
    <w:qFormat/>
    <w:rsid w:val="00DB34F0"/>
    <w:rPr>
      <w:rFonts w:ascii="DIN OT Light" w:hAnsi="DIN OT Light"/>
    </w:rPr>
  </w:style>
  <w:style w:type="paragraph" w:customStyle="1" w:styleId="BULLET2">
    <w:name w:val="BULLET 2"/>
    <w:basedOn w:val="Normal"/>
    <w:qFormat/>
    <w:rsid w:val="00D0421D"/>
    <w:pPr>
      <w:numPr>
        <w:numId w:val="19"/>
      </w:numPr>
      <w:spacing w:before="120" w:after="120"/>
      <w:ind w:left="782" w:hanging="357"/>
      <w:jc w:val="both"/>
    </w:pPr>
    <w:rPr>
      <w:rFonts w:ascii="Arial" w:eastAsiaTheme="minorEastAsia" w:hAnsi="Arial"/>
      <w:color w:val="auto"/>
      <w:lang w:eastAsia="en-AU"/>
    </w:rPr>
  </w:style>
  <w:style w:type="paragraph" w:styleId="Revision">
    <w:name w:val="Revision"/>
    <w:hidden/>
    <w:uiPriority w:val="99"/>
    <w:semiHidden/>
    <w:rsid w:val="0045065E"/>
    <w:pPr>
      <w:spacing w:after="0"/>
    </w:pPr>
    <w:rPr>
      <w:rFonts w:ascii="DIN OT Light" w:hAnsi="DIN OT Light"/>
    </w:rPr>
  </w:style>
  <w:style w:type="paragraph" w:customStyle="1" w:styleId="APRANORMAL">
    <w:name w:val="APRA NORMAL"/>
    <w:basedOn w:val="Normal"/>
    <w:link w:val="APRANORMALChar"/>
    <w:qFormat/>
    <w:rsid w:val="005B77F3"/>
    <w:pPr>
      <w:tabs>
        <w:tab w:val="clear" w:pos="1492"/>
      </w:tabs>
    </w:pPr>
    <w:rPr>
      <w:rFonts w:cs="Times New Roman"/>
      <w:color w:val="auto"/>
      <w:lang w:val="en-GB"/>
    </w:rPr>
  </w:style>
  <w:style w:type="character" w:customStyle="1" w:styleId="APRANORMALChar">
    <w:name w:val="APRA NORMAL Char"/>
    <w:basedOn w:val="DefaultParagraphFont"/>
    <w:link w:val="APRANORMAL"/>
    <w:rsid w:val="005B77F3"/>
    <w:rPr>
      <w:rFonts w:ascii="DIN OT Light" w:hAnsi="DIN OT Light" w:cs="Times New Roman"/>
      <w:color w:val="auto"/>
      <w:lang w:val="en-GB"/>
    </w:rPr>
  </w:style>
  <w:style w:type="paragraph" w:customStyle="1" w:styleId="APRAHEADING5">
    <w:name w:val="APRA HEADING 5"/>
    <w:basedOn w:val="Normal"/>
    <w:link w:val="APRAHEADING5Char"/>
    <w:qFormat/>
    <w:rsid w:val="005B77F3"/>
    <w:pPr>
      <w:tabs>
        <w:tab w:val="clear" w:pos="1492"/>
      </w:tabs>
      <w:suppressAutoHyphens/>
      <w:autoSpaceDE w:val="0"/>
      <w:autoSpaceDN w:val="0"/>
      <w:adjustRightInd w:val="0"/>
      <w:spacing w:before="240" w:after="60" w:line="288" w:lineRule="auto"/>
      <w:textAlignment w:val="center"/>
    </w:pPr>
    <w:rPr>
      <w:rFonts w:ascii="DIN OT Medium" w:hAnsi="DIN OT Medium" w:cs="DIN Offc"/>
      <w:bCs/>
      <w:i/>
      <w:color w:val="auto"/>
      <w:lang w:val="en-GB"/>
    </w:rPr>
  </w:style>
  <w:style w:type="character" w:customStyle="1" w:styleId="APRAHEADING5Char">
    <w:name w:val="APRA HEADING 5 Char"/>
    <w:basedOn w:val="DefaultParagraphFont"/>
    <w:link w:val="APRAHEADING5"/>
    <w:rsid w:val="005B77F3"/>
    <w:rPr>
      <w:rFonts w:ascii="DIN OT Medium" w:hAnsi="DIN OT Medium" w:cs="DIN Offc"/>
      <w:bCs/>
      <w:i/>
      <w:color w:val="auto"/>
      <w:lang w:val="en-GB"/>
    </w:rPr>
  </w:style>
  <w:style w:type="paragraph" w:customStyle="1" w:styleId="Default">
    <w:name w:val="Default"/>
    <w:rsid w:val="004A285B"/>
    <w:pPr>
      <w:autoSpaceDE w:val="0"/>
      <w:autoSpaceDN w:val="0"/>
      <w:adjustRightInd w:val="0"/>
      <w:spacing w:after="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26317">
      <w:bodyDiv w:val="1"/>
      <w:marLeft w:val="0"/>
      <w:marRight w:val="0"/>
      <w:marTop w:val="0"/>
      <w:marBottom w:val="0"/>
      <w:divBdr>
        <w:top w:val="none" w:sz="0" w:space="0" w:color="auto"/>
        <w:left w:val="none" w:sz="0" w:space="0" w:color="auto"/>
        <w:bottom w:val="none" w:sz="0" w:space="0" w:color="auto"/>
        <w:right w:val="none" w:sz="0" w:space="0" w:color="auto"/>
      </w:divBdr>
      <w:divsChild>
        <w:div w:id="457799745">
          <w:marLeft w:val="0"/>
          <w:marRight w:val="0"/>
          <w:marTop w:val="0"/>
          <w:marBottom w:val="0"/>
          <w:divBdr>
            <w:top w:val="none" w:sz="0" w:space="0" w:color="auto"/>
            <w:left w:val="none" w:sz="0" w:space="0" w:color="auto"/>
            <w:bottom w:val="none" w:sz="0" w:space="0" w:color="auto"/>
            <w:right w:val="none" w:sz="0" w:space="0" w:color="auto"/>
          </w:divBdr>
          <w:divsChild>
            <w:div w:id="1234004646">
              <w:marLeft w:val="0"/>
              <w:marRight w:val="0"/>
              <w:marTop w:val="0"/>
              <w:marBottom w:val="0"/>
              <w:divBdr>
                <w:top w:val="none" w:sz="0" w:space="0" w:color="auto"/>
                <w:left w:val="none" w:sz="0" w:space="0" w:color="auto"/>
                <w:bottom w:val="none" w:sz="0" w:space="0" w:color="auto"/>
                <w:right w:val="none" w:sz="0" w:space="0" w:color="auto"/>
              </w:divBdr>
              <w:divsChild>
                <w:div w:id="489103177">
                  <w:marLeft w:val="0"/>
                  <w:marRight w:val="0"/>
                  <w:marTop w:val="0"/>
                  <w:marBottom w:val="0"/>
                  <w:divBdr>
                    <w:top w:val="none" w:sz="0" w:space="0" w:color="auto"/>
                    <w:left w:val="none" w:sz="0" w:space="0" w:color="auto"/>
                    <w:bottom w:val="none" w:sz="0" w:space="0" w:color="auto"/>
                    <w:right w:val="none" w:sz="0" w:space="0" w:color="auto"/>
                  </w:divBdr>
                  <w:divsChild>
                    <w:div w:id="398871204">
                      <w:marLeft w:val="0"/>
                      <w:marRight w:val="0"/>
                      <w:marTop w:val="0"/>
                      <w:marBottom w:val="0"/>
                      <w:divBdr>
                        <w:top w:val="none" w:sz="0" w:space="0" w:color="auto"/>
                        <w:left w:val="none" w:sz="0" w:space="0" w:color="auto"/>
                        <w:bottom w:val="none" w:sz="0" w:space="0" w:color="auto"/>
                        <w:right w:val="none" w:sz="0" w:space="0" w:color="auto"/>
                      </w:divBdr>
                      <w:divsChild>
                        <w:div w:id="578446470">
                          <w:marLeft w:val="0"/>
                          <w:marRight w:val="0"/>
                          <w:marTop w:val="0"/>
                          <w:marBottom w:val="0"/>
                          <w:divBdr>
                            <w:top w:val="none" w:sz="0" w:space="0" w:color="auto"/>
                            <w:left w:val="none" w:sz="0" w:space="0" w:color="auto"/>
                            <w:bottom w:val="none" w:sz="0" w:space="0" w:color="auto"/>
                            <w:right w:val="none" w:sz="0" w:space="0" w:color="auto"/>
                          </w:divBdr>
                          <w:divsChild>
                            <w:div w:id="1604339407">
                              <w:marLeft w:val="0"/>
                              <w:marRight w:val="0"/>
                              <w:marTop w:val="0"/>
                              <w:marBottom w:val="0"/>
                              <w:divBdr>
                                <w:top w:val="none" w:sz="0" w:space="0" w:color="auto"/>
                                <w:left w:val="none" w:sz="0" w:space="0" w:color="auto"/>
                                <w:bottom w:val="none" w:sz="0" w:space="0" w:color="auto"/>
                                <w:right w:val="none" w:sz="0" w:space="0" w:color="auto"/>
                              </w:divBdr>
                              <w:divsChild>
                                <w:div w:id="584609268">
                                  <w:marLeft w:val="0"/>
                                  <w:marRight w:val="0"/>
                                  <w:marTop w:val="0"/>
                                  <w:marBottom w:val="0"/>
                                  <w:divBdr>
                                    <w:top w:val="none" w:sz="0" w:space="0" w:color="auto"/>
                                    <w:left w:val="none" w:sz="0" w:space="0" w:color="auto"/>
                                    <w:bottom w:val="none" w:sz="0" w:space="0" w:color="auto"/>
                                    <w:right w:val="none" w:sz="0" w:space="0" w:color="auto"/>
                                  </w:divBdr>
                                  <w:divsChild>
                                    <w:div w:id="557203608">
                                      <w:marLeft w:val="0"/>
                                      <w:marRight w:val="0"/>
                                      <w:marTop w:val="0"/>
                                      <w:marBottom w:val="0"/>
                                      <w:divBdr>
                                        <w:top w:val="none" w:sz="0" w:space="0" w:color="auto"/>
                                        <w:left w:val="none" w:sz="0" w:space="0" w:color="auto"/>
                                        <w:bottom w:val="none" w:sz="0" w:space="0" w:color="auto"/>
                                        <w:right w:val="none" w:sz="0" w:space="0" w:color="auto"/>
                                      </w:divBdr>
                                      <w:divsChild>
                                        <w:div w:id="34209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348484176">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69494893">
      <w:bodyDiv w:val="1"/>
      <w:marLeft w:val="0"/>
      <w:marRight w:val="0"/>
      <w:marTop w:val="0"/>
      <w:marBottom w:val="0"/>
      <w:divBdr>
        <w:top w:val="none" w:sz="0" w:space="0" w:color="auto"/>
        <w:left w:val="none" w:sz="0" w:space="0" w:color="auto"/>
        <w:bottom w:val="none" w:sz="0" w:space="0" w:color="auto"/>
        <w:right w:val="none" w:sz="0" w:space="0" w:color="auto"/>
      </w:divBdr>
      <w:divsChild>
        <w:div w:id="1864434246">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3.0/au/" TargetMode="External"/><Relationship Id="rId13" Type="http://schemas.openxmlformats.org/officeDocument/2006/relationships/hyperlink" Target="https://rbm.obpr.gov.au/home.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Ipolicy@apra.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9256</Words>
  <Characters>52762</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2021-08-02T03:30:00Z</dcterms:created>
  <dcterms:modified xsi:type="dcterms:W3CDTF">2021-08-02T03:30:00Z</dcterms:modified>
  <cp:category/>
</cp:coreProperties>
</file>