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diagrams/data1.xml" ContentType="application/vnd.openxmlformats-officedocument.drawingml.diagramData+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8AD7B" w14:textId="77777777" w:rsidR="00C47C54" w:rsidRDefault="00C47C54" w:rsidP="00ED3CD3"/>
    <w:p w14:paraId="061441BF" w14:textId="34F6387B" w:rsidR="00C47C54" w:rsidRPr="00694C76" w:rsidRDefault="00B6214D" w:rsidP="00694C76">
      <w:pPr>
        <w:pStyle w:val="CoverLine"/>
      </w:pPr>
      <w:r w:rsidRPr="008A3584">
        <w:rPr>
          <w:noProof/>
          <w:lang w:eastAsia="en-AU"/>
        </w:rPr>
        <mc:AlternateContent>
          <mc:Choice Requires="wps">
            <w:drawing>
              <wp:anchor distT="0" distB="0" distL="114300" distR="114300" simplePos="0" relativeHeight="251658241" behindDoc="0" locked="0" layoutInCell="1" allowOverlap="1" wp14:anchorId="0C2492E3" wp14:editId="7223B37A">
                <wp:simplePos x="0" y="0"/>
                <wp:positionH relativeFrom="page">
                  <wp:posOffset>648335</wp:posOffset>
                </wp:positionH>
                <wp:positionV relativeFrom="paragraph">
                  <wp:posOffset>1223645</wp:posOffset>
                </wp:positionV>
                <wp:extent cx="2383200" cy="691200"/>
                <wp:effectExtent l="0" t="0" r="16510" b="13970"/>
                <wp:wrapNone/>
                <wp:docPr id="12" name="Rectangle 12" descr="Background shape" title="Background shape"/>
                <wp:cNvGraphicFramePr/>
                <a:graphic xmlns:a="http://schemas.openxmlformats.org/drawingml/2006/main">
                  <a:graphicData uri="http://schemas.microsoft.com/office/word/2010/wordprocessingShape">
                    <wps:wsp>
                      <wps:cNvSpPr/>
                      <wps:spPr>
                        <a:xfrm>
                          <a:off x="0" y="0"/>
                          <a:ext cx="2383200" cy="691200"/>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F62B97" w14:textId="3E3CCD56" w:rsidR="00FD6D8D" w:rsidRPr="00694C76" w:rsidRDefault="00B05E4A" w:rsidP="00B6214D">
                            <w:pPr>
                              <w:pStyle w:val="Title"/>
                            </w:pPr>
                            <w:r>
                              <w:t>INFORMATION PAPER</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0C2492E3" id="Rectangle 12" o:spid="_x0000_s1026" alt="Title: Background shape - Description: Background shape" style="position:absolute;left:0;text-align:left;margin-left:51.05pt;margin-top:96.35pt;width:187.65pt;height:54.45pt;z-index:251658241;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" filled="f" stroked="f" strokeweight=".25pt">
                <v:textbox style="mso-fit-shape-to-text:t" inset="0,0,0,0">
                  <w:txbxContent>
                    <w:p w14:paraId="4BF62B97" w14:textId="3E3CCD56" w:rsidR="00FD6D8D" w:rsidRPr="00694C76" w:rsidRDefault="00B05E4A" w:rsidP="00B6214D">
                      <w:pPr>
                        <w:pStyle w:val="Title"/>
                      </w:pPr>
                      <w:r>
                        <w:t>INFORMATION PAPER</w:t>
                      </w:r>
                    </w:p>
                  </w:txbxContent>
                </v:textbox>
                <w10:wrap anchorx="page"/>
              </v:rect>
            </w:pict>
          </mc:Fallback>
        </mc:AlternateContent>
      </w:r>
      <w:r w:rsidR="00B05E4A">
        <w:t>INFORMATION PAPER</w:t>
      </w:r>
      <w:r w:rsidR="00FE110C" w:rsidRPr="008A3584">
        <w:rPr>
          <w:noProof/>
          <w:lang w:eastAsia="en-AU"/>
        </w:rPr>
        <mc:AlternateContent>
          <mc:Choice Requires="wps">
            <w:drawing>
              <wp:anchor distT="0" distB="0" distL="114300" distR="114300" simplePos="0" relativeHeight="251658240" behindDoc="1" locked="0" layoutInCell="1" allowOverlap="1" wp14:anchorId="5EA9452E" wp14:editId="1ECFEB47">
                <wp:simplePos x="0" y="0"/>
                <wp:positionH relativeFrom="margin">
                  <wp:posOffset>-914400</wp:posOffset>
                </wp:positionH>
                <wp:positionV relativeFrom="margin">
                  <wp:posOffset>1019175</wp:posOffset>
                </wp:positionV>
                <wp:extent cx="6674400" cy="3045600"/>
                <wp:effectExtent l="0" t="0" r="0" b="3175"/>
                <wp:wrapNone/>
                <wp:docPr id="6" name="Rectangle 6" descr="Background shape" title="Background shape"/>
                <wp:cNvGraphicFramePr/>
                <a:graphic xmlns:a="http://schemas.openxmlformats.org/drawingml/2006/main">
                  <a:graphicData uri="http://schemas.microsoft.com/office/word/2010/wordprocessingShape">
                    <wps:wsp>
                      <wps:cNvSpPr/>
                      <wps:spPr>
                        <a:xfrm>
                          <a:off x="0" y="0"/>
                          <a:ext cx="6674400" cy="3045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027547" w14:textId="3606A93D" w:rsidR="00FD6D8D" w:rsidRDefault="00FD6D8D" w:rsidP="00FE110C">
                            <w:pPr>
                              <w:pStyle w:val="PaperTitle"/>
                            </w:pPr>
                            <w:r>
                              <w:t>Post-</w:t>
                            </w:r>
                            <w:r w:rsidR="00BF16B6">
                              <w:t>i</w:t>
                            </w:r>
                            <w:r>
                              <w:t xml:space="preserve">mplementation </w:t>
                            </w:r>
                            <w:r w:rsidR="00BF16B6">
                              <w:t xml:space="preserve">review </w:t>
                            </w:r>
                            <w:r>
                              <w:t xml:space="preserve">of the Basel III </w:t>
                            </w:r>
                            <w:r w:rsidR="00BF16B6">
                              <w:t>l</w:t>
                            </w:r>
                            <w:r>
                              <w:t xml:space="preserve">iquidity </w:t>
                            </w:r>
                            <w:r w:rsidR="00BF16B6">
                              <w:t>r</w:t>
                            </w:r>
                            <w:r>
                              <w:t>eforms</w:t>
                            </w:r>
                          </w:p>
                          <w:p w14:paraId="2359EF46" w14:textId="4337B014" w:rsidR="00FD6D8D" w:rsidRPr="00FE110C" w:rsidRDefault="00FD6D8D" w:rsidP="00FE110C">
                            <w:pPr>
                              <w:pStyle w:val="CoverDate"/>
                            </w:pPr>
                            <w:r w:rsidRPr="00201532">
                              <w:t>June 2022</w:t>
                            </w:r>
                          </w:p>
                        </w:txbxContent>
                      </wps:txbx>
                      <wps:bodyPr rot="0" spcFirstLastPara="0" vertOverflow="overflow" horzOverflow="overflow" vert="horz" wrap="square" lIns="648000" tIns="45720" rIns="288000" bIns="3600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5EA9452E" id="Rectangle 6" o:spid="_x0000_s1027" alt="Title: Background shape - Description: Background shape" style="position:absolute;left:0;text-align:left;margin-left:-1in;margin-top:80.25pt;width:525.55pt;height:239.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" fillcolor="white [3212]" stroked="f" strokeweight="2pt">
                <v:textbox style="mso-fit-shape-to-text:t" inset="18mm,,8mm,10mm">
                  <w:txbxContent>
                    <w:p w14:paraId="32027547" w14:textId="3606A93D" w:rsidR="00FD6D8D" w:rsidRDefault="00FD6D8D" w:rsidP="00FE110C">
                      <w:pPr>
                        <w:pStyle w:val="PaperTitle"/>
                      </w:pPr>
                      <w:r>
                        <w:t>Post-</w:t>
                      </w:r>
                      <w:r w:rsidR="00BF16B6">
                        <w:t>i</w:t>
                      </w:r>
                      <w:r>
                        <w:t xml:space="preserve">mplementation </w:t>
                      </w:r>
                      <w:r w:rsidR="00BF16B6">
                        <w:t xml:space="preserve">review </w:t>
                      </w:r>
                      <w:r>
                        <w:t xml:space="preserve">of the Basel III </w:t>
                      </w:r>
                      <w:r w:rsidR="00BF16B6">
                        <w:t>l</w:t>
                      </w:r>
                      <w:r>
                        <w:t xml:space="preserve">iquidity </w:t>
                      </w:r>
                      <w:r w:rsidR="00BF16B6">
                        <w:t>r</w:t>
                      </w:r>
                      <w:r>
                        <w:t>eforms</w:t>
                      </w:r>
                    </w:p>
                    <w:p w14:paraId="2359EF46" w14:textId="4337B014" w:rsidR="00FD6D8D" w:rsidRPr="00FE110C" w:rsidRDefault="00FD6D8D" w:rsidP="00FE110C">
                      <w:pPr>
                        <w:pStyle w:val="CoverDate"/>
                      </w:pPr>
                      <w:r w:rsidRPr="00201532">
                        <w:t>June 2022</w:t>
                      </w:r>
                    </w:p>
                  </w:txbxContent>
                </v:textbox>
                <w10:wrap anchorx="margin" anchory="margin"/>
              </v:rect>
            </w:pict>
          </mc:Fallback>
        </mc:AlternateContent>
      </w:r>
    </w:p>
    <w:p w14:paraId="522AFA34" w14:textId="48C85A87" w:rsidR="003B51A4" w:rsidRDefault="003B51A4" w:rsidP="00C47C54">
      <w:r>
        <w:br w:type="page"/>
      </w:r>
    </w:p>
    <w:p w14:paraId="55CD711C" w14:textId="77777777" w:rsidR="003B51A4" w:rsidRPr="003B51A4" w:rsidRDefault="003B51A4" w:rsidP="00460E6B">
      <w:pPr>
        <w:pStyle w:val="DisclaimerHeading"/>
        <w:framePr w:wrap="around"/>
      </w:pPr>
      <w:r w:rsidRPr="008F1B07">
        <w:lastRenderedPageBreak/>
        <w:t>Disclaimer Text</w:t>
      </w:r>
    </w:p>
    <w:p w14:paraId="45791F4E" w14:textId="77777777" w:rsidR="009A4242" w:rsidRDefault="009A4242" w:rsidP="009A4242">
      <w:pPr>
        <w:pStyle w:val="DisclaimerText"/>
        <w:framePr w:wrap="around"/>
      </w:pPr>
      <w:r>
        <w:t>While APRA endeavours to ensure the quality of this publication, it does not accept any responsibility for the accuracy, completeness or currency of the material included in this publication and will not be liable for any loss or damage arising out of any use of, or reliance on, this publication.</w:t>
      </w:r>
    </w:p>
    <w:p w14:paraId="52B2CEE6" w14:textId="77777777" w:rsidR="009A4242" w:rsidRPr="009A4242" w:rsidRDefault="009A4242" w:rsidP="009A4242">
      <w:pPr>
        <w:pStyle w:val="DisclaimerText"/>
        <w:framePr w:wrap="around"/>
        <w:rPr>
          <w:b/>
        </w:rPr>
      </w:pPr>
      <w:r w:rsidRPr="009A4242">
        <w:rPr>
          <w:b/>
        </w:rPr>
        <w:t>© Australian Prudential Regulation Authority (APRA)</w:t>
      </w:r>
    </w:p>
    <w:p w14:paraId="30B8260C" w14:textId="77777777" w:rsidR="009A4242" w:rsidRDefault="009A4242" w:rsidP="009A4242">
      <w:pPr>
        <w:pStyle w:val="DisclaimerText"/>
        <w:framePr w:wrap="around"/>
      </w:pPr>
      <w:r>
        <w:t xml:space="preserve">This work is licensed under the Creative Commons Attribution 3.0 Australia Licence (CCBY 3.0). This licence allows you to copy, distribute and adapt this work, provided you attribute the work and do not suggest that APRA endorses you or your work. To view a full copy of the terms of this licence, visit </w:t>
      </w:r>
      <w:hyperlink r:id="rId9" w:history="1">
        <w:r w:rsidRPr="00A43B0B">
          <w:rPr>
            <w:rStyle w:val="Hyperlink"/>
            <w:color w:val="000000" w:themeColor="text1"/>
          </w:rPr>
          <w:t>https://creativecommons.org/licenses/by/3.0/au/</w:t>
        </w:r>
      </w:hyperlink>
    </w:p>
    <w:p w14:paraId="239861B1" w14:textId="77777777" w:rsidR="003B51A4" w:rsidRDefault="003B51A4" w:rsidP="003B51A4">
      <w:pPr>
        <w:numPr>
          <w:ilvl w:val="0"/>
          <w:numId w:val="0"/>
        </w:numPr>
        <w:rPr>
          <w:rFonts w:ascii="DIN Offc Medium" w:eastAsiaTheme="majorEastAsia" w:hAnsi="DIN Offc Medium" w:cstheme="majorBidi"/>
          <w:color w:val="012169" w:themeColor="text2"/>
          <w:sz w:val="90"/>
          <w:szCs w:val="52"/>
        </w:rPr>
      </w:pPr>
      <w:r>
        <w:br w:type="page"/>
      </w:r>
    </w:p>
    <w:p w14:paraId="27E89A25" w14:textId="3447C815" w:rsidR="002554CC" w:rsidRPr="002554CC" w:rsidRDefault="002554CC" w:rsidP="002B21FF">
      <w:pPr>
        <w:pStyle w:val="TOCHeading"/>
        <w:pBdr>
          <w:bottom w:val="single" w:sz="4" w:space="5" w:color="BFBFBF" w:themeColor="background1" w:themeShade="BF"/>
        </w:pBdr>
      </w:pPr>
      <w:r w:rsidRPr="002554CC">
        <w:t>Contents</w:t>
      </w:r>
    </w:p>
    <w:bookmarkStart w:id="0" w:name="_Toc530740544"/>
    <w:bookmarkStart w:id="1" w:name="_Toc530746931"/>
    <w:bookmarkStart w:id="2" w:name="_Toc856303"/>
    <w:p w14:paraId="7168D325" w14:textId="7352C3DB" w:rsidR="004760F7" w:rsidRDefault="002554CC">
      <w:pPr>
        <w:pStyle w:val="TOC1"/>
        <w:rPr>
          <w:rFonts w:asciiTheme="minorHAnsi" w:eastAsiaTheme="minorEastAsia" w:hAnsiTheme="minorHAnsi"/>
          <w:noProof/>
          <w:color w:val="auto"/>
          <w:lang w:eastAsia="en-AU"/>
        </w:rPr>
      </w:pPr>
      <w:r w:rsidRPr="002554CC">
        <w:rPr>
          <w:b/>
          <w:noProof/>
          <w:lang w:val="en-US"/>
        </w:rPr>
        <w:fldChar w:fldCharType="begin"/>
      </w:r>
      <w:r w:rsidRPr="002554CC">
        <w:rPr>
          <w:b/>
          <w:noProof/>
          <w:lang w:val="en-US"/>
        </w:rPr>
        <w:instrText xml:space="preserve"> TOC \o "1-2" \h \z \u </w:instrText>
      </w:r>
      <w:r w:rsidRPr="002554CC">
        <w:rPr>
          <w:b/>
          <w:noProof/>
          <w:lang w:val="en-US"/>
        </w:rPr>
        <w:fldChar w:fldCharType="separate"/>
      </w:r>
      <w:hyperlink w:anchor="_Toc103791287" w:history="1">
        <w:r w:rsidR="004760F7" w:rsidRPr="00ED6882">
          <w:rPr>
            <w:rStyle w:val="Hyperlink"/>
            <w:noProof/>
            <w:lang w:val="en-US"/>
          </w:rPr>
          <w:t>Executive summary</w:t>
        </w:r>
        <w:r w:rsidR="004760F7">
          <w:rPr>
            <w:noProof/>
            <w:webHidden/>
          </w:rPr>
          <w:tab/>
        </w:r>
        <w:r w:rsidR="004760F7">
          <w:rPr>
            <w:noProof/>
            <w:webHidden/>
          </w:rPr>
          <w:fldChar w:fldCharType="begin"/>
        </w:r>
        <w:r w:rsidR="004760F7">
          <w:rPr>
            <w:noProof/>
            <w:webHidden/>
          </w:rPr>
          <w:instrText xml:space="preserve"> PAGEREF _Toc103791287 \h </w:instrText>
        </w:r>
        <w:r w:rsidR="004760F7">
          <w:rPr>
            <w:noProof/>
            <w:webHidden/>
          </w:rPr>
        </w:r>
        <w:r w:rsidR="004760F7">
          <w:rPr>
            <w:noProof/>
            <w:webHidden/>
          </w:rPr>
          <w:fldChar w:fldCharType="separate"/>
        </w:r>
        <w:r w:rsidR="004760F7">
          <w:rPr>
            <w:noProof/>
            <w:webHidden/>
          </w:rPr>
          <w:t>4</w:t>
        </w:r>
        <w:r w:rsidR="004760F7">
          <w:rPr>
            <w:noProof/>
            <w:webHidden/>
          </w:rPr>
          <w:fldChar w:fldCharType="end"/>
        </w:r>
      </w:hyperlink>
    </w:p>
    <w:p w14:paraId="5D7921C9" w14:textId="261A5FFA" w:rsidR="004760F7" w:rsidRDefault="00192F65">
      <w:pPr>
        <w:pStyle w:val="TOC1"/>
        <w:rPr>
          <w:rFonts w:asciiTheme="minorHAnsi" w:eastAsiaTheme="minorEastAsia" w:hAnsiTheme="minorHAnsi"/>
          <w:noProof/>
          <w:color w:val="auto"/>
          <w:lang w:eastAsia="en-AU"/>
        </w:rPr>
      </w:pPr>
      <w:hyperlink w:anchor="_Toc103791288" w:history="1">
        <w:r w:rsidR="004760F7" w:rsidRPr="00ED6882">
          <w:rPr>
            <w:rStyle w:val="Hyperlink"/>
            <w:noProof/>
          </w:rPr>
          <w:t>Chapter 1 - Background</w:t>
        </w:r>
        <w:r w:rsidR="004760F7">
          <w:rPr>
            <w:noProof/>
            <w:webHidden/>
          </w:rPr>
          <w:tab/>
        </w:r>
        <w:r w:rsidR="004760F7">
          <w:rPr>
            <w:noProof/>
            <w:webHidden/>
          </w:rPr>
          <w:fldChar w:fldCharType="begin"/>
        </w:r>
        <w:r w:rsidR="004760F7">
          <w:rPr>
            <w:noProof/>
            <w:webHidden/>
          </w:rPr>
          <w:instrText xml:space="preserve"> PAGEREF _Toc103791288 \h </w:instrText>
        </w:r>
        <w:r w:rsidR="004760F7">
          <w:rPr>
            <w:noProof/>
            <w:webHidden/>
          </w:rPr>
        </w:r>
        <w:r w:rsidR="004760F7">
          <w:rPr>
            <w:noProof/>
            <w:webHidden/>
          </w:rPr>
          <w:fldChar w:fldCharType="separate"/>
        </w:r>
        <w:r w:rsidR="004760F7">
          <w:rPr>
            <w:noProof/>
            <w:webHidden/>
          </w:rPr>
          <w:t>6</w:t>
        </w:r>
        <w:r w:rsidR="004760F7">
          <w:rPr>
            <w:noProof/>
            <w:webHidden/>
          </w:rPr>
          <w:fldChar w:fldCharType="end"/>
        </w:r>
      </w:hyperlink>
    </w:p>
    <w:p w14:paraId="060260CA" w14:textId="463D6ED8" w:rsidR="004760F7" w:rsidRDefault="00192F65">
      <w:pPr>
        <w:pStyle w:val="TOC1"/>
        <w:rPr>
          <w:rFonts w:asciiTheme="minorHAnsi" w:eastAsiaTheme="minorEastAsia" w:hAnsiTheme="minorHAnsi"/>
          <w:noProof/>
          <w:color w:val="auto"/>
          <w:lang w:eastAsia="en-AU"/>
        </w:rPr>
      </w:pPr>
      <w:hyperlink w:anchor="_Toc103791292" w:history="1">
        <w:r w:rsidR="004760F7" w:rsidRPr="00ED6882">
          <w:rPr>
            <w:rStyle w:val="Hyperlink"/>
            <w:noProof/>
          </w:rPr>
          <w:t>Chapter 2 - Impact of the reforms</w:t>
        </w:r>
        <w:r w:rsidR="004760F7">
          <w:rPr>
            <w:noProof/>
            <w:webHidden/>
          </w:rPr>
          <w:tab/>
        </w:r>
        <w:r w:rsidR="002C42D2">
          <w:rPr>
            <w:noProof/>
            <w:webHidden/>
          </w:rPr>
          <w:t>10</w:t>
        </w:r>
      </w:hyperlink>
    </w:p>
    <w:p w14:paraId="5AC2FBBD" w14:textId="10C1626D" w:rsidR="004760F7" w:rsidRDefault="00192F65">
      <w:pPr>
        <w:pStyle w:val="TOC1"/>
        <w:rPr>
          <w:rFonts w:asciiTheme="minorHAnsi" w:eastAsiaTheme="minorEastAsia" w:hAnsiTheme="minorHAnsi"/>
          <w:noProof/>
          <w:color w:val="auto"/>
          <w:lang w:eastAsia="en-AU"/>
        </w:rPr>
      </w:pPr>
      <w:hyperlink w:anchor="_Toc103791297" w:history="1">
        <w:r w:rsidR="004760F7" w:rsidRPr="00ED6882">
          <w:rPr>
            <w:rStyle w:val="Hyperlink"/>
            <w:noProof/>
          </w:rPr>
          <w:t>Chapter 3 – Looking forward</w:t>
        </w:r>
        <w:r w:rsidR="004760F7">
          <w:rPr>
            <w:noProof/>
            <w:webHidden/>
          </w:rPr>
          <w:tab/>
        </w:r>
        <w:r w:rsidR="004760F7">
          <w:rPr>
            <w:noProof/>
            <w:webHidden/>
          </w:rPr>
          <w:fldChar w:fldCharType="begin"/>
        </w:r>
        <w:r w:rsidR="004760F7">
          <w:rPr>
            <w:noProof/>
            <w:webHidden/>
          </w:rPr>
          <w:instrText xml:space="preserve"> PAGEREF _Toc103791297 \h </w:instrText>
        </w:r>
        <w:r w:rsidR="004760F7">
          <w:rPr>
            <w:noProof/>
            <w:webHidden/>
          </w:rPr>
        </w:r>
        <w:r w:rsidR="004760F7">
          <w:rPr>
            <w:noProof/>
            <w:webHidden/>
          </w:rPr>
          <w:fldChar w:fldCharType="separate"/>
        </w:r>
        <w:r w:rsidR="004760F7">
          <w:rPr>
            <w:noProof/>
            <w:webHidden/>
          </w:rPr>
          <w:t>1</w:t>
        </w:r>
        <w:r w:rsidR="002C42D2">
          <w:rPr>
            <w:noProof/>
            <w:webHidden/>
          </w:rPr>
          <w:t>8</w:t>
        </w:r>
        <w:r w:rsidR="004760F7">
          <w:rPr>
            <w:noProof/>
            <w:webHidden/>
          </w:rPr>
          <w:fldChar w:fldCharType="end"/>
        </w:r>
      </w:hyperlink>
    </w:p>
    <w:p w14:paraId="556F326A" w14:textId="51887751" w:rsidR="004760F7" w:rsidRDefault="00192F65">
      <w:pPr>
        <w:pStyle w:val="TOC1"/>
        <w:rPr>
          <w:rFonts w:asciiTheme="minorHAnsi" w:eastAsiaTheme="minorEastAsia" w:hAnsiTheme="minorHAnsi"/>
          <w:noProof/>
          <w:color w:val="auto"/>
          <w:lang w:eastAsia="en-AU"/>
        </w:rPr>
      </w:pPr>
      <w:hyperlink w:anchor="_Toc103791302" w:history="1">
        <w:r w:rsidR="004760F7" w:rsidRPr="00ED6882">
          <w:rPr>
            <w:rStyle w:val="Hyperlink"/>
            <w:noProof/>
          </w:rPr>
          <w:t xml:space="preserve">Annex A - Policy options considered </w:t>
        </w:r>
        <w:r w:rsidR="004760F7">
          <w:rPr>
            <w:noProof/>
            <w:webHidden/>
          </w:rPr>
          <w:tab/>
        </w:r>
        <w:r w:rsidR="002C42D2">
          <w:rPr>
            <w:noProof/>
            <w:webHidden/>
          </w:rPr>
          <w:t>21</w:t>
        </w:r>
      </w:hyperlink>
    </w:p>
    <w:p w14:paraId="25EDFAF4" w14:textId="133AB7D9" w:rsidR="004760F7" w:rsidRDefault="00192F65">
      <w:pPr>
        <w:pStyle w:val="TOC1"/>
        <w:rPr>
          <w:rFonts w:asciiTheme="minorHAnsi" w:eastAsiaTheme="minorEastAsia" w:hAnsiTheme="minorHAnsi"/>
          <w:noProof/>
          <w:color w:val="auto"/>
          <w:lang w:eastAsia="en-AU"/>
        </w:rPr>
      </w:pPr>
      <w:hyperlink w:anchor="_Toc103791303" w:history="1">
        <w:r w:rsidR="004760F7" w:rsidRPr="00ED6882">
          <w:rPr>
            <w:rStyle w:val="Hyperlink"/>
            <w:noProof/>
          </w:rPr>
          <w:t xml:space="preserve">Annex B - Regulatory costing analysis </w:t>
        </w:r>
        <w:r w:rsidR="004760F7">
          <w:rPr>
            <w:noProof/>
            <w:webHidden/>
          </w:rPr>
          <w:tab/>
        </w:r>
        <w:r w:rsidR="004760F7">
          <w:rPr>
            <w:noProof/>
            <w:webHidden/>
          </w:rPr>
          <w:fldChar w:fldCharType="begin"/>
        </w:r>
        <w:r w:rsidR="004760F7">
          <w:rPr>
            <w:noProof/>
            <w:webHidden/>
          </w:rPr>
          <w:instrText xml:space="preserve"> PAGEREF _Toc103791303 \h </w:instrText>
        </w:r>
        <w:r w:rsidR="004760F7">
          <w:rPr>
            <w:noProof/>
            <w:webHidden/>
          </w:rPr>
        </w:r>
        <w:r w:rsidR="004760F7">
          <w:rPr>
            <w:noProof/>
            <w:webHidden/>
          </w:rPr>
          <w:fldChar w:fldCharType="separate"/>
        </w:r>
        <w:r w:rsidR="004760F7">
          <w:rPr>
            <w:noProof/>
            <w:webHidden/>
          </w:rPr>
          <w:t>2</w:t>
        </w:r>
        <w:r w:rsidR="002C42D2">
          <w:rPr>
            <w:noProof/>
            <w:webHidden/>
          </w:rPr>
          <w:t>2</w:t>
        </w:r>
        <w:r w:rsidR="004760F7">
          <w:rPr>
            <w:noProof/>
            <w:webHidden/>
          </w:rPr>
          <w:fldChar w:fldCharType="end"/>
        </w:r>
      </w:hyperlink>
    </w:p>
    <w:p w14:paraId="35C13271" w14:textId="2D947DA8" w:rsidR="004760F7" w:rsidRDefault="00192F65">
      <w:pPr>
        <w:pStyle w:val="TOC1"/>
        <w:rPr>
          <w:rFonts w:asciiTheme="minorHAnsi" w:eastAsiaTheme="minorEastAsia" w:hAnsiTheme="minorHAnsi"/>
          <w:noProof/>
          <w:color w:val="auto"/>
          <w:lang w:eastAsia="en-AU"/>
        </w:rPr>
      </w:pPr>
      <w:hyperlink w:anchor="_Toc103791304" w:history="1">
        <w:r w:rsidR="004760F7" w:rsidRPr="00ED6882">
          <w:rPr>
            <w:rStyle w:val="Hyperlink"/>
            <w:noProof/>
          </w:rPr>
          <w:t>Annex C - Technical areas for review</w:t>
        </w:r>
        <w:r w:rsidR="004760F7">
          <w:rPr>
            <w:noProof/>
            <w:webHidden/>
          </w:rPr>
          <w:tab/>
        </w:r>
        <w:r w:rsidR="004760F7">
          <w:rPr>
            <w:noProof/>
            <w:webHidden/>
          </w:rPr>
          <w:fldChar w:fldCharType="begin"/>
        </w:r>
        <w:r w:rsidR="004760F7">
          <w:rPr>
            <w:noProof/>
            <w:webHidden/>
          </w:rPr>
          <w:instrText xml:space="preserve"> PAGEREF _Toc103791304 \h </w:instrText>
        </w:r>
        <w:r w:rsidR="004760F7">
          <w:rPr>
            <w:noProof/>
            <w:webHidden/>
          </w:rPr>
        </w:r>
        <w:r w:rsidR="004760F7">
          <w:rPr>
            <w:noProof/>
            <w:webHidden/>
          </w:rPr>
          <w:fldChar w:fldCharType="separate"/>
        </w:r>
        <w:r w:rsidR="004760F7">
          <w:rPr>
            <w:noProof/>
            <w:webHidden/>
          </w:rPr>
          <w:t>2</w:t>
        </w:r>
        <w:r w:rsidR="002C42D2">
          <w:rPr>
            <w:noProof/>
            <w:webHidden/>
          </w:rPr>
          <w:t>3</w:t>
        </w:r>
        <w:r w:rsidR="004760F7">
          <w:rPr>
            <w:noProof/>
            <w:webHidden/>
          </w:rPr>
          <w:fldChar w:fldCharType="end"/>
        </w:r>
      </w:hyperlink>
    </w:p>
    <w:p w14:paraId="718F0281" w14:textId="4FB8DDAF" w:rsidR="002554CC" w:rsidRPr="002554CC" w:rsidRDefault="002554CC" w:rsidP="002554CC">
      <w:pPr>
        <w:pStyle w:val="Heading1"/>
      </w:pPr>
      <w:r w:rsidRPr="002554CC">
        <w:rPr>
          <w:rFonts w:eastAsiaTheme="minorHAnsi" w:cstheme="minorBidi"/>
          <w:b/>
          <w:noProof/>
          <w:sz w:val="22"/>
          <w:szCs w:val="22"/>
          <w:lang w:val="en-US"/>
        </w:rPr>
        <w:fldChar w:fldCharType="end"/>
      </w:r>
      <w:bookmarkStart w:id="3" w:name="_Toc103791287"/>
      <w:bookmarkStart w:id="4" w:name="_Hlk103241736"/>
      <w:bookmarkEnd w:id="0"/>
      <w:bookmarkEnd w:id="1"/>
      <w:bookmarkEnd w:id="2"/>
      <w:r w:rsidR="00E57E2B">
        <w:rPr>
          <w:noProof/>
          <w:lang w:val="en-US"/>
        </w:rPr>
        <w:t xml:space="preserve">Executive </w:t>
      </w:r>
      <w:r w:rsidR="001B6EA3">
        <w:rPr>
          <w:noProof/>
          <w:lang w:val="en-US"/>
        </w:rPr>
        <w:t>summary</w:t>
      </w:r>
      <w:bookmarkEnd w:id="3"/>
    </w:p>
    <w:p w14:paraId="63641CFD" w14:textId="2453ADEF" w:rsidR="00667B2F" w:rsidRPr="00B10C9D" w:rsidRDefault="00A8105A" w:rsidP="00AC3529">
      <w:pPr>
        <w:rPr>
          <w:highlight w:val="yellow"/>
        </w:rPr>
      </w:pPr>
      <w:r>
        <w:t xml:space="preserve">In March 2022, APRA initiated a post-implementation review </w:t>
      </w:r>
      <w:r w:rsidR="00DC6C82">
        <w:t xml:space="preserve">(PIR) </w:t>
      </w:r>
      <w:r>
        <w:t xml:space="preserve">of the Basel III liquidity </w:t>
      </w:r>
      <w:r w:rsidR="003B3560">
        <w:t>reforms</w:t>
      </w:r>
      <w:r>
        <w:t xml:space="preserve"> in Australia. </w:t>
      </w:r>
      <w:r w:rsidR="002202E7">
        <w:t>The key findings and next steps of the PIR are set out below.</w:t>
      </w:r>
    </w:p>
    <w:p w14:paraId="758A242C" w14:textId="1F60DA99" w:rsidR="00A8105A" w:rsidRPr="00183198" w:rsidRDefault="00F3210E" w:rsidP="00AC3529">
      <w:pPr>
        <w:rPr>
          <w:highlight w:val="yellow"/>
        </w:rPr>
      </w:pPr>
      <w:r>
        <w:t xml:space="preserve">On the basis of the feedback and analysis in the PIR, </w:t>
      </w:r>
      <w:r w:rsidR="00D03365">
        <w:t>APRA’s overall assessment is</w:t>
      </w:r>
      <w:bookmarkStart w:id="5" w:name="_Hlk104382100"/>
      <w:r w:rsidR="00314FC9">
        <w:t xml:space="preserve"> </w:t>
      </w:r>
      <w:r w:rsidR="004C00FE">
        <w:t xml:space="preserve">that the reforms </w:t>
      </w:r>
      <w:r w:rsidR="009972F1">
        <w:t xml:space="preserve">have been effective in </w:t>
      </w:r>
      <w:r w:rsidR="004C00FE">
        <w:t xml:space="preserve">strengthening liquidity </w:t>
      </w:r>
      <w:r w:rsidR="009972F1">
        <w:t xml:space="preserve">risk </w:t>
      </w:r>
      <w:r w:rsidR="004C00FE">
        <w:t xml:space="preserve">management </w:t>
      </w:r>
      <w:r>
        <w:t xml:space="preserve">and the </w:t>
      </w:r>
      <w:r w:rsidR="00667B2F">
        <w:t xml:space="preserve">financial </w:t>
      </w:r>
      <w:r>
        <w:t xml:space="preserve">resilience </w:t>
      </w:r>
      <w:r w:rsidR="004C00FE">
        <w:t>of the banking system</w:t>
      </w:r>
      <w:r w:rsidR="005B189E">
        <w:t xml:space="preserve">, </w:t>
      </w:r>
      <w:r w:rsidR="003C58CF">
        <w:t>and</w:t>
      </w:r>
      <w:r w:rsidR="007349C2">
        <w:t xml:space="preserve"> the benefits </w:t>
      </w:r>
      <w:r w:rsidR="009972F1">
        <w:t xml:space="preserve">of </w:t>
      </w:r>
      <w:r>
        <w:t xml:space="preserve">regulation have </w:t>
      </w:r>
      <w:r w:rsidR="001F7B03">
        <w:t xml:space="preserve">significantly </w:t>
      </w:r>
      <w:r w:rsidR="009F6ABB">
        <w:t>outweigh</w:t>
      </w:r>
      <w:r>
        <w:t>ed</w:t>
      </w:r>
      <w:r w:rsidR="007349C2">
        <w:t xml:space="preserve"> the associated costs. </w:t>
      </w:r>
      <w:bookmarkEnd w:id="5"/>
      <w:r>
        <w:t>T</w:t>
      </w:r>
      <w:r w:rsidR="001F7B03">
        <w:t>here remain</w:t>
      </w:r>
      <w:r>
        <w:t>, however,</w:t>
      </w:r>
      <w:r w:rsidR="001F7B03">
        <w:t xml:space="preserve"> some potential opportunities to improve the efficiency of the </w:t>
      </w:r>
      <w:r>
        <w:t xml:space="preserve">prudential </w:t>
      </w:r>
      <w:r w:rsidR="00201532">
        <w:t>framework</w:t>
      </w:r>
      <w:r>
        <w:t>, which APRA will review next year</w:t>
      </w:r>
      <w:r w:rsidR="001F7B03">
        <w:t>.</w:t>
      </w:r>
    </w:p>
    <w:p w14:paraId="40C52197" w14:textId="70AE8983" w:rsidR="00A3683B" w:rsidRPr="00A3683B" w:rsidRDefault="009922CF" w:rsidP="00A3683B">
      <w:pPr>
        <w:pStyle w:val="Heading3"/>
      </w:pPr>
      <w:r>
        <w:t xml:space="preserve">Background: </w:t>
      </w:r>
      <w:r w:rsidR="00A3683B">
        <w:t>Basel III reforms</w:t>
      </w:r>
    </w:p>
    <w:p w14:paraId="0A976D7C" w14:textId="4A6AC821" w:rsidR="00A3683B" w:rsidRPr="00A3683B" w:rsidRDefault="003B3560" w:rsidP="00A3683B">
      <w:r>
        <w:t>In response to learnings from the global financial crisis (GFC), t</w:t>
      </w:r>
      <w:r w:rsidR="00A3683B" w:rsidRPr="00A3683B">
        <w:t>he Basel III liquidity reforms were introduced eight years ago in Australia</w:t>
      </w:r>
      <w:r>
        <w:t xml:space="preserve"> </w:t>
      </w:r>
      <w:r w:rsidR="00A3683B" w:rsidRPr="00A3683B">
        <w:t xml:space="preserve">with the commencement of the revised </w:t>
      </w:r>
      <w:r w:rsidR="00A3683B" w:rsidRPr="00A3683B">
        <w:rPr>
          <w:i/>
        </w:rPr>
        <w:t>Prudential Standard APS 210 Liquidity</w:t>
      </w:r>
      <w:r w:rsidR="00A3683B" w:rsidRPr="00A3683B">
        <w:t xml:space="preserve"> (APS 210) in 2014. The two core measures of the reforms, the Liquidity Coverage Ratio (LCR) and the Net Stable Funding Ratio (NSFR), became effective from 2015 and 2018 respectively.</w:t>
      </w:r>
    </w:p>
    <w:p w14:paraId="3A94184B" w14:textId="3A329C2E" w:rsidR="002A5D53" w:rsidRDefault="00A3683B" w:rsidP="00C235F7">
      <w:pPr>
        <w:numPr>
          <w:ilvl w:val="0"/>
          <w:numId w:val="0"/>
        </w:numPr>
        <w:jc w:val="both"/>
      </w:pPr>
      <w:r w:rsidRPr="00A3683B">
        <w:t>The</w:t>
      </w:r>
      <w:r>
        <w:t xml:space="preserve"> revised standard for liquidity</w:t>
      </w:r>
      <w:r w:rsidR="00DC6C82">
        <w:t>, APS 210,</w:t>
      </w:r>
      <w:r>
        <w:t xml:space="preserve"> aimed to </w:t>
      </w:r>
      <w:r w:rsidR="002A5D53" w:rsidRPr="00A3683B">
        <w:t xml:space="preserve">address deficiencies in </w:t>
      </w:r>
      <w:r w:rsidR="00F93D8B" w:rsidRPr="00A3683B">
        <w:t xml:space="preserve">the </w:t>
      </w:r>
      <w:r w:rsidR="002A5D53" w:rsidRPr="00A3683B">
        <w:t>previous liquidity framework</w:t>
      </w:r>
      <w:r>
        <w:t xml:space="preserve">, </w:t>
      </w:r>
      <w:r w:rsidR="002A5D53" w:rsidRPr="00F93D8B">
        <w:t>align APRA’s liquidity regime with international best practice</w:t>
      </w:r>
      <w:r>
        <w:t>,</w:t>
      </w:r>
      <w:r w:rsidR="002A5D53" w:rsidRPr="00F93D8B">
        <w:t xml:space="preserve"> and</w:t>
      </w:r>
      <w:r>
        <w:t xml:space="preserve"> </w:t>
      </w:r>
      <w:r w:rsidR="002A5D53" w:rsidRPr="00F93D8B">
        <w:t xml:space="preserve">reduce the likelihood of the need for (and degree of) government intervention or support in any future </w:t>
      </w:r>
      <w:r w:rsidR="000268A5">
        <w:t>liquidity</w:t>
      </w:r>
      <w:r w:rsidR="002A5D53" w:rsidRPr="00F93D8B">
        <w:t xml:space="preserve"> crisis</w:t>
      </w:r>
      <w:r w:rsidR="002A5D53">
        <w:t>.</w:t>
      </w:r>
    </w:p>
    <w:p w14:paraId="3EE8A802" w14:textId="2FA5B90F" w:rsidR="00351FB0" w:rsidRPr="00351FB0" w:rsidRDefault="00351FB0" w:rsidP="00351FB0">
      <w:r w:rsidRPr="00351FB0">
        <w:t xml:space="preserve">The </w:t>
      </w:r>
      <w:r>
        <w:t>liquidity</w:t>
      </w:r>
      <w:r w:rsidRPr="00351FB0">
        <w:t xml:space="preserve"> reforms were important in reinforcing financial safety and system stability</w:t>
      </w:r>
      <w:r w:rsidR="003B3560">
        <w:t xml:space="preserve"> and </w:t>
      </w:r>
      <w:r w:rsidRPr="00351FB0">
        <w:t xml:space="preserve">requiring higher standards for bank liquidity management to address weaknesses that emerged internationally during the </w:t>
      </w:r>
      <w:r w:rsidR="003B3560">
        <w:t xml:space="preserve">GFC. </w:t>
      </w:r>
    </w:p>
    <w:p w14:paraId="4193E5A1" w14:textId="09BEC276" w:rsidR="00DC6C82" w:rsidRPr="00A3683B" w:rsidRDefault="009922CF" w:rsidP="00DC6C82">
      <w:pPr>
        <w:pStyle w:val="Heading3"/>
      </w:pPr>
      <w:r>
        <w:t>Key findings of the PIR</w:t>
      </w:r>
    </w:p>
    <w:p w14:paraId="4F4CE875" w14:textId="11C12E7F" w:rsidR="00DC6C82" w:rsidRDefault="00DC6C82" w:rsidP="00A3683B">
      <w:pPr>
        <w:numPr>
          <w:ilvl w:val="0"/>
          <w:numId w:val="0"/>
        </w:numPr>
        <w:spacing w:after="120"/>
        <w:jc w:val="both"/>
      </w:pPr>
      <w:r>
        <w:t xml:space="preserve">The purpose of the PIR </w:t>
      </w:r>
      <w:r w:rsidR="00FC7E1B">
        <w:t>is</w:t>
      </w:r>
      <w:r>
        <w:t xml:space="preserve"> to </w:t>
      </w:r>
      <w:r w:rsidR="002202E7">
        <w:t xml:space="preserve">evaluate whether the implemented policy is operating as intended and is effectively and efficiently meeting the objectives in addressing the original problem. </w:t>
      </w:r>
      <w:r w:rsidR="001F7B03">
        <w:t>A</w:t>
      </w:r>
      <w:r w:rsidR="002202E7">
        <w:t xml:space="preserve"> key focus </w:t>
      </w:r>
      <w:r w:rsidR="00515201">
        <w:t>is</w:t>
      </w:r>
      <w:r w:rsidR="002202E7">
        <w:t xml:space="preserve"> on </w:t>
      </w:r>
      <w:r>
        <w:t>assess</w:t>
      </w:r>
      <w:r w:rsidR="002202E7">
        <w:t>ing</w:t>
      </w:r>
      <w:r>
        <w:t xml:space="preserve"> the impact of the LCR and </w:t>
      </w:r>
      <w:r w:rsidR="00A035E4">
        <w:t>NSFR and</w:t>
      </w:r>
      <w:r>
        <w:t xml:space="preserve"> understand</w:t>
      </w:r>
      <w:r w:rsidR="002202E7">
        <w:t xml:space="preserve">ing </w:t>
      </w:r>
      <w:r>
        <w:t xml:space="preserve">the costs and benefits of the measures. APRA issued a discussion paper to seek feedback from industry stakeholders, and </w:t>
      </w:r>
      <w:r w:rsidRPr="00605B49">
        <w:t>held discussions with a range of banks, industry associations, rating agencies</w:t>
      </w:r>
      <w:r w:rsidR="00E13AEB">
        <w:t xml:space="preserve">, </w:t>
      </w:r>
      <w:r w:rsidRPr="00605B49">
        <w:t>and national and international regulatory agencies.</w:t>
      </w:r>
    </w:p>
    <w:p w14:paraId="479E807E" w14:textId="2DDB22F2" w:rsidR="00DC6C82" w:rsidRDefault="002202E7" w:rsidP="00C235F7">
      <w:pPr>
        <w:numPr>
          <w:ilvl w:val="0"/>
          <w:numId w:val="0"/>
        </w:numPr>
        <w:jc w:val="both"/>
      </w:pPr>
      <w:r>
        <w:t>The key findings from the PIR are</w:t>
      </w:r>
      <w:r w:rsidR="00DC6C82">
        <w:t>:</w:t>
      </w:r>
    </w:p>
    <w:p w14:paraId="083BAD6C" w14:textId="7A56E291" w:rsidR="00733D9A" w:rsidRDefault="00733D9A" w:rsidP="00733D9A">
      <w:pPr>
        <w:pStyle w:val="ListBullet"/>
      </w:pPr>
      <w:r>
        <w:t xml:space="preserve">the liquidity reforms have been effective in strengthening financial resilience, improving liquidity risk </w:t>
      </w:r>
      <w:r w:rsidR="00A035E4">
        <w:t>management,</w:t>
      </w:r>
      <w:r>
        <w:t xml:space="preserve"> and raising standards in Australia to meet international best practice;</w:t>
      </w:r>
    </w:p>
    <w:p w14:paraId="2B8FD9FC" w14:textId="62DDDE76" w:rsidR="00733D9A" w:rsidRDefault="00733D9A" w:rsidP="00733D9A">
      <w:pPr>
        <w:pStyle w:val="ListBullet"/>
      </w:pPr>
      <w:r>
        <w:t>as part of these reforms, the LCR and NSFR have been effective</w:t>
      </w:r>
      <w:r w:rsidR="00744942">
        <w:t xml:space="preserve"> in</w:t>
      </w:r>
      <w:r>
        <w:t xml:space="preserve"> promoting </w:t>
      </w:r>
      <w:r w:rsidR="00744942">
        <w:t xml:space="preserve">both </w:t>
      </w:r>
      <w:r>
        <w:t>short-term and longer-term resilience in bank funding and liquidity</w:t>
      </w:r>
      <w:r w:rsidR="00744942">
        <w:t>, with increased levels of liquidity and more stable funding profiles</w:t>
      </w:r>
      <w:r w:rsidR="00351FB0">
        <w:t>;</w:t>
      </w:r>
      <w:r w:rsidR="00351FB0">
        <w:rPr>
          <w:rStyle w:val="FootnoteReference"/>
        </w:rPr>
        <w:footnoteReference w:id="2"/>
      </w:r>
      <w:r w:rsidR="0037182C">
        <w:t xml:space="preserve"> and</w:t>
      </w:r>
    </w:p>
    <w:p w14:paraId="56C3B26D" w14:textId="5DDEA94C" w:rsidR="00DC6C82" w:rsidRDefault="00744942" w:rsidP="005B189E">
      <w:pPr>
        <w:pStyle w:val="ListBullet"/>
      </w:pPr>
      <w:r>
        <w:t>the costs of the liquidity reforms have been broadly in line with APRA’s original estimates</w:t>
      </w:r>
      <w:r w:rsidR="009972F1">
        <w:t xml:space="preserve"> that forecast a net benefit </w:t>
      </w:r>
      <w:r w:rsidR="000C52AA">
        <w:t xml:space="preserve">from </w:t>
      </w:r>
      <w:r w:rsidR="009972F1">
        <w:t>the reforms</w:t>
      </w:r>
      <w:r>
        <w:t xml:space="preserve">, </w:t>
      </w:r>
      <w:r w:rsidR="0037182C">
        <w:t>although the</w:t>
      </w:r>
      <w:r w:rsidR="009972F1">
        <w:t xml:space="preserve"> costs</w:t>
      </w:r>
      <w:r w:rsidR="0037182C">
        <w:t xml:space="preserve"> have varied by bank depending on the level of enhancements needed to improve systems and processes.</w:t>
      </w:r>
    </w:p>
    <w:p w14:paraId="7B35DF6C" w14:textId="79EBFDE1" w:rsidR="0056056A" w:rsidRDefault="002202E7" w:rsidP="0056056A">
      <w:pPr>
        <w:pStyle w:val="ListBullet"/>
        <w:numPr>
          <w:ilvl w:val="0"/>
          <w:numId w:val="0"/>
        </w:numPr>
      </w:pPr>
      <w:r>
        <w:t>All s</w:t>
      </w:r>
      <w:r w:rsidR="00B70811">
        <w:t>takeholders</w:t>
      </w:r>
      <w:r w:rsidR="007E061A">
        <w:t xml:space="preserve"> consulted </w:t>
      </w:r>
      <w:r w:rsidR="00B70811">
        <w:t xml:space="preserve">throughout </w:t>
      </w:r>
      <w:r w:rsidR="007E061A">
        <w:t xml:space="preserve">the </w:t>
      </w:r>
      <w:r w:rsidR="00066A72">
        <w:t>PIR</w:t>
      </w:r>
      <w:r w:rsidR="002C3560">
        <w:t xml:space="preserve"> </w:t>
      </w:r>
      <w:r w:rsidR="0037182C">
        <w:t>supported the liquidity reforms, assessing the LCR and NSFR to be important elements in strengthening financial resilience. There were, however, a number of</w:t>
      </w:r>
      <w:r w:rsidR="0056056A">
        <w:t xml:space="preserve"> </w:t>
      </w:r>
      <w:r w:rsidR="00E13AEB">
        <w:t>suggestions</w:t>
      </w:r>
      <w:r w:rsidR="0056056A">
        <w:t xml:space="preserve"> raised during the PIR which would improve the liquidity standard</w:t>
      </w:r>
      <w:r w:rsidR="009922CF">
        <w:t xml:space="preserve"> and guidance,</w:t>
      </w:r>
      <w:r w:rsidR="0056056A">
        <w:t xml:space="preserve"> and their operation. The key issues</w:t>
      </w:r>
      <w:r>
        <w:t>, which were consistently raised across consulted stakeholders</w:t>
      </w:r>
      <w:r w:rsidR="001F7B03">
        <w:t>,</w:t>
      </w:r>
      <w:r w:rsidR="0056056A">
        <w:t xml:space="preserve"> included: </w:t>
      </w:r>
    </w:p>
    <w:p w14:paraId="0B5E733A" w14:textId="7D8F737C" w:rsidR="00533BA6" w:rsidRDefault="007F4CC3" w:rsidP="00533BA6">
      <w:pPr>
        <w:pStyle w:val="ListBullet"/>
      </w:pPr>
      <w:bookmarkStart w:id="6" w:name="_Hlk102463994"/>
      <w:r w:rsidRPr="00B10C9D">
        <w:rPr>
          <w:b/>
          <w:i/>
        </w:rPr>
        <w:t>U</w:t>
      </w:r>
      <w:r w:rsidR="00533BA6" w:rsidRPr="00B10C9D">
        <w:rPr>
          <w:b/>
          <w:i/>
        </w:rPr>
        <w:t>sability of liquidity buffer</w:t>
      </w:r>
      <w:r w:rsidR="00127B14" w:rsidRPr="00B10C9D">
        <w:rPr>
          <w:b/>
          <w:i/>
        </w:rPr>
        <w:t>s</w:t>
      </w:r>
      <w:r w:rsidR="00533BA6" w:rsidRPr="00B10C9D">
        <w:rPr>
          <w:b/>
          <w:i/>
        </w:rPr>
        <w:t>:</w:t>
      </w:r>
      <w:r w:rsidR="00533BA6">
        <w:t xml:space="preserve"> </w:t>
      </w:r>
      <w:r w:rsidR="0056056A">
        <w:t>consistent with</w:t>
      </w:r>
      <w:r w:rsidR="00D12E45">
        <w:t xml:space="preserve"> international experience</w:t>
      </w:r>
      <w:r w:rsidR="00374EA0">
        <w:t xml:space="preserve"> and observations</w:t>
      </w:r>
      <w:r w:rsidR="00D12E45">
        <w:t xml:space="preserve">, </w:t>
      </w:r>
      <w:r w:rsidR="0056056A">
        <w:t>there may be a</w:t>
      </w:r>
      <w:r w:rsidR="00533BA6">
        <w:t xml:space="preserve"> reluctance by banks to </w:t>
      </w:r>
      <w:r w:rsidR="001741F8">
        <w:t xml:space="preserve">draw on their </w:t>
      </w:r>
      <w:r w:rsidR="00723797">
        <w:t>liquid assets</w:t>
      </w:r>
      <w:r w:rsidR="001741F8">
        <w:t xml:space="preserve"> </w:t>
      </w:r>
      <w:r w:rsidR="00533BA6">
        <w:t xml:space="preserve">during times of stress, </w:t>
      </w:r>
      <w:r w:rsidR="0012072C">
        <w:t>despite</w:t>
      </w:r>
      <w:r w:rsidR="00533BA6">
        <w:t xml:space="preserve"> the </w:t>
      </w:r>
      <w:r w:rsidR="0012072C">
        <w:t>intent</w:t>
      </w:r>
      <w:r w:rsidR="00533BA6">
        <w:t xml:space="preserve"> </w:t>
      </w:r>
      <w:r w:rsidR="001741F8">
        <w:t>of</w:t>
      </w:r>
      <w:r w:rsidR="00374EA0">
        <w:t xml:space="preserve"> the</w:t>
      </w:r>
      <w:r w:rsidR="001741F8">
        <w:t xml:space="preserve"> </w:t>
      </w:r>
      <w:r w:rsidR="0012072C">
        <w:t>framework</w:t>
      </w:r>
      <w:r w:rsidR="001741F8">
        <w:t>;</w:t>
      </w:r>
    </w:p>
    <w:p w14:paraId="2D4DD7CF" w14:textId="23F4302E" w:rsidR="00437746" w:rsidRDefault="00374EA0" w:rsidP="00437746">
      <w:pPr>
        <w:pStyle w:val="ListBullet"/>
      </w:pPr>
      <w:r w:rsidRPr="00B10C9D">
        <w:rPr>
          <w:b/>
          <w:i/>
        </w:rPr>
        <w:t>Consolidating</w:t>
      </w:r>
      <w:r w:rsidR="00533BA6" w:rsidRPr="00B10C9D">
        <w:rPr>
          <w:b/>
          <w:i/>
        </w:rPr>
        <w:t xml:space="preserve"> liquidity requirements:</w:t>
      </w:r>
      <w:r w:rsidR="00533BA6">
        <w:t xml:space="preserve"> </w:t>
      </w:r>
      <w:r>
        <w:t xml:space="preserve">industry </w:t>
      </w:r>
      <w:r w:rsidR="00B9357E">
        <w:t xml:space="preserve">stakeholders </w:t>
      </w:r>
      <w:r w:rsidR="00533BA6">
        <w:t>called for a</w:t>
      </w:r>
      <w:r w:rsidR="00B9357E">
        <w:t xml:space="preserve"> clearer </w:t>
      </w:r>
      <w:r w:rsidR="003A5087">
        <w:t xml:space="preserve">and more consolidated </w:t>
      </w:r>
      <w:r>
        <w:t xml:space="preserve">approach to liquidity requirements to support compliance, rationalising APRA’s expectations and advice which are currently spread across the prudential standard, prudential practice guide, </w:t>
      </w:r>
      <w:proofErr w:type="gramStart"/>
      <w:r>
        <w:t>FAQs</w:t>
      </w:r>
      <w:proofErr w:type="gramEnd"/>
      <w:r>
        <w:t xml:space="preserve"> and other industry letters</w:t>
      </w:r>
      <w:r w:rsidR="00533BA6">
        <w:t>;</w:t>
      </w:r>
      <w:r w:rsidR="00CA4A14">
        <w:rPr>
          <w:rStyle w:val="FootnoteReference"/>
        </w:rPr>
        <w:footnoteReference w:id="3"/>
      </w:r>
      <w:r w:rsidR="00533BA6">
        <w:t xml:space="preserve"> and</w:t>
      </w:r>
    </w:p>
    <w:p w14:paraId="03068CC9" w14:textId="018D6F5E" w:rsidR="00533BA6" w:rsidRDefault="00533BA6" w:rsidP="00A0138F">
      <w:pPr>
        <w:pStyle w:val="ListBullet"/>
      </w:pPr>
      <w:r w:rsidRPr="00DB6AC8">
        <w:rPr>
          <w:b/>
          <w:i/>
        </w:rPr>
        <w:t>Technical</w:t>
      </w:r>
      <w:r w:rsidR="001A5443" w:rsidRPr="00B10C9D">
        <w:rPr>
          <w:b/>
          <w:i/>
        </w:rPr>
        <w:t xml:space="preserve"> areas for review</w:t>
      </w:r>
      <w:r w:rsidRPr="00B10C9D">
        <w:rPr>
          <w:b/>
          <w:i/>
        </w:rPr>
        <w:t>:</w:t>
      </w:r>
      <w:r>
        <w:t xml:space="preserve"> </w:t>
      </w:r>
      <w:r w:rsidR="00B9357E">
        <w:t xml:space="preserve">stakeholder submissions </w:t>
      </w:r>
      <w:r w:rsidR="00374EA0">
        <w:t xml:space="preserve">also </w:t>
      </w:r>
      <w:r w:rsidR="00B9357E">
        <w:t xml:space="preserve">put </w:t>
      </w:r>
      <w:r w:rsidR="00374EA0" w:rsidRPr="00374EA0">
        <w:t xml:space="preserve">forward a number of potential technical adjustments to </w:t>
      </w:r>
      <w:r w:rsidR="00374EA0">
        <w:t>APS 210 to improve</w:t>
      </w:r>
      <w:r w:rsidR="00374EA0" w:rsidRPr="00374EA0">
        <w:t xml:space="preserve"> the </w:t>
      </w:r>
      <w:r w:rsidR="002202E7">
        <w:t xml:space="preserve">efficiency of the </w:t>
      </w:r>
      <w:r w:rsidR="00374EA0" w:rsidRPr="00374EA0">
        <w:t xml:space="preserve">standard, </w:t>
      </w:r>
      <w:r w:rsidR="002202E7">
        <w:t xml:space="preserve">by </w:t>
      </w:r>
      <w:r w:rsidR="00EA166F">
        <w:t>enabling</w:t>
      </w:r>
      <w:r w:rsidR="00374EA0" w:rsidRPr="00374EA0" w:rsidDel="00EC5D96">
        <w:t xml:space="preserve"> closer </w:t>
      </w:r>
      <w:r w:rsidR="00142E2A">
        <w:t>comparability</w:t>
      </w:r>
      <w:r w:rsidR="00374EA0" w:rsidRPr="00374EA0" w:rsidDel="00EC5D96">
        <w:t xml:space="preserve"> to </w:t>
      </w:r>
      <w:r w:rsidR="00374EA0" w:rsidRPr="00374EA0" w:rsidDel="004763FF">
        <w:t>international practices</w:t>
      </w:r>
      <w:r w:rsidR="00374EA0" w:rsidRPr="00374EA0">
        <w:t xml:space="preserve">, </w:t>
      </w:r>
      <w:r w:rsidR="00374EA0">
        <w:t>and</w:t>
      </w:r>
      <w:r w:rsidR="00374EA0" w:rsidRPr="00374EA0">
        <w:t xml:space="preserve"> clarify</w:t>
      </w:r>
      <w:r w:rsidR="001F7B03">
        <w:t>ing</w:t>
      </w:r>
      <w:r w:rsidR="00374EA0" w:rsidRPr="00374EA0">
        <w:t xml:space="preserve"> existing requirements</w:t>
      </w:r>
      <w:r w:rsidR="00374EA0">
        <w:t>.</w:t>
      </w:r>
    </w:p>
    <w:bookmarkEnd w:id="6"/>
    <w:p w14:paraId="6D70311F" w14:textId="77777777" w:rsidR="009922CF" w:rsidRPr="002554CC" w:rsidRDefault="009922CF" w:rsidP="009922CF">
      <w:pPr>
        <w:pStyle w:val="ListBullet"/>
        <w:numPr>
          <w:ilvl w:val="0"/>
          <w:numId w:val="0"/>
        </w:numPr>
      </w:pPr>
      <w:r>
        <w:t xml:space="preserve">In conclusion, the findings of the PIR confirm the LCR and NSFR are operating effectively, but that there are potential improvements that could be made to improve efficiency. </w:t>
      </w:r>
    </w:p>
    <w:p w14:paraId="72DE6511" w14:textId="571C4279" w:rsidR="009922CF" w:rsidRPr="00A3683B" w:rsidRDefault="009922CF" w:rsidP="009922CF">
      <w:pPr>
        <w:pStyle w:val="Heading3"/>
      </w:pPr>
      <w:r>
        <w:t>Next steps</w:t>
      </w:r>
    </w:p>
    <w:p w14:paraId="7E185164" w14:textId="1CBDFF09" w:rsidR="00E843D2" w:rsidRPr="002554CC" w:rsidRDefault="00C462B3" w:rsidP="00F93D8B">
      <w:pPr>
        <w:pStyle w:val="ListBullet"/>
        <w:numPr>
          <w:ilvl w:val="0"/>
          <w:numId w:val="0"/>
        </w:numPr>
      </w:pPr>
      <w:r>
        <w:t xml:space="preserve">The feedback gained through the PIR process has been very valuable in identifying areas for improvement in the liquidity </w:t>
      </w:r>
      <w:r w:rsidR="00EA166F">
        <w:t>framework</w:t>
      </w:r>
      <w:r w:rsidR="00675B28">
        <w:t xml:space="preserve"> and</w:t>
      </w:r>
      <w:r>
        <w:t xml:space="preserve"> will be used to inform the scope of APRA’s upcoming review of APS 210 next year. APRA plans to consult on draft revisions to APS 210 in 2023, with a view to the revised standard coming into effect from 2025 onwards.</w:t>
      </w:r>
      <w:bookmarkEnd w:id="4"/>
    </w:p>
    <w:p w14:paraId="2E03C4AD" w14:textId="559169C1" w:rsidR="002554CC" w:rsidRPr="002554CC" w:rsidRDefault="001B704A" w:rsidP="002554CC">
      <w:pPr>
        <w:pStyle w:val="Heading1Numbers"/>
      </w:pPr>
      <w:bookmarkStart w:id="7" w:name="_Toc103791288"/>
      <w:r>
        <w:t>Background</w:t>
      </w:r>
      <w:bookmarkEnd w:id="7"/>
    </w:p>
    <w:p w14:paraId="24DB44AA" w14:textId="6D77A06A" w:rsidR="003713D9" w:rsidRPr="009D795F" w:rsidRDefault="003D5937" w:rsidP="003D5937">
      <w:pPr>
        <w:numPr>
          <w:ilvl w:val="0"/>
          <w:numId w:val="0"/>
        </w:numPr>
        <w:rPr>
          <w:lang w:val="en-US"/>
        </w:rPr>
      </w:pPr>
      <w:r w:rsidRPr="00677F2B">
        <w:t xml:space="preserve">The </w:t>
      </w:r>
      <w:r w:rsidR="006E7AE6">
        <w:t>global financial crisis (</w:t>
      </w:r>
      <w:r w:rsidR="004E5354">
        <w:t>GFC</w:t>
      </w:r>
      <w:r w:rsidR="006E7AE6">
        <w:t>)</w:t>
      </w:r>
      <w:r w:rsidR="007B19A3">
        <w:t xml:space="preserve"> </w:t>
      </w:r>
      <w:r w:rsidRPr="00677F2B">
        <w:t xml:space="preserve">revealed </w:t>
      </w:r>
      <w:r w:rsidR="00BF6A05">
        <w:t>significant</w:t>
      </w:r>
      <w:r w:rsidRPr="00677F2B">
        <w:t xml:space="preserve"> weaknesses in the management of liquidity risks by banks internationally. </w:t>
      </w:r>
      <w:r w:rsidR="003632E4">
        <w:t>The availability of funding</w:t>
      </w:r>
      <w:r w:rsidRPr="00677F2B">
        <w:t xml:space="preserve"> </w:t>
      </w:r>
      <w:r w:rsidR="006640E2">
        <w:t xml:space="preserve">from wholesale markets </w:t>
      </w:r>
      <w:r w:rsidRPr="00677F2B">
        <w:t xml:space="preserve">dried up </w:t>
      </w:r>
      <w:r w:rsidR="006640E2">
        <w:t>during the period of stress in</w:t>
      </w:r>
      <w:r w:rsidRPr="00677F2B">
        <w:t xml:space="preserve"> 2007-2009,</w:t>
      </w:r>
      <w:r w:rsidR="004F37D7">
        <w:t xml:space="preserve"> </w:t>
      </w:r>
      <w:r w:rsidRPr="00677F2B">
        <w:t>plac</w:t>
      </w:r>
      <w:r w:rsidR="004F37D7">
        <w:t>ing</w:t>
      </w:r>
      <w:r w:rsidRPr="00677F2B">
        <w:t xml:space="preserve"> pressure on </w:t>
      </w:r>
      <w:r w:rsidR="00B86774">
        <w:t xml:space="preserve">the </w:t>
      </w:r>
      <w:r w:rsidRPr="00677F2B">
        <w:t>banking system</w:t>
      </w:r>
      <w:r w:rsidR="00B86774">
        <w:t xml:space="preserve"> domestically and overseas</w:t>
      </w:r>
      <w:r w:rsidR="00E13AEB">
        <w:t>,</w:t>
      </w:r>
      <w:r w:rsidR="004F37D7">
        <w:t xml:space="preserve"> and </w:t>
      </w:r>
      <w:r w:rsidR="00B86774">
        <w:t>requiring</w:t>
      </w:r>
      <w:r w:rsidRPr="00677F2B">
        <w:t xml:space="preserve"> government intervention and support in many jurisdictions.</w:t>
      </w:r>
    </w:p>
    <w:p w14:paraId="0BBA88DB" w14:textId="4C45A4B2" w:rsidR="009D795F" w:rsidRDefault="009D795F" w:rsidP="009D795F">
      <w:pPr>
        <w:numPr>
          <w:ilvl w:val="0"/>
          <w:numId w:val="0"/>
        </w:numPr>
      </w:pPr>
      <w:r>
        <w:t>As APRA’s original R</w:t>
      </w:r>
      <w:r w:rsidR="007B19A3">
        <w:t xml:space="preserve">egulation </w:t>
      </w:r>
      <w:r>
        <w:t>I</w:t>
      </w:r>
      <w:r w:rsidR="007B19A3">
        <w:t xml:space="preserve">mpact </w:t>
      </w:r>
      <w:r>
        <w:t>S</w:t>
      </w:r>
      <w:r w:rsidR="007B19A3">
        <w:t>tatement</w:t>
      </w:r>
      <w:r w:rsidR="0043689B">
        <w:t xml:space="preserve"> (RIS)</w:t>
      </w:r>
      <w:r>
        <w:t xml:space="preserve"> for the LCR noted: </w:t>
      </w:r>
      <w:r w:rsidRPr="009D795F">
        <w:rPr>
          <w:i/>
        </w:rPr>
        <w:t>At the height of the crisis, the market lost confidence in the solvency and liquidity of many banks, including banks that were otherwise sound. Weaknesses in a number of banking systems were rapidly transmitted to the rest of the financial system and the real economy, resulting in a contraction of liquidity and credit availability. In many countries, the public sector had to intervene with unprecedented injections of liquidity, capital support and guarantees, exposing taxpayers to large contingent liabilities and losses</w:t>
      </w:r>
      <w:r w:rsidR="00116997">
        <w:rPr>
          <w:i/>
        </w:rPr>
        <w:t>.</w:t>
      </w:r>
      <w:r w:rsidR="006071CA">
        <w:rPr>
          <w:rStyle w:val="FootnoteReference"/>
          <w:i/>
        </w:rPr>
        <w:footnoteReference w:id="4"/>
      </w:r>
    </w:p>
    <w:p w14:paraId="7B393114" w14:textId="5F1F0273" w:rsidR="003713D9" w:rsidRDefault="009D795F" w:rsidP="003D5937">
      <w:pPr>
        <w:numPr>
          <w:ilvl w:val="0"/>
          <w:numId w:val="0"/>
        </w:numPr>
      </w:pPr>
      <w:r>
        <w:t>There were</w:t>
      </w:r>
      <w:r w:rsidR="003713D9">
        <w:t xml:space="preserve"> a range of deficiencies in liquidity risk management practices</w:t>
      </w:r>
      <w:r w:rsidR="00142AB0">
        <w:t xml:space="preserve"> identified</w:t>
      </w:r>
      <w:r>
        <w:t xml:space="preserve">, </w:t>
      </w:r>
      <w:r w:rsidR="003713D9">
        <w:t>including:</w:t>
      </w:r>
    </w:p>
    <w:p w14:paraId="11FCB181" w14:textId="3A4089C0" w:rsidR="00D06D51" w:rsidRDefault="00D06D51" w:rsidP="00D06D51">
      <w:pPr>
        <w:pStyle w:val="ListBullet"/>
      </w:pPr>
      <w:r>
        <w:t xml:space="preserve">insufficient </w:t>
      </w:r>
      <w:r w:rsidR="009D795F">
        <w:t xml:space="preserve">board </w:t>
      </w:r>
      <w:r>
        <w:t>oversight of liquidity risk</w:t>
      </w:r>
      <w:r w:rsidR="009D795F">
        <w:t xml:space="preserve">, weaknesses in </w:t>
      </w:r>
      <w:r w:rsidR="006071CA">
        <w:t xml:space="preserve">the </w:t>
      </w:r>
      <w:r w:rsidR="009D795F">
        <w:t xml:space="preserve">operating management of liquidity risk, </w:t>
      </w:r>
      <w:r w:rsidR="006071CA">
        <w:t>and inadequate forecasting and reporting</w:t>
      </w:r>
      <w:r>
        <w:t xml:space="preserve">; </w:t>
      </w:r>
    </w:p>
    <w:p w14:paraId="25B82D2A" w14:textId="376F39CA" w:rsidR="00CC4013" w:rsidRDefault="006071CA" w:rsidP="00D3718C">
      <w:pPr>
        <w:pStyle w:val="ListBullet"/>
      </w:pPr>
      <w:r>
        <w:t>a relatively high</w:t>
      </w:r>
      <w:r w:rsidR="00D06D51">
        <w:t xml:space="preserve"> reliance on </w:t>
      </w:r>
      <w:r w:rsidR="00AC14F6">
        <w:t xml:space="preserve">offshore and </w:t>
      </w:r>
      <w:r w:rsidR="00D06D51">
        <w:t>short-term wholesale debt, which proved to be unstable during the crisis</w:t>
      </w:r>
      <w:r>
        <w:t xml:space="preserve">, and a need to strengthen on-balance sheet liquidity with </w:t>
      </w:r>
      <w:r w:rsidR="00AC14F6">
        <w:t xml:space="preserve">a number of securities that </w:t>
      </w:r>
      <w:r w:rsidR="00E51182">
        <w:t>bank</w:t>
      </w:r>
      <w:r w:rsidR="00AC14F6">
        <w:t>s were holding in their liquid portfolios turn</w:t>
      </w:r>
      <w:r>
        <w:t>ing</w:t>
      </w:r>
      <w:r w:rsidR="00AC14F6">
        <w:t xml:space="preserve"> out to</w:t>
      </w:r>
      <w:r>
        <w:t xml:space="preserve"> be of </w:t>
      </w:r>
      <w:r w:rsidR="00AC14F6">
        <w:t>limited liquidity value</w:t>
      </w:r>
      <w:r w:rsidR="00741D8C">
        <w:t>;</w:t>
      </w:r>
      <w:r>
        <w:t xml:space="preserve"> </w:t>
      </w:r>
      <w:r w:rsidR="00AC14F6">
        <w:t>and</w:t>
      </w:r>
    </w:p>
    <w:p w14:paraId="53BCF440" w14:textId="24B3100F" w:rsidR="003E2A10" w:rsidRDefault="006071CA" w:rsidP="003713D9">
      <w:pPr>
        <w:pStyle w:val="ListBullet"/>
      </w:pPr>
      <w:r>
        <w:t>a need to raise standards</w:t>
      </w:r>
      <w:r w:rsidR="00E24F54">
        <w:t xml:space="preserve"> for testing crisis preparedness</w:t>
      </w:r>
      <w:r>
        <w:t xml:space="preserve">, with </w:t>
      </w:r>
      <w:r w:rsidR="00AC14F6">
        <w:t xml:space="preserve">APRA’s prudential requirements at the time based on a five-day name crisis, </w:t>
      </w:r>
      <w:r>
        <w:t>while</w:t>
      </w:r>
      <w:r w:rsidR="00AC14F6">
        <w:t xml:space="preserve"> the GFC show</w:t>
      </w:r>
      <w:r>
        <w:t>ed</w:t>
      </w:r>
      <w:r w:rsidR="00AC14F6">
        <w:t xml:space="preserve"> that five days was not a sufficient period to address a severe liquidity stress event.</w:t>
      </w:r>
    </w:p>
    <w:p w14:paraId="0A931EFC" w14:textId="0229DC3D" w:rsidR="003D5937" w:rsidRDefault="00B86774" w:rsidP="003D5937">
      <w:pPr>
        <w:numPr>
          <w:ilvl w:val="0"/>
          <w:numId w:val="0"/>
        </w:numPr>
      </w:pPr>
      <w:r>
        <w:t>Following the GFC, there was a global move to strengthen the liquidity risk profile of banks.</w:t>
      </w:r>
      <w:r w:rsidR="00741D8C">
        <w:t xml:space="preserve"> </w:t>
      </w:r>
      <w:r w:rsidR="00A179E5">
        <w:t>In line with APRA’s mandate to protect the Australian community by maintaining a stable financial system, APRA sought to embed these change</w:t>
      </w:r>
      <w:r w:rsidR="00741D8C">
        <w:t>s and ensure these deficiencies were addressed</w:t>
      </w:r>
      <w:r w:rsidR="00A179E5">
        <w:t xml:space="preserve"> through the implementation of the Basel III liquidity reforms. </w:t>
      </w:r>
    </w:p>
    <w:p w14:paraId="58618D35" w14:textId="12D946F7" w:rsidR="001B704A" w:rsidRDefault="001B704A" w:rsidP="00B86774">
      <w:pPr>
        <w:pStyle w:val="Heading2Numbers"/>
        <w:numPr>
          <w:ilvl w:val="0"/>
          <w:numId w:val="0"/>
        </w:numPr>
      </w:pPr>
      <w:bookmarkStart w:id="8" w:name="_Toc102585454"/>
      <w:bookmarkStart w:id="9" w:name="_Toc102585577"/>
      <w:bookmarkStart w:id="10" w:name="_Toc103687165"/>
      <w:bookmarkStart w:id="11" w:name="_Toc103791289"/>
      <w:bookmarkEnd w:id="8"/>
      <w:bookmarkEnd w:id="9"/>
      <w:r>
        <w:t>Basel III liquidity reforms</w:t>
      </w:r>
      <w:bookmarkEnd w:id="10"/>
      <w:bookmarkEnd w:id="11"/>
    </w:p>
    <w:p w14:paraId="0885167E" w14:textId="0FFFFCC1" w:rsidR="00A703F1" w:rsidRDefault="00B86774" w:rsidP="00B86774">
      <w:pPr>
        <w:rPr>
          <w:noProof/>
        </w:rPr>
      </w:pPr>
      <w:r w:rsidRPr="00B86774">
        <w:t xml:space="preserve">In December 2010, the Basel Committee for Banking Supervision released an international framework for liquidity risk measurement, </w:t>
      </w:r>
      <w:r w:rsidR="001116A7" w:rsidRPr="00B86774">
        <w:t>standards,</w:t>
      </w:r>
      <w:r w:rsidRPr="00B86774">
        <w:t xml:space="preserve"> and monitoring: the Basel III liquidity reforms.</w:t>
      </w:r>
      <w:bookmarkStart w:id="12" w:name="_Hlk103851153"/>
      <w:r w:rsidR="001116A7">
        <w:rPr>
          <w:rStyle w:val="FootnoteReference"/>
        </w:rPr>
        <w:footnoteReference w:id="5"/>
      </w:r>
      <w:bookmarkEnd w:id="12"/>
      <w:r w:rsidRPr="00B86774">
        <w:t xml:space="preserve"> APRA introduced these requirements through revisions to the prudential standard for liquidity, </w:t>
      </w:r>
      <w:r w:rsidR="00433030" w:rsidRPr="00A3683B">
        <w:rPr>
          <w:i/>
        </w:rPr>
        <w:t>Prudential Standard APS 210 Liquidity</w:t>
      </w:r>
      <w:r w:rsidR="00433030" w:rsidRPr="00A3683B">
        <w:t xml:space="preserve"> (APS 210)</w:t>
      </w:r>
      <w:r w:rsidRPr="00B86774">
        <w:t>, which included the L</w:t>
      </w:r>
      <w:r w:rsidR="001116A7">
        <w:t xml:space="preserve">iquidity </w:t>
      </w:r>
      <w:r w:rsidRPr="00B86774">
        <w:t>C</w:t>
      </w:r>
      <w:r w:rsidR="001116A7">
        <w:t xml:space="preserve">overage </w:t>
      </w:r>
      <w:r w:rsidRPr="00B86774">
        <w:t>R</w:t>
      </w:r>
      <w:r w:rsidR="001116A7">
        <w:t>atio (LCR)</w:t>
      </w:r>
      <w:r w:rsidRPr="00B86774">
        <w:t xml:space="preserve"> and N</w:t>
      </w:r>
      <w:r w:rsidR="001116A7">
        <w:t xml:space="preserve">et </w:t>
      </w:r>
      <w:r w:rsidRPr="00B86774">
        <w:t>S</w:t>
      </w:r>
      <w:r w:rsidR="001116A7">
        <w:t xml:space="preserve">table </w:t>
      </w:r>
      <w:r w:rsidRPr="00B86774">
        <w:t>F</w:t>
      </w:r>
      <w:r w:rsidR="001116A7">
        <w:t xml:space="preserve">unding </w:t>
      </w:r>
      <w:r w:rsidRPr="00B86774">
        <w:t>R</w:t>
      </w:r>
      <w:r w:rsidR="001116A7">
        <w:t>atio (NSFR)</w:t>
      </w:r>
      <w:r>
        <w:t xml:space="preserve">. </w:t>
      </w:r>
      <w:r w:rsidR="00A703F1" w:rsidRPr="00B86774">
        <w:t>A summary timeline for the implementation of these reforms is outlined below.</w:t>
      </w:r>
    </w:p>
    <w:p w14:paraId="2192B137" w14:textId="36F10FE9" w:rsidR="00525677" w:rsidRPr="00B86774" w:rsidRDefault="00525677" w:rsidP="00525677">
      <w:pPr>
        <w:pStyle w:val="Numberedfigureheading"/>
      </w:pPr>
      <w:r>
        <w:t xml:space="preserve">Timeline of the Basel III liquidity reforms in Australia  </w:t>
      </w:r>
    </w:p>
    <w:p w14:paraId="1B0C9AB5" w14:textId="69029606" w:rsidR="004E5354" w:rsidRPr="00950615" w:rsidRDefault="00950615" w:rsidP="00950615">
      <w:pPr>
        <w:rPr>
          <w:noProof/>
        </w:rPr>
      </w:pPr>
      <w:r w:rsidRPr="00950615">
        <w:rPr>
          <w:noProof/>
        </w:rPr>
        <w:drawing>
          <wp:inline distT="0" distB="0" distL="0" distR="0" wp14:anchorId="24B3BBA2" wp14:editId="6146F297">
            <wp:extent cx="5731510" cy="1233805"/>
            <wp:effectExtent l="0" t="0" r="2540" b="4445"/>
            <wp:docPr id="7" name="Picture 7" descr="2010: Basel 3 framework released, 2015: LCR becomes effective in Australia, 2018: NSFR becomes effective in Australia, 2022: LCR and NSFR post-implementation review, 2023: planned APS 210 revie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2010: Basel 3 framework released, 2015: LCR becomes effective in Australia, 2018: NSFR becomes effective in Australia, 2022: LCR and NSFR post-implementation review, 2023: planned APS 210 review "/>
                    <pic:cNvPicPr/>
                  </pic:nvPicPr>
                  <pic:blipFill>
                    <a:blip r:embed="rId10"/>
                    <a:stretch>
                      <a:fillRect/>
                    </a:stretch>
                  </pic:blipFill>
                  <pic:spPr>
                    <a:xfrm>
                      <a:off x="0" y="0"/>
                      <a:ext cx="5731510" cy="1233805"/>
                    </a:xfrm>
                    <a:prstGeom prst="rect">
                      <a:avLst/>
                    </a:prstGeom>
                  </pic:spPr>
                </pic:pic>
              </a:graphicData>
            </a:graphic>
          </wp:inline>
        </w:drawing>
      </w:r>
    </w:p>
    <w:p w14:paraId="41B6A758" w14:textId="06887481" w:rsidR="002A2B3A" w:rsidRDefault="00B86774" w:rsidP="004C2F77">
      <w:pPr>
        <w:rPr>
          <w:noProof/>
        </w:rPr>
      </w:pPr>
      <w:r>
        <w:t>The key</w:t>
      </w:r>
      <w:r w:rsidR="002A2B3A">
        <w:t xml:space="preserve"> objectives of the reforms were to: </w:t>
      </w:r>
    </w:p>
    <w:p w14:paraId="173EA8BF" w14:textId="607D8FB5" w:rsidR="002A2B3A" w:rsidRDefault="002A2B3A" w:rsidP="002A2B3A">
      <w:pPr>
        <w:pStyle w:val="ListBullet"/>
        <w:rPr>
          <w:noProof/>
        </w:rPr>
      </w:pPr>
      <w:r w:rsidRPr="00677F2B">
        <w:t xml:space="preserve">address deficiencies in the previous liquidity framework, both qualitative and quantitative, which were highlighted by the more extreme phases of the GFC; </w:t>
      </w:r>
    </w:p>
    <w:p w14:paraId="59DC6FB1" w14:textId="4BFEEF37" w:rsidR="002A2B3A" w:rsidRDefault="002A2B3A" w:rsidP="002A2B3A">
      <w:pPr>
        <w:pStyle w:val="ListBullet"/>
        <w:rPr>
          <w:noProof/>
        </w:rPr>
      </w:pPr>
      <w:r w:rsidRPr="00677F2B">
        <w:t xml:space="preserve">align APRA’s liquidity regime with international best practice, maintaining the high international reputation of the Australian financial system and helping to ensure that funding markets stay open to </w:t>
      </w:r>
      <w:r w:rsidR="004E5354">
        <w:t>banks</w:t>
      </w:r>
      <w:r w:rsidRPr="00677F2B">
        <w:t>; an</w:t>
      </w:r>
      <w:r>
        <w:t>d</w:t>
      </w:r>
    </w:p>
    <w:p w14:paraId="78B5BE00" w14:textId="0E2BF05E" w:rsidR="002A2B3A" w:rsidRDefault="002A2B3A" w:rsidP="002A2B3A">
      <w:pPr>
        <w:pStyle w:val="ListBullet"/>
        <w:rPr>
          <w:noProof/>
        </w:rPr>
      </w:pPr>
      <w:r w:rsidRPr="004317AA">
        <w:t>reduce the likelihood of the need for (and degree of) government intervention or support in any future financial crisis.</w:t>
      </w:r>
    </w:p>
    <w:p w14:paraId="7087AD4E" w14:textId="0A146FB1" w:rsidR="00E97CD6" w:rsidRDefault="00E97CD6" w:rsidP="00E97CD6">
      <w:pPr>
        <w:numPr>
          <w:ilvl w:val="0"/>
          <w:numId w:val="0"/>
        </w:numPr>
      </w:pPr>
      <w:r>
        <w:t xml:space="preserve">APS 210 applies to all </w:t>
      </w:r>
      <w:r w:rsidR="00DA7EB2">
        <w:t>banks</w:t>
      </w:r>
      <w:r>
        <w:t xml:space="preserve"> in Australia. It covers both qualitative and quantitative requirements for liquidity risk management. </w:t>
      </w:r>
      <w:r w:rsidR="00B400DA">
        <w:t>13</w:t>
      </w:r>
      <w:r>
        <w:t xml:space="preserve"> domestic </w:t>
      </w:r>
      <w:r w:rsidR="00DA7EB2">
        <w:t>banks</w:t>
      </w:r>
      <w:r>
        <w:t xml:space="preserve"> are currently subject to the LCR and NSFR, and an additional 42 foreign bank branches are subject to the LCR.</w:t>
      </w:r>
    </w:p>
    <w:p w14:paraId="3F3DF5F1" w14:textId="0DFDCBAD" w:rsidR="00E97CD6" w:rsidRDefault="00E97CD6" w:rsidP="00E97CD6">
      <w:pPr>
        <w:pStyle w:val="Heading2Numbers"/>
        <w:numPr>
          <w:ilvl w:val="0"/>
          <w:numId w:val="0"/>
        </w:numPr>
      </w:pPr>
      <w:bookmarkStart w:id="13" w:name="_Toc103687166"/>
      <w:bookmarkStart w:id="14" w:name="_Toc103791290"/>
      <w:r>
        <w:t>LCR and NSFR</w:t>
      </w:r>
      <w:bookmarkEnd w:id="13"/>
      <w:bookmarkEnd w:id="14"/>
    </w:p>
    <w:p w14:paraId="0BC3F928" w14:textId="6E3E42AD" w:rsidR="002A2B3A" w:rsidRDefault="006F5D40" w:rsidP="002A2B3A">
      <w:pPr>
        <w:numPr>
          <w:ilvl w:val="0"/>
          <w:numId w:val="0"/>
        </w:numPr>
        <w:rPr>
          <w:noProof/>
        </w:rPr>
      </w:pPr>
      <w:r>
        <w:t>The</w:t>
      </w:r>
      <w:r w:rsidR="00DA7EB2">
        <w:t xml:space="preserve"> LCR and NSFR are the</w:t>
      </w:r>
      <w:r>
        <w:t xml:space="preserve"> two </w:t>
      </w:r>
      <w:r w:rsidR="00E97CD6">
        <w:t>key funding and liquidity metrics</w:t>
      </w:r>
      <w:r>
        <w:t xml:space="preserve"> in </w:t>
      </w:r>
      <w:r w:rsidR="00E97CD6">
        <w:t>APS 210</w:t>
      </w:r>
      <w:r w:rsidR="00DA7EB2">
        <w:t>.</w:t>
      </w:r>
      <w:r w:rsidR="00BB26A8">
        <w:rPr>
          <w:rStyle w:val="FootnoteReference"/>
        </w:rPr>
        <w:footnoteReference w:id="6"/>
      </w:r>
      <w:r w:rsidR="00E97CD6">
        <w:t xml:space="preserve"> These</w:t>
      </w:r>
      <w:r>
        <w:t xml:space="preserve"> are complementary measures that focus on short-term and longer-term resilience. </w:t>
      </w:r>
      <w:r w:rsidR="00E97CD6">
        <w:t>An overview of the LCR and NSFR is set out below</w:t>
      </w:r>
      <w:r>
        <w:t>.</w:t>
      </w:r>
      <w:r w:rsidR="00B8740F">
        <w:t xml:space="preserve"> </w:t>
      </w:r>
    </w:p>
    <w:p w14:paraId="08086ED5" w14:textId="70C5FFB6" w:rsidR="0051123B" w:rsidRPr="00F8462E" w:rsidRDefault="0051123B" w:rsidP="00510E5C">
      <w:pPr>
        <w:pStyle w:val="Numberedtableheading"/>
      </w:pPr>
      <w:r w:rsidRPr="00F8462E">
        <w:t>Overview of the LCR and NSFR measures</w:t>
      </w:r>
    </w:p>
    <w:tbl>
      <w:tblPr>
        <w:tblStyle w:val="TableGrid"/>
        <w:tblW w:w="9066" w:type="dxa"/>
        <w:tblLayout w:type="fixed"/>
        <w:tblLook w:val="04A0" w:firstRow="1" w:lastRow="0" w:firstColumn="1" w:lastColumn="0" w:noHBand="0" w:noVBand="1"/>
      </w:tblPr>
      <w:tblGrid>
        <w:gridCol w:w="1276"/>
        <w:gridCol w:w="3969"/>
        <w:gridCol w:w="3821"/>
      </w:tblGrid>
      <w:tr w:rsidR="0051123B" w:rsidRPr="00F8462E" w14:paraId="101A1B70" w14:textId="77777777" w:rsidTr="004026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hideMark/>
          </w:tcPr>
          <w:p w14:paraId="469088DE" w14:textId="77777777" w:rsidR="0051123B" w:rsidRPr="00F8462E" w:rsidRDefault="0051123B" w:rsidP="004026E1">
            <w:pPr>
              <w:rPr>
                <w:b/>
                <w:i/>
              </w:rPr>
            </w:pPr>
            <w:r w:rsidRPr="00F8462E">
              <w:rPr>
                <w:b/>
              </w:rPr>
              <w:t>Measure</w:t>
            </w:r>
          </w:p>
        </w:tc>
        <w:tc>
          <w:tcPr>
            <w:tcW w:w="3969" w:type="dxa"/>
          </w:tcPr>
          <w:p w14:paraId="31DF7BEC" w14:textId="77777777" w:rsidR="0051123B" w:rsidRPr="00F8462E" w:rsidRDefault="0051123B" w:rsidP="004026E1">
            <w:pPr>
              <w:cnfStyle w:val="100000000000" w:firstRow="1" w:lastRow="0" w:firstColumn="0" w:lastColumn="0" w:oddVBand="0" w:evenVBand="0" w:oddHBand="0" w:evenHBand="0" w:firstRowFirstColumn="0" w:firstRowLastColumn="0" w:lastRowFirstColumn="0" w:lastRowLastColumn="0"/>
              <w:rPr>
                <w:b/>
                <w:i/>
              </w:rPr>
            </w:pPr>
            <w:r w:rsidRPr="00F8462E">
              <w:rPr>
                <w:b/>
              </w:rPr>
              <w:t>Intended objectives</w:t>
            </w:r>
          </w:p>
        </w:tc>
        <w:tc>
          <w:tcPr>
            <w:tcW w:w="3821" w:type="dxa"/>
          </w:tcPr>
          <w:p w14:paraId="65A1ED51" w14:textId="77777777" w:rsidR="0051123B" w:rsidRPr="00F8462E" w:rsidRDefault="0051123B" w:rsidP="004026E1">
            <w:pPr>
              <w:cnfStyle w:val="100000000000" w:firstRow="1" w:lastRow="0" w:firstColumn="0" w:lastColumn="0" w:oddVBand="0" w:evenVBand="0" w:oddHBand="0" w:evenHBand="0" w:firstRowFirstColumn="0" w:firstRowLastColumn="0" w:lastRowFirstColumn="0" w:lastRowLastColumn="0"/>
              <w:rPr>
                <w:b/>
                <w:i/>
              </w:rPr>
            </w:pPr>
            <w:r w:rsidRPr="00F8462E">
              <w:rPr>
                <w:b/>
              </w:rPr>
              <w:t>Definition</w:t>
            </w:r>
          </w:p>
        </w:tc>
      </w:tr>
      <w:tr w:rsidR="0051123B" w:rsidRPr="00F8462E" w14:paraId="57A48A80" w14:textId="77777777" w:rsidTr="004026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hideMark/>
          </w:tcPr>
          <w:p w14:paraId="549B5773" w14:textId="77777777" w:rsidR="0051123B" w:rsidRPr="00B8740F" w:rsidRDefault="0051123B" w:rsidP="004026E1">
            <w:pPr>
              <w:rPr>
                <w:b/>
                <w:i/>
                <w:color w:val="000000"/>
              </w:rPr>
            </w:pPr>
            <w:r w:rsidRPr="00B8740F">
              <w:rPr>
                <w:b/>
                <w:color w:val="000000"/>
              </w:rPr>
              <w:t>LCR</w:t>
            </w:r>
          </w:p>
        </w:tc>
        <w:tc>
          <w:tcPr>
            <w:tcW w:w="3969" w:type="dxa"/>
          </w:tcPr>
          <w:p w14:paraId="75B268EB" w14:textId="2655DEEA" w:rsidR="0051123B" w:rsidRPr="009B6189" w:rsidRDefault="0051123B" w:rsidP="009B6189">
            <w:pPr>
              <w:cnfStyle w:val="000000100000" w:firstRow="0" w:lastRow="0" w:firstColumn="0" w:lastColumn="0" w:oddVBand="0" w:evenVBand="0" w:oddHBand="1" w:evenHBand="0" w:firstRowFirstColumn="0" w:firstRowLastColumn="0" w:lastRowFirstColumn="0" w:lastRowLastColumn="0"/>
              <w:rPr>
                <w:rFonts w:cs="Arial"/>
              </w:rPr>
            </w:pPr>
            <w:r w:rsidRPr="00F8462E">
              <w:t>The LCR is intended to promote short-term resilience of a bank’s liquidity profile by ensuring that it has sufficient high-quality liquid assets to survive a significant stress event lasting for one month.</w:t>
            </w:r>
          </w:p>
        </w:tc>
        <w:tc>
          <w:tcPr>
            <w:tcW w:w="3821" w:type="dxa"/>
          </w:tcPr>
          <w:p w14:paraId="586FE4AC" w14:textId="37F7FA6C" w:rsidR="0051123B" w:rsidRPr="00F8462E" w:rsidRDefault="0051123B" w:rsidP="004026E1">
            <w:pPr>
              <w:cnfStyle w:val="000000100000" w:firstRow="0" w:lastRow="0" w:firstColumn="0" w:lastColumn="0" w:oddVBand="0" w:evenVBand="0" w:oddHBand="1" w:evenHBand="0" w:firstRowFirstColumn="0" w:firstRowLastColumn="0" w:lastRowFirstColumn="0" w:lastRowLastColumn="0"/>
            </w:pPr>
            <w:r w:rsidRPr="00F8462E">
              <w:t xml:space="preserve">The LCR requires banks to hold high-quality liquid assets at least equal to </w:t>
            </w:r>
            <w:r>
              <w:t xml:space="preserve">an estimate of </w:t>
            </w:r>
            <w:r w:rsidRPr="00F8462E">
              <w:t>short-term net cash outflows</w:t>
            </w:r>
            <w:r>
              <w:t xml:space="preserve"> under a stress scenario</w:t>
            </w:r>
            <w:r w:rsidRPr="00F8462E">
              <w:t>, to build resilience to liquidity shocks.</w:t>
            </w:r>
          </w:p>
        </w:tc>
      </w:tr>
      <w:tr w:rsidR="0051123B" w:rsidRPr="00F8462E" w14:paraId="1FAFF627" w14:textId="77777777" w:rsidTr="004026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hideMark/>
          </w:tcPr>
          <w:p w14:paraId="5E623F8B" w14:textId="066C0B81" w:rsidR="0051123B" w:rsidRPr="00B8740F" w:rsidRDefault="0051123B" w:rsidP="004026E1">
            <w:pPr>
              <w:rPr>
                <w:b/>
                <w:i/>
                <w:color w:val="000000"/>
              </w:rPr>
            </w:pPr>
            <w:r w:rsidRPr="00B8740F">
              <w:rPr>
                <w:b/>
                <w:color w:val="000000"/>
              </w:rPr>
              <w:t>NSFR</w:t>
            </w:r>
          </w:p>
        </w:tc>
        <w:tc>
          <w:tcPr>
            <w:tcW w:w="3969" w:type="dxa"/>
          </w:tcPr>
          <w:p w14:paraId="7A2C98AD" w14:textId="77777777" w:rsidR="0051123B" w:rsidRPr="00F8462E" w:rsidRDefault="0051123B" w:rsidP="004026E1">
            <w:pPr>
              <w:cnfStyle w:val="000000010000" w:firstRow="0" w:lastRow="0" w:firstColumn="0" w:lastColumn="0" w:oddVBand="0" w:evenVBand="0" w:oddHBand="0" w:evenHBand="1" w:firstRowFirstColumn="0" w:firstRowLastColumn="0" w:lastRowFirstColumn="0" w:lastRowLastColumn="0"/>
              <w:rPr>
                <w:rFonts w:cs="Arial"/>
              </w:rPr>
            </w:pPr>
            <w:r w:rsidRPr="00F8462E">
              <w:t xml:space="preserve">The NSFR is intended to promote longer-term resilience </w:t>
            </w:r>
            <w:r>
              <w:t>in</w:t>
            </w:r>
            <w:r w:rsidRPr="00F8462E">
              <w:t xml:space="preserve"> a bank’s </w:t>
            </w:r>
            <w:r>
              <w:t>funding</w:t>
            </w:r>
            <w:r w:rsidRPr="00F8462E">
              <w:t xml:space="preserve"> profile through </w:t>
            </w:r>
            <w:r>
              <w:t xml:space="preserve">requiring </w:t>
            </w:r>
            <w:r w:rsidRPr="00F8462E">
              <w:t>more stable sources of funding on an ongoing basis.</w:t>
            </w:r>
          </w:p>
        </w:tc>
        <w:tc>
          <w:tcPr>
            <w:tcW w:w="3821" w:type="dxa"/>
          </w:tcPr>
          <w:p w14:paraId="7E3DB0AE" w14:textId="5900B557" w:rsidR="0051123B" w:rsidRPr="009B6189" w:rsidRDefault="0051123B" w:rsidP="009B6189">
            <w:pPr>
              <w:cnfStyle w:val="000000010000" w:firstRow="0" w:lastRow="0" w:firstColumn="0" w:lastColumn="0" w:oddVBand="0" w:evenVBand="0" w:oddHBand="0" w:evenHBand="1" w:firstRowFirstColumn="0" w:firstRowLastColumn="0" w:lastRowFirstColumn="0" w:lastRowLastColumn="0"/>
            </w:pPr>
            <w:r w:rsidRPr="00F8462E">
              <w:t>The NSFR requires banks to maintain an amount of available stable funding at least equal to their required stable funding, to promote sustainable funding structures.</w:t>
            </w:r>
          </w:p>
        </w:tc>
      </w:tr>
    </w:tbl>
    <w:p w14:paraId="1D9A1CBE" w14:textId="01C0E702" w:rsidR="00E24F54" w:rsidRDefault="00CC714C" w:rsidP="00510E5C">
      <w:pPr>
        <w:spacing w:before="240"/>
        <w:rPr>
          <w:noProof/>
        </w:rPr>
      </w:pPr>
      <w:r>
        <w:t xml:space="preserve">As previously detailed in APRA’s </w:t>
      </w:r>
      <w:r w:rsidR="002E26DC">
        <w:t>RIS</w:t>
      </w:r>
      <w:r>
        <w:t xml:space="preserve"> in 2013 and 2016, </w:t>
      </w:r>
      <w:r w:rsidR="00F658A3">
        <w:t xml:space="preserve">APRA considered a number of options </w:t>
      </w:r>
      <w:r w:rsidR="007A46B6">
        <w:t>to</w:t>
      </w:r>
      <w:r w:rsidR="00F658A3">
        <w:t xml:space="preserve"> address the issues arising from liquidity risk, ranging from maintaining the existing framework to implementing some or all of the Basel III reforms.</w:t>
      </w:r>
      <w:r w:rsidRPr="00CC714C">
        <w:rPr>
          <w:rStyle w:val="FootnoteReference"/>
        </w:rPr>
        <w:t xml:space="preserve"> </w:t>
      </w:r>
    </w:p>
    <w:p w14:paraId="481CC586" w14:textId="4548CFBC" w:rsidR="00152952" w:rsidRDefault="0012072C" w:rsidP="00510E5C">
      <w:pPr>
        <w:spacing w:before="240"/>
        <w:rPr>
          <w:noProof/>
        </w:rPr>
      </w:pPr>
      <w:r>
        <w:t>APRA</w:t>
      </w:r>
      <w:r w:rsidR="00F658A3">
        <w:t>’s preferred option was to</w:t>
      </w:r>
      <w:r>
        <w:t xml:space="preserve"> implement the Basel III framework </w:t>
      </w:r>
      <w:r w:rsidR="007864C3">
        <w:t>with a focus on proportionality</w:t>
      </w:r>
      <w:r>
        <w:t xml:space="preserve">, applying the </w:t>
      </w:r>
      <w:r w:rsidR="007864C3">
        <w:t xml:space="preserve">LCR and </w:t>
      </w:r>
      <w:r w:rsidR="005075C3">
        <w:t xml:space="preserve">NSFR </w:t>
      </w:r>
      <w:r w:rsidR="007864C3">
        <w:t xml:space="preserve">to large banks and simplified liquidity requirements for smaller </w:t>
      </w:r>
      <w:r w:rsidR="00DA7EB2">
        <w:t>ones</w:t>
      </w:r>
      <w:r w:rsidR="007864C3">
        <w:t xml:space="preserve">. </w:t>
      </w:r>
      <w:r w:rsidR="00CC714C">
        <w:t>This approach was consistent with the capabilities and needs of the Australian banking system,</w:t>
      </w:r>
      <w:r w:rsidR="002A4DE7">
        <w:t xml:space="preserve"> while</w:t>
      </w:r>
      <w:r w:rsidR="00CC714C">
        <w:t xml:space="preserve"> strengthen</w:t>
      </w:r>
      <w:r w:rsidR="002A4DE7">
        <w:t>ing</w:t>
      </w:r>
      <w:r w:rsidR="00CC714C">
        <w:t xml:space="preserve"> resilience and ensur</w:t>
      </w:r>
      <w:r w:rsidR="00380BA9">
        <w:t>ing</w:t>
      </w:r>
      <w:r w:rsidR="00CC714C">
        <w:t xml:space="preserve"> Australian banks remained in line with international best practice. </w:t>
      </w:r>
      <w:r w:rsidR="003D5937">
        <w:t xml:space="preserve">A </w:t>
      </w:r>
      <w:r w:rsidR="00F658A3">
        <w:t>more detailed</w:t>
      </w:r>
      <w:r w:rsidR="003D5937">
        <w:t xml:space="preserve"> summary of the options considered</w:t>
      </w:r>
      <w:r w:rsidR="006F5D40">
        <w:t xml:space="preserve"> in </w:t>
      </w:r>
      <w:r w:rsidR="00E97CD6">
        <w:t>developing APS 210 and designing the LCR a</w:t>
      </w:r>
      <w:r w:rsidR="00DA7EB2">
        <w:t>n</w:t>
      </w:r>
      <w:r w:rsidR="00E97CD6">
        <w:t>d NSFR metrics</w:t>
      </w:r>
      <w:r w:rsidR="00754D73">
        <w:t xml:space="preserve"> </w:t>
      </w:r>
      <w:r w:rsidR="00E97CD6">
        <w:t>is</w:t>
      </w:r>
      <w:r w:rsidR="00754D73">
        <w:t xml:space="preserve"> </w:t>
      </w:r>
      <w:r w:rsidR="00A703F1">
        <w:t>provide</w:t>
      </w:r>
      <w:r w:rsidR="00754D73">
        <w:t>d</w:t>
      </w:r>
      <w:r w:rsidR="00754D73" w:rsidRPr="005A45A1">
        <w:t xml:space="preserve"> in </w:t>
      </w:r>
      <w:r w:rsidR="00E97CD6">
        <w:t>Annex</w:t>
      </w:r>
      <w:r w:rsidR="00754D73" w:rsidRPr="0079096A">
        <w:t xml:space="preserve"> </w:t>
      </w:r>
      <w:r w:rsidR="00FC2966">
        <w:t>A</w:t>
      </w:r>
      <w:r w:rsidR="00754D73">
        <w:t xml:space="preserve">. </w:t>
      </w:r>
    </w:p>
    <w:p w14:paraId="653D6241" w14:textId="627E34EC" w:rsidR="001B704A" w:rsidRDefault="009B6189" w:rsidP="00161D16">
      <w:pPr>
        <w:pStyle w:val="Heading2Numbers"/>
        <w:numPr>
          <w:ilvl w:val="0"/>
          <w:numId w:val="0"/>
        </w:numPr>
      </w:pPr>
      <w:bookmarkStart w:id="15" w:name="_Toc103687167"/>
      <w:bookmarkStart w:id="16" w:name="_Toc103791291"/>
      <w:r>
        <w:t>PIR</w:t>
      </w:r>
      <w:r w:rsidR="001B704A">
        <w:t xml:space="preserve"> </w:t>
      </w:r>
      <w:r w:rsidR="0025449D">
        <w:t>p</w:t>
      </w:r>
      <w:r w:rsidR="001B704A">
        <w:t>rocess</w:t>
      </w:r>
      <w:bookmarkEnd w:id="15"/>
      <w:bookmarkEnd w:id="16"/>
    </w:p>
    <w:p w14:paraId="7EEF40F5" w14:textId="703B1C2E" w:rsidR="001B704A" w:rsidRPr="005B1159" w:rsidRDefault="001B704A" w:rsidP="005B1159">
      <w:r w:rsidRPr="005B1159">
        <w:t xml:space="preserve">On 3 March 2022, APRA released a Discussion Paper </w:t>
      </w:r>
      <w:r w:rsidR="00161D16">
        <w:t xml:space="preserve">to initiate </w:t>
      </w:r>
      <w:r w:rsidR="005D311B">
        <w:t xml:space="preserve">the PIR </w:t>
      </w:r>
      <w:r w:rsidR="004E5354" w:rsidRPr="005B1159">
        <w:t>of the LCR and NSFR</w:t>
      </w:r>
      <w:r w:rsidRPr="005B1159">
        <w:t>.</w:t>
      </w:r>
      <w:r w:rsidRPr="005B1159">
        <w:rPr>
          <w:rStyle w:val="FootnoteReference"/>
        </w:rPr>
        <w:footnoteReference w:id="7"/>
      </w:r>
      <w:r w:rsidR="005B1159" w:rsidRPr="005B1159">
        <w:t xml:space="preserve"> The </w:t>
      </w:r>
      <w:r w:rsidR="00161D16">
        <w:t>aim of the PIR was</w:t>
      </w:r>
      <w:r w:rsidR="005B1159" w:rsidRPr="005B1159">
        <w:t xml:space="preserve"> to </w:t>
      </w:r>
      <w:r w:rsidR="00161D16">
        <w:t>evaluate whether the implemented policy was operating as intended, and effectively and efficiently meeting the objectives in addressing the original problem. Feedback gained through the PIR would be used to inform potential improvements to the LCR and NSFR as part of APRA’s planned review of APS 210 in 2023.</w:t>
      </w:r>
      <w:r w:rsidR="005B1159" w:rsidRPr="005B1159">
        <w:t xml:space="preserve"> </w:t>
      </w:r>
    </w:p>
    <w:p w14:paraId="3B9C060B" w14:textId="5BA2357C" w:rsidR="001B704A" w:rsidRDefault="004E5354" w:rsidP="001B704A">
      <w:r>
        <w:t xml:space="preserve">The </w:t>
      </w:r>
      <w:r w:rsidR="005B1159">
        <w:t xml:space="preserve">Discussion Paper sought feedback from stakeholders on the </w:t>
      </w:r>
      <w:r w:rsidR="00161D16">
        <w:t xml:space="preserve">benefits to financial safety and system stability, compliance and </w:t>
      </w:r>
      <w:r w:rsidR="00210532">
        <w:t>financial</w:t>
      </w:r>
      <w:r w:rsidR="00161D16">
        <w:t xml:space="preserve"> costs</w:t>
      </w:r>
      <w:r w:rsidR="00B400DA">
        <w:t>,</w:t>
      </w:r>
      <w:r w:rsidR="00161D16">
        <w:t xml:space="preserve"> and the impacts on competition. </w:t>
      </w:r>
      <w:r w:rsidR="001B704A" w:rsidRPr="00605B49">
        <w:t>To enable an informed assessment, APRA considered a range of evidence and used several approaches,</w:t>
      </w:r>
      <w:r w:rsidR="001B704A" w:rsidRPr="00605B49" w:rsidDel="00596436">
        <w:t xml:space="preserve"> </w:t>
      </w:r>
      <w:r w:rsidR="001B704A" w:rsidRPr="00605B49">
        <w:t xml:space="preserve">summarised below. </w:t>
      </w:r>
    </w:p>
    <w:p w14:paraId="3A0CE82F" w14:textId="0154EC20" w:rsidR="007D2D8E" w:rsidRPr="00605B49" w:rsidRDefault="007D2D8E" w:rsidP="007D2D8E">
      <w:pPr>
        <w:pStyle w:val="Numberedfigureheading"/>
      </w:pPr>
      <w:r>
        <w:t xml:space="preserve">Sources </w:t>
      </w:r>
    </w:p>
    <w:p w14:paraId="0CCF8CB6" w14:textId="2F183AC6" w:rsidR="001B704A" w:rsidRPr="00CE1D5D" w:rsidRDefault="001B704A" w:rsidP="001B704A">
      <w:r w:rsidRPr="00CE1D5D">
        <w:rPr>
          <w:noProof/>
        </w:rPr>
        <w:drawing>
          <wp:inline distT="0" distB="0" distL="0" distR="0" wp14:anchorId="1155E9AD" wp14:editId="4BDA2E44">
            <wp:extent cx="5731510" cy="1536700"/>
            <wp:effectExtent l="0" t="0" r="21590" b="0"/>
            <wp:docPr id="2" name="Diagram 2" descr="Policy assessment, data analysis, bilateral meetings, industry roundtable discussions, written submissions ">
              <a:extLst xmlns:a="http://schemas.openxmlformats.org/drawingml/2006/main">
                <a:ext uri="{FF2B5EF4-FFF2-40B4-BE49-F238E27FC236}">
                  <a16:creationId xmlns:a16="http://schemas.microsoft.com/office/drawing/2014/main" id="{DF8D6917-1C86-4822-A4CB-A7331016BAB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53CC1038" w14:textId="08D41B84" w:rsidR="00DB13A5" w:rsidRDefault="007228FE" w:rsidP="00B400DA">
      <w:pPr>
        <w:pStyle w:val="ListBullet"/>
        <w:widowControl w:val="0"/>
        <w:numPr>
          <w:ilvl w:val="0"/>
          <w:numId w:val="0"/>
        </w:numPr>
        <w:rPr>
          <w:noProof/>
        </w:rPr>
      </w:pPr>
      <w:r w:rsidRPr="00605B49">
        <w:t xml:space="preserve">APRA received </w:t>
      </w:r>
      <w:r w:rsidR="00B400DA">
        <w:t>11</w:t>
      </w:r>
      <w:r w:rsidRPr="00605B49">
        <w:t xml:space="preserve"> written submissions </w:t>
      </w:r>
      <w:r>
        <w:t xml:space="preserve">in response </w:t>
      </w:r>
      <w:r w:rsidRPr="00605B49">
        <w:t xml:space="preserve">to the Discussion </w:t>
      </w:r>
      <w:r w:rsidR="005D311B" w:rsidRPr="00605B49">
        <w:t>Paper</w:t>
      </w:r>
      <w:r w:rsidR="005D311B">
        <w:t xml:space="preserve"> and</w:t>
      </w:r>
      <w:r>
        <w:t xml:space="preserve"> </w:t>
      </w:r>
      <w:r w:rsidRPr="00605B49">
        <w:t>held discussions with a range of banks</w:t>
      </w:r>
      <w:r w:rsidR="00BB1CEC">
        <w:t xml:space="preserve"> (including majors, </w:t>
      </w:r>
      <w:r w:rsidR="005D311B">
        <w:t>regionals,</w:t>
      </w:r>
      <w:r w:rsidR="00BB1CEC">
        <w:t xml:space="preserve"> and a subsidiary of a foreign bank)</w:t>
      </w:r>
      <w:r w:rsidRPr="00605B49">
        <w:t>, industry associations, rating agencies</w:t>
      </w:r>
      <w:r>
        <w:t>,</w:t>
      </w:r>
      <w:r w:rsidRPr="00605B49">
        <w:t xml:space="preserve"> and national and international regulatory agencies. Non-confidential submissions</w:t>
      </w:r>
      <w:r w:rsidR="005D311B">
        <w:t>, as listed in the table below,</w:t>
      </w:r>
      <w:r w:rsidRPr="00605B49">
        <w:t xml:space="preserve"> are available on the APRA website</w:t>
      </w:r>
      <w:r w:rsidR="005D311B">
        <w:t>.</w:t>
      </w:r>
      <w:r w:rsidR="000E76B4">
        <w:t xml:space="preserve"> </w:t>
      </w:r>
      <w:r>
        <w:t xml:space="preserve"> </w:t>
      </w:r>
      <w:r w:rsidRPr="00605B49">
        <w:t xml:space="preserve"> </w:t>
      </w:r>
    </w:p>
    <w:p w14:paraId="745625A6" w14:textId="38743481" w:rsidR="00D83CA3" w:rsidRDefault="00D83CA3" w:rsidP="00BB1CEC">
      <w:pPr>
        <w:pStyle w:val="Numberedtableheading"/>
      </w:pPr>
      <w:r>
        <w:t xml:space="preserve">Non confidential submissions </w:t>
      </w:r>
    </w:p>
    <w:tbl>
      <w:tblPr>
        <w:tblStyle w:val="TableGrid"/>
        <w:tblW w:w="6946" w:type="dxa"/>
        <w:jc w:val="center"/>
        <w:tblLayout w:type="fixed"/>
        <w:tblLook w:val="04A0" w:firstRow="1" w:lastRow="0" w:firstColumn="1" w:lastColumn="0" w:noHBand="0" w:noVBand="1"/>
      </w:tblPr>
      <w:tblGrid>
        <w:gridCol w:w="3402"/>
        <w:gridCol w:w="3544"/>
      </w:tblGrid>
      <w:tr w:rsidR="00BB1CEC" w:rsidRPr="00F8462E" w14:paraId="2794C57D" w14:textId="77777777" w:rsidTr="00BB1CE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2" w:type="dxa"/>
            <w:hideMark/>
          </w:tcPr>
          <w:p w14:paraId="7D336BB1" w14:textId="48A47883" w:rsidR="00BB1CEC" w:rsidRPr="00F8462E" w:rsidRDefault="00BB1CEC" w:rsidP="00A63299">
            <w:pPr>
              <w:rPr>
                <w:b/>
                <w:i/>
              </w:rPr>
            </w:pPr>
            <w:r>
              <w:rPr>
                <w:b/>
              </w:rPr>
              <w:t>Stakeholder</w:t>
            </w:r>
          </w:p>
        </w:tc>
        <w:tc>
          <w:tcPr>
            <w:tcW w:w="3544" w:type="dxa"/>
          </w:tcPr>
          <w:p w14:paraId="38B7607C" w14:textId="57D48A2A" w:rsidR="00BB1CEC" w:rsidRPr="00F8462E" w:rsidRDefault="00BB1CEC" w:rsidP="00A63299">
            <w:pPr>
              <w:cnfStyle w:val="100000000000" w:firstRow="1" w:lastRow="0" w:firstColumn="0" w:lastColumn="0" w:oddVBand="0" w:evenVBand="0" w:oddHBand="0" w:evenHBand="0" w:firstRowFirstColumn="0" w:firstRowLastColumn="0" w:lastRowFirstColumn="0" w:lastRowLastColumn="0"/>
              <w:rPr>
                <w:b/>
                <w:i/>
              </w:rPr>
            </w:pPr>
            <w:r>
              <w:rPr>
                <w:b/>
              </w:rPr>
              <w:t>Type</w:t>
            </w:r>
          </w:p>
        </w:tc>
      </w:tr>
      <w:tr w:rsidR="00BB1CEC" w:rsidRPr="00F8462E" w14:paraId="6AF5BCE0" w14:textId="77777777" w:rsidTr="00BB1CE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2" w:type="dxa"/>
            <w:hideMark/>
          </w:tcPr>
          <w:p w14:paraId="116901B0" w14:textId="4645119D" w:rsidR="00BB1CEC" w:rsidRPr="00B8740F" w:rsidRDefault="00BB1CEC" w:rsidP="007228FE">
            <w:pPr>
              <w:rPr>
                <w:b/>
                <w:i/>
                <w:color w:val="000000"/>
              </w:rPr>
            </w:pPr>
            <w:r>
              <w:rPr>
                <w:b/>
                <w:color w:val="000000"/>
              </w:rPr>
              <w:t>Australian Banking Association</w:t>
            </w:r>
          </w:p>
        </w:tc>
        <w:tc>
          <w:tcPr>
            <w:tcW w:w="3544" w:type="dxa"/>
          </w:tcPr>
          <w:p w14:paraId="3626FA7B" w14:textId="5FB63422" w:rsidR="00BB1CEC" w:rsidRPr="00F8462E" w:rsidRDefault="00BB1CEC" w:rsidP="007228FE">
            <w:pPr>
              <w:cnfStyle w:val="000000100000" w:firstRow="0" w:lastRow="0" w:firstColumn="0" w:lastColumn="0" w:oddVBand="0" w:evenVBand="0" w:oddHBand="1" w:evenHBand="0" w:firstRowFirstColumn="0" w:firstRowLastColumn="0" w:lastRowFirstColumn="0" w:lastRowLastColumn="0"/>
              <w:rPr>
                <w:rFonts w:cs="Arial"/>
              </w:rPr>
            </w:pPr>
            <w:r>
              <w:t>Industry Association</w:t>
            </w:r>
          </w:p>
        </w:tc>
      </w:tr>
      <w:tr w:rsidR="00BB1CEC" w:rsidRPr="00F8462E" w14:paraId="4BCD4439" w14:textId="77777777" w:rsidTr="00BB1CE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2" w:type="dxa"/>
          </w:tcPr>
          <w:p w14:paraId="705BD3E9" w14:textId="776C2BA0" w:rsidR="00BB1CEC" w:rsidRPr="00B8740F" w:rsidRDefault="00BB1CEC" w:rsidP="007228FE">
            <w:pPr>
              <w:rPr>
                <w:b/>
                <w:i/>
                <w:color w:val="000000"/>
              </w:rPr>
            </w:pPr>
            <w:r>
              <w:rPr>
                <w:b/>
                <w:color w:val="000000"/>
              </w:rPr>
              <w:t>Australian Financial Markets Association</w:t>
            </w:r>
          </w:p>
        </w:tc>
        <w:tc>
          <w:tcPr>
            <w:tcW w:w="3544" w:type="dxa"/>
          </w:tcPr>
          <w:p w14:paraId="0DDD7946" w14:textId="4EADF5D8" w:rsidR="00BB1CEC" w:rsidRPr="00F8462E" w:rsidRDefault="00BB1CEC" w:rsidP="007228FE">
            <w:pPr>
              <w:cnfStyle w:val="000000010000" w:firstRow="0" w:lastRow="0" w:firstColumn="0" w:lastColumn="0" w:oddVBand="0" w:evenVBand="0" w:oddHBand="0" w:evenHBand="1" w:firstRowFirstColumn="0" w:firstRowLastColumn="0" w:lastRowFirstColumn="0" w:lastRowLastColumn="0"/>
              <w:rPr>
                <w:rFonts w:cs="Arial"/>
              </w:rPr>
            </w:pPr>
            <w:r>
              <w:rPr>
                <w:rFonts w:cs="Arial"/>
              </w:rPr>
              <w:t xml:space="preserve">Industry Association </w:t>
            </w:r>
          </w:p>
        </w:tc>
      </w:tr>
      <w:tr w:rsidR="00232A5E" w:rsidRPr="00F8462E" w14:paraId="1357BCDF" w14:textId="77777777" w:rsidTr="00BB1CE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2" w:type="dxa"/>
          </w:tcPr>
          <w:p w14:paraId="7D366997" w14:textId="57BF098B" w:rsidR="00232A5E" w:rsidRDefault="00232A5E" w:rsidP="00232A5E">
            <w:pPr>
              <w:rPr>
                <w:b/>
              </w:rPr>
            </w:pPr>
            <w:r>
              <w:rPr>
                <w:b/>
              </w:rPr>
              <w:t xml:space="preserve">Australian Small Business and Family Enterprise Ombudsman </w:t>
            </w:r>
          </w:p>
        </w:tc>
        <w:tc>
          <w:tcPr>
            <w:tcW w:w="3544" w:type="dxa"/>
          </w:tcPr>
          <w:p w14:paraId="2B7DC768" w14:textId="56DDF92E" w:rsidR="00232A5E" w:rsidRDefault="00232A5E" w:rsidP="00232A5E">
            <w:pPr>
              <w:cnfStyle w:val="000000100000" w:firstRow="0" w:lastRow="0" w:firstColumn="0" w:lastColumn="0" w:oddVBand="0" w:evenVBand="0" w:oddHBand="1" w:evenHBand="0" w:firstRowFirstColumn="0" w:firstRowLastColumn="0" w:lastRowFirstColumn="0" w:lastRowLastColumn="0"/>
              <w:rPr>
                <w:rFonts w:cs="Arial"/>
              </w:rPr>
            </w:pPr>
            <w:r>
              <w:t xml:space="preserve">Government Ombudsman </w:t>
            </w:r>
          </w:p>
        </w:tc>
      </w:tr>
      <w:tr w:rsidR="00BB1CEC" w:rsidRPr="00F8462E" w14:paraId="62D7A6D5" w14:textId="77777777" w:rsidTr="00BB1CE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2" w:type="dxa"/>
          </w:tcPr>
          <w:p w14:paraId="3AA1C6D2" w14:textId="049479D0" w:rsidR="00BB1CEC" w:rsidRDefault="00BB1CEC" w:rsidP="007228FE">
            <w:pPr>
              <w:rPr>
                <w:b/>
              </w:rPr>
            </w:pPr>
            <w:r>
              <w:rPr>
                <w:b/>
              </w:rPr>
              <w:t>Kevin Davis</w:t>
            </w:r>
          </w:p>
        </w:tc>
        <w:tc>
          <w:tcPr>
            <w:tcW w:w="3544" w:type="dxa"/>
          </w:tcPr>
          <w:p w14:paraId="6B552C45" w14:textId="4F11C859" w:rsidR="00BB1CEC" w:rsidRDefault="00BB1CEC" w:rsidP="007228FE">
            <w:pPr>
              <w:cnfStyle w:val="000000010000" w:firstRow="0" w:lastRow="0" w:firstColumn="0" w:lastColumn="0" w:oddVBand="0" w:evenVBand="0" w:oddHBand="0" w:evenHBand="1" w:firstRowFirstColumn="0" w:firstRowLastColumn="0" w:lastRowFirstColumn="0" w:lastRowLastColumn="0"/>
            </w:pPr>
            <w:r>
              <w:t xml:space="preserve">Academic </w:t>
            </w:r>
          </w:p>
        </w:tc>
      </w:tr>
      <w:tr w:rsidR="00BB1CEC" w:rsidRPr="00F8462E" w14:paraId="14863FBB" w14:textId="77777777" w:rsidTr="00BB1CE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2" w:type="dxa"/>
          </w:tcPr>
          <w:p w14:paraId="268C09E8" w14:textId="783FE97A" w:rsidR="00BB1CEC" w:rsidRDefault="00BB1CEC" w:rsidP="007228FE">
            <w:pPr>
              <w:rPr>
                <w:b/>
              </w:rPr>
            </w:pPr>
            <w:r>
              <w:rPr>
                <w:b/>
                <w:color w:val="000000"/>
              </w:rPr>
              <w:t>National Australia Bank</w:t>
            </w:r>
          </w:p>
        </w:tc>
        <w:tc>
          <w:tcPr>
            <w:tcW w:w="3544" w:type="dxa"/>
          </w:tcPr>
          <w:p w14:paraId="6564E165" w14:textId="3EE9E249" w:rsidR="00BB1CEC" w:rsidRDefault="00BB1CEC" w:rsidP="007228FE">
            <w:pPr>
              <w:cnfStyle w:val="000000100000" w:firstRow="0" w:lastRow="0" w:firstColumn="0" w:lastColumn="0" w:oddVBand="0" w:evenVBand="0" w:oddHBand="1" w:evenHBand="0" w:firstRowFirstColumn="0" w:firstRowLastColumn="0" w:lastRowFirstColumn="0" w:lastRowLastColumn="0"/>
            </w:pPr>
            <w:r>
              <w:t>Bank</w:t>
            </w:r>
          </w:p>
        </w:tc>
      </w:tr>
    </w:tbl>
    <w:p w14:paraId="4D720C39" w14:textId="7FA51062" w:rsidR="00BB27C1" w:rsidRPr="00AA46A3" w:rsidRDefault="0018406B" w:rsidP="00AA46A3">
      <w:pPr>
        <w:numPr>
          <w:ilvl w:val="0"/>
          <w:numId w:val="0"/>
        </w:numPr>
        <w:rPr>
          <w:highlight w:val="lightGray"/>
        </w:rPr>
      </w:pPr>
      <w:r>
        <w:br/>
      </w:r>
      <w:r w:rsidR="00CF1973">
        <w:t>In the analysis below,</w:t>
      </w:r>
      <w:r>
        <w:t xml:space="preserve"> where possible, APRA has sought </w:t>
      </w:r>
      <w:r w:rsidR="00D90AAF">
        <w:t xml:space="preserve">to </w:t>
      </w:r>
      <w:r>
        <w:t xml:space="preserve">attribute findings to sources, noting that most submissions received were confidential and views expressed within submissions were </w:t>
      </w:r>
      <w:r w:rsidR="00CF1973">
        <w:t xml:space="preserve">generally </w:t>
      </w:r>
      <w:r>
        <w:t xml:space="preserve">consistent across stakeholders.  </w:t>
      </w:r>
    </w:p>
    <w:p w14:paraId="31ECB363" w14:textId="061141E9" w:rsidR="002554CC" w:rsidRPr="002554CC" w:rsidRDefault="00B8740F" w:rsidP="00354D13">
      <w:pPr>
        <w:pStyle w:val="Heading1Numbers"/>
      </w:pPr>
      <w:bookmarkStart w:id="17" w:name="_Toc102491384"/>
      <w:bookmarkStart w:id="18" w:name="_Toc102491385"/>
      <w:bookmarkStart w:id="19" w:name="_Toc103791292"/>
      <w:bookmarkEnd w:id="17"/>
      <w:bookmarkEnd w:id="18"/>
      <w:r>
        <w:t xml:space="preserve">Impact of </w:t>
      </w:r>
      <w:r w:rsidR="00530323">
        <w:t>the reforms</w:t>
      </w:r>
      <w:bookmarkEnd w:id="19"/>
    </w:p>
    <w:p w14:paraId="7963FC46" w14:textId="0B1CAD5C" w:rsidR="00560E1F" w:rsidRDefault="00BD74F1" w:rsidP="00BD74F1">
      <w:pPr>
        <w:pStyle w:val="APRANORMAL"/>
        <w:rPr>
          <w:rFonts w:cstheme="minorBidi"/>
        </w:rPr>
      </w:pPr>
      <w:bookmarkStart w:id="20" w:name="_Toc103791293"/>
      <w:bookmarkStart w:id="21" w:name="_Toc103687169"/>
      <w:bookmarkStart w:id="22" w:name="_Toc885098"/>
      <w:bookmarkStart w:id="23" w:name="_Toc962117"/>
      <w:bookmarkStart w:id="24" w:name="_Toc964506"/>
      <w:bookmarkStart w:id="25" w:name="_Toc2159586"/>
      <w:bookmarkStart w:id="26" w:name="_Toc2166401"/>
      <w:bookmarkStart w:id="27" w:name="_Toc3297575"/>
      <w:bookmarkStart w:id="28" w:name="_Toc530740572"/>
      <w:bookmarkStart w:id="29" w:name="_Toc530746959"/>
      <w:bookmarkStart w:id="30" w:name="_Toc856324"/>
      <w:r>
        <w:rPr>
          <w:rFonts w:cstheme="minorBidi"/>
        </w:rPr>
        <w:t xml:space="preserve">This chapter assesses the impact of the </w:t>
      </w:r>
      <w:r w:rsidR="00342394">
        <w:rPr>
          <w:rFonts w:cstheme="minorBidi"/>
        </w:rPr>
        <w:t>reforms and</w:t>
      </w:r>
      <w:r>
        <w:rPr>
          <w:rFonts w:cstheme="minorBidi"/>
        </w:rPr>
        <w:t xml:space="preserve"> analyses the costs and benefits. It also examines the impact on competition.</w:t>
      </w:r>
      <w:r w:rsidR="001C1BA9">
        <w:rPr>
          <w:rFonts w:cstheme="minorBidi"/>
        </w:rPr>
        <w:t xml:space="preserve"> </w:t>
      </w:r>
    </w:p>
    <w:p w14:paraId="3E28172B" w14:textId="6304606E" w:rsidR="00342394" w:rsidRDefault="00BD74F1" w:rsidP="00BD74F1">
      <w:pPr>
        <w:pStyle w:val="Heading2Numbers"/>
        <w:numPr>
          <w:ilvl w:val="0"/>
          <w:numId w:val="0"/>
        </w:numPr>
      </w:pPr>
      <w:r>
        <w:t>Overview</w:t>
      </w:r>
      <w:r w:rsidR="00342394">
        <w:t xml:space="preserve"> of the reforms</w:t>
      </w:r>
      <w:bookmarkEnd w:id="20"/>
      <w:r w:rsidR="00342394">
        <w:t xml:space="preserve"> </w:t>
      </w:r>
    </w:p>
    <w:p w14:paraId="335E3DBB" w14:textId="1AFF50BB" w:rsidR="007864C3" w:rsidRDefault="00342394" w:rsidP="00342394">
      <w:pPr>
        <w:pStyle w:val="APRANORMAL"/>
      </w:pPr>
      <w:r>
        <w:rPr>
          <w:rFonts w:cstheme="minorBidi"/>
        </w:rPr>
        <w:t>As</w:t>
      </w:r>
      <w:r w:rsidRPr="00530323">
        <w:rPr>
          <w:rFonts w:cstheme="minorBidi"/>
        </w:rPr>
        <w:t xml:space="preserve"> </w:t>
      </w:r>
      <w:r w:rsidRPr="00530323">
        <w:t xml:space="preserve">part of the consultation undertaken when implementing the Basel III liquidity reforms, </w:t>
      </w:r>
      <w:r w:rsidR="00A55629">
        <w:t>t</w:t>
      </w:r>
      <w:r w:rsidR="007864C3">
        <w:t>he key benefits</w:t>
      </w:r>
      <w:r w:rsidR="007D2D8E">
        <w:t xml:space="preserve"> and costs</w:t>
      </w:r>
      <w:r w:rsidR="007864C3">
        <w:t xml:space="preserve"> of the reforms were outlined in the </w:t>
      </w:r>
      <w:r w:rsidR="00A55629">
        <w:t>RIS</w:t>
      </w:r>
      <w:r w:rsidR="00A96EA6">
        <w:t>; these have been</w:t>
      </w:r>
      <w:r w:rsidR="007864C3">
        <w:t xml:space="preserve"> tested through the PIR process.</w:t>
      </w:r>
      <w:r w:rsidR="00A22034">
        <w:t xml:space="preserve"> The chart below summarises the key considerations, which were assessed in the </w:t>
      </w:r>
      <w:r w:rsidR="00F43059">
        <w:t xml:space="preserve">original </w:t>
      </w:r>
      <w:r w:rsidR="00A22034">
        <w:t>RIS to provide a</w:t>
      </w:r>
      <w:r w:rsidR="00B400DA">
        <w:t>n overall</w:t>
      </w:r>
      <w:r w:rsidR="00A22034">
        <w:t xml:space="preserve"> net benefit.</w:t>
      </w:r>
    </w:p>
    <w:p w14:paraId="0FE6926D" w14:textId="1AECC700" w:rsidR="007D2D8E" w:rsidRDefault="007D2D8E" w:rsidP="00342394">
      <w:pPr>
        <w:pStyle w:val="Numberedfigureheading"/>
      </w:pPr>
      <w:r>
        <w:t xml:space="preserve">Key benefits and costs  </w:t>
      </w:r>
      <w:r w:rsidRPr="00530323">
        <w:rPr>
          <w:noProof/>
        </w:rPr>
        <w:drawing>
          <wp:anchor distT="0" distB="0" distL="114300" distR="114300" simplePos="0" relativeHeight="251658243" behindDoc="0" locked="0" layoutInCell="1" allowOverlap="1" wp14:anchorId="3F1C77A0" wp14:editId="51D38F64">
            <wp:simplePos x="0" y="0"/>
            <wp:positionH relativeFrom="margin">
              <wp:posOffset>-344602</wp:posOffset>
            </wp:positionH>
            <wp:positionV relativeFrom="paragraph">
              <wp:posOffset>271517</wp:posOffset>
            </wp:positionV>
            <wp:extent cx="6494496" cy="2802577"/>
            <wp:effectExtent l="0" t="0" r="1905" b="0"/>
            <wp:wrapSquare wrapText="bothSides"/>
            <wp:docPr id="13" name="Picture 13" descr="Key benefits: greater resilience to liquidity problems for entities and system, reduced likelihood or government intervention or support, better access to international markets. &#10;Key costs: initial and on-going compliance costs, higher funding costs due to balance sheet management changes, other potential impac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Key benefits: greater resilience to liquidity problems for entities and system, reduced likelihood or government intervention or support, better access to international markets. &#10;Key costs: initial and on-going compliance costs, higher funding costs due to balance sheet management changes, other potential impacts. "/>
                    <pic:cNvPicPr/>
                  </pic:nvPicPr>
                  <pic:blipFill>
                    <a:blip r:embed="rId16">
                      <a:extLst>
                        <a:ext uri="{28A0092B-C50C-407E-A947-70E740481C1C}">
                          <a14:useLocalDpi xmlns:a14="http://schemas.microsoft.com/office/drawing/2010/main" val="0"/>
                        </a:ext>
                      </a:extLst>
                    </a:blip>
                    <a:stretch>
                      <a:fillRect/>
                    </a:stretch>
                  </pic:blipFill>
                  <pic:spPr>
                    <a:xfrm>
                      <a:off x="0" y="0"/>
                      <a:ext cx="6494496" cy="2802577"/>
                    </a:xfrm>
                    <a:prstGeom prst="rect">
                      <a:avLst/>
                    </a:prstGeom>
                  </pic:spPr>
                </pic:pic>
              </a:graphicData>
            </a:graphic>
            <wp14:sizeRelH relativeFrom="page">
              <wp14:pctWidth>0</wp14:pctWidth>
            </wp14:sizeRelH>
            <wp14:sizeRelV relativeFrom="page">
              <wp14:pctHeight>0</wp14:pctHeight>
            </wp14:sizeRelV>
          </wp:anchor>
        </w:drawing>
      </w:r>
    </w:p>
    <w:p w14:paraId="2C3DA7DF" w14:textId="283E973D" w:rsidR="00A22034" w:rsidRDefault="00A22034" w:rsidP="00A22034">
      <w:pPr>
        <w:pStyle w:val="ListBullet"/>
        <w:numPr>
          <w:ilvl w:val="0"/>
          <w:numId w:val="0"/>
        </w:numPr>
        <w:spacing w:before="240"/>
      </w:pPr>
      <w:r>
        <w:t xml:space="preserve">On the basis of feedback from industry stakeholders gained during the </w:t>
      </w:r>
      <w:r w:rsidR="002839C3">
        <w:t>PIR</w:t>
      </w:r>
      <w:r>
        <w:t xml:space="preserve">, and analysis of funding and liquidity risk profiles </w:t>
      </w:r>
      <w:r w:rsidR="00A55629">
        <w:t>since implementation</w:t>
      </w:r>
      <w:r>
        <w:t xml:space="preserve">, </w:t>
      </w:r>
      <w:r w:rsidR="00566C95">
        <w:t>APRA has assessed</w:t>
      </w:r>
      <w:r>
        <w:t xml:space="preserve"> that APS 210 more broadly, and the LCR and NSFR specifically, have met their objectives and delivered the intended net benefit.</w:t>
      </w:r>
      <w:r w:rsidRPr="005830B9">
        <w:t xml:space="preserve"> </w:t>
      </w:r>
      <w:r>
        <w:t xml:space="preserve">The PIR also found that compliance and </w:t>
      </w:r>
      <w:r w:rsidR="00210532">
        <w:t>financial</w:t>
      </w:r>
      <w:r>
        <w:t xml:space="preserve"> costs were largely consistent with APRA’s original expectations, albeit with some variation across banks.</w:t>
      </w:r>
    </w:p>
    <w:p w14:paraId="0F2DD216" w14:textId="26472418" w:rsidR="00342394" w:rsidRDefault="00342394" w:rsidP="00342394">
      <w:pPr>
        <w:pStyle w:val="ListBullet"/>
        <w:numPr>
          <w:ilvl w:val="0"/>
          <w:numId w:val="0"/>
        </w:numPr>
      </w:pPr>
      <w:r>
        <w:t>Since implementation, t</w:t>
      </w:r>
      <w:r w:rsidRPr="00DE64EB">
        <w:t xml:space="preserve">he Basel Committee has assessed </w:t>
      </w:r>
      <w:r>
        <w:t xml:space="preserve">APS 210, including the requirements for </w:t>
      </w:r>
      <w:r w:rsidRPr="00DE64EB">
        <w:t>the LCR and NSFR</w:t>
      </w:r>
      <w:r>
        <w:t>,</w:t>
      </w:r>
      <w:r w:rsidRPr="00DE64EB">
        <w:t xml:space="preserve"> to be </w:t>
      </w:r>
      <w:r>
        <w:t>c</w:t>
      </w:r>
      <w:r w:rsidRPr="00DE64EB">
        <w:t>ompliant with the Basel III standard</w:t>
      </w:r>
      <w:r>
        <w:t>.</w:t>
      </w:r>
      <w:r>
        <w:rPr>
          <w:rStyle w:val="FootnoteReference"/>
        </w:rPr>
        <w:footnoteReference w:id="8"/>
      </w:r>
      <w:r>
        <w:t xml:space="preserve"> APRA has monitored </w:t>
      </w:r>
      <w:r w:rsidR="001F6E60">
        <w:t>APS 210</w:t>
      </w:r>
      <w:r>
        <w:t xml:space="preserve"> through ongoing supervision, and provided clarifications on interpretation through a range of frequently asked questions (FAQs). </w:t>
      </w:r>
      <w:r w:rsidR="00C472CA">
        <w:t>APRA has</w:t>
      </w:r>
      <w:r w:rsidR="00C61345">
        <w:t xml:space="preserve"> also</w:t>
      </w:r>
      <w:r w:rsidR="00C472CA">
        <w:t xml:space="preserve"> evaluated the effectiveness of the LCR and NSFR based on a ra</w:t>
      </w:r>
      <w:r w:rsidR="00FB0FA4">
        <w:t>n</w:t>
      </w:r>
      <w:r w:rsidR="00C472CA">
        <w:t xml:space="preserve">ge of metrics and feedback received from stakeholders, as set out below. </w:t>
      </w:r>
    </w:p>
    <w:p w14:paraId="55103EC4" w14:textId="230D98D3" w:rsidR="00BD74F1" w:rsidRDefault="00BD74F1" w:rsidP="00BD74F1">
      <w:pPr>
        <w:pStyle w:val="Heading2Numbers"/>
        <w:numPr>
          <w:ilvl w:val="0"/>
          <w:numId w:val="0"/>
        </w:numPr>
      </w:pPr>
      <w:bookmarkStart w:id="31" w:name="_Toc103791294"/>
      <w:r>
        <w:t>LCR and NSFR in practice</w:t>
      </w:r>
      <w:bookmarkEnd w:id="21"/>
      <w:bookmarkEnd w:id="31"/>
    </w:p>
    <w:p w14:paraId="55458082" w14:textId="77208FB1" w:rsidR="00EB3FA6" w:rsidRDefault="007D00B1" w:rsidP="00E934BD">
      <w:pPr>
        <w:pStyle w:val="APRANORMAL"/>
        <w:rPr>
          <w:rFonts w:cstheme="minorBidi"/>
        </w:rPr>
      </w:pPr>
      <w:r>
        <w:rPr>
          <w:rFonts w:cstheme="minorBidi"/>
        </w:rPr>
        <w:t xml:space="preserve">Since the introduction </w:t>
      </w:r>
      <w:r w:rsidR="00B400DA">
        <w:rPr>
          <w:rFonts w:cstheme="minorBidi"/>
        </w:rPr>
        <w:t xml:space="preserve">of </w:t>
      </w:r>
      <w:r>
        <w:rPr>
          <w:rFonts w:cstheme="minorBidi"/>
        </w:rPr>
        <w:t xml:space="preserve">APS 210, all banks in Australia have operated with LCR and NSFR ratios above </w:t>
      </w:r>
      <w:r w:rsidR="00566C95">
        <w:rPr>
          <w:rFonts w:cstheme="minorBidi"/>
        </w:rPr>
        <w:t>the regulatory level of</w:t>
      </w:r>
      <w:r>
        <w:rPr>
          <w:rFonts w:cstheme="minorBidi"/>
        </w:rPr>
        <w:t xml:space="preserve"> 100 per cent</w:t>
      </w:r>
      <w:r w:rsidR="00BD74F1">
        <w:rPr>
          <w:rFonts w:cstheme="minorBidi"/>
        </w:rPr>
        <w:t>, and there has been a demonstrable improvement in liquidity management practices. As show</w:t>
      </w:r>
      <w:r w:rsidR="001D50FE">
        <w:rPr>
          <w:rFonts w:cstheme="minorBidi"/>
        </w:rPr>
        <w:t>n</w:t>
      </w:r>
      <w:r w:rsidR="00BD74F1">
        <w:rPr>
          <w:rFonts w:cstheme="minorBidi"/>
        </w:rPr>
        <w:t xml:space="preserve"> in the charts below, </w:t>
      </w:r>
      <w:r w:rsidR="00C61345">
        <w:rPr>
          <w:rFonts w:cstheme="minorBidi"/>
        </w:rPr>
        <w:t xml:space="preserve">the average industry level of </w:t>
      </w:r>
      <w:r w:rsidR="00BD74F1">
        <w:rPr>
          <w:rFonts w:cstheme="minorBidi"/>
        </w:rPr>
        <w:t>the LCR has been around 130 per cent, and the NSFR</w:t>
      </w:r>
      <w:r w:rsidR="00C61345">
        <w:rPr>
          <w:rFonts w:cstheme="minorBidi"/>
        </w:rPr>
        <w:t xml:space="preserve"> </w:t>
      </w:r>
      <w:r w:rsidR="00BD74F1">
        <w:rPr>
          <w:rFonts w:cstheme="minorBidi"/>
        </w:rPr>
        <w:t>above 110 per cent.</w:t>
      </w:r>
      <w:r w:rsidR="000608A0">
        <w:rPr>
          <w:rFonts w:cstheme="minorBidi"/>
        </w:rPr>
        <w:t xml:space="preserve"> </w:t>
      </w:r>
      <w:r w:rsidR="00566C95">
        <w:rPr>
          <w:rFonts w:cstheme="minorBidi"/>
        </w:rPr>
        <w:t xml:space="preserve"> Banks have </w:t>
      </w:r>
      <w:r w:rsidR="00F20D47">
        <w:rPr>
          <w:rFonts w:cstheme="minorBidi"/>
        </w:rPr>
        <w:t>targeted and</w:t>
      </w:r>
      <w:r w:rsidR="00566C95">
        <w:rPr>
          <w:rFonts w:cstheme="minorBidi"/>
        </w:rPr>
        <w:t xml:space="preserve"> operated at these levels based on a range of factors</w:t>
      </w:r>
      <w:r w:rsidR="00204711">
        <w:rPr>
          <w:rFonts w:cstheme="minorBidi"/>
        </w:rPr>
        <w:t>,</w:t>
      </w:r>
      <w:r w:rsidR="00566C95">
        <w:rPr>
          <w:rFonts w:cstheme="minorBidi"/>
        </w:rPr>
        <w:t xml:space="preserve"> including their assessment of market expectations and the level of </w:t>
      </w:r>
      <w:r w:rsidR="00821061">
        <w:rPr>
          <w:rFonts w:cstheme="minorBidi"/>
        </w:rPr>
        <w:t>liquidity buffers</w:t>
      </w:r>
      <w:r w:rsidR="00566C95">
        <w:rPr>
          <w:rFonts w:cstheme="minorBidi"/>
        </w:rPr>
        <w:t xml:space="preserve"> they consider prudent</w:t>
      </w:r>
      <w:r w:rsidR="00F20D47">
        <w:rPr>
          <w:rFonts w:cstheme="minorBidi"/>
        </w:rPr>
        <w:t xml:space="preserve"> to maintain</w:t>
      </w:r>
      <w:r w:rsidR="00566C95">
        <w:rPr>
          <w:rFonts w:cstheme="minorBidi"/>
        </w:rPr>
        <w:t xml:space="preserve">. </w:t>
      </w:r>
    </w:p>
    <w:p w14:paraId="3372D533" w14:textId="6769134B" w:rsidR="00ED0A1A" w:rsidRDefault="00ED0A1A" w:rsidP="00E934BD">
      <w:pPr>
        <w:pStyle w:val="APRANORMAL"/>
        <w:rPr>
          <w:rFonts w:cstheme="minorBidi"/>
        </w:rPr>
        <w:sectPr w:rsidR="00ED0A1A" w:rsidSect="00604EE7">
          <w:footerReference w:type="default" r:id="rId17"/>
          <w:headerReference w:type="first" r:id="rId18"/>
          <w:pgSz w:w="11906" w:h="16838" w:code="9"/>
          <w:pgMar w:top="1440" w:right="1440" w:bottom="1418" w:left="1440" w:header="567" w:footer="567" w:gutter="0"/>
          <w:pgNumType w:start="1"/>
          <w:cols w:space="708"/>
          <w:titlePg/>
          <w:docGrid w:linePitch="360"/>
        </w:sectPr>
      </w:pPr>
    </w:p>
    <w:p w14:paraId="269C7E66" w14:textId="31B768AD" w:rsidR="008C0EFD" w:rsidRPr="008C0EFD" w:rsidRDefault="000C53BD" w:rsidP="008A39C7">
      <w:pPr>
        <w:pStyle w:val="Numberedfigureheading"/>
      </w:pPr>
      <w:r w:rsidRPr="000C53BD">
        <w:t>L</w:t>
      </w:r>
      <w:r>
        <w:t>CR and NSFR industry averages</w:t>
      </w:r>
      <w:bookmarkStart w:id="32" w:name="_Toc103687170"/>
      <w:bookmarkStart w:id="33" w:name="_Toc103791295"/>
    </w:p>
    <w:p w14:paraId="11A8C834" w14:textId="57D0E1FB" w:rsidR="00347294" w:rsidRDefault="00824AAC" w:rsidP="002B2282">
      <w:pPr>
        <w:pStyle w:val="APRANORMAL"/>
      </w:pPr>
      <w:r w:rsidRPr="00C254B8">
        <w:rPr>
          <w:noProof/>
        </w:rPr>
        <w:drawing>
          <wp:anchor distT="0" distB="0" distL="114300" distR="114300" simplePos="0" relativeHeight="251658246" behindDoc="0" locked="0" layoutInCell="1" allowOverlap="1" wp14:anchorId="26BFE77C" wp14:editId="0823C066">
            <wp:simplePos x="0" y="0"/>
            <wp:positionH relativeFrom="margin">
              <wp:posOffset>-86360</wp:posOffset>
            </wp:positionH>
            <wp:positionV relativeFrom="paragraph">
              <wp:posOffset>264795</wp:posOffset>
            </wp:positionV>
            <wp:extent cx="2993390" cy="1557020"/>
            <wp:effectExtent l="0" t="0" r="0" b="5080"/>
            <wp:wrapSquare wrapText="bothSides"/>
            <wp:docPr id="11" name="Picture 11" descr="The graph shows the average LCR for the industry over the period of 2015 to 2021. The industry average was around 130 per c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graph shows the average LCR for the industry over the period of 2015 to 2021. The industry average was around 130 per cent. "/>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993390" cy="1557020"/>
                    </a:xfrm>
                    <a:prstGeom prst="rect">
                      <a:avLst/>
                    </a:prstGeom>
                  </pic:spPr>
                </pic:pic>
              </a:graphicData>
            </a:graphic>
            <wp14:sizeRelH relativeFrom="margin">
              <wp14:pctWidth>0</wp14:pctWidth>
            </wp14:sizeRelH>
            <wp14:sizeRelV relativeFrom="margin">
              <wp14:pctHeight>0</wp14:pctHeight>
            </wp14:sizeRelV>
          </wp:anchor>
        </w:drawing>
      </w:r>
      <w:r w:rsidR="00113604" w:rsidRPr="000107E1">
        <w:rPr>
          <w:noProof/>
        </w:rPr>
        <w:drawing>
          <wp:anchor distT="0" distB="0" distL="114300" distR="114300" simplePos="0" relativeHeight="251658245" behindDoc="0" locked="0" layoutInCell="1" allowOverlap="1" wp14:anchorId="53104BFB" wp14:editId="4694F94C">
            <wp:simplePos x="0" y="0"/>
            <wp:positionH relativeFrom="margin">
              <wp:posOffset>2950845</wp:posOffset>
            </wp:positionH>
            <wp:positionV relativeFrom="paragraph">
              <wp:posOffset>306070</wp:posOffset>
            </wp:positionV>
            <wp:extent cx="2987675" cy="1659255"/>
            <wp:effectExtent l="0" t="0" r="3175" b="0"/>
            <wp:wrapSquare wrapText="bothSides"/>
            <wp:docPr id="16" name="Picture 16" descr="The graph shows the average LCR for the industry over the period of 2018 to 2021. The industry average was above 110 per c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he graph shows the average LCR for the industry over the period of 2018 to 2021. The industry average was above 110 per cent. "/>
                    <pic:cNvPicPr/>
                  </pic:nvPicPr>
                  <pic:blipFill>
                    <a:blip r:embed="rId20">
                      <a:extLst>
                        <a:ext uri="{28A0092B-C50C-407E-A947-70E740481C1C}">
                          <a14:useLocalDpi xmlns:a14="http://schemas.microsoft.com/office/drawing/2010/main" val="0"/>
                        </a:ext>
                      </a:extLst>
                    </a:blip>
                    <a:stretch>
                      <a:fillRect/>
                    </a:stretch>
                  </pic:blipFill>
                  <pic:spPr>
                    <a:xfrm>
                      <a:off x="0" y="0"/>
                      <a:ext cx="2987675" cy="1659255"/>
                    </a:xfrm>
                    <a:prstGeom prst="rect">
                      <a:avLst/>
                    </a:prstGeom>
                  </pic:spPr>
                </pic:pic>
              </a:graphicData>
            </a:graphic>
            <wp14:sizeRelH relativeFrom="margin">
              <wp14:pctWidth>0</wp14:pctWidth>
            </wp14:sizeRelH>
            <wp14:sizeRelV relativeFrom="margin">
              <wp14:pctHeight>0</wp14:pctHeight>
            </wp14:sizeRelV>
          </wp:anchor>
        </w:drawing>
      </w:r>
      <w:r w:rsidR="009972F1" w:rsidRPr="002B2282">
        <w:t xml:space="preserve">      </w:t>
      </w:r>
      <w:r w:rsidR="009972F1" w:rsidRPr="002B2282">
        <w:tab/>
      </w:r>
      <w:r w:rsidR="009972F1" w:rsidRPr="002B2282">
        <w:tab/>
      </w:r>
      <w:r w:rsidR="009972F1" w:rsidRPr="002B2282">
        <w:tab/>
      </w:r>
      <w:r w:rsidR="009972F1" w:rsidRPr="002B2282">
        <w:tab/>
      </w:r>
      <w:r w:rsidR="009972F1" w:rsidRPr="0087303A">
        <w:rPr>
          <w:rStyle w:val="Heading4Char"/>
        </w:rPr>
        <w:t xml:space="preserve"> LCR</w:t>
      </w:r>
      <w:r w:rsidR="009972F1" w:rsidRPr="0087303A">
        <w:rPr>
          <w:rStyle w:val="Heading4Char"/>
        </w:rPr>
        <w:tab/>
      </w:r>
      <w:r w:rsidR="009972F1" w:rsidRPr="002B2282">
        <w:tab/>
      </w:r>
      <w:r w:rsidR="009972F1" w:rsidRPr="002B2282">
        <w:tab/>
      </w:r>
      <w:r w:rsidR="009972F1" w:rsidRPr="002B2282">
        <w:tab/>
      </w:r>
      <w:r w:rsidR="009972F1" w:rsidRPr="002B2282">
        <w:tab/>
      </w:r>
      <w:r w:rsidR="009972F1" w:rsidRPr="002B2282">
        <w:tab/>
      </w:r>
      <w:r w:rsidR="009972F1" w:rsidRPr="002B2282">
        <w:tab/>
      </w:r>
      <w:r w:rsidR="009972F1" w:rsidRPr="002B2282">
        <w:tab/>
      </w:r>
      <w:r w:rsidR="009972F1" w:rsidRPr="002B2282">
        <w:tab/>
      </w:r>
      <w:r w:rsidR="009972F1" w:rsidRPr="002B2282">
        <w:tab/>
      </w:r>
      <w:r w:rsidR="009972F1" w:rsidRPr="0087303A">
        <w:rPr>
          <w:rStyle w:val="Heading4Char"/>
        </w:rPr>
        <w:t xml:space="preserve">        NSFR</w:t>
      </w:r>
    </w:p>
    <w:p w14:paraId="1315313C" w14:textId="7483015B" w:rsidR="00347294" w:rsidRPr="00ED0A1A" w:rsidRDefault="00347294" w:rsidP="00C254B8">
      <w:pPr>
        <w:rPr>
          <w:i/>
        </w:rPr>
      </w:pPr>
      <w:r w:rsidRPr="00ED0A1A">
        <w:rPr>
          <w:i/>
        </w:rPr>
        <w:t xml:space="preserve">Source: APRA </w:t>
      </w:r>
    </w:p>
    <w:p w14:paraId="044B17CE" w14:textId="4124075A" w:rsidR="0020347C" w:rsidRDefault="0020347C" w:rsidP="00BD74F1">
      <w:pPr>
        <w:pStyle w:val="Heading2Numbers"/>
        <w:numPr>
          <w:ilvl w:val="0"/>
          <w:numId w:val="0"/>
        </w:numPr>
      </w:pPr>
      <w:r>
        <w:t>Benefits</w:t>
      </w:r>
      <w:bookmarkEnd w:id="32"/>
      <w:r w:rsidR="007C1D5A">
        <w:t xml:space="preserve"> of the LCR and NSFR</w:t>
      </w:r>
      <w:bookmarkEnd w:id="33"/>
      <w:r w:rsidR="007C1D5A">
        <w:t xml:space="preserve"> </w:t>
      </w:r>
    </w:p>
    <w:p w14:paraId="49DA6DB6" w14:textId="791D4B7D" w:rsidR="00C21245" w:rsidRDefault="00F31FBD" w:rsidP="00124C0A">
      <w:r w:rsidRPr="00124C0A">
        <w:t xml:space="preserve">In assessing the benefits of the </w:t>
      </w:r>
      <w:r w:rsidR="0078543D">
        <w:t>LCR and NSFR</w:t>
      </w:r>
      <w:r w:rsidRPr="00124C0A">
        <w:t xml:space="preserve">, APRA has </w:t>
      </w:r>
      <w:r w:rsidR="00D25337" w:rsidRPr="00124C0A">
        <w:t>identified</w:t>
      </w:r>
      <w:r w:rsidR="001460DB" w:rsidRPr="00124C0A">
        <w:t xml:space="preserve"> improvements</w:t>
      </w:r>
      <w:r w:rsidRPr="00124C0A">
        <w:t xml:space="preserve"> </w:t>
      </w:r>
      <w:r w:rsidR="001460DB" w:rsidRPr="00124C0A">
        <w:t>i</w:t>
      </w:r>
      <w:r w:rsidRPr="00124C0A">
        <w:t>n the short- and long</w:t>
      </w:r>
      <w:r w:rsidR="00ED0A1A">
        <w:t>er</w:t>
      </w:r>
      <w:r w:rsidRPr="00124C0A">
        <w:t xml:space="preserve">-term resilience of </w:t>
      </w:r>
      <w:r w:rsidR="00124C0A" w:rsidRPr="00124C0A">
        <w:t>banks</w:t>
      </w:r>
      <w:r w:rsidRPr="00124C0A">
        <w:t xml:space="preserve"> and </w:t>
      </w:r>
      <w:r w:rsidR="0078543D">
        <w:t xml:space="preserve">in their ability to withstand and manage </w:t>
      </w:r>
      <w:r w:rsidRPr="00124C0A">
        <w:t xml:space="preserve">stressed </w:t>
      </w:r>
      <w:r w:rsidR="0078543D">
        <w:t>market conditions</w:t>
      </w:r>
      <w:r w:rsidR="00CE111E">
        <w:t>,</w:t>
      </w:r>
      <w:r w:rsidRPr="00510E5C">
        <w:t xml:space="preserve"> </w:t>
      </w:r>
      <w:r w:rsidRPr="00124C0A">
        <w:t xml:space="preserve">such as </w:t>
      </w:r>
      <w:r w:rsidR="00CE111E">
        <w:t xml:space="preserve">those </w:t>
      </w:r>
      <w:r w:rsidR="0078543D">
        <w:t>during</w:t>
      </w:r>
      <w:r w:rsidRPr="00510E5C">
        <w:t xml:space="preserve"> COVID-19.</w:t>
      </w:r>
      <w:r w:rsidRPr="00124C0A">
        <w:t xml:space="preserve"> </w:t>
      </w:r>
      <w:r w:rsidR="00062A33">
        <w:t xml:space="preserve">These improvements, while already beginning to emerge after the GFC, </w:t>
      </w:r>
      <w:r w:rsidR="00E74DF9">
        <w:t>were</w:t>
      </w:r>
      <w:r w:rsidR="00062A33">
        <w:t xml:space="preserve"> embedded by the reforms.</w:t>
      </w:r>
      <w:r w:rsidRPr="00124C0A">
        <w:t xml:space="preserve"> </w:t>
      </w:r>
      <w:r w:rsidR="001460DB" w:rsidRPr="00124C0A">
        <w:t xml:space="preserve">Australian </w:t>
      </w:r>
      <w:r w:rsidR="00124C0A" w:rsidRPr="00124C0A">
        <w:t xml:space="preserve">banks </w:t>
      </w:r>
      <w:r w:rsidR="001460DB" w:rsidRPr="00124C0A">
        <w:t xml:space="preserve">have been able to maintain strong credit ratings and ongoing </w:t>
      </w:r>
      <w:r w:rsidR="009F2A26" w:rsidRPr="00124C0A">
        <w:t xml:space="preserve">funding </w:t>
      </w:r>
      <w:r w:rsidR="001460DB" w:rsidRPr="00124C0A">
        <w:t>access to international markets through period</w:t>
      </w:r>
      <w:r w:rsidR="00D25337" w:rsidRPr="00124C0A">
        <w:t>s of stable conditions as well as during periods of market volatility</w:t>
      </w:r>
      <w:r w:rsidR="001460DB" w:rsidRPr="00124C0A">
        <w:t xml:space="preserve">. </w:t>
      </w:r>
      <w:r w:rsidRPr="00124C0A">
        <w:t xml:space="preserve">The </w:t>
      </w:r>
      <w:r w:rsidR="001460DB" w:rsidRPr="00124C0A">
        <w:t xml:space="preserve">improved liquidity position of </w:t>
      </w:r>
      <w:r w:rsidR="00124C0A" w:rsidRPr="00124C0A">
        <w:t xml:space="preserve">banks </w:t>
      </w:r>
      <w:r w:rsidR="001460DB" w:rsidRPr="00124C0A">
        <w:t xml:space="preserve">has also reduced </w:t>
      </w:r>
      <w:r w:rsidRPr="00124C0A">
        <w:t>the likelihood of government intervention or support being needed.</w:t>
      </w:r>
    </w:p>
    <w:p w14:paraId="340DFB00" w14:textId="2683F41F" w:rsidR="000636A2" w:rsidRDefault="006C46E8" w:rsidP="00124C0A">
      <w:r>
        <w:t>The table below summarises these benefits, with further detail provided in the remainder of this section.</w:t>
      </w:r>
    </w:p>
    <w:p w14:paraId="5BB38FD7" w14:textId="77777777" w:rsidR="007C1D5A" w:rsidRPr="00F8462E" w:rsidRDefault="007C1D5A" w:rsidP="007C1D5A">
      <w:pPr>
        <w:pStyle w:val="Numberedtableheading"/>
      </w:pPr>
      <w:r>
        <w:t>Meeting the objectives of the LCR and NSFR</w:t>
      </w:r>
    </w:p>
    <w:tbl>
      <w:tblPr>
        <w:tblStyle w:val="TableGrid"/>
        <w:tblW w:w="9066" w:type="dxa"/>
        <w:tblLayout w:type="fixed"/>
        <w:tblLook w:val="04A0" w:firstRow="1" w:lastRow="0" w:firstColumn="1" w:lastColumn="0" w:noHBand="0" w:noVBand="1"/>
      </w:tblPr>
      <w:tblGrid>
        <w:gridCol w:w="9066"/>
      </w:tblGrid>
      <w:tr w:rsidR="007C1D5A" w:rsidRPr="00F8462E" w14:paraId="6FACA6AA" w14:textId="77777777" w:rsidTr="00065E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12A2192E" w14:textId="77777777" w:rsidR="007C1D5A" w:rsidRPr="00510E5C" w:rsidRDefault="007C1D5A" w:rsidP="00065E9F">
            <w:pPr>
              <w:pStyle w:val="ListBullet"/>
              <w:numPr>
                <w:ilvl w:val="0"/>
                <w:numId w:val="0"/>
              </w:numPr>
              <w:ind w:left="425" w:hanging="425"/>
              <w:rPr>
                <w:b/>
              </w:rPr>
            </w:pPr>
            <w:r>
              <w:rPr>
                <w:b/>
              </w:rPr>
              <w:t>O</w:t>
            </w:r>
            <w:r w:rsidRPr="00510E5C">
              <w:rPr>
                <w:b/>
              </w:rPr>
              <w:t>bjectives</w:t>
            </w:r>
          </w:p>
        </w:tc>
      </w:tr>
      <w:tr w:rsidR="007C1D5A" w:rsidRPr="00F8462E" w14:paraId="2D26FB26" w14:textId="77777777" w:rsidTr="00065E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hideMark/>
          </w:tcPr>
          <w:p w14:paraId="4D82C75C" w14:textId="7E2DD07C" w:rsidR="007C1D5A" w:rsidRPr="008B6EE6" w:rsidRDefault="007C1D5A" w:rsidP="00065E9F">
            <w:pPr>
              <w:pStyle w:val="ListBullet"/>
              <w:numPr>
                <w:ilvl w:val="0"/>
                <w:numId w:val="0"/>
              </w:numPr>
              <w:ind w:left="425" w:hanging="425"/>
            </w:pPr>
            <w:r w:rsidRPr="00510E5C">
              <w:rPr>
                <w:color w:val="00B050"/>
              </w:rPr>
              <w:sym w:font="Webdings" w:char="F061"/>
            </w:r>
            <w:r w:rsidRPr="008B6EE6">
              <w:t xml:space="preserve">   </w:t>
            </w:r>
            <w:r>
              <w:t xml:space="preserve"> </w:t>
            </w:r>
            <w:r w:rsidR="00C21245">
              <w:rPr>
                <w:b/>
              </w:rPr>
              <w:t>Strengthened</w:t>
            </w:r>
            <w:r w:rsidRPr="00D25337">
              <w:rPr>
                <w:b/>
              </w:rPr>
              <w:t xml:space="preserve"> short-term resilience</w:t>
            </w:r>
            <w:r w:rsidRPr="007A3562">
              <w:t xml:space="preserve"> of banks and the</w:t>
            </w:r>
            <w:r>
              <w:t xml:space="preserve"> Australian</w:t>
            </w:r>
            <w:r w:rsidRPr="007A3562">
              <w:t xml:space="preserve"> financial system</w:t>
            </w:r>
            <w:r>
              <w:t>,</w:t>
            </w:r>
            <w:r w:rsidRPr="007A3562">
              <w:t xml:space="preserve"> </w:t>
            </w:r>
            <w:r>
              <w:t xml:space="preserve">with an </w:t>
            </w:r>
            <w:r w:rsidRPr="00351FB0">
              <w:t>increase</w:t>
            </w:r>
            <w:r>
              <w:t xml:space="preserve"> in</w:t>
            </w:r>
            <w:r w:rsidRPr="00351FB0">
              <w:t xml:space="preserve"> high-quality liquid assets from </w:t>
            </w:r>
            <w:r w:rsidR="007A175B">
              <w:t>six</w:t>
            </w:r>
            <w:r w:rsidRPr="00351FB0">
              <w:t xml:space="preserve"> per cent of total assets prior to the GFC to around 1</w:t>
            </w:r>
            <w:r w:rsidR="004143BD">
              <w:t>5-20</w:t>
            </w:r>
            <w:r w:rsidRPr="00351FB0">
              <w:t xml:space="preserve"> per cent on average </w:t>
            </w:r>
            <w:r w:rsidR="004143BD">
              <w:t>since the LCR was introduced</w:t>
            </w:r>
            <w:r>
              <w:t>.</w:t>
            </w:r>
            <w:r w:rsidR="00062A33">
              <w:rPr>
                <w:rStyle w:val="FootnoteReference"/>
              </w:rPr>
              <w:footnoteReference w:id="9"/>
            </w:r>
            <w:r w:rsidR="00E2511D">
              <w:t xml:space="preserve"> This </w:t>
            </w:r>
            <w:r w:rsidR="00E70896">
              <w:t xml:space="preserve">increase </w:t>
            </w:r>
            <w:r w:rsidR="00E2511D">
              <w:t xml:space="preserve">was </w:t>
            </w:r>
            <w:r w:rsidR="00E70896">
              <w:t>broadly in line with the</w:t>
            </w:r>
            <w:r w:rsidR="00E2511D">
              <w:t xml:space="preserve"> intended level of the reforms</w:t>
            </w:r>
            <w:r w:rsidR="0007087C">
              <w:t>.</w:t>
            </w:r>
          </w:p>
        </w:tc>
      </w:tr>
      <w:tr w:rsidR="007C1D5A" w:rsidRPr="00F8462E" w14:paraId="31993BAD" w14:textId="77777777" w:rsidTr="00065E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4B7DBBC4" w14:textId="76DF5032" w:rsidR="007C1D5A" w:rsidRPr="00510E5C" w:rsidRDefault="007C1D5A" w:rsidP="00065E9F">
            <w:pPr>
              <w:pStyle w:val="ListBullet"/>
              <w:numPr>
                <w:ilvl w:val="0"/>
                <w:numId w:val="0"/>
              </w:numPr>
              <w:ind w:left="425" w:hanging="425"/>
              <w:rPr>
                <w:noProof/>
              </w:rPr>
            </w:pPr>
            <w:r w:rsidRPr="00F42F84">
              <w:rPr>
                <w:color w:val="00B050"/>
              </w:rPr>
              <w:sym w:font="Webdings" w:char="F061"/>
            </w:r>
            <w:r w:rsidRPr="008B6EE6">
              <w:t xml:space="preserve">   </w:t>
            </w:r>
            <w:r>
              <w:t xml:space="preserve"> </w:t>
            </w:r>
            <w:r w:rsidRPr="00D25337">
              <w:rPr>
                <w:b/>
              </w:rPr>
              <w:t>Improvements in the longer-term resilience</w:t>
            </w:r>
            <w:r>
              <w:t xml:space="preserve"> of banks and the Australian financial system, with more stable funding profiles</w:t>
            </w:r>
            <w:r w:rsidRPr="00351FB0">
              <w:t>, reduced reliance on short-term wholesale funding</w:t>
            </w:r>
            <w:r>
              <w:t>,</w:t>
            </w:r>
            <w:r w:rsidRPr="00351FB0">
              <w:t xml:space="preserve"> </w:t>
            </w:r>
            <w:r>
              <w:t>ongoing access to international markets and, for the major banks, global-leading credit ratings of AA-.</w:t>
            </w:r>
            <w:r w:rsidR="00E2511D">
              <w:t xml:space="preserve"> These trends are evident based on data reported to APRA and feedback from the PIR</w:t>
            </w:r>
            <w:r w:rsidR="0007087C">
              <w:t>.</w:t>
            </w:r>
          </w:p>
        </w:tc>
      </w:tr>
      <w:tr w:rsidR="007C1D5A" w:rsidRPr="00F8462E" w14:paraId="4CEA7BDD" w14:textId="77777777" w:rsidTr="00065E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hideMark/>
          </w:tcPr>
          <w:p w14:paraId="5E931DC8" w14:textId="1936E945" w:rsidR="007C1D5A" w:rsidRPr="00F8462E" w:rsidRDefault="007C1D5A" w:rsidP="00065E9F">
            <w:pPr>
              <w:pStyle w:val="ListBullet"/>
              <w:numPr>
                <w:ilvl w:val="0"/>
                <w:numId w:val="0"/>
              </w:numPr>
              <w:ind w:left="425" w:hanging="425"/>
            </w:pPr>
            <w:r w:rsidRPr="008B6EE6">
              <w:rPr>
                <w:color w:val="00B050"/>
              </w:rPr>
              <w:sym w:font="Webdings" w:char="F061"/>
            </w:r>
            <w:r w:rsidRPr="00510E5C">
              <w:rPr>
                <w:color w:val="00B050"/>
              </w:rPr>
              <w:t xml:space="preserve">   </w:t>
            </w:r>
            <w:r w:rsidRPr="008B6EE6">
              <w:t xml:space="preserve"> </w:t>
            </w:r>
            <w:r w:rsidRPr="00D25337">
              <w:rPr>
                <w:b/>
              </w:rPr>
              <w:t>Stronger liquidity management practices</w:t>
            </w:r>
            <w:r>
              <w:t xml:space="preserve">, with increased rigour and more prudent approaches to measuring, </w:t>
            </w:r>
            <w:r w:rsidR="00CE111E">
              <w:t>monitoring,</w:t>
            </w:r>
            <w:r>
              <w:t xml:space="preserve"> and reporting liquidity risk, including through internal transfer pricing models.</w:t>
            </w:r>
            <w:r w:rsidR="00E2511D">
              <w:t xml:space="preserve"> These</w:t>
            </w:r>
            <w:r w:rsidR="002354CF">
              <w:t xml:space="preserve"> more prudent management practices have been observed during APRA supervisory reviews and liaison meetings over the period since the reforms, as well as evidenced in feedback gained during the PIR. Examples include the ability of banks to quickly produce a daily snapshot of their liquidity position</w:t>
            </w:r>
            <w:r w:rsidR="00F92463">
              <w:t>,</w:t>
            </w:r>
            <w:r w:rsidR="002354CF">
              <w:t xml:space="preserve"> if needed</w:t>
            </w:r>
            <w:r w:rsidR="00F92463">
              <w:t>,</w:t>
            </w:r>
            <w:r w:rsidR="002354CF">
              <w:t xml:space="preserve"> during a crisis period.</w:t>
            </w:r>
            <w:r w:rsidR="005E690E">
              <w:rPr>
                <w:rStyle w:val="FootnoteReference"/>
              </w:rPr>
              <w:footnoteReference w:id="10"/>
            </w:r>
          </w:p>
        </w:tc>
      </w:tr>
    </w:tbl>
    <w:p w14:paraId="601BE43C" w14:textId="1DB91BB0" w:rsidR="008430C2" w:rsidRDefault="008430C2" w:rsidP="00F92463">
      <w:pPr>
        <w:numPr>
          <w:ilvl w:val="0"/>
          <w:numId w:val="0"/>
        </w:numPr>
        <w:spacing w:after="0"/>
        <w:rPr>
          <w:rFonts w:ascii="DIN OT Medium" w:eastAsiaTheme="majorEastAsia" w:hAnsi="DIN OT Medium" w:cstheme="majorBidi"/>
          <w:color w:val="000000" w:themeColor="text1"/>
        </w:rPr>
      </w:pPr>
    </w:p>
    <w:p w14:paraId="4498BE7D" w14:textId="24AEC72E" w:rsidR="00354D13" w:rsidRPr="006632C0" w:rsidRDefault="004A62E3" w:rsidP="001E6D3A">
      <w:pPr>
        <w:pStyle w:val="Heading5"/>
        <w:spacing w:before="0"/>
      </w:pPr>
      <w:r>
        <w:t>Strengthened</w:t>
      </w:r>
      <w:r w:rsidR="002A2E66">
        <w:t xml:space="preserve"> short-term resilience</w:t>
      </w:r>
    </w:p>
    <w:p w14:paraId="6724695E" w14:textId="708D99EC" w:rsidR="007E1743" w:rsidRDefault="00C419BE" w:rsidP="00C419BE">
      <w:pPr>
        <w:pStyle w:val="APRANORMAL"/>
      </w:pPr>
      <w:r>
        <w:t xml:space="preserve">There has been a significant </w:t>
      </w:r>
      <w:r w:rsidRPr="0069796C">
        <w:t xml:space="preserve">increase in </w:t>
      </w:r>
      <w:r>
        <w:t xml:space="preserve">liquid assets since the GFC, which </w:t>
      </w:r>
      <w:r w:rsidRPr="0069796C">
        <w:t>has led to an improvement in short-term resilience and extension of survival horizons for banks in periods of st</w:t>
      </w:r>
      <w:r w:rsidRPr="007F1D2F">
        <w:t>ress.</w:t>
      </w:r>
      <w:r w:rsidR="00D25337">
        <w:t xml:space="preserve"> </w:t>
      </w:r>
      <w:r w:rsidR="00CE111E">
        <w:t>As illustrated in the chart below, l</w:t>
      </w:r>
      <w:r w:rsidRPr="006632C0">
        <w:t>iquid asset holdings</w:t>
      </w:r>
      <w:r>
        <w:t xml:space="preserve"> have increased from </w:t>
      </w:r>
      <w:r w:rsidR="00B400DA">
        <w:t>six</w:t>
      </w:r>
      <w:r>
        <w:t xml:space="preserve"> per cent prior to the </w:t>
      </w:r>
      <w:r w:rsidR="00D25337">
        <w:t>GFC</w:t>
      </w:r>
      <w:r>
        <w:t xml:space="preserve">, to around </w:t>
      </w:r>
      <w:r w:rsidR="0078543D">
        <w:t>15-</w:t>
      </w:r>
      <w:r w:rsidR="00062A33">
        <w:t>20</w:t>
      </w:r>
      <w:r>
        <w:t xml:space="preserve"> per cent </w:t>
      </w:r>
      <w:r w:rsidR="0078543D">
        <w:t>since the LCR was introduced</w:t>
      </w:r>
      <w:r>
        <w:t xml:space="preserve">; </w:t>
      </w:r>
      <w:r w:rsidR="00D25337">
        <w:t xml:space="preserve">this </w:t>
      </w:r>
      <w:r>
        <w:t>equat</w:t>
      </w:r>
      <w:r w:rsidR="00D25337">
        <w:t>es</w:t>
      </w:r>
      <w:r>
        <w:t xml:space="preserve"> to an increase in liquid assets from </w:t>
      </w:r>
      <w:r w:rsidRPr="00E110E4">
        <w:t>$98</w:t>
      </w:r>
      <w:r>
        <w:t xml:space="preserve"> </w:t>
      </w:r>
      <w:r w:rsidRPr="00E110E4">
        <w:t>b</w:t>
      </w:r>
      <w:r>
        <w:t>illio</w:t>
      </w:r>
      <w:r w:rsidRPr="00E110E4">
        <w:t xml:space="preserve">n </w:t>
      </w:r>
      <w:r w:rsidRPr="00A8149E">
        <w:t xml:space="preserve">to </w:t>
      </w:r>
      <w:r w:rsidRPr="00E110E4">
        <w:t>$480</w:t>
      </w:r>
      <w:r>
        <w:t xml:space="preserve"> </w:t>
      </w:r>
      <w:r w:rsidRPr="00E110E4">
        <w:t>b</w:t>
      </w:r>
      <w:r>
        <w:t>illio</w:t>
      </w:r>
      <w:r w:rsidRPr="00E110E4">
        <w:t>n</w:t>
      </w:r>
      <w:r w:rsidRPr="00A8149E">
        <w:t xml:space="preserve"> </w:t>
      </w:r>
      <w:r>
        <w:t>in this period</w:t>
      </w:r>
      <w:r w:rsidR="00C97EA5">
        <w:t xml:space="preserve">, inclusive of </w:t>
      </w:r>
      <w:r w:rsidR="0078543D">
        <w:t>the</w:t>
      </w:r>
      <w:r w:rsidR="00C97EA5">
        <w:t xml:space="preserve"> Committed Liquidity Facility (CLF), the additional liquidity </w:t>
      </w:r>
      <w:r w:rsidR="00C61345">
        <w:t>facility</w:t>
      </w:r>
      <w:r w:rsidR="00C97EA5">
        <w:t xml:space="preserve"> provided by the</w:t>
      </w:r>
      <w:r w:rsidR="0078543D">
        <w:t xml:space="preserve"> R</w:t>
      </w:r>
      <w:r w:rsidR="00402664">
        <w:t xml:space="preserve">eserve </w:t>
      </w:r>
      <w:r w:rsidR="0078543D">
        <w:t>B</w:t>
      </w:r>
      <w:r w:rsidR="00402664">
        <w:t xml:space="preserve">ank of </w:t>
      </w:r>
      <w:r w:rsidR="0078543D">
        <w:t>A</w:t>
      </w:r>
      <w:r w:rsidR="00402664">
        <w:t>ustralia (RBA)</w:t>
      </w:r>
      <w:r w:rsidR="008430C2">
        <w:t>.</w:t>
      </w:r>
      <w:r w:rsidR="002160F6">
        <w:rPr>
          <w:rStyle w:val="FootnoteReference"/>
        </w:rPr>
        <w:footnoteReference w:id="11"/>
      </w:r>
      <w:r w:rsidR="00C97EA5" w:rsidRPr="00C97EA5">
        <w:rPr>
          <w:rStyle w:val="FootnoteReference"/>
        </w:rPr>
        <w:t xml:space="preserve"> </w:t>
      </w:r>
      <w:r w:rsidR="00C97EA5">
        <w:rPr>
          <w:rStyle w:val="FootnoteReference"/>
        </w:rPr>
        <w:footnoteReference w:id="12"/>
      </w:r>
      <w:r>
        <w:t xml:space="preserve"> </w:t>
      </w:r>
    </w:p>
    <w:p w14:paraId="6D08686E" w14:textId="1C5C7C49" w:rsidR="008430C2" w:rsidRDefault="0087303A" w:rsidP="008430C2">
      <w:pPr>
        <w:pStyle w:val="Numberedfigureheading"/>
      </w:pPr>
      <w:r w:rsidRPr="0087303A">
        <w:rPr>
          <w:noProof/>
        </w:rPr>
        <w:drawing>
          <wp:anchor distT="0" distB="0" distL="114300" distR="114300" simplePos="0" relativeHeight="251658244" behindDoc="0" locked="0" layoutInCell="1" allowOverlap="1" wp14:anchorId="50531F2D" wp14:editId="046A0776">
            <wp:simplePos x="0" y="0"/>
            <wp:positionH relativeFrom="margin">
              <wp:align>right</wp:align>
            </wp:positionH>
            <wp:positionV relativeFrom="paragraph">
              <wp:posOffset>294005</wp:posOffset>
            </wp:positionV>
            <wp:extent cx="5731510" cy="2175510"/>
            <wp:effectExtent l="0" t="0" r="2540" b="0"/>
            <wp:wrapSquare wrapText="bothSides"/>
            <wp:docPr id="17" name="Picture 17" descr="The graph shows the increase in liquid asset eligible to be included within the LCR over the period of 2015 to 2021 and for comparison, those that would have been captured prior to the implementation of the LCR. There was an increase from six per cent before the GFC to around 15 - 20 since the introduction of the L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he graph shows the increase in liquid asset eligible to be included within the LCR over the period of 2015 to 2021 and for comparison, those that would have been captured prior to the implementation of the LCR. There was an increase from six per cent before the GFC to around 15 - 20 since the introduction of the LCR. "/>
                    <pic:cNvPicPr/>
                  </pic:nvPicPr>
                  <pic:blipFill>
                    <a:blip r:embed="rId21">
                      <a:extLst>
                        <a:ext uri="{28A0092B-C50C-407E-A947-70E740481C1C}">
                          <a14:useLocalDpi xmlns:a14="http://schemas.microsoft.com/office/drawing/2010/main" val="0"/>
                        </a:ext>
                      </a:extLst>
                    </a:blip>
                    <a:stretch>
                      <a:fillRect/>
                    </a:stretch>
                  </pic:blipFill>
                  <pic:spPr>
                    <a:xfrm>
                      <a:off x="0" y="0"/>
                      <a:ext cx="5731510" cy="2175510"/>
                    </a:xfrm>
                    <a:prstGeom prst="rect">
                      <a:avLst/>
                    </a:prstGeom>
                  </pic:spPr>
                </pic:pic>
              </a:graphicData>
            </a:graphic>
          </wp:anchor>
        </w:drawing>
      </w:r>
      <w:r w:rsidR="008430C2" w:rsidRPr="000C53BD">
        <w:t>L</w:t>
      </w:r>
      <w:r w:rsidR="008430C2">
        <w:t>CR-eligible liquid assets as a percentage of total assets</w:t>
      </w:r>
    </w:p>
    <w:p w14:paraId="222CB460" w14:textId="0B0446A8" w:rsidR="004A62E3" w:rsidRPr="00505964" w:rsidRDefault="00182847" w:rsidP="00377ECB">
      <w:pPr>
        <w:rPr>
          <w:i/>
          <w:highlight w:val="yellow"/>
        </w:rPr>
      </w:pPr>
      <w:r w:rsidRPr="009D3907">
        <w:rPr>
          <w:i/>
        </w:rPr>
        <w:t>Source</w:t>
      </w:r>
      <w:r w:rsidRPr="008062D7">
        <w:rPr>
          <w:i/>
        </w:rPr>
        <w:t>: Reserve Bank of Australia</w:t>
      </w:r>
      <w:r w:rsidR="006B3082" w:rsidRPr="008062D7">
        <w:rPr>
          <w:i/>
        </w:rPr>
        <w:t xml:space="preserve"> and APRA </w:t>
      </w:r>
    </w:p>
    <w:p w14:paraId="6340773F" w14:textId="4119A79A" w:rsidR="004C0123" w:rsidRDefault="00C55437">
      <w:r>
        <w:t xml:space="preserve">The LCR has helped embed this shift in </w:t>
      </w:r>
      <w:r w:rsidR="0064095E">
        <w:t>short-term resilience</w:t>
      </w:r>
      <w:r>
        <w:t xml:space="preserve"> since its implementation in 2015, as </w:t>
      </w:r>
      <w:r w:rsidR="00CE111E">
        <w:t>banks</w:t>
      </w:r>
      <w:r>
        <w:t xml:space="preserve"> have</w:t>
      </w:r>
      <w:r w:rsidR="0099762B">
        <w:t xml:space="preserve"> grow</w:t>
      </w:r>
      <w:r>
        <w:t>n</w:t>
      </w:r>
      <w:r w:rsidR="0099762B">
        <w:t xml:space="preserve"> and maintain</w:t>
      </w:r>
      <w:r>
        <w:t>ed</w:t>
      </w:r>
      <w:r w:rsidR="0099762B">
        <w:t xml:space="preserve"> high levels of liquid assets</w:t>
      </w:r>
      <w:r>
        <w:t xml:space="preserve"> </w:t>
      </w:r>
      <w:r w:rsidR="003A3CF5">
        <w:t>as part of maintaining</w:t>
      </w:r>
      <w:r>
        <w:t xml:space="preserve"> the ratio</w:t>
      </w:r>
      <w:r w:rsidR="0099762B">
        <w:t>.</w:t>
      </w:r>
      <w:r w:rsidR="0064095E">
        <w:t xml:space="preserve"> By its definition, maintaining an LCR above 100 per cent, as </w:t>
      </w:r>
      <w:r w:rsidR="00CE111E">
        <w:t>banks</w:t>
      </w:r>
      <w:r w:rsidR="0064095E">
        <w:t xml:space="preserve"> have consistently been able to do, </w:t>
      </w:r>
      <w:r w:rsidR="00153138">
        <w:t>has</w:t>
      </w:r>
      <w:r w:rsidR="0064095E">
        <w:t xml:space="preserve"> demonstrate</w:t>
      </w:r>
      <w:r w:rsidR="00153138">
        <w:t>d</w:t>
      </w:r>
      <w:r w:rsidR="0064095E">
        <w:t xml:space="preserve"> an ability to survive a severe stress period of at least 30 days.</w:t>
      </w:r>
    </w:p>
    <w:p w14:paraId="3E96718A" w14:textId="54FE66E8" w:rsidR="00F61736" w:rsidRPr="00DC49D2" w:rsidRDefault="00C21245" w:rsidP="00510E5C">
      <w:pPr>
        <w:pStyle w:val="Heading5"/>
      </w:pPr>
      <w:r>
        <w:t xml:space="preserve">Improvements in </w:t>
      </w:r>
      <w:r w:rsidR="002A2E66">
        <w:t>long</w:t>
      </w:r>
      <w:r>
        <w:t>er</w:t>
      </w:r>
      <w:r w:rsidR="002A2E66">
        <w:t xml:space="preserve">-term resilience </w:t>
      </w:r>
    </w:p>
    <w:p w14:paraId="4DD01F77" w14:textId="50778014" w:rsidR="00BA086D" w:rsidRDefault="00416DF3" w:rsidP="00DC49D2">
      <w:pPr>
        <w:pStyle w:val="ListBullet"/>
        <w:numPr>
          <w:ilvl w:val="0"/>
          <w:numId w:val="0"/>
        </w:numPr>
      </w:pPr>
      <w:r w:rsidRPr="00B70EB1">
        <w:t xml:space="preserve">Complementing the increase in </w:t>
      </w:r>
      <w:r w:rsidR="00BA086D">
        <w:t>liquid assets</w:t>
      </w:r>
      <w:r w:rsidR="00BA086D" w:rsidRPr="00B70EB1">
        <w:t xml:space="preserve"> </w:t>
      </w:r>
      <w:r w:rsidRPr="00B70EB1">
        <w:t xml:space="preserve">has been a change in the composition of bank funding profiles. </w:t>
      </w:r>
      <w:r w:rsidRPr="0069796C">
        <w:t xml:space="preserve">In the wake of the GFC, banks had begun to move away from </w:t>
      </w:r>
      <w:r w:rsidR="00CD5F33">
        <w:t xml:space="preserve">their reliance on </w:t>
      </w:r>
      <w:r w:rsidRPr="0069796C">
        <w:t>short</w:t>
      </w:r>
      <w:r w:rsidR="00B01278">
        <w:t>-</w:t>
      </w:r>
      <w:r w:rsidRPr="0069796C">
        <w:t xml:space="preserve">term offshore wholesale funding </w:t>
      </w:r>
      <w:r w:rsidRPr="006632C0">
        <w:t xml:space="preserve">because of </w:t>
      </w:r>
      <w:r w:rsidR="002F4B7E">
        <w:t>its</w:t>
      </w:r>
      <w:r w:rsidRPr="006632C0">
        <w:t xml:space="preserve"> higher risk in a liquidity stress, and towards more stable sources such as deposits and longer-term funding. </w:t>
      </w:r>
      <w:r w:rsidR="00CD5F33">
        <w:t xml:space="preserve">A consistent </w:t>
      </w:r>
      <w:r w:rsidR="004143BD">
        <w:t>theme</w:t>
      </w:r>
      <w:r w:rsidR="00CD5F33">
        <w:t xml:space="preserve"> from submissions</w:t>
      </w:r>
      <w:r w:rsidR="0064095E">
        <w:t xml:space="preserve"> received during the PIR</w:t>
      </w:r>
      <w:r w:rsidRPr="006632C0">
        <w:t xml:space="preserve"> </w:t>
      </w:r>
      <w:r w:rsidR="003370DF">
        <w:t>was</w:t>
      </w:r>
      <w:r w:rsidR="0064095E">
        <w:t xml:space="preserve"> that</w:t>
      </w:r>
      <w:r w:rsidRPr="006632C0">
        <w:t xml:space="preserve"> </w:t>
      </w:r>
      <w:r w:rsidR="00712F5F">
        <w:t>actions taken by banks following the GFC</w:t>
      </w:r>
      <w:r w:rsidRPr="006632C0">
        <w:t xml:space="preserve"> </w:t>
      </w:r>
      <w:r w:rsidR="003370DF">
        <w:t xml:space="preserve">demonstrated that these risks </w:t>
      </w:r>
      <w:r w:rsidRPr="006632C0">
        <w:t xml:space="preserve">are now firmly embedded in how banks consider their funding composition. </w:t>
      </w:r>
    </w:p>
    <w:p w14:paraId="083AEEC2" w14:textId="25E6573E" w:rsidR="00416DF3" w:rsidRPr="00B01278" w:rsidRDefault="00DC49D2" w:rsidP="006121EF">
      <w:pPr>
        <w:pStyle w:val="ListBullet"/>
        <w:numPr>
          <w:ilvl w:val="0"/>
          <w:numId w:val="0"/>
        </w:numPr>
      </w:pPr>
      <w:bookmarkStart w:id="34" w:name="_Hlk103286298"/>
      <w:bookmarkStart w:id="35" w:name="_Hlk103343728"/>
      <w:r w:rsidRPr="006121EF">
        <w:t>Short</w:t>
      </w:r>
      <w:r w:rsidR="00B01278">
        <w:t>-</w:t>
      </w:r>
      <w:r w:rsidRPr="00B01278">
        <w:t xml:space="preserve">term </w:t>
      </w:r>
      <w:r w:rsidR="00B01278">
        <w:t>wholesale funding</w:t>
      </w:r>
      <w:r w:rsidR="00B01278" w:rsidRPr="006121EF">
        <w:t xml:space="preserve"> </w:t>
      </w:r>
      <w:r w:rsidRPr="006121EF">
        <w:t xml:space="preserve">as a proportion of funding </w:t>
      </w:r>
      <w:r w:rsidR="00BA086D" w:rsidRPr="00B01278">
        <w:t>ha</w:t>
      </w:r>
      <w:r w:rsidR="00377ECB">
        <w:t>d</w:t>
      </w:r>
      <w:r w:rsidR="00BA086D" w:rsidRPr="00B01278">
        <w:t xml:space="preserve"> </w:t>
      </w:r>
      <w:r w:rsidRPr="00B01278">
        <w:t xml:space="preserve">decreased from </w:t>
      </w:r>
      <w:bookmarkStart w:id="36" w:name="_Hlk103371372"/>
      <w:r w:rsidR="00512544" w:rsidRPr="00B01278">
        <w:t xml:space="preserve">more than </w:t>
      </w:r>
      <w:r w:rsidRPr="00B01278">
        <w:t>30</w:t>
      </w:r>
      <w:r w:rsidR="00512544" w:rsidRPr="00B01278">
        <w:t xml:space="preserve"> per cent</w:t>
      </w:r>
      <w:r w:rsidRPr="00B01278">
        <w:t xml:space="preserve"> during the GFC</w:t>
      </w:r>
      <w:r w:rsidR="00B01278">
        <w:t>,</w:t>
      </w:r>
      <w:r w:rsidRPr="006121EF">
        <w:t xml:space="preserve"> to </w:t>
      </w:r>
      <w:r w:rsidR="00512544" w:rsidRPr="00B01278">
        <w:t xml:space="preserve">approximately </w:t>
      </w:r>
      <w:r w:rsidRPr="00B01278">
        <w:t>22</w:t>
      </w:r>
      <w:r w:rsidR="00512544" w:rsidRPr="00B01278">
        <w:t xml:space="preserve"> per cent</w:t>
      </w:r>
      <w:r w:rsidRPr="00B01278">
        <w:t xml:space="preserve"> </w:t>
      </w:r>
      <w:r w:rsidR="00CF504E">
        <w:t>by the t</w:t>
      </w:r>
      <w:r w:rsidR="00374959">
        <w:t>i</w:t>
      </w:r>
      <w:r w:rsidR="00CF504E">
        <w:t>me of</w:t>
      </w:r>
      <w:r w:rsidR="00F200E9" w:rsidRPr="00B01278">
        <w:t xml:space="preserve"> the implementation of the reforms</w:t>
      </w:r>
      <w:r w:rsidR="00B01278" w:rsidRPr="00B01278">
        <w:t>. The reduced reliance on short</w:t>
      </w:r>
      <w:r w:rsidR="00B01278">
        <w:t>-</w:t>
      </w:r>
      <w:r w:rsidR="00B01278" w:rsidRPr="006121EF">
        <w:t xml:space="preserve">term wholesale funding </w:t>
      </w:r>
      <w:r w:rsidR="00B01278">
        <w:t>was</w:t>
      </w:r>
      <w:r w:rsidR="00B01278" w:rsidRPr="006121EF">
        <w:t xml:space="preserve"> further embedded by the NSFR</w:t>
      </w:r>
      <w:r w:rsidR="0064095E">
        <w:t xml:space="preserve">, which ensured that the improvements </w:t>
      </w:r>
      <w:r w:rsidR="00EC064B">
        <w:t>implemented by industry in response to market expectations</w:t>
      </w:r>
      <w:r w:rsidR="0064095E">
        <w:t xml:space="preserve"> were maintained</w:t>
      </w:r>
      <w:r w:rsidR="00EC064B">
        <w:t xml:space="preserve"> through higher regulatory standards</w:t>
      </w:r>
      <w:r w:rsidR="00B01278" w:rsidRPr="006121EF">
        <w:t xml:space="preserve">. </w:t>
      </w:r>
      <w:r w:rsidR="00B01278">
        <w:t>S</w:t>
      </w:r>
      <w:r w:rsidR="00B01278" w:rsidRPr="006121EF">
        <w:t>hort term debt has been replaced by domestic deposits, which are a</w:t>
      </w:r>
      <w:r w:rsidR="00B01278" w:rsidRPr="00B01278">
        <w:t xml:space="preserve"> more stable source of funding.</w:t>
      </w:r>
      <w:r w:rsidRPr="00B01278">
        <w:t xml:space="preserve"> </w:t>
      </w:r>
      <w:bookmarkEnd w:id="34"/>
      <w:bookmarkEnd w:id="36"/>
      <w:r w:rsidR="004E0E65" w:rsidRPr="00B01278">
        <w:t xml:space="preserve"> </w:t>
      </w:r>
    </w:p>
    <w:bookmarkEnd w:id="35"/>
    <w:p w14:paraId="6FE1938B" w14:textId="779E430D" w:rsidR="008D7080" w:rsidRDefault="00794D90" w:rsidP="008D7080">
      <w:pPr>
        <w:pStyle w:val="Numberedfigureheading"/>
      </w:pPr>
      <w:r w:rsidRPr="00313108">
        <w:rPr>
          <w:noProof/>
        </w:rPr>
        <w:drawing>
          <wp:anchor distT="0" distB="0" distL="114300" distR="114300" simplePos="0" relativeHeight="251658242" behindDoc="0" locked="0" layoutInCell="1" allowOverlap="1" wp14:anchorId="2A151F65" wp14:editId="2A103BEA">
            <wp:simplePos x="0" y="0"/>
            <wp:positionH relativeFrom="margin">
              <wp:posOffset>909955</wp:posOffset>
            </wp:positionH>
            <wp:positionV relativeFrom="paragraph">
              <wp:posOffset>371475</wp:posOffset>
            </wp:positionV>
            <wp:extent cx="3912235" cy="4019550"/>
            <wp:effectExtent l="0" t="0" r="0" b="0"/>
            <wp:wrapTopAndBottom/>
            <wp:docPr id="19" name="Picture 19" descr="The graph shows the changes in funding composition since 2005 - with short term and long term debt decreasing, and domestic deposits increas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The graph shows the changes in funding composition since 2005 - with short term and long term debt decreasing, and domestic deposits increasing.  "/>
                    <pic:cNvPicPr/>
                  </pic:nvPicPr>
                  <pic:blipFill rotWithShape="1">
                    <a:blip r:embed="rId22" cstate="print">
                      <a:extLst>
                        <a:ext uri="{28A0092B-C50C-407E-A947-70E740481C1C}">
                          <a14:useLocalDpi xmlns:a14="http://schemas.microsoft.com/office/drawing/2010/main" val="0"/>
                        </a:ext>
                      </a:extLst>
                    </a:blip>
                    <a:srcRect t="-236"/>
                    <a:stretch/>
                  </pic:blipFill>
                  <pic:spPr bwMode="auto">
                    <a:xfrm>
                      <a:off x="0" y="0"/>
                      <a:ext cx="3912235" cy="4019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D7080">
        <w:t xml:space="preserve">Funding composition of banks in Australia </w:t>
      </w:r>
    </w:p>
    <w:p w14:paraId="0881CC28" w14:textId="3E175DF1" w:rsidR="00FF73A6" w:rsidRDefault="00622EDB">
      <w:r w:rsidRPr="00505964">
        <w:rPr>
          <w:i/>
        </w:rPr>
        <w:t>Source:</w:t>
      </w:r>
      <w:r w:rsidR="001E6D3A">
        <w:rPr>
          <w:i/>
        </w:rPr>
        <w:t xml:space="preserve"> </w:t>
      </w:r>
      <w:r w:rsidRPr="00505964">
        <w:rPr>
          <w:i/>
        </w:rPr>
        <w:t>Reserve</w:t>
      </w:r>
      <w:r>
        <w:rPr>
          <w:i/>
        </w:rPr>
        <w:t xml:space="preserve"> Bank of Australia </w:t>
      </w:r>
    </w:p>
    <w:p w14:paraId="43429DE7" w14:textId="32851E2A" w:rsidR="00DD226E" w:rsidRDefault="00D75D60">
      <w:r>
        <w:t xml:space="preserve">The culmination of these actions has led to </w:t>
      </w:r>
      <w:r w:rsidR="00DD226E">
        <w:t>sustained NSFRs</w:t>
      </w:r>
      <w:r w:rsidR="00161BD1">
        <w:t xml:space="preserve"> since implementation in </w:t>
      </w:r>
      <w:r w:rsidR="00C07EAB">
        <w:t xml:space="preserve">APS 210 in </w:t>
      </w:r>
      <w:r w:rsidR="00161BD1">
        <w:t>201</w:t>
      </w:r>
      <w:r w:rsidR="00017E7B">
        <w:t>8</w:t>
      </w:r>
      <w:r w:rsidR="00DD226E">
        <w:t>, well above the regulatory minimum</w:t>
      </w:r>
      <w:r w:rsidR="00161BD1">
        <w:t xml:space="preserve"> of 100 per cent</w:t>
      </w:r>
      <w:r w:rsidR="00DD226E">
        <w:t>.</w:t>
      </w:r>
      <w:r w:rsidR="00C07EAB">
        <w:t xml:space="preserve"> The improvements in funding profiles have also been demonstrated by</w:t>
      </w:r>
      <w:r w:rsidR="00DD226E">
        <w:t xml:space="preserve"> </w:t>
      </w:r>
      <w:r w:rsidR="00C07EAB">
        <w:t>ongoing access to international markets and, for the major banks, global-leading credit ratings of AA-.</w:t>
      </w:r>
      <w:r w:rsidR="00EC064B">
        <w:rPr>
          <w:rStyle w:val="FootnoteReference"/>
        </w:rPr>
        <w:footnoteReference w:id="13"/>
      </w:r>
    </w:p>
    <w:p w14:paraId="2A2FC361" w14:textId="1B53FE78" w:rsidR="00064B79" w:rsidRDefault="00C07EAB" w:rsidP="00510E5C">
      <w:pPr>
        <w:pStyle w:val="Heading5"/>
      </w:pPr>
      <w:r>
        <w:t>Stronger liquidity management practices</w:t>
      </w:r>
    </w:p>
    <w:p w14:paraId="51E86A05" w14:textId="5BB6E5DE" w:rsidR="00C21245" w:rsidRDefault="00C07EAB" w:rsidP="00C07EAB">
      <w:pPr>
        <w:numPr>
          <w:ilvl w:val="0"/>
          <w:numId w:val="0"/>
        </w:numPr>
      </w:pPr>
      <w:r>
        <w:t>There has been a</w:t>
      </w:r>
      <w:r w:rsidRPr="00A21CD0">
        <w:t xml:space="preserve"> growing maturity in liquidity risk management</w:t>
      </w:r>
      <w:r>
        <w:t>, which has been</w:t>
      </w:r>
      <w:r w:rsidRPr="00A21CD0">
        <w:t xml:space="preserve"> evident in more </w:t>
      </w:r>
      <w:r w:rsidR="00C21245">
        <w:t xml:space="preserve">prudent approaches to measuring, monitoring, and reporting liquidity risk, as well as </w:t>
      </w:r>
      <w:r w:rsidRPr="00A21CD0">
        <w:t>more granular and accurate stress testing and improved decision making around funding profile composition.</w:t>
      </w:r>
    </w:p>
    <w:p w14:paraId="458DA49E" w14:textId="77736F88" w:rsidR="00445E84" w:rsidRDefault="00C07EAB" w:rsidP="00510E5C">
      <w:pPr>
        <w:numPr>
          <w:ilvl w:val="0"/>
          <w:numId w:val="0"/>
        </w:numPr>
      </w:pPr>
      <w:r>
        <w:t>This was demonstrated during the COVID-19 period of stress, and banks</w:t>
      </w:r>
      <w:r w:rsidR="00B400DA">
        <w:t>’</w:t>
      </w:r>
      <w:r>
        <w:t xml:space="preserve"> response to initial funding pressures. </w:t>
      </w:r>
      <w:r w:rsidR="00D746A3">
        <w:t>B</w:t>
      </w:r>
      <w:r w:rsidR="00516E02">
        <w:t xml:space="preserve">anks were </w:t>
      </w:r>
      <w:r w:rsidR="000B28AD">
        <w:t xml:space="preserve">much </w:t>
      </w:r>
      <w:r w:rsidR="007B173C">
        <w:t xml:space="preserve">better positioned </w:t>
      </w:r>
      <w:r w:rsidR="00516E02">
        <w:t>to</w:t>
      </w:r>
      <w:r w:rsidR="00500EC5" w:rsidRPr="0069796C">
        <w:t xml:space="preserve"> withstand </w:t>
      </w:r>
      <w:r w:rsidR="00060F1B">
        <w:t>funding market stresses</w:t>
      </w:r>
      <w:r w:rsidR="00D746A3">
        <w:t xml:space="preserve"> </w:t>
      </w:r>
      <w:r w:rsidR="00BF7EC4">
        <w:t xml:space="preserve">compared to previous downturns </w:t>
      </w:r>
      <w:r w:rsidR="00D746A3">
        <w:t xml:space="preserve">and </w:t>
      </w:r>
      <w:r w:rsidR="000B28AD">
        <w:t>retain</w:t>
      </w:r>
      <w:r w:rsidR="00D746A3">
        <w:t>ed</w:t>
      </w:r>
      <w:r w:rsidR="000B28AD">
        <w:t xml:space="preserve"> significant reserves </w:t>
      </w:r>
      <w:r w:rsidR="007A59A5">
        <w:t xml:space="preserve">and contingency actions to be able to respond </w:t>
      </w:r>
      <w:r w:rsidR="000B28AD">
        <w:t xml:space="preserve">if </w:t>
      </w:r>
      <w:r w:rsidR="000513AE">
        <w:t>the stress</w:t>
      </w:r>
      <w:r w:rsidR="007A59A5">
        <w:t xml:space="preserve"> had</w:t>
      </w:r>
      <w:r w:rsidR="000513AE">
        <w:t xml:space="preserve"> bec</w:t>
      </w:r>
      <w:r w:rsidR="007A59A5">
        <w:t>o</w:t>
      </w:r>
      <w:r w:rsidR="000513AE">
        <w:t>me</w:t>
      </w:r>
      <w:r w:rsidR="007A59A5">
        <w:t xml:space="preserve"> even more</w:t>
      </w:r>
      <w:r w:rsidR="000513AE">
        <w:t xml:space="preserve"> heightened</w:t>
      </w:r>
      <w:r w:rsidR="007A59A5">
        <w:t xml:space="preserve"> or prolonged</w:t>
      </w:r>
      <w:r w:rsidR="00500EC5" w:rsidRPr="0069796C">
        <w:t>.</w:t>
      </w:r>
      <w:r w:rsidR="00186FC3">
        <w:rPr>
          <w:rStyle w:val="FootnoteReference"/>
        </w:rPr>
        <w:footnoteReference w:id="14"/>
      </w:r>
      <w:r w:rsidR="00C21245">
        <w:t xml:space="preserve"> </w:t>
      </w:r>
      <w:r w:rsidR="00935383">
        <w:t>Australian</w:t>
      </w:r>
      <w:r w:rsidR="000B28AD">
        <w:t xml:space="preserve"> </w:t>
      </w:r>
      <w:r w:rsidR="00FC5AA4">
        <w:t xml:space="preserve">banks retained sound liquidity and funding positions </w:t>
      </w:r>
      <w:r w:rsidR="006D6AFD">
        <w:t xml:space="preserve">through the period </w:t>
      </w:r>
      <w:r w:rsidR="00FC5AA4">
        <w:t>and</w:t>
      </w:r>
      <w:r w:rsidR="00030811">
        <w:t xml:space="preserve"> maintained investor confidence. </w:t>
      </w:r>
    </w:p>
    <w:p w14:paraId="404D88C5" w14:textId="7D45B23D" w:rsidR="0025509E" w:rsidRDefault="007D203F" w:rsidP="00510E5C">
      <w:pPr>
        <w:numPr>
          <w:ilvl w:val="0"/>
          <w:numId w:val="0"/>
        </w:numPr>
      </w:pPr>
      <w:r>
        <w:t>W</w:t>
      </w:r>
      <w:r w:rsidR="006D6AFD">
        <w:t xml:space="preserve">hile banks were better positioned to withstand liquidity stresses, the </w:t>
      </w:r>
      <w:r w:rsidR="00FE3C38">
        <w:t xml:space="preserve">actions </w:t>
      </w:r>
      <w:r w:rsidR="00C07EAB">
        <w:t>of</w:t>
      </w:r>
      <w:r w:rsidR="00FE3C38">
        <w:t xml:space="preserve"> the </w:t>
      </w:r>
      <w:r w:rsidR="00C07EAB">
        <w:t>G</w:t>
      </w:r>
      <w:r w:rsidR="00FE3C38">
        <w:t>overnment an</w:t>
      </w:r>
      <w:r w:rsidR="00402664">
        <w:t>d RBA</w:t>
      </w:r>
      <w:r w:rsidR="00857492" w:rsidRPr="00857492">
        <w:t xml:space="preserve"> </w:t>
      </w:r>
      <w:r w:rsidR="00857492">
        <w:t>in response to the COVID-19 pandemic</w:t>
      </w:r>
      <w:r w:rsidR="00402664">
        <w:t>, in particular</w:t>
      </w:r>
      <w:r w:rsidR="008D1ACF">
        <w:t xml:space="preserve"> the Term Funding Facility (TFF),</w:t>
      </w:r>
      <w:r w:rsidR="006D6AFD">
        <w:t xml:space="preserve"> </w:t>
      </w:r>
      <w:r w:rsidR="00017E7B">
        <w:t xml:space="preserve">further </w:t>
      </w:r>
      <w:r w:rsidR="00A0735E">
        <w:t>assisted their position</w:t>
      </w:r>
      <w:r w:rsidR="006D6AFD">
        <w:t>.</w:t>
      </w:r>
      <w:r w:rsidR="008D1ACF">
        <w:rPr>
          <w:rStyle w:val="FootnoteReference"/>
        </w:rPr>
        <w:footnoteReference w:id="15"/>
      </w:r>
      <w:r w:rsidR="006D6AFD">
        <w:t xml:space="preserve">  </w:t>
      </w:r>
      <w:r w:rsidR="00030811">
        <w:t xml:space="preserve">The </w:t>
      </w:r>
      <w:r w:rsidR="004D201B">
        <w:t xml:space="preserve">average </w:t>
      </w:r>
      <w:r w:rsidR="00E166A6">
        <w:t xml:space="preserve">LCR </w:t>
      </w:r>
      <w:r w:rsidR="00030811">
        <w:t xml:space="preserve">increased </w:t>
      </w:r>
      <w:r w:rsidR="00E166A6" w:rsidRPr="008E6F35">
        <w:t>from</w:t>
      </w:r>
      <w:r w:rsidR="00602D37" w:rsidRPr="00E110E4">
        <w:t xml:space="preserve"> 131 per cent in December 2019 to 139 per cent in December 2021</w:t>
      </w:r>
      <w:r w:rsidR="008E6F35" w:rsidRPr="00E110E4">
        <w:t xml:space="preserve"> </w:t>
      </w:r>
      <w:r w:rsidR="00E166A6" w:rsidRPr="00510E5C">
        <w:t>and</w:t>
      </w:r>
      <w:r w:rsidR="00857492">
        <w:t xml:space="preserve"> the</w:t>
      </w:r>
      <w:r w:rsidR="00E166A6" w:rsidRPr="00510E5C">
        <w:t xml:space="preserve"> </w:t>
      </w:r>
      <w:r w:rsidR="004D201B">
        <w:t xml:space="preserve">average </w:t>
      </w:r>
      <w:r w:rsidR="00E166A6" w:rsidRPr="00510E5C">
        <w:t xml:space="preserve">NSFR from </w:t>
      </w:r>
      <w:r w:rsidR="00935383" w:rsidRPr="00510E5C">
        <w:t>114 per cent</w:t>
      </w:r>
      <w:r w:rsidR="00E166A6" w:rsidRPr="00510E5C">
        <w:t xml:space="preserve"> to </w:t>
      </w:r>
      <w:r w:rsidR="00935383" w:rsidRPr="00510E5C">
        <w:t>127 per cent</w:t>
      </w:r>
      <w:r w:rsidR="006D6AFD">
        <w:t xml:space="preserve"> over the same period</w:t>
      </w:r>
      <w:r w:rsidR="005341DA" w:rsidRPr="00510E5C">
        <w:t>.</w:t>
      </w:r>
      <w:r w:rsidR="00E166A6">
        <w:t xml:space="preserve"> </w:t>
      </w:r>
    </w:p>
    <w:p w14:paraId="1C7D09A4" w14:textId="39456267" w:rsidR="002554CC" w:rsidRDefault="004A62E3" w:rsidP="00E624B3">
      <w:pPr>
        <w:pStyle w:val="Heading2Numbers"/>
        <w:numPr>
          <w:ilvl w:val="0"/>
          <w:numId w:val="0"/>
        </w:numPr>
      </w:pPr>
      <w:bookmarkStart w:id="37" w:name="_Toc103687171"/>
      <w:bookmarkStart w:id="38" w:name="_Toc103791296"/>
      <w:r>
        <w:t>Costs</w:t>
      </w:r>
      <w:bookmarkEnd w:id="37"/>
      <w:bookmarkEnd w:id="38"/>
      <w:r>
        <w:t xml:space="preserve"> </w:t>
      </w:r>
    </w:p>
    <w:p w14:paraId="3EAA597C" w14:textId="3228471F" w:rsidR="00175D88" w:rsidRDefault="005053A8" w:rsidP="006632C0">
      <w:r>
        <w:t xml:space="preserve">APRA </w:t>
      </w:r>
      <w:r w:rsidR="00DA71D7">
        <w:t xml:space="preserve">has also analysed and assessed the costs of the LCR and NSFR. </w:t>
      </w:r>
      <w:r w:rsidR="00580048">
        <w:t>Total</w:t>
      </w:r>
      <w:r w:rsidR="00175D88">
        <w:t xml:space="preserve"> costs have arisen from three main sources:</w:t>
      </w:r>
    </w:p>
    <w:p w14:paraId="534392A5" w14:textId="18FFD680" w:rsidR="00175D88" w:rsidRDefault="004A7B4C" w:rsidP="00175D88">
      <w:pPr>
        <w:pStyle w:val="ListBullet"/>
      </w:pPr>
      <w:r>
        <w:t xml:space="preserve">up-front </w:t>
      </w:r>
      <w:r w:rsidR="00E755D2">
        <w:t>implementation</w:t>
      </w:r>
      <w:r w:rsidR="005053A8">
        <w:t xml:space="preserve"> and ongoing compliance costs</w:t>
      </w:r>
      <w:r w:rsidR="00175D88">
        <w:t xml:space="preserve">; </w:t>
      </w:r>
      <w:r w:rsidR="005053A8">
        <w:t xml:space="preserve"> </w:t>
      </w:r>
    </w:p>
    <w:p w14:paraId="2B10ECA9" w14:textId="0627689F" w:rsidR="00175D88" w:rsidRDefault="00107A66" w:rsidP="00175D88">
      <w:pPr>
        <w:pStyle w:val="ListBullet"/>
      </w:pPr>
      <w:r>
        <w:t>financial</w:t>
      </w:r>
      <w:r w:rsidR="00A44FA5">
        <w:t xml:space="preserve"> costs</w:t>
      </w:r>
      <w:r w:rsidR="00D95E07">
        <w:t>, such as</w:t>
      </w:r>
      <w:r w:rsidR="001E7EE1">
        <w:t xml:space="preserve"> costs </w:t>
      </w:r>
      <w:r w:rsidR="005053A8">
        <w:t>incurred as a result of changing liquidity and funding profiles</w:t>
      </w:r>
      <w:r w:rsidR="00175D88">
        <w:t>; and</w:t>
      </w:r>
    </w:p>
    <w:p w14:paraId="7514E1AA" w14:textId="072FFE0B" w:rsidR="00175D88" w:rsidRDefault="00175D88" w:rsidP="00510E5C">
      <w:pPr>
        <w:pStyle w:val="ListBullet"/>
      </w:pPr>
      <w:r>
        <w:t>impacts</w:t>
      </w:r>
      <w:r w:rsidR="000255DB">
        <w:t xml:space="preserve"> on competition</w:t>
      </w:r>
      <w:r>
        <w:t xml:space="preserve"> resulting from the reforms.</w:t>
      </w:r>
      <w:r w:rsidR="005053A8">
        <w:t xml:space="preserve"> </w:t>
      </w:r>
    </w:p>
    <w:p w14:paraId="65F98817" w14:textId="0E0FD4D6" w:rsidR="00A44FA5" w:rsidRDefault="0093220C">
      <w:r>
        <w:t xml:space="preserve">The </w:t>
      </w:r>
      <w:r w:rsidR="00107A66">
        <w:t>theme from the industry</w:t>
      </w:r>
      <w:r w:rsidR="00DA71D7">
        <w:t xml:space="preserve"> submissions and discussions during the PIR has been </w:t>
      </w:r>
      <w:r>
        <w:t>that</w:t>
      </w:r>
      <w:r w:rsidR="00577EFC">
        <w:t xml:space="preserve"> while costs have varied across banks, the overall cost outcomes </w:t>
      </w:r>
      <w:r w:rsidR="00DA71D7">
        <w:t>have been</w:t>
      </w:r>
      <w:r w:rsidR="000A6DF1">
        <w:t xml:space="preserve"> </w:t>
      </w:r>
      <w:r w:rsidR="00DA71D7">
        <w:t xml:space="preserve">broadly </w:t>
      </w:r>
      <w:r w:rsidR="000A6DF1">
        <w:t>within expectations</w:t>
      </w:r>
      <w:r w:rsidR="00DA71D7">
        <w:t>,</w:t>
      </w:r>
      <w:r w:rsidR="00A56BE4">
        <w:t xml:space="preserve"> and </w:t>
      </w:r>
      <w:r w:rsidR="000E7F79">
        <w:t>in line with</w:t>
      </w:r>
      <w:r w:rsidR="00A56BE4">
        <w:t xml:space="preserve"> </w:t>
      </w:r>
      <w:r w:rsidR="00DA71D7">
        <w:t xml:space="preserve">what has been needed to </w:t>
      </w:r>
      <w:r w:rsidR="00A56BE4">
        <w:t>achiev</w:t>
      </w:r>
      <w:r w:rsidR="00DA71D7">
        <w:t>e</w:t>
      </w:r>
      <w:r w:rsidR="00A56BE4">
        <w:t xml:space="preserve"> the benefits of the reforms</w:t>
      </w:r>
      <w:r w:rsidR="000A6DF1">
        <w:t>.</w:t>
      </w:r>
      <w:r w:rsidR="00A44FA5">
        <w:t xml:space="preserve"> </w:t>
      </w:r>
    </w:p>
    <w:p w14:paraId="6DFF19E6" w14:textId="4D082445" w:rsidR="006648AC" w:rsidRPr="006632C0" w:rsidRDefault="001E7EE1" w:rsidP="00006D0B">
      <w:r>
        <w:t>In</w:t>
      </w:r>
      <w:r w:rsidR="00E246C9">
        <w:t xml:space="preserve"> </w:t>
      </w:r>
      <w:r>
        <w:t>quantifying and analysing costs</w:t>
      </w:r>
      <w:r w:rsidR="00CB50E5">
        <w:t xml:space="preserve">, both APRA and </w:t>
      </w:r>
      <w:r w:rsidR="00DA71D7">
        <w:t>industry stakeholders have</w:t>
      </w:r>
      <w:r w:rsidR="00CB50E5">
        <w:t xml:space="preserve"> </w:t>
      </w:r>
      <w:r w:rsidR="00F21522">
        <w:t xml:space="preserve">faced </w:t>
      </w:r>
      <w:r w:rsidR="00DA71D7">
        <w:t xml:space="preserve">several </w:t>
      </w:r>
      <w:r w:rsidR="00CB50E5">
        <w:t>challenges</w:t>
      </w:r>
      <w:r w:rsidR="00B17A05">
        <w:t>. T</w:t>
      </w:r>
      <w:r w:rsidR="00DA71D7">
        <w:t xml:space="preserve">hese </w:t>
      </w:r>
      <w:r w:rsidR="00B17A05">
        <w:t xml:space="preserve">challenges </w:t>
      </w:r>
      <w:r w:rsidR="00DA71D7">
        <w:t>include</w:t>
      </w:r>
      <w:r w:rsidR="0093220C">
        <w:t xml:space="preserve"> separating out the costs specifically related to the</w:t>
      </w:r>
      <w:r w:rsidR="00DA71D7">
        <w:t xml:space="preserve"> LCR and NSFR</w:t>
      </w:r>
      <w:r w:rsidR="0093220C">
        <w:t xml:space="preserve"> from other costs </w:t>
      </w:r>
      <w:r w:rsidR="00DA71D7">
        <w:t xml:space="preserve">incurred </w:t>
      </w:r>
      <w:r w:rsidR="0093220C">
        <w:t>during the</w:t>
      </w:r>
      <w:r w:rsidR="00DA71D7">
        <w:t xml:space="preserve"> implementation</w:t>
      </w:r>
      <w:r w:rsidR="0093220C">
        <w:t xml:space="preserve"> timeframe</w:t>
      </w:r>
      <w:r w:rsidR="00B17A05">
        <w:t>, as well as generating cost data</w:t>
      </w:r>
      <w:r w:rsidR="006638C5">
        <w:t xml:space="preserve">. </w:t>
      </w:r>
      <w:r w:rsidR="00CB50E5">
        <w:t>While some stakeholders sought to</w:t>
      </w:r>
      <w:r w:rsidR="00E246C9">
        <w:t xml:space="preserve"> provide specific quantitative data</w:t>
      </w:r>
      <w:r w:rsidR="0093220C">
        <w:t xml:space="preserve">, </w:t>
      </w:r>
      <w:r w:rsidR="00CB50E5">
        <w:t xml:space="preserve">others were only able to share </w:t>
      </w:r>
      <w:r w:rsidR="00DA71D7">
        <w:t xml:space="preserve">estimates of </w:t>
      </w:r>
      <w:r w:rsidR="00CB50E5">
        <w:t>cost impacts</w:t>
      </w:r>
      <w:r w:rsidR="00DA71D7">
        <w:t xml:space="preserve"> on a</w:t>
      </w:r>
      <w:r w:rsidR="00CB50E5">
        <w:t xml:space="preserve"> qualitative</w:t>
      </w:r>
      <w:r w:rsidR="00DA71D7">
        <w:t xml:space="preserve"> basis</w:t>
      </w:r>
      <w:r w:rsidR="00CB50E5">
        <w:t>.</w:t>
      </w:r>
      <w:r w:rsidR="00A73EDD">
        <w:rPr>
          <w:rStyle w:val="FootnoteReference"/>
        </w:rPr>
        <w:footnoteReference w:id="16"/>
      </w:r>
      <w:r w:rsidR="00E246C9" w:rsidRPr="00E246C9">
        <w:t xml:space="preserve"> </w:t>
      </w:r>
      <w:r w:rsidR="00E246C9">
        <w:t xml:space="preserve">Even where banks sought to provide qualitative </w:t>
      </w:r>
      <w:r w:rsidR="00B17A05">
        <w:t>data</w:t>
      </w:r>
      <w:r w:rsidR="00E246C9">
        <w:t xml:space="preserve">, there was </w:t>
      </w:r>
      <w:r w:rsidR="0093220C">
        <w:t>in</w:t>
      </w:r>
      <w:r w:rsidR="00E246C9">
        <w:t xml:space="preserve">consistency between banks in approach </w:t>
      </w:r>
      <w:r w:rsidR="00651265">
        <w:t xml:space="preserve">and </w:t>
      </w:r>
      <w:r w:rsidR="00E246C9">
        <w:t>content.</w:t>
      </w:r>
      <w:r w:rsidR="00A90E6E">
        <w:t xml:space="preserve"> </w:t>
      </w:r>
      <w:r w:rsidR="00A90E6E" w:rsidRPr="008D1ACF">
        <w:t xml:space="preserve">An additional challenge was </w:t>
      </w:r>
      <w:r w:rsidR="00A90E6E" w:rsidRPr="00197F7A">
        <w:t xml:space="preserve">the limited number of </w:t>
      </w:r>
      <w:r w:rsidR="00A90E6E" w:rsidRPr="008D1ACF">
        <w:t>submissions received by non-major banks</w:t>
      </w:r>
      <w:r w:rsidR="00A90E6E">
        <w:t>.</w:t>
      </w:r>
      <w:r w:rsidR="00A90E6E" w:rsidRPr="008D1ACF">
        <w:t xml:space="preserve"> </w:t>
      </w:r>
      <w:r w:rsidR="00A90E6E">
        <w:t xml:space="preserve">To ensure a more representative outcome, </w:t>
      </w:r>
      <w:r w:rsidR="00A90E6E" w:rsidRPr="008D1ACF">
        <w:t xml:space="preserve">APRA has </w:t>
      </w:r>
      <w:r w:rsidR="00A90E6E">
        <w:t xml:space="preserve">adjusted cost estimates proportionally for these entities in line with adjustments to major bank </w:t>
      </w:r>
      <w:r w:rsidR="00402664">
        <w:t>figures</w:t>
      </w:r>
      <w:r w:rsidR="00A90E6E" w:rsidRPr="000612B5">
        <w:t>.</w:t>
      </w:r>
      <w:r w:rsidR="00E246C9">
        <w:t xml:space="preserve"> </w:t>
      </w:r>
      <w:r w:rsidR="00EF7A7F">
        <w:t xml:space="preserve">The costing analysis below </w:t>
      </w:r>
      <w:r w:rsidR="00402664">
        <w:t>includes</w:t>
      </w:r>
      <w:r w:rsidR="00EF7A7F">
        <w:t xml:space="preserve"> the</w:t>
      </w:r>
      <w:r w:rsidR="00402664">
        <w:t>se</w:t>
      </w:r>
      <w:r w:rsidR="00EF7A7F">
        <w:t xml:space="preserve"> assumptions </w:t>
      </w:r>
      <w:r w:rsidR="00402664">
        <w:t xml:space="preserve">made by </w:t>
      </w:r>
      <w:r w:rsidR="00EF7A7F">
        <w:t>APRA.</w:t>
      </w:r>
    </w:p>
    <w:p w14:paraId="533E38ED" w14:textId="16A7F2B4" w:rsidR="00500EC5" w:rsidRPr="0069796C" w:rsidRDefault="00B17A05" w:rsidP="00510E5C">
      <w:pPr>
        <w:pStyle w:val="Heading5"/>
      </w:pPr>
      <w:r>
        <w:t>Compliance</w:t>
      </w:r>
      <w:r w:rsidR="000C00C8">
        <w:t xml:space="preserve"> </w:t>
      </w:r>
      <w:r w:rsidR="00F403B7">
        <w:t xml:space="preserve">costs </w:t>
      </w:r>
    </w:p>
    <w:bookmarkEnd w:id="22"/>
    <w:bookmarkEnd w:id="23"/>
    <w:bookmarkEnd w:id="24"/>
    <w:bookmarkEnd w:id="25"/>
    <w:bookmarkEnd w:id="26"/>
    <w:bookmarkEnd w:id="27"/>
    <w:bookmarkEnd w:id="28"/>
    <w:bookmarkEnd w:id="29"/>
    <w:bookmarkEnd w:id="30"/>
    <w:p w14:paraId="4B4BC2BC" w14:textId="58FD71E7" w:rsidR="00EF7A7F" w:rsidRDefault="00B17A05" w:rsidP="008D1ACF">
      <w:r>
        <w:t xml:space="preserve">For the LCR, the </w:t>
      </w:r>
      <w:r w:rsidR="0024643A">
        <w:t xml:space="preserve">compliance </w:t>
      </w:r>
      <w:r>
        <w:t xml:space="preserve">costs for the industry were originally estimated to </w:t>
      </w:r>
      <w:r w:rsidR="00A3341A">
        <w:t>average</w:t>
      </w:r>
      <w:r>
        <w:t xml:space="preserve"> around $50.5 million </w:t>
      </w:r>
      <w:r w:rsidR="0024643A">
        <w:t xml:space="preserve">per year </w:t>
      </w:r>
      <w:r>
        <w:t>over a 10-year period, and for the NSFR $2.4 million per year over a 10-year period. Industry estimates, provided on a best endeavours basis, were broadly consistent with this.</w:t>
      </w:r>
    </w:p>
    <w:p w14:paraId="36518D95" w14:textId="336A6F30" w:rsidR="00574967" w:rsidRDefault="00574967" w:rsidP="00DA4DC9">
      <w:r>
        <w:t xml:space="preserve">A broad comparison of the </w:t>
      </w:r>
      <w:r w:rsidR="00FC38B7">
        <w:t>up-front implementation and ongoing compliance</w:t>
      </w:r>
      <w:r>
        <w:t xml:space="preserve"> costs for the LCR is discussed in the table below. Regulatory costs for the NSFR were absorbed into business-as-usual costs, and as such clear data is not available.</w:t>
      </w:r>
      <w:r w:rsidR="008D1ACF" w:rsidRPr="008D1ACF">
        <w:t xml:space="preserve"> </w:t>
      </w:r>
    </w:p>
    <w:p w14:paraId="5C5D49CB" w14:textId="45BF82B9" w:rsidR="00724687" w:rsidRPr="000739B1" w:rsidRDefault="00724687" w:rsidP="003D6681">
      <w:pPr>
        <w:pStyle w:val="Numberedtableheading"/>
      </w:pPr>
      <w:r>
        <w:t>Total costs provided by entities</w:t>
      </w:r>
    </w:p>
    <w:tbl>
      <w:tblPr>
        <w:tblStyle w:val="TableGrid"/>
        <w:tblW w:w="5000" w:type="pct"/>
        <w:tblLook w:val="04A0" w:firstRow="1" w:lastRow="0" w:firstColumn="1" w:lastColumn="0" w:noHBand="0" w:noVBand="1"/>
      </w:tblPr>
      <w:tblGrid>
        <w:gridCol w:w="2127"/>
        <w:gridCol w:w="6899"/>
      </w:tblGrid>
      <w:tr w:rsidR="00724687" w:rsidRPr="00724687" w14:paraId="7EC1E0F2" w14:textId="77777777" w:rsidTr="007246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shd w:val="clear" w:color="auto" w:fill="012169" w:themeFill="text2"/>
          </w:tcPr>
          <w:p w14:paraId="0E0E6AF1" w14:textId="77777777" w:rsidR="00724687" w:rsidRPr="00724687" w:rsidRDefault="00724687" w:rsidP="00724687"/>
        </w:tc>
        <w:tc>
          <w:tcPr>
            <w:tcW w:w="6899" w:type="dxa"/>
          </w:tcPr>
          <w:p w14:paraId="5A29557F" w14:textId="16174A0D" w:rsidR="00724687" w:rsidRPr="00510E5C" w:rsidRDefault="00724687" w:rsidP="00724687">
            <w:pPr>
              <w:cnfStyle w:val="100000000000" w:firstRow="1" w:lastRow="0" w:firstColumn="0" w:lastColumn="0" w:oddVBand="0" w:evenVBand="0" w:oddHBand="0" w:evenHBand="0" w:firstRowFirstColumn="0" w:firstRowLastColumn="0" w:lastRowFirstColumn="0" w:lastRowLastColumn="0"/>
              <w:rPr>
                <w:b/>
              </w:rPr>
            </w:pPr>
            <w:r w:rsidRPr="00510E5C">
              <w:rPr>
                <w:b/>
              </w:rPr>
              <w:t>Estimated costs</w:t>
            </w:r>
          </w:p>
        </w:tc>
      </w:tr>
      <w:tr w:rsidR="00724687" w:rsidRPr="00724687" w14:paraId="47243409" w14:textId="77777777" w:rsidTr="00510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shd w:val="clear" w:color="auto" w:fill="012169" w:themeFill="text2"/>
          </w:tcPr>
          <w:p w14:paraId="03BE39BD" w14:textId="7F5DDEE4" w:rsidR="00724687" w:rsidRPr="00510E5C" w:rsidRDefault="00724687" w:rsidP="00510E5C">
            <w:pPr>
              <w:rPr>
                <w:color w:val="FFFFFF" w:themeColor="background1"/>
              </w:rPr>
            </w:pPr>
            <w:r w:rsidRPr="00510E5C">
              <w:rPr>
                <w:color w:val="FFFFFF" w:themeColor="background1"/>
              </w:rPr>
              <w:t>Up-front implementation costs</w:t>
            </w:r>
          </w:p>
        </w:tc>
        <w:tc>
          <w:tcPr>
            <w:tcW w:w="6899" w:type="dxa"/>
          </w:tcPr>
          <w:p w14:paraId="33B9BC73" w14:textId="3DD275B5" w:rsidR="00724687" w:rsidRPr="000739B1" w:rsidRDefault="00C72811" w:rsidP="008C6EF1">
            <w:pPr>
              <w:pStyle w:val="ListBullet"/>
              <w:numPr>
                <w:ilvl w:val="0"/>
                <w:numId w:val="0"/>
              </w:numPr>
              <w:cnfStyle w:val="000000100000" w:firstRow="0" w:lastRow="0" w:firstColumn="0" w:lastColumn="0" w:oddVBand="0" w:evenVBand="0" w:oddHBand="1" w:evenHBand="0" w:firstRowFirstColumn="0" w:firstRowLastColumn="0" w:lastRowFirstColumn="0" w:lastRowLastColumn="0"/>
            </w:pPr>
            <w:r>
              <w:t xml:space="preserve">For the LCR, the one-off upfront costs of changes to liquidity systems and framework enhancements were originally estimated to be around $30m for an average major bank.  There was </w:t>
            </w:r>
            <w:r w:rsidRPr="0089431C">
              <w:t xml:space="preserve">significant variation </w:t>
            </w:r>
            <w:r>
              <w:t>in costs between entities</w:t>
            </w:r>
            <w:r w:rsidRPr="0089431C">
              <w:t xml:space="preserve">, depending on </w:t>
            </w:r>
            <w:r>
              <w:t>the scope of</w:t>
            </w:r>
            <w:r w:rsidRPr="0089431C">
              <w:t xml:space="preserve"> system upgrades</w:t>
            </w:r>
            <w:r>
              <w:t xml:space="preserve"> being undertaken at the time</w:t>
            </w:r>
            <w:r w:rsidRPr="0089431C">
              <w:t>.</w:t>
            </w:r>
            <w:r>
              <w:t xml:space="preserve"> For some major banks, estimates of actual costs incurred were broadly in line with the original average estimate</w:t>
            </w:r>
            <w:r w:rsidR="00C910DE">
              <w:t xml:space="preserve">. There were </w:t>
            </w:r>
            <w:r w:rsidR="00EA572F">
              <w:t>higher costs in cases where</w:t>
            </w:r>
            <w:r>
              <w:t xml:space="preserve"> substantial system enhancements </w:t>
            </w:r>
            <w:r w:rsidR="00EA572F">
              <w:t xml:space="preserve">were </w:t>
            </w:r>
            <w:r>
              <w:t>made in parallel.</w:t>
            </w:r>
          </w:p>
        </w:tc>
      </w:tr>
      <w:tr w:rsidR="00724687" w:rsidRPr="00724687" w14:paraId="49B59893" w14:textId="77777777" w:rsidTr="00510E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012169" w:themeFill="text2"/>
          </w:tcPr>
          <w:p w14:paraId="569BD263" w14:textId="67B559D9" w:rsidR="00724687" w:rsidRPr="00510E5C" w:rsidRDefault="00724687" w:rsidP="00724687">
            <w:pPr>
              <w:rPr>
                <w:color w:val="FFFFFF" w:themeColor="background1"/>
              </w:rPr>
            </w:pPr>
            <w:r w:rsidRPr="00510E5C">
              <w:rPr>
                <w:color w:val="FFFFFF" w:themeColor="background1"/>
              </w:rPr>
              <w:t>Ongoing compliance costs</w:t>
            </w:r>
          </w:p>
        </w:tc>
        <w:tc>
          <w:tcPr>
            <w:tcW w:w="0" w:type="dxa"/>
          </w:tcPr>
          <w:p w14:paraId="32E3014C" w14:textId="6B7B82AB" w:rsidR="00724687" w:rsidRPr="000739B1" w:rsidRDefault="0009774B" w:rsidP="00724687">
            <w:pPr>
              <w:cnfStyle w:val="000000010000" w:firstRow="0" w:lastRow="0" w:firstColumn="0" w:lastColumn="0" w:oddVBand="0" w:evenVBand="0" w:oddHBand="0" w:evenHBand="1" w:firstRowFirstColumn="0" w:firstRowLastColumn="0" w:lastRowFirstColumn="0" w:lastRowLastColumn="0"/>
            </w:pPr>
            <w:r>
              <w:t xml:space="preserve">For the LCR, ongoing compliance costs were originally estimated to be around $5 million per annum for an average major bank. </w:t>
            </w:r>
            <w:r w:rsidR="00724687">
              <w:t xml:space="preserve">Submissions indicated average ongoing compliance costs </w:t>
            </w:r>
            <w:r>
              <w:t>to be broadly consistent, albeit</w:t>
            </w:r>
            <w:r w:rsidR="00724687">
              <w:t xml:space="preserve"> slightly higher than </w:t>
            </w:r>
            <w:r>
              <w:t>this</w:t>
            </w:r>
            <w:r w:rsidR="00724687">
              <w:t xml:space="preserve"> original estimate</w:t>
            </w:r>
            <w:r>
              <w:t xml:space="preserve">. </w:t>
            </w:r>
          </w:p>
        </w:tc>
      </w:tr>
    </w:tbl>
    <w:p w14:paraId="08E6AE47" w14:textId="725F0DC2" w:rsidR="00E82324" w:rsidRPr="00E82324" w:rsidRDefault="00F82E97" w:rsidP="00510E5C">
      <w:pPr>
        <w:numPr>
          <w:ilvl w:val="0"/>
          <w:numId w:val="0"/>
        </w:numPr>
        <w:spacing w:before="240"/>
      </w:pPr>
      <w:r w:rsidRPr="00F82E97">
        <w:t xml:space="preserve">It should be noted, the </w:t>
      </w:r>
      <w:r w:rsidR="006F0249">
        <w:t>table</w:t>
      </w:r>
      <w:r w:rsidRPr="00F82E97">
        <w:t xml:space="preserve"> above represent</w:t>
      </w:r>
      <w:r w:rsidR="00262946">
        <w:t xml:space="preserve"> </w:t>
      </w:r>
      <w:r w:rsidRPr="00F82E97">
        <w:t xml:space="preserve">the </w:t>
      </w:r>
      <w:r w:rsidR="00262946">
        <w:t>full implementation costs</w:t>
      </w:r>
      <w:r w:rsidR="008C10FB">
        <w:t>; that is, costs associated with implementing the reforms including any Australian-specific requirements, and costs that would have been incurred in the absence of the reforms.</w:t>
      </w:r>
      <w:r w:rsidRPr="00F82E97">
        <w:t xml:space="preserve"> </w:t>
      </w:r>
      <w:r w:rsidR="001C320B">
        <w:t>In assessing regulatory compliance costs</w:t>
      </w:r>
      <w:r w:rsidR="0081097D">
        <w:t xml:space="preserve"> </w:t>
      </w:r>
      <w:r w:rsidR="00262946">
        <w:t xml:space="preserve">as per the methodology set out by the Office of Best Practice Regulation (OBPR), APRA has assumed </w:t>
      </w:r>
      <w:r w:rsidR="000661CA">
        <w:t>implementation of the international framework as a</w:t>
      </w:r>
      <w:r w:rsidR="000661CA" w:rsidRPr="00F82E97">
        <w:t xml:space="preserve"> </w:t>
      </w:r>
      <w:r w:rsidR="005247D2" w:rsidRPr="00F82E97">
        <w:t>baseline</w:t>
      </w:r>
      <w:r w:rsidR="00262946">
        <w:t xml:space="preserve"> cost, given Australia’s G20 commitments to implement the reforms and to preserve </w:t>
      </w:r>
      <w:r w:rsidR="0081097D">
        <w:t>banks</w:t>
      </w:r>
      <w:r w:rsidR="00262946">
        <w:t xml:space="preserve"> continued ability to participate in international markets. On this basis</w:t>
      </w:r>
      <w:r w:rsidR="005247D2" w:rsidRPr="00F82E97">
        <w:t xml:space="preserve">, the updated </w:t>
      </w:r>
      <w:r w:rsidR="00262946">
        <w:t>r</w:t>
      </w:r>
      <w:r w:rsidR="005247D2" w:rsidRPr="00F82E97">
        <w:t xml:space="preserve">egulatory compliance costs per year averaged over a </w:t>
      </w:r>
      <w:r w:rsidR="000C00C8" w:rsidRPr="00F82E97">
        <w:t>ten-year</w:t>
      </w:r>
      <w:r w:rsidR="005247D2" w:rsidRPr="00F82E97">
        <w:t xml:space="preserve"> period </w:t>
      </w:r>
      <w:r w:rsidR="0009774B">
        <w:t>was</w:t>
      </w:r>
      <w:r w:rsidR="005247D2" w:rsidRPr="00F82E97">
        <w:t xml:space="preserve"> estimated </w:t>
      </w:r>
      <w:r w:rsidR="0009774B">
        <w:t xml:space="preserve">to </w:t>
      </w:r>
      <w:r w:rsidR="005247D2" w:rsidRPr="00F82E97">
        <w:t>be $</w:t>
      </w:r>
      <w:r w:rsidR="009E0441">
        <w:t>9</w:t>
      </w:r>
      <w:r w:rsidR="00062261">
        <w:t>.3</w:t>
      </w:r>
      <w:r w:rsidRPr="00F82E97">
        <w:t xml:space="preserve"> million</w:t>
      </w:r>
      <w:r w:rsidR="00E82324" w:rsidRPr="00F82E97">
        <w:t xml:space="preserve">. </w:t>
      </w:r>
      <w:r w:rsidR="000C00C8" w:rsidRPr="00F82E97">
        <w:t>For a full</w:t>
      </w:r>
      <w:r w:rsidRPr="00F82E97">
        <w:t>er</w:t>
      </w:r>
      <w:r w:rsidR="000C00C8" w:rsidRPr="00F82E97">
        <w:t xml:space="preserve"> analysis</w:t>
      </w:r>
      <w:r w:rsidR="004141CE" w:rsidRPr="00F82E97">
        <w:t xml:space="preserve">, see </w:t>
      </w:r>
      <w:r w:rsidR="00F55C52">
        <w:t>Annex</w:t>
      </w:r>
      <w:r w:rsidR="004141CE" w:rsidRPr="00F82E97">
        <w:t xml:space="preserve"> B.</w:t>
      </w:r>
    </w:p>
    <w:p w14:paraId="1E291124" w14:textId="2DECCEDA" w:rsidR="00C83377" w:rsidRDefault="00DD1890" w:rsidP="005F1449">
      <w:pPr>
        <w:pStyle w:val="ListBullet"/>
        <w:numPr>
          <w:ilvl w:val="0"/>
          <w:numId w:val="0"/>
        </w:numPr>
      </w:pPr>
      <w:r>
        <w:t>Finally, b</w:t>
      </w:r>
      <w:r w:rsidR="00C83377">
        <w:t>anks viewed there was sufficient implementation time for the LCR and NSFR, and there was no specific cost impact due to the implementation timeline.</w:t>
      </w:r>
    </w:p>
    <w:p w14:paraId="2C1F5C36" w14:textId="7ECBF868" w:rsidR="00C5349D" w:rsidRDefault="00F419AF" w:rsidP="00510E5C">
      <w:pPr>
        <w:pStyle w:val="Heading5"/>
      </w:pPr>
      <w:r>
        <w:t>Financial</w:t>
      </w:r>
      <w:r w:rsidR="00C5349D">
        <w:t xml:space="preserve"> </w:t>
      </w:r>
      <w:r w:rsidR="00F403B7">
        <w:t xml:space="preserve">costs </w:t>
      </w:r>
    </w:p>
    <w:p w14:paraId="6AE0E3CD" w14:textId="21BF9A00" w:rsidR="00636C74" w:rsidRDefault="00DC1BD5" w:rsidP="00E110E4">
      <w:pPr>
        <w:numPr>
          <w:ilvl w:val="0"/>
          <w:numId w:val="0"/>
        </w:numPr>
      </w:pPr>
      <w:bookmarkStart w:id="39" w:name="_Hlk103777589"/>
      <w:bookmarkStart w:id="40" w:name="_Hlk103007004"/>
      <w:r>
        <w:t xml:space="preserve">To implement the LCR and NSFR, banks have experienced increases to their </w:t>
      </w:r>
      <w:r w:rsidR="00F419AF">
        <w:t>financial</w:t>
      </w:r>
      <w:r>
        <w:t xml:space="preserve"> costs</w:t>
      </w:r>
      <w:r w:rsidR="00C910DE">
        <w:t>.</w:t>
      </w:r>
      <w:r w:rsidR="00040706">
        <w:t xml:space="preserve"> </w:t>
      </w:r>
      <w:r w:rsidR="00C910DE">
        <w:t>T</w:t>
      </w:r>
      <w:r w:rsidR="00040706">
        <w:t xml:space="preserve">hese </w:t>
      </w:r>
      <w:r w:rsidR="00315D93">
        <w:t>i</w:t>
      </w:r>
      <w:r>
        <w:t>ncreases were anticipated and have been broadly in-line with expectations</w:t>
      </w:r>
      <w:r w:rsidR="00040706">
        <w:t>.</w:t>
      </w:r>
      <w:r>
        <w:t xml:space="preserve"> </w:t>
      </w:r>
      <w:r w:rsidR="00040706">
        <w:t>T</w:t>
      </w:r>
      <w:r w:rsidR="000205CA">
        <w:t xml:space="preserve">here have been two main sources of increased </w:t>
      </w:r>
      <w:r w:rsidR="00210532">
        <w:t>financial</w:t>
      </w:r>
      <w:r w:rsidR="000205CA">
        <w:t xml:space="preserve"> costs:</w:t>
      </w:r>
    </w:p>
    <w:bookmarkEnd w:id="39"/>
    <w:p w14:paraId="5295EFB2" w14:textId="4520B2DE" w:rsidR="000205CA" w:rsidRDefault="00FA6E40" w:rsidP="000205CA">
      <w:pPr>
        <w:pStyle w:val="ListBullet"/>
      </w:pPr>
      <w:r>
        <w:t>banks</w:t>
      </w:r>
      <w:r w:rsidR="000205CA">
        <w:t xml:space="preserve"> holding a </w:t>
      </w:r>
      <w:r w:rsidR="00E90C39">
        <w:t>greater amount of</w:t>
      </w:r>
      <w:r w:rsidR="000205CA">
        <w:t xml:space="preserve"> liquid assets</w:t>
      </w:r>
      <w:r>
        <w:t>, which generally earn less than non-liquid assets, such as loans</w:t>
      </w:r>
      <w:r w:rsidR="00E90C39">
        <w:t>;</w:t>
      </w:r>
      <w:r w:rsidR="000205CA">
        <w:t xml:space="preserve"> and</w:t>
      </w:r>
    </w:p>
    <w:p w14:paraId="3B50DC04" w14:textId="30FDC6E6" w:rsidR="000205CA" w:rsidRDefault="000205CA" w:rsidP="000205CA">
      <w:pPr>
        <w:pStyle w:val="ListBullet"/>
      </w:pPr>
      <w:r>
        <w:t xml:space="preserve">increased funding costs from the shift in funding mix </w:t>
      </w:r>
      <w:r w:rsidR="009C0154">
        <w:t xml:space="preserve">towards more stable and longer-term sources of funding. </w:t>
      </w:r>
    </w:p>
    <w:p w14:paraId="0C5D587E" w14:textId="292093F7" w:rsidR="000205CA" w:rsidRDefault="000205CA" w:rsidP="000205CA">
      <w:r>
        <w:t xml:space="preserve">As noted above, it is difficult to separate out these </w:t>
      </w:r>
      <w:r w:rsidR="00B12B93">
        <w:t xml:space="preserve">cost </w:t>
      </w:r>
      <w:r>
        <w:t xml:space="preserve">impacts from </w:t>
      </w:r>
      <w:r w:rsidR="00E90C39">
        <w:t>other</w:t>
      </w:r>
      <w:r>
        <w:t xml:space="preserve"> </w:t>
      </w:r>
      <w:r w:rsidR="00E90C39">
        <w:t>changes i</w:t>
      </w:r>
      <w:r>
        <w:t xml:space="preserve">n </w:t>
      </w:r>
      <w:r w:rsidR="00E90C39">
        <w:t>market conditions</w:t>
      </w:r>
      <w:r w:rsidR="00B12B93">
        <w:t xml:space="preserve"> at the time, such as changes in pricing and the availability of funding more generally</w:t>
      </w:r>
      <w:r w:rsidR="00E90C39">
        <w:t xml:space="preserve">. </w:t>
      </w:r>
    </w:p>
    <w:p w14:paraId="5090214A" w14:textId="04E9420A" w:rsidR="00636C74" w:rsidRPr="00510E5C" w:rsidRDefault="00B12B93" w:rsidP="00300B42">
      <w:r>
        <w:t>Prior to implementation, t</w:t>
      </w:r>
      <w:r w:rsidR="00FA6E40">
        <w:t xml:space="preserve">o assess the impact of </w:t>
      </w:r>
      <w:r w:rsidR="0027313C">
        <w:t xml:space="preserve">the LCR, </w:t>
      </w:r>
      <w:r w:rsidR="00FA6E40">
        <w:t>APRA estimated the</w:t>
      </w:r>
      <w:r w:rsidR="00F35605">
        <w:t xml:space="preserve"> re-pricing of non-liquid assets</w:t>
      </w:r>
      <w:r w:rsidR="00FA6E40">
        <w:t xml:space="preserve"> that would</w:t>
      </w:r>
      <w:r w:rsidR="0027313C">
        <w:t xml:space="preserve"> </w:t>
      </w:r>
      <w:r w:rsidR="0081097D">
        <w:t>be</w:t>
      </w:r>
      <w:r w:rsidR="00FA6E40">
        <w:t xml:space="preserve"> needed for a bank to recoup the cost of holding more liquid assets</w:t>
      </w:r>
      <w:r>
        <w:t xml:space="preserve"> to meet the LCR</w:t>
      </w:r>
      <w:r w:rsidR="00FA6E40">
        <w:t xml:space="preserve">. </w:t>
      </w:r>
      <w:bookmarkStart w:id="41" w:name="_Hlk103286473"/>
      <w:r w:rsidR="003E05E9">
        <w:t xml:space="preserve">As shown in the table below, </w:t>
      </w:r>
      <w:r w:rsidR="00636C74" w:rsidRPr="00510E5C">
        <w:t>APRA</w:t>
      </w:r>
      <w:r w:rsidR="00817F7C" w:rsidRPr="00510E5C">
        <w:t xml:space="preserve"> </w:t>
      </w:r>
      <w:r w:rsidR="00636C74" w:rsidRPr="00510E5C">
        <w:t xml:space="preserve">initially </w:t>
      </w:r>
      <w:r>
        <w:t>estimated</w:t>
      </w:r>
      <w:r w:rsidR="00636C74" w:rsidRPr="00510E5C">
        <w:t xml:space="preserve"> </w:t>
      </w:r>
      <w:r w:rsidR="00817F7C" w:rsidRPr="00510E5C">
        <w:t xml:space="preserve">that </w:t>
      </w:r>
      <w:r w:rsidR="00636C74" w:rsidRPr="00510E5C">
        <w:t>banks would need to</w:t>
      </w:r>
      <w:r w:rsidR="00E1591A">
        <w:t xml:space="preserve"> hold an additional $435</w:t>
      </w:r>
      <w:r w:rsidR="00F21820">
        <w:t xml:space="preserve"> </w:t>
      </w:r>
      <w:r w:rsidR="00E1591A">
        <w:t>b</w:t>
      </w:r>
      <w:r w:rsidR="00F21820">
        <w:t>illio</w:t>
      </w:r>
      <w:r w:rsidR="00E1591A">
        <w:t xml:space="preserve">n in liquid </w:t>
      </w:r>
      <w:r w:rsidR="00F35605">
        <w:t>assets and</w:t>
      </w:r>
      <w:r w:rsidR="00E1591A">
        <w:t xml:space="preserve"> would need to</w:t>
      </w:r>
      <w:r w:rsidR="00636C74" w:rsidRPr="00510E5C">
        <w:t xml:space="preserve"> re</w:t>
      </w:r>
      <w:r w:rsidR="00F35605">
        <w:t>-</w:t>
      </w:r>
      <w:r w:rsidR="00636C74" w:rsidRPr="00510E5C">
        <w:t xml:space="preserve">price their non-liquid assets by </w:t>
      </w:r>
      <w:r w:rsidR="00F66EAF" w:rsidRPr="00510E5C">
        <w:t>8.6</w:t>
      </w:r>
      <w:r w:rsidR="00817F7C" w:rsidRPr="00510E5C">
        <w:t xml:space="preserve"> basis points</w:t>
      </w:r>
      <w:r w:rsidR="00636C74" w:rsidRPr="00510E5C">
        <w:t xml:space="preserve"> to recoup th</w:t>
      </w:r>
      <w:r w:rsidR="00817F7C" w:rsidRPr="00510E5C">
        <w:t>e</w:t>
      </w:r>
      <w:r w:rsidR="00636C74" w:rsidRPr="00510E5C">
        <w:t xml:space="preserve"> cost</w:t>
      </w:r>
      <w:r w:rsidR="00817F7C" w:rsidRPr="00510E5C">
        <w:t xml:space="preserve"> of </w:t>
      </w:r>
      <w:r w:rsidR="00E1591A">
        <w:t>this move</w:t>
      </w:r>
      <w:r w:rsidR="00636C74" w:rsidRPr="00510E5C">
        <w:t xml:space="preserve">. </w:t>
      </w:r>
      <w:r w:rsidR="00817F7C" w:rsidRPr="00510E5C">
        <w:t xml:space="preserve">Of this, </w:t>
      </w:r>
      <w:r w:rsidR="000A6DF1">
        <w:t>APRA</w:t>
      </w:r>
      <w:r w:rsidR="00636C74" w:rsidRPr="00510E5C">
        <w:t xml:space="preserve"> </w:t>
      </w:r>
      <w:r w:rsidR="00C910DE">
        <w:t xml:space="preserve">estimated </w:t>
      </w:r>
      <w:r w:rsidR="00636C74" w:rsidRPr="00510E5C">
        <w:t xml:space="preserve">an incremental </w:t>
      </w:r>
      <w:r w:rsidR="00F66EAF" w:rsidRPr="00510E5C">
        <w:t>2.9</w:t>
      </w:r>
      <w:r w:rsidR="00817F7C" w:rsidRPr="00510E5C">
        <w:t xml:space="preserve"> </w:t>
      </w:r>
      <w:r w:rsidR="00636C74" w:rsidRPr="00510E5C">
        <w:t>b</w:t>
      </w:r>
      <w:r w:rsidR="00817F7C" w:rsidRPr="00510E5C">
        <w:t xml:space="preserve">asis </w:t>
      </w:r>
      <w:r w:rsidR="00636C74" w:rsidRPr="00510E5C">
        <w:t>p</w:t>
      </w:r>
      <w:r w:rsidR="00817F7C" w:rsidRPr="00510E5C">
        <w:t>oint</w:t>
      </w:r>
      <w:r w:rsidR="00636C74" w:rsidRPr="00510E5C">
        <w:t xml:space="preserve"> cost</w:t>
      </w:r>
      <w:r w:rsidR="00E1591A">
        <w:t xml:space="preserve"> associated with the LCR, with the remaining cost being a product of changes that would have happened in the absence of the reforms</w:t>
      </w:r>
      <w:r w:rsidR="00636C74" w:rsidRPr="00510E5C">
        <w:t>.</w:t>
      </w:r>
    </w:p>
    <w:bookmarkEnd w:id="41"/>
    <w:p w14:paraId="4459EA6D" w14:textId="5C4149D9" w:rsidR="00636C74" w:rsidRDefault="004D240F" w:rsidP="00481419">
      <w:r>
        <w:t>Examining</w:t>
      </w:r>
      <w:r w:rsidR="0081097D">
        <w:t xml:space="preserve"> changes over 2015</w:t>
      </w:r>
      <w:r w:rsidR="00857492">
        <w:t xml:space="preserve"> to </w:t>
      </w:r>
      <w:r w:rsidR="0081097D">
        <w:t xml:space="preserve">2019, </w:t>
      </w:r>
      <w:r>
        <w:t>the period of implementation following the introduction of the LCR</w:t>
      </w:r>
      <w:r w:rsidR="005C2DB0">
        <w:t xml:space="preserve"> and prior to impacts from COVID-19</w:t>
      </w:r>
      <w:r>
        <w:t xml:space="preserve">, it appears that total liquid asset holdings were higher than originally envisaged. </w:t>
      </w:r>
      <w:r w:rsidR="009E2C7E">
        <w:t xml:space="preserve">At around 5.4 basis points, this </w:t>
      </w:r>
      <w:r>
        <w:t>is a</w:t>
      </w:r>
      <w:r w:rsidR="00CC285C">
        <w:t xml:space="preserve"> slightly</w:t>
      </w:r>
      <w:r>
        <w:t xml:space="preserve"> higher impact on the cost of additional liquidity than APRA’s original estimates</w:t>
      </w:r>
      <w:r w:rsidR="00CC285C">
        <w:t>.</w:t>
      </w:r>
      <w:r>
        <w:t xml:space="preserve"> A key driver of the higher cost was the decision by banks to operate LCR ratios significantly higher than the 100 per cent minimum level,</w:t>
      </w:r>
      <w:r w:rsidR="00AF1EBF">
        <w:t xml:space="preserve"> </w:t>
      </w:r>
      <w:r w:rsidR="00197F7A">
        <w:t>to align to market expectations</w:t>
      </w:r>
      <w:r w:rsidR="00C541CF">
        <w:t xml:space="preserve"> and their own risk appetites, as well as allowing a buffer to manage any volatility in the metric</w:t>
      </w:r>
      <w:r w:rsidR="00AF1EBF">
        <w:t>.</w:t>
      </w:r>
      <w:r w:rsidR="006648AC">
        <w:t xml:space="preserve"> </w:t>
      </w:r>
    </w:p>
    <w:p w14:paraId="3EB835F5" w14:textId="0B47DCD5" w:rsidR="002514A4" w:rsidRDefault="00FA6E40" w:rsidP="00510E5C">
      <w:pPr>
        <w:pStyle w:val="Numberedtableheading"/>
      </w:pPr>
      <w:bookmarkStart w:id="42" w:name="_Hlk103287911"/>
      <w:r>
        <w:t>Estimated c</w:t>
      </w:r>
      <w:r w:rsidR="002514A4">
        <w:t xml:space="preserve">ost of </w:t>
      </w:r>
      <w:r>
        <w:t xml:space="preserve">increased </w:t>
      </w:r>
      <w:r w:rsidR="002514A4">
        <w:t xml:space="preserve">liquid asset holdings </w:t>
      </w:r>
    </w:p>
    <w:bookmarkEnd w:id="42"/>
    <w:tbl>
      <w:tblPr>
        <w:tblStyle w:val="TableOption2"/>
        <w:tblW w:w="5000" w:type="pct"/>
        <w:tblLook w:val="04A0" w:firstRow="1" w:lastRow="0" w:firstColumn="1" w:lastColumn="0" w:noHBand="0" w:noVBand="1"/>
      </w:tblPr>
      <w:tblGrid>
        <w:gridCol w:w="2199"/>
        <w:gridCol w:w="1764"/>
        <w:gridCol w:w="1989"/>
        <w:gridCol w:w="1471"/>
        <w:gridCol w:w="1603"/>
      </w:tblGrid>
      <w:tr w:rsidR="00573E0D" w14:paraId="08ED3FB8" w14:textId="77777777" w:rsidTr="00510E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Merge w:val="restart"/>
            <w:vAlign w:val="center"/>
          </w:tcPr>
          <w:p w14:paraId="60CA9299" w14:textId="5EEF95DE" w:rsidR="004E63C6" w:rsidDel="00E90C39" w:rsidRDefault="004E63C6" w:rsidP="000739B1"/>
        </w:tc>
        <w:tc>
          <w:tcPr>
            <w:tcW w:w="0" w:type="dxa"/>
            <w:vMerge w:val="restart"/>
            <w:vAlign w:val="center"/>
          </w:tcPr>
          <w:p w14:paraId="3B74F9E8" w14:textId="77777777" w:rsidR="004E63C6" w:rsidRPr="00510E5C" w:rsidRDefault="004E63C6" w:rsidP="00510E5C">
            <w:pPr>
              <w:numPr>
                <w:ilvl w:val="0"/>
                <w:numId w:val="0"/>
              </w:numPr>
              <w:jc w:val="center"/>
              <w:cnfStyle w:val="100000000000" w:firstRow="1" w:lastRow="0" w:firstColumn="0" w:lastColumn="0" w:oddVBand="0" w:evenVBand="0" w:oddHBand="0" w:evenHBand="0" w:firstRowFirstColumn="0" w:firstRowLastColumn="0" w:lastRowFirstColumn="0" w:lastRowLastColumn="0"/>
              <w:rPr>
                <w:b/>
              </w:rPr>
            </w:pPr>
            <w:r w:rsidRPr="00510E5C">
              <w:rPr>
                <w:b/>
              </w:rPr>
              <w:t>Total liquid assets</w:t>
            </w:r>
          </w:p>
          <w:p w14:paraId="5666F41D" w14:textId="11A41479" w:rsidR="004E63C6" w:rsidRPr="00510E5C" w:rsidRDefault="004E63C6" w:rsidP="000739B1">
            <w:pPr>
              <w:jc w:val="center"/>
              <w:cnfStyle w:val="100000000000" w:firstRow="1" w:lastRow="0" w:firstColumn="0" w:lastColumn="0" w:oddVBand="0" w:evenVBand="0" w:oddHBand="0" w:evenHBand="0" w:firstRowFirstColumn="0" w:firstRowLastColumn="0" w:lastRowFirstColumn="0" w:lastRowLastColumn="0"/>
              <w:rPr>
                <w:b/>
              </w:rPr>
            </w:pPr>
            <w:r w:rsidRPr="00510E5C">
              <w:rPr>
                <w:b/>
              </w:rPr>
              <w:t>($b)</w:t>
            </w:r>
          </w:p>
        </w:tc>
        <w:tc>
          <w:tcPr>
            <w:tcW w:w="0" w:type="dxa"/>
            <w:vMerge w:val="restart"/>
            <w:vAlign w:val="center"/>
          </w:tcPr>
          <w:p w14:paraId="1A9BA253" w14:textId="5FAEFB61" w:rsidR="00573E0D" w:rsidRDefault="004E63C6">
            <w:pPr>
              <w:jc w:val="center"/>
              <w:cnfStyle w:val="100000000000" w:firstRow="1" w:lastRow="0" w:firstColumn="0" w:lastColumn="0" w:oddVBand="0" w:evenVBand="0" w:oddHBand="0" w:evenHBand="0" w:firstRowFirstColumn="0" w:firstRowLastColumn="0" w:lastRowFirstColumn="0" w:lastRowLastColumn="0"/>
              <w:rPr>
                <w:b/>
              </w:rPr>
            </w:pPr>
            <w:r w:rsidRPr="00510E5C">
              <w:rPr>
                <w:b/>
              </w:rPr>
              <w:t>Cost of carry for liquid assets</w:t>
            </w:r>
          </w:p>
          <w:p w14:paraId="46AFD207" w14:textId="28555239" w:rsidR="004E63C6" w:rsidRPr="00510E5C" w:rsidRDefault="004E63C6">
            <w:pPr>
              <w:jc w:val="center"/>
              <w:cnfStyle w:val="100000000000" w:firstRow="1" w:lastRow="0" w:firstColumn="0" w:lastColumn="0" w:oddVBand="0" w:evenVBand="0" w:oddHBand="0" w:evenHBand="0" w:firstRowFirstColumn="0" w:firstRowLastColumn="0" w:lastRowFirstColumn="0" w:lastRowLastColumn="0"/>
              <w:rPr>
                <w:b/>
              </w:rPr>
            </w:pPr>
            <w:r w:rsidRPr="00510E5C">
              <w:rPr>
                <w:b/>
              </w:rPr>
              <w:t>($b</w:t>
            </w:r>
            <w:r w:rsidR="00817F7C">
              <w:rPr>
                <w:b/>
              </w:rPr>
              <w:t xml:space="preserve"> per annum</w:t>
            </w:r>
            <w:r w:rsidRPr="00510E5C">
              <w:rPr>
                <w:b/>
              </w:rPr>
              <w:t>)</w:t>
            </w:r>
          </w:p>
        </w:tc>
        <w:tc>
          <w:tcPr>
            <w:tcW w:w="0" w:type="dxa"/>
            <w:gridSpan w:val="2"/>
            <w:vAlign w:val="center"/>
          </w:tcPr>
          <w:p w14:paraId="7CD4C096" w14:textId="0D09CADF" w:rsidR="004E63C6" w:rsidRPr="00510E5C" w:rsidRDefault="004E63C6">
            <w:pPr>
              <w:numPr>
                <w:ilvl w:val="0"/>
                <w:numId w:val="0"/>
              </w:numPr>
              <w:jc w:val="center"/>
              <w:cnfStyle w:val="100000000000" w:firstRow="1" w:lastRow="0" w:firstColumn="0" w:lastColumn="0" w:oddVBand="0" w:evenVBand="0" w:oddHBand="0" w:evenHBand="0" w:firstRowFirstColumn="0" w:firstRowLastColumn="0" w:lastRowFirstColumn="0" w:lastRowLastColumn="0"/>
              <w:rPr>
                <w:b/>
              </w:rPr>
            </w:pPr>
            <w:r w:rsidRPr="00510E5C">
              <w:rPr>
                <w:b/>
              </w:rPr>
              <w:t>Cost of liquid assets over non-liquid assets (basis point</w:t>
            </w:r>
            <w:r>
              <w:rPr>
                <w:b/>
              </w:rPr>
              <w:t>s</w:t>
            </w:r>
            <w:r w:rsidRPr="00510E5C">
              <w:rPr>
                <w:b/>
              </w:rPr>
              <w:t>)</w:t>
            </w:r>
          </w:p>
        </w:tc>
      </w:tr>
      <w:tr w:rsidR="00817F7C" w14:paraId="12DE8AA8" w14:textId="7A9D3ABB" w:rsidTr="00510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Merge/>
            <w:vAlign w:val="center"/>
          </w:tcPr>
          <w:p w14:paraId="1DA4411C" w14:textId="686333DD" w:rsidR="004E63C6" w:rsidRDefault="004E63C6">
            <w:pPr>
              <w:numPr>
                <w:ilvl w:val="0"/>
                <w:numId w:val="0"/>
              </w:numPr>
            </w:pPr>
          </w:p>
        </w:tc>
        <w:tc>
          <w:tcPr>
            <w:tcW w:w="0" w:type="dxa"/>
            <w:vMerge/>
            <w:vAlign w:val="center"/>
          </w:tcPr>
          <w:p w14:paraId="416294A1" w14:textId="379392A4" w:rsidR="004E63C6" w:rsidRPr="00510E5C" w:rsidRDefault="004E63C6" w:rsidP="00510E5C">
            <w:pPr>
              <w:numPr>
                <w:ilvl w:val="0"/>
                <w:numId w:val="0"/>
              </w:numPr>
              <w:jc w:val="center"/>
              <w:cnfStyle w:val="000000100000" w:firstRow="0" w:lastRow="0" w:firstColumn="0" w:lastColumn="0" w:oddVBand="0" w:evenVBand="0" w:oddHBand="1" w:evenHBand="0" w:firstRowFirstColumn="0" w:firstRowLastColumn="0" w:lastRowFirstColumn="0" w:lastRowLastColumn="0"/>
              <w:rPr>
                <w:b/>
              </w:rPr>
            </w:pPr>
          </w:p>
        </w:tc>
        <w:tc>
          <w:tcPr>
            <w:tcW w:w="0" w:type="dxa"/>
            <w:vMerge/>
            <w:vAlign w:val="center"/>
          </w:tcPr>
          <w:p w14:paraId="7DECCCEF" w14:textId="5D6BF92E" w:rsidR="004E63C6" w:rsidRPr="00510E5C" w:rsidRDefault="004E63C6" w:rsidP="00510E5C">
            <w:pPr>
              <w:numPr>
                <w:ilvl w:val="0"/>
                <w:numId w:val="0"/>
              </w:numPr>
              <w:jc w:val="center"/>
              <w:cnfStyle w:val="000000100000" w:firstRow="0" w:lastRow="0" w:firstColumn="0" w:lastColumn="0" w:oddVBand="0" w:evenVBand="0" w:oddHBand="1" w:evenHBand="0" w:firstRowFirstColumn="0" w:firstRowLastColumn="0" w:lastRowFirstColumn="0" w:lastRowLastColumn="0"/>
              <w:rPr>
                <w:b/>
              </w:rPr>
            </w:pPr>
          </w:p>
        </w:tc>
        <w:tc>
          <w:tcPr>
            <w:tcW w:w="0" w:type="dxa"/>
            <w:shd w:val="clear" w:color="auto" w:fill="012169" w:themeFill="accent1"/>
            <w:vAlign w:val="center"/>
          </w:tcPr>
          <w:p w14:paraId="622C3671" w14:textId="21FE73CF" w:rsidR="004E63C6" w:rsidRPr="00510E5C" w:rsidRDefault="004E63C6" w:rsidP="00510E5C">
            <w:pPr>
              <w:numPr>
                <w:ilvl w:val="0"/>
                <w:numId w:val="0"/>
              </w:numPr>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r w:rsidRPr="00510E5C">
              <w:rPr>
                <w:b/>
                <w:color w:val="FFFFFF" w:themeColor="background1"/>
              </w:rPr>
              <w:t>Total</w:t>
            </w:r>
          </w:p>
        </w:tc>
        <w:tc>
          <w:tcPr>
            <w:tcW w:w="0" w:type="dxa"/>
            <w:shd w:val="clear" w:color="auto" w:fill="012169" w:themeFill="accent1"/>
            <w:vAlign w:val="center"/>
          </w:tcPr>
          <w:p w14:paraId="7CE31B6E" w14:textId="5A41F387" w:rsidR="004E63C6" w:rsidRPr="00510E5C" w:rsidRDefault="004E63C6" w:rsidP="00510E5C">
            <w:pPr>
              <w:numPr>
                <w:ilvl w:val="0"/>
                <w:numId w:val="0"/>
              </w:numPr>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r w:rsidRPr="00510E5C">
              <w:rPr>
                <w:b/>
                <w:color w:val="FFFFFF" w:themeColor="background1"/>
              </w:rPr>
              <w:t xml:space="preserve">Due to Basel III </w:t>
            </w:r>
          </w:p>
        </w:tc>
      </w:tr>
      <w:tr w:rsidR="00573E0D" w14:paraId="22C8D790" w14:textId="39B81EF8" w:rsidTr="00510E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Align w:val="center"/>
          </w:tcPr>
          <w:p w14:paraId="7E79FF9E" w14:textId="1D56F89E" w:rsidR="002371FE" w:rsidRPr="002371FE" w:rsidRDefault="00817F7C" w:rsidP="000739B1">
            <w:pPr>
              <w:numPr>
                <w:ilvl w:val="0"/>
                <w:numId w:val="0"/>
              </w:numPr>
              <w:rPr>
                <w:color w:val="FFFFFF" w:themeColor="background1"/>
              </w:rPr>
            </w:pPr>
            <w:r>
              <w:t>APRA previous estimate</w:t>
            </w:r>
          </w:p>
        </w:tc>
        <w:tc>
          <w:tcPr>
            <w:tcW w:w="0" w:type="dxa"/>
            <w:vAlign w:val="center"/>
          </w:tcPr>
          <w:p w14:paraId="29505BE1" w14:textId="24E910D5" w:rsidR="002371FE" w:rsidRDefault="002371FE" w:rsidP="00510E5C">
            <w:pPr>
              <w:numPr>
                <w:ilvl w:val="0"/>
                <w:numId w:val="0"/>
              </w:numPr>
              <w:jc w:val="center"/>
              <w:cnfStyle w:val="000000010000" w:firstRow="0" w:lastRow="0" w:firstColumn="0" w:lastColumn="0" w:oddVBand="0" w:evenVBand="0" w:oddHBand="0" w:evenHBand="1" w:firstRowFirstColumn="0" w:firstRowLastColumn="0" w:lastRowFirstColumn="0" w:lastRowLastColumn="0"/>
            </w:pPr>
            <w:r>
              <w:t>435</w:t>
            </w:r>
          </w:p>
        </w:tc>
        <w:tc>
          <w:tcPr>
            <w:tcW w:w="0" w:type="dxa"/>
            <w:vAlign w:val="center"/>
          </w:tcPr>
          <w:p w14:paraId="0AE19232" w14:textId="188757FF" w:rsidR="002371FE" w:rsidRDefault="002371FE" w:rsidP="00510E5C">
            <w:pPr>
              <w:numPr>
                <w:ilvl w:val="0"/>
                <w:numId w:val="0"/>
              </w:numPr>
              <w:jc w:val="center"/>
              <w:cnfStyle w:val="000000010000" w:firstRow="0" w:lastRow="0" w:firstColumn="0" w:lastColumn="0" w:oddVBand="0" w:evenVBand="0" w:oddHBand="0" w:evenHBand="1" w:firstRowFirstColumn="0" w:firstRowLastColumn="0" w:lastRowFirstColumn="0" w:lastRowLastColumn="0"/>
            </w:pPr>
            <w:r>
              <w:t>1.8</w:t>
            </w:r>
          </w:p>
        </w:tc>
        <w:tc>
          <w:tcPr>
            <w:tcW w:w="0" w:type="dxa"/>
            <w:vAlign w:val="center"/>
          </w:tcPr>
          <w:p w14:paraId="02520B84" w14:textId="1B4793BA" w:rsidR="002371FE" w:rsidRDefault="00B13571" w:rsidP="00510E5C">
            <w:pPr>
              <w:numPr>
                <w:ilvl w:val="0"/>
                <w:numId w:val="0"/>
              </w:numPr>
              <w:jc w:val="center"/>
              <w:cnfStyle w:val="000000010000" w:firstRow="0" w:lastRow="0" w:firstColumn="0" w:lastColumn="0" w:oddVBand="0" w:evenVBand="0" w:oddHBand="0" w:evenHBand="1" w:firstRowFirstColumn="0" w:firstRowLastColumn="0" w:lastRowFirstColumn="0" w:lastRowLastColumn="0"/>
            </w:pPr>
            <w:r>
              <w:t>8.6</w:t>
            </w:r>
          </w:p>
        </w:tc>
        <w:tc>
          <w:tcPr>
            <w:tcW w:w="0" w:type="dxa"/>
            <w:vAlign w:val="center"/>
          </w:tcPr>
          <w:p w14:paraId="6788D699" w14:textId="23FB01FE" w:rsidR="002371FE" w:rsidRDefault="00B13571" w:rsidP="00510E5C">
            <w:pPr>
              <w:numPr>
                <w:ilvl w:val="0"/>
                <w:numId w:val="0"/>
              </w:numPr>
              <w:jc w:val="center"/>
              <w:cnfStyle w:val="000000010000" w:firstRow="0" w:lastRow="0" w:firstColumn="0" w:lastColumn="0" w:oddVBand="0" w:evenVBand="0" w:oddHBand="0" w:evenHBand="1" w:firstRowFirstColumn="0" w:firstRowLastColumn="0" w:lastRowFirstColumn="0" w:lastRowLastColumn="0"/>
            </w:pPr>
            <w:r>
              <w:t>2.9</w:t>
            </w:r>
          </w:p>
        </w:tc>
      </w:tr>
      <w:tr w:rsidR="00573E0D" w14:paraId="5A2441A9" w14:textId="03B0B0F5" w:rsidTr="00510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Align w:val="center"/>
          </w:tcPr>
          <w:p w14:paraId="0E026CAF" w14:textId="22EAB368" w:rsidR="002371FE" w:rsidRDefault="002371FE" w:rsidP="000739B1">
            <w:pPr>
              <w:numPr>
                <w:ilvl w:val="0"/>
                <w:numId w:val="0"/>
              </w:numPr>
            </w:pPr>
            <w:r>
              <w:t>2015-2019</w:t>
            </w:r>
            <w:r w:rsidR="00FA6E40">
              <w:t xml:space="preserve"> average</w:t>
            </w:r>
          </w:p>
        </w:tc>
        <w:tc>
          <w:tcPr>
            <w:tcW w:w="0" w:type="dxa"/>
            <w:vAlign w:val="center"/>
          </w:tcPr>
          <w:p w14:paraId="0E101FFD" w14:textId="651C6016" w:rsidR="002371FE" w:rsidRDefault="002371FE" w:rsidP="00510E5C">
            <w:pPr>
              <w:numPr>
                <w:ilvl w:val="0"/>
                <w:numId w:val="0"/>
              </w:numPr>
              <w:jc w:val="center"/>
              <w:cnfStyle w:val="000000100000" w:firstRow="0" w:lastRow="0" w:firstColumn="0" w:lastColumn="0" w:oddVBand="0" w:evenVBand="0" w:oddHBand="1" w:evenHBand="0" w:firstRowFirstColumn="0" w:firstRowLastColumn="0" w:lastRowFirstColumn="0" w:lastRowLastColumn="0"/>
            </w:pPr>
            <w:r>
              <w:t>480</w:t>
            </w:r>
          </w:p>
        </w:tc>
        <w:tc>
          <w:tcPr>
            <w:tcW w:w="0" w:type="dxa"/>
            <w:vAlign w:val="center"/>
          </w:tcPr>
          <w:p w14:paraId="1BA7D90C" w14:textId="4DCED59C" w:rsidR="002371FE" w:rsidRDefault="002371FE" w:rsidP="00510E5C">
            <w:pPr>
              <w:numPr>
                <w:ilvl w:val="0"/>
                <w:numId w:val="0"/>
              </w:numPr>
              <w:jc w:val="center"/>
              <w:cnfStyle w:val="000000100000" w:firstRow="0" w:lastRow="0" w:firstColumn="0" w:lastColumn="0" w:oddVBand="0" w:evenVBand="0" w:oddHBand="1" w:evenHBand="0" w:firstRowFirstColumn="0" w:firstRowLastColumn="0" w:lastRowFirstColumn="0" w:lastRowLastColumn="0"/>
            </w:pPr>
            <w:r>
              <w:t>2.7</w:t>
            </w:r>
          </w:p>
        </w:tc>
        <w:tc>
          <w:tcPr>
            <w:tcW w:w="0" w:type="dxa"/>
            <w:vAlign w:val="center"/>
          </w:tcPr>
          <w:p w14:paraId="172D1B71" w14:textId="12E58F73" w:rsidR="002371FE" w:rsidRDefault="002371FE" w:rsidP="00510E5C">
            <w:pPr>
              <w:numPr>
                <w:ilvl w:val="0"/>
                <w:numId w:val="0"/>
              </w:numPr>
              <w:jc w:val="center"/>
              <w:cnfStyle w:val="000000100000" w:firstRow="0" w:lastRow="0" w:firstColumn="0" w:lastColumn="0" w:oddVBand="0" w:evenVBand="0" w:oddHBand="1" w:evenHBand="0" w:firstRowFirstColumn="0" w:firstRowLastColumn="0" w:lastRowFirstColumn="0" w:lastRowLastColumn="0"/>
            </w:pPr>
            <w:r>
              <w:t>1</w:t>
            </w:r>
            <w:r w:rsidR="0036046E">
              <w:t>1</w:t>
            </w:r>
            <w:r w:rsidR="00B13571">
              <w:t>.0</w:t>
            </w:r>
          </w:p>
        </w:tc>
        <w:tc>
          <w:tcPr>
            <w:tcW w:w="0" w:type="dxa"/>
            <w:vAlign w:val="center"/>
          </w:tcPr>
          <w:p w14:paraId="2C81669F" w14:textId="0BBCF716" w:rsidR="002371FE" w:rsidRDefault="002371FE" w:rsidP="00510E5C">
            <w:pPr>
              <w:numPr>
                <w:ilvl w:val="0"/>
                <w:numId w:val="0"/>
              </w:numPr>
              <w:jc w:val="center"/>
              <w:cnfStyle w:val="000000100000" w:firstRow="0" w:lastRow="0" w:firstColumn="0" w:lastColumn="0" w:oddVBand="0" w:evenVBand="0" w:oddHBand="1" w:evenHBand="0" w:firstRowFirstColumn="0" w:firstRowLastColumn="0" w:lastRowFirstColumn="0" w:lastRowLastColumn="0"/>
            </w:pPr>
            <w:r>
              <w:t>5</w:t>
            </w:r>
            <w:r w:rsidR="00B13571">
              <w:t>.4</w:t>
            </w:r>
          </w:p>
        </w:tc>
      </w:tr>
    </w:tbl>
    <w:p w14:paraId="2F506863" w14:textId="66ADCA41" w:rsidR="00636C74" w:rsidRDefault="00570718" w:rsidP="00510E5C">
      <w:pPr>
        <w:numPr>
          <w:ilvl w:val="0"/>
          <w:numId w:val="0"/>
        </w:numPr>
        <w:spacing w:before="240"/>
      </w:pPr>
      <w:bookmarkStart w:id="43" w:name="_Hlk103635836"/>
      <w:r>
        <w:t>The</w:t>
      </w:r>
      <w:r w:rsidR="00AF1EBF">
        <w:t xml:space="preserve"> </w:t>
      </w:r>
      <w:r w:rsidR="009E2C7E">
        <w:t xml:space="preserve">average annual </w:t>
      </w:r>
      <w:r w:rsidR="00AF1EBF">
        <w:t xml:space="preserve">impact of the NSFR was originally estimated to be around </w:t>
      </w:r>
      <w:r>
        <w:t>$</w:t>
      </w:r>
      <w:r w:rsidR="002B5677">
        <w:t>60</w:t>
      </w:r>
      <w:r w:rsidR="00F21820">
        <w:t>-</w:t>
      </w:r>
      <w:r w:rsidR="00A0599B">
        <w:t>67.5</w:t>
      </w:r>
      <w:r w:rsidR="00FC16A5">
        <w:t xml:space="preserve"> </w:t>
      </w:r>
      <w:r w:rsidR="002B5677">
        <w:t>million</w:t>
      </w:r>
      <w:r w:rsidR="00AF1EBF">
        <w:t xml:space="preserve"> for a major bank and </w:t>
      </w:r>
      <w:r w:rsidR="002B5677">
        <w:t>$</w:t>
      </w:r>
      <w:r w:rsidR="00C541CF">
        <w:t>7.5</w:t>
      </w:r>
      <w:r w:rsidR="00F21820">
        <w:t>-</w:t>
      </w:r>
      <w:r w:rsidR="002B5677">
        <w:t>8 million</w:t>
      </w:r>
      <w:r>
        <w:t xml:space="preserve"> </w:t>
      </w:r>
      <w:r w:rsidR="00AF1EBF">
        <w:t xml:space="preserve">for regional </w:t>
      </w:r>
      <w:r w:rsidR="00B90EEE">
        <w:t xml:space="preserve">and other </w:t>
      </w:r>
      <w:r w:rsidR="00DB5209">
        <w:t>banks</w:t>
      </w:r>
      <w:r w:rsidR="009E2C7E">
        <w:t>,</w:t>
      </w:r>
      <w:r>
        <w:t xml:space="preserve"> </w:t>
      </w:r>
      <w:r w:rsidR="00887B02">
        <w:t>based on</w:t>
      </w:r>
      <w:r>
        <w:t xml:space="preserve"> the cost of replacing short-term with long</w:t>
      </w:r>
      <w:r w:rsidR="0058752F">
        <w:t>er</w:t>
      </w:r>
      <w:r>
        <w:t xml:space="preserve">-term funding </w:t>
      </w:r>
      <w:r w:rsidR="00073B9F">
        <w:t>to meet the requirements</w:t>
      </w:r>
      <w:r w:rsidR="00AF1EBF">
        <w:t xml:space="preserve">. </w:t>
      </w:r>
      <w:r w:rsidR="000A6DF1">
        <w:t>To assess the impact of</w:t>
      </w:r>
      <w:r w:rsidR="003627BF">
        <w:t xml:space="preserve"> the NSFR, </w:t>
      </w:r>
      <w:r w:rsidR="00B2497C">
        <w:t>APRA</w:t>
      </w:r>
      <w:r w:rsidR="003627BF" w:rsidRPr="00636C74">
        <w:t xml:space="preserve"> </w:t>
      </w:r>
      <w:r w:rsidR="00B2497C">
        <w:t>has updated its estimate to</w:t>
      </w:r>
      <w:r w:rsidR="003627BF">
        <w:t xml:space="preserve"> </w:t>
      </w:r>
      <w:r w:rsidR="003627BF" w:rsidRPr="00636C74">
        <w:t>$9</w:t>
      </w:r>
      <w:r w:rsidR="00B90EEE">
        <w:t>2</w:t>
      </w:r>
      <w:r w:rsidR="00F21820">
        <w:t>-</w:t>
      </w:r>
      <w:r w:rsidR="003627BF" w:rsidRPr="00636C74">
        <w:t>10</w:t>
      </w:r>
      <w:r w:rsidR="00B90EEE">
        <w:t>3</w:t>
      </w:r>
      <w:r w:rsidR="003627BF">
        <w:t xml:space="preserve"> </w:t>
      </w:r>
      <w:r w:rsidR="003627BF" w:rsidRPr="00636C74">
        <w:t>m</w:t>
      </w:r>
      <w:r w:rsidR="003627BF">
        <w:t>illion</w:t>
      </w:r>
      <w:r w:rsidR="003627BF" w:rsidRPr="00636C74">
        <w:t xml:space="preserve"> for </w:t>
      </w:r>
      <w:r w:rsidR="00AF1EBF">
        <w:t>a</w:t>
      </w:r>
      <w:r w:rsidR="003627BF" w:rsidRPr="00636C74">
        <w:t xml:space="preserve"> major bank and $1</w:t>
      </w:r>
      <w:r w:rsidR="00B90EEE">
        <w:t>3</w:t>
      </w:r>
      <w:r w:rsidR="00857492">
        <w:t>–</w:t>
      </w:r>
      <w:r w:rsidR="003627BF" w:rsidRPr="00636C74">
        <w:t>1</w:t>
      </w:r>
      <w:r w:rsidR="00B90EEE">
        <w:t>5</w:t>
      </w:r>
      <w:r w:rsidR="003627BF">
        <w:t xml:space="preserve"> million</w:t>
      </w:r>
      <w:r w:rsidR="003627BF" w:rsidRPr="00636C74">
        <w:t xml:space="preserve"> for other </w:t>
      </w:r>
      <w:r w:rsidR="003627BF">
        <w:t>banks</w:t>
      </w:r>
      <w:r w:rsidR="00B2497C">
        <w:t>.</w:t>
      </w:r>
      <w:r>
        <w:t xml:space="preserve"> This difference is due</w:t>
      </w:r>
      <w:r w:rsidR="00530F68">
        <w:t xml:space="preserve"> </w:t>
      </w:r>
      <w:r w:rsidR="00B90EEE">
        <w:t xml:space="preserve">to </w:t>
      </w:r>
      <w:r w:rsidR="000B0B5E">
        <w:t>structural movements on bank balance sheets</w:t>
      </w:r>
      <w:r w:rsidR="00C910DE">
        <w:t xml:space="preserve"> in the lead-up to </w:t>
      </w:r>
      <w:r w:rsidR="00B90EEE">
        <w:t xml:space="preserve">the </w:t>
      </w:r>
      <w:r w:rsidR="00C910DE">
        <w:t>implementation</w:t>
      </w:r>
      <w:r w:rsidR="00B90EEE">
        <w:t xml:space="preserve"> of the NSFR</w:t>
      </w:r>
      <w:r w:rsidR="000B0B5E">
        <w:t xml:space="preserve">, </w:t>
      </w:r>
      <w:r w:rsidR="00B90EEE">
        <w:t>such as</w:t>
      </w:r>
      <w:r w:rsidR="00AF1EBF">
        <w:t xml:space="preserve"> loan</w:t>
      </w:r>
      <w:r w:rsidR="003627BF">
        <w:t xml:space="preserve"> growth outpac</w:t>
      </w:r>
      <w:r w:rsidR="00B2497C">
        <w:t>ing</w:t>
      </w:r>
      <w:r w:rsidR="003627BF">
        <w:t xml:space="preserve"> deposit growth</w:t>
      </w:r>
      <w:r w:rsidR="000B0B5E">
        <w:t xml:space="preserve">. As a result, banks required </w:t>
      </w:r>
      <w:r w:rsidR="003627BF">
        <w:t>more stable funding</w:t>
      </w:r>
      <w:r w:rsidR="007B3374">
        <w:t xml:space="preserve"> to meet the </w:t>
      </w:r>
      <w:r w:rsidR="00AF1EBF">
        <w:t xml:space="preserve">NSFR </w:t>
      </w:r>
      <w:r w:rsidR="007B3374">
        <w:t>requirements</w:t>
      </w:r>
      <w:r w:rsidR="000B0B5E">
        <w:t xml:space="preserve">, increasing the cost </w:t>
      </w:r>
      <w:r>
        <w:t xml:space="preserve">of obtaining additional long-term funding </w:t>
      </w:r>
      <w:r w:rsidR="000B0B5E">
        <w:t>above original estimates</w:t>
      </w:r>
      <w:r>
        <w:t>, as outlined in the table below.</w:t>
      </w:r>
    </w:p>
    <w:p w14:paraId="4D60FB03" w14:textId="3473EA12" w:rsidR="0058752F" w:rsidRDefault="0058752F" w:rsidP="0058752F">
      <w:pPr>
        <w:pStyle w:val="Numberedtableheading"/>
      </w:pPr>
      <w:r>
        <w:t xml:space="preserve">Estimated </w:t>
      </w:r>
      <w:r w:rsidR="00C910DE">
        <w:t xml:space="preserve">actual </w:t>
      </w:r>
      <w:r>
        <w:t xml:space="preserve">cost of increased longer-term funding </w:t>
      </w:r>
    </w:p>
    <w:tbl>
      <w:tblPr>
        <w:tblStyle w:val="TableGrid"/>
        <w:tblW w:w="5000" w:type="pct"/>
        <w:tblLook w:val="04A0" w:firstRow="1" w:lastRow="0" w:firstColumn="1" w:lastColumn="0" w:noHBand="0" w:noVBand="1"/>
      </w:tblPr>
      <w:tblGrid>
        <w:gridCol w:w="2127"/>
        <w:gridCol w:w="2299"/>
        <w:gridCol w:w="2300"/>
        <w:gridCol w:w="2300"/>
      </w:tblGrid>
      <w:tr w:rsidR="00B90EEE" w:rsidRPr="00570718" w14:paraId="4C8211B8" w14:textId="77777777" w:rsidTr="00B90E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32A19175" w14:textId="1C6D016B" w:rsidR="00B90EEE" w:rsidRPr="000B0B5E" w:rsidRDefault="00B90EEE" w:rsidP="000B0B5E">
            <w:pPr>
              <w:jc w:val="center"/>
              <w:rPr>
                <w:b/>
              </w:rPr>
            </w:pPr>
            <w:r w:rsidRPr="000B0B5E">
              <w:rPr>
                <w:b/>
              </w:rPr>
              <w:t>Cohort type</w:t>
            </w:r>
          </w:p>
        </w:tc>
        <w:tc>
          <w:tcPr>
            <w:tcW w:w="2299" w:type="dxa"/>
            <w:vAlign w:val="center"/>
          </w:tcPr>
          <w:p w14:paraId="7B55FB42" w14:textId="7BC8A64A" w:rsidR="00B90EEE" w:rsidRPr="000B0B5E" w:rsidRDefault="00B90EEE" w:rsidP="000B0B5E">
            <w:pPr>
              <w:jc w:val="center"/>
              <w:cnfStyle w:val="100000000000" w:firstRow="1" w:lastRow="0" w:firstColumn="0" w:lastColumn="0" w:oddVBand="0" w:evenVBand="0" w:oddHBand="0" w:evenHBand="0" w:firstRowFirstColumn="0" w:firstRowLastColumn="0" w:lastRowFirstColumn="0" w:lastRowLastColumn="0"/>
              <w:rPr>
                <w:b/>
              </w:rPr>
            </w:pPr>
            <w:r w:rsidRPr="000B0B5E">
              <w:rPr>
                <w:b/>
              </w:rPr>
              <w:t>Cost of replacing short term with long</w:t>
            </w:r>
            <w:r>
              <w:rPr>
                <w:b/>
              </w:rPr>
              <w:t>er-</w:t>
            </w:r>
            <w:r w:rsidRPr="000B0B5E">
              <w:rPr>
                <w:b/>
              </w:rPr>
              <w:t>term funding (basis point)</w:t>
            </w:r>
          </w:p>
        </w:tc>
        <w:tc>
          <w:tcPr>
            <w:tcW w:w="2300" w:type="dxa"/>
            <w:vAlign w:val="center"/>
          </w:tcPr>
          <w:p w14:paraId="2C95174D" w14:textId="3330504B" w:rsidR="00B90EEE" w:rsidRPr="000B0B5E" w:rsidRDefault="00B90EEE" w:rsidP="000B0B5E">
            <w:pPr>
              <w:jc w:val="center"/>
              <w:cnfStyle w:val="100000000000" w:firstRow="1" w:lastRow="0" w:firstColumn="0" w:lastColumn="0" w:oddVBand="0" w:evenVBand="0" w:oddHBand="0" w:evenHBand="0" w:firstRowFirstColumn="0" w:firstRowLastColumn="0" w:lastRowFirstColumn="0" w:lastRowLastColumn="0"/>
              <w:rPr>
                <w:b/>
              </w:rPr>
            </w:pPr>
            <w:r w:rsidRPr="000B0B5E">
              <w:rPr>
                <w:b/>
              </w:rPr>
              <w:t>Additional long</w:t>
            </w:r>
            <w:r>
              <w:rPr>
                <w:b/>
              </w:rPr>
              <w:t>er</w:t>
            </w:r>
            <w:r w:rsidRPr="000B0B5E">
              <w:rPr>
                <w:b/>
              </w:rPr>
              <w:t>-term funding required per bank ($bn)</w:t>
            </w:r>
          </w:p>
        </w:tc>
        <w:tc>
          <w:tcPr>
            <w:tcW w:w="2300" w:type="dxa"/>
            <w:vAlign w:val="center"/>
          </w:tcPr>
          <w:p w14:paraId="6EABB66B" w14:textId="2A02EA9D" w:rsidR="00B90EEE" w:rsidRPr="000B0B5E" w:rsidRDefault="00B90EEE" w:rsidP="000B0B5E">
            <w:pPr>
              <w:jc w:val="center"/>
              <w:cnfStyle w:val="100000000000" w:firstRow="1" w:lastRow="0" w:firstColumn="0" w:lastColumn="0" w:oddVBand="0" w:evenVBand="0" w:oddHBand="0" w:evenHBand="0" w:firstRowFirstColumn="0" w:firstRowLastColumn="0" w:lastRowFirstColumn="0" w:lastRowLastColumn="0"/>
              <w:rPr>
                <w:b/>
              </w:rPr>
            </w:pPr>
            <w:r w:rsidRPr="000B0B5E">
              <w:rPr>
                <w:b/>
              </w:rPr>
              <w:t>Total additional cost per bank</w:t>
            </w:r>
            <w:r w:rsidR="00776557">
              <w:rPr>
                <w:b/>
              </w:rPr>
              <w:t xml:space="preserve"> per annum</w:t>
            </w:r>
            <w:r w:rsidRPr="000B0B5E">
              <w:rPr>
                <w:b/>
              </w:rPr>
              <w:t xml:space="preserve"> ($</w:t>
            </w:r>
            <w:r>
              <w:rPr>
                <w:b/>
              </w:rPr>
              <w:t>m</w:t>
            </w:r>
            <w:r w:rsidRPr="000B0B5E">
              <w:rPr>
                <w:b/>
              </w:rPr>
              <w:t>)</w:t>
            </w:r>
          </w:p>
        </w:tc>
      </w:tr>
      <w:tr w:rsidR="00B90EEE" w:rsidRPr="00570718" w14:paraId="7C6CEA11" w14:textId="77777777" w:rsidTr="00B90E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shd w:val="clear" w:color="auto" w:fill="012169" w:themeFill="accent1"/>
          </w:tcPr>
          <w:p w14:paraId="06939A24" w14:textId="048AD1AA" w:rsidR="00B90EEE" w:rsidRPr="000B0B5E" w:rsidRDefault="00B90EEE" w:rsidP="000B0B5E">
            <w:pPr>
              <w:jc w:val="center"/>
            </w:pPr>
            <w:r w:rsidRPr="000B0B5E">
              <w:t xml:space="preserve">Major </w:t>
            </w:r>
            <w:r w:rsidR="00E51182">
              <w:t>bank</w:t>
            </w:r>
            <w:r w:rsidRPr="000B0B5E">
              <w:t>s</w:t>
            </w:r>
          </w:p>
        </w:tc>
        <w:tc>
          <w:tcPr>
            <w:tcW w:w="2299" w:type="dxa"/>
          </w:tcPr>
          <w:p w14:paraId="678D024F" w14:textId="77777777" w:rsidR="00B90EEE" w:rsidRPr="000B0B5E" w:rsidRDefault="00B90EEE" w:rsidP="000B0B5E">
            <w:pPr>
              <w:jc w:val="center"/>
              <w:cnfStyle w:val="000000100000" w:firstRow="0" w:lastRow="0" w:firstColumn="0" w:lastColumn="0" w:oddVBand="0" w:evenVBand="0" w:oddHBand="1" w:evenHBand="0" w:firstRowFirstColumn="0" w:firstRowLastColumn="0" w:lastRowFirstColumn="0" w:lastRowLastColumn="0"/>
              <w:rPr>
                <w:color w:val="auto"/>
              </w:rPr>
            </w:pPr>
            <w:r w:rsidRPr="000B0B5E">
              <w:rPr>
                <w:color w:val="auto"/>
              </w:rPr>
              <w:t>40-45</w:t>
            </w:r>
          </w:p>
        </w:tc>
        <w:tc>
          <w:tcPr>
            <w:tcW w:w="2300" w:type="dxa"/>
          </w:tcPr>
          <w:p w14:paraId="279E897C" w14:textId="77777777" w:rsidR="00B90EEE" w:rsidRPr="000B0B5E" w:rsidRDefault="00B90EEE" w:rsidP="000B0B5E">
            <w:pPr>
              <w:jc w:val="center"/>
              <w:cnfStyle w:val="000000100000" w:firstRow="0" w:lastRow="0" w:firstColumn="0" w:lastColumn="0" w:oddVBand="0" w:evenVBand="0" w:oddHBand="1" w:evenHBand="0" w:firstRowFirstColumn="0" w:firstRowLastColumn="0" w:lastRowFirstColumn="0" w:lastRowLastColumn="0"/>
              <w:rPr>
                <w:color w:val="auto"/>
              </w:rPr>
            </w:pPr>
            <w:r w:rsidRPr="000B0B5E">
              <w:rPr>
                <w:color w:val="auto"/>
              </w:rPr>
              <w:t>22.9</w:t>
            </w:r>
          </w:p>
        </w:tc>
        <w:tc>
          <w:tcPr>
            <w:tcW w:w="2300" w:type="dxa"/>
          </w:tcPr>
          <w:p w14:paraId="080D2C66" w14:textId="77777777" w:rsidR="00B90EEE" w:rsidRPr="000B0B5E" w:rsidRDefault="00B90EEE" w:rsidP="000B0B5E">
            <w:pPr>
              <w:jc w:val="center"/>
              <w:cnfStyle w:val="000000100000" w:firstRow="0" w:lastRow="0" w:firstColumn="0" w:lastColumn="0" w:oddVBand="0" w:evenVBand="0" w:oddHBand="1" w:evenHBand="0" w:firstRowFirstColumn="0" w:firstRowLastColumn="0" w:lastRowFirstColumn="0" w:lastRowLastColumn="0"/>
              <w:rPr>
                <w:color w:val="auto"/>
              </w:rPr>
            </w:pPr>
            <w:r w:rsidRPr="000B0B5E">
              <w:rPr>
                <w:color w:val="auto"/>
              </w:rPr>
              <w:t>92-103</w:t>
            </w:r>
          </w:p>
        </w:tc>
      </w:tr>
      <w:tr w:rsidR="00B90EEE" w:rsidRPr="00570718" w14:paraId="089C812F" w14:textId="77777777" w:rsidTr="00B90E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shd w:val="clear" w:color="auto" w:fill="012169" w:themeFill="accent1"/>
          </w:tcPr>
          <w:p w14:paraId="6D4242D4" w14:textId="1B7184B5" w:rsidR="00B90EEE" w:rsidRPr="000B0B5E" w:rsidRDefault="00B90EEE" w:rsidP="000B0B5E">
            <w:pPr>
              <w:jc w:val="center"/>
            </w:pPr>
            <w:r w:rsidRPr="000B0B5E">
              <w:t xml:space="preserve">Regional/other </w:t>
            </w:r>
            <w:r w:rsidR="00DB5209">
              <w:t>bank</w:t>
            </w:r>
            <w:r w:rsidRPr="000B0B5E">
              <w:t>s</w:t>
            </w:r>
          </w:p>
        </w:tc>
        <w:tc>
          <w:tcPr>
            <w:tcW w:w="2299" w:type="dxa"/>
          </w:tcPr>
          <w:p w14:paraId="220ABF12" w14:textId="77777777" w:rsidR="00B90EEE" w:rsidRPr="000B0B5E" w:rsidRDefault="00B90EEE" w:rsidP="000B0B5E">
            <w:pPr>
              <w:jc w:val="center"/>
              <w:cnfStyle w:val="000000010000" w:firstRow="0" w:lastRow="0" w:firstColumn="0" w:lastColumn="0" w:oddVBand="0" w:evenVBand="0" w:oddHBand="0" w:evenHBand="1" w:firstRowFirstColumn="0" w:firstRowLastColumn="0" w:lastRowFirstColumn="0" w:lastRowLastColumn="0"/>
              <w:rPr>
                <w:color w:val="auto"/>
              </w:rPr>
            </w:pPr>
            <w:r w:rsidRPr="000B0B5E">
              <w:rPr>
                <w:color w:val="auto"/>
              </w:rPr>
              <w:t>75-80</w:t>
            </w:r>
          </w:p>
        </w:tc>
        <w:tc>
          <w:tcPr>
            <w:tcW w:w="2300" w:type="dxa"/>
          </w:tcPr>
          <w:p w14:paraId="1150D95A" w14:textId="77777777" w:rsidR="00B90EEE" w:rsidRPr="000B0B5E" w:rsidRDefault="00B90EEE" w:rsidP="000B0B5E">
            <w:pPr>
              <w:jc w:val="center"/>
              <w:cnfStyle w:val="000000010000" w:firstRow="0" w:lastRow="0" w:firstColumn="0" w:lastColumn="0" w:oddVBand="0" w:evenVBand="0" w:oddHBand="0" w:evenHBand="1" w:firstRowFirstColumn="0" w:firstRowLastColumn="0" w:lastRowFirstColumn="0" w:lastRowLastColumn="0"/>
              <w:rPr>
                <w:color w:val="auto"/>
              </w:rPr>
            </w:pPr>
            <w:r w:rsidRPr="000B0B5E">
              <w:rPr>
                <w:color w:val="auto"/>
              </w:rPr>
              <w:t>1.8</w:t>
            </w:r>
          </w:p>
        </w:tc>
        <w:tc>
          <w:tcPr>
            <w:tcW w:w="2300" w:type="dxa"/>
          </w:tcPr>
          <w:p w14:paraId="65AF13EE" w14:textId="77777777" w:rsidR="00B90EEE" w:rsidRPr="000B0B5E" w:rsidRDefault="00B90EEE" w:rsidP="000B0B5E">
            <w:pPr>
              <w:jc w:val="center"/>
              <w:cnfStyle w:val="000000010000" w:firstRow="0" w:lastRow="0" w:firstColumn="0" w:lastColumn="0" w:oddVBand="0" w:evenVBand="0" w:oddHBand="0" w:evenHBand="1" w:firstRowFirstColumn="0" w:firstRowLastColumn="0" w:lastRowFirstColumn="0" w:lastRowLastColumn="0"/>
              <w:rPr>
                <w:color w:val="auto"/>
              </w:rPr>
            </w:pPr>
            <w:r w:rsidRPr="000B0B5E">
              <w:rPr>
                <w:color w:val="auto"/>
              </w:rPr>
              <w:t>13-15</w:t>
            </w:r>
          </w:p>
        </w:tc>
      </w:tr>
    </w:tbl>
    <w:bookmarkEnd w:id="40"/>
    <w:bookmarkEnd w:id="43"/>
    <w:p w14:paraId="2761BDB9" w14:textId="38907C63" w:rsidR="0076126A" w:rsidRDefault="003B67EC" w:rsidP="00510E5C">
      <w:pPr>
        <w:pStyle w:val="Heading5"/>
      </w:pPr>
      <w:r>
        <w:t>Impacts on competition</w:t>
      </w:r>
      <w:r w:rsidR="00CF7C8F">
        <w:t xml:space="preserve"> </w:t>
      </w:r>
    </w:p>
    <w:p w14:paraId="3169DA56" w14:textId="0FEABD4D" w:rsidR="0058752F" w:rsidRDefault="002E2C06" w:rsidP="006632C0">
      <w:pPr>
        <w:numPr>
          <w:ilvl w:val="0"/>
          <w:numId w:val="0"/>
        </w:numPr>
      </w:pPr>
      <w:r>
        <w:t>T</w:t>
      </w:r>
      <w:r w:rsidR="00DD2182">
        <w:t xml:space="preserve">he </w:t>
      </w:r>
      <w:r w:rsidR="005E4160">
        <w:t>PIR</w:t>
      </w:r>
      <w:r w:rsidR="00DD2182">
        <w:t xml:space="preserve"> </w:t>
      </w:r>
      <w:r w:rsidR="004308EE">
        <w:t xml:space="preserve">assessed </w:t>
      </w:r>
      <w:r w:rsidR="005E4160">
        <w:t>whether the implementation of the liquidity reforms had an effect</w:t>
      </w:r>
      <w:r>
        <w:t xml:space="preserve"> on</w:t>
      </w:r>
      <w:r w:rsidR="005E4160">
        <w:t xml:space="preserve"> </w:t>
      </w:r>
      <w:r w:rsidR="004308EE">
        <w:t xml:space="preserve">competition </w:t>
      </w:r>
      <w:r w:rsidR="005E4160">
        <w:t xml:space="preserve">or resulted in any other unintended </w:t>
      </w:r>
      <w:r w:rsidR="004308EE">
        <w:t xml:space="preserve">market outcomes. </w:t>
      </w:r>
      <w:r w:rsidR="00F12A28">
        <w:t xml:space="preserve">Overall, </w:t>
      </w:r>
      <w:r w:rsidR="00CB6B1A">
        <w:t xml:space="preserve">industry stakeholders </w:t>
      </w:r>
      <w:r w:rsidR="00970B8F">
        <w:t xml:space="preserve">only </w:t>
      </w:r>
      <w:r w:rsidR="00CB6B1A">
        <w:t xml:space="preserve">noted mild </w:t>
      </w:r>
      <w:r w:rsidR="005E4160">
        <w:t>effect</w:t>
      </w:r>
      <w:r w:rsidR="00E002A3">
        <w:t>s</w:t>
      </w:r>
      <w:r w:rsidR="00FF2D2B">
        <w:t xml:space="preserve"> </w:t>
      </w:r>
      <w:r>
        <w:t xml:space="preserve">to the </w:t>
      </w:r>
      <w:r w:rsidR="00FF2D2B">
        <w:t>competiti</w:t>
      </w:r>
      <w:r>
        <w:t>ve environment</w:t>
      </w:r>
      <w:r w:rsidR="0058752F">
        <w:t xml:space="preserve">, such as: </w:t>
      </w:r>
    </w:p>
    <w:p w14:paraId="14FC476E" w14:textId="3B6CFF07" w:rsidR="0058752F" w:rsidRDefault="0058752F" w:rsidP="0058752F">
      <w:pPr>
        <w:pStyle w:val="ListBullet"/>
      </w:pPr>
      <w:r w:rsidRPr="0058752F">
        <w:t>proportionally higher costs for smaller entities in complying with the LCR and NSFR</w:t>
      </w:r>
      <w:r>
        <w:t xml:space="preserve">; and </w:t>
      </w:r>
    </w:p>
    <w:p w14:paraId="18E211E4" w14:textId="4CCF8FCE" w:rsidR="0058752F" w:rsidRPr="0058752F" w:rsidRDefault="00980508" w:rsidP="0058752F">
      <w:pPr>
        <w:pStyle w:val="ListBullet"/>
      </w:pPr>
      <w:r>
        <w:t>potential pricing and competition impacts due to the application of different interpretations of APRA requirements, such as</w:t>
      </w:r>
      <w:r w:rsidR="004F0E9E">
        <w:t xml:space="preserve"> </w:t>
      </w:r>
      <w:r w:rsidR="00283674">
        <w:t xml:space="preserve">those around </w:t>
      </w:r>
      <w:r>
        <w:t xml:space="preserve">operational deposits. </w:t>
      </w:r>
    </w:p>
    <w:p w14:paraId="344E0136" w14:textId="2D487ACF" w:rsidR="0058752F" w:rsidRDefault="0025377A" w:rsidP="006632C0">
      <w:pPr>
        <w:numPr>
          <w:ilvl w:val="0"/>
          <w:numId w:val="0"/>
        </w:numPr>
      </w:pPr>
      <w:r>
        <w:t xml:space="preserve">These impacts will be considered </w:t>
      </w:r>
      <w:r w:rsidR="00AB57CF">
        <w:t xml:space="preserve">alongside other feedback received, outlined in Chapter 3 below, as part of the APS 210 review. </w:t>
      </w:r>
    </w:p>
    <w:p w14:paraId="3E058FC2" w14:textId="3B441741" w:rsidR="00CF7C8F" w:rsidRDefault="00CF7C8F" w:rsidP="00510E5C">
      <w:pPr>
        <w:pStyle w:val="ListBullet"/>
        <w:numPr>
          <w:ilvl w:val="0"/>
          <w:numId w:val="0"/>
        </w:numPr>
        <w:ind w:left="425"/>
      </w:pPr>
    </w:p>
    <w:p w14:paraId="1C920047" w14:textId="72CA696A" w:rsidR="0063277F" w:rsidRPr="002554CC" w:rsidRDefault="0063277F" w:rsidP="0063277F">
      <w:pPr>
        <w:pStyle w:val="Heading1Numbers"/>
        <w:numPr>
          <w:ilvl w:val="0"/>
          <w:numId w:val="0"/>
        </w:numPr>
      </w:pPr>
      <w:bookmarkStart w:id="44" w:name="_Toc103791297"/>
      <w:r>
        <w:t xml:space="preserve">Chapter </w:t>
      </w:r>
      <w:r w:rsidR="00AA4887">
        <w:t xml:space="preserve">3 </w:t>
      </w:r>
      <w:r w:rsidR="0005058B">
        <w:t xml:space="preserve">– </w:t>
      </w:r>
      <w:r w:rsidR="006E5E2A">
        <w:t>Looking forward</w:t>
      </w:r>
      <w:bookmarkEnd w:id="44"/>
      <w:r w:rsidR="006E5E2A">
        <w:t xml:space="preserve"> </w:t>
      </w:r>
    </w:p>
    <w:p w14:paraId="0D613EF9" w14:textId="5239B854" w:rsidR="00BF093A" w:rsidRDefault="00C65D05">
      <w:pPr>
        <w:numPr>
          <w:ilvl w:val="0"/>
          <w:numId w:val="0"/>
        </w:numPr>
      </w:pPr>
      <w:r>
        <w:t xml:space="preserve">As part of the </w:t>
      </w:r>
      <w:r w:rsidR="005739E1">
        <w:t>PIR</w:t>
      </w:r>
      <w:r>
        <w:t xml:space="preserve">, </w:t>
      </w:r>
      <w:r w:rsidR="00EB6A24">
        <w:t xml:space="preserve">APRA </w:t>
      </w:r>
      <w:r w:rsidR="005739E1">
        <w:t xml:space="preserve">received </w:t>
      </w:r>
      <w:r w:rsidR="00EB6A24">
        <w:t xml:space="preserve">feedback </w:t>
      </w:r>
      <w:r w:rsidR="005739E1">
        <w:t xml:space="preserve">and </w:t>
      </w:r>
      <w:r w:rsidR="00C73234">
        <w:t xml:space="preserve">proposals to increase efficiency </w:t>
      </w:r>
      <w:r w:rsidR="00592D37">
        <w:t>and address issues in the operation</w:t>
      </w:r>
      <w:r w:rsidR="00C73234">
        <w:t xml:space="preserve"> of the LCR and NSFR</w:t>
      </w:r>
      <w:r w:rsidR="00EC5055">
        <w:t xml:space="preserve"> in APS 210</w:t>
      </w:r>
      <w:r w:rsidR="00283674">
        <w:t xml:space="preserve">. </w:t>
      </w:r>
      <w:r w:rsidR="00F33DCA">
        <w:t>The key issues are detailed below</w:t>
      </w:r>
      <w:r w:rsidR="00283674">
        <w:t xml:space="preserve">. </w:t>
      </w:r>
    </w:p>
    <w:p w14:paraId="7A667646" w14:textId="09509820" w:rsidR="00C86EB7" w:rsidRDefault="00C86EB7" w:rsidP="00C86EB7">
      <w:pPr>
        <w:pStyle w:val="Heading2Numbers"/>
        <w:numPr>
          <w:ilvl w:val="0"/>
          <w:numId w:val="0"/>
        </w:numPr>
      </w:pPr>
      <w:bookmarkStart w:id="45" w:name="_Toc103687173"/>
      <w:bookmarkStart w:id="46" w:name="_Toc103791298"/>
      <w:r>
        <w:t>Usability of liquidity buffers</w:t>
      </w:r>
      <w:bookmarkEnd w:id="45"/>
      <w:bookmarkEnd w:id="46"/>
    </w:p>
    <w:p w14:paraId="36D07F63" w14:textId="046FB7F1" w:rsidR="00B20B90" w:rsidRDefault="00B20B90" w:rsidP="00B20B90">
      <w:r>
        <w:t>The</w:t>
      </w:r>
      <w:r w:rsidRPr="0052103E">
        <w:t xml:space="preserve"> LCR and NSFR have improved investor confidence by providing</w:t>
      </w:r>
      <w:r>
        <w:t xml:space="preserve"> clear and</w:t>
      </w:r>
      <w:r w:rsidRPr="0052103E">
        <w:t xml:space="preserve"> internationally comparable measures of liquidity risk</w:t>
      </w:r>
      <w:r>
        <w:t xml:space="preserve">. </w:t>
      </w:r>
      <w:r w:rsidR="00CC47EE">
        <w:t>A key issue raised in the PIR</w:t>
      </w:r>
      <w:r>
        <w:t xml:space="preserve">, </w:t>
      </w:r>
      <w:r w:rsidR="00197F7A">
        <w:t>across all consulted stakeholders</w:t>
      </w:r>
      <w:r>
        <w:t>,</w:t>
      </w:r>
      <w:r w:rsidR="00CC47EE">
        <w:t xml:space="preserve"> was </w:t>
      </w:r>
      <w:r w:rsidR="00995414">
        <w:t>the</w:t>
      </w:r>
      <w:r w:rsidR="00157AE9">
        <w:t xml:space="preserve"> usability of liquidity buffers</w:t>
      </w:r>
      <w:r>
        <w:t xml:space="preserve"> and how the LCR operates during stress</w:t>
      </w:r>
      <w:r w:rsidR="00157AE9">
        <w:t xml:space="preserve">: </w:t>
      </w:r>
      <w:r w:rsidR="00995414">
        <w:t>where</w:t>
      </w:r>
      <w:r w:rsidR="00E6197D">
        <w:t xml:space="preserve"> banks </w:t>
      </w:r>
      <w:r w:rsidR="00406442">
        <w:t xml:space="preserve">are </w:t>
      </w:r>
      <w:r w:rsidR="00995414">
        <w:t>discouraged</w:t>
      </w:r>
      <w:r w:rsidR="00E6197D">
        <w:t xml:space="preserve"> to </w:t>
      </w:r>
      <w:r w:rsidR="004820D6">
        <w:t xml:space="preserve">use </w:t>
      </w:r>
      <w:r w:rsidR="00E6197D">
        <w:t>their liquidity buffers</w:t>
      </w:r>
      <w:r w:rsidR="004820D6">
        <w:t xml:space="preserve"> where this would result </w:t>
      </w:r>
      <w:r w:rsidR="00CD3D1C">
        <w:t>i</w:t>
      </w:r>
      <w:r w:rsidR="004820D6">
        <w:t xml:space="preserve">n </w:t>
      </w:r>
      <w:r w:rsidR="00CD3D1C">
        <w:t xml:space="preserve">the </w:t>
      </w:r>
      <w:r w:rsidR="004820D6">
        <w:t xml:space="preserve">LCR falling relative to peers or below 100 per cent. </w:t>
      </w:r>
      <w:r w:rsidR="00CC030B">
        <w:t xml:space="preserve">This </w:t>
      </w:r>
      <w:r w:rsidR="00BF205D">
        <w:t xml:space="preserve">may be driven by concerns around crossing internal targets and limits, or the market signalling of such a drop. </w:t>
      </w:r>
      <w:r>
        <w:t>Some industry respondents noted that even where APRA would be comfortable with a bank using their buffers in a period of stress, it may be difficult to convince Boards, shareholders, investors, and other key stakeholders.</w:t>
      </w:r>
    </w:p>
    <w:p w14:paraId="225AF980" w14:textId="7A898822" w:rsidR="00E6197D" w:rsidRDefault="00BF205D" w:rsidP="00E6197D">
      <w:r>
        <w:t xml:space="preserve">This </w:t>
      </w:r>
      <w:r w:rsidR="00B20B90">
        <w:t xml:space="preserve">potential </w:t>
      </w:r>
      <w:r>
        <w:t>reluctance to use buffers</w:t>
      </w:r>
      <w:r w:rsidR="00CC030B">
        <w:t xml:space="preserve"> diminishes the intent of the framework for banks to have excess liquidity to draw upon in times of stress</w:t>
      </w:r>
      <w:r w:rsidR="00420E67">
        <w:t xml:space="preserve"> and </w:t>
      </w:r>
      <w:r w:rsidR="00F7477B">
        <w:t>means there may be scope to make the reforms more effective</w:t>
      </w:r>
      <w:r w:rsidR="00CC030B">
        <w:t xml:space="preserve">.  </w:t>
      </w:r>
      <w:r w:rsidR="00B20B90">
        <w:t>Banks may decide to take defensive actions to maintain ratios in stress, such as curtailing loan growth, rather than using the liquidity as intended when it is needed to be used.</w:t>
      </w:r>
      <w:r w:rsidR="00B20B90" w:rsidRPr="00706D77">
        <w:t xml:space="preserve"> </w:t>
      </w:r>
      <w:r w:rsidR="00B20B90">
        <w:t>These</w:t>
      </w:r>
      <w:r w:rsidR="00E6197D">
        <w:t xml:space="preserve"> issues have </w:t>
      </w:r>
      <w:r w:rsidR="00B20B90">
        <w:t xml:space="preserve">also </w:t>
      </w:r>
      <w:r w:rsidR="00E6197D">
        <w:t xml:space="preserve">been identified in other jurisdictions, with the Bank of England </w:t>
      </w:r>
      <w:r w:rsidR="00E35FC9">
        <w:t xml:space="preserve">and the </w:t>
      </w:r>
      <w:r w:rsidR="008C671C">
        <w:t>B</w:t>
      </w:r>
      <w:r w:rsidR="0082666D">
        <w:t>asel Committee</w:t>
      </w:r>
      <w:r w:rsidR="00E35FC9">
        <w:t xml:space="preserve"> both </w:t>
      </w:r>
      <w:r w:rsidR="00B20B90">
        <w:t>examining</w:t>
      </w:r>
      <w:r w:rsidR="00E6197D">
        <w:t xml:space="preserve"> th</w:t>
      </w:r>
      <w:r w:rsidR="00B20B90">
        <w:t>e useability of buffers in stress</w:t>
      </w:r>
      <w:r w:rsidR="00E6197D">
        <w:t xml:space="preserve"> in</w:t>
      </w:r>
      <w:r w:rsidR="00E35FC9">
        <w:t xml:space="preserve"> recent papers.</w:t>
      </w:r>
      <w:r w:rsidR="0080748C">
        <w:rPr>
          <w:rStyle w:val="FootnoteReference"/>
        </w:rPr>
        <w:footnoteReference w:id="17"/>
      </w:r>
    </w:p>
    <w:p w14:paraId="0C1296DF" w14:textId="3FC2CC73" w:rsidR="006D593B" w:rsidRDefault="00E35FC9" w:rsidP="004820D6">
      <w:r>
        <w:t xml:space="preserve">APRA </w:t>
      </w:r>
      <w:r w:rsidR="00FD48AC">
        <w:t xml:space="preserve">will </w:t>
      </w:r>
      <w:r>
        <w:t xml:space="preserve">further explore </w:t>
      </w:r>
      <w:r w:rsidR="00CD3D1C">
        <w:t xml:space="preserve">this </w:t>
      </w:r>
      <w:r>
        <w:t>issue</w:t>
      </w:r>
      <w:r w:rsidR="00223C74">
        <w:t xml:space="preserve"> </w:t>
      </w:r>
      <w:r w:rsidR="006D593B">
        <w:t>by:</w:t>
      </w:r>
    </w:p>
    <w:p w14:paraId="085D3C1B" w14:textId="0A68C070" w:rsidR="006D593B" w:rsidRDefault="000B5658" w:rsidP="006D593B">
      <w:pPr>
        <w:pStyle w:val="ListBullet"/>
      </w:pPr>
      <w:r>
        <w:t>c</w:t>
      </w:r>
      <w:r w:rsidR="00252013">
        <w:t>ontinuing to monitor international developments;</w:t>
      </w:r>
    </w:p>
    <w:p w14:paraId="6DF9B547" w14:textId="2A64C71B" w:rsidR="00252013" w:rsidRDefault="000B5658" w:rsidP="006D593B">
      <w:pPr>
        <w:pStyle w:val="ListBullet"/>
      </w:pPr>
      <w:r>
        <w:t>c</w:t>
      </w:r>
      <w:r w:rsidR="00252013">
        <w:t xml:space="preserve">onsidering </w:t>
      </w:r>
      <w:r w:rsidR="00D768C0">
        <w:t>enhancements to</w:t>
      </w:r>
      <w:r w:rsidR="00252013">
        <w:t xml:space="preserve"> guidance on the usability of buffers in times of stress; and </w:t>
      </w:r>
    </w:p>
    <w:p w14:paraId="41F06F55" w14:textId="41C91627" w:rsidR="00252013" w:rsidRPr="00F26187" w:rsidRDefault="000B5658" w:rsidP="00F26187">
      <w:pPr>
        <w:pStyle w:val="ListBullet"/>
      </w:pPr>
      <w:r>
        <w:t>c</w:t>
      </w:r>
      <w:r w:rsidR="00252013" w:rsidRPr="00F26187">
        <w:t>onsider</w:t>
      </w:r>
      <w:r w:rsidR="00252013">
        <w:t xml:space="preserve">ing </w:t>
      </w:r>
      <w:r w:rsidR="00D768C0">
        <w:t xml:space="preserve">other potential changes to requirements and guidance as part of the review of APS 210, including reporting and disclosure requirements, </w:t>
      </w:r>
      <w:r w:rsidR="00252013" w:rsidRPr="00F26187">
        <w:t xml:space="preserve">liquidity stress testing </w:t>
      </w:r>
      <w:r w:rsidR="00D768C0">
        <w:t>thresholds</w:t>
      </w:r>
      <w:r w:rsidR="00542459">
        <w:rPr>
          <w:rStyle w:val="CommentReference"/>
        </w:rPr>
        <w:t xml:space="preserve">, </w:t>
      </w:r>
      <w:r w:rsidR="00542459" w:rsidRPr="00F21820">
        <w:t>a</w:t>
      </w:r>
      <w:r w:rsidR="00D768C0">
        <w:t>nd the setting of internal management targets and Board limits</w:t>
      </w:r>
      <w:r w:rsidR="00252013" w:rsidRPr="00F26187">
        <w:t>.</w:t>
      </w:r>
    </w:p>
    <w:p w14:paraId="454A11F2" w14:textId="00E3CA6E" w:rsidR="00D4247D" w:rsidRPr="000C5A7C" w:rsidRDefault="00252013" w:rsidP="00AA6A4A">
      <w:pPr>
        <w:numPr>
          <w:ilvl w:val="0"/>
          <w:numId w:val="0"/>
        </w:numPr>
        <w:rPr>
          <w:rFonts w:ascii="DIN OT Medium" w:eastAsiaTheme="majorEastAsia" w:hAnsi="DIN OT Medium" w:cstheme="majorBidi"/>
          <w:color w:val="012169"/>
          <w:sz w:val="30"/>
          <w:szCs w:val="26"/>
        </w:rPr>
      </w:pPr>
      <w:bookmarkStart w:id="47" w:name="_Hlk101686704"/>
      <w:r w:rsidRPr="000C5A7C">
        <w:t xml:space="preserve">In the interim, APRA encourages banks to </w:t>
      </w:r>
      <w:r w:rsidR="0019273F" w:rsidRPr="000C5A7C">
        <w:t>consider what steps they can take to improve the useability of buffers, and to engage with APRA on possible industry-wide approaches</w:t>
      </w:r>
      <w:r w:rsidR="00C66102" w:rsidRPr="000C5A7C">
        <w:t>.</w:t>
      </w:r>
      <w:r w:rsidR="0019273F" w:rsidRPr="000C5A7C">
        <w:t xml:space="preserve"> APRA notes, in particular, the existing requirements in APS 210</w:t>
      </w:r>
      <w:r w:rsidR="000C5A7C" w:rsidRPr="000C5A7C">
        <w:t>,</w:t>
      </w:r>
      <w:r w:rsidR="0019273F" w:rsidRPr="000C5A7C">
        <w:t xml:space="preserve"> which </w:t>
      </w:r>
      <w:r w:rsidR="000C5A7C" w:rsidRPr="000C5A7C">
        <w:t>will continue to apply</w:t>
      </w:r>
      <w:r w:rsidR="0019273F" w:rsidRPr="000C5A7C">
        <w:t xml:space="preserve">: </w:t>
      </w:r>
      <w:r w:rsidR="000C5A7C" w:rsidRPr="000C5A7C">
        <w:rPr>
          <w:i/>
        </w:rPr>
        <w:t>d</w:t>
      </w:r>
      <w:r w:rsidR="0019273F" w:rsidRPr="000C5A7C">
        <w:rPr>
          <w:i/>
        </w:rPr>
        <w:t xml:space="preserve">uring a period of financial stress, an </w:t>
      </w:r>
      <w:r w:rsidR="00E82178">
        <w:rPr>
          <w:i/>
        </w:rPr>
        <w:t xml:space="preserve">authorised deposited-taking institution (ADI) </w:t>
      </w:r>
      <w:r w:rsidR="0019273F" w:rsidRPr="000C5A7C">
        <w:rPr>
          <w:i/>
        </w:rPr>
        <w:t xml:space="preserve">may need to liquidate part of its stock of </w:t>
      </w:r>
      <w:r w:rsidR="00E82178">
        <w:rPr>
          <w:i/>
        </w:rPr>
        <w:t>high-quality liquid assets (</w:t>
      </w:r>
      <w:r w:rsidR="0019273F" w:rsidRPr="000C5A7C">
        <w:rPr>
          <w:i/>
        </w:rPr>
        <w:t>HQLA</w:t>
      </w:r>
      <w:r w:rsidR="00E82178">
        <w:rPr>
          <w:i/>
        </w:rPr>
        <w:t>)</w:t>
      </w:r>
      <w:r w:rsidR="0019273F" w:rsidRPr="000C5A7C">
        <w:rPr>
          <w:i/>
        </w:rPr>
        <w:t xml:space="preserve"> and/or draw on its Committed Liquidity Facility (CLF) with the Reserve Bank of Australia (RBA), using the cash generated to cover cash outflows; as a consequence, the LCR may fall below the minimum level required under paragraph 55 of this Prudential Standard</w:t>
      </w:r>
      <w:r w:rsidR="000C5A7C" w:rsidRPr="000C5A7C">
        <w:rPr>
          <w:i/>
        </w:rPr>
        <w:t xml:space="preserve"> [of 100 per cent for a locally </w:t>
      </w:r>
      <w:r w:rsidR="000C5A7C" w:rsidRPr="000C5A7C">
        <w:rPr>
          <w:i/>
          <w:sz w:val="23"/>
          <w:szCs w:val="23"/>
          <w:shd w:val="clear" w:color="auto" w:fill="FFFFFF"/>
        </w:rPr>
        <w:t>incorporated ADI]</w:t>
      </w:r>
      <w:r w:rsidR="000C5A7C" w:rsidRPr="000C5A7C">
        <w:rPr>
          <w:i/>
        </w:rPr>
        <w:t>.</w:t>
      </w:r>
      <w:r w:rsidR="000C5A7C" w:rsidRPr="000C5A7C">
        <w:rPr>
          <w:rStyle w:val="FootnoteReference"/>
        </w:rPr>
        <w:footnoteReference w:id="18"/>
      </w:r>
    </w:p>
    <w:p w14:paraId="6D3E9377" w14:textId="3F6829C7" w:rsidR="00F33DCA" w:rsidRDefault="00F33DCA" w:rsidP="00F33DCA">
      <w:pPr>
        <w:pStyle w:val="Heading2Numbers"/>
        <w:numPr>
          <w:ilvl w:val="0"/>
          <w:numId w:val="0"/>
        </w:numPr>
      </w:pPr>
      <w:bookmarkStart w:id="48" w:name="_Toc103687174"/>
      <w:bookmarkStart w:id="49" w:name="_Toc103791299"/>
      <w:r>
        <w:t xml:space="preserve">Consolidation of liquidity </w:t>
      </w:r>
      <w:r w:rsidR="0008405A">
        <w:t>requirements</w:t>
      </w:r>
      <w:bookmarkEnd w:id="48"/>
      <w:bookmarkEnd w:id="49"/>
      <w:r>
        <w:t xml:space="preserve"> </w:t>
      </w:r>
    </w:p>
    <w:p w14:paraId="14AC33E5" w14:textId="0283C940" w:rsidR="00F33DCA" w:rsidRDefault="00F33DCA" w:rsidP="00F33DCA">
      <w:pPr>
        <w:pStyle w:val="List"/>
        <w:numPr>
          <w:ilvl w:val="0"/>
          <w:numId w:val="0"/>
        </w:numPr>
      </w:pPr>
      <w:r>
        <w:t xml:space="preserve">A large proportion of </w:t>
      </w:r>
      <w:r w:rsidR="0008405A">
        <w:t xml:space="preserve">industry </w:t>
      </w:r>
      <w:r>
        <w:t>respondents</w:t>
      </w:r>
      <w:r w:rsidR="0008405A">
        <w:t xml:space="preserve"> in the PIR</w:t>
      </w:r>
      <w:r>
        <w:t xml:space="preserve"> called for </w:t>
      </w:r>
      <w:r w:rsidR="00273AEB">
        <w:t xml:space="preserve">consolidation </w:t>
      </w:r>
      <w:r>
        <w:t>and rationalisation of APRA’s liquidity requirements</w:t>
      </w:r>
      <w:r w:rsidR="000C5FE0">
        <w:t xml:space="preserve">, </w:t>
      </w:r>
      <w:proofErr w:type="gramStart"/>
      <w:r w:rsidR="000C5FE0">
        <w:t>guidance</w:t>
      </w:r>
      <w:proofErr w:type="gramEnd"/>
      <w:r w:rsidR="000C5FE0">
        <w:t xml:space="preserve"> and advice</w:t>
      </w:r>
      <w:r>
        <w:t xml:space="preserve">. Respondents noted the difficulty in navigating </w:t>
      </w:r>
      <w:r w:rsidR="0008405A">
        <w:t>APS 210</w:t>
      </w:r>
      <w:r>
        <w:t xml:space="preserve">, </w:t>
      </w:r>
      <w:r w:rsidR="00542459">
        <w:t xml:space="preserve">its accompanying guidance </w:t>
      </w:r>
      <w:r>
        <w:t>Prudential Practice Guide</w:t>
      </w:r>
      <w:r w:rsidR="0008405A">
        <w:t xml:space="preserve"> APG 210</w:t>
      </w:r>
      <w:r w:rsidR="00542459">
        <w:t xml:space="preserve"> </w:t>
      </w:r>
      <w:r w:rsidR="00542459">
        <w:rPr>
          <w:i/>
        </w:rPr>
        <w:t>Liquidity</w:t>
      </w:r>
      <w:r>
        <w:t>,</w:t>
      </w:r>
      <w:r w:rsidR="0008405A">
        <w:t xml:space="preserve"> the associated</w:t>
      </w:r>
      <w:r w:rsidR="00155F65">
        <w:t xml:space="preserve"> 26</w:t>
      </w:r>
      <w:r>
        <w:t xml:space="preserve"> FAQs, and </w:t>
      </w:r>
      <w:r w:rsidR="0008405A">
        <w:t>other relevant industry letters</w:t>
      </w:r>
      <w:r>
        <w:t>.</w:t>
      </w:r>
    </w:p>
    <w:p w14:paraId="2D4F8ED1" w14:textId="5DF62501" w:rsidR="00F33DCA" w:rsidRPr="00F26187" w:rsidRDefault="00F33DCA" w:rsidP="00F33DCA">
      <w:r w:rsidRPr="00F26187">
        <w:t>APRA will review opportunities to</w:t>
      </w:r>
      <w:r w:rsidR="005167ED">
        <w:t xml:space="preserve"> consolidate and better explain the </w:t>
      </w:r>
      <w:r w:rsidRPr="00F26187">
        <w:t xml:space="preserve">prudential framework in its review of APS 210, </w:t>
      </w:r>
      <w:r w:rsidR="0008405A">
        <w:t xml:space="preserve">and more broadly as part of its strategic goal to </w:t>
      </w:r>
      <w:r w:rsidR="0008405A" w:rsidRPr="0008405A">
        <w:rPr>
          <w:i/>
        </w:rPr>
        <w:t>modernise the prudential architecture</w:t>
      </w:r>
      <w:r w:rsidRPr="00F26187">
        <w:t>.</w:t>
      </w:r>
      <w:r w:rsidRPr="00F26187">
        <w:rPr>
          <w:rStyle w:val="FootnoteReference"/>
        </w:rPr>
        <w:footnoteReference w:id="19"/>
      </w:r>
      <w:r w:rsidR="0008405A">
        <w:t xml:space="preserve"> This is important in ensuring that </w:t>
      </w:r>
      <w:r w:rsidR="00841F1F">
        <w:t xml:space="preserve">entities can clearly understand and meet prudential </w:t>
      </w:r>
      <w:r w:rsidR="00980508">
        <w:t>requirements and</w:t>
      </w:r>
      <w:r w:rsidR="00841F1F">
        <w:t xml:space="preserve"> can focus on risk management rather than complexities in compliance.</w:t>
      </w:r>
    </w:p>
    <w:p w14:paraId="3205B73D" w14:textId="36F230E0" w:rsidR="00A51A8D" w:rsidRDefault="00F55C52" w:rsidP="00A51A8D">
      <w:pPr>
        <w:pStyle w:val="Heading2"/>
      </w:pPr>
      <w:bookmarkStart w:id="50" w:name="_Toc103687175"/>
      <w:bookmarkStart w:id="51" w:name="_Toc103791300"/>
      <w:r>
        <w:t>Other technical a</w:t>
      </w:r>
      <w:r w:rsidR="00A51A8D">
        <w:t>reas for review</w:t>
      </w:r>
      <w:bookmarkEnd w:id="50"/>
      <w:bookmarkEnd w:id="51"/>
      <w:r w:rsidR="00A51A8D">
        <w:t xml:space="preserve"> </w:t>
      </w:r>
    </w:p>
    <w:p w14:paraId="701410D9" w14:textId="72FABAE9" w:rsidR="005914B0" w:rsidRDefault="00A51A8D" w:rsidP="00A51A8D">
      <w:r>
        <w:t xml:space="preserve">Through the </w:t>
      </w:r>
      <w:r w:rsidR="00D56443">
        <w:t>PIR</w:t>
      </w:r>
      <w:r>
        <w:t xml:space="preserve">, APRA received submissions </w:t>
      </w:r>
      <w:r w:rsidR="001A5443">
        <w:t xml:space="preserve">related to </w:t>
      </w:r>
      <w:r w:rsidR="00841F1F">
        <w:t xml:space="preserve">several </w:t>
      </w:r>
      <w:r w:rsidR="001A5443">
        <w:t>technical aspects of the LCR and NSFR</w:t>
      </w:r>
      <w:r w:rsidR="00AA7351">
        <w:t>.</w:t>
      </w:r>
      <w:r w:rsidDel="00AA7351">
        <w:t xml:space="preserve"> </w:t>
      </w:r>
      <w:r w:rsidR="00B15DAD">
        <w:t>At a high level, t</w:t>
      </w:r>
      <w:r w:rsidR="004460CF">
        <w:t>hese submissions include</w:t>
      </w:r>
      <w:r w:rsidR="00B15DAD">
        <w:t>d</w:t>
      </w:r>
      <w:r w:rsidR="005914B0">
        <w:t>:</w:t>
      </w:r>
    </w:p>
    <w:p w14:paraId="08268556" w14:textId="1A48C1D7" w:rsidR="00C507D8" w:rsidRDefault="004460CF" w:rsidP="005914B0">
      <w:pPr>
        <w:pStyle w:val="ListBullet"/>
      </w:pPr>
      <w:r>
        <w:t>s</w:t>
      </w:r>
      <w:r w:rsidR="00A51A8D">
        <w:t>uggested changes to APS 210</w:t>
      </w:r>
      <w:r w:rsidR="005914B0">
        <w:t xml:space="preserve"> </w:t>
      </w:r>
      <w:r w:rsidR="00C507D8">
        <w:t xml:space="preserve">to reduce </w:t>
      </w:r>
      <w:r w:rsidR="00841F1F">
        <w:t xml:space="preserve">compliance </w:t>
      </w:r>
      <w:r w:rsidR="00C507D8">
        <w:t xml:space="preserve">burden on banks </w:t>
      </w:r>
      <w:r w:rsidR="00F33DCA">
        <w:t>or</w:t>
      </w:r>
      <w:r w:rsidR="00C507D8">
        <w:t xml:space="preserve"> </w:t>
      </w:r>
      <w:r w:rsidR="00F33DCA">
        <w:t>adjust the operation of the framework</w:t>
      </w:r>
      <w:r w:rsidR="00C507D8">
        <w:t xml:space="preserve">; </w:t>
      </w:r>
    </w:p>
    <w:p w14:paraId="57A8A1B6" w14:textId="16198625" w:rsidR="00C507D8" w:rsidRDefault="004460CF" w:rsidP="005914B0">
      <w:pPr>
        <w:pStyle w:val="ListBullet"/>
      </w:pPr>
      <w:r>
        <w:t>s</w:t>
      </w:r>
      <w:r w:rsidR="001A5443">
        <w:t xml:space="preserve">uggested </w:t>
      </w:r>
      <w:r w:rsidR="006B7532">
        <w:t xml:space="preserve">areas of </w:t>
      </w:r>
      <w:r w:rsidR="005D1184">
        <w:t xml:space="preserve">review </w:t>
      </w:r>
      <w:r w:rsidR="006B7532">
        <w:t>to promote</w:t>
      </w:r>
      <w:r w:rsidR="00542459">
        <w:t xml:space="preserve"> further</w:t>
      </w:r>
      <w:r w:rsidR="006B7532">
        <w:t xml:space="preserve"> international</w:t>
      </w:r>
      <w:r w:rsidR="00A51A8D" w:rsidDel="005D1184">
        <w:t xml:space="preserve"> alignment</w:t>
      </w:r>
      <w:r w:rsidR="00B56A7D">
        <w:t>,</w:t>
      </w:r>
      <w:r w:rsidR="006B7532">
        <w:t xml:space="preserve"> whil</w:t>
      </w:r>
      <w:r w:rsidR="00B56A7D">
        <w:t>e</w:t>
      </w:r>
      <w:r w:rsidR="005D1184">
        <w:t xml:space="preserve"> </w:t>
      </w:r>
      <w:r w:rsidR="00B15DAD" w:rsidDel="005D1184">
        <w:t>noting</w:t>
      </w:r>
      <w:r w:rsidR="00C507D8" w:rsidDel="005D1184">
        <w:t xml:space="preserve"> </w:t>
      </w:r>
      <w:r w:rsidR="00985D32" w:rsidDel="005D1184">
        <w:t xml:space="preserve">that </w:t>
      </w:r>
      <w:r w:rsidR="00C507D8" w:rsidDel="005D1184">
        <w:t xml:space="preserve">APRA’s </w:t>
      </w:r>
      <w:r w:rsidR="00C507D8">
        <w:t xml:space="preserve">liquidity </w:t>
      </w:r>
      <w:r w:rsidR="00985D32">
        <w:t>standard</w:t>
      </w:r>
      <w:r w:rsidR="00C507D8">
        <w:t xml:space="preserve"> </w:t>
      </w:r>
      <w:r w:rsidR="006B7532">
        <w:t>also needs</w:t>
      </w:r>
      <w:r w:rsidR="00C507D8" w:rsidDel="005D1184">
        <w:t xml:space="preserve"> </w:t>
      </w:r>
      <w:r w:rsidR="00C507D8" w:rsidRPr="00D67F55">
        <w:t>to account for the nuances of the Australian market</w:t>
      </w:r>
      <w:r w:rsidR="00C507D8">
        <w:t>; and</w:t>
      </w:r>
    </w:p>
    <w:p w14:paraId="0DD16538" w14:textId="370EBE19" w:rsidR="0099094B" w:rsidRDefault="004460CF" w:rsidP="00F230A3">
      <w:pPr>
        <w:pStyle w:val="ListBullet"/>
      </w:pPr>
      <w:r>
        <w:t>s</w:t>
      </w:r>
      <w:r w:rsidR="001A5443">
        <w:t xml:space="preserve">uggested areas for </w:t>
      </w:r>
      <w:r w:rsidR="00A51A8D">
        <w:t>clarification</w:t>
      </w:r>
      <w:r w:rsidR="00B15DAD">
        <w:t>, with</w:t>
      </w:r>
      <w:r w:rsidR="00AA7351">
        <w:t xml:space="preserve"> </w:t>
      </w:r>
      <w:r>
        <w:t>a</w:t>
      </w:r>
      <w:r w:rsidR="00C163E3">
        <w:t xml:space="preserve"> number of submissions request</w:t>
      </w:r>
      <w:r w:rsidR="00B15DAD">
        <w:t>ing</w:t>
      </w:r>
      <w:r w:rsidR="00C163E3">
        <w:t xml:space="preserve"> further clarity </w:t>
      </w:r>
      <w:r w:rsidR="00C507D8">
        <w:t>around</w:t>
      </w:r>
      <w:r w:rsidR="00C163E3">
        <w:t xml:space="preserve"> how certain aspects of the existing framework are to be interpreted and applied. </w:t>
      </w:r>
    </w:p>
    <w:p w14:paraId="4B032BCC" w14:textId="67A473C6" w:rsidR="00BB4777" w:rsidRDefault="00377B02" w:rsidP="00985D32">
      <w:r>
        <w:t xml:space="preserve">A </w:t>
      </w:r>
      <w:r w:rsidR="00C5684D">
        <w:t xml:space="preserve">more detailed </w:t>
      </w:r>
      <w:r>
        <w:t xml:space="preserve">list of suggestions made during the consultation process is included in </w:t>
      </w:r>
      <w:r w:rsidR="00F55C52">
        <w:t>Annex</w:t>
      </w:r>
      <w:r w:rsidR="00190B18">
        <w:t xml:space="preserve"> </w:t>
      </w:r>
      <w:r w:rsidR="00D56443">
        <w:t>C</w:t>
      </w:r>
      <w:r w:rsidRPr="00D75382">
        <w:t>.</w:t>
      </w:r>
      <w:r w:rsidR="004460CF">
        <w:t xml:space="preserve"> </w:t>
      </w:r>
      <w:r w:rsidR="00924768">
        <w:t xml:space="preserve">APRA </w:t>
      </w:r>
      <w:r w:rsidR="00B56A7D">
        <w:t>will</w:t>
      </w:r>
      <w:r w:rsidR="00924768">
        <w:t xml:space="preserve"> </w:t>
      </w:r>
      <w:r w:rsidR="00B56A7D">
        <w:t>consider this</w:t>
      </w:r>
      <w:r w:rsidR="00924768">
        <w:t xml:space="preserve"> feedback</w:t>
      </w:r>
      <w:r w:rsidR="00B56A7D">
        <w:t>, assess the pros</w:t>
      </w:r>
      <w:r w:rsidR="00924768">
        <w:t xml:space="preserve"> and </w:t>
      </w:r>
      <w:r w:rsidR="00B56A7D">
        <w:t>cons of potential changes to requirements,</w:t>
      </w:r>
      <w:r w:rsidR="00924768">
        <w:t xml:space="preserve"> and respond as part of the APS 210 review next year.</w:t>
      </w:r>
    </w:p>
    <w:p w14:paraId="4AF7BFBE" w14:textId="0DAF09E9" w:rsidR="0004280B" w:rsidRDefault="00055220" w:rsidP="00985D32">
      <w:r w:rsidRPr="00055220">
        <w:t xml:space="preserve">During the consultation process, APRA received feedback on the phase out of the CLF. In line with APRA’s letter published in </w:t>
      </w:r>
      <w:r>
        <w:t>September 2021</w:t>
      </w:r>
      <w:r w:rsidRPr="00055220">
        <w:t xml:space="preserve">, </w:t>
      </w:r>
      <w:r w:rsidR="006065D1">
        <w:t>bank</w:t>
      </w:r>
      <w:r>
        <w:t xml:space="preserve"> usage of </w:t>
      </w:r>
      <w:r w:rsidRPr="00055220">
        <w:t xml:space="preserve">the CLF </w:t>
      </w:r>
      <w:r>
        <w:t>is expected to</w:t>
      </w:r>
      <w:r w:rsidRPr="00055220">
        <w:t xml:space="preserve"> be phased out by the end of 2022, given there is now sufficient government debt in the market to count towards banks’ liquid asset requirements.</w:t>
      </w:r>
      <w:r w:rsidR="005277F7">
        <w:rPr>
          <w:rStyle w:val="FootnoteReference"/>
        </w:rPr>
        <w:footnoteReference w:id="20"/>
      </w:r>
      <w:r w:rsidRPr="00055220">
        <w:t xml:space="preserve"> However, the option to establish a facility for future contingency purposes will remain in APS 210</w:t>
      </w:r>
      <w:r w:rsidR="005277F7">
        <w:t>,</w:t>
      </w:r>
      <w:r w:rsidRPr="00055220">
        <w:t xml:space="preserve"> and may be </w:t>
      </w:r>
      <w:r>
        <w:t>reacti</w:t>
      </w:r>
      <w:r w:rsidR="00D325B2">
        <w:t>vated</w:t>
      </w:r>
      <w:r w:rsidRPr="00055220">
        <w:t xml:space="preserve"> where market conditions warrant.</w:t>
      </w:r>
      <w:r w:rsidR="00532FD4">
        <w:t xml:space="preserve"> </w:t>
      </w:r>
    </w:p>
    <w:p w14:paraId="2733F240" w14:textId="7C3F794C" w:rsidR="0099094B" w:rsidRDefault="0099094B">
      <w:pPr>
        <w:pStyle w:val="Heading2"/>
      </w:pPr>
      <w:bookmarkStart w:id="52" w:name="_Toc103687176"/>
      <w:bookmarkStart w:id="53" w:name="_Toc103791301"/>
      <w:bookmarkEnd w:id="47"/>
      <w:r>
        <w:t>Next steps</w:t>
      </w:r>
      <w:bookmarkEnd w:id="52"/>
      <w:bookmarkEnd w:id="53"/>
      <w:r>
        <w:t xml:space="preserve"> </w:t>
      </w:r>
    </w:p>
    <w:p w14:paraId="715127D0" w14:textId="07FD922E" w:rsidR="00986B3C" w:rsidRDefault="00F7477B" w:rsidP="00F230A3">
      <w:r>
        <w:t xml:space="preserve">APRA’s overall assessment is that the LCR and NSFR are operating effectively in achieving the objectives of the reforms, but that there are potential improvements that could be made to improve efficiency. </w:t>
      </w:r>
      <w:r w:rsidR="00F33DCA">
        <w:t xml:space="preserve">Feedback received will be </w:t>
      </w:r>
      <w:r w:rsidR="005655F0">
        <w:t xml:space="preserve">further </w:t>
      </w:r>
      <w:r w:rsidR="00F33DCA">
        <w:t xml:space="preserve">reviewed and </w:t>
      </w:r>
      <w:r w:rsidR="0004280B">
        <w:t>factored into the review of APS 210</w:t>
      </w:r>
      <w:r w:rsidR="00F33DCA">
        <w:t>. APRA intends to release a Discussion Paper and accompanying draft standard in 2023</w:t>
      </w:r>
      <w:r w:rsidR="005931A8">
        <w:t>.</w:t>
      </w:r>
      <w:r w:rsidR="00986B3C">
        <w:t xml:space="preserve"> </w:t>
      </w:r>
      <w:r w:rsidR="0004280B">
        <w:t>The planned</w:t>
      </w:r>
      <w:r w:rsidR="00986B3C">
        <w:t xml:space="preserve"> timeline </w:t>
      </w:r>
      <w:r w:rsidR="0004280B">
        <w:t>for</w:t>
      </w:r>
      <w:r w:rsidR="00986B3C">
        <w:t xml:space="preserve"> the review i</w:t>
      </w:r>
      <w:r w:rsidR="00D56443">
        <w:t>s</w:t>
      </w:r>
      <w:r w:rsidR="00986B3C">
        <w:t xml:space="preserve"> </w:t>
      </w:r>
      <w:r w:rsidR="0004280B">
        <w:t>set out</w:t>
      </w:r>
      <w:r w:rsidR="00986B3C">
        <w:t xml:space="preserve"> below.</w:t>
      </w:r>
    </w:p>
    <w:p w14:paraId="3492F1CA" w14:textId="7FA91714" w:rsidR="007D2D8E" w:rsidRDefault="007D2D8E" w:rsidP="007D2D8E">
      <w:pPr>
        <w:pStyle w:val="Numberedfigureheading"/>
      </w:pPr>
      <w:r>
        <w:t xml:space="preserve">Proposed timeline for APS 210 review </w:t>
      </w:r>
    </w:p>
    <w:p w14:paraId="0A76DF04" w14:textId="387DAC73" w:rsidR="00F33DCA" w:rsidRPr="008426F3" w:rsidRDefault="008426F3" w:rsidP="008426F3">
      <w:pPr>
        <w:jc w:val="center"/>
      </w:pPr>
      <w:r w:rsidRPr="008426F3">
        <w:rPr>
          <w:noProof/>
        </w:rPr>
        <w:drawing>
          <wp:inline distT="0" distB="0" distL="0" distR="0" wp14:anchorId="7CB0D3A7" wp14:editId="0E896232">
            <wp:extent cx="5819109" cy="1476375"/>
            <wp:effectExtent l="0" t="0" r="0" b="0"/>
            <wp:docPr id="9" name="Picture 9" descr="2022: LCR and NSFR post-implementation review, 2023: consultation on changes to APS 210, 2024: finalisation of APS 210, 2025: implementation of updated APS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2022: LCR and NSFR post-implementation review, 2023: consultation on changes to APS 210, 2024: finalisation of APS 210, 2025: implementation of updated APS 210"/>
                    <pic:cNvPicPr/>
                  </pic:nvPicPr>
                  <pic:blipFill>
                    <a:blip r:embed="rId23"/>
                    <a:stretch>
                      <a:fillRect/>
                    </a:stretch>
                  </pic:blipFill>
                  <pic:spPr>
                    <a:xfrm>
                      <a:off x="0" y="0"/>
                      <a:ext cx="5908254" cy="1498992"/>
                    </a:xfrm>
                    <a:prstGeom prst="rect">
                      <a:avLst/>
                    </a:prstGeom>
                  </pic:spPr>
                </pic:pic>
              </a:graphicData>
            </a:graphic>
          </wp:inline>
        </w:drawing>
      </w:r>
    </w:p>
    <w:p w14:paraId="137F4B89" w14:textId="77777777" w:rsidR="00F33DCA" w:rsidRPr="00F230A3" w:rsidRDefault="00F33DCA">
      <w:pPr>
        <w:rPr>
          <w:highlight w:val="yellow"/>
        </w:rPr>
      </w:pPr>
    </w:p>
    <w:p w14:paraId="6EA40FA7" w14:textId="7D57BCD6" w:rsidR="00A04C5C" w:rsidRDefault="00A04C5C">
      <w:pPr>
        <w:numPr>
          <w:ilvl w:val="0"/>
          <w:numId w:val="0"/>
        </w:numPr>
        <w:rPr>
          <w:rFonts w:ascii="DIN OT Medium" w:eastAsiaTheme="majorEastAsia" w:hAnsi="DIN OT Medium" w:cstheme="majorBidi"/>
          <w:bCs/>
          <w:color w:val="012169" w:themeColor="text2"/>
          <w:sz w:val="30"/>
          <w:szCs w:val="26"/>
        </w:rPr>
      </w:pPr>
    </w:p>
    <w:p w14:paraId="26F97334" w14:textId="1E7AD747" w:rsidR="00F366D7" w:rsidRDefault="00856CA1" w:rsidP="00F230A3">
      <w:pPr>
        <w:pStyle w:val="Heading1"/>
      </w:pPr>
      <w:bookmarkStart w:id="54" w:name="_Toc103791302"/>
      <w:r>
        <w:t>A</w:t>
      </w:r>
      <w:r w:rsidR="004831B4">
        <w:t>nnex</w:t>
      </w:r>
      <w:r>
        <w:t xml:space="preserve"> A</w:t>
      </w:r>
      <w:r w:rsidR="00383BD1">
        <w:t xml:space="preserve"> -</w:t>
      </w:r>
      <w:r>
        <w:t xml:space="preserve"> Policy </w:t>
      </w:r>
      <w:r w:rsidR="00792D73">
        <w:t>options</w:t>
      </w:r>
      <w:r w:rsidR="004831B4">
        <w:t xml:space="preserve"> considered</w:t>
      </w:r>
      <w:r w:rsidR="00792D73">
        <w:t xml:space="preserve"> </w:t>
      </w:r>
      <w:bookmarkEnd w:id="54"/>
    </w:p>
    <w:p w14:paraId="4942D72C" w14:textId="62AE6762" w:rsidR="004B020B" w:rsidRPr="00F230A3" w:rsidRDefault="004B020B" w:rsidP="00F230A3">
      <w:pPr>
        <w:pStyle w:val="ListParagraph"/>
        <w:ind w:left="0"/>
      </w:pPr>
      <w:r>
        <w:rPr>
          <w:rStyle w:val="LightCharacterDINOTLight"/>
        </w:rPr>
        <w:t xml:space="preserve">The following tables detail the options considered </w:t>
      </w:r>
      <w:r w:rsidR="006D08DC">
        <w:rPr>
          <w:rStyle w:val="LightCharacterDINOTLight"/>
        </w:rPr>
        <w:t xml:space="preserve">in the RIS </w:t>
      </w:r>
      <w:r>
        <w:rPr>
          <w:rStyle w:val="LightCharacterDINOTLight"/>
        </w:rPr>
        <w:t xml:space="preserve">at the time of implementation. The bolded option in each table </w:t>
      </w:r>
      <w:r w:rsidR="006D08DC">
        <w:rPr>
          <w:rStyle w:val="LightCharacterDINOTLight"/>
        </w:rPr>
        <w:t xml:space="preserve">indicated </w:t>
      </w:r>
      <w:r>
        <w:rPr>
          <w:rStyle w:val="LightCharacterDINOTLight"/>
        </w:rPr>
        <w:t>the chosen option.</w:t>
      </w:r>
    </w:p>
    <w:p w14:paraId="7B26E44F" w14:textId="4CDF5CF8" w:rsidR="002215D7" w:rsidRPr="002215D7" w:rsidRDefault="002215D7" w:rsidP="002215D7">
      <w:pPr>
        <w:pStyle w:val="Numberedtableheading"/>
      </w:pPr>
      <w:r>
        <w:t>LCR</w:t>
      </w:r>
      <w:r w:rsidR="006D08DC">
        <w:t xml:space="preserve"> policy options </w:t>
      </w:r>
    </w:p>
    <w:tbl>
      <w:tblPr>
        <w:tblStyle w:val="TableGrid"/>
        <w:tblW w:w="0" w:type="auto"/>
        <w:tblLook w:val="04A0" w:firstRow="1" w:lastRow="0" w:firstColumn="1" w:lastColumn="0" w:noHBand="0" w:noVBand="1"/>
      </w:tblPr>
      <w:tblGrid>
        <w:gridCol w:w="2127"/>
        <w:gridCol w:w="6899"/>
      </w:tblGrid>
      <w:tr w:rsidR="009E4213" w:rsidRPr="009E4213" w14:paraId="00D53D56" w14:textId="77777777" w:rsidTr="00200C2C">
        <w:trPr>
          <w:cnfStyle w:val="100000000000" w:firstRow="1" w:lastRow="0" w:firstColumn="0" w:lastColumn="0" w:oddVBand="0" w:evenVBand="0" w:oddHBand="0"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2127" w:type="dxa"/>
          </w:tcPr>
          <w:p w14:paraId="678BC978" w14:textId="26767042" w:rsidR="00200C2C" w:rsidRPr="00F230A3" w:rsidRDefault="009E4213" w:rsidP="00200C2C">
            <w:pPr>
              <w:rPr>
                <w:highlight w:val="lightGray"/>
              </w:rPr>
            </w:pPr>
            <w:bookmarkStart w:id="55" w:name="_Toc101686047"/>
            <w:r>
              <w:t>Option</w:t>
            </w:r>
            <w:bookmarkEnd w:id="55"/>
          </w:p>
        </w:tc>
        <w:tc>
          <w:tcPr>
            <w:tcW w:w="6899" w:type="dxa"/>
          </w:tcPr>
          <w:p w14:paraId="78BCDF73" w14:textId="02E9A68C" w:rsidR="00200C2C" w:rsidRPr="00F230A3" w:rsidRDefault="009E4213" w:rsidP="00200C2C">
            <w:pPr>
              <w:cnfStyle w:val="100000000000" w:firstRow="1" w:lastRow="0" w:firstColumn="0" w:lastColumn="0" w:oddVBand="0" w:evenVBand="0" w:oddHBand="0" w:evenHBand="0" w:firstRowFirstColumn="0" w:firstRowLastColumn="0" w:lastRowFirstColumn="0" w:lastRowLastColumn="0"/>
              <w:rPr>
                <w:highlight w:val="lightGray"/>
              </w:rPr>
            </w:pPr>
            <w:r>
              <w:t>Summary</w:t>
            </w:r>
          </w:p>
        </w:tc>
      </w:tr>
      <w:tr w:rsidR="00200C2C" w:rsidRPr="00200C2C" w14:paraId="72D6C0E2" w14:textId="77777777" w:rsidTr="00200C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0F9EB7C7" w14:textId="77777777" w:rsidR="00200C2C" w:rsidRPr="00200C2C" w:rsidRDefault="00200C2C" w:rsidP="00200C2C">
            <w:pPr>
              <w:rPr>
                <w:color w:val="000000"/>
              </w:rPr>
            </w:pPr>
            <w:r w:rsidRPr="00200C2C">
              <w:rPr>
                <w:color w:val="000000"/>
              </w:rPr>
              <w:t>Option 1: maintain APRA’s existing prudential framework</w:t>
            </w:r>
          </w:p>
          <w:p w14:paraId="56FD1539" w14:textId="77777777" w:rsidR="00200C2C" w:rsidRPr="00200C2C" w:rsidRDefault="00200C2C" w:rsidP="00200C2C">
            <w:pPr>
              <w:rPr>
                <w:color w:val="000000"/>
              </w:rPr>
            </w:pPr>
          </w:p>
        </w:tc>
        <w:tc>
          <w:tcPr>
            <w:tcW w:w="6899" w:type="dxa"/>
          </w:tcPr>
          <w:p w14:paraId="46241F6F" w14:textId="2FFE7448" w:rsidR="00200C2C" w:rsidRPr="00200C2C" w:rsidRDefault="00200C2C" w:rsidP="00200C2C">
            <w:pPr>
              <w:cnfStyle w:val="000000100000" w:firstRow="0" w:lastRow="0" w:firstColumn="0" w:lastColumn="0" w:oddVBand="0" w:evenVBand="0" w:oddHBand="1" w:evenHBand="0" w:firstRowFirstColumn="0" w:firstRowLastColumn="0" w:lastRowFirstColumn="0" w:lastRowLastColumn="0"/>
            </w:pPr>
            <w:r w:rsidRPr="00200C2C">
              <w:t xml:space="preserve">The RIS concluded that the effect of maintaining the existing prudential framework would severely limit the resilience of </w:t>
            </w:r>
            <w:r w:rsidR="006D08DC">
              <w:t>banks</w:t>
            </w:r>
            <w:r w:rsidR="006D08DC" w:rsidRPr="00200C2C">
              <w:t xml:space="preserve"> </w:t>
            </w:r>
            <w:r w:rsidRPr="00200C2C">
              <w:t xml:space="preserve">in overcoming liquidity stresses without public sector support, as well as increase funding costs for Australian </w:t>
            </w:r>
            <w:r w:rsidR="006D08DC">
              <w:t>banks</w:t>
            </w:r>
            <w:r w:rsidR="00216DAE">
              <w:t>.</w:t>
            </w:r>
            <w:r w:rsidRPr="00200C2C">
              <w:t xml:space="preserve"> Australian banks </w:t>
            </w:r>
            <w:r w:rsidR="00216DAE">
              <w:t xml:space="preserve">would </w:t>
            </w:r>
            <w:r w:rsidRPr="00200C2C">
              <w:t>fall short of international best practice and be subject to negative market perception; as compared with the full implementation of Basel III liquidity measures.</w:t>
            </w:r>
          </w:p>
        </w:tc>
      </w:tr>
      <w:tr w:rsidR="00200C2C" w:rsidRPr="00200C2C" w14:paraId="2D33DBF5" w14:textId="77777777" w:rsidTr="0050596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33B29CF5" w14:textId="1E0CC351" w:rsidR="00200C2C" w:rsidRPr="00200C2C" w:rsidRDefault="00200C2C" w:rsidP="00200C2C">
            <w:pPr>
              <w:rPr>
                <w:color w:val="000000"/>
              </w:rPr>
            </w:pPr>
            <w:r w:rsidRPr="00200C2C">
              <w:rPr>
                <w:color w:val="000000"/>
              </w:rPr>
              <w:t>Option 2: implement some of the Basel III liquidity measures</w:t>
            </w:r>
          </w:p>
        </w:tc>
        <w:tc>
          <w:tcPr>
            <w:tcW w:w="0" w:type="dxa"/>
          </w:tcPr>
          <w:p w14:paraId="663C2A69" w14:textId="26FD65AC" w:rsidR="00200C2C" w:rsidRPr="00200C2C" w:rsidRDefault="00200C2C" w:rsidP="00200C2C">
            <w:pPr>
              <w:cnfStyle w:val="000000010000" w:firstRow="0" w:lastRow="0" w:firstColumn="0" w:lastColumn="0" w:oddVBand="0" w:evenVBand="0" w:oddHBand="0" w:evenHBand="1" w:firstRowFirstColumn="0" w:firstRowLastColumn="0" w:lastRowFirstColumn="0" w:lastRowLastColumn="0"/>
            </w:pPr>
            <w:r w:rsidRPr="00200C2C">
              <w:t xml:space="preserve">The RIS concluded that a partial implementation of Basel III liquidity, such as implementing an LCR that allows for a lower compliance threshold for </w:t>
            </w:r>
            <w:r w:rsidR="006D08DC">
              <w:t>high quality liquid asset</w:t>
            </w:r>
            <w:r w:rsidR="006D08DC" w:rsidRPr="00200C2C">
              <w:t xml:space="preserve"> </w:t>
            </w:r>
            <w:r w:rsidRPr="00200C2C">
              <w:t xml:space="preserve">eligibility, would not materially benefit </w:t>
            </w:r>
            <w:r w:rsidR="006D08DC">
              <w:t>banks</w:t>
            </w:r>
            <w:r w:rsidRPr="00200C2C">
              <w:t>, with any regulatory cost benefits offset by higher funding costs</w:t>
            </w:r>
            <w:r w:rsidR="00857492">
              <w:t>.</w:t>
            </w:r>
          </w:p>
        </w:tc>
      </w:tr>
      <w:tr w:rsidR="00200C2C" w:rsidRPr="00200C2C" w14:paraId="605A9E10" w14:textId="77777777" w:rsidTr="007D2D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7F9619EF" w14:textId="6E97717A" w:rsidR="00200C2C" w:rsidRPr="00212875" w:rsidRDefault="00200C2C" w:rsidP="00200C2C">
            <w:pPr>
              <w:rPr>
                <w:b/>
                <w:color w:val="000000"/>
              </w:rPr>
            </w:pPr>
            <w:r w:rsidRPr="00F230A3">
              <w:rPr>
                <w:b/>
              </w:rPr>
              <w:t>Option 3: fully implement the Basel III liquidity framework</w:t>
            </w:r>
          </w:p>
        </w:tc>
        <w:tc>
          <w:tcPr>
            <w:tcW w:w="0" w:type="dxa"/>
          </w:tcPr>
          <w:p w14:paraId="3C6DEE45" w14:textId="4FBFADFF" w:rsidR="00200C2C" w:rsidRPr="00200C2C" w:rsidRDefault="00200C2C" w:rsidP="00200C2C">
            <w:pPr>
              <w:cnfStyle w:val="000000100000" w:firstRow="0" w:lastRow="0" w:firstColumn="0" w:lastColumn="0" w:oddVBand="0" w:evenVBand="0" w:oddHBand="1" w:evenHBand="0" w:firstRowFirstColumn="0" w:firstRowLastColumn="0" w:lastRowFirstColumn="0" w:lastRowLastColumn="0"/>
            </w:pPr>
            <w:r w:rsidRPr="00200C2C">
              <w:t xml:space="preserve">The RIS concluded that a full implementation of Basel III liquidity is consistent with the capabilities and needs of the Australian banking system, and that </w:t>
            </w:r>
            <w:r w:rsidR="006D08DC">
              <w:t>banks</w:t>
            </w:r>
            <w:r w:rsidR="006D08DC" w:rsidRPr="00200C2C">
              <w:t xml:space="preserve"> </w:t>
            </w:r>
            <w:r w:rsidR="00216DAE">
              <w:t>we</w:t>
            </w:r>
            <w:r w:rsidRPr="00200C2C">
              <w:t>re well placed to meet the minimum requirements of the Basel III liquidity standard.</w:t>
            </w:r>
          </w:p>
        </w:tc>
      </w:tr>
    </w:tbl>
    <w:p w14:paraId="338FBAB5" w14:textId="77777777" w:rsidR="006D08DC" w:rsidRDefault="006D08DC" w:rsidP="00D36724">
      <w:pPr>
        <w:rPr>
          <w:highlight w:val="lightGray"/>
        </w:rPr>
      </w:pPr>
    </w:p>
    <w:p w14:paraId="0F6EB338" w14:textId="10E1F13E" w:rsidR="00200C2C" w:rsidRPr="003D6681" w:rsidRDefault="004B020B" w:rsidP="003D6681">
      <w:pPr>
        <w:pStyle w:val="Numberedtableheading"/>
      </w:pPr>
      <w:r w:rsidRPr="00FB2E87">
        <w:t>NSFR</w:t>
      </w:r>
      <w:r w:rsidR="006D08DC">
        <w:t xml:space="preserve"> policy options </w:t>
      </w:r>
    </w:p>
    <w:tbl>
      <w:tblPr>
        <w:tblStyle w:val="TableGrid"/>
        <w:tblW w:w="0" w:type="auto"/>
        <w:tblLook w:val="04A0" w:firstRow="1" w:lastRow="0" w:firstColumn="1" w:lastColumn="0" w:noHBand="0" w:noVBand="1"/>
      </w:tblPr>
      <w:tblGrid>
        <w:gridCol w:w="2127"/>
        <w:gridCol w:w="6899"/>
      </w:tblGrid>
      <w:tr w:rsidR="009E4213" w:rsidRPr="009E4213" w14:paraId="465AA490" w14:textId="77777777" w:rsidTr="00200C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24DE11EF" w14:textId="577E3C30" w:rsidR="009E4213" w:rsidRPr="00F230A3" w:rsidRDefault="009E4213" w:rsidP="009E4213">
            <w:pPr>
              <w:rPr>
                <w:b/>
                <w:sz w:val="48"/>
                <w:szCs w:val="28"/>
                <w:highlight w:val="lightGray"/>
              </w:rPr>
            </w:pPr>
            <w:bookmarkStart w:id="56" w:name="_Toc101686048"/>
            <w:r>
              <w:t>Option</w:t>
            </w:r>
            <w:bookmarkEnd w:id="56"/>
          </w:p>
        </w:tc>
        <w:tc>
          <w:tcPr>
            <w:tcW w:w="6899" w:type="dxa"/>
          </w:tcPr>
          <w:p w14:paraId="7662C634" w14:textId="358196C5" w:rsidR="009E4213" w:rsidRPr="00F230A3" w:rsidRDefault="009E4213" w:rsidP="009E4213">
            <w:pPr>
              <w:cnfStyle w:val="100000000000" w:firstRow="1" w:lastRow="0" w:firstColumn="0" w:lastColumn="0" w:oddVBand="0" w:evenVBand="0" w:oddHBand="0" w:evenHBand="0" w:firstRowFirstColumn="0" w:firstRowLastColumn="0" w:lastRowFirstColumn="0" w:lastRowLastColumn="0"/>
              <w:rPr>
                <w:highlight w:val="lightGray"/>
              </w:rPr>
            </w:pPr>
            <w:r>
              <w:t>Summary</w:t>
            </w:r>
          </w:p>
        </w:tc>
      </w:tr>
      <w:tr w:rsidR="00200C2C" w:rsidRPr="00200C2C" w14:paraId="6B03E063" w14:textId="77777777" w:rsidTr="00200C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1E6802E7" w14:textId="77777777" w:rsidR="00200C2C" w:rsidRPr="00200C2C" w:rsidRDefault="00200C2C" w:rsidP="00200C2C">
            <w:pPr>
              <w:rPr>
                <w:color w:val="000000"/>
              </w:rPr>
            </w:pPr>
            <w:r w:rsidRPr="00200C2C">
              <w:rPr>
                <w:color w:val="000000"/>
              </w:rPr>
              <w:t xml:space="preserve">Status-quo option: Non-implementation of the NSFR </w:t>
            </w:r>
          </w:p>
          <w:p w14:paraId="1744228D" w14:textId="77777777" w:rsidR="00200C2C" w:rsidRPr="00200C2C" w:rsidRDefault="00200C2C" w:rsidP="00200C2C">
            <w:pPr>
              <w:rPr>
                <w:color w:val="000000"/>
              </w:rPr>
            </w:pPr>
          </w:p>
        </w:tc>
        <w:tc>
          <w:tcPr>
            <w:tcW w:w="6899" w:type="dxa"/>
          </w:tcPr>
          <w:p w14:paraId="2BEE2B67" w14:textId="77777777" w:rsidR="00200C2C" w:rsidRPr="00200C2C" w:rsidRDefault="00200C2C" w:rsidP="00200C2C">
            <w:pPr>
              <w:cnfStyle w:val="000000100000" w:firstRow="0" w:lastRow="0" w:firstColumn="0" w:lastColumn="0" w:oddVBand="0" w:evenVBand="0" w:oddHBand="1" w:evenHBand="0" w:firstRowFirstColumn="0" w:firstRowLastColumn="0" w:lastRowFirstColumn="0" w:lastRowLastColumn="0"/>
            </w:pPr>
            <w:r w:rsidRPr="00200C2C">
              <w:t>The RIS concluded that non-implementation of the NSFR was not a viable option given the commitment of reforms by all the G20 governments, the high costs to Australian financial institutions of complying with the requirements of multiple foreign jurisdictions that would otherwise apply, as well as the risk to market fragmentation and reduced access to global markets in the absence of the requirement.</w:t>
            </w:r>
          </w:p>
        </w:tc>
      </w:tr>
      <w:tr w:rsidR="00200C2C" w:rsidRPr="00200C2C" w14:paraId="26D04F79" w14:textId="77777777" w:rsidTr="00200C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0EC42B3B" w14:textId="623250B9" w:rsidR="00200C2C" w:rsidRPr="00F230A3" w:rsidRDefault="00200C2C" w:rsidP="00200C2C">
            <w:pPr>
              <w:rPr>
                <w:b/>
                <w:color w:val="000000"/>
              </w:rPr>
            </w:pPr>
            <w:r w:rsidRPr="00F230A3">
              <w:rPr>
                <w:b/>
              </w:rPr>
              <w:t xml:space="preserve">Option 1: apply the NSFR to larger </w:t>
            </w:r>
            <w:r w:rsidR="00DF5EFF">
              <w:rPr>
                <w:b/>
              </w:rPr>
              <w:t>banks</w:t>
            </w:r>
            <w:r w:rsidRPr="00F230A3">
              <w:rPr>
                <w:b/>
              </w:rPr>
              <w:t>, consistent with the Basel framework</w:t>
            </w:r>
          </w:p>
        </w:tc>
        <w:tc>
          <w:tcPr>
            <w:tcW w:w="6899" w:type="dxa"/>
          </w:tcPr>
          <w:p w14:paraId="16BB3441" w14:textId="7E905323" w:rsidR="00200C2C" w:rsidRPr="00200C2C" w:rsidRDefault="00200C2C" w:rsidP="00200C2C">
            <w:pPr>
              <w:cnfStyle w:val="000000010000" w:firstRow="0" w:lastRow="0" w:firstColumn="0" w:lastColumn="0" w:oddVBand="0" w:evenVBand="0" w:oddHBand="0" w:evenHBand="1" w:firstRowFirstColumn="0" w:firstRowLastColumn="0" w:lastRowFirstColumn="0" w:lastRowLastColumn="0"/>
            </w:pPr>
            <w:r w:rsidRPr="00200C2C">
              <w:t xml:space="preserve">The RIS concluded this as the preferred option: to apply the NSFR to the locally incorporated </w:t>
            </w:r>
            <w:r w:rsidR="00DF5EFF">
              <w:t>banks</w:t>
            </w:r>
            <w:r w:rsidR="00DF5EFF" w:rsidRPr="00200C2C">
              <w:t xml:space="preserve"> </w:t>
            </w:r>
            <w:r w:rsidRPr="00200C2C">
              <w:t xml:space="preserve">that use the LCR to determine their short-term liquidity requirement. These </w:t>
            </w:r>
            <w:r w:rsidR="006065D1">
              <w:t>banks</w:t>
            </w:r>
            <w:r w:rsidRPr="00200C2C">
              <w:t xml:space="preserve"> have comparatively more complex operations and generally access international capital markets to fund a portion of their funding requirements.</w:t>
            </w:r>
          </w:p>
        </w:tc>
      </w:tr>
      <w:tr w:rsidR="00200C2C" w:rsidRPr="00200C2C" w14:paraId="07E6EECE" w14:textId="77777777" w:rsidTr="00200C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20858EBB" w14:textId="274079AE" w:rsidR="00200C2C" w:rsidRPr="00200C2C" w:rsidRDefault="00200C2C" w:rsidP="00200C2C">
            <w:pPr>
              <w:rPr>
                <w:color w:val="000000"/>
              </w:rPr>
            </w:pPr>
            <w:r w:rsidRPr="00200C2C">
              <w:rPr>
                <w:color w:val="000000"/>
              </w:rPr>
              <w:t xml:space="preserve">Option </w:t>
            </w:r>
            <w:r w:rsidR="00F12A28">
              <w:rPr>
                <w:color w:val="000000"/>
              </w:rPr>
              <w:t>2</w:t>
            </w:r>
            <w:r w:rsidRPr="00200C2C">
              <w:rPr>
                <w:color w:val="000000"/>
              </w:rPr>
              <w:t xml:space="preserve">: apply the NSFR to all locally incorporated </w:t>
            </w:r>
            <w:r w:rsidR="00DF5EFF">
              <w:rPr>
                <w:color w:val="000000"/>
              </w:rPr>
              <w:t>banks</w:t>
            </w:r>
          </w:p>
          <w:p w14:paraId="3EC15122" w14:textId="77777777" w:rsidR="00200C2C" w:rsidRPr="00200C2C" w:rsidRDefault="00200C2C" w:rsidP="00200C2C">
            <w:pPr>
              <w:rPr>
                <w:color w:val="000000"/>
              </w:rPr>
            </w:pPr>
          </w:p>
        </w:tc>
        <w:tc>
          <w:tcPr>
            <w:tcW w:w="6899" w:type="dxa"/>
          </w:tcPr>
          <w:p w14:paraId="19525DD8" w14:textId="01D26FD0" w:rsidR="00200C2C" w:rsidRPr="00200C2C" w:rsidRDefault="00200C2C" w:rsidP="00200C2C">
            <w:pPr>
              <w:cnfStyle w:val="000000100000" w:firstRow="0" w:lastRow="0" w:firstColumn="0" w:lastColumn="0" w:oddVBand="0" w:evenVBand="0" w:oddHBand="1" w:evenHBand="0" w:firstRowFirstColumn="0" w:firstRowLastColumn="0" w:lastRowFirstColumn="0" w:lastRowLastColumn="0"/>
            </w:pPr>
            <w:r w:rsidRPr="00200C2C">
              <w:t xml:space="preserve">The RIS concluded this option would result in a net cost on an industry-wide basis, with a moderate to material cost for individual smaller, less complex </w:t>
            </w:r>
            <w:r w:rsidR="00DF5EFF">
              <w:t>banks</w:t>
            </w:r>
            <w:r w:rsidRPr="00200C2C">
              <w:t xml:space="preserve">. These </w:t>
            </w:r>
            <w:r w:rsidR="00DF5EFF">
              <w:t>banks</w:t>
            </w:r>
            <w:r w:rsidR="00DF5EFF" w:rsidRPr="00200C2C">
              <w:t xml:space="preserve"> </w:t>
            </w:r>
            <w:r w:rsidRPr="00200C2C">
              <w:t>would be forced to bear the costs of implementation but without any further material benefits, given their funding profiles would generally already be aligned with the funding stability objectives of the NSFR</w:t>
            </w:r>
            <w:r w:rsidR="006065D1">
              <w:t>.</w:t>
            </w:r>
          </w:p>
        </w:tc>
      </w:tr>
    </w:tbl>
    <w:p w14:paraId="4A4BE2A1" w14:textId="362DB4CC" w:rsidR="000C00C8" w:rsidRDefault="006E1E4E" w:rsidP="00D75382">
      <w:pPr>
        <w:pStyle w:val="Heading1"/>
        <w:tabs>
          <w:tab w:val="left" w:pos="1013"/>
        </w:tabs>
      </w:pPr>
      <w:bookmarkStart w:id="57" w:name="_Toc103791303"/>
      <w:r>
        <w:t>A</w:t>
      </w:r>
      <w:r w:rsidR="001251ED">
        <w:t>n</w:t>
      </w:r>
      <w:r w:rsidR="004831B4">
        <w:t>nex</w:t>
      </w:r>
      <w:r>
        <w:t xml:space="preserve"> </w:t>
      </w:r>
      <w:r w:rsidR="001251ED">
        <w:t>B</w:t>
      </w:r>
      <w:r w:rsidR="00383BD1">
        <w:t xml:space="preserve"> -</w:t>
      </w:r>
      <w:r>
        <w:t xml:space="preserve"> Regulatory cost</w:t>
      </w:r>
      <w:r w:rsidR="004831B4">
        <w:t xml:space="preserve">ing </w:t>
      </w:r>
      <w:r w:rsidR="00F55C52">
        <w:t>analysis</w:t>
      </w:r>
      <w:r>
        <w:t xml:space="preserve"> </w:t>
      </w:r>
      <w:bookmarkEnd w:id="57"/>
    </w:p>
    <w:p w14:paraId="003992DC" w14:textId="6BA6B7C7" w:rsidR="00C71F22" w:rsidRDefault="007B3031" w:rsidP="002B6DE8">
      <w:r>
        <w:t xml:space="preserve">This annex </w:t>
      </w:r>
      <w:r w:rsidR="00E76B01">
        <w:t>assesses</w:t>
      </w:r>
      <w:r>
        <w:t xml:space="preserve"> the regulatory compliance costs</w:t>
      </w:r>
      <w:r w:rsidR="00E76B01" w:rsidRPr="00E76B01">
        <w:t xml:space="preserve"> </w:t>
      </w:r>
      <w:r w:rsidR="00E76B01">
        <w:t>incurred in implementing the LCR and NSFR</w:t>
      </w:r>
      <w:r>
        <w:t xml:space="preserve">, which are part of the overall compliance costs outlined in </w:t>
      </w:r>
      <w:r w:rsidR="00826B74">
        <w:t>C</w:t>
      </w:r>
      <w:r>
        <w:t>hapter 2.</w:t>
      </w:r>
    </w:p>
    <w:p w14:paraId="4375B5B2" w14:textId="3F2A84A1" w:rsidR="002B6DE8" w:rsidRDefault="007B3031" w:rsidP="00510E5C">
      <w:pPr>
        <w:numPr>
          <w:ilvl w:val="0"/>
          <w:numId w:val="0"/>
        </w:numPr>
      </w:pPr>
      <w:r>
        <w:t>The</w:t>
      </w:r>
      <w:r w:rsidR="00614861">
        <w:t xml:space="preserve"> </w:t>
      </w:r>
      <w:r w:rsidR="006A6BB2">
        <w:t xml:space="preserve">regulatory compliance </w:t>
      </w:r>
      <w:r w:rsidR="00614861">
        <w:t xml:space="preserve">costs </w:t>
      </w:r>
      <w:r>
        <w:t>reflect the</w:t>
      </w:r>
      <w:r w:rsidR="00614861">
        <w:t xml:space="preserve"> </w:t>
      </w:r>
      <w:r>
        <w:t xml:space="preserve">specific </w:t>
      </w:r>
      <w:r w:rsidR="002B6DE8">
        <w:t xml:space="preserve">additional </w:t>
      </w:r>
      <w:r w:rsidR="00614861">
        <w:t xml:space="preserve">cost of implementing </w:t>
      </w:r>
      <w:r>
        <w:t>APS 210</w:t>
      </w:r>
      <w:r w:rsidR="002B6DE8">
        <w:t xml:space="preserve"> </w:t>
      </w:r>
      <w:r>
        <w:t>over and above the implementation cost of</w:t>
      </w:r>
      <w:r w:rsidR="002B6DE8">
        <w:t xml:space="preserve"> the Basel III </w:t>
      </w:r>
      <w:r>
        <w:t>reforms</w:t>
      </w:r>
      <w:r w:rsidR="00614861">
        <w:t>.</w:t>
      </w:r>
      <w:r>
        <w:t xml:space="preserve"> This </w:t>
      </w:r>
      <w:r w:rsidR="00E76B01">
        <w:t xml:space="preserve">identifies the specific regulatory cost of APRA regulatory adjustments for Australian </w:t>
      </w:r>
      <w:r w:rsidR="00552F03">
        <w:t>banks</w:t>
      </w:r>
      <w:r w:rsidR="00E76B01">
        <w:t>, rather than the implementation costs</w:t>
      </w:r>
      <w:bookmarkStart w:id="58" w:name="_Hlk103852067"/>
      <w:r w:rsidR="002B6DE8">
        <w:t xml:space="preserve"> for the </w:t>
      </w:r>
      <w:r w:rsidR="00E76B01">
        <w:t>Basel III reforms overall.</w:t>
      </w:r>
      <w:r w:rsidR="002B6DE8">
        <w:t xml:space="preserve"> Banks are considered to need to meet international requirements as part of business-as-usual costs, given the international linkages of financial systems</w:t>
      </w:r>
      <w:r w:rsidR="00A44F8D">
        <w:t xml:space="preserve"> and Australia’s G20 commitment to implement </w:t>
      </w:r>
      <w:r w:rsidR="00061B5C">
        <w:t xml:space="preserve">the </w:t>
      </w:r>
      <w:r w:rsidR="00A44F8D">
        <w:t>Basel reforms</w:t>
      </w:r>
      <w:r w:rsidR="002B6DE8">
        <w:t>.</w:t>
      </w:r>
      <w:r w:rsidR="000E4A25">
        <w:rPr>
          <w:rStyle w:val="FootnoteReference"/>
        </w:rPr>
        <w:footnoteReference w:id="21"/>
      </w:r>
      <w:r w:rsidR="000E4A25">
        <w:t xml:space="preserve"> </w:t>
      </w:r>
      <w:r w:rsidR="002B6DE8">
        <w:t xml:space="preserve"> </w:t>
      </w:r>
    </w:p>
    <w:bookmarkEnd w:id="58"/>
    <w:p w14:paraId="180BDD10" w14:textId="6EA98141" w:rsidR="00614861" w:rsidRDefault="008A7D97" w:rsidP="004026E1">
      <w:r>
        <w:t>APRA has made the following k</w:t>
      </w:r>
      <w:r w:rsidR="00614861">
        <w:t>ey assumption</w:t>
      </w:r>
      <w:r w:rsidR="00C71F22">
        <w:t>s</w:t>
      </w:r>
      <w:r w:rsidR="007704EB">
        <w:t xml:space="preserve"> in </w:t>
      </w:r>
      <w:r w:rsidR="008B5CE2">
        <w:t xml:space="preserve">undertaking </w:t>
      </w:r>
      <w:r w:rsidR="007704EB">
        <w:t>the regulatory costing analysis:</w:t>
      </w:r>
    </w:p>
    <w:p w14:paraId="23274A8F" w14:textId="20FC4FF3" w:rsidR="003D3799" w:rsidRDefault="00E13049">
      <w:pPr>
        <w:pStyle w:val="ListBullet"/>
      </w:pPr>
      <w:r>
        <w:t>a</w:t>
      </w:r>
      <w:r w:rsidR="00A44F8D">
        <w:t xml:space="preserve">s part of updating the analysis on </w:t>
      </w:r>
      <w:r w:rsidR="00C71F22">
        <w:t>regulatory</w:t>
      </w:r>
      <w:r w:rsidR="00A44F8D">
        <w:t xml:space="preserve"> costs for </w:t>
      </w:r>
      <w:r w:rsidR="00C71F22">
        <w:t>this PIR</w:t>
      </w:r>
      <w:r w:rsidR="00A44F8D">
        <w:t xml:space="preserve">, APRA has </w:t>
      </w:r>
      <w:r w:rsidR="00F3797B">
        <w:t>assumed that</w:t>
      </w:r>
      <w:r w:rsidR="008A7D97">
        <w:t xml:space="preserve"> 90 per cent </w:t>
      </w:r>
      <w:r w:rsidR="00F3797B">
        <w:t xml:space="preserve">of </w:t>
      </w:r>
      <w:r w:rsidR="00C71F22">
        <w:t xml:space="preserve">the total compliance </w:t>
      </w:r>
      <w:r w:rsidR="00F3797B">
        <w:t xml:space="preserve">costs </w:t>
      </w:r>
      <w:r w:rsidR="008A7D97">
        <w:t>relat</w:t>
      </w:r>
      <w:r w:rsidR="00F3797B">
        <w:t>ed</w:t>
      </w:r>
      <w:r w:rsidR="008A7D97">
        <w:t xml:space="preserve"> to the implementation of </w:t>
      </w:r>
      <w:r w:rsidR="00C71F22">
        <w:t xml:space="preserve">the </w:t>
      </w:r>
      <w:r w:rsidR="008A7D97">
        <w:t xml:space="preserve">Basel III </w:t>
      </w:r>
      <w:r w:rsidR="00C71F22">
        <w:t>reforms</w:t>
      </w:r>
      <w:r w:rsidR="008A7D97">
        <w:t xml:space="preserve"> or would have been incurred in the absence of the reforms</w:t>
      </w:r>
      <w:r w:rsidR="003D3799">
        <w:t xml:space="preserve"> as banks made their own decisions to improve risk management and resilience</w:t>
      </w:r>
      <w:r>
        <w:t>;</w:t>
      </w:r>
    </w:p>
    <w:p w14:paraId="36D43F40" w14:textId="6F4816EB" w:rsidR="00614861" w:rsidRDefault="003D3799">
      <w:pPr>
        <w:pStyle w:val="ListBullet"/>
      </w:pPr>
      <w:r>
        <w:t>APRA has assumed that</w:t>
      </w:r>
      <w:r w:rsidR="00F3797B">
        <w:t xml:space="preserve"> 10 per cent of the total </w:t>
      </w:r>
      <w:r>
        <w:t xml:space="preserve">compliance </w:t>
      </w:r>
      <w:r w:rsidR="00F3797B">
        <w:t>cost</w:t>
      </w:r>
      <w:r>
        <w:t>s are</w:t>
      </w:r>
      <w:r w:rsidR="00F3797B">
        <w:t xml:space="preserve"> attributable to </w:t>
      </w:r>
      <w:r>
        <w:t>APS 210</w:t>
      </w:r>
      <w:r w:rsidR="00614861">
        <w:t xml:space="preserve"> implementation</w:t>
      </w:r>
      <w:r w:rsidR="008A7D97">
        <w:t xml:space="preserve"> </w:t>
      </w:r>
      <w:r>
        <w:t xml:space="preserve">and reflect Australian adjustments over and above the Basel </w:t>
      </w:r>
      <w:r w:rsidR="008A7D97">
        <w:t>reforms</w:t>
      </w:r>
      <w:r w:rsidR="00F3797B">
        <w:t xml:space="preserve">. This 10 per cent assumption is based on </w:t>
      </w:r>
      <w:r w:rsidR="00614861">
        <w:t>APRA’s implementation</w:t>
      </w:r>
      <w:r w:rsidR="008A7D97">
        <w:t xml:space="preserve"> </w:t>
      </w:r>
      <w:r w:rsidR="00F3797B">
        <w:t>being</w:t>
      </w:r>
      <w:r w:rsidR="00614861">
        <w:t xml:space="preserve"> largely in line with the international approach, with most differences in the technical detail</w:t>
      </w:r>
      <w:r>
        <w:t xml:space="preserve"> which are unlikely to lead</w:t>
      </w:r>
      <w:r w:rsidR="00614861">
        <w:t xml:space="preserve"> to material </w:t>
      </w:r>
      <w:r>
        <w:t xml:space="preserve">additional </w:t>
      </w:r>
      <w:r w:rsidR="00614861">
        <w:t>compliance costs</w:t>
      </w:r>
      <w:r w:rsidR="00E13049">
        <w:t xml:space="preserve">; and </w:t>
      </w:r>
      <w:r w:rsidR="00614861">
        <w:t xml:space="preserve"> </w:t>
      </w:r>
    </w:p>
    <w:p w14:paraId="665640F5" w14:textId="4917A062" w:rsidR="004F1A44" w:rsidRPr="00AC2EB4" w:rsidRDefault="00E13049">
      <w:pPr>
        <w:pStyle w:val="ListBullet"/>
      </w:pPr>
      <w:r>
        <w:t>t</w:t>
      </w:r>
      <w:r w:rsidR="00C37830">
        <w:t>o derive an industry-</w:t>
      </w:r>
      <w:r w:rsidR="00F55C52">
        <w:t>level</w:t>
      </w:r>
      <w:r w:rsidR="00C37830">
        <w:t xml:space="preserve"> figure, the cost </w:t>
      </w:r>
      <w:r w:rsidR="00D532D9">
        <w:t>for non-major banks has</w:t>
      </w:r>
      <w:r w:rsidR="00C37830">
        <w:t xml:space="preserve"> been proportionately scaled up </w:t>
      </w:r>
      <w:r w:rsidR="00176632">
        <w:t xml:space="preserve">from </w:t>
      </w:r>
      <w:r w:rsidR="00552F03">
        <w:t xml:space="preserve">estimates included within the original RIS, </w:t>
      </w:r>
      <w:r w:rsidR="00C37830">
        <w:t>in line with the difference between estimates and actual costs for a major bank.</w:t>
      </w:r>
      <w:r w:rsidR="00BB2C84">
        <w:t xml:space="preserve"> </w:t>
      </w:r>
    </w:p>
    <w:p w14:paraId="078B4721" w14:textId="440CAC27" w:rsidR="00614861" w:rsidRDefault="00A44F8D" w:rsidP="00614861">
      <w:pPr>
        <w:numPr>
          <w:ilvl w:val="0"/>
          <w:numId w:val="0"/>
        </w:numPr>
      </w:pPr>
      <w:r>
        <w:t>The updated regulatory cost across both the LCR and NSFR</w:t>
      </w:r>
      <w:r w:rsidR="004F1A44">
        <w:t xml:space="preserve"> on an industry basis</w:t>
      </w:r>
      <w:r>
        <w:t xml:space="preserve"> based on </w:t>
      </w:r>
      <w:r w:rsidR="00566AFB">
        <w:t>th</w:t>
      </w:r>
      <w:r w:rsidR="00EB5634">
        <w:t>ese</w:t>
      </w:r>
      <w:r w:rsidR="00D532D9">
        <w:t xml:space="preserve"> </w:t>
      </w:r>
      <w:r>
        <w:t>assumption</w:t>
      </w:r>
      <w:r w:rsidR="00EB5634">
        <w:t>s</w:t>
      </w:r>
      <w:r w:rsidR="001A1717">
        <w:t xml:space="preserve"> is </w:t>
      </w:r>
      <w:r>
        <w:t>provide</w:t>
      </w:r>
      <w:r w:rsidR="001A1717">
        <w:t xml:space="preserve">d in the table below. </w:t>
      </w:r>
    </w:p>
    <w:p w14:paraId="5580171D" w14:textId="37F3E9D8" w:rsidR="003D6681" w:rsidRPr="003D6681" w:rsidRDefault="003D6681" w:rsidP="003D6681">
      <w:pPr>
        <w:pStyle w:val="Numberedtableheading"/>
      </w:pPr>
      <w:r>
        <w:t xml:space="preserve">Regulatory costs </w:t>
      </w:r>
    </w:p>
    <w:tbl>
      <w:tblPr>
        <w:tblStyle w:val="TableGrid"/>
        <w:tblW w:w="0" w:type="auto"/>
        <w:tblLook w:val="04A0" w:firstRow="1" w:lastRow="0" w:firstColumn="1" w:lastColumn="0" w:noHBand="0" w:noVBand="1"/>
      </w:tblPr>
      <w:tblGrid>
        <w:gridCol w:w="1785"/>
        <w:gridCol w:w="1834"/>
        <w:gridCol w:w="1967"/>
        <w:gridCol w:w="1880"/>
        <w:gridCol w:w="1560"/>
      </w:tblGrid>
      <w:tr w:rsidR="000C23AB" w14:paraId="3D898673" w14:textId="6F094676" w:rsidTr="006525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66" w:type="dxa"/>
            <w:gridSpan w:val="4"/>
          </w:tcPr>
          <w:p w14:paraId="19CF374F" w14:textId="2AD23766" w:rsidR="000C23AB" w:rsidRDefault="000C23AB" w:rsidP="00614861">
            <w:pPr>
              <w:numPr>
                <w:ilvl w:val="0"/>
                <w:numId w:val="0"/>
              </w:numPr>
            </w:pPr>
            <w:r>
              <w:t xml:space="preserve">Annual regulatory costs, averaged over 10 years </w:t>
            </w:r>
          </w:p>
        </w:tc>
        <w:tc>
          <w:tcPr>
            <w:tcW w:w="1560" w:type="dxa"/>
          </w:tcPr>
          <w:p w14:paraId="51E10458" w14:textId="77777777" w:rsidR="000C23AB" w:rsidRDefault="000C23AB" w:rsidP="00614861">
            <w:pPr>
              <w:numPr>
                <w:ilvl w:val="0"/>
                <w:numId w:val="0"/>
              </w:numPr>
              <w:cnfStyle w:val="100000000000" w:firstRow="1" w:lastRow="0" w:firstColumn="0" w:lastColumn="0" w:oddVBand="0" w:evenVBand="0" w:oddHBand="0" w:evenHBand="0" w:firstRowFirstColumn="0" w:firstRowLastColumn="0" w:lastRowFirstColumn="0" w:lastRowLastColumn="0"/>
            </w:pPr>
          </w:p>
        </w:tc>
      </w:tr>
      <w:tr w:rsidR="000C23AB" w14:paraId="13D9BD14" w14:textId="4A05E3EE" w:rsidTr="00652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dxa"/>
          </w:tcPr>
          <w:p w14:paraId="5FF7BED2" w14:textId="3C36A2AA" w:rsidR="000C23AB" w:rsidRDefault="000C23AB" w:rsidP="00614861">
            <w:pPr>
              <w:numPr>
                <w:ilvl w:val="0"/>
                <w:numId w:val="0"/>
              </w:numPr>
            </w:pPr>
            <w:r>
              <w:t>Change in costs ($m)</w:t>
            </w:r>
          </w:p>
        </w:tc>
        <w:tc>
          <w:tcPr>
            <w:tcW w:w="1834" w:type="dxa"/>
          </w:tcPr>
          <w:p w14:paraId="3E605E59" w14:textId="7710C76E" w:rsidR="000C23AB" w:rsidRDefault="000C23AB" w:rsidP="00614861">
            <w:pPr>
              <w:numPr>
                <w:ilvl w:val="0"/>
                <w:numId w:val="0"/>
              </w:numPr>
              <w:cnfStyle w:val="000000100000" w:firstRow="0" w:lastRow="0" w:firstColumn="0" w:lastColumn="0" w:oddVBand="0" w:evenVBand="0" w:oddHBand="1" w:evenHBand="0" w:firstRowFirstColumn="0" w:firstRowLastColumn="0" w:lastRowFirstColumn="0" w:lastRowLastColumn="0"/>
            </w:pPr>
            <w:r>
              <w:t>Business</w:t>
            </w:r>
          </w:p>
        </w:tc>
        <w:tc>
          <w:tcPr>
            <w:tcW w:w="1967" w:type="dxa"/>
          </w:tcPr>
          <w:p w14:paraId="121050EE" w14:textId="045D88DF" w:rsidR="000C23AB" w:rsidRDefault="000C23AB" w:rsidP="00614861">
            <w:pPr>
              <w:numPr>
                <w:ilvl w:val="0"/>
                <w:numId w:val="0"/>
              </w:numPr>
              <w:cnfStyle w:val="000000100000" w:firstRow="0" w:lastRow="0" w:firstColumn="0" w:lastColumn="0" w:oddVBand="0" w:evenVBand="0" w:oddHBand="1" w:evenHBand="0" w:firstRowFirstColumn="0" w:firstRowLastColumn="0" w:lastRowFirstColumn="0" w:lastRowLastColumn="0"/>
            </w:pPr>
            <w:r>
              <w:t>Community organisations</w:t>
            </w:r>
          </w:p>
        </w:tc>
        <w:tc>
          <w:tcPr>
            <w:tcW w:w="1880" w:type="dxa"/>
          </w:tcPr>
          <w:p w14:paraId="16FD70B6" w14:textId="60D2E722" w:rsidR="000C23AB" w:rsidRDefault="000C23AB" w:rsidP="00614861">
            <w:pPr>
              <w:numPr>
                <w:ilvl w:val="0"/>
                <w:numId w:val="0"/>
              </w:numPr>
              <w:cnfStyle w:val="000000100000" w:firstRow="0" w:lastRow="0" w:firstColumn="0" w:lastColumn="0" w:oddVBand="0" w:evenVBand="0" w:oddHBand="1" w:evenHBand="0" w:firstRowFirstColumn="0" w:firstRowLastColumn="0" w:lastRowFirstColumn="0" w:lastRowLastColumn="0"/>
            </w:pPr>
            <w:r>
              <w:t>Individuals</w:t>
            </w:r>
          </w:p>
        </w:tc>
        <w:tc>
          <w:tcPr>
            <w:tcW w:w="1560" w:type="dxa"/>
          </w:tcPr>
          <w:p w14:paraId="5F05F8D3" w14:textId="0813BE6C" w:rsidR="000C23AB" w:rsidRDefault="000C23AB" w:rsidP="00614861">
            <w:pPr>
              <w:numPr>
                <w:ilvl w:val="0"/>
                <w:numId w:val="0"/>
              </w:numPr>
              <w:cnfStyle w:val="000000100000" w:firstRow="0" w:lastRow="0" w:firstColumn="0" w:lastColumn="0" w:oddVBand="0" w:evenVBand="0" w:oddHBand="1" w:evenHBand="0" w:firstRowFirstColumn="0" w:firstRowLastColumn="0" w:lastRowFirstColumn="0" w:lastRowLastColumn="0"/>
            </w:pPr>
            <w:r>
              <w:t xml:space="preserve">Total change in costs </w:t>
            </w:r>
          </w:p>
        </w:tc>
      </w:tr>
      <w:tr w:rsidR="000C23AB" w14:paraId="7B958A65" w14:textId="2D3FF56B" w:rsidTr="006525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dxa"/>
          </w:tcPr>
          <w:p w14:paraId="23375C45" w14:textId="77D78482" w:rsidR="000C23AB" w:rsidRDefault="000C23AB" w:rsidP="00614861">
            <w:pPr>
              <w:numPr>
                <w:ilvl w:val="0"/>
                <w:numId w:val="0"/>
              </w:numPr>
            </w:pPr>
            <w:r>
              <w:t>Total by sector</w:t>
            </w:r>
          </w:p>
        </w:tc>
        <w:tc>
          <w:tcPr>
            <w:tcW w:w="1834" w:type="dxa"/>
          </w:tcPr>
          <w:p w14:paraId="1DDB78CB" w14:textId="3FDFA687" w:rsidR="000C23AB" w:rsidRDefault="009E0441" w:rsidP="00614861">
            <w:pPr>
              <w:numPr>
                <w:ilvl w:val="0"/>
                <w:numId w:val="0"/>
              </w:numPr>
              <w:cnfStyle w:val="000000010000" w:firstRow="0" w:lastRow="0" w:firstColumn="0" w:lastColumn="0" w:oddVBand="0" w:evenVBand="0" w:oddHBand="0" w:evenHBand="1" w:firstRowFirstColumn="0" w:firstRowLastColumn="0" w:lastRowFirstColumn="0" w:lastRowLastColumn="0"/>
            </w:pPr>
            <w:r>
              <w:t>9</w:t>
            </w:r>
            <w:r w:rsidR="00062261">
              <w:t>.3</w:t>
            </w:r>
          </w:p>
        </w:tc>
        <w:tc>
          <w:tcPr>
            <w:tcW w:w="1967" w:type="dxa"/>
          </w:tcPr>
          <w:p w14:paraId="07B5C04B" w14:textId="01120B7D" w:rsidR="000C23AB" w:rsidRDefault="00652505" w:rsidP="00614861">
            <w:pPr>
              <w:numPr>
                <w:ilvl w:val="0"/>
                <w:numId w:val="0"/>
              </w:numPr>
              <w:cnfStyle w:val="000000010000" w:firstRow="0" w:lastRow="0" w:firstColumn="0" w:lastColumn="0" w:oddVBand="0" w:evenVBand="0" w:oddHBand="0" w:evenHBand="1" w:firstRowFirstColumn="0" w:firstRowLastColumn="0" w:lastRowFirstColumn="0" w:lastRowLastColumn="0"/>
            </w:pPr>
            <w:r>
              <w:t>Nil</w:t>
            </w:r>
          </w:p>
        </w:tc>
        <w:tc>
          <w:tcPr>
            <w:tcW w:w="1880" w:type="dxa"/>
          </w:tcPr>
          <w:p w14:paraId="629EA7BB" w14:textId="3BE00AB6" w:rsidR="000C23AB" w:rsidRDefault="00652505" w:rsidP="00614861">
            <w:pPr>
              <w:numPr>
                <w:ilvl w:val="0"/>
                <w:numId w:val="0"/>
              </w:numPr>
              <w:cnfStyle w:val="000000010000" w:firstRow="0" w:lastRow="0" w:firstColumn="0" w:lastColumn="0" w:oddVBand="0" w:evenVBand="0" w:oddHBand="0" w:evenHBand="1" w:firstRowFirstColumn="0" w:firstRowLastColumn="0" w:lastRowFirstColumn="0" w:lastRowLastColumn="0"/>
            </w:pPr>
            <w:r>
              <w:t>Nil</w:t>
            </w:r>
          </w:p>
        </w:tc>
        <w:tc>
          <w:tcPr>
            <w:tcW w:w="1560" w:type="dxa"/>
          </w:tcPr>
          <w:p w14:paraId="09B6C764" w14:textId="7F6611D8" w:rsidR="000C23AB" w:rsidRDefault="009E0441" w:rsidP="00614861">
            <w:pPr>
              <w:numPr>
                <w:ilvl w:val="0"/>
                <w:numId w:val="0"/>
              </w:numPr>
              <w:cnfStyle w:val="000000010000" w:firstRow="0" w:lastRow="0" w:firstColumn="0" w:lastColumn="0" w:oddVBand="0" w:evenVBand="0" w:oddHBand="0" w:evenHBand="1" w:firstRowFirstColumn="0" w:firstRowLastColumn="0" w:lastRowFirstColumn="0" w:lastRowLastColumn="0"/>
            </w:pPr>
            <w:r>
              <w:t>9</w:t>
            </w:r>
            <w:r w:rsidR="00062261">
              <w:t>.3</w:t>
            </w:r>
          </w:p>
        </w:tc>
      </w:tr>
    </w:tbl>
    <w:p w14:paraId="253135F5" w14:textId="6F0B3E4B" w:rsidR="004B020B" w:rsidRDefault="00792D73" w:rsidP="0022281E">
      <w:pPr>
        <w:pStyle w:val="Heading1Numbers"/>
        <w:numPr>
          <w:ilvl w:val="0"/>
          <w:numId w:val="0"/>
        </w:numPr>
      </w:pPr>
      <w:bookmarkStart w:id="59" w:name="_Toc103791304"/>
      <w:bookmarkStart w:id="60" w:name="_Hlk103775334"/>
      <w:r>
        <w:t>A</w:t>
      </w:r>
      <w:r w:rsidR="00F55C52">
        <w:t>nnex</w:t>
      </w:r>
      <w:r>
        <w:t xml:space="preserve"> </w:t>
      </w:r>
      <w:r w:rsidR="006F0249">
        <w:t>C</w:t>
      </w:r>
      <w:r w:rsidR="00383BD1">
        <w:t xml:space="preserve"> -</w:t>
      </w:r>
      <w:r>
        <w:t xml:space="preserve"> </w:t>
      </w:r>
      <w:r w:rsidR="00F55C52">
        <w:t>Technical areas for review</w:t>
      </w:r>
      <w:bookmarkEnd w:id="59"/>
    </w:p>
    <w:p w14:paraId="692087A0" w14:textId="16EDD179" w:rsidR="00792D73" w:rsidRDefault="004B020B" w:rsidP="00F230A3">
      <w:pPr>
        <w:pStyle w:val="ListParagraph"/>
        <w:ind w:left="0"/>
        <w:rPr>
          <w:rStyle w:val="LightCharacterDINOTLight"/>
        </w:rPr>
      </w:pPr>
      <w:r>
        <w:rPr>
          <w:rStyle w:val="LightCharacterDINOTLight"/>
        </w:rPr>
        <w:t xml:space="preserve">The following table </w:t>
      </w:r>
      <w:r w:rsidR="008D33C3">
        <w:rPr>
          <w:rStyle w:val="LightCharacterDINOTLight"/>
        </w:rPr>
        <w:t>detail</w:t>
      </w:r>
      <w:r w:rsidR="00501338">
        <w:rPr>
          <w:rStyle w:val="LightCharacterDINOTLight"/>
        </w:rPr>
        <w:t>s</w:t>
      </w:r>
      <w:r>
        <w:rPr>
          <w:rStyle w:val="LightCharacterDINOTLight"/>
        </w:rPr>
        <w:t xml:space="preserve"> feedback </w:t>
      </w:r>
      <w:r w:rsidR="005655F0">
        <w:rPr>
          <w:rStyle w:val="LightCharacterDINOTLight"/>
        </w:rPr>
        <w:t xml:space="preserve">on specific issues </w:t>
      </w:r>
      <w:r>
        <w:rPr>
          <w:rStyle w:val="LightCharacterDINOTLight"/>
        </w:rPr>
        <w:t>provided by stakeholders during the consultation.</w:t>
      </w:r>
      <w:r w:rsidR="00D45DF2">
        <w:rPr>
          <w:rStyle w:val="LightCharacterDINOTLight"/>
        </w:rPr>
        <w:t xml:space="preserve"> APRA will </w:t>
      </w:r>
      <w:r w:rsidR="00F55C52">
        <w:rPr>
          <w:rStyle w:val="LightCharacterDINOTLight"/>
        </w:rPr>
        <w:t>consider these issues</w:t>
      </w:r>
      <w:r w:rsidR="00D45DF2">
        <w:rPr>
          <w:rStyle w:val="LightCharacterDINOTLight"/>
        </w:rPr>
        <w:t xml:space="preserve"> </w:t>
      </w:r>
      <w:r w:rsidR="00F31BA1">
        <w:rPr>
          <w:rStyle w:val="LightCharacterDINOTLight"/>
        </w:rPr>
        <w:t xml:space="preserve">below </w:t>
      </w:r>
      <w:r w:rsidR="00D45DF2">
        <w:rPr>
          <w:rStyle w:val="LightCharacterDINOTLight"/>
        </w:rPr>
        <w:t xml:space="preserve">as part of the APS 210 review. </w:t>
      </w:r>
    </w:p>
    <w:p w14:paraId="73A89272" w14:textId="70534670" w:rsidR="00AA7351" w:rsidRPr="00D67F55" w:rsidRDefault="003D6681" w:rsidP="00532FD4">
      <w:pPr>
        <w:pStyle w:val="Numberedtableheading"/>
      </w:pPr>
      <w:r>
        <w:t xml:space="preserve">Suggested framework changes </w:t>
      </w:r>
    </w:p>
    <w:tbl>
      <w:tblPr>
        <w:tblStyle w:val="TableGrid"/>
        <w:tblW w:w="9134" w:type="dxa"/>
        <w:tblLayout w:type="fixed"/>
        <w:tblLook w:val="04A0" w:firstRow="1" w:lastRow="0" w:firstColumn="1" w:lastColumn="0" w:noHBand="0" w:noVBand="1"/>
      </w:tblPr>
      <w:tblGrid>
        <w:gridCol w:w="2694"/>
        <w:gridCol w:w="6440"/>
      </w:tblGrid>
      <w:tr w:rsidR="00AA7351" w:rsidRPr="002554CC" w14:paraId="6F747F6B" w14:textId="77777777" w:rsidTr="008F78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hideMark/>
          </w:tcPr>
          <w:p w14:paraId="25071906" w14:textId="77777777" w:rsidR="00AA7351" w:rsidRPr="00B56A7D" w:rsidRDefault="00AA7351" w:rsidP="00B17B14">
            <w:pPr>
              <w:rPr>
                <w:b/>
                <w:i/>
              </w:rPr>
            </w:pPr>
            <w:r w:rsidRPr="00B56A7D">
              <w:rPr>
                <w:b/>
              </w:rPr>
              <w:t>Submission</w:t>
            </w:r>
          </w:p>
        </w:tc>
        <w:tc>
          <w:tcPr>
            <w:tcW w:w="6440" w:type="dxa"/>
          </w:tcPr>
          <w:p w14:paraId="1C57CD87" w14:textId="19D7846B" w:rsidR="00AA7351" w:rsidRPr="00B56A7D" w:rsidRDefault="00AA7351" w:rsidP="00B17B14">
            <w:pPr>
              <w:cnfStyle w:val="100000000000" w:firstRow="1" w:lastRow="0" w:firstColumn="0" w:lastColumn="0" w:oddVBand="0" w:evenVBand="0" w:oddHBand="0" w:evenHBand="0" w:firstRowFirstColumn="0" w:firstRowLastColumn="0" w:lastRowFirstColumn="0" w:lastRowLastColumn="0"/>
              <w:rPr>
                <w:b/>
                <w:i/>
              </w:rPr>
            </w:pPr>
            <w:r w:rsidRPr="00B56A7D">
              <w:rPr>
                <w:b/>
              </w:rPr>
              <w:t>Summary</w:t>
            </w:r>
            <w:r w:rsidR="00F96042" w:rsidRPr="00B56A7D">
              <w:rPr>
                <w:b/>
              </w:rPr>
              <w:t xml:space="preserve"> of</w:t>
            </w:r>
            <w:r w:rsidR="00854370" w:rsidRPr="00B56A7D">
              <w:rPr>
                <w:b/>
              </w:rPr>
              <w:t xml:space="preserve"> suggested change</w:t>
            </w:r>
          </w:p>
        </w:tc>
      </w:tr>
      <w:tr w:rsidR="00941EE5" w:rsidRPr="002554CC" w14:paraId="5EF34151" w14:textId="77777777" w:rsidTr="008F78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09E1F54B" w14:textId="52B9CE74" w:rsidR="00941EE5" w:rsidRPr="00B56A7D" w:rsidRDefault="00941EE5" w:rsidP="00941EE5">
            <w:pPr>
              <w:numPr>
                <w:ilvl w:val="0"/>
                <w:numId w:val="0"/>
              </w:numPr>
              <w:rPr>
                <w:b/>
              </w:rPr>
            </w:pPr>
            <w:r w:rsidRPr="00B56A7D">
              <w:rPr>
                <w:b/>
                <w:color w:val="000000"/>
              </w:rPr>
              <w:t xml:space="preserve">HQLA </w:t>
            </w:r>
          </w:p>
        </w:tc>
        <w:tc>
          <w:tcPr>
            <w:tcW w:w="6440" w:type="dxa"/>
          </w:tcPr>
          <w:p w14:paraId="3C8BEC41" w14:textId="4979CA0A" w:rsidR="00941EE5" w:rsidRDefault="00941EE5" w:rsidP="00941EE5">
            <w:pPr>
              <w:cnfStyle w:val="000000100000" w:firstRow="0" w:lastRow="0" w:firstColumn="0" w:lastColumn="0" w:oddVBand="0" w:evenVBand="0" w:oddHBand="1" w:evenHBand="0" w:firstRowFirstColumn="0" w:firstRowLastColumn="0" w:lastRowFirstColumn="0" w:lastRowLastColumn="0"/>
              <w:rPr>
                <w:rFonts w:cs="Arial"/>
              </w:rPr>
            </w:pPr>
            <w:r>
              <w:t xml:space="preserve">Broadening the definition of HQLA to include </w:t>
            </w:r>
            <w:r w:rsidRPr="00D67F55">
              <w:t>covered bonds, zero per cent risk weighted Australian dominated debt securities issued by Public Sector Entities and supranational, sovereign and agency bonds, as well as certain ASX200 equities.</w:t>
            </w:r>
          </w:p>
        </w:tc>
      </w:tr>
      <w:tr w:rsidR="00941EE5" w:rsidRPr="002554CC" w14:paraId="6498ABCB" w14:textId="77777777" w:rsidTr="008F78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351DBA1C" w14:textId="47E25995" w:rsidR="00941EE5" w:rsidRPr="00B56A7D" w:rsidRDefault="00941EE5" w:rsidP="00941EE5">
            <w:pPr>
              <w:numPr>
                <w:ilvl w:val="0"/>
                <w:numId w:val="0"/>
              </w:numPr>
              <w:rPr>
                <w:b/>
              </w:rPr>
            </w:pPr>
            <w:r w:rsidRPr="00B56A7D">
              <w:rPr>
                <w:b/>
              </w:rPr>
              <w:t>Deposit run-off rates</w:t>
            </w:r>
          </w:p>
        </w:tc>
        <w:tc>
          <w:tcPr>
            <w:tcW w:w="6440" w:type="dxa"/>
          </w:tcPr>
          <w:p w14:paraId="50799D69" w14:textId="616DC257" w:rsidR="00941EE5" w:rsidRDefault="00941EE5" w:rsidP="00941EE5">
            <w:pPr>
              <w:cnfStyle w:val="000000010000" w:firstRow="0" w:lastRow="0" w:firstColumn="0" w:lastColumn="0" w:oddVBand="0" w:evenVBand="0" w:oddHBand="0" w:evenHBand="1" w:firstRowFirstColumn="0" w:firstRowLastColumn="0" w:lastRowFirstColumn="0" w:lastRowLastColumn="0"/>
              <w:rPr>
                <w:rFonts w:cs="Arial"/>
              </w:rPr>
            </w:pPr>
            <w:r>
              <w:t>Re-calibration of the</w:t>
            </w:r>
            <w:r w:rsidRPr="00D67F55">
              <w:t xml:space="preserve"> LCR run off-rates for non-stable deposits</w:t>
            </w:r>
            <w:r>
              <w:t xml:space="preserve">. </w:t>
            </w:r>
          </w:p>
        </w:tc>
      </w:tr>
      <w:tr w:rsidR="00941EE5" w:rsidRPr="002554CC" w14:paraId="170AC933" w14:textId="77777777" w:rsidTr="008F78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5003851A" w14:textId="2613B33D" w:rsidR="00941EE5" w:rsidRPr="00B56A7D" w:rsidRDefault="00941EE5" w:rsidP="00941EE5">
            <w:pPr>
              <w:numPr>
                <w:ilvl w:val="0"/>
                <w:numId w:val="0"/>
              </w:numPr>
              <w:rPr>
                <w:b/>
              </w:rPr>
            </w:pPr>
            <w:r w:rsidRPr="00B56A7D">
              <w:rPr>
                <w:b/>
              </w:rPr>
              <w:t>LCR currency limit</w:t>
            </w:r>
          </w:p>
        </w:tc>
        <w:tc>
          <w:tcPr>
            <w:tcW w:w="6440" w:type="dxa"/>
          </w:tcPr>
          <w:p w14:paraId="3216280A" w14:textId="5CCFEA66" w:rsidR="00941EE5" w:rsidRDefault="00941EE5" w:rsidP="00941EE5">
            <w:pPr>
              <w:cnfStyle w:val="000000100000" w:firstRow="0" w:lastRow="0" w:firstColumn="0" w:lastColumn="0" w:oddVBand="0" w:evenVBand="0" w:oddHBand="1" w:evenHBand="0" w:firstRowFirstColumn="0" w:firstRowLastColumn="0" w:lastRowFirstColumn="0" w:lastRowLastColumn="0"/>
              <w:rPr>
                <w:rFonts w:cs="Arial"/>
              </w:rPr>
            </w:pPr>
            <w:r>
              <w:t>Removal</w:t>
            </w:r>
            <w:r w:rsidRPr="00D67F55">
              <w:t xml:space="preserve"> of the Australian-bank specific AUD LCR currency limit.</w:t>
            </w:r>
          </w:p>
        </w:tc>
      </w:tr>
      <w:tr w:rsidR="00941EE5" w:rsidRPr="002554CC" w14:paraId="4E9ED306" w14:textId="77777777" w:rsidTr="008F78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0CAF2B05" w14:textId="2F603095" w:rsidR="00941EE5" w:rsidRPr="00B56A7D" w:rsidRDefault="00941EE5" w:rsidP="00941EE5">
            <w:pPr>
              <w:numPr>
                <w:ilvl w:val="0"/>
                <w:numId w:val="0"/>
              </w:numPr>
              <w:rPr>
                <w:b/>
              </w:rPr>
            </w:pPr>
            <w:r w:rsidRPr="00B56A7D">
              <w:rPr>
                <w:b/>
              </w:rPr>
              <w:t>Maturity profile funding</w:t>
            </w:r>
          </w:p>
        </w:tc>
        <w:tc>
          <w:tcPr>
            <w:tcW w:w="6440" w:type="dxa"/>
          </w:tcPr>
          <w:p w14:paraId="3712283F" w14:textId="6E14BF5D" w:rsidR="00941EE5" w:rsidRDefault="00941EE5" w:rsidP="00941EE5">
            <w:pPr>
              <w:cnfStyle w:val="000000010000" w:firstRow="0" w:lastRow="0" w:firstColumn="0" w:lastColumn="0" w:oddVBand="0" w:evenVBand="0" w:oddHBand="0" w:evenHBand="1" w:firstRowFirstColumn="0" w:firstRowLastColumn="0" w:lastRowFirstColumn="0" w:lastRowLastColumn="0"/>
              <w:rPr>
                <w:rFonts w:cs="Arial"/>
              </w:rPr>
            </w:pPr>
            <w:r>
              <w:rPr>
                <w:rFonts w:cs="Arial"/>
              </w:rPr>
              <w:t xml:space="preserve">Removal of requirement where funding is profiled as at call where the borrower has a continuous right to repay.  </w:t>
            </w:r>
          </w:p>
        </w:tc>
      </w:tr>
      <w:tr w:rsidR="00216DAE" w:rsidRPr="002554CC" w14:paraId="4D2609A3" w14:textId="77777777" w:rsidTr="008F78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5DB949A1" w14:textId="25D5E0D0" w:rsidR="00216DAE" w:rsidRPr="00B56A7D" w:rsidRDefault="00641166">
            <w:pPr>
              <w:numPr>
                <w:ilvl w:val="0"/>
                <w:numId w:val="0"/>
              </w:numPr>
              <w:rPr>
                <w:b/>
              </w:rPr>
            </w:pPr>
            <w:r w:rsidRPr="00B56A7D">
              <w:rPr>
                <w:b/>
              </w:rPr>
              <w:t>S</w:t>
            </w:r>
            <w:r w:rsidR="00216DAE" w:rsidRPr="00B56A7D">
              <w:rPr>
                <w:b/>
              </w:rPr>
              <w:t>uperannuation</w:t>
            </w:r>
            <w:r w:rsidR="00941EE5" w:rsidRPr="00B56A7D">
              <w:rPr>
                <w:b/>
              </w:rPr>
              <w:t xml:space="preserve"> </w:t>
            </w:r>
            <w:r w:rsidR="00216DAE" w:rsidRPr="00B56A7D">
              <w:rPr>
                <w:b/>
              </w:rPr>
              <w:t>deposits</w:t>
            </w:r>
          </w:p>
        </w:tc>
        <w:tc>
          <w:tcPr>
            <w:tcW w:w="6440" w:type="dxa"/>
          </w:tcPr>
          <w:p w14:paraId="284A803A" w14:textId="5CEC6B25" w:rsidR="00216DAE" w:rsidRPr="0008495A" w:rsidRDefault="00641166" w:rsidP="00F42F84">
            <w:pPr>
              <w:cnfStyle w:val="000000100000" w:firstRow="0" w:lastRow="0" w:firstColumn="0" w:lastColumn="0" w:oddVBand="0" w:evenVBand="0" w:oddHBand="1" w:evenHBand="0" w:firstRowFirstColumn="0" w:firstRowLastColumn="0" w:lastRowFirstColumn="0" w:lastRowLastColumn="0"/>
              <w:rPr>
                <w:rFonts w:cs="Arial"/>
              </w:rPr>
            </w:pPr>
            <w:r>
              <w:rPr>
                <w:rFonts w:cs="Arial"/>
              </w:rPr>
              <w:t>Reconciliation of the difference in liquidity treatment</w:t>
            </w:r>
            <w:r w:rsidR="008F7886">
              <w:rPr>
                <w:rFonts w:cs="Arial"/>
              </w:rPr>
              <w:t>s</w:t>
            </w:r>
            <w:r>
              <w:rPr>
                <w:rFonts w:cs="Arial"/>
              </w:rPr>
              <w:t xml:space="preserve"> between </w:t>
            </w:r>
            <w:r w:rsidR="00216DAE">
              <w:rPr>
                <w:rFonts w:cs="Arial"/>
              </w:rPr>
              <w:t xml:space="preserve">Self-Managed Superannuation Fund </w:t>
            </w:r>
            <w:r>
              <w:rPr>
                <w:rFonts w:cs="Arial"/>
              </w:rPr>
              <w:t xml:space="preserve">and by </w:t>
            </w:r>
            <w:r w:rsidR="00216DAE">
              <w:rPr>
                <w:rFonts w:cs="Arial"/>
              </w:rPr>
              <w:t>large</w:t>
            </w:r>
            <w:r w:rsidR="008F7886">
              <w:rPr>
                <w:rFonts w:cs="Arial"/>
              </w:rPr>
              <w:t>r</w:t>
            </w:r>
            <w:r w:rsidR="00216DAE">
              <w:rPr>
                <w:rFonts w:cs="Arial"/>
              </w:rPr>
              <w:t xml:space="preserve"> fund</w:t>
            </w:r>
            <w:r w:rsidR="008F7886">
              <w:rPr>
                <w:rFonts w:cs="Arial"/>
              </w:rPr>
              <w:t xml:space="preserve"> deposits</w:t>
            </w:r>
            <w:r w:rsidR="00216DAE">
              <w:rPr>
                <w:rFonts w:cs="Arial"/>
              </w:rPr>
              <w:t xml:space="preserve">. </w:t>
            </w:r>
          </w:p>
        </w:tc>
      </w:tr>
      <w:tr w:rsidR="00AA7351" w:rsidRPr="002554CC" w14:paraId="01F9F585" w14:textId="77777777" w:rsidTr="008F78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1714155C" w14:textId="24BF1735" w:rsidR="00AA7351" w:rsidRPr="00B56A7D" w:rsidRDefault="00641166" w:rsidP="00B17B14">
            <w:pPr>
              <w:numPr>
                <w:ilvl w:val="0"/>
                <w:numId w:val="0"/>
              </w:numPr>
              <w:rPr>
                <w:b/>
              </w:rPr>
            </w:pPr>
            <w:r w:rsidRPr="00B56A7D">
              <w:rPr>
                <w:b/>
              </w:rPr>
              <w:t>C</w:t>
            </w:r>
            <w:r w:rsidR="00AA7351" w:rsidRPr="00B56A7D">
              <w:rPr>
                <w:b/>
              </w:rPr>
              <w:t xml:space="preserve">ollateral look-back </w:t>
            </w:r>
          </w:p>
        </w:tc>
        <w:tc>
          <w:tcPr>
            <w:tcW w:w="6440" w:type="dxa"/>
          </w:tcPr>
          <w:p w14:paraId="78842E87" w14:textId="413BB926" w:rsidR="00AA7351" w:rsidRPr="00D67F55" w:rsidRDefault="008F7886" w:rsidP="00B17B14">
            <w:pPr>
              <w:cnfStyle w:val="000000010000" w:firstRow="0" w:lastRow="0" w:firstColumn="0" w:lastColumn="0" w:oddVBand="0" w:evenVBand="0" w:oddHBand="0" w:evenHBand="1" w:firstRowFirstColumn="0" w:firstRowLastColumn="0" w:lastRowFirstColumn="0" w:lastRowLastColumn="0"/>
              <w:rPr>
                <w:rFonts w:cs="Arial"/>
              </w:rPr>
            </w:pPr>
            <w:r>
              <w:t>Refinin</w:t>
            </w:r>
            <w:r w:rsidR="005650B5">
              <w:t xml:space="preserve">g </w:t>
            </w:r>
            <w:r w:rsidR="00854370">
              <w:t>of</w:t>
            </w:r>
            <w:r>
              <w:t xml:space="preserve"> d</w:t>
            </w:r>
            <w:r w:rsidR="00AA7351">
              <w:t>efinitions related to the</w:t>
            </w:r>
            <w:r w:rsidR="00AA7351" w:rsidRPr="00D67F55">
              <w:t xml:space="preserve"> two-year historical lookback</w:t>
            </w:r>
            <w:r>
              <w:t xml:space="preserve"> </w:t>
            </w:r>
            <w:r w:rsidR="00941EE5">
              <w:t>to be more forward-looking</w:t>
            </w:r>
            <w:r w:rsidR="00AA7351" w:rsidRPr="00D67F55">
              <w:t xml:space="preserve">.  </w:t>
            </w:r>
          </w:p>
        </w:tc>
      </w:tr>
      <w:tr w:rsidR="00AA7351" w:rsidRPr="002554CC" w14:paraId="7802079B" w14:textId="77777777" w:rsidTr="008F78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0B66E6B8" w14:textId="586F339C" w:rsidR="008F7886" w:rsidRPr="00B56A7D" w:rsidRDefault="00AA7351" w:rsidP="00B17B14">
            <w:pPr>
              <w:numPr>
                <w:ilvl w:val="0"/>
                <w:numId w:val="0"/>
              </w:numPr>
              <w:rPr>
                <w:b/>
              </w:rPr>
            </w:pPr>
            <w:r w:rsidRPr="00B56A7D">
              <w:rPr>
                <w:b/>
              </w:rPr>
              <w:t xml:space="preserve">Personal Investment Entities </w:t>
            </w:r>
          </w:p>
        </w:tc>
        <w:tc>
          <w:tcPr>
            <w:tcW w:w="6440" w:type="dxa"/>
          </w:tcPr>
          <w:p w14:paraId="05ADCF9A" w14:textId="4FC51D59" w:rsidR="00AA7351" w:rsidRPr="00D67F55" w:rsidRDefault="008F7886" w:rsidP="00B17B14">
            <w:pPr>
              <w:cnfStyle w:val="000000100000" w:firstRow="0" w:lastRow="0" w:firstColumn="0" w:lastColumn="0" w:oddVBand="0" w:evenVBand="0" w:oddHBand="1" w:evenHBand="0" w:firstRowFirstColumn="0" w:firstRowLastColumn="0" w:lastRowFirstColumn="0" w:lastRowLastColumn="0"/>
              <w:rPr>
                <w:rFonts w:cs="Arial"/>
              </w:rPr>
            </w:pPr>
            <w:r>
              <w:t>Review</w:t>
            </w:r>
            <w:r w:rsidR="00854370">
              <w:t xml:space="preserve"> of</w:t>
            </w:r>
            <w:r>
              <w:t xml:space="preserve"> </w:t>
            </w:r>
            <w:r w:rsidR="00AA7351" w:rsidRPr="00D67F55">
              <w:t>categoris</w:t>
            </w:r>
            <w:r w:rsidR="00854370">
              <w:t>ation of</w:t>
            </w:r>
            <w:r w:rsidR="00A44242">
              <w:t xml:space="preserve"> personal investment entities</w:t>
            </w:r>
            <w:r w:rsidR="00AA7351" w:rsidRPr="00D67F55">
              <w:t xml:space="preserve"> as financial institutions</w:t>
            </w:r>
            <w:r>
              <w:t xml:space="preserve">. </w:t>
            </w:r>
            <w:r w:rsidR="00AA7351" w:rsidRPr="00D67F55">
              <w:t xml:space="preserve">  </w:t>
            </w:r>
          </w:p>
        </w:tc>
      </w:tr>
      <w:tr w:rsidR="00D45DF2" w:rsidRPr="002554CC" w14:paraId="0E07EE9E" w14:textId="77777777" w:rsidTr="008F78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243F4294" w14:textId="62DDEA8B" w:rsidR="00D45DF2" w:rsidRPr="00B56A7D" w:rsidRDefault="008F7886" w:rsidP="00D45DF2">
            <w:pPr>
              <w:numPr>
                <w:ilvl w:val="0"/>
                <w:numId w:val="0"/>
              </w:numPr>
              <w:rPr>
                <w:b/>
              </w:rPr>
            </w:pPr>
            <w:r w:rsidRPr="00B56A7D">
              <w:rPr>
                <w:b/>
                <w:color w:val="000000"/>
              </w:rPr>
              <w:t>R</w:t>
            </w:r>
            <w:r w:rsidR="00D45DF2" w:rsidRPr="00B56A7D">
              <w:rPr>
                <w:b/>
                <w:color w:val="000000"/>
              </w:rPr>
              <w:t xml:space="preserve">etail scorecard </w:t>
            </w:r>
          </w:p>
        </w:tc>
        <w:tc>
          <w:tcPr>
            <w:tcW w:w="6440" w:type="dxa"/>
          </w:tcPr>
          <w:p w14:paraId="29E9EBCD" w14:textId="3EB44564" w:rsidR="00D45DF2" w:rsidRDefault="008F7886" w:rsidP="00D45DF2">
            <w:pPr>
              <w:cnfStyle w:val="000000010000" w:firstRow="0" w:lastRow="0" w:firstColumn="0" w:lastColumn="0" w:oddVBand="0" w:evenVBand="0" w:oddHBand="0" w:evenHBand="1" w:firstRowFirstColumn="0" w:firstRowLastColumn="0" w:lastRowFirstColumn="0" w:lastRowLastColumn="0"/>
            </w:pPr>
            <w:r>
              <w:t>Review</w:t>
            </w:r>
            <w:r w:rsidR="00854370">
              <w:t xml:space="preserve"> of </w:t>
            </w:r>
            <w:r>
              <w:t>the</w:t>
            </w:r>
            <w:r w:rsidR="00D45DF2" w:rsidRPr="00D67F55">
              <w:t xml:space="preserve"> retail scorecard </w:t>
            </w:r>
            <w:r>
              <w:t xml:space="preserve">for complexity. </w:t>
            </w:r>
          </w:p>
        </w:tc>
      </w:tr>
      <w:tr w:rsidR="00AA7351" w:rsidRPr="002554CC" w14:paraId="755C6323" w14:textId="77777777" w:rsidTr="008F78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00EABC26" w14:textId="06DE01E9" w:rsidR="00AA7351" w:rsidRPr="00B56A7D" w:rsidRDefault="00AA7351" w:rsidP="00B17B14">
            <w:pPr>
              <w:numPr>
                <w:ilvl w:val="0"/>
                <w:numId w:val="0"/>
              </w:numPr>
              <w:rPr>
                <w:b/>
              </w:rPr>
            </w:pPr>
            <w:r w:rsidRPr="00B56A7D">
              <w:rPr>
                <w:b/>
              </w:rPr>
              <w:t>Minimum Liquidity Holdings (MLH) approach</w:t>
            </w:r>
          </w:p>
        </w:tc>
        <w:tc>
          <w:tcPr>
            <w:tcW w:w="6440" w:type="dxa"/>
          </w:tcPr>
          <w:p w14:paraId="4840B494" w14:textId="21D0B725" w:rsidR="00AA7351" w:rsidRPr="00D67F55" w:rsidRDefault="005650B5" w:rsidP="00B17B14">
            <w:pPr>
              <w:cnfStyle w:val="000000100000" w:firstRow="0" w:lastRow="0" w:firstColumn="0" w:lastColumn="0" w:oddVBand="0" w:evenVBand="0" w:oddHBand="1" w:evenHBand="0" w:firstRowFirstColumn="0" w:firstRowLastColumn="0" w:lastRowFirstColumn="0" w:lastRowLastColumn="0"/>
              <w:rPr>
                <w:rFonts w:cs="Arial"/>
              </w:rPr>
            </w:pPr>
            <w:r>
              <w:t>Application of the MLH approach to f</w:t>
            </w:r>
            <w:r w:rsidR="00AA7351" w:rsidRPr="00D67F55">
              <w:t xml:space="preserve">oreign </w:t>
            </w:r>
            <w:r w:rsidR="00DB5209">
              <w:t>bank</w:t>
            </w:r>
            <w:r w:rsidR="00AA7351" w:rsidRPr="00D67F55">
              <w:t xml:space="preserve"> branches</w:t>
            </w:r>
            <w:r>
              <w:t>.</w:t>
            </w:r>
          </w:p>
        </w:tc>
      </w:tr>
      <w:tr w:rsidR="00216DAE" w:rsidRPr="002554CC" w14:paraId="3D390FCE" w14:textId="77777777" w:rsidTr="008F78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7454250E" w14:textId="1330CAAD" w:rsidR="00216DAE" w:rsidRPr="00B56A7D" w:rsidRDefault="00216DAE" w:rsidP="00216DAE">
            <w:pPr>
              <w:numPr>
                <w:ilvl w:val="0"/>
                <w:numId w:val="0"/>
              </w:numPr>
              <w:rPr>
                <w:b/>
              </w:rPr>
            </w:pPr>
            <w:r w:rsidRPr="00B56A7D">
              <w:rPr>
                <w:b/>
              </w:rPr>
              <w:t>Level 2 LCR</w:t>
            </w:r>
          </w:p>
        </w:tc>
        <w:tc>
          <w:tcPr>
            <w:tcW w:w="6440" w:type="dxa"/>
          </w:tcPr>
          <w:p w14:paraId="5B1E874A" w14:textId="4D845058" w:rsidR="00216DAE" w:rsidRPr="0008495A" w:rsidRDefault="005650B5" w:rsidP="00216DAE">
            <w:pPr>
              <w:cnfStyle w:val="000000010000" w:firstRow="0" w:lastRow="0" w:firstColumn="0" w:lastColumn="0" w:oddVBand="0" w:evenVBand="0" w:oddHBand="0" w:evenHBand="1" w:firstRowFirstColumn="0" w:firstRowLastColumn="0" w:lastRowFirstColumn="0" w:lastRowLastColumn="0"/>
              <w:rPr>
                <w:rFonts w:cs="Arial"/>
              </w:rPr>
            </w:pPr>
            <w:r>
              <w:rPr>
                <w:rFonts w:cs="Arial"/>
              </w:rPr>
              <w:t>Remov</w:t>
            </w:r>
            <w:r w:rsidR="00854370">
              <w:rPr>
                <w:rFonts w:cs="Arial"/>
              </w:rPr>
              <w:t xml:space="preserve">al of </w:t>
            </w:r>
            <w:r w:rsidR="00216DAE">
              <w:rPr>
                <w:rFonts w:cs="Arial"/>
              </w:rPr>
              <w:t xml:space="preserve">exclusions </w:t>
            </w:r>
            <w:r>
              <w:rPr>
                <w:rFonts w:cs="Arial"/>
              </w:rPr>
              <w:t xml:space="preserve">such as </w:t>
            </w:r>
            <w:r w:rsidR="00216DAE">
              <w:rPr>
                <w:rFonts w:cs="Arial"/>
              </w:rPr>
              <w:t>non-transferable liquid assets within a group</w:t>
            </w:r>
            <w:r>
              <w:rPr>
                <w:rFonts w:cs="Arial"/>
              </w:rPr>
              <w:t>.</w:t>
            </w:r>
          </w:p>
        </w:tc>
      </w:tr>
      <w:tr w:rsidR="00854370" w:rsidRPr="002554CC" w14:paraId="5FD00D97" w14:textId="77777777" w:rsidTr="008F78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8C835AE" w14:textId="458A534E" w:rsidR="00854370" w:rsidRPr="00B56A7D" w:rsidRDefault="00854370" w:rsidP="00854370">
            <w:pPr>
              <w:numPr>
                <w:ilvl w:val="0"/>
                <w:numId w:val="0"/>
              </w:numPr>
              <w:rPr>
                <w:b/>
              </w:rPr>
            </w:pPr>
            <w:r w:rsidRPr="00B56A7D">
              <w:rPr>
                <w:b/>
                <w:color w:val="000000"/>
              </w:rPr>
              <w:t xml:space="preserve">Deposit-related definitions  </w:t>
            </w:r>
          </w:p>
        </w:tc>
        <w:tc>
          <w:tcPr>
            <w:tcW w:w="6440" w:type="dxa"/>
          </w:tcPr>
          <w:p w14:paraId="63C03577" w14:textId="2F22785A" w:rsidR="00854370" w:rsidRDefault="00854370" w:rsidP="00854370">
            <w:pPr>
              <w:cnfStyle w:val="000000100000" w:firstRow="0" w:lastRow="0" w:firstColumn="0" w:lastColumn="0" w:oddVBand="0" w:evenVBand="0" w:oddHBand="1" w:evenHBand="0" w:firstRowFirstColumn="0" w:firstRowLastColumn="0" w:lastRowFirstColumn="0" w:lastRowLastColumn="0"/>
            </w:pPr>
            <w:r>
              <w:t>Refining the</w:t>
            </w:r>
            <w:r w:rsidRPr="00D67F55">
              <w:t xml:space="preserve"> definitions of ‘operational deposits’, ‘heavily rate-driven deposits’, and ‘established relationship’. </w:t>
            </w:r>
          </w:p>
        </w:tc>
      </w:tr>
      <w:tr w:rsidR="00854370" w:rsidRPr="002554CC" w14:paraId="081EA903" w14:textId="77777777" w:rsidTr="008F78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37313621" w14:textId="0562060D" w:rsidR="00854370" w:rsidRPr="00B56A7D" w:rsidRDefault="00854370" w:rsidP="00854370">
            <w:pPr>
              <w:numPr>
                <w:ilvl w:val="0"/>
                <w:numId w:val="0"/>
              </w:numPr>
              <w:rPr>
                <w:b/>
              </w:rPr>
            </w:pPr>
            <w:r w:rsidRPr="00B56A7D">
              <w:rPr>
                <w:b/>
              </w:rPr>
              <w:t>FAQ 17 (Accelerated repayment of funds)</w:t>
            </w:r>
          </w:p>
        </w:tc>
        <w:tc>
          <w:tcPr>
            <w:tcW w:w="6440" w:type="dxa"/>
          </w:tcPr>
          <w:p w14:paraId="75F6621B" w14:textId="23987157" w:rsidR="00854370" w:rsidRDefault="00854370" w:rsidP="00854370">
            <w:pPr>
              <w:cnfStyle w:val="000000010000" w:firstRow="0" w:lastRow="0" w:firstColumn="0" w:lastColumn="0" w:oddVBand="0" w:evenVBand="0" w:oddHBand="0" w:evenHBand="1" w:firstRowFirstColumn="0" w:firstRowLastColumn="0" w:lastRowFirstColumn="0" w:lastRowLastColumn="0"/>
            </w:pPr>
            <w:r>
              <w:rPr>
                <w:rFonts w:cs="Arial"/>
              </w:rPr>
              <w:t>Clarity on the requirement for consistency between the LCR and NSFR treatment of 31-day notice period documents.</w:t>
            </w:r>
          </w:p>
        </w:tc>
      </w:tr>
      <w:tr w:rsidR="00854370" w:rsidRPr="002554CC" w14:paraId="534E0547" w14:textId="77777777" w:rsidTr="008F78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5B24C3A9" w14:textId="2E445C24" w:rsidR="00854370" w:rsidRPr="00B56A7D" w:rsidRDefault="00854370" w:rsidP="00854370">
            <w:pPr>
              <w:numPr>
                <w:ilvl w:val="0"/>
                <w:numId w:val="0"/>
              </w:numPr>
              <w:rPr>
                <w:b/>
              </w:rPr>
            </w:pPr>
            <w:r w:rsidRPr="00B56A7D">
              <w:rPr>
                <w:b/>
              </w:rPr>
              <w:t xml:space="preserve">Retail look-through </w:t>
            </w:r>
          </w:p>
        </w:tc>
        <w:tc>
          <w:tcPr>
            <w:tcW w:w="6440" w:type="dxa"/>
          </w:tcPr>
          <w:p w14:paraId="2C730330" w14:textId="66FE7A41" w:rsidR="00854370" w:rsidRDefault="00854370" w:rsidP="00854370">
            <w:pPr>
              <w:cnfStyle w:val="000000100000" w:firstRow="0" w:lastRow="0" w:firstColumn="0" w:lastColumn="0" w:oddVBand="0" w:evenVBand="0" w:oddHBand="1" w:evenHBand="0" w:firstRowFirstColumn="0" w:firstRowLastColumn="0" w:lastRowFirstColumn="0" w:lastRowLastColumn="0"/>
            </w:pPr>
            <w:r>
              <w:rPr>
                <w:rFonts w:cs="Arial"/>
              </w:rPr>
              <w:t xml:space="preserve">Greater guidance to ensure consistency. </w:t>
            </w:r>
          </w:p>
        </w:tc>
      </w:tr>
    </w:tbl>
    <w:p w14:paraId="51201738" w14:textId="3B235C18" w:rsidR="004B020B" w:rsidRDefault="004B020B" w:rsidP="00AA7351">
      <w:pPr>
        <w:pStyle w:val="ListBullet"/>
        <w:numPr>
          <w:ilvl w:val="0"/>
          <w:numId w:val="0"/>
        </w:numPr>
        <w:ind w:left="425" w:hanging="425"/>
      </w:pPr>
    </w:p>
    <w:bookmarkEnd w:id="60"/>
    <w:p w14:paraId="3B92842D" w14:textId="0C5EACEF" w:rsidR="00854370" w:rsidRDefault="00E13049" w:rsidP="00854370">
      <w:pPr>
        <w:numPr>
          <w:ilvl w:val="0"/>
          <w:numId w:val="0"/>
        </w:numPr>
      </w:pPr>
      <w:r>
        <w:br w:type="column"/>
      </w:r>
    </w:p>
    <w:p w14:paraId="271D143C" w14:textId="219DF93F" w:rsidR="00E13049" w:rsidRPr="00E13049" w:rsidRDefault="00E13049" w:rsidP="00E13049"/>
    <w:p w14:paraId="446FA93F" w14:textId="0ABCBB0B" w:rsidR="00E13049" w:rsidRDefault="00E13049" w:rsidP="00E13049"/>
    <w:p w14:paraId="056050B8" w14:textId="0BD5ADBF" w:rsidR="00E13049" w:rsidRPr="00E13049" w:rsidRDefault="00E13049" w:rsidP="00E13049">
      <w:r w:rsidRPr="00E13049">
        <w:rPr>
          <w:noProof/>
        </w:rPr>
        <mc:AlternateContent>
          <mc:Choice Requires="wps">
            <w:drawing>
              <wp:anchor distT="0" distB="0" distL="114300" distR="114300" simplePos="0" relativeHeight="251658247" behindDoc="0" locked="0" layoutInCell="1" allowOverlap="1" wp14:anchorId="2F19878C" wp14:editId="0171D836">
                <wp:simplePos x="0" y="0"/>
                <wp:positionH relativeFrom="page">
                  <wp:posOffset>0</wp:posOffset>
                </wp:positionH>
                <wp:positionV relativeFrom="paragraph">
                  <wp:posOffset>-1917065</wp:posOffset>
                </wp:positionV>
                <wp:extent cx="7586663" cy="10667365"/>
                <wp:effectExtent l="0" t="0" r="14605" b="19685"/>
                <wp:wrapNone/>
                <wp:docPr id="14" name="Rectangle 14"/>
                <wp:cNvGraphicFramePr/>
                <a:graphic xmlns:a="http://schemas.openxmlformats.org/drawingml/2006/main">
                  <a:graphicData uri="http://schemas.microsoft.com/office/word/2010/wordprocessingShape">
                    <wps:wsp>
                      <wps:cNvSpPr/>
                      <wps:spPr>
                        <a:xfrm>
                          <a:off x="0" y="0"/>
                          <a:ext cx="7586663" cy="106673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750EE55" id="Rectangle 14" o:spid="_x0000_s1026" style="position:absolute;margin-left:0;margin-top:-150.95pt;width:597.4pt;height:839.95pt;z-index:251658247;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" fillcolor="#012169 [3204]" strokecolor="#001034 [1604]" strokeweight="2pt">
                <w10:wrap anchorx="page"/>
              </v:rect>
            </w:pict>
          </mc:Fallback>
        </mc:AlternateContent>
      </w:r>
      <w:r w:rsidRPr="00E13049">
        <w:rPr>
          <w:noProof/>
        </w:rPr>
        <w:drawing>
          <wp:anchor distT="0" distB="0" distL="114300" distR="114300" simplePos="0" relativeHeight="251658248" behindDoc="0" locked="0" layoutInCell="1" allowOverlap="1" wp14:anchorId="078034A3" wp14:editId="5C6FFA5A">
            <wp:simplePos x="0" y="0"/>
            <wp:positionH relativeFrom="margin">
              <wp:posOffset>1437005</wp:posOffset>
            </wp:positionH>
            <wp:positionV relativeFrom="margin">
              <wp:posOffset>4060190</wp:posOffset>
            </wp:positionV>
            <wp:extent cx="2857500" cy="733425"/>
            <wp:effectExtent l="0" t="0" r="0" b="952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PRA_logo_White.png"/>
                    <pic:cNvPicPr/>
                  </pic:nvPicPr>
                  <pic:blipFill>
                    <a:blip r:embed="rId24">
                      <a:extLst>
                        <a:ext uri="{28A0092B-C50C-407E-A947-70E740481C1C}">
                          <a14:useLocalDpi xmlns:a14="http://schemas.microsoft.com/office/drawing/2010/main" val="0"/>
                        </a:ext>
                      </a:extLst>
                    </a:blip>
                    <a:stretch>
                      <a:fillRect/>
                    </a:stretch>
                  </pic:blipFill>
                  <pic:spPr>
                    <a:xfrm>
                      <a:off x="0" y="0"/>
                      <a:ext cx="2857500" cy="733425"/>
                    </a:xfrm>
                    <a:prstGeom prst="rect">
                      <a:avLst/>
                    </a:prstGeom>
                  </pic:spPr>
                </pic:pic>
              </a:graphicData>
            </a:graphic>
          </wp:anchor>
        </w:drawing>
      </w:r>
    </w:p>
    <w:sectPr w:rsidR="00E13049" w:rsidRPr="00E13049" w:rsidSect="00445E84">
      <w:type w:val="continuous"/>
      <w:pgSz w:w="11906" w:h="16838" w:code="9"/>
      <w:pgMar w:top="1440" w:right="1440" w:bottom="1418" w:left="1440" w:header="567" w:footer="567" w:gutter="0"/>
      <w:pgNumType w:start="1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E80A9" w14:textId="77777777" w:rsidR="00FD6D8D" w:rsidRPr="000D4EDE" w:rsidRDefault="00FD6D8D" w:rsidP="000D4EDE">
      <w:r>
        <w:separator/>
      </w:r>
    </w:p>
    <w:p w14:paraId="3BEABFF7" w14:textId="77777777" w:rsidR="00FD6D8D" w:rsidRDefault="00FD6D8D"/>
    <w:p w14:paraId="37D34837" w14:textId="77777777" w:rsidR="00FD6D8D" w:rsidRDefault="00FD6D8D"/>
  </w:endnote>
  <w:endnote w:type="continuationSeparator" w:id="0">
    <w:p w14:paraId="185A3A5B" w14:textId="77777777" w:rsidR="00FD6D8D" w:rsidRPr="000D4EDE" w:rsidRDefault="00FD6D8D" w:rsidP="000D4EDE">
      <w:r>
        <w:continuationSeparator/>
      </w:r>
    </w:p>
    <w:p w14:paraId="587D8322" w14:textId="77777777" w:rsidR="00FD6D8D" w:rsidRDefault="00FD6D8D"/>
    <w:p w14:paraId="621C9387" w14:textId="77777777" w:rsidR="00FD6D8D" w:rsidRDefault="00FD6D8D"/>
  </w:endnote>
  <w:endnote w:type="continuationNotice" w:id="1">
    <w:p w14:paraId="32098642" w14:textId="77777777" w:rsidR="00FD6D8D" w:rsidRDefault="00FD6D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IN OT Light">
    <w:panose1 w:val="020B0504020201010104"/>
    <w:charset w:val="00"/>
    <w:family w:val="swiss"/>
    <w:pitch w:val="variable"/>
    <w:sig w:usb0="800000EF" w:usb1="4000A47B" w:usb2="00000000" w:usb3="00000000" w:csb0="00000001" w:csb1="00000000"/>
  </w:font>
  <w:font w:name="Cordia New">
    <w:altName w:val="Leelawadee UI"/>
    <w:panose1 w:val="020B0304020202020204"/>
    <w:charset w:val="DE"/>
    <w:family w:val="swiss"/>
    <w:pitch w:val="variable"/>
    <w:sig w:usb0="81000003" w:usb1="00000000" w:usb2="00000000" w:usb3="00000000" w:csb0="00010001" w:csb1="00000000"/>
  </w:font>
  <w:font w:name="DIN OT">
    <w:panose1 w:val="020B0504020201010104"/>
    <w:charset w:val="00"/>
    <w:family w:val="swiss"/>
    <w:pitch w:val="variable"/>
    <w:sig w:usb0="800000EF" w:usb1="4000A47B" w:usb2="00000000" w:usb3="00000000" w:csb0="00000001" w:csb1="00000000"/>
  </w:font>
  <w:font w:name="DIN OT Medium">
    <w:panose1 w:val="020B0604020201010104"/>
    <w:charset w:val="00"/>
    <w:family w:val="swiss"/>
    <w:pitch w:val="variable"/>
    <w:sig w:usb0="800000EF" w:usb1="4000A47B" w:usb2="00000000" w:usb3="00000000" w:csb0="00000001" w:csb1="00000000"/>
  </w:font>
  <w:font w:name="DIN Offc Medium">
    <w:altName w:val="Arial"/>
    <w:charset w:val="00"/>
    <w:family w:val="swiss"/>
    <w:pitch w:val="variable"/>
    <w:sig w:usb0="00000003" w:usb1="4000A47B"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F3B18" w14:textId="2E9EBC0B" w:rsidR="00795FE8" w:rsidRDefault="00795FE8" w:rsidP="00795FE8">
    <w:pPr>
      <w:pStyle w:val="Footer"/>
    </w:pPr>
    <w:r w:rsidRPr="002A641A">
      <w:ptab w:relativeTo="margin" w:alignment="left" w:leader="none"/>
    </w:r>
    <w:r w:rsidRPr="00BB2437">
      <w:t xml:space="preserve">AUSTRALIAN PRUDENTIAL REGULATION AUTHORITY </w:t>
    </w:r>
    <w:r w:rsidR="00F00A52">
      <w:rPr>
        <w:noProof/>
        <w:lang w:eastAsia="en-AU"/>
      </w:rPr>
      <mc:AlternateContent>
        <mc:Choice Requires="wpg">
          <w:drawing>
            <wp:anchor distT="0" distB="0" distL="114300" distR="114300" simplePos="0" relativeHeight="251658241" behindDoc="0" locked="0" layoutInCell="1" allowOverlap="1" wp14:anchorId="1AA0B519" wp14:editId="225039AB">
              <wp:simplePos x="0" y="0"/>
              <wp:positionH relativeFrom="column">
                <wp:posOffset>-914400</wp:posOffset>
              </wp:positionH>
              <wp:positionV relativeFrom="paragraph">
                <wp:posOffset>341630</wp:posOffset>
              </wp:positionV>
              <wp:extent cx="15120000" cy="277200"/>
              <wp:effectExtent l="0" t="0" r="5715" b="8890"/>
              <wp:wrapNone/>
              <wp:docPr id="1" name="Group 1" descr="Footer Banner" title="Footer Banner"/>
              <wp:cNvGraphicFramePr/>
              <a:graphic xmlns:a="http://schemas.openxmlformats.org/drawingml/2006/main">
                <a:graphicData uri="http://schemas.microsoft.com/office/word/2010/wordprocessingGroup">
                  <wpg:wgp>
                    <wpg:cNvGrpSpPr/>
                    <wpg:grpSpPr>
                      <a:xfrm>
                        <a:off x="0" y="0"/>
                        <a:ext cx="15120000" cy="277200"/>
                        <a:chOff x="0" y="0"/>
                        <a:chExt cx="15120000" cy="277200"/>
                      </a:xfrm>
                    </wpg:grpSpPr>
                    <wps:wsp>
                      <wps:cNvPr id="3" name="Rectangle 3" descr="Footer Banner" title="Footer Banner"/>
                      <wps:cNvSpPr/>
                      <wps:spPr>
                        <a:xfrm>
                          <a:off x="0" y="0"/>
                          <a:ext cx="15120000" cy="2772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descr="Footer Banner" title="Footer Banner"/>
                      <wps:cNvSpPr/>
                      <wps:spPr>
                        <a:xfrm>
                          <a:off x="914400" y="0"/>
                          <a:ext cx="2732400" cy="277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29CA710" id="Group 1" o:spid="_x0000_s1026" alt="Title: Footer Banner - Description: Footer Banner" style="position:absolute;margin-left:-1in;margin-top:26.9pt;width:1190.55pt;height:21.85pt;z-index:251658241" coordsize="151200,2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">
              <v:rect id="Rectangle 3" o:spid="_x0000_s1027" alt="Footer Banner" style="position:absolute;width:151200;height:27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" fillcolor="#00a9e0 [3205]" stroked="f" strokeweight="2pt"/>
              <v:rect id="Rectangle 4" o:spid="_x0000_s1028" alt="Footer Banner" style="position:absolute;left:9144;width:27324;height:27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" fillcolor="#012169 [3204]" stroked="f" strokeweight="2pt"/>
            </v:group>
          </w:pict>
        </mc:Fallback>
      </mc:AlternateContent>
    </w:r>
    <w:r>
      <w:ptab w:relativeTo="margin" w:alignment="right" w:leader="none"/>
    </w:r>
    <w:r>
      <w:fldChar w:fldCharType="begin"/>
    </w:r>
    <w:r>
      <w:instrText xml:space="preserve"> PAGE  \* Arabic  \* MERGEFORMAT </w:instrText>
    </w:r>
    <w:r>
      <w:fldChar w:fldCharType="separate"/>
    </w:r>
    <w:r>
      <w:t>2</w:t>
    </w:r>
    <w:r>
      <w:fldChar w:fldCharType="end"/>
    </w:r>
  </w:p>
  <w:p w14:paraId="02328551" w14:textId="77777777" w:rsidR="00795FE8" w:rsidRDefault="00795F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0BDAC" w14:textId="77777777" w:rsidR="00FD6D8D" w:rsidRDefault="00FD6D8D" w:rsidP="002552B3">
      <w:pPr>
        <w:numPr>
          <w:ilvl w:val="0"/>
          <w:numId w:val="0"/>
        </w:numPr>
      </w:pPr>
      <w:r>
        <w:separator/>
      </w:r>
    </w:p>
  </w:footnote>
  <w:footnote w:type="continuationSeparator" w:id="0">
    <w:p w14:paraId="22D6CADA" w14:textId="77777777" w:rsidR="00FD6D8D" w:rsidRPr="000D4EDE" w:rsidRDefault="00FD6D8D" w:rsidP="000D4EDE">
      <w:r>
        <w:continuationSeparator/>
      </w:r>
    </w:p>
    <w:p w14:paraId="2530D38E" w14:textId="77777777" w:rsidR="00FD6D8D" w:rsidRDefault="00FD6D8D"/>
    <w:p w14:paraId="5D30B791" w14:textId="77777777" w:rsidR="00FD6D8D" w:rsidRDefault="00FD6D8D"/>
  </w:footnote>
  <w:footnote w:type="continuationNotice" w:id="1">
    <w:p w14:paraId="438A520F" w14:textId="77777777" w:rsidR="00FD6D8D" w:rsidRDefault="00FD6D8D">
      <w:pPr>
        <w:spacing w:after="0"/>
      </w:pPr>
    </w:p>
  </w:footnote>
  <w:footnote w:id="2">
    <w:p w14:paraId="36A1CA65" w14:textId="308D3444" w:rsidR="00351FB0" w:rsidRDefault="00351FB0" w:rsidP="00C235F7">
      <w:pPr>
        <w:pStyle w:val="FootnoteText"/>
        <w:spacing w:after="0"/>
      </w:pPr>
      <w:r>
        <w:rPr>
          <w:rStyle w:val="FootnoteReference"/>
        </w:rPr>
        <w:footnoteRef/>
      </w:r>
      <w:r>
        <w:t xml:space="preserve">   This is evident in an </w:t>
      </w:r>
      <w:r w:rsidRPr="00351FB0">
        <w:t>increase</w:t>
      </w:r>
      <w:r>
        <w:t xml:space="preserve"> in</w:t>
      </w:r>
      <w:r w:rsidRPr="00351FB0">
        <w:t xml:space="preserve"> high-quality liquid assets, reduced reliance on short-term wholesale funding and more mature approaches to liquidity risk management (as demonstrated during the COVID-19 period)</w:t>
      </w:r>
      <w:r>
        <w:t>.</w:t>
      </w:r>
    </w:p>
  </w:footnote>
  <w:footnote w:id="3">
    <w:p w14:paraId="19D59B47" w14:textId="54BD8E8A" w:rsidR="00CA4A14" w:rsidRPr="00CA4A14" w:rsidRDefault="00CA4A14" w:rsidP="00CA4A14">
      <w:pPr>
        <w:pStyle w:val="FootnoteText"/>
      </w:pPr>
      <w:r>
        <w:rPr>
          <w:rStyle w:val="FootnoteReference"/>
        </w:rPr>
        <w:footnoteRef/>
      </w:r>
      <w:r>
        <w:t xml:space="preserve">   APRA’s strategic initiative to </w:t>
      </w:r>
      <w:r>
        <w:rPr>
          <w:i/>
        </w:rPr>
        <w:t>Modernise the prudential architecture</w:t>
      </w:r>
      <w:r>
        <w:t xml:space="preserve"> will examine the scope for improvements in the design of the prudential framework more broadly, seeking to ensure that the rules are easy to understand, find and navigate. The issues raised in the PIR are therefore useful for this broader review of the prudential framework.</w:t>
      </w:r>
    </w:p>
  </w:footnote>
  <w:footnote w:id="4">
    <w:p w14:paraId="1A2DDE37" w14:textId="1FC0EE9B" w:rsidR="006071CA" w:rsidRPr="006071CA" w:rsidRDefault="006071CA">
      <w:pPr>
        <w:pStyle w:val="FootnoteText"/>
        <w:rPr>
          <w:lang w:val="en-US"/>
        </w:rPr>
      </w:pPr>
      <w:r>
        <w:rPr>
          <w:rStyle w:val="FootnoteReference"/>
        </w:rPr>
        <w:footnoteRef/>
      </w:r>
      <w:r w:rsidR="002D7EF9">
        <w:t xml:space="preserve"> </w:t>
      </w:r>
      <w:r>
        <w:t xml:space="preserve"> </w:t>
      </w:r>
      <w:r w:rsidR="00433030">
        <w:t xml:space="preserve">See </w:t>
      </w:r>
      <w:r w:rsidR="00433030">
        <w:rPr>
          <w:i/>
        </w:rPr>
        <w:t xml:space="preserve">RIS Basel III liquidity reforms in Australia </w:t>
      </w:r>
      <w:r w:rsidR="00433030">
        <w:t xml:space="preserve">(December 2013) and </w:t>
      </w:r>
      <w:r w:rsidR="00433030">
        <w:rPr>
          <w:i/>
        </w:rPr>
        <w:t xml:space="preserve">RIS: Basel III liquidity: the net stable funding ratio and the liquid assets requirement for foreign ADIs </w:t>
      </w:r>
      <w:r w:rsidR="00433030">
        <w:t xml:space="preserve">(December 2016), </w:t>
      </w:r>
      <w:hyperlink r:id="rId1" w:history="1">
        <w:r w:rsidR="00433030" w:rsidRPr="00340E47">
          <w:rPr>
            <w:rStyle w:val="Hyperlink"/>
          </w:rPr>
          <w:t>Regulation impact statements | APRA</w:t>
        </w:r>
      </w:hyperlink>
    </w:p>
  </w:footnote>
  <w:footnote w:id="5">
    <w:p w14:paraId="1361FC28" w14:textId="68A737D8" w:rsidR="001116A7" w:rsidRPr="001116A7" w:rsidRDefault="001116A7" w:rsidP="001116A7">
      <w:pPr>
        <w:pStyle w:val="FootnoteText"/>
      </w:pPr>
      <w:r w:rsidRPr="001116A7">
        <w:rPr>
          <w:rStyle w:val="FootnoteReference"/>
        </w:rPr>
        <w:footnoteRef/>
      </w:r>
      <w:r w:rsidRPr="001116A7">
        <w:t xml:space="preserve"> </w:t>
      </w:r>
      <w:r w:rsidR="002D7EF9">
        <w:t xml:space="preserve"> </w:t>
      </w:r>
      <w:r w:rsidRPr="001116A7">
        <w:t>See</w:t>
      </w:r>
      <w:r w:rsidRPr="00433030">
        <w:rPr>
          <w:rStyle w:val="Hyperlink"/>
        </w:rPr>
        <w:t xml:space="preserve"> </w:t>
      </w:r>
      <w:hyperlink r:id="rId2" w:history="1">
        <w:r w:rsidRPr="00433030">
          <w:rPr>
            <w:rStyle w:val="Hyperlink"/>
          </w:rPr>
          <w:t>Basel III: The Liquidity Coverage Ratio and liquidity risk monitoring tools (bis.org)</w:t>
        </w:r>
      </w:hyperlink>
      <w:r w:rsidR="00433030">
        <w:t xml:space="preserve"> </w:t>
      </w:r>
      <w:r w:rsidRPr="001116A7">
        <w:t xml:space="preserve">and </w:t>
      </w:r>
      <w:hyperlink r:id="rId3" w:history="1">
        <w:r w:rsidRPr="00433030">
          <w:rPr>
            <w:rStyle w:val="Hyperlink"/>
          </w:rPr>
          <w:t>Basel III: the net stable funding ratio (bis.org)</w:t>
        </w:r>
      </w:hyperlink>
    </w:p>
  </w:footnote>
  <w:footnote w:id="6">
    <w:p w14:paraId="6D8D46B6" w14:textId="2DA95D51" w:rsidR="00BB26A8" w:rsidRDefault="00BB26A8" w:rsidP="00BB26A8">
      <w:pPr>
        <w:pStyle w:val="FootnoteText"/>
      </w:pPr>
      <w:r>
        <w:rPr>
          <w:rStyle w:val="FootnoteReference"/>
        </w:rPr>
        <w:footnoteRef/>
      </w:r>
      <w:r>
        <w:t xml:space="preserve"> </w:t>
      </w:r>
      <w:r w:rsidR="002D7EF9">
        <w:t xml:space="preserve">  </w:t>
      </w:r>
      <w:r>
        <w:t>The LCR and NSFR are defined in more detail in APS 210 Attachments A and C, with guidance in APG 210 Chapters 2 and 4 and reporting required as per ARS 210 (forms 210.1A, 210.1B and 210.6).</w:t>
      </w:r>
    </w:p>
  </w:footnote>
  <w:footnote w:id="7">
    <w:p w14:paraId="662DFAD6" w14:textId="7AE0315E" w:rsidR="00FD6D8D" w:rsidRPr="00DA7EB2" w:rsidRDefault="00FD6D8D" w:rsidP="00DA7EB2">
      <w:pPr>
        <w:pStyle w:val="FootnoteText"/>
      </w:pPr>
      <w:r w:rsidRPr="00DA7EB2">
        <w:rPr>
          <w:rStyle w:val="FootnoteReference"/>
        </w:rPr>
        <w:footnoteRef/>
      </w:r>
      <w:r w:rsidRPr="00DA7EB2">
        <w:t xml:space="preserve"> </w:t>
      </w:r>
      <w:r w:rsidR="002D7EF9">
        <w:t xml:space="preserve">  </w:t>
      </w:r>
      <w:r w:rsidR="00DA7EB2" w:rsidRPr="00DA7EB2">
        <w:t xml:space="preserve">See </w:t>
      </w:r>
      <w:hyperlink r:id="rId4" w:history="1">
        <w:r w:rsidR="005D311B" w:rsidRPr="005D311B">
          <w:rPr>
            <w:rStyle w:val="Hyperlink"/>
          </w:rPr>
          <w:t>post-implementation</w:t>
        </w:r>
        <w:r w:rsidR="00DA7EB2" w:rsidRPr="005D311B">
          <w:rPr>
            <w:rStyle w:val="Hyperlink"/>
          </w:rPr>
          <w:t xml:space="preserve"> review of Basel III liquidity reforms | APRA</w:t>
        </w:r>
      </w:hyperlink>
      <w:r w:rsidR="00A01458" w:rsidRPr="00DA7EB2">
        <w:t xml:space="preserve"> </w:t>
      </w:r>
      <w:r w:rsidRPr="00DA7EB2">
        <w:t xml:space="preserve"> </w:t>
      </w:r>
    </w:p>
  </w:footnote>
  <w:footnote w:id="8">
    <w:p w14:paraId="58BAEFD3" w14:textId="6F1BBCC7" w:rsidR="00342394" w:rsidRDefault="00342394" w:rsidP="00342394">
      <w:pPr>
        <w:pStyle w:val="FootnoteText"/>
      </w:pPr>
      <w:r>
        <w:rPr>
          <w:rStyle w:val="FootnoteReference"/>
        </w:rPr>
        <w:footnoteRef/>
      </w:r>
      <w:r>
        <w:t xml:space="preserve">  </w:t>
      </w:r>
      <w:r w:rsidR="00C472CA">
        <w:t>Conducted in 2017 and 2019 respectively, t</w:t>
      </w:r>
      <w:r w:rsidR="00566C95">
        <w:t xml:space="preserve">he Basel Committee noted </w:t>
      </w:r>
      <w:r w:rsidR="00F43059">
        <w:t xml:space="preserve">that the </w:t>
      </w:r>
      <w:r w:rsidR="00566C95">
        <w:t xml:space="preserve">quality of intended regulatory outcomes </w:t>
      </w:r>
      <w:r w:rsidR="00C472CA">
        <w:t xml:space="preserve">for the LCR and NSFR </w:t>
      </w:r>
      <w:r w:rsidR="00566C95">
        <w:t xml:space="preserve">were considered </w:t>
      </w:r>
      <w:r w:rsidR="00F43059">
        <w:t>‘</w:t>
      </w:r>
      <w:r w:rsidR="003F600F">
        <w:t>compliant</w:t>
      </w:r>
      <w:r w:rsidR="00F43059">
        <w:t>’</w:t>
      </w:r>
      <w:r w:rsidR="003F600F">
        <w:t>, the highest grade provided under a RCAP process.</w:t>
      </w:r>
      <w:r>
        <w:t xml:space="preserve"> See</w:t>
      </w:r>
      <w:r w:rsidRPr="00DE64EB">
        <w:t xml:space="preserve"> </w:t>
      </w:r>
      <w:hyperlink r:id="rId5" w:history="1">
        <w:r w:rsidRPr="00D91358">
          <w:rPr>
            <w:rStyle w:val="Hyperlink"/>
            <w:color w:val="0E57FC" w:themeColor="text2" w:themeTint="99"/>
          </w:rPr>
          <w:t>Regulatory Consistency Assessment Programme (RCAP) - Assessment of Basel III LCR regulations - Australia (bis.org)</w:t>
        </w:r>
      </w:hyperlink>
      <w:r w:rsidRPr="00DE64EB">
        <w:t xml:space="preserve"> </w:t>
      </w:r>
      <w:r>
        <w:t xml:space="preserve">and </w:t>
      </w:r>
      <w:hyperlink r:id="rId6" w:history="1">
        <w:r w:rsidRPr="00D91358">
          <w:rPr>
            <w:rStyle w:val="Hyperlink"/>
            <w:color w:val="0E57FC" w:themeColor="text2" w:themeTint="99"/>
          </w:rPr>
          <w:t>Regulatory Consistency Assessment Programme (RCAP) - Assessment of Basel NSFR regulations – Australia (bis.org)</w:t>
        </w:r>
      </w:hyperlink>
    </w:p>
  </w:footnote>
  <w:footnote w:id="9">
    <w:p w14:paraId="231ADCE2" w14:textId="4ECCDA52" w:rsidR="00062A33" w:rsidRDefault="00062A33">
      <w:pPr>
        <w:pStyle w:val="FootnoteText"/>
      </w:pPr>
      <w:r>
        <w:rPr>
          <w:rStyle w:val="FootnoteReference"/>
        </w:rPr>
        <w:footnoteRef/>
      </w:r>
      <w:r w:rsidR="002D7EF9">
        <w:t xml:space="preserve">  </w:t>
      </w:r>
      <w:r w:rsidR="006B3082">
        <w:t>Data sourced from RBA and APRA data,</w:t>
      </w:r>
      <w:r w:rsidR="00E2511D">
        <w:t xml:space="preserve"> </w:t>
      </w:r>
      <w:r>
        <w:t xml:space="preserve">presented in Figure 2 below. </w:t>
      </w:r>
    </w:p>
  </w:footnote>
  <w:footnote w:id="10">
    <w:p w14:paraId="6A9FC9FD" w14:textId="5F695D73" w:rsidR="005E690E" w:rsidRDefault="005E690E">
      <w:pPr>
        <w:pStyle w:val="FootnoteText"/>
      </w:pPr>
      <w:r>
        <w:rPr>
          <w:rStyle w:val="FootnoteReference"/>
        </w:rPr>
        <w:footnoteRef/>
      </w:r>
      <w:r w:rsidR="002D7EF9">
        <w:t xml:space="preserve"> </w:t>
      </w:r>
      <w:r>
        <w:t xml:space="preserve"> </w:t>
      </w:r>
      <w:r w:rsidR="00C14C25">
        <w:t xml:space="preserve">As per </w:t>
      </w:r>
      <w:r>
        <w:t>ARF 210.5.</w:t>
      </w:r>
    </w:p>
  </w:footnote>
  <w:footnote w:id="11">
    <w:p w14:paraId="46E1D200" w14:textId="57E41367" w:rsidR="002160F6" w:rsidRDefault="002160F6">
      <w:pPr>
        <w:pStyle w:val="FootnoteText"/>
      </w:pPr>
      <w:r>
        <w:rPr>
          <w:rStyle w:val="FootnoteReference"/>
        </w:rPr>
        <w:footnoteRef/>
      </w:r>
      <w:r>
        <w:t xml:space="preserve"> </w:t>
      </w:r>
      <w:r w:rsidR="002D7EF9">
        <w:t xml:space="preserve"> </w:t>
      </w:r>
      <w:r w:rsidR="00F04AF1">
        <w:t>In order to assist banks in building their holdings of high-quality liquid assets as a result of low levels of government debt in the market, t</w:t>
      </w:r>
      <w:r>
        <w:t>he CLF was introduced in 2015</w:t>
      </w:r>
      <w:r w:rsidR="00F04AF1">
        <w:t>. Th</w:t>
      </w:r>
      <w:r w:rsidR="00174C73">
        <w:t>e facility, committed by the RBA, provided liquidity to banks at fee, with a specific</w:t>
      </w:r>
      <w:r w:rsidR="00BB4777">
        <w:t xml:space="preserve"> bank</w:t>
      </w:r>
      <w:r w:rsidR="00174C73">
        <w:t xml:space="preserve"> limit </w:t>
      </w:r>
      <w:r w:rsidR="00BB4777">
        <w:t>approved</w:t>
      </w:r>
      <w:r w:rsidR="00174C73">
        <w:t xml:space="preserve"> by APRA. </w:t>
      </w:r>
    </w:p>
  </w:footnote>
  <w:footnote w:id="12">
    <w:p w14:paraId="74CE81F8" w14:textId="77777777" w:rsidR="00C97EA5" w:rsidRPr="00C80B57" w:rsidRDefault="00C97EA5" w:rsidP="00C97EA5">
      <w:pPr>
        <w:pStyle w:val="FootnoteText"/>
        <w:rPr>
          <w:lang w:val="en-US"/>
        </w:rPr>
      </w:pPr>
      <w:r>
        <w:rPr>
          <w:rStyle w:val="FootnoteReference"/>
        </w:rPr>
        <w:footnoteRef/>
      </w:r>
      <w:r w:rsidR="002D7EF9">
        <w:t xml:space="preserve"> </w:t>
      </w:r>
      <w:r>
        <w:t xml:space="preserve"> L</w:t>
      </w:r>
      <w:r w:rsidRPr="004143BD">
        <w:t xml:space="preserve">iquid assets help </w:t>
      </w:r>
      <w:r>
        <w:t xml:space="preserve">to </w:t>
      </w:r>
      <w:r w:rsidRPr="004143BD">
        <w:t>provide resilience against liquidity stresses</w:t>
      </w:r>
      <w:r>
        <w:t>,</w:t>
      </w:r>
      <w:r w:rsidRPr="004143BD">
        <w:t xml:space="preserve"> as they can be converted to cash quickly if needed to meet financial obligations</w:t>
      </w:r>
      <w:r>
        <w:t>.</w:t>
      </w:r>
    </w:p>
  </w:footnote>
  <w:footnote w:id="13">
    <w:p w14:paraId="37E302A1" w14:textId="68C3459E" w:rsidR="00EC064B" w:rsidRPr="00C80B57" w:rsidRDefault="00EC064B">
      <w:pPr>
        <w:pStyle w:val="FootnoteText"/>
        <w:rPr>
          <w:lang w:val="en-US"/>
        </w:rPr>
      </w:pPr>
      <w:r>
        <w:rPr>
          <w:rStyle w:val="FootnoteReference"/>
        </w:rPr>
        <w:footnoteRef/>
      </w:r>
      <w:r>
        <w:t xml:space="preserve">  </w:t>
      </w:r>
      <w:r>
        <w:rPr>
          <w:lang w:val="en-US"/>
        </w:rPr>
        <w:t xml:space="preserve">The four major banks, </w:t>
      </w:r>
      <w:hyperlink r:id="rId7" w:history="1">
        <w:r w:rsidR="004D142C" w:rsidRPr="009D3907">
          <w:rPr>
            <w:rStyle w:val="Hyperlink"/>
            <w:lang w:val="en-US"/>
          </w:rPr>
          <w:t>ANZ</w:t>
        </w:r>
      </w:hyperlink>
      <w:r w:rsidR="004D142C">
        <w:rPr>
          <w:lang w:val="en-US"/>
        </w:rPr>
        <w:t xml:space="preserve">, </w:t>
      </w:r>
      <w:hyperlink r:id="rId8" w:history="1">
        <w:r w:rsidRPr="00C863FA">
          <w:rPr>
            <w:rStyle w:val="Hyperlink"/>
            <w:lang w:val="en-US"/>
          </w:rPr>
          <w:t>CBA</w:t>
        </w:r>
      </w:hyperlink>
      <w:r>
        <w:rPr>
          <w:lang w:val="en-US"/>
        </w:rPr>
        <w:t xml:space="preserve">, </w:t>
      </w:r>
      <w:hyperlink r:id="rId9" w:history="1">
        <w:r w:rsidRPr="00C863FA">
          <w:rPr>
            <w:rStyle w:val="Hyperlink"/>
            <w:lang w:val="en-US"/>
          </w:rPr>
          <w:t>NAB</w:t>
        </w:r>
      </w:hyperlink>
      <w:r w:rsidR="004D142C">
        <w:rPr>
          <w:lang w:val="en-US"/>
        </w:rPr>
        <w:t xml:space="preserve"> and</w:t>
      </w:r>
      <w:r>
        <w:rPr>
          <w:lang w:val="en-US"/>
        </w:rPr>
        <w:t xml:space="preserve"> </w:t>
      </w:r>
      <w:hyperlink r:id="rId10" w:history="1">
        <w:r w:rsidRPr="00C863FA">
          <w:rPr>
            <w:rStyle w:val="Hyperlink"/>
            <w:lang w:val="en-US"/>
          </w:rPr>
          <w:t>Westpac</w:t>
        </w:r>
      </w:hyperlink>
      <w:r>
        <w:rPr>
          <w:lang w:val="en-US"/>
        </w:rPr>
        <w:t>, all maintain a credit rating of AA- by S&amp;P, Aa3 by Moody</w:t>
      </w:r>
      <w:r w:rsidR="004D142C">
        <w:rPr>
          <w:lang w:val="en-US"/>
        </w:rPr>
        <w:t>’</w:t>
      </w:r>
      <w:r>
        <w:rPr>
          <w:lang w:val="en-US"/>
        </w:rPr>
        <w:t xml:space="preserve">s and A+ by Fitch. </w:t>
      </w:r>
    </w:p>
  </w:footnote>
  <w:footnote w:id="14">
    <w:p w14:paraId="185AC760" w14:textId="760FEF4E" w:rsidR="00186FC3" w:rsidRDefault="00186FC3">
      <w:pPr>
        <w:pStyle w:val="FootnoteText"/>
      </w:pPr>
      <w:r>
        <w:rPr>
          <w:rStyle w:val="FootnoteReference"/>
        </w:rPr>
        <w:footnoteRef/>
      </w:r>
      <w:r>
        <w:t xml:space="preserve"> </w:t>
      </w:r>
      <w:r w:rsidR="007D203F">
        <w:t xml:space="preserve"> </w:t>
      </w:r>
      <w:r>
        <w:t xml:space="preserve">Based upon bank submissions received during consultation and internal APRA data. </w:t>
      </w:r>
    </w:p>
  </w:footnote>
  <w:footnote w:id="15">
    <w:p w14:paraId="7D8FC22F" w14:textId="688CA87D" w:rsidR="008D1ACF" w:rsidRDefault="008D1ACF" w:rsidP="008D1ACF">
      <w:pPr>
        <w:pStyle w:val="FootnoteText"/>
      </w:pPr>
      <w:r>
        <w:rPr>
          <w:rStyle w:val="FootnoteReference"/>
        </w:rPr>
        <w:footnoteRef/>
      </w:r>
      <w:r>
        <w:t xml:space="preserve">  The </w:t>
      </w:r>
      <w:r w:rsidR="007B19A3">
        <w:t>TFF</w:t>
      </w:r>
      <w:r>
        <w:t xml:space="preserve"> was a mechanism provided by the RBA to provide low-cost, three-year funding to banks. This formed part of the RBA’s comprehensive policy response to the COVID-19 pandemic.  </w:t>
      </w:r>
    </w:p>
  </w:footnote>
  <w:footnote w:id="16">
    <w:p w14:paraId="2088FCD2" w14:textId="25CAE74E" w:rsidR="00A73EDD" w:rsidRDefault="00A73EDD">
      <w:pPr>
        <w:pStyle w:val="FootnoteText"/>
      </w:pPr>
      <w:r>
        <w:rPr>
          <w:rStyle w:val="FootnoteReference"/>
        </w:rPr>
        <w:footnoteRef/>
      </w:r>
      <w:r w:rsidR="007B3374">
        <w:t xml:space="preserve">  </w:t>
      </w:r>
      <w:r>
        <w:t>Further, m</w:t>
      </w:r>
      <w:r w:rsidRPr="00294011">
        <w:t>ost submissions</w:t>
      </w:r>
      <w:r>
        <w:t xml:space="preserve"> received by APRA during the consultation process </w:t>
      </w:r>
      <w:r w:rsidRPr="00294011">
        <w:t>did not use the Regulatory Burden Measurement tool to assess compliance costs</w:t>
      </w:r>
      <w:r>
        <w:t>.</w:t>
      </w:r>
    </w:p>
  </w:footnote>
  <w:footnote w:id="17">
    <w:p w14:paraId="15F64200" w14:textId="5C6A30F8" w:rsidR="0080748C" w:rsidRPr="004F5956" w:rsidRDefault="0080748C" w:rsidP="0080748C">
      <w:pPr>
        <w:pStyle w:val="FootnoteText"/>
        <w:rPr>
          <w:i/>
        </w:rPr>
      </w:pPr>
      <w:r>
        <w:rPr>
          <w:rStyle w:val="FootnoteReference"/>
        </w:rPr>
        <w:footnoteRef/>
      </w:r>
      <w:r>
        <w:t xml:space="preserve"> </w:t>
      </w:r>
      <w:r w:rsidR="007B3374">
        <w:t xml:space="preserve"> </w:t>
      </w:r>
      <w:r w:rsidR="00157AE9">
        <w:t xml:space="preserve"> </w:t>
      </w:r>
      <w:r w:rsidR="00622021">
        <w:t>Bank of England</w:t>
      </w:r>
      <w:r>
        <w:t xml:space="preserve">: </w:t>
      </w:r>
      <w:hyperlink r:id="rId11" w:history="1">
        <w:r w:rsidRPr="004F5956">
          <w:rPr>
            <w:rStyle w:val="Hyperlink"/>
            <w:i/>
          </w:rPr>
          <w:t>DP1/22 – The prudential liquidity framework, Supporting liquid asset usability</w:t>
        </w:r>
      </w:hyperlink>
      <w:r w:rsidRPr="00510E5C">
        <w:t>; Basel Committee</w:t>
      </w:r>
      <w:r>
        <w:rPr>
          <w:i/>
        </w:rPr>
        <w:t xml:space="preserve"> </w:t>
      </w:r>
      <w:hyperlink r:id="rId12" w:history="1">
        <w:r w:rsidRPr="00CC030B">
          <w:rPr>
            <w:rStyle w:val="Hyperlink"/>
            <w:i/>
          </w:rPr>
          <w:t>Early lessons from the Covid-19 pandemic on the Basel reforms</w:t>
        </w:r>
      </w:hyperlink>
    </w:p>
  </w:footnote>
  <w:footnote w:id="18">
    <w:p w14:paraId="55A49E6F" w14:textId="4A78B7F2" w:rsidR="000C5A7C" w:rsidRDefault="000C5A7C">
      <w:pPr>
        <w:pStyle w:val="FootnoteText"/>
      </w:pPr>
      <w:r>
        <w:rPr>
          <w:rStyle w:val="FootnoteReference"/>
        </w:rPr>
        <w:footnoteRef/>
      </w:r>
      <w:r>
        <w:t xml:space="preserve">   APS 210, Attachment A, paragraph 5.</w:t>
      </w:r>
    </w:p>
  </w:footnote>
  <w:footnote w:id="19">
    <w:p w14:paraId="6026AB5C" w14:textId="20944214" w:rsidR="00FD6D8D" w:rsidRPr="0008405A" w:rsidRDefault="00FD6D8D" w:rsidP="00F33DCA">
      <w:pPr>
        <w:pStyle w:val="FootnoteText"/>
      </w:pPr>
      <w:r>
        <w:rPr>
          <w:rStyle w:val="FootnoteReference"/>
        </w:rPr>
        <w:footnoteRef/>
      </w:r>
      <w:r>
        <w:t xml:space="preserve"> </w:t>
      </w:r>
      <w:r w:rsidR="007B3374">
        <w:t xml:space="preserve"> </w:t>
      </w:r>
      <w:r w:rsidR="0008405A">
        <w:t>For further details on Modernising the prudential architecture, see Chapter 1 of</w:t>
      </w:r>
      <w:r w:rsidR="0008405A" w:rsidRPr="0008405A">
        <w:t xml:space="preserve"> </w:t>
      </w:r>
      <w:hyperlink r:id="rId13" w:history="1">
        <w:r w:rsidRPr="0008405A">
          <w:rPr>
            <w:rStyle w:val="Hyperlink"/>
          </w:rPr>
          <w:t>Information Paper: APRA’s Policy Priorities</w:t>
        </w:r>
      </w:hyperlink>
    </w:p>
  </w:footnote>
  <w:footnote w:id="20">
    <w:p w14:paraId="1E329B35" w14:textId="77777777" w:rsidR="005277F7" w:rsidRPr="006065D1" w:rsidRDefault="005277F7" w:rsidP="005277F7">
      <w:pPr>
        <w:pStyle w:val="FootnoteText"/>
      </w:pPr>
      <w:r w:rsidRPr="006065D1">
        <w:rPr>
          <w:rStyle w:val="FootnoteReference"/>
        </w:rPr>
        <w:footnoteRef/>
      </w:r>
      <w:r w:rsidRPr="006065D1">
        <w:t xml:space="preserve"> See </w:t>
      </w:r>
      <w:hyperlink r:id="rId14" w:history="1">
        <w:r w:rsidRPr="004C384D">
          <w:rPr>
            <w:rStyle w:val="Hyperlink"/>
          </w:rPr>
          <w:t>Aggregate Committed Liquidity Facility | APRA</w:t>
        </w:r>
      </w:hyperlink>
    </w:p>
  </w:footnote>
  <w:footnote w:id="21">
    <w:p w14:paraId="40A63884" w14:textId="77777777" w:rsidR="000E4A25" w:rsidRPr="008C6F68" w:rsidRDefault="000E4A25" w:rsidP="000E4A25">
      <w:pPr>
        <w:pStyle w:val="FootnoteText"/>
        <w:rPr>
          <w:lang w:val="en-US"/>
        </w:rPr>
      </w:pPr>
      <w:r>
        <w:rPr>
          <w:rStyle w:val="FootnoteReference"/>
        </w:rPr>
        <w:footnoteRef/>
      </w:r>
      <w:r>
        <w:t xml:space="preserve">  In the original LCR RIS, APRA followed a different methodology which aimed to identify the distinction between the cost of implementing the Basel reforms and the changes that would have incurred anyway </w:t>
      </w:r>
      <w:r w:rsidRPr="00C71F22">
        <w:t>due to investor and other pressures to enhance liquidity management.</w:t>
      </w:r>
      <w:r>
        <w:t xml:space="preserve"> </w:t>
      </w:r>
      <w:r w:rsidRPr="00C71F22">
        <w:t>APRA attributed 80 per cent of the total compliance costs to the implementation of the Basel III liquidity reforms in Australia, with the residual 20 per cent representing costs that would have been incurred</w:t>
      </w:r>
      <w:r>
        <w:t xml:space="preserve"> due to investor and other pressures.</w:t>
      </w:r>
      <w:r w:rsidRPr="00C71F22">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3A58E" w14:textId="687808D7" w:rsidR="00FD6D8D" w:rsidRDefault="00B05E4A">
    <w:pPr>
      <w:pStyle w:val="Header"/>
    </w:pPr>
    <w:r>
      <w:rPr>
        <w:noProof/>
        <w:lang w:eastAsia="en-AU"/>
      </w:rPr>
      <w:drawing>
        <wp:anchor distT="0" distB="0" distL="114300" distR="114300" simplePos="0" relativeHeight="251658240" behindDoc="1" locked="0" layoutInCell="1" allowOverlap="1" wp14:anchorId="162796CD" wp14:editId="07D0F2F2">
          <wp:simplePos x="0" y="0"/>
          <wp:positionH relativeFrom="page">
            <wp:posOffset>0</wp:posOffset>
          </wp:positionH>
          <wp:positionV relativeFrom="page">
            <wp:posOffset>4445</wp:posOffset>
          </wp:positionV>
          <wp:extent cx="7560000" cy="10685124"/>
          <wp:effectExtent l="0" t="0" r="3175"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ank-Cov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512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9"/>
    <w:multiLevelType w:val="singleLevel"/>
    <w:tmpl w:val="9920EFF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D52058"/>
    <w:multiLevelType w:val="hybridMultilevel"/>
    <w:tmpl w:val="08B2020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01776129"/>
    <w:multiLevelType w:val="hybridMultilevel"/>
    <w:tmpl w:val="2E3885DE"/>
    <w:lvl w:ilvl="0" w:tplc="4D169E66">
      <w:start w:val="1"/>
      <w:numFmt w:val="bullet"/>
      <w:pStyle w:val="BULLET2"/>
      <w:lvlText w:val="―"/>
      <w:lvlJc w:val="left"/>
      <w:pPr>
        <w:ind w:left="785" w:hanging="360"/>
      </w:pPr>
      <w:rPr>
        <w:rFonts w:ascii="Trebuchet MS" w:hAnsi="Trebuchet M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983867"/>
    <w:multiLevelType w:val="multilevel"/>
    <w:tmpl w:val="6034109E"/>
    <w:styleLink w:val="AppendixList"/>
    <w:lvl w:ilvl="0">
      <w:start w:val="1"/>
      <w:numFmt w:val="upperLetter"/>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19AE53F4"/>
    <w:multiLevelType w:val="multilevel"/>
    <w:tmpl w:val="73EC9368"/>
    <w:lvl w:ilvl="0">
      <w:start w:val="1"/>
      <w:numFmt w:val="decimal"/>
      <w:pStyle w:val="ListNumber"/>
      <w:lvlText w:val="%1."/>
      <w:lvlJc w:val="left"/>
      <w:pPr>
        <w:tabs>
          <w:tab w:val="num" w:pos="851"/>
        </w:tabs>
        <w:ind w:left="851" w:hanging="851"/>
      </w:pPr>
      <w:rPr>
        <w:rFonts w:hint="default"/>
        <w:spacing w:val="0"/>
      </w:rPr>
    </w:lvl>
    <w:lvl w:ilvl="1">
      <w:start w:val="1"/>
      <w:numFmt w:val="decimal"/>
      <w:pStyle w:val="ListNumber2"/>
      <w:lvlText w:val="%1.%2."/>
      <w:lvlJc w:val="left"/>
      <w:pPr>
        <w:tabs>
          <w:tab w:val="num" w:pos="1701"/>
        </w:tabs>
        <w:ind w:left="1701" w:hanging="850"/>
      </w:pPr>
      <w:rPr>
        <w:rFonts w:hint="default"/>
        <w:spacing w:val="0"/>
      </w:rPr>
    </w:lvl>
    <w:lvl w:ilvl="2">
      <w:start w:val="1"/>
      <w:numFmt w:val="decimal"/>
      <w:pStyle w:val="ListNumber3"/>
      <w:lvlText w:val="%1.%2.%3."/>
      <w:lvlJc w:val="left"/>
      <w:pPr>
        <w:tabs>
          <w:tab w:val="num" w:pos="2552"/>
        </w:tabs>
        <w:ind w:left="2552" w:hanging="851"/>
      </w:pPr>
      <w:rPr>
        <w:rFonts w:hint="default"/>
        <w:spacing w:val="0"/>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1FBF14BD"/>
    <w:multiLevelType w:val="hybridMultilevel"/>
    <w:tmpl w:val="BB58BA8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13E0F5F"/>
    <w:multiLevelType w:val="hybridMultilevel"/>
    <w:tmpl w:val="E930935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0" w15:restartNumberingAfterBreak="0">
    <w:nsid w:val="320F33B3"/>
    <w:multiLevelType w:val="hybridMultilevel"/>
    <w:tmpl w:val="396A1A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B1D0B93"/>
    <w:multiLevelType w:val="hybridMultilevel"/>
    <w:tmpl w:val="6734BBF6"/>
    <w:lvl w:ilvl="0" w:tplc="0F42CBC8">
      <w:numFmt w:val="bullet"/>
      <w:lvlText w:val="-"/>
      <w:lvlJc w:val="left"/>
      <w:pPr>
        <w:ind w:left="720" w:hanging="360"/>
      </w:pPr>
      <w:rPr>
        <w:rFonts w:ascii="DIN OT Light" w:eastAsiaTheme="minorHAnsi" w:hAnsi="DIN OT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D453451"/>
    <w:multiLevelType w:val="hybridMultilevel"/>
    <w:tmpl w:val="891A0B6E"/>
    <w:lvl w:ilvl="0" w:tplc="0C090001">
      <w:start w:val="1"/>
      <w:numFmt w:val="bullet"/>
      <w:lvlText w:val=""/>
      <w:lvlJc w:val="left"/>
      <w:pPr>
        <w:ind w:left="785" w:hanging="360"/>
      </w:pPr>
      <w:rPr>
        <w:rFonts w:ascii="Symbol" w:hAnsi="Symbol" w:hint="default"/>
      </w:rPr>
    </w:lvl>
    <w:lvl w:ilvl="1" w:tplc="0C090003">
      <w:start w:val="1"/>
      <w:numFmt w:val="bullet"/>
      <w:lvlText w:val="o"/>
      <w:lvlJc w:val="left"/>
      <w:pPr>
        <w:ind w:left="1505" w:hanging="360"/>
      </w:pPr>
      <w:rPr>
        <w:rFonts w:ascii="Courier New" w:hAnsi="Courier New" w:cs="Courier New" w:hint="default"/>
      </w:rPr>
    </w:lvl>
    <w:lvl w:ilvl="2" w:tplc="0C090005">
      <w:start w:val="1"/>
      <w:numFmt w:val="bullet"/>
      <w:lvlText w:val=""/>
      <w:lvlJc w:val="left"/>
      <w:pPr>
        <w:ind w:left="2225" w:hanging="360"/>
      </w:pPr>
      <w:rPr>
        <w:rFonts w:ascii="Wingdings" w:hAnsi="Wingdings" w:hint="default"/>
      </w:rPr>
    </w:lvl>
    <w:lvl w:ilvl="3" w:tplc="0C09000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3" w15:restartNumberingAfterBreak="0">
    <w:nsid w:val="40FE1B54"/>
    <w:multiLevelType w:val="multilevel"/>
    <w:tmpl w:val="2334ED86"/>
    <w:lvl w:ilvl="0">
      <w:start w:val="1"/>
      <w:numFmt w:val="decimal"/>
      <w:pStyle w:val="Heading1Numbers"/>
      <w:suff w:val="nothing"/>
      <w:lvlText w:val="Chapter %1 - "/>
      <w:lvlJc w:val="left"/>
      <w:pPr>
        <w:ind w:left="0" w:firstLine="0"/>
      </w:pPr>
      <w:rPr>
        <w:rFonts w:hint="default"/>
      </w:rPr>
    </w:lvl>
    <w:lvl w:ilvl="1">
      <w:start w:val="1"/>
      <w:numFmt w:val="decimal"/>
      <w:pStyle w:val="Heading2Numbers"/>
      <w:lvlText w:val="%1.%2"/>
      <w:lvlJc w:val="left"/>
      <w:pPr>
        <w:tabs>
          <w:tab w:val="num" w:pos="9782"/>
        </w:tabs>
        <w:ind w:left="9782" w:hanging="851"/>
      </w:pPr>
      <w:rPr>
        <w:b w:val="0"/>
        <w:bCs w:val="0"/>
        <w:i w:val="0"/>
        <w:iCs w:val="0"/>
        <w:caps w:val="0"/>
        <w:smallCaps w:val="0"/>
        <w:strike w:val="0"/>
        <w:dstrike w:val="0"/>
        <w:outline w:val="0"/>
        <w:shadow w:val="0"/>
        <w:emboss w:val="0"/>
        <w:imprint w:val="0"/>
        <w:noProof w:val="0"/>
        <w:vanish w:val="0"/>
        <w:color w:val="00206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Numbers"/>
      <w:lvlText w:val="%1.%2.%3"/>
      <w:lvlJc w:val="left"/>
      <w:pPr>
        <w:tabs>
          <w:tab w:val="num" w:pos="-851"/>
        </w:tabs>
        <w:ind w:left="-1276" w:hanging="851"/>
      </w:pPr>
      <w:rPr>
        <w:rFonts w:hint="default"/>
      </w:rPr>
    </w:lvl>
    <w:lvl w:ilvl="3">
      <w:start w:val="1"/>
      <w:numFmt w:val="none"/>
      <w:suff w:val="nothing"/>
      <w:lvlText w:val=""/>
      <w:lvlJc w:val="left"/>
      <w:pPr>
        <w:ind w:left="-2127" w:firstLine="0"/>
      </w:pPr>
      <w:rPr>
        <w:rFonts w:hint="default"/>
      </w:rPr>
    </w:lvl>
    <w:lvl w:ilvl="4">
      <w:start w:val="1"/>
      <w:numFmt w:val="none"/>
      <w:suff w:val="nothing"/>
      <w:lvlText w:val=""/>
      <w:lvlJc w:val="left"/>
      <w:pPr>
        <w:ind w:left="-2127" w:firstLine="0"/>
      </w:pPr>
      <w:rPr>
        <w:rFonts w:hint="default"/>
      </w:rPr>
    </w:lvl>
    <w:lvl w:ilvl="5">
      <w:start w:val="1"/>
      <w:numFmt w:val="none"/>
      <w:suff w:val="nothing"/>
      <w:lvlText w:val=""/>
      <w:lvlJc w:val="left"/>
      <w:pPr>
        <w:ind w:left="-2127" w:firstLine="0"/>
      </w:pPr>
      <w:rPr>
        <w:rFonts w:hint="default"/>
      </w:rPr>
    </w:lvl>
    <w:lvl w:ilvl="6">
      <w:start w:val="1"/>
      <w:numFmt w:val="none"/>
      <w:suff w:val="nothing"/>
      <w:lvlText w:val=""/>
      <w:lvlJc w:val="left"/>
      <w:pPr>
        <w:ind w:left="-2127" w:firstLine="0"/>
      </w:pPr>
      <w:rPr>
        <w:rFonts w:hint="default"/>
      </w:rPr>
    </w:lvl>
    <w:lvl w:ilvl="7">
      <w:start w:val="1"/>
      <w:numFmt w:val="none"/>
      <w:suff w:val="nothing"/>
      <w:lvlText w:val=""/>
      <w:lvlJc w:val="left"/>
      <w:pPr>
        <w:ind w:left="-2127" w:firstLine="0"/>
      </w:pPr>
      <w:rPr>
        <w:rFonts w:hint="default"/>
      </w:rPr>
    </w:lvl>
    <w:lvl w:ilvl="8">
      <w:start w:val="1"/>
      <w:numFmt w:val="none"/>
      <w:suff w:val="nothing"/>
      <w:lvlText w:val=""/>
      <w:lvlJc w:val="left"/>
      <w:pPr>
        <w:ind w:left="-2127" w:firstLine="0"/>
      </w:pPr>
      <w:rPr>
        <w:rFonts w:hint="default"/>
      </w:rPr>
    </w:lvl>
  </w:abstractNum>
  <w:abstractNum w:abstractNumId="14" w15:restartNumberingAfterBreak="0">
    <w:nsid w:val="4BC03DC3"/>
    <w:multiLevelType w:val="hybridMultilevel"/>
    <w:tmpl w:val="2D461B86"/>
    <w:lvl w:ilvl="0" w:tplc="1284BFEE">
      <w:start w:val="1"/>
      <w:numFmt w:val="decimal"/>
      <w:pStyle w:val="Numberedfigureheading"/>
      <w:lvlText w:val="Figur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F826452"/>
    <w:multiLevelType w:val="hybridMultilevel"/>
    <w:tmpl w:val="F8882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0E5588"/>
    <w:multiLevelType w:val="multilevel"/>
    <w:tmpl w:val="060A2B94"/>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5D526774"/>
    <w:multiLevelType w:val="multilevel"/>
    <w:tmpl w:val="7CC65220"/>
    <w:lvl w:ilvl="0">
      <w:start w:val="1"/>
      <w:numFmt w:val="upperLetter"/>
      <w:pStyle w:val="AttachmentHeading"/>
      <w:suff w:val="space"/>
      <w:lvlText w:val="Attachment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65A4109A"/>
    <w:multiLevelType w:val="hybridMultilevel"/>
    <w:tmpl w:val="359AC44A"/>
    <w:lvl w:ilvl="0" w:tplc="F2601822">
      <w:start w:val="1"/>
      <w:numFmt w:val="bullet"/>
      <w:lvlText w:val="o"/>
      <w:lvlJc w:val="left"/>
      <w:pPr>
        <w:ind w:left="720" w:hanging="360"/>
      </w:pPr>
      <w:rPr>
        <w:rFonts w:ascii="Courier New" w:hAnsi="Courier New" w:cs="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9B17A3F"/>
    <w:multiLevelType w:val="multilevel"/>
    <w:tmpl w:val="4218048E"/>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6CC21B6D"/>
    <w:multiLevelType w:val="hybridMultilevel"/>
    <w:tmpl w:val="E31AFE6C"/>
    <w:lvl w:ilvl="0" w:tplc="FE0468C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C0E6E8A"/>
    <w:multiLevelType w:val="hybridMultilevel"/>
    <w:tmpl w:val="073E20A4"/>
    <w:lvl w:ilvl="0" w:tplc="9E92EFDE">
      <w:start w:val="1"/>
      <w:numFmt w:val="decimal"/>
      <w:pStyle w:val="Numberedtableheading"/>
      <w:lvlText w:val="Table %1."/>
      <w:lvlJc w:val="left"/>
      <w:pPr>
        <w:ind w:left="5322"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22" w15:restartNumberingAfterBreak="0">
    <w:nsid w:val="7CC97F32"/>
    <w:multiLevelType w:val="hybridMultilevel"/>
    <w:tmpl w:val="B75E474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5"/>
  </w:num>
  <w:num w:numId="4">
    <w:abstractNumId w:val="19"/>
  </w:num>
  <w:num w:numId="5">
    <w:abstractNumId w:val="9"/>
  </w:num>
  <w:num w:numId="6">
    <w:abstractNumId w:val="6"/>
  </w:num>
  <w:num w:numId="7">
    <w:abstractNumId w:val="17"/>
  </w:num>
  <w:num w:numId="8">
    <w:abstractNumId w:val="21"/>
  </w:num>
  <w:num w:numId="9">
    <w:abstractNumId w:val="14"/>
  </w:num>
  <w:num w:numId="10">
    <w:abstractNumId w:val="13"/>
  </w:num>
  <w:num w:numId="11">
    <w:abstractNumId w:val="12"/>
  </w:num>
  <w:num w:numId="12">
    <w:abstractNumId w:val="13"/>
    <w:lvlOverride w:ilvl="0">
      <w:startOverride w:val="5"/>
    </w:lvlOverride>
    <w:lvlOverride w:ilvl="1">
      <w:startOverride w:val="1"/>
    </w:lvlOverride>
  </w:num>
  <w:num w:numId="13">
    <w:abstractNumId w:val="20"/>
  </w:num>
  <w:num w:numId="14">
    <w:abstractNumId w:val="4"/>
  </w:num>
  <w:num w:numId="15">
    <w:abstractNumId w:val="8"/>
  </w:num>
  <w:num w:numId="16">
    <w:abstractNumId w:val="18"/>
  </w:num>
  <w:num w:numId="17">
    <w:abstractNumId w:val="7"/>
  </w:num>
  <w:num w:numId="18">
    <w:abstractNumId w:val="22"/>
  </w:num>
  <w:num w:numId="19">
    <w:abstractNumId w:val="15"/>
  </w:num>
  <w:num w:numId="20">
    <w:abstractNumId w:val="13"/>
  </w:num>
  <w:num w:numId="21">
    <w:abstractNumId w:val="13"/>
    <w:lvlOverride w:ilvl="0">
      <w:startOverride w:val="5"/>
    </w:lvlOverride>
    <w:lvlOverride w:ilvl="1">
      <w:startOverride w:val="1"/>
    </w:lvlOverride>
  </w:num>
  <w:num w:numId="22">
    <w:abstractNumId w:val="13"/>
    <w:lvlOverride w:ilvl="0">
      <w:startOverride w:val="5"/>
    </w:lvlOverride>
    <w:lvlOverride w:ilvl="1">
      <w:startOverride w:val="1"/>
    </w:lvlOverride>
  </w:num>
  <w:num w:numId="23">
    <w:abstractNumId w:val="13"/>
  </w:num>
  <w:num w:numId="24">
    <w:abstractNumId w:val="21"/>
  </w:num>
  <w:num w:numId="25">
    <w:abstractNumId w:val="21"/>
  </w:num>
  <w:num w:numId="26">
    <w:abstractNumId w:val="21"/>
  </w:num>
  <w:num w:numId="27">
    <w:abstractNumId w:val="16"/>
  </w:num>
  <w:num w:numId="28">
    <w:abstractNumId w:val="9"/>
  </w:num>
  <w:num w:numId="29">
    <w:abstractNumId w:val="13"/>
  </w:num>
  <w:num w:numId="30">
    <w:abstractNumId w:val="13"/>
  </w:num>
  <w:num w:numId="31">
    <w:abstractNumId w:val="2"/>
  </w:num>
  <w:num w:numId="32">
    <w:abstractNumId w:val="19"/>
    <w:lvlOverride w:ilvl="0">
      <w:startOverride w:val="4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48"/>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9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2"/>
    </w:lvlOverride>
    <w:lvlOverride w:ilvl="1">
      <w:startOverride w:val="4"/>
    </w:lvlOverride>
  </w:num>
  <w:num w:numId="36">
    <w:abstractNumId w:val="3"/>
  </w:num>
  <w:num w:numId="37">
    <w:abstractNumId w:val="10"/>
  </w:num>
  <w:num w:numId="38">
    <w:abstractNumId w:val="13"/>
  </w:num>
  <w:num w:numId="39">
    <w:abstractNumId w:val="13"/>
  </w:num>
  <w:num w:numId="40">
    <w:abstractNumId w:val="9"/>
  </w:num>
  <w:num w:numId="41">
    <w:abstractNumId w:val="11"/>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stylePaneSortMethod w:val="0004"/>
  <w:documentProtection w:formatting="1" w:enforcement="0"/>
  <w:styleLockTheme/>
  <w:styleLockQFSet/>
  <w:defaultTabStop w:val="425"/>
  <w:characterSpacingControl w:val="doNotCompress"/>
  <w:hdrShapeDefaults>
    <o:shapedefaults v:ext="edit" spidmax="1556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4CC"/>
    <w:rsid w:val="0000026A"/>
    <w:rsid w:val="000026AA"/>
    <w:rsid w:val="00002E12"/>
    <w:rsid w:val="000042ED"/>
    <w:rsid w:val="00004E7B"/>
    <w:rsid w:val="00005500"/>
    <w:rsid w:val="0000560A"/>
    <w:rsid w:val="00005D98"/>
    <w:rsid w:val="00007262"/>
    <w:rsid w:val="00007836"/>
    <w:rsid w:val="000107E1"/>
    <w:rsid w:val="00010C80"/>
    <w:rsid w:val="000111C9"/>
    <w:rsid w:val="00011C96"/>
    <w:rsid w:val="00011EB5"/>
    <w:rsid w:val="0001306B"/>
    <w:rsid w:val="0001328E"/>
    <w:rsid w:val="000141B9"/>
    <w:rsid w:val="00014B42"/>
    <w:rsid w:val="00014DB5"/>
    <w:rsid w:val="0001542D"/>
    <w:rsid w:val="00015531"/>
    <w:rsid w:val="0001575B"/>
    <w:rsid w:val="000158A7"/>
    <w:rsid w:val="00017E7B"/>
    <w:rsid w:val="000205CA"/>
    <w:rsid w:val="00021F3D"/>
    <w:rsid w:val="0002385B"/>
    <w:rsid w:val="00023AE1"/>
    <w:rsid w:val="000245B2"/>
    <w:rsid w:val="000255DB"/>
    <w:rsid w:val="000268A5"/>
    <w:rsid w:val="00027131"/>
    <w:rsid w:val="000275E4"/>
    <w:rsid w:val="00030811"/>
    <w:rsid w:val="00032458"/>
    <w:rsid w:val="0003306A"/>
    <w:rsid w:val="00033548"/>
    <w:rsid w:val="000335B5"/>
    <w:rsid w:val="000342D9"/>
    <w:rsid w:val="00034A19"/>
    <w:rsid w:val="000357E0"/>
    <w:rsid w:val="00036F9E"/>
    <w:rsid w:val="00040706"/>
    <w:rsid w:val="000413B3"/>
    <w:rsid w:val="0004280B"/>
    <w:rsid w:val="00043024"/>
    <w:rsid w:val="000432EC"/>
    <w:rsid w:val="00044E64"/>
    <w:rsid w:val="00046C1A"/>
    <w:rsid w:val="00047248"/>
    <w:rsid w:val="0004750C"/>
    <w:rsid w:val="00047704"/>
    <w:rsid w:val="00050533"/>
    <w:rsid w:val="0005058B"/>
    <w:rsid w:val="0005138F"/>
    <w:rsid w:val="000513AE"/>
    <w:rsid w:val="00053BBA"/>
    <w:rsid w:val="00054189"/>
    <w:rsid w:val="00055220"/>
    <w:rsid w:val="0005615D"/>
    <w:rsid w:val="000573E5"/>
    <w:rsid w:val="00057B71"/>
    <w:rsid w:val="000605F5"/>
    <w:rsid w:val="000608A0"/>
    <w:rsid w:val="000608B3"/>
    <w:rsid w:val="00060F1B"/>
    <w:rsid w:val="000612B5"/>
    <w:rsid w:val="00061B5C"/>
    <w:rsid w:val="00062261"/>
    <w:rsid w:val="00062A33"/>
    <w:rsid w:val="000635AA"/>
    <w:rsid w:val="000636A2"/>
    <w:rsid w:val="00064912"/>
    <w:rsid w:val="00064B79"/>
    <w:rsid w:val="000661CA"/>
    <w:rsid w:val="00066A72"/>
    <w:rsid w:val="0007087C"/>
    <w:rsid w:val="000709BB"/>
    <w:rsid w:val="0007202C"/>
    <w:rsid w:val="00072B30"/>
    <w:rsid w:val="0007319C"/>
    <w:rsid w:val="000732AA"/>
    <w:rsid w:val="000739B1"/>
    <w:rsid w:val="00073B9F"/>
    <w:rsid w:val="00074A6A"/>
    <w:rsid w:val="00075490"/>
    <w:rsid w:val="00075CC9"/>
    <w:rsid w:val="00076439"/>
    <w:rsid w:val="000767DD"/>
    <w:rsid w:val="00077E00"/>
    <w:rsid w:val="0008011A"/>
    <w:rsid w:val="00081F71"/>
    <w:rsid w:val="00083193"/>
    <w:rsid w:val="0008405A"/>
    <w:rsid w:val="0008495A"/>
    <w:rsid w:val="00084C0A"/>
    <w:rsid w:val="00084DBA"/>
    <w:rsid w:val="00084E9A"/>
    <w:rsid w:val="00084F8B"/>
    <w:rsid w:val="00085080"/>
    <w:rsid w:val="000851D0"/>
    <w:rsid w:val="000860C3"/>
    <w:rsid w:val="0008666A"/>
    <w:rsid w:val="0008689D"/>
    <w:rsid w:val="00086D07"/>
    <w:rsid w:val="00086F71"/>
    <w:rsid w:val="000873F2"/>
    <w:rsid w:val="00091176"/>
    <w:rsid w:val="000911ED"/>
    <w:rsid w:val="00093524"/>
    <w:rsid w:val="00093915"/>
    <w:rsid w:val="000949AD"/>
    <w:rsid w:val="00095109"/>
    <w:rsid w:val="0009664F"/>
    <w:rsid w:val="00096B0F"/>
    <w:rsid w:val="00097228"/>
    <w:rsid w:val="0009774B"/>
    <w:rsid w:val="00097A7C"/>
    <w:rsid w:val="000A0BAA"/>
    <w:rsid w:val="000A490E"/>
    <w:rsid w:val="000A4CD0"/>
    <w:rsid w:val="000A5821"/>
    <w:rsid w:val="000A5DD5"/>
    <w:rsid w:val="000A6DF1"/>
    <w:rsid w:val="000A7EBF"/>
    <w:rsid w:val="000B04C5"/>
    <w:rsid w:val="000B0B5E"/>
    <w:rsid w:val="000B28AD"/>
    <w:rsid w:val="000B3815"/>
    <w:rsid w:val="000B4811"/>
    <w:rsid w:val="000B5658"/>
    <w:rsid w:val="000B63CA"/>
    <w:rsid w:val="000B74CA"/>
    <w:rsid w:val="000B752A"/>
    <w:rsid w:val="000B787A"/>
    <w:rsid w:val="000C00C8"/>
    <w:rsid w:val="000C14D9"/>
    <w:rsid w:val="000C15C7"/>
    <w:rsid w:val="000C23AB"/>
    <w:rsid w:val="000C45CD"/>
    <w:rsid w:val="000C47BD"/>
    <w:rsid w:val="000C52AA"/>
    <w:rsid w:val="000C53BD"/>
    <w:rsid w:val="000C5A7C"/>
    <w:rsid w:val="000C5E3F"/>
    <w:rsid w:val="000C5FE0"/>
    <w:rsid w:val="000C7CB4"/>
    <w:rsid w:val="000D0D40"/>
    <w:rsid w:val="000D1CD8"/>
    <w:rsid w:val="000D3572"/>
    <w:rsid w:val="000D3C69"/>
    <w:rsid w:val="000D3E38"/>
    <w:rsid w:val="000D4099"/>
    <w:rsid w:val="000D4EDE"/>
    <w:rsid w:val="000D79D3"/>
    <w:rsid w:val="000E0E30"/>
    <w:rsid w:val="000E2460"/>
    <w:rsid w:val="000E2DB3"/>
    <w:rsid w:val="000E3427"/>
    <w:rsid w:val="000E43AC"/>
    <w:rsid w:val="000E4631"/>
    <w:rsid w:val="000E4A25"/>
    <w:rsid w:val="000E50C3"/>
    <w:rsid w:val="000E54B4"/>
    <w:rsid w:val="000E5A5D"/>
    <w:rsid w:val="000E6973"/>
    <w:rsid w:val="000E6BE8"/>
    <w:rsid w:val="000E6E37"/>
    <w:rsid w:val="000E76B4"/>
    <w:rsid w:val="000E7B52"/>
    <w:rsid w:val="000E7F79"/>
    <w:rsid w:val="000F0E6F"/>
    <w:rsid w:val="000F13D9"/>
    <w:rsid w:val="000F270C"/>
    <w:rsid w:val="000F5A93"/>
    <w:rsid w:val="000F5D27"/>
    <w:rsid w:val="000F63DB"/>
    <w:rsid w:val="000F7D4F"/>
    <w:rsid w:val="0010067D"/>
    <w:rsid w:val="001018A5"/>
    <w:rsid w:val="00102110"/>
    <w:rsid w:val="00102905"/>
    <w:rsid w:val="001029BB"/>
    <w:rsid w:val="00104431"/>
    <w:rsid w:val="00106F56"/>
    <w:rsid w:val="00107A66"/>
    <w:rsid w:val="00107BA0"/>
    <w:rsid w:val="00110591"/>
    <w:rsid w:val="00110835"/>
    <w:rsid w:val="00110842"/>
    <w:rsid w:val="001116A7"/>
    <w:rsid w:val="00113604"/>
    <w:rsid w:val="00114322"/>
    <w:rsid w:val="00115A39"/>
    <w:rsid w:val="00115D92"/>
    <w:rsid w:val="00115FC7"/>
    <w:rsid w:val="00116997"/>
    <w:rsid w:val="00116F22"/>
    <w:rsid w:val="0012072C"/>
    <w:rsid w:val="00121436"/>
    <w:rsid w:val="00121AF5"/>
    <w:rsid w:val="00123576"/>
    <w:rsid w:val="00123C7A"/>
    <w:rsid w:val="00123FD0"/>
    <w:rsid w:val="0012412E"/>
    <w:rsid w:val="00124175"/>
    <w:rsid w:val="001241CB"/>
    <w:rsid w:val="001242D8"/>
    <w:rsid w:val="00124B21"/>
    <w:rsid w:val="00124C0A"/>
    <w:rsid w:val="001251ED"/>
    <w:rsid w:val="00126EE3"/>
    <w:rsid w:val="0012710C"/>
    <w:rsid w:val="0012781F"/>
    <w:rsid w:val="00127B14"/>
    <w:rsid w:val="00131E90"/>
    <w:rsid w:val="0013265F"/>
    <w:rsid w:val="001327B8"/>
    <w:rsid w:val="00133549"/>
    <w:rsid w:val="00134525"/>
    <w:rsid w:val="0013471B"/>
    <w:rsid w:val="00134A6B"/>
    <w:rsid w:val="00134F38"/>
    <w:rsid w:val="001352D4"/>
    <w:rsid w:val="00136184"/>
    <w:rsid w:val="0013716D"/>
    <w:rsid w:val="00137B6C"/>
    <w:rsid w:val="001405AC"/>
    <w:rsid w:val="00142AB0"/>
    <w:rsid w:val="00142B56"/>
    <w:rsid w:val="00142E2A"/>
    <w:rsid w:val="00144295"/>
    <w:rsid w:val="001442CD"/>
    <w:rsid w:val="00145B2A"/>
    <w:rsid w:val="001460DB"/>
    <w:rsid w:val="00146654"/>
    <w:rsid w:val="00150F19"/>
    <w:rsid w:val="00151D78"/>
    <w:rsid w:val="00152952"/>
    <w:rsid w:val="00153138"/>
    <w:rsid w:val="00153571"/>
    <w:rsid w:val="00153A0D"/>
    <w:rsid w:val="00155F65"/>
    <w:rsid w:val="00156A5F"/>
    <w:rsid w:val="0015765D"/>
    <w:rsid w:val="00157AE9"/>
    <w:rsid w:val="00157C98"/>
    <w:rsid w:val="00157FE4"/>
    <w:rsid w:val="0016020A"/>
    <w:rsid w:val="00160CC2"/>
    <w:rsid w:val="00161BD1"/>
    <w:rsid w:val="00161CCA"/>
    <w:rsid w:val="00161D16"/>
    <w:rsid w:val="00162727"/>
    <w:rsid w:val="0016272E"/>
    <w:rsid w:val="001639A6"/>
    <w:rsid w:val="00163E23"/>
    <w:rsid w:val="00164B26"/>
    <w:rsid w:val="001653B6"/>
    <w:rsid w:val="00165580"/>
    <w:rsid w:val="00165BF6"/>
    <w:rsid w:val="00166CB3"/>
    <w:rsid w:val="00167CBE"/>
    <w:rsid w:val="00170805"/>
    <w:rsid w:val="00172C80"/>
    <w:rsid w:val="001730BF"/>
    <w:rsid w:val="0017336E"/>
    <w:rsid w:val="00173EE1"/>
    <w:rsid w:val="00173F70"/>
    <w:rsid w:val="00174076"/>
    <w:rsid w:val="001741F8"/>
    <w:rsid w:val="001749ED"/>
    <w:rsid w:val="00174B0F"/>
    <w:rsid w:val="00174B30"/>
    <w:rsid w:val="00174C73"/>
    <w:rsid w:val="00175D88"/>
    <w:rsid w:val="00176632"/>
    <w:rsid w:val="001766F2"/>
    <w:rsid w:val="00176A89"/>
    <w:rsid w:val="00176B8B"/>
    <w:rsid w:val="00176C89"/>
    <w:rsid w:val="00177031"/>
    <w:rsid w:val="001771AC"/>
    <w:rsid w:val="0018095F"/>
    <w:rsid w:val="0018224A"/>
    <w:rsid w:val="0018235E"/>
    <w:rsid w:val="00182847"/>
    <w:rsid w:val="00183198"/>
    <w:rsid w:val="0018359B"/>
    <w:rsid w:val="0018406B"/>
    <w:rsid w:val="00184187"/>
    <w:rsid w:val="00185097"/>
    <w:rsid w:val="00186FC3"/>
    <w:rsid w:val="001872A2"/>
    <w:rsid w:val="00190AD1"/>
    <w:rsid w:val="00190B18"/>
    <w:rsid w:val="00190D48"/>
    <w:rsid w:val="00190F4A"/>
    <w:rsid w:val="00191B37"/>
    <w:rsid w:val="0019273F"/>
    <w:rsid w:val="00192F65"/>
    <w:rsid w:val="00194B0D"/>
    <w:rsid w:val="0019795A"/>
    <w:rsid w:val="00197F7A"/>
    <w:rsid w:val="001A0635"/>
    <w:rsid w:val="001A0E2E"/>
    <w:rsid w:val="001A1717"/>
    <w:rsid w:val="001A1FD7"/>
    <w:rsid w:val="001A3610"/>
    <w:rsid w:val="001A3614"/>
    <w:rsid w:val="001A3D9F"/>
    <w:rsid w:val="001A4EA4"/>
    <w:rsid w:val="001A5443"/>
    <w:rsid w:val="001A6588"/>
    <w:rsid w:val="001A664F"/>
    <w:rsid w:val="001A6786"/>
    <w:rsid w:val="001A72AF"/>
    <w:rsid w:val="001B02B5"/>
    <w:rsid w:val="001B0AD0"/>
    <w:rsid w:val="001B2DB7"/>
    <w:rsid w:val="001B3A9F"/>
    <w:rsid w:val="001B3CAF"/>
    <w:rsid w:val="001B3D8A"/>
    <w:rsid w:val="001B46D1"/>
    <w:rsid w:val="001B50A0"/>
    <w:rsid w:val="001B551B"/>
    <w:rsid w:val="001B5ACA"/>
    <w:rsid w:val="001B65F1"/>
    <w:rsid w:val="001B6EA3"/>
    <w:rsid w:val="001B704A"/>
    <w:rsid w:val="001B7EA4"/>
    <w:rsid w:val="001C0B2F"/>
    <w:rsid w:val="001C1BA9"/>
    <w:rsid w:val="001C24DD"/>
    <w:rsid w:val="001C30DF"/>
    <w:rsid w:val="001C320B"/>
    <w:rsid w:val="001C55D0"/>
    <w:rsid w:val="001D0C02"/>
    <w:rsid w:val="001D1867"/>
    <w:rsid w:val="001D1E71"/>
    <w:rsid w:val="001D29A2"/>
    <w:rsid w:val="001D36EC"/>
    <w:rsid w:val="001D389D"/>
    <w:rsid w:val="001D3C57"/>
    <w:rsid w:val="001D3D43"/>
    <w:rsid w:val="001D4753"/>
    <w:rsid w:val="001D48E7"/>
    <w:rsid w:val="001D50D0"/>
    <w:rsid w:val="001D50FE"/>
    <w:rsid w:val="001D6454"/>
    <w:rsid w:val="001D6535"/>
    <w:rsid w:val="001E0F51"/>
    <w:rsid w:val="001E2D4E"/>
    <w:rsid w:val="001E55BF"/>
    <w:rsid w:val="001E5957"/>
    <w:rsid w:val="001E5B73"/>
    <w:rsid w:val="001E6D3A"/>
    <w:rsid w:val="001E7EE1"/>
    <w:rsid w:val="001F2181"/>
    <w:rsid w:val="001F2BCD"/>
    <w:rsid w:val="001F4786"/>
    <w:rsid w:val="001F6669"/>
    <w:rsid w:val="001F6E1A"/>
    <w:rsid w:val="001F6E60"/>
    <w:rsid w:val="001F780A"/>
    <w:rsid w:val="001F7917"/>
    <w:rsid w:val="001F7B03"/>
    <w:rsid w:val="00200613"/>
    <w:rsid w:val="0020061B"/>
    <w:rsid w:val="00200C2C"/>
    <w:rsid w:val="00201532"/>
    <w:rsid w:val="00201626"/>
    <w:rsid w:val="00202B64"/>
    <w:rsid w:val="00202CFE"/>
    <w:rsid w:val="0020347C"/>
    <w:rsid w:val="00204711"/>
    <w:rsid w:val="00205CF5"/>
    <w:rsid w:val="00206296"/>
    <w:rsid w:val="002079E6"/>
    <w:rsid w:val="0021042D"/>
    <w:rsid w:val="00210532"/>
    <w:rsid w:val="00212875"/>
    <w:rsid w:val="00214311"/>
    <w:rsid w:val="00214883"/>
    <w:rsid w:val="002153B5"/>
    <w:rsid w:val="00215985"/>
    <w:rsid w:val="002160F6"/>
    <w:rsid w:val="002161E3"/>
    <w:rsid w:val="00216DAE"/>
    <w:rsid w:val="00216FE9"/>
    <w:rsid w:val="00217634"/>
    <w:rsid w:val="00217E26"/>
    <w:rsid w:val="00217E47"/>
    <w:rsid w:val="002202E7"/>
    <w:rsid w:val="00220550"/>
    <w:rsid w:val="00221189"/>
    <w:rsid w:val="002215D7"/>
    <w:rsid w:val="0022281E"/>
    <w:rsid w:val="00223C74"/>
    <w:rsid w:val="00225C4B"/>
    <w:rsid w:val="00225F76"/>
    <w:rsid w:val="0022662F"/>
    <w:rsid w:val="002301A2"/>
    <w:rsid w:val="00231836"/>
    <w:rsid w:val="00231E61"/>
    <w:rsid w:val="00231EE0"/>
    <w:rsid w:val="00232838"/>
    <w:rsid w:val="0023283E"/>
    <w:rsid w:val="002328A5"/>
    <w:rsid w:val="00232A5E"/>
    <w:rsid w:val="00234371"/>
    <w:rsid w:val="002354CF"/>
    <w:rsid w:val="00236C2D"/>
    <w:rsid w:val="00236CB1"/>
    <w:rsid w:val="002371FE"/>
    <w:rsid w:val="002374B7"/>
    <w:rsid w:val="002378FF"/>
    <w:rsid w:val="00240126"/>
    <w:rsid w:val="002401E3"/>
    <w:rsid w:val="002403FE"/>
    <w:rsid w:val="00241FCC"/>
    <w:rsid w:val="00242384"/>
    <w:rsid w:val="0024304D"/>
    <w:rsid w:val="00243446"/>
    <w:rsid w:val="00244755"/>
    <w:rsid w:val="00244826"/>
    <w:rsid w:val="00244ACA"/>
    <w:rsid w:val="00245462"/>
    <w:rsid w:val="0024597F"/>
    <w:rsid w:val="00245B70"/>
    <w:rsid w:val="0024643A"/>
    <w:rsid w:val="00247ACA"/>
    <w:rsid w:val="00247E1A"/>
    <w:rsid w:val="00251410"/>
    <w:rsid w:val="002514A4"/>
    <w:rsid w:val="00252013"/>
    <w:rsid w:val="00252E6A"/>
    <w:rsid w:val="0025377A"/>
    <w:rsid w:val="00253F08"/>
    <w:rsid w:val="0025449D"/>
    <w:rsid w:val="002545EA"/>
    <w:rsid w:val="00254F93"/>
    <w:rsid w:val="0025509E"/>
    <w:rsid w:val="002552B3"/>
    <w:rsid w:val="002554CC"/>
    <w:rsid w:val="00255920"/>
    <w:rsid w:val="00255A20"/>
    <w:rsid w:val="00256B55"/>
    <w:rsid w:val="00256F2F"/>
    <w:rsid w:val="0025782A"/>
    <w:rsid w:val="00257EFA"/>
    <w:rsid w:val="00260CE6"/>
    <w:rsid w:val="00262946"/>
    <w:rsid w:val="00262AC4"/>
    <w:rsid w:val="00262CA3"/>
    <w:rsid w:val="00262F92"/>
    <w:rsid w:val="00263414"/>
    <w:rsid w:val="00265641"/>
    <w:rsid w:val="002661A6"/>
    <w:rsid w:val="002669A0"/>
    <w:rsid w:val="00266C23"/>
    <w:rsid w:val="00266C3F"/>
    <w:rsid w:val="00267CBF"/>
    <w:rsid w:val="00270347"/>
    <w:rsid w:val="002708F5"/>
    <w:rsid w:val="00270E39"/>
    <w:rsid w:val="00271538"/>
    <w:rsid w:val="0027194D"/>
    <w:rsid w:val="0027313C"/>
    <w:rsid w:val="00273AEB"/>
    <w:rsid w:val="002751B4"/>
    <w:rsid w:val="00277D6C"/>
    <w:rsid w:val="00277EEB"/>
    <w:rsid w:val="002808F1"/>
    <w:rsid w:val="002809F2"/>
    <w:rsid w:val="002831CE"/>
    <w:rsid w:val="002832C9"/>
    <w:rsid w:val="00283674"/>
    <w:rsid w:val="002839C3"/>
    <w:rsid w:val="00283DF4"/>
    <w:rsid w:val="00284227"/>
    <w:rsid w:val="0028542D"/>
    <w:rsid w:val="002867E4"/>
    <w:rsid w:val="00286EAD"/>
    <w:rsid w:val="00287DA8"/>
    <w:rsid w:val="00291DFD"/>
    <w:rsid w:val="00293265"/>
    <w:rsid w:val="0029389B"/>
    <w:rsid w:val="00293C8D"/>
    <w:rsid w:val="00294011"/>
    <w:rsid w:val="00295C9C"/>
    <w:rsid w:val="00295CA9"/>
    <w:rsid w:val="00296E2E"/>
    <w:rsid w:val="002A1894"/>
    <w:rsid w:val="002A2188"/>
    <w:rsid w:val="002A2B3A"/>
    <w:rsid w:val="002A2CF5"/>
    <w:rsid w:val="002A2E66"/>
    <w:rsid w:val="002A36F2"/>
    <w:rsid w:val="002A4DE7"/>
    <w:rsid w:val="002A4E40"/>
    <w:rsid w:val="002A5D53"/>
    <w:rsid w:val="002A641A"/>
    <w:rsid w:val="002A6BC8"/>
    <w:rsid w:val="002A71B2"/>
    <w:rsid w:val="002A77D5"/>
    <w:rsid w:val="002A77F1"/>
    <w:rsid w:val="002A7A6C"/>
    <w:rsid w:val="002A7D14"/>
    <w:rsid w:val="002A7DF7"/>
    <w:rsid w:val="002B0913"/>
    <w:rsid w:val="002B1EEB"/>
    <w:rsid w:val="002B21FF"/>
    <w:rsid w:val="002B2282"/>
    <w:rsid w:val="002B28E4"/>
    <w:rsid w:val="002B2B6A"/>
    <w:rsid w:val="002B2E1A"/>
    <w:rsid w:val="002B3C7D"/>
    <w:rsid w:val="002B4A87"/>
    <w:rsid w:val="002B535C"/>
    <w:rsid w:val="002B5677"/>
    <w:rsid w:val="002B5FAD"/>
    <w:rsid w:val="002B6DE8"/>
    <w:rsid w:val="002B7504"/>
    <w:rsid w:val="002C0C5D"/>
    <w:rsid w:val="002C0D97"/>
    <w:rsid w:val="002C2550"/>
    <w:rsid w:val="002C25F8"/>
    <w:rsid w:val="002C3560"/>
    <w:rsid w:val="002C3689"/>
    <w:rsid w:val="002C3A54"/>
    <w:rsid w:val="002C42D2"/>
    <w:rsid w:val="002C657B"/>
    <w:rsid w:val="002C66D1"/>
    <w:rsid w:val="002C7065"/>
    <w:rsid w:val="002C7F4A"/>
    <w:rsid w:val="002D1388"/>
    <w:rsid w:val="002D2804"/>
    <w:rsid w:val="002D35A5"/>
    <w:rsid w:val="002D4253"/>
    <w:rsid w:val="002D4B6C"/>
    <w:rsid w:val="002D5274"/>
    <w:rsid w:val="002D5B56"/>
    <w:rsid w:val="002D5F9B"/>
    <w:rsid w:val="002D762F"/>
    <w:rsid w:val="002D7EF9"/>
    <w:rsid w:val="002E26DC"/>
    <w:rsid w:val="002E2C06"/>
    <w:rsid w:val="002E3103"/>
    <w:rsid w:val="002E380E"/>
    <w:rsid w:val="002E4FF5"/>
    <w:rsid w:val="002F0135"/>
    <w:rsid w:val="002F0C2B"/>
    <w:rsid w:val="002F0C2C"/>
    <w:rsid w:val="002F17FA"/>
    <w:rsid w:val="002F1A43"/>
    <w:rsid w:val="002F2A27"/>
    <w:rsid w:val="002F3180"/>
    <w:rsid w:val="002F4833"/>
    <w:rsid w:val="002F4B7E"/>
    <w:rsid w:val="002F6084"/>
    <w:rsid w:val="00300448"/>
    <w:rsid w:val="00300655"/>
    <w:rsid w:val="00301531"/>
    <w:rsid w:val="00302B35"/>
    <w:rsid w:val="003032DF"/>
    <w:rsid w:val="00303D18"/>
    <w:rsid w:val="00304FD1"/>
    <w:rsid w:val="003052A8"/>
    <w:rsid w:val="00305C2C"/>
    <w:rsid w:val="0030683E"/>
    <w:rsid w:val="00306E6B"/>
    <w:rsid w:val="0030704F"/>
    <w:rsid w:val="00307147"/>
    <w:rsid w:val="00307ADD"/>
    <w:rsid w:val="00307E55"/>
    <w:rsid w:val="003100EF"/>
    <w:rsid w:val="00310882"/>
    <w:rsid w:val="00312A66"/>
    <w:rsid w:val="00312B19"/>
    <w:rsid w:val="003130CA"/>
    <w:rsid w:val="00313108"/>
    <w:rsid w:val="00313DCB"/>
    <w:rsid w:val="00314FC9"/>
    <w:rsid w:val="00315D93"/>
    <w:rsid w:val="00316216"/>
    <w:rsid w:val="0032041C"/>
    <w:rsid w:val="00320B45"/>
    <w:rsid w:val="00321189"/>
    <w:rsid w:val="00321582"/>
    <w:rsid w:val="0032159A"/>
    <w:rsid w:val="0032180D"/>
    <w:rsid w:val="00322157"/>
    <w:rsid w:val="00322A8A"/>
    <w:rsid w:val="00323EBB"/>
    <w:rsid w:val="003265DB"/>
    <w:rsid w:val="00332909"/>
    <w:rsid w:val="003370DF"/>
    <w:rsid w:val="00337974"/>
    <w:rsid w:val="0034007E"/>
    <w:rsid w:val="00342394"/>
    <w:rsid w:val="0034275C"/>
    <w:rsid w:val="00344A60"/>
    <w:rsid w:val="00344AEC"/>
    <w:rsid w:val="00344B08"/>
    <w:rsid w:val="0034672F"/>
    <w:rsid w:val="00347294"/>
    <w:rsid w:val="00347CAB"/>
    <w:rsid w:val="0035029C"/>
    <w:rsid w:val="00351ADF"/>
    <w:rsid w:val="00351FB0"/>
    <w:rsid w:val="003520B2"/>
    <w:rsid w:val="00353CC9"/>
    <w:rsid w:val="003547E7"/>
    <w:rsid w:val="00354D13"/>
    <w:rsid w:val="00355098"/>
    <w:rsid w:val="003550D9"/>
    <w:rsid w:val="00355D40"/>
    <w:rsid w:val="003577D5"/>
    <w:rsid w:val="0036046E"/>
    <w:rsid w:val="00361CE1"/>
    <w:rsid w:val="0036226C"/>
    <w:rsid w:val="00362355"/>
    <w:rsid w:val="003627BF"/>
    <w:rsid w:val="0036320F"/>
    <w:rsid w:val="003632E4"/>
    <w:rsid w:val="003651A7"/>
    <w:rsid w:val="00366971"/>
    <w:rsid w:val="003672A0"/>
    <w:rsid w:val="003713D9"/>
    <w:rsid w:val="00371755"/>
    <w:rsid w:val="0037182C"/>
    <w:rsid w:val="00371AAC"/>
    <w:rsid w:val="00371F54"/>
    <w:rsid w:val="00372F46"/>
    <w:rsid w:val="003746D8"/>
    <w:rsid w:val="00374959"/>
    <w:rsid w:val="00374EA0"/>
    <w:rsid w:val="003754DE"/>
    <w:rsid w:val="00376405"/>
    <w:rsid w:val="0037690C"/>
    <w:rsid w:val="00376FAD"/>
    <w:rsid w:val="0037770C"/>
    <w:rsid w:val="00377B02"/>
    <w:rsid w:val="00377C8B"/>
    <w:rsid w:val="00377ECB"/>
    <w:rsid w:val="00377FEC"/>
    <w:rsid w:val="0038002B"/>
    <w:rsid w:val="00380A37"/>
    <w:rsid w:val="00380BA9"/>
    <w:rsid w:val="00383715"/>
    <w:rsid w:val="00383A95"/>
    <w:rsid w:val="00383BD1"/>
    <w:rsid w:val="0038531E"/>
    <w:rsid w:val="003855A8"/>
    <w:rsid w:val="00385CA0"/>
    <w:rsid w:val="00386571"/>
    <w:rsid w:val="00386B56"/>
    <w:rsid w:val="00390FAB"/>
    <w:rsid w:val="00391ADA"/>
    <w:rsid w:val="00391CBC"/>
    <w:rsid w:val="00391D85"/>
    <w:rsid w:val="00392609"/>
    <w:rsid w:val="00392ED4"/>
    <w:rsid w:val="00393854"/>
    <w:rsid w:val="00394CF9"/>
    <w:rsid w:val="00394F58"/>
    <w:rsid w:val="003964E2"/>
    <w:rsid w:val="003A1205"/>
    <w:rsid w:val="003A1B1A"/>
    <w:rsid w:val="003A22B9"/>
    <w:rsid w:val="003A2733"/>
    <w:rsid w:val="003A3021"/>
    <w:rsid w:val="003A367F"/>
    <w:rsid w:val="003A3CF5"/>
    <w:rsid w:val="003A473C"/>
    <w:rsid w:val="003A5087"/>
    <w:rsid w:val="003A61C5"/>
    <w:rsid w:val="003A627E"/>
    <w:rsid w:val="003A665A"/>
    <w:rsid w:val="003A6B79"/>
    <w:rsid w:val="003A79EE"/>
    <w:rsid w:val="003B3560"/>
    <w:rsid w:val="003B392F"/>
    <w:rsid w:val="003B4E47"/>
    <w:rsid w:val="003B51A4"/>
    <w:rsid w:val="003B5F58"/>
    <w:rsid w:val="003B67EC"/>
    <w:rsid w:val="003B6E16"/>
    <w:rsid w:val="003C180A"/>
    <w:rsid w:val="003C1E25"/>
    <w:rsid w:val="003C1E96"/>
    <w:rsid w:val="003C2AE9"/>
    <w:rsid w:val="003C3072"/>
    <w:rsid w:val="003C3BC3"/>
    <w:rsid w:val="003C56D5"/>
    <w:rsid w:val="003C58CF"/>
    <w:rsid w:val="003C5D0E"/>
    <w:rsid w:val="003C62AF"/>
    <w:rsid w:val="003C69C9"/>
    <w:rsid w:val="003D099D"/>
    <w:rsid w:val="003D114E"/>
    <w:rsid w:val="003D27CB"/>
    <w:rsid w:val="003D329D"/>
    <w:rsid w:val="003D3799"/>
    <w:rsid w:val="003D40C3"/>
    <w:rsid w:val="003D4A71"/>
    <w:rsid w:val="003D4D1C"/>
    <w:rsid w:val="003D5937"/>
    <w:rsid w:val="003D6681"/>
    <w:rsid w:val="003E05E9"/>
    <w:rsid w:val="003E0BDC"/>
    <w:rsid w:val="003E173F"/>
    <w:rsid w:val="003E1E52"/>
    <w:rsid w:val="003E2A10"/>
    <w:rsid w:val="003E2DB7"/>
    <w:rsid w:val="003E4A1A"/>
    <w:rsid w:val="003E6BAC"/>
    <w:rsid w:val="003E6BF6"/>
    <w:rsid w:val="003E7A29"/>
    <w:rsid w:val="003E7AE1"/>
    <w:rsid w:val="003E7F2D"/>
    <w:rsid w:val="003F0F0D"/>
    <w:rsid w:val="003F3A0D"/>
    <w:rsid w:val="003F45D1"/>
    <w:rsid w:val="003F5025"/>
    <w:rsid w:val="003F600F"/>
    <w:rsid w:val="003F6365"/>
    <w:rsid w:val="0040173E"/>
    <w:rsid w:val="004018AB"/>
    <w:rsid w:val="00402664"/>
    <w:rsid w:val="004026E1"/>
    <w:rsid w:val="0040277A"/>
    <w:rsid w:val="0040344C"/>
    <w:rsid w:val="004052CB"/>
    <w:rsid w:val="00406442"/>
    <w:rsid w:val="004074CC"/>
    <w:rsid w:val="00411D69"/>
    <w:rsid w:val="00412A42"/>
    <w:rsid w:val="0041396B"/>
    <w:rsid w:val="004141CE"/>
    <w:rsid w:val="004143BD"/>
    <w:rsid w:val="00415B07"/>
    <w:rsid w:val="00415C51"/>
    <w:rsid w:val="00416BEB"/>
    <w:rsid w:val="00416DF3"/>
    <w:rsid w:val="00416F15"/>
    <w:rsid w:val="0041702E"/>
    <w:rsid w:val="00420394"/>
    <w:rsid w:val="00420E67"/>
    <w:rsid w:val="00421189"/>
    <w:rsid w:val="004236A0"/>
    <w:rsid w:val="00423CA6"/>
    <w:rsid w:val="00423EAA"/>
    <w:rsid w:val="00426ACC"/>
    <w:rsid w:val="00426F5D"/>
    <w:rsid w:val="004308EE"/>
    <w:rsid w:val="004317AA"/>
    <w:rsid w:val="00432324"/>
    <w:rsid w:val="00432989"/>
    <w:rsid w:val="00432AF2"/>
    <w:rsid w:val="00433030"/>
    <w:rsid w:val="004333F5"/>
    <w:rsid w:val="00435288"/>
    <w:rsid w:val="00435339"/>
    <w:rsid w:val="0043566F"/>
    <w:rsid w:val="00435C10"/>
    <w:rsid w:val="00435FD9"/>
    <w:rsid w:val="0043689B"/>
    <w:rsid w:val="00436FA7"/>
    <w:rsid w:val="004372B5"/>
    <w:rsid w:val="00437723"/>
    <w:rsid w:val="00437746"/>
    <w:rsid w:val="004378F9"/>
    <w:rsid w:val="00440231"/>
    <w:rsid w:val="004407C3"/>
    <w:rsid w:val="004410DC"/>
    <w:rsid w:val="00442F94"/>
    <w:rsid w:val="00443D94"/>
    <w:rsid w:val="0044447D"/>
    <w:rsid w:val="0044552D"/>
    <w:rsid w:val="0044558A"/>
    <w:rsid w:val="00445E84"/>
    <w:rsid w:val="004460CF"/>
    <w:rsid w:val="004469E1"/>
    <w:rsid w:val="00446BC6"/>
    <w:rsid w:val="0044754D"/>
    <w:rsid w:val="00450978"/>
    <w:rsid w:val="00450C67"/>
    <w:rsid w:val="00451D7A"/>
    <w:rsid w:val="004526C1"/>
    <w:rsid w:val="004537FA"/>
    <w:rsid w:val="00453810"/>
    <w:rsid w:val="00455D23"/>
    <w:rsid w:val="00456BFC"/>
    <w:rsid w:val="00456F1F"/>
    <w:rsid w:val="004575E2"/>
    <w:rsid w:val="0046070C"/>
    <w:rsid w:val="00460CF7"/>
    <w:rsid w:val="00460E6B"/>
    <w:rsid w:val="00462FBE"/>
    <w:rsid w:val="004632D8"/>
    <w:rsid w:val="00463F8B"/>
    <w:rsid w:val="00463FA8"/>
    <w:rsid w:val="00464219"/>
    <w:rsid w:val="00466648"/>
    <w:rsid w:val="004667DE"/>
    <w:rsid w:val="00467F9F"/>
    <w:rsid w:val="00470080"/>
    <w:rsid w:val="00470DF1"/>
    <w:rsid w:val="00470E21"/>
    <w:rsid w:val="00472327"/>
    <w:rsid w:val="00472CBC"/>
    <w:rsid w:val="0047352A"/>
    <w:rsid w:val="004760F7"/>
    <w:rsid w:val="004763FF"/>
    <w:rsid w:val="004764BF"/>
    <w:rsid w:val="004765B3"/>
    <w:rsid w:val="00480A2A"/>
    <w:rsid w:val="00481F5F"/>
    <w:rsid w:val="004820D6"/>
    <w:rsid w:val="004824A9"/>
    <w:rsid w:val="004829C9"/>
    <w:rsid w:val="004831B4"/>
    <w:rsid w:val="00483DF2"/>
    <w:rsid w:val="00484174"/>
    <w:rsid w:val="0048417E"/>
    <w:rsid w:val="00484BF5"/>
    <w:rsid w:val="00485B14"/>
    <w:rsid w:val="004866E9"/>
    <w:rsid w:val="004909FD"/>
    <w:rsid w:val="00492164"/>
    <w:rsid w:val="00493B59"/>
    <w:rsid w:val="00493DAA"/>
    <w:rsid w:val="00494335"/>
    <w:rsid w:val="00494468"/>
    <w:rsid w:val="00494C26"/>
    <w:rsid w:val="00495A4C"/>
    <w:rsid w:val="004966E2"/>
    <w:rsid w:val="004967A1"/>
    <w:rsid w:val="00496A5B"/>
    <w:rsid w:val="004A0D40"/>
    <w:rsid w:val="004A0FE7"/>
    <w:rsid w:val="004A3B93"/>
    <w:rsid w:val="004A41B1"/>
    <w:rsid w:val="004A5BE3"/>
    <w:rsid w:val="004A5E68"/>
    <w:rsid w:val="004A62E3"/>
    <w:rsid w:val="004A6F45"/>
    <w:rsid w:val="004A7B4C"/>
    <w:rsid w:val="004B020B"/>
    <w:rsid w:val="004B1A7B"/>
    <w:rsid w:val="004B2329"/>
    <w:rsid w:val="004B23CF"/>
    <w:rsid w:val="004B3364"/>
    <w:rsid w:val="004B40E4"/>
    <w:rsid w:val="004B5153"/>
    <w:rsid w:val="004B584E"/>
    <w:rsid w:val="004B6983"/>
    <w:rsid w:val="004C00FE"/>
    <w:rsid w:val="004C0123"/>
    <w:rsid w:val="004C1106"/>
    <w:rsid w:val="004C12D2"/>
    <w:rsid w:val="004C198E"/>
    <w:rsid w:val="004C2F77"/>
    <w:rsid w:val="004C384D"/>
    <w:rsid w:val="004C524F"/>
    <w:rsid w:val="004C6D4B"/>
    <w:rsid w:val="004C766B"/>
    <w:rsid w:val="004D142C"/>
    <w:rsid w:val="004D1532"/>
    <w:rsid w:val="004D1CD8"/>
    <w:rsid w:val="004D201B"/>
    <w:rsid w:val="004D22A0"/>
    <w:rsid w:val="004D240F"/>
    <w:rsid w:val="004D33E3"/>
    <w:rsid w:val="004D4FE9"/>
    <w:rsid w:val="004D5D0E"/>
    <w:rsid w:val="004E0E65"/>
    <w:rsid w:val="004E225D"/>
    <w:rsid w:val="004E2269"/>
    <w:rsid w:val="004E3AC4"/>
    <w:rsid w:val="004E45D1"/>
    <w:rsid w:val="004E5354"/>
    <w:rsid w:val="004E5A90"/>
    <w:rsid w:val="004E5ADE"/>
    <w:rsid w:val="004E5DF1"/>
    <w:rsid w:val="004E63C6"/>
    <w:rsid w:val="004E6E81"/>
    <w:rsid w:val="004E7654"/>
    <w:rsid w:val="004E7DAB"/>
    <w:rsid w:val="004F0073"/>
    <w:rsid w:val="004F0664"/>
    <w:rsid w:val="004F0E9E"/>
    <w:rsid w:val="004F1A44"/>
    <w:rsid w:val="004F2E48"/>
    <w:rsid w:val="004F3033"/>
    <w:rsid w:val="004F3339"/>
    <w:rsid w:val="004F33D7"/>
    <w:rsid w:val="004F37D7"/>
    <w:rsid w:val="004F4691"/>
    <w:rsid w:val="004F534C"/>
    <w:rsid w:val="004F5956"/>
    <w:rsid w:val="004F7113"/>
    <w:rsid w:val="004F72A2"/>
    <w:rsid w:val="005005D9"/>
    <w:rsid w:val="00500EC5"/>
    <w:rsid w:val="00501338"/>
    <w:rsid w:val="005014AC"/>
    <w:rsid w:val="005026D4"/>
    <w:rsid w:val="00503A51"/>
    <w:rsid w:val="0050531A"/>
    <w:rsid w:val="005053A8"/>
    <w:rsid w:val="00505964"/>
    <w:rsid w:val="005059C1"/>
    <w:rsid w:val="00506774"/>
    <w:rsid w:val="005075C3"/>
    <w:rsid w:val="00510E5C"/>
    <w:rsid w:val="0051123B"/>
    <w:rsid w:val="005113A6"/>
    <w:rsid w:val="00511A8F"/>
    <w:rsid w:val="00512309"/>
    <w:rsid w:val="00512544"/>
    <w:rsid w:val="005141EA"/>
    <w:rsid w:val="00515046"/>
    <w:rsid w:val="00515201"/>
    <w:rsid w:val="00515E36"/>
    <w:rsid w:val="005167ED"/>
    <w:rsid w:val="00516E02"/>
    <w:rsid w:val="0052103E"/>
    <w:rsid w:val="00521C24"/>
    <w:rsid w:val="005247D2"/>
    <w:rsid w:val="00524A17"/>
    <w:rsid w:val="00525677"/>
    <w:rsid w:val="00525AE8"/>
    <w:rsid w:val="00525E5A"/>
    <w:rsid w:val="00526303"/>
    <w:rsid w:val="00526B4C"/>
    <w:rsid w:val="00527614"/>
    <w:rsid w:val="005277F7"/>
    <w:rsid w:val="00527895"/>
    <w:rsid w:val="00527957"/>
    <w:rsid w:val="00530323"/>
    <w:rsid w:val="00530F68"/>
    <w:rsid w:val="00530F76"/>
    <w:rsid w:val="005311DF"/>
    <w:rsid w:val="00532F7F"/>
    <w:rsid w:val="00532FD4"/>
    <w:rsid w:val="005333B4"/>
    <w:rsid w:val="00533BA6"/>
    <w:rsid w:val="005341DA"/>
    <w:rsid w:val="00535B31"/>
    <w:rsid w:val="005366D2"/>
    <w:rsid w:val="00536897"/>
    <w:rsid w:val="00540641"/>
    <w:rsid w:val="00541D54"/>
    <w:rsid w:val="00542459"/>
    <w:rsid w:val="00542522"/>
    <w:rsid w:val="00544C2A"/>
    <w:rsid w:val="00544CB0"/>
    <w:rsid w:val="00544DB1"/>
    <w:rsid w:val="0054526E"/>
    <w:rsid w:val="00545BF6"/>
    <w:rsid w:val="00545CE1"/>
    <w:rsid w:val="005476B5"/>
    <w:rsid w:val="0055170A"/>
    <w:rsid w:val="00552F03"/>
    <w:rsid w:val="005535BD"/>
    <w:rsid w:val="00553DCD"/>
    <w:rsid w:val="005549D7"/>
    <w:rsid w:val="00556BB1"/>
    <w:rsid w:val="005602DA"/>
    <w:rsid w:val="0056056A"/>
    <w:rsid w:val="00560AF5"/>
    <w:rsid w:val="00560C65"/>
    <w:rsid w:val="00560D69"/>
    <w:rsid w:val="00560E1F"/>
    <w:rsid w:val="00561FEE"/>
    <w:rsid w:val="00562087"/>
    <w:rsid w:val="005625E2"/>
    <w:rsid w:val="00563EE1"/>
    <w:rsid w:val="005650B5"/>
    <w:rsid w:val="00565536"/>
    <w:rsid w:val="005655F0"/>
    <w:rsid w:val="00566489"/>
    <w:rsid w:val="0056666B"/>
    <w:rsid w:val="00566AAA"/>
    <w:rsid w:val="00566AFB"/>
    <w:rsid w:val="00566C95"/>
    <w:rsid w:val="00566F58"/>
    <w:rsid w:val="005678FC"/>
    <w:rsid w:val="00570718"/>
    <w:rsid w:val="00570F5A"/>
    <w:rsid w:val="00571F92"/>
    <w:rsid w:val="00572427"/>
    <w:rsid w:val="005727CE"/>
    <w:rsid w:val="00572F2A"/>
    <w:rsid w:val="00572F91"/>
    <w:rsid w:val="00573327"/>
    <w:rsid w:val="005739E1"/>
    <w:rsid w:val="00573E0D"/>
    <w:rsid w:val="00574967"/>
    <w:rsid w:val="00575890"/>
    <w:rsid w:val="00577EFC"/>
    <w:rsid w:val="00580048"/>
    <w:rsid w:val="0058026A"/>
    <w:rsid w:val="005803C8"/>
    <w:rsid w:val="00580B6E"/>
    <w:rsid w:val="00580CC7"/>
    <w:rsid w:val="00582DAF"/>
    <w:rsid w:val="005849A9"/>
    <w:rsid w:val="0058752F"/>
    <w:rsid w:val="00587ED2"/>
    <w:rsid w:val="00591093"/>
    <w:rsid w:val="005914B0"/>
    <w:rsid w:val="0059165A"/>
    <w:rsid w:val="00592D37"/>
    <w:rsid w:val="00592F64"/>
    <w:rsid w:val="005931A8"/>
    <w:rsid w:val="005931CF"/>
    <w:rsid w:val="005945C3"/>
    <w:rsid w:val="00596436"/>
    <w:rsid w:val="005971F3"/>
    <w:rsid w:val="005976E7"/>
    <w:rsid w:val="00597C2E"/>
    <w:rsid w:val="005A00D7"/>
    <w:rsid w:val="005A0D54"/>
    <w:rsid w:val="005A0F5E"/>
    <w:rsid w:val="005A252E"/>
    <w:rsid w:val="005A27BC"/>
    <w:rsid w:val="005A2843"/>
    <w:rsid w:val="005A3321"/>
    <w:rsid w:val="005A3F63"/>
    <w:rsid w:val="005A45A1"/>
    <w:rsid w:val="005A59D0"/>
    <w:rsid w:val="005A614E"/>
    <w:rsid w:val="005A6A34"/>
    <w:rsid w:val="005A7CDE"/>
    <w:rsid w:val="005B02F1"/>
    <w:rsid w:val="005B073E"/>
    <w:rsid w:val="005B0FF9"/>
    <w:rsid w:val="005B1159"/>
    <w:rsid w:val="005B17AA"/>
    <w:rsid w:val="005B189E"/>
    <w:rsid w:val="005B227F"/>
    <w:rsid w:val="005B23E1"/>
    <w:rsid w:val="005B387F"/>
    <w:rsid w:val="005B5996"/>
    <w:rsid w:val="005B7801"/>
    <w:rsid w:val="005C14D9"/>
    <w:rsid w:val="005C1930"/>
    <w:rsid w:val="005C25D1"/>
    <w:rsid w:val="005C2DB0"/>
    <w:rsid w:val="005C2DE7"/>
    <w:rsid w:val="005C4D8C"/>
    <w:rsid w:val="005C4DA3"/>
    <w:rsid w:val="005C5891"/>
    <w:rsid w:val="005C5E5A"/>
    <w:rsid w:val="005C72F6"/>
    <w:rsid w:val="005C7C4F"/>
    <w:rsid w:val="005D1184"/>
    <w:rsid w:val="005D2696"/>
    <w:rsid w:val="005D2E69"/>
    <w:rsid w:val="005D311B"/>
    <w:rsid w:val="005D4275"/>
    <w:rsid w:val="005D479C"/>
    <w:rsid w:val="005D5FAE"/>
    <w:rsid w:val="005D69E5"/>
    <w:rsid w:val="005D7E1E"/>
    <w:rsid w:val="005E0C27"/>
    <w:rsid w:val="005E1EBB"/>
    <w:rsid w:val="005E4125"/>
    <w:rsid w:val="005E4160"/>
    <w:rsid w:val="005E4276"/>
    <w:rsid w:val="005E47BE"/>
    <w:rsid w:val="005E4BC9"/>
    <w:rsid w:val="005E50CC"/>
    <w:rsid w:val="005E5C48"/>
    <w:rsid w:val="005E690E"/>
    <w:rsid w:val="005F03B7"/>
    <w:rsid w:val="005F09A0"/>
    <w:rsid w:val="005F0E0D"/>
    <w:rsid w:val="005F1449"/>
    <w:rsid w:val="005F18E5"/>
    <w:rsid w:val="005F29B7"/>
    <w:rsid w:val="005F2C89"/>
    <w:rsid w:val="005F2EFA"/>
    <w:rsid w:val="005F338B"/>
    <w:rsid w:val="005F4DD2"/>
    <w:rsid w:val="005F56C6"/>
    <w:rsid w:val="005F5CB8"/>
    <w:rsid w:val="005F7D29"/>
    <w:rsid w:val="00600B0D"/>
    <w:rsid w:val="00602D37"/>
    <w:rsid w:val="00602D39"/>
    <w:rsid w:val="006033C4"/>
    <w:rsid w:val="00603E70"/>
    <w:rsid w:val="00604EE7"/>
    <w:rsid w:val="00605B49"/>
    <w:rsid w:val="00606124"/>
    <w:rsid w:val="006065D1"/>
    <w:rsid w:val="00606EB5"/>
    <w:rsid w:val="00606FC8"/>
    <w:rsid w:val="006071CA"/>
    <w:rsid w:val="00607ECB"/>
    <w:rsid w:val="006119C8"/>
    <w:rsid w:val="006121EF"/>
    <w:rsid w:val="006142D7"/>
    <w:rsid w:val="00614861"/>
    <w:rsid w:val="00614A17"/>
    <w:rsid w:val="006157C8"/>
    <w:rsid w:val="006161DE"/>
    <w:rsid w:val="00616A2D"/>
    <w:rsid w:val="00616C90"/>
    <w:rsid w:val="00616FFA"/>
    <w:rsid w:val="006171D6"/>
    <w:rsid w:val="00617492"/>
    <w:rsid w:val="0061758E"/>
    <w:rsid w:val="00617FDA"/>
    <w:rsid w:val="00620BE9"/>
    <w:rsid w:val="00620D64"/>
    <w:rsid w:val="0062116F"/>
    <w:rsid w:val="00622021"/>
    <w:rsid w:val="00622523"/>
    <w:rsid w:val="00622EDB"/>
    <w:rsid w:val="00623FD7"/>
    <w:rsid w:val="00626087"/>
    <w:rsid w:val="00626559"/>
    <w:rsid w:val="00631081"/>
    <w:rsid w:val="00631C50"/>
    <w:rsid w:val="0063277F"/>
    <w:rsid w:val="006336F2"/>
    <w:rsid w:val="00633C50"/>
    <w:rsid w:val="00634BCF"/>
    <w:rsid w:val="00634E4C"/>
    <w:rsid w:val="0063526B"/>
    <w:rsid w:val="006356F7"/>
    <w:rsid w:val="006358AD"/>
    <w:rsid w:val="00636B8B"/>
    <w:rsid w:val="00636C74"/>
    <w:rsid w:val="006379B5"/>
    <w:rsid w:val="0064095E"/>
    <w:rsid w:val="00641068"/>
    <w:rsid w:val="00641166"/>
    <w:rsid w:val="00641EAA"/>
    <w:rsid w:val="006421DA"/>
    <w:rsid w:val="006427FE"/>
    <w:rsid w:val="00644F1C"/>
    <w:rsid w:val="00645E48"/>
    <w:rsid w:val="00645EB3"/>
    <w:rsid w:val="00646695"/>
    <w:rsid w:val="00647B11"/>
    <w:rsid w:val="00647FA3"/>
    <w:rsid w:val="006502EC"/>
    <w:rsid w:val="006506C1"/>
    <w:rsid w:val="00651265"/>
    <w:rsid w:val="00651840"/>
    <w:rsid w:val="00652505"/>
    <w:rsid w:val="006533B1"/>
    <w:rsid w:val="00653FFC"/>
    <w:rsid w:val="00655D1C"/>
    <w:rsid w:val="00655EF5"/>
    <w:rsid w:val="00656B11"/>
    <w:rsid w:val="0065747A"/>
    <w:rsid w:val="00660AA3"/>
    <w:rsid w:val="00661C2C"/>
    <w:rsid w:val="00661ED8"/>
    <w:rsid w:val="00662E28"/>
    <w:rsid w:val="00662F64"/>
    <w:rsid w:val="006631D9"/>
    <w:rsid w:val="006632C0"/>
    <w:rsid w:val="006638C5"/>
    <w:rsid w:val="006640E2"/>
    <w:rsid w:val="0066450C"/>
    <w:rsid w:val="006648AC"/>
    <w:rsid w:val="0066643A"/>
    <w:rsid w:val="0066674D"/>
    <w:rsid w:val="006668BD"/>
    <w:rsid w:val="00666A78"/>
    <w:rsid w:val="006673D3"/>
    <w:rsid w:val="00667552"/>
    <w:rsid w:val="006678D4"/>
    <w:rsid w:val="00667B2F"/>
    <w:rsid w:val="00671065"/>
    <w:rsid w:val="00672C01"/>
    <w:rsid w:val="00672EE4"/>
    <w:rsid w:val="00675B28"/>
    <w:rsid w:val="006768F6"/>
    <w:rsid w:val="00676C12"/>
    <w:rsid w:val="00677F2B"/>
    <w:rsid w:val="006803AE"/>
    <w:rsid w:val="00680CFF"/>
    <w:rsid w:val="00681787"/>
    <w:rsid w:val="00683747"/>
    <w:rsid w:val="006849E0"/>
    <w:rsid w:val="00684C22"/>
    <w:rsid w:val="00685A1B"/>
    <w:rsid w:val="00686AB6"/>
    <w:rsid w:val="006911FA"/>
    <w:rsid w:val="00691276"/>
    <w:rsid w:val="0069375D"/>
    <w:rsid w:val="0069407C"/>
    <w:rsid w:val="00694C76"/>
    <w:rsid w:val="00695303"/>
    <w:rsid w:val="006955DA"/>
    <w:rsid w:val="0069574E"/>
    <w:rsid w:val="006967DC"/>
    <w:rsid w:val="006969C0"/>
    <w:rsid w:val="00696CA5"/>
    <w:rsid w:val="00697762"/>
    <w:rsid w:val="0069796C"/>
    <w:rsid w:val="006A03F8"/>
    <w:rsid w:val="006A0FB2"/>
    <w:rsid w:val="006A1921"/>
    <w:rsid w:val="006A1C68"/>
    <w:rsid w:val="006A2303"/>
    <w:rsid w:val="006A38EA"/>
    <w:rsid w:val="006A41E4"/>
    <w:rsid w:val="006A4A19"/>
    <w:rsid w:val="006A4F69"/>
    <w:rsid w:val="006A585A"/>
    <w:rsid w:val="006A6BB2"/>
    <w:rsid w:val="006A6CE6"/>
    <w:rsid w:val="006B027E"/>
    <w:rsid w:val="006B055D"/>
    <w:rsid w:val="006B1F76"/>
    <w:rsid w:val="006B3082"/>
    <w:rsid w:val="006B3A00"/>
    <w:rsid w:val="006B667C"/>
    <w:rsid w:val="006B7532"/>
    <w:rsid w:val="006C0488"/>
    <w:rsid w:val="006C1187"/>
    <w:rsid w:val="006C1212"/>
    <w:rsid w:val="006C2490"/>
    <w:rsid w:val="006C34A4"/>
    <w:rsid w:val="006C46E8"/>
    <w:rsid w:val="006C6BE0"/>
    <w:rsid w:val="006C6C47"/>
    <w:rsid w:val="006C6EDA"/>
    <w:rsid w:val="006C7F24"/>
    <w:rsid w:val="006D0007"/>
    <w:rsid w:val="006D08DC"/>
    <w:rsid w:val="006D2A45"/>
    <w:rsid w:val="006D593B"/>
    <w:rsid w:val="006D6156"/>
    <w:rsid w:val="006D6AFD"/>
    <w:rsid w:val="006D71B8"/>
    <w:rsid w:val="006E162E"/>
    <w:rsid w:val="006E1E4E"/>
    <w:rsid w:val="006E304F"/>
    <w:rsid w:val="006E3601"/>
    <w:rsid w:val="006E3A59"/>
    <w:rsid w:val="006E3F96"/>
    <w:rsid w:val="006E4272"/>
    <w:rsid w:val="006E43D6"/>
    <w:rsid w:val="006E4772"/>
    <w:rsid w:val="006E578E"/>
    <w:rsid w:val="006E5E2A"/>
    <w:rsid w:val="006E6661"/>
    <w:rsid w:val="006E7A14"/>
    <w:rsid w:val="006E7AE6"/>
    <w:rsid w:val="006F0249"/>
    <w:rsid w:val="006F0F3D"/>
    <w:rsid w:val="006F145A"/>
    <w:rsid w:val="006F1BCB"/>
    <w:rsid w:val="006F20C4"/>
    <w:rsid w:val="006F27CB"/>
    <w:rsid w:val="006F32F4"/>
    <w:rsid w:val="006F359B"/>
    <w:rsid w:val="006F3DA9"/>
    <w:rsid w:val="006F579C"/>
    <w:rsid w:val="006F5865"/>
    <w:rsid w:val="006F5D40"/>
    <w:rsid w:val="006F72F5"/>
    <w:rsid w:val="007002DC"/>
    <w:rsid w:val="00700D3F"/>
    <w:rsid w:val="0070195F"/>
    <w:rsid w:val="00701EC6"/>
    <w:rsid w:val="00701F35"/>
    <w:rsid w:val="007021E4"/>
    <w:rsid w:val="007022EA"/>
    <w:rsid w:val="0070378B"/>
    <w:rsid w:val="00703AED"/>
    <w:rsid w:val="00703E02"/>
    <w:rsid w:val="00706179"/>
    <w:rsid w:val="00706D77"/>
    <w:rsid w:val="00706DAF"/>
    <w:rsid w:val="0070761C"/>
    <w:rsid w:val="00707C4F"/>
    <w:rsid w:val="00711006"/>
    <w:rsid w:val="00712F5F"/>
    <w:rsid w:val="00713E12"/>
    <w:rsid w:val="007146E7"/>
    <w:rsid w:val="00714D32"/>
    <w:rsid w:val="00714F78"/>
    <w:rsid w:val="007152B0"/>
    <w:rsid w:val="00715EF4"/>
    <w:rsid w:val="00716D16"/>
    <w:rsid w:val="007170F7"/>
    <w:rsid w:val="007174FE"/>
    <w:rsid w:val="00717B27"/>
    <w:rsid w:val="00720047"/>
    <w:rsid w:val="0072080E"/>
    <w:rsid w:val="00720957"/>
    <w:rsid w:val="00720A0F"/>
    <w:rsid w:val="0072279A"/>
    <w:rsid w:val="007228FE"/>
    <w:rsid w:val="00722B07"/>
    <w:rsid w:val="00722E76"/>
    <w:rsid w:val="00722F9F"/>
    <w:rsid w:val="0072318F"/>
    <w:rsid w:val="00723797"/>
    <w:rsid w:val="007241A1"/>
    <w:rsid w:val="00724495"/>
    <w:rsid w:val="00724687"/>
    <w:rsid w:val="00724FE1"/>
    <w:rsid w:val="007253B8"/>
    <w:rsid w:val="00732A37"/>
    <w:rsid w:val="00733D9A"/>
    <w:rsid w:val="00733FD6"/>
    <w:rsid w:val="0073460E"/>
    <w:rsid w:val="007349C2"/>
    <w:rsid w:val="00734C02"/>
    <w:rsid w:val="00736D73"/>
    <w:rsid w:val="00736E7D"/>
    <w:rsid w:val="00740A92"/>
    <w:rsid w:val="0074191E"/>
    <w:rsid w:val="00741D8C"/>
    <w:rsid w:val="0074368D"/>
    <w:rsid w:val="00744942"/>
    <w:rsid w:val="00744D0F"/>
    <w:rsid w:val="00744E72"/>
    <w:rsid w:val="00745B65"/>
    <w:rsid w:val="007460E7"/>
    <w:rsid w:val="00747B51"/>
    <w:rsid w:val="00747F70"/>
    <w:rsid w:val="00747FC6"/>
    <w:rsid w:val="00750662"/>
    <w:rsid w:val="007509A6"/>
    <w:rsid w:val="00751A2C"/>
    <w:rsid w:val="00751A89"/>
    <w:rsid w:val="0075219E"/>
    <w:rsid w:val="00753373"/>
    <w:rsid w:val="00753720"/>
    <w:rsid w:val="00753F83"/>
    <w:rsid w:val="007541B0"/>
    <w:rsid w:val="0075469B"/>
    <w:rsid w:val="00754D73"/>
    <w:rsid w:val="00755163"/>
    <w:rsid w:val="007562AA"/>
    <w:rsid w:val="007568F8"/>
    <w:rsid w:val="00756AAB"/>
    <w:rsid w:val="00757F63"/>
    <w:rsid w:val="00760F61"/>
    <w:rsid w:val="0076126A"/>
    <w:rsid w:val="007621DA"/>
    <w:rsid w:val="00763187"/>
    <w:rsid w:val="00763964"/>
    <w:rsid w:val="007645AE"/>
    <w:rsid w:val="00764992"/>
    <w:rsid w:val="00765176"/>
    <w:rsid w:val="00765358"/>
    <w:rsid w:val="00765A2A"/>
    <w:rsid w:val="00765AB7"/>
    <w:rsid w:val="0076645D"/>
    <w:rsid w:val="0076712A"/>
    <w:rsid w:val="007704EB"/>
    <w:rsid w:val="00771863"/>
    <w:rsid w:val="007721A9"/>
    <w:rsid w:val="00772BAF"/>
    <w:rsid w:val="007739F1"/>
    <w:rsid w:val="00774663"/>
    <w:rsid w:val="00775AA0"/>
    <w:rsid w:val="0077652A"/>
    <w:rsid w:val="00776557"/>
    <w:rsid w:val="007770FA"/>
    <w:rsid w:val="00781530"/>
    <w:rsid w:val="0078543D"/>
    <w:rsid w:val="00785678"/>
    <w:rsid w:val="00785FC4"/>
    <w:rsid w:val="007864C3"/>
    <w:rsid w:val="00787588"/>
    <w:rsid w:val="00787ECD"/>
    <w:rsid w:val="0079096A"/>
    <w:rsid w:val="00791738"/>
    <w:rsid w:val="00791780"/>
    <w:rsid w:val="00792D37"/>
    <w:rsid w:val="00792D73"/>
    <w:rsid w:val="00793358"/>
    <w:rsid w:val="00794260"/>
    <w:rsid w:val="007943EC"/>
    <w:rsid w:val="00794D90"/>
    <w:rsid w:val="00795BC1"/>
    <w:rsid w:val="00795FE8"/>
    <w:rsid w:val="007961DD"/>
    <w:rsid w:val="00796718"/>
    <w:rsid w:val="00796B73"/>
    <w:rsid w:val="00796CD9"/>
    <w:rsid w:val="0079724E"/>
    <w:rsid w:val="00797C08"/>
    <w:rsid w:val="00797E89"/>
    <w:rsid w:val="00797F82"/>
    <w:rsid w:val="007A0EB7"/>
    <w:rsid w:val="007A175B"/>
    <w:rsid w:val="007A24D9"/>
    <w:rsid w:val="007A334C"/>
    <w:rsid w:val="007A3562"/>
    <w:rsid w:val="007A46B6"/>
    <w:rsid w:val="007A4F9C"/>
    <w:rsid w:val="007A59A5"/>
    <w:rsid w:val="007A7B71"/>
    <w:rsid w:val="007B0BF0"/>
    <w:rsid w:val="007B173C"/>
    <w:rsid w:val="007B19A3"/>
    <w:rsid w:val="007B1A4F"/>
    <w:rsid w:val="007B3031"/>
    <w:rsid w:val="007B315D"/>
    <w:rsid w:val="007B3374"/>
    <w:rsid w:val="007B6310"/>
    <w:rsid w:val="007B6871"/>
    <w:rsid w:val="007B77F5"/>
    <w:rsid w:val="007C08B1"/>
    <w:rsid w:val="007C124E"/>
    <w:rsid w:val="007C1D5A"/>
    <w:rsid w:val="007C266F"/>
    <w:rsid w:val="007C2CC2"/>
    <w:rsid w:val="007C38BD"/>
    <w:rsid w:val="007C52F0"/>
    <w:rsid w:val="007C62E3"/>
    <w:rsid w:val="007C79AA"/>
    <w:rsid w:val="007D00B1"/>
    <w:rsid w:val="007D06F4"/>
    <w:rsid w:val="007D0841"/>
    <w:rsid w:val="007D203F"/>
    <w:rsid w:val="007D23FC"/>
    <w:rsid w:val="007D2D8E"/>
    <w:rsid w:val="007D31DA"/>
    <w:rsid w:val="007D5E1A"/>
    <w:rsid w:val="007D72C5"/>
    <w:rsid w:val="007E005E"/>
    <w:rsid w:val="007E061A"/>
    <w:rsid w:val="007E1743"/>
    <w:rsid w:val="007E1D7E"/>
    <w:rsid w:val="007E35D1"/>
    <w:rsid w:val="007E4C39"/>
    <w:rsid w:val="007E521D"/>
    <w:rsid w:val="007E525D"/>
    <w:rsid w:val="007E5D0C"/>
    <w:rsid w:val="007E7F27"/>
    <w:rsid w:val="007F00DA"/>
    <w:rsid w:val="007F0323"/>
    <w:rsid w:val="007F0EE9"/>
    <w:rsid w:val="007F0FCA"/>
    <w:rsid w:val="007F1D2F"/>
    <w:rsid w:val="007F379E"/>
    <w:rsid w:val="007F432D"/>
    <w:rsid w:val="007F471C"/>
    <w:rsid w:val="007F48D0"/>
    <w:rsid w:val="007F4CC3"/>
    <w:rsid w:val="007F5632"/>
    <w:rsid w:val="00800C90"/>
    <w:rsid w:val="0080138C"/>
    <w:rsid w:val="008038E2"/>
    <w:rsid w:val="00804D1E"/>
    <w:rsid w:val="008062D7"/>
    <w:rsid w:val="008071C6"/>
    <w:rsid w:val="0080748C"/>
    <w:rsid w:val="00807A61"/>
    <w:rsid w:val="0081097D"/>
    <w:rsid w:val="00811B5F"/>
    <w:rsid w:val="008125F8"/>
    <w:rsid w:val="00813A6C"/>
    <w:rsid w:val="00814F9E"/>
    <w:rsid w:val="00816233"/>
    <w:rsid w:val="00816FDA"/>
    <w:rsid w:val="00817F7C"/>
    <w:rsid w:val="00820B27"/>
    <w:rsid w:val="00821061"/>
    <w:rsid w:val="0082149D"/>
    <w:rsid w:val="008226E6"/>
    <w:rsid w:val="00823235"/>
    <w:rsid w:val="00823B6B"/>
    <w:rsid w:val="00824AAC"/>
    <w:rsid w:val="0082666D"/>
    <w:rsid w:val="00826B74"/>
    <w:rsid w:val="008314AF"/>
    <w:rsid w:val="008332FF"/>
    <w:rsid w:val="008339D5"/>
    <w:rsid w:val="008344FC"/>
    <w:rsid w:val="00834CE0"/>
    <w:rsid w:val="00837F2B"/>
    <w:rsid w:val="0084063F"/>
    <w:rsid w:val="0084110F"/>
    <w:rsid w:val="00841F1F"/>
    <w:rsid w:val="00841F22"/>
    <w:rsid w:val="008426F3"/>
    <w:rsid w:val="008430C2"/>
    <w:rsid w:val="008437FB"/>
    <w:rsid w:val="00843C0A"/>
    <w:rsid w:val="00844B1D"/>
    <w:rsid w:val="00844CC7"/>
    <w:rsid w:val="00844F5C"/>
    <w:rsid w:val="00845843"/>
    <w:rsid w:val="008460EB"/>
    <w:rsid w:val="00846D34"/>
    <w:rsid w:val="0085173B"/>
    <w:rsid w:val="00852BAF"/>
    <w:rsid w:val="008536AC"/>
    <w:rsid w:val="00854370"/>
    <w:rsid w:val="00854F86"/>
    <w:rsid w:val="0085541D"/>
    <w:rsid w:val="00855A6E"/>
    <w:rsid w:val="00856CA1"/>
    <w:rsid w:val="008573F4"/>
    <w:rsid w:val="00857492"/>
    <w:rsid w:val="00857F7A"/>
    <w:rsid w:val="00860189"/>
    <w:rsid w:val="00860320"/>
    <w:rsid w:val="00861FE7"/>
    <w:rsid w:val="00862914"/>
    <w:rsid w:val="00863020"/>
    <w:rsid w:val="008637EC"/>
    <w:rsid w:val="0086573F"/>
    <w:rsid w:val="008657F2"/>
    <w:rsid w:val="00865C31"/>
    <w:rsid w:val="00867727"/>
    <w:rsid w:val="008679F2"/>
    <w:rsid w:val="00867B8C"/>
    <w:rsid w:val="0087066E"/>
    <w:rsid w:val="00870BC6"/>
    <w:rsid w:val="00870CB8"/>
    <w:rsid w:val="0087303A"/>
    <w:rsid w:val="008737F3"/>
    <w:rsid w:val="00873B22"/>
    <w:rsid w:val="00875DAD"/>
    <w:rsid w:val="00876F1B"/>
    <w:rsid w:val="00877B84"/>
    <w:rsid w:val="0088036D"/>
    <w:rsid w:val="00881155"/>
    <w:rsid w:val="008813AE"/>
    <w:rsid w:val="00881F97"/>
    <w:rsid w:val="00882892"/>
    <w:rsid w:val="008837EE"/>
    <w:rsid w:val="00884184"/>
    <w:rsid w:val="00884280"/>
    <w:rsid w:val="00885A14"/>
    <w:rsid w:val="008862D4"/>
    <w:rsid w:val="0088689B"/>
    <w:rsid w:val="00887B02"/>
    <w:rsid w:val="0089047E"/>
    <w:rsid w:val="00890A9C"/>
    <w:rsid w:val="00890FA0"/>
    <w:rsid w:val="00892EBD"/>
    <w:rsid w:val="00893582"/>
    <w:rsid w:val="0089431C"/>
    <w:rsid w:val="008947BF"/>
    <w:rsid w:val="00896314"/>
    <w:rsid w:val="008A052E"/>
    <w:rsid w:val="008A0CBE"/>
    <w:rsid w:val="008A1CA8"/>
    <w:rsid w:val="008A214D"/>
    <w:rsid w:val="008A3584"/>
    <w:rsid w:val="008A39C7"/>
    <w:rsid w:val="008A72D2"/>
    <w:rsid w:val="008A74A3"/>
    <w:rsid w:val="008A7D97"/>
    <w:rsid w:val="008A7FF8"/>
    <w:rsid w:val="008B1CEC"/>
    <w:rsid w:val="008B2BF9"/>
    <w:rsid w:val="008B44FE"/>
    <w:rsid w:val="008B5CE2"/>
    <w:rsid w:val="008B6868"/>
    <w:rsid w:val="008B6D24"/>
    <w:rsid w:val="008B6EE6"/>
    <w:rsid w:val="008B7122"/>
    <w:rsid w:val="008B78DF"/>
    <w:rsid w:val="008C0BB7"/>
    <w:rsid w:val="008C0EFD"/>
    <w:rsid w:val="008C10FB"/>
    <w:rsid w:val="008C1A35"/>
    <w:rsid w:val="008C2C25"/>
    <w:rsid w:val="008C34F7"/>
    <w:rsid w:val="008C4B49"/>
    <w:rsid w:val="008C5D20"/>
    <w:rsid w:val="008C671C"/>
    <w:rsid w:val="008C6A43"/>
    <w:rsid w:val="008C6EF1"/>
    <w:rsid w:val="008C751F"/>
    <w:rsid w:val="008D0536"/>
    <w:rsid w:val="008D080C"/>
    <w:rsid w:val="008D1ACF"/>
    <w:rsid w:val="008D33C3"/>
    <w:rsid w:val="008D55BE"/>
    <w:rsid w:val="008D6437"/>
    <w:rsid w:val="008D65C1"/>
    <w:rsid w:val="008D6BB0"/>
    <w:rsid w:val="008D6EDF"/>
    <w:rsid w:val="008D7080"/>
    <w:rsid w:val="008E0179"/>
    <w:rsid w:val="008E01EF"/>
    <w:rsid w:val="008E19BC"/>
    <w:rsid w:val="008E39CE"/>
    <w:rsid w:val="008E3EF5"/>
    <w:rsid w:val="008E5791"/>
    <w:rsid w:val="008E5EE4"/>
    <w:rsid w:val="008E6F35"/>
    <w:rsid w:val="008F0B0D"/>
    <w:rsid w:val="008F2067"/>
    <w:rsid w:val="008F33B5"/>
    <w:rsid w:val="008F470C"/>
    <w:rsid w:val="008F68E4"/>
    <w:rsid w:val="008F6972"/>
    <w:rsid w:val="008F6F75"/>
    <w:rsid w:val="008F7886"/>
    <w:rsid w:val="009024C2"/>
    <w:rsid w:val="00902603"/>
    <w:rsid w:val="009047A5"/>
    <w:rsid w:val="009047B0"/>
    <w:rsid w:val="00905344"/>
    <w:rsid w:val="00905345"/>
    <w:rsid w:val="009057AF"/>
    <w:rsid w:val="00906799"/>
    <w:rsid w:val="00906F01"/>
    <w:rsid w:val="00907834"/>
    <w:rsid w:val="00911E21"/>
    <w:rsid w:val="009127E1"/>
    <w:rsid w:val="00915132"/>
    <w:rsid w:val="009168FE"/>
    <w:rsid w:val="00922193"/>
    <w:rsid w:val="00922836"/>
    <w:rsid w:val="00922DC7"/>
    <w:rsid w:val="00924152"/>
    <w:rsid w:val="00924768"/>
    <w:rsid w:val="00924CCC"/>
    <w:rsid w:val="00924E3F"/>
    <w:rsid w:val="00925930"/>
    <w:rsid w:val="00926072"/>
    <w:rsid w:val="0092744E"/>
    <w:rsid w:val="00931370"/>
    <w:rsid w:val="0093194D"/>
    <w:rsid w:val="00932145"/>
    <w:rsid w:val="0093220C"/>
    <w:rsid w:val="00932315"/>
    <w:rsid w:val="00934C3F"/>
    <w:rsid w:val="00935383"/>
    <w:rsid w:val="00935788"/>
    <w:rsid w:val="00936A1E"/>
    <w:rsid w:val="009417AE"/>
    <w:rsid w:val="00941EE5"/>
    <w:rsid w:val="0094464D"/>
    <w:rsid w:val="00945239"/>
    <w:rsid w:val="00945635"/>
    <w:rsid w:val="00945B3F"/>
    <w:rsid w:val="009461E8"/>
    <w:rsid w:val="0095058A"/>
    <w:rsid w:val="00950615"/>
    <w:rsid w:val="00950DCB"/>
    <w:rsid w:val="009526B9"/>
    <w:rsid w:val="009527E6"/>
    <w:rsid w:val="00952891"/>
    <w:rsid w:val="00952D47"/>
    <w:rsid w:val="00952D4C"/>
    <w:rsid w:val="00953088"/>
    <w:rsid w:val="00953192"/>
    <w:rsid w:val="0095455F"/>
    <w:rsid w:val="00955E0B"/>
    <w:rsid w:val="009569C5"/>
    <w:rsid w:val="00957713"/>
    <w:rsid w:val="00960246"/>
    <w:rsid w:val="00960350"/>
    <w:rsid w:val="009604F5"/>
    <w:rsid w:val="00961155"/>
    <w:rsid w:val="0096209F"/>
    <w:rsid w:val="009628CD"/>
    <w:rsid w:val="00965C36"/>
    <w:rsid w:val="00965D33"/>
    <w:rsid w:val="00970326"/>
    <w:rsid w:val="00970B8F"/>
    <w:rsid w:val="00970C1F"/>
    <w:rsid w:val="00970FBD"/>
    <w:rsid w:val="0097198F"/>
    <w:rsid w:val="009720E1"/>
    <w:rsid w:val="00974252"/>
    <w:rsid w:val="009746F3"/>
    <w:rsid w:val="00974F0E"/>
    <w:rsid w:val="00975704"/>
    <w:rsid w:val="00975CD7"/>
    <w:rsid w:val="00976854"/>
    <w:rsid w:val="00980508"/>
    <w:rsid w:val="00980EF5"/>
    <w:rsid w:val="00983073"/>
    <w:rsid w:val="0098308E"/>
    <w:rsid w:val="00983BFA"/>
    <w:rsid w:val="009846CA"/>
    <w:rsid w:val="00984D90"/>
    <w:rsid w:val="00985156"/>
    <w:rsid w:val="0098577D"/>
    <w:rsid w:val="00985820"/>
    <w:rsid w:val="00985911"/>
    <w:rsid w:val="00985D32"/>
    <w:rsid w:val="00985E70"/>
    <w:rsid w:val="00986B3C"/>
    <w:rsid w:val="0098727A"/>
    <w:rsid w:val="0098783B"/>
    <w:rsid w:val="00987CBA"/>
    <w:rsid w:val="00990324"/>
    <w:rsid w:val="009905FA"/>
    <w:rsid w:val="0099082B"/>
    <w:rsid w:val="0099094B"/>
    <w:rsid w:val="00990C89"/>
    <w:rsid w:val="009922CF"/>
    <w:rsid w:val="00992317"/>
    <w:rsid w:val="00992D9C"/>
    <w:rsid w:val="00993097"/>
    <w:rsid w:val="00993C2B"/>
    <w:rsid w:val="00995414"/>
    <w:rsid w:val="00995CCF"/>
    <w:rsid w:val="00995DFC"/>
    <w:rsid w:val="00996F45"/>
    <w:rsid w:val="009972F1"/>
    <w:rsid w:val="0099762B"/>
    <w:rsid w:val="009979F4"/>
    <w:rsid w:val="009A1C05"/>
    <w:rsid w:val="009A264A"/>
    <w:rsid w:val="009A4242"/>
    <w:rsid w:val="009A45B2"/>
    <w:rsid w:val="009A4C87"/>
    <w:rsid w:val="009A5180"/>
    <w:rsid w:val="009A5585"/>
    <w:rsid w:val="009A59D5"/>
    <w:rsid w:val="009A5C95"/>
    <w:rsid w:val="009A5DD3"/>
    <w:rsid w:val="009B1136"/>
    <w:rsid w:val="009B2CB7"/>
    <w:rsid w:val="009B3C9A"/>
    <w:rsid w:val="009B6189"/>
    <w:rsid w:val="009B692D"/>
    <w:rsid w:val="009C0154"/>
    <w:rsid w:val="009C40F5"/>
    <w:rsid w:val="009C4AEB"/>
    <w:rsid w:val="009C77BD"/>
    <w:rsid w:val="009C7B13"/>
    <w:rsid w:val="009D0389"/>
    <w:rsid w:val="009D0DCF"/>
    <w:rsid w:val="009D110C"/>
    <w:rsid w:val="009D227A"/>
    <w:rsid w:val="009D2480"/>
    <w:rsid w:val="009D29CE"/>
    <w:rsid w:val="009D2DDD"/>
    <w:rsid w:val="009D359A"/>
    <w:rsid w:val="009D3907"/>
    <w:rsid w:val="009D46A4"/>
    <w:rsid w:val="009D7142"/>
    <w:rsid w:val="009D795F"/>
    <w:rsid w:val="009E0441"/>
    <w:rsid w:val="009E0809"/>
    <w:rsid w:val="009E0C10"/>
    <w:rsid w:val="009E0F10"/>
    <w:rsid w:val="009E2C7E"/>
    <w:rsid w:val="009E3488"/>
    <w:rsid w:val="009E35B7"/>
    <w:rsid w:val="009E3B65"/>
    <w:rsid w:val="009E4116"/>
    <w:rsid w:val="009E4213"/>
    <w:rsid w:val="009F078C"/>
    <w:rsid w:val="009F0E31"/>
    <w:rsid w:val="009F1CA3"/>
    <w:rsid w:val="009F2443"/>
    <w:rsid w:val="009F2A26"/>
    <w:rsid w:val="009F2C16"/>
    <w:rsid w:val="009F2DBE"/>
    <w:rsid w:val="009F334A"/>
    <w:rsid w:val="009F3B9C"/>
    <w:rsid w:val="009F3F7E"/>
    <w:rsid w:val="009F440D"/>
    <w:rsid w:val="009F6ABB"/>
    <w:rsid w:val="009F729C"/>
    <w:rsid w:val="00A0138F"/>
    <w:rsid w:val="00A01458"/>
    <w:rsid w:val="00A035E4"/>
    <w:rsid w:val="00A04C5C"/>
    <w:rsid w:val="00A05420"/>
    <w:rsid w:val="00A0599B"/>
    <w:rsid w:val="00A0735E"/>
    <w:rsid w:val="00A07BF6"/>
    <w:rsid w:val="00A07D79"/>
    <w:rsid w:val="00A10DA6"/>
    <w:rsid w:val="00A10FCC"/>
    <w:rsid w:val="00A12893"/>
    <w:rsid w:val="00A138C9"/>
    <w:rsid w:val="00A14E5B"/>
    <w:rsid w:val="00A151E9"/>
    <w:rsid w:val="00A15DBB"/>
    <w:rsid w:val="00A179E5"/>
    <w:rsid w:val="00A20080"/>
    <w:rsid w:val="00A21261"/>
    <w:rsid w:val="00A21B14"/>
    <w:rsid w:val="00A21B47"/>
    <w:rsid w:val="00A21CAA"/>
    <w:rsid w:val="00A22034"/>
    <w:rsid w:val="00A227FD"/>
    <w:rsid w:val="00A23719"/>
    <w:rsid w:val="00A259F2"/>
    <w:rsid w:val="00A274E1"/>
    <w:rsid w:val="00A2758A"/>
    <w:rsid w:val="00A2764E"/>
    <w:rsid w:val="00A303EF"/>
    <w:rsid w:val="00A3337D"/>
    <w:rsid w:val="00A3341A"/>
    <w:rsid w:val="00A33802"/>
    <w:rsid w:val="00A34627"/>
    <w:rsid w:val="00A35EB3"/>
    <w:rsid w:val="00A3683B"/>
    <w:rsid w:val="00A37162"/>
    <w:rsid w:val="00A37E51"/>
    <w:rsid w:val="00A403D3"/>
    <w:rsid w:val="00A407B7"/>
    <w:rsid w:val="00A422FE"/>
    <w:rsid w:val="00A422FF"/>
    <w:rsid w:val="00A43B81"/>
    <w:rsid w:val="00A44242"/>
    <w:rsid w:val="00A44F8D"/>
    <w:rsid w:val="00A44FA5"/>
    <w:rsid w:val="00A4518A"/>
    <w:rsid w:val="00A461DB"/>
    <w:rsid w:val="00A47760"/>
    <w:rsid w:val="00A50516"/>
    <w:rsid w:val="00A50D52"/>
    <w:rsid w:val="00A519AE"/>
    <w:rsid w:val="00A51A13"/>
    <w:rsid w:val="00A51A8D"/>
    <w:rsid w:val="00A51E2D"/>
    <w:rsid w:val="00A52982"/>
    <w:rsid w:val="00A5319F"/>
    <w:rsid w:val="00A53690"/>
    <w:rsid w:val="00A54611"/>
    <w:rsid w:val="00A5506D"/>
    <w:rsid w:val="00A55629"/>
    <w:rsid w:val="00A56116"/>
    <w:rsid w:val="00A568BC"/>
    <w:rsid w:val="00A56BE4"/>
    <w:rsid w:val="00A56DB4"/>
    <w:rsid w:val="00A57665"/>
    <w:rsid w:val="00A60BAD"/>
    <w:rsid w:val="00A60D99"/>
    <w:rsid w:val="00A6128B"/>
    <w:rsid w:val="00A62D31"/>
    <w:rsid w:val="00A630BA"/>
    <w:rsid w:val="00A63380"/>
    <w:rsid w:val="00A6356B"/>
    <w:rsid w:val="00A643A9"/>
    <w:rsid w:val="00A6472F"/>
    <w:rsid w:val="00A64876"/>
    <w:rsid w:val="00A6541E"/>
    <w:rsid w:val="00A66835"/>
    <w:rsid w:val="00A67348"/>
    <w:rsid w:val="00A703F1"/>
    <w:rsid w:val="00A704AD"/>
    <w:rsid w:val="00A72C39"/>
    <w:rsid w:val="00A73240"/>
    <w:rsid w:val="00A73E12"/>
    <w:rsid w:val="00A73EDD"/>
    <w:rsid w:val="00A74DA1"/>
    <w:rsid w:val="00A77894"/>
    <w:rsid w:val="00A77DD5"/>
    <w:rsid w:val="00A80A71"/>
    <w:rsid w:val="00A8105A"/>
    <w:rsid w:val="00A8129D"/>
    <w:rsid w:val="00A8149E"/>
    <w:rsid w:val="00A81E4F"/>
    <w:rsid w:val="00A81FE5"/>
    <w:rsid w:val="00A822F1"/>
    <w:rsid w:val="00A83DA5"/>
    <w:rsid w:val="00A846FB"/>
    <w:rsid w:val="00A84F4B"/>
    <w:rsid w:val="00A861E6"/>
    <w:rsid w:val="00A863C7"/>
    <w:rsid w:val="00A865C7"/>
    <w:rsid w:val="00A909CC"/>
    <w:rsid w:val="00A90E08"/>
    <w:rsid w:val="00A90E6E"/>
    <w:rsid w:val="00A910DF"/>
    <w:rsid w:val="00A932A0"/>
    <w:rsid w:val="00A93D1E"/>
    <w:rsid w:val="00A949B4"/>
    <w:rsid w:val="00A9510E"/>
    <w:rsid w:val="00A964A5"/>
    <w:rsid w:val="00A96EA6"/>
    <w:rsid w:val="00A97E3B"/>
    <w:rsid w:val="00AA00CB"/>
    <w:rsid w:val="00AA05E2"/>
    <w:rsid w:val="00AA0A50"/>
    <w:rsid w:val="00AA0CA8"/>
    <w:rsid w:val="00AA185D"/>
    <w:rsid w:val="00AA20A1"/>
    <w:rsid w:val="00AA211D"/>
    <w:rsid w:val="00AA2CDA"/>
    <w:rsid w:val="00AA41F2"/>
    <w:rsid w:val="00AA46A3"/>
    <w:rsid w:val="00AA4887"/>
    <w:rsid w:val="00AA5531"/>
    <w:rsid w:val="00AA6AAB"/>
    <w:rsid w:val="00AA719E"/>
    <w:rsid w:val="00AA72F2"/>
    <w:rsid w:val="00AA7351"/>
    <w:rsid w:val="00AB039E"/>
    <w:rsid w:val="00AB0F6E"/>
    <w:rsid w:val="00AB0F7A"/>
    <w:rsid w:val="00AB377D"/>
    <w:rsid w:val="00AB4206"/>
    <w:rsid w:val="00AB4E13"/>
    <w:rsid w:val="00AB57CF"/>
    <w:rsid w:val="00AB57FF"/>
    <w:rsid w:val="00AB645C"/>
    <w:rsid w:val="00AC14F6"/>
    <w:rsid w:val="00AC1C12"/>
    <w:rsid w:val="00AC1F13"/>
    <w:rsid w:val="00AC2EB4"/>
    <w:rsid w:val="00AC33B5"/>
    <w:rsid w:val="00AC4101"/>
    <w:rsid w:val="00AC5718"/>
    <w:rsid w:val="00AC6958"/>
    <w:rsid w:val="00AC6DC7"/>
    <w:rsid w:val="00AC7E54"/>
    <w:rsid w:val="00AD0A91"/>
    <w:rsid w:val="00AD15F3"/>
    <w:rsid w:val="00AD1A9F"/>
    <w:rsid w:val="00AD1E62"/>
    <w:rsid w:val="00AD2676"/>
    <w:rsid w:val="00AD3820"/>
    <w:rsid w:val="00AD393D"/>
    <w:rsid w:val="00AD7195"/>
    <w:rsid w:val="00AD7CB0"/>
    <w:rsid w:val="00AE08D3"/>
    <w:rsid w:val="00AE093B"/>
    <w:rsid w:val="00AE1532"/>
    <w:rsid w:val="00AE1AE6"/>
    <w:rsid w:val="00AE1B72"/>
    <w:rsid w:val="00AE2572"/>
    <w:rsid w:val="00AE31AB"/>
    <w:rsid w:val="00AE3225"/>
    <w:rsid w:val="00AE3E87"/>
    <w:rsid w:val="00AE4C72"/>
    <w:rsid w:val="00AE4E91"/>
    <w:rsid w:val="00AE57DD"/>
    <w:rsid w:val="00AE65A9"/>
    <w:rsid w:val="00AE6A4E"/>
    <w:rsid w:val="00AE7B98"/>
    <w:rsid w:val="00AF0228"/>
    <w:rsid w:val="00AF088D"/>
    <w:rsid w:val="00AF129F"/>
    <w:rsid w:val="00AF1EBF"/>
    <w:rsid w:val="00AF28C4"/>
    <w:rsid w:val="00AF419D"/>
    <w:rsid w:val="00AF5BD5"/>
    <w:rsid w:val="00AF5FA2"/>
    <w:rsid w:val="00AF681D"/>
    <w:rsid w:val="00B0057B"/>
    <w:rsid w:val="00B0106B"/>
    <w:rsid w:val="00B01278"/>
    <w:rsid w:val="00B0172D"/>
    <w:rsid w:val="00B022D0"/>
    <w:rsid w:val="00B04165"/>
    <w:rsid w:val="00B05E4A"/>
    <w:rsid w:val="00B05EC5"/>
    <w:rsid w:val="00B072AC"/>
    <w:rsid w:val="00B076F9"/>
    <w:rsid w:val="00B07A88"/>
    <w:rsid w:val="00B07B31"/>
    <w:rsid w:val="00B07DA9"/>
    <w:rsid w:val="00B07DD2"/>
    <w:rsid w:val="00B07F00"/>
    <w:rsid w:val="00B10BB4"/>
    <w:rsid w:val="00B10C9D"/>
    <w:rsid w:val="00B1270A"/>
    <w:rsid w:val="00B12B93"/>
    <w:rsid w:val="00B12DC9"/>
    <w:rsid w:val="00B13571"/>
    <w:rsid w:val="00B13F84"/>
    <w:rsid w:val="00B14604"/>
    <w:rsid w:val="00B15ABA"/>
    <w:rsid w:val="00B15DAD"/>
    <w:rsid w:val="00B1607C"/>
    <w:rsid w:val="00B17A05"/>
    <w:rsid w:val="00B17B14"/>
    <w:rsid w:val="00B20B90"/>
    <w:rsid w:val="00B20DFD"/>
    <w:rsid w:val="00B2497C"/>
    <w:rsid w:val="00B24DD4"/>
    <w:rsid w:val="00B302B4"/>
    <w:rsid w:val="00B3117C"/>
    <w:rsid w:val="00B31DE7"/>
    <w:rsid w:val="00B33F13"/>
    <w:rsid w:val="00B341E0"/>
    <w:rsid w:val="00B34339"/>
    <w:rsid w:val="00B34AB7"/>
    <w:rsid w:val="00B35D1A"/>
    <w:rsid w:val="00B35D2A"/>
    <w:rsid w:val="00B35E05"/>
    <w:rsid w:val="00B3719D"/>
    <w:rsid w:val="00B379A9"/>
    <w:rsid w:val="00B400DA"/>
    <w:rsid w:val="00B42B2F"/>
    <w:rsid w:val="00B43A30"/>
    <w:rsid w:val="00B43B73"/>
    <w:rsid w:val="00B43F1E"/>
    <w:rsid w:val="00B44900"/>
    <w:rsid w:val="00B459ED"/>
    <w:rsid w:val="00B461B2"/>
    <w:rsid w:val="00B467F6"/>
    <w:rsid w:val="00B472E1"/>
    <w:rsid w:val="00B47DD3"/>
    <w:rsid w:val="00B50872"/>
    <w:rsid w:val="00B50F18"/>
    <w:rsid w:val="00B513E3"/>
    <w:rsid w:val="00B513F8"/>
    <w:rsid w:val="00B5191A"/>
    <w:rsid w:val="00B5272A"/>
    <w:rsid w:val="00B52821"/>
    <w:rsid w:val="00B52CB1"/>
    <w:rsid w:val="00B53332"/>
    <w:rsid w:val="00B5364C"/>
    <w:rsid w:val="00B542C7"/>
    <w:rsid w:val="00B551B3"/>
    <w:rsid w:val="00B56A7D"/>
    <w:rsid w:val="00B57194"/>
    <w:rsid w:val="00B60F4D"/>
    <w:rsid w:val="00B6214D"/>
    <w:rsid w:val="00B629E8"/>
    <w:rsid w:val="00B6339C"/>
    <w:rsid w:val="00B64B53"/>
    <w:rsid w:val="00B70320"/>
    <w:rsid w:val="00B70811"/>
    <w:rsid w:val="00B70A09"/>
    <w:rsid w:val="00B70EB1"/>
    <w:rsid w:val="00B70F55"/>
    <w:rsid w:val="00B71170"/>
    <w:rsid w:val="00B80BCE"/>
    <w:rsid w:val="00B81524"/>
    <w:rsid w:val="00B81740"/>
    <w:rsid w:val="00B83542"/>
    <w:rsid w:val="00B83E62"/>
    <w:rsid w:val="00B84509"/>
    <w:rsid w:val="00B84689"/>
    <w:rsid w:val="00B8548C"/>
    <w:rsid w:val="00B85D7B"/>
    <w:rsid w:val="00B86774"/>
    <w:rsid w:val="00B867BE"/>
    <w:rsid w:val="00B86EB4"/>
    <w:rsid w:val="00B8740F"/>
    <w:rsid w:val="00B8789C"/>
    <w:rsid w:val="00B900EA"/>
    <w:rsid w:val="00B90EEE"/>
    <w:rsid w:val="00B91069"/>
    <w:rsid w:val="00B923BD"/>
    <w:rsid w:val="00B92842"/>
    <w:rsid w:val="00B93533"/>
    <w:rsid w:val="00B9357E"/>
    <w:rsid w:val="00B948DA"/>
    <w:rsid w:val="00B95188"/>
    <w:rsid w:val="00B961C0"/>
    <w:rsid w:val="00B97658"/>
    <w:rsid w:val="00BA086D"/>
    <w:rsid w:val="00BA19AC"/>
    <w:rsid w:val="00BA237F"/>
    <w:rsid w:val="00BA2713"/>
    <w:rsid w:val="00BA2941"/>
    <w:rsid w:val="00BA2FE4"/>
    <w:rsid w:val="00BA4BBD"/>
    <w:rsid w:val="00BA4C61"/>
    <w:rsid w:val="00BA61C7"/>
    <w:rsid w:val="00BA627A"/>
    <w:rsid w:val="00BB08C4"/>
    <w:rsid w:val="00BB0BC8"/>
    <w:rsid w:val="00BB0D8A"/>
    <w:rsid w:val="00BB1CEC"/>
    <w:rsid w:val="00BB22FA"/>
    <w:rsid w:val="00BB2437"/>
    <w:rsid w:val="00BB26A8"/>
    <w:rsid w:val="00BB27C1"/>
    <w:rsid w:val="00BB283E"/>
    <w:rsid w:val="00BB2A6F"/>
    <w:rsid w:val="00BB2C84"/>
    <w:rsid w:val="00BB3AE0"/>
    <w:rsid w:val="00BB4777"/>
    <w:rsid w:val="00BB4C0D"/>
    <w:rsid w:val="00BB6983"/>
    <w:rsid w:val="00BB7B84"/>
    <w:rsid w:val="00BB7EB9"/>
    <w:rsid w:val="00BC093A"/>
    <w:rsid w:val="00BC4F08"/>
    <w:rsid w:val="00BC59AC"/>
    <w:rsid w:val="00BC60F7"/>
    <w:rsid w:val="00BC65C5"/>
    <w:rsid w:val="00BC6A6A"/>
    <w:rsid w:val="00BC6FFB"/>
    <w:rsid w:val="00BC7F49"/>
    <w:rsid w:val="00BD1023"/>
    <w:rsid w:val="00BD1099"/>
    <w:rsid w:val="00BD12A1"/>
    <w:rsid w:val="00BD1D09"/>
    <w:rsid w:val="00BD4050"/>
    <w:rsid w:val="00BD74F1"/>
    <w:rsid w:val="00BD7B83"/>
    <w:rsid w:val="00BE0DAA"/>
    <w:rsid w:val="00BE0E83"/>
    <w:rsid w:val="00BE11E4"/>
    <w:rsid w:val="00BE287E"/>
    <w:rsid w:val="00BE2E32"/>
    <w:rsid w:val="00BE42E7"/>
    <w:rsid w:val="00BE6554"/>
    <w:rsid w:val="00BF04B7"/>
    <w:rsid w:val="00BF093A"/>
    <w:rsid w:val="00BF0E51"/>
    <w:rsid w:val="00BF143F"/>
    <w:rsid w:val="00BF16B6"/>
    <w:rsid w:val="00BF17C6"/>
    <w:rsid w:val="00BF1836"/>
    <w:rsid w:val="00BF205D"/>
    <w:rsid w:val="00BF2390"/>
    <w:rsid w:val="00BF2DBF"/>
    <w:rsid w:val="00BF394E"/>
    <w:rsid w:val="00BF3ABB"/>
    <w:rsid w:val="00BF4941"/>
    <w:rsid w:val="00BF6A05"/>
    <w:rsid w:val="00BF6F09"/>
    <w:rsid w:val="00BF7EC4"/>
    <w:rsid w:val="00C0065C"/>
    <w:rsid w:val="00C00FDA"/>
    <w:rsid w:val="00C02B72"/>
    <w:rsid w:val="00C02EB9"/>
    <w:rsid w:val="00C03491"/>
    <w:rsid w:val="00C0373C"/>
    <w:rsid w:val="00C03D0E"/>
    <w:rsid w:val="00C041DA"/>
    <w:rsid w:val="00C04CB7"/>
    <w:rsid w:val="00C04E4B"/>
    <w:rsid w:val="00C056F7"/>
    <w:rsid w:val="00C05A37"/>
    <w:rsid w:val="00C05B69"/>
    <w:rsid w:val="00C05B88"/>
    <w:rsid w:val="00C076AC"/>
    <w:rsid w:val="00C07EAB"/>
    <w:rsid w:val="00C1029D"/>
    <w:rsid w:val="00C10EC5"/>
    <w:rsid w:val="00C11531"/>
    <w:rsid w:val="00C11B56"/>
    <w:rsid w:val="00C11F48"/>
    <w:rsid w:val="00C129C4"/>
    <w:rsid w:val="00C1348D"/>
    <w:rsid w:val="00C14C04"/>
    <w:rsid w:val="00C14C25"/>
    <w:rsid w:val="00C14DE9"/>
    <w:rsid w:val="00C15124"/>
    <w:rsid w:val="00C1533E"/>
    <w:rsid w:val="00C154BB"/>
    <w:rsid w:val="00C1596B"/>
    <w:rsid w:val="00C16045"/>
    <w:rsid w:val="00C1607D"/>
    <w:rsid w:val="00C163E3"/>
    <w:rsid w:val="00C17127"/>
    <w:rsid w:val="00C21245"/>
    <w:rsid w:val="00C21E27"/>
    <w:rsid w:val="00C22BE4"/>
    <w:rsid w:val="00C22FBE"/>
    <w:rsid w:val="00C23019"/>
    <w:rsid w:val="00C2332A"/>
    <w:rsid w:val="00C234B9"/>
    <w:rsid w:val="00C235F7"/>
    <w:rsid w:val="00C24B14"/>
    <w:rsid w:val="00C252A2"/>
    <w:rsid w:val="00C254B8"/>
    <w:rsid w:val="00C25CCB"/>
    <w:rsid w:val="00C265E1"/>
    <w:rsid w:val="00C26BAE"/>
    <w:rsid w:val="00C26DB3"/>
    <w:rsid w:val="00C27092"/>
    <w:rsid w:val="00C301AA"/>
    <w:rsid w:val="00C312D0"/>
    <w:rsid w:val="00C339FE"/>
    <w:rsid w:val="00C34C7F"/>
    <w:rsid w:val="00C352C1"/>
    <w:rsid w:val="00C3543B"/>
    <w:rsid w:val="00C35B92"/>
    <w:rsid w:val="00C37267"/>
    <w:rsid w:val="00C37830"/>
    <w:rsid w:val="00C4075F"/>
    <w:rsid w:val="00C419BE"/>
    <w:rsid w:val="00C41CC7"/>
    <w:rsid w:val="00C42269"/>
    <w:rsid w:val="00C42EA5"/>
    <w:rsid w:val="00C4422C"/>
    <w:rsid w:val="00C442A9"/>
    <w:rsid w:val="00C44313"/>
    <w:rsid w:val="00C45D6E"/>
    <w:rsid w:val="00C462B3"/>
    <w:rsid w:val="00C4698E"/>
    <w:rsid w:val="00C472CA"/>
    <w:rsid w:val="00C47C54"/>
    <w:rsid w:val="00C5077D"/>
    <w:rsid w:val="00C507D8"/>
    <w:rsid w:val="00C50B1C"/>
    <w:rsid w:val="00C5280C"/>
    <w:rsid w:val="00C52C84"/>
    <w:rsid w:val="00C5349D"/>
    <w:rsid w:val="00C541CF"/>
    <w:rsid w:val="00C54528"/>
    <w:rsid w:val="00C5458A"/>
    <w:rsid w:val="00C54DE2"/>
    <w:rsid w:val="00C54F93"/>
    <w:rsid w:val="00C55403"/>
    <w:rsid w:val="00C55437"/>
    <w:rsid w:val="00C56848"/>
    <w:rsid w:val="00C5684D"/>
    <w:rsid w:val="00C571E8"/>
    <w:rsid w:val="00C5737D"/>
    <w:rsid w:val="00C61345"/>
    <w:rsid w:val="00C6156D"/>
    <w:rsid w:val="00C62BF5"/>
    <w:rsid w:val="00C636DA"/>
    <w:rsid w:val="00C64827"/>
    <w:rsid w:val="00C6499A"/>
    <w:rsid w:val="00C64BDA"/>
    <w:rsid w:val="00C65457"/>
    <w:rsid w:val="00C65D05"/>
    <w:rsid w:val="00C66102"/>
    <w:rsid w:val="00C677E8"/>
    <w:rsid w:val="00C67E22"/>
    <w:rsid w:val="00C7007C"/>
    <w:rsid w:val="00C71F22"/>
    <w:rsid w:val="00C72271"/>
    <w:rsid w:val="00C722F8"/>
    <w:rsid w:val="00C72811"/>
    <w:rsid w:val="00C72A17"/>
    <w:rsid w:val="00C73234"/>
    <w:rsid w:val="00C747FC"/>
    <w:rsid w:val="00C75983"/>
    <w:rsid w:val="00C76B89"/>
    <w:rsid w:val="00C77314"/>
    <w:rsid w:val="00C80A20"/>
    <w:rsid w:val="00C80B57"/>
    <w:rsid w:val="00C80D9E"/>
    <w:rsid w:val="00C81356"/>
    <w:rsid w:val="00C813CD"/>
    <w:rsid w:val="00C83252"/>
    <w:rsid w:val="00C83377"/>
    <w:rsid w:val="00C854F2"/>
    <w:rsid w:val="00C858D9"/>
    <w:rsid w:val="00C862BB"/>
    <w:rsid w:val="00C863FA"/>
    <w:rsid w:val="00C86EB7"/>
    <w:rsid w:val="00C87DA0"/>
    <w:rsid w:val="00C910DE"/>
    <w:rsid w:val="00C91D2D"/>
    <w:rsid w:val="00C91E77"/>
    <w:rsid w:val="00C92848"/>
    <w:rsid w:val="00C93ED8"/>
    <w:rsid w:val="00C949DA"/>
    <w:rsid w:val="00C963DF"/>
    <w:rsid w:val="00C97254"/>
    <w:rsid w:val="00C977C0"/>
    <w:rsid w:val="00C97EA5"/>
    <w:rsid w:val="00CA0607"/>
    <w:rsid w:val="00CA140C"/>
    <w:rsid w:val="00CA4A14"/>
    <w:rsid w:val="00CA4E4D"/>
    <w:rsid w:val="00CA60DA"/>
    <w:rsid w:val="00CA6303"/>
    <w:rsid w:val="00CA6FF9"/>
    <w:rsid w:val="00CB0702"/>
    <w:rsid w:val="00CB0D6F"/>
    <w:rsid w:val="00CB114F"/>
    <w:rsid w:val="00CB4238"/>
    <w:rsid w:val="00CB4BBD"/>
    <w:rsid w:val="00CB4FD4"/>
    <w:rsid w:val="00CB50E5"/>
    <w:rsid w:val="00CB521B"/>
    <w:rsid w:val="00CB55A4"/>
    <w:rsid w:val="00CB590F"/>
    <w:rsid w:val="00CB5938"/>
    <w:rsid w:val="00CB5B27"/>
    <w:rsid w:val="00CB6B1A"/>
    <w:rsid w:val="00CB6B53"/>
    <w:rsid w:val="00CB7FB0"/>
    <w:rsid w:val="00CC030B"/>
    <w:rsid w:val="00CC1A64"/>
    <w:rsid w:val="00CC1D83"/>
    <w:rsid w:val="00CC285C"/>
    <w:rsid w:val="00CC3316"/>
    <w:rsid w:val="00CC34EB"/>
    <w:rsid w:val="00CC3BA0"/>
    <w:rsid w:val="00CC4013"/>
    <w:rsid w:val="00CC47EE"/>
    <w:rsid w:val="00CC5D51"/>
    <w:rsid w:val="00CC66EA"/>
    <w:rsid w:val="00CC714C"/>
    <w:rsid w:val="00CC7324"/>
    <w:rsid w:val="00CD3C17"/>
    <w:rsid w:val="00CD3D1C"/>
    <w:rsid w:val="00CD5F33"/>
    <w:rsid w:val="00CE111E"/>
    <w:rsid w:val="00CE1D5D"/>
    <w:rsid w:val="00CE1F9C"/>
    <w:rsid w:val="00CE2AF6"/>
    <w:rsid w:val="00CE2D14"/>
    <w:rsid w:val="00CE2E48"/>
    <w:rsid w:val="00CE34A8"/>
    <w:rsid w:val="00CE393C"/>
    <w:rsid w:val="00CE5D47"/>
    <w:rsid w:val="00CE6BB4"/>
    <w:rsid w:val="00CF0184"/>
    <w:rsid w:val="00CF1973"/>
    <w:rsid w:val="00CF2359"/>
    <w:rsid w:val="00CF289A"/>
    <w:rsid w:val="00CF39DC"/>
    <w:rsid w:val="00CF504E"/>
    <w:rsid w:val="00CF55F6"/>
    <w:rsid w:val="00CF5653"/>
    <w:rsid w:val="00CF59E0"/>
    <w:rsid w:val="00CF5F90"/>
    <w:rsid w:val="00CF6672"/>
    <w:rsid w:val="00CF69BA"/>
    <w:rsid w:val="00CF7C8F"/>
    <w:rsid w:val="00D0037A"/>
    <w:rsid w:val="00D0086C"/>
    <w:rsid w:val="00D021F7"/>
    <w:rsid w:val="00D02867"/>
    <w:rsid w:val="00D032FB"/>
    <w:rsid w:val="00D03365"/>
    <w:rsid w:val="00D052E8"/>
    <w:rsid w:val="00D053A7"/>
    <w:rsid w:val="00D0540F"/>
    <w:rsid w:val="00D069C7"/>
    <w:rsid w:val="00D06D51"/>
    <w:rsid w:val="00D078A2"/>
    <w:rsid w:val="00D119CE"/>
    <w:rsid w:val="00D11D90"/>
    <w:rsid w:val="00D12E45"/>
    <w:rsid w:val="00D12EAB"/>
    <w:rsid w:val="00D1410E"/>
    <w:rsid w:val="00D14B48"/>
    <w:rsid w:val="00D14EC2"/>
    <w:rsid w:val="00D1579C"/>
    <w:rsid w:val="00D15A1E"/>
    <w:rsid w:val="00D15B3A"/>
    <w:rsid w:val="00D15E55"/>
    <w:rsid w:val="00D166A7"/>
    <w:rsid w:val="00D1776E"/>
    <w:rsid w:val="00D179E8"/>
    <w:rsid w:val="00D20777"/>
    <w:rsid w:val="00D208ED"/>
    <w:rsid w:val="00D20C74"/>
    <w:rsid w:val="00D21123"/>
    <w:rsid w:val="00D2155E"/>
    <w:rsid w:val="00D21B14"/>
    <w:rsid w:val="00D24C3B"/>
    <w:rsid w:val="00D25337"/>
    <w:rsid w:val="00D25CC8"/>
    <w:rsid w:val="00D26BB7"/>
    <w:rsid w:val="00D27153"/>
    <w:rsid w:val="00D271C1"/>
    <w:rsid w:val="00D277D8"/>
    <w:rsid w:val="00D3064D"/>
    <w:rsid w:val="00D313F0"/>
    <w:rsid w:val="00D323A7"/>
    <w:rsid w:val="00D323EE"/>
    <w:rsid w:val="00D325B2"/>
    <w:rsid w:val="00D33B78"/>
    <w:rsid w:val="00D353CD"/>
    <w:rsid w:val="00D36210"/>
    <w:rsid w:val="00D36724"/>
    <w:rsid w:val="00D367EB"/>
    <w:rsid w:val="00D36C91"/>
    <w:rsid w:val="00D40E11"/>
    <w:rsid w:val="00D41871"/>
    <w:rsid w:val="00D41E1A"/>
    <w:rsid w:val="00D4247D"/>
    <w:rsid w:val="00D4323B"/>
    <w:rsid w:val="00D44B82"/>
    <w:rsid w:val="00D45954"/>
    <w:rsid w:val="00D45DA8"/>
    <w:rsid w:val="00D45DF2"/>
    <w:rsid w:val="00D461C2"/>
    <w:rsid w:val="00D463C6"/>
    <w:rsid w:val="00D504A4"/>
    <w:rsid w:val="00D51C22"/>
    <w:rsid w:val="00D532D9"/>
    <w:rsid w:val="00D53706"/>
    <w:rsid w:val="00D54C34"/>
    <w:rsid w:val="00D56443"/>
    <w:rsid w:val="00D56692"/>
    <w:rsid w:val="00D57146"/>
    <w:rsid w:val="00D60D29"/>
    <w:rsid w:val="00D611F9"/>
    <w:rsid w:val="00D6140C"/>
    <w:rsid w:val="00D61721"/>
    <w:rsid w:val="00D61AAE"/>
    <w:rsid w:val="00D61DE2"/>
    <w:rsid w:val="00D64CB8"/>
    <w:rsid w:val="00D65305"/>
    <w:rsid w:val="00D66F6E"/>
    <w:rsid w:val="00D67F55"/>
    <w:rsid w:val="00D7093C"/>
    <w:rsid w:val="00D71911"/>
    <w:rsid w:val="00D72720"/>
    <w:rsid w:val="00D7274A"/>
    <w:rsid w:val="00D729D0"/>
    <w:rsid w:val="00D72FD8"/>
    <w:rsid w:val="00D746A3"/>
    <w:rsid w:val="00D74F5A"/>
    <w:rsid w:val="00D75382"/>
    <w:rsid w:val="00D75D60"/>
    <w:rsid w:val="00D7682C"/>
    <w:rsid w:val="00D768C0"/>
    <w:rsid w:val="00D81DBB"/>
    <w:rsid w:val="00D83CA3"/>
    <w:rsid w:val="00D87A84"/>
    <w:rsid w:val="00D90AAF"/>
    <w:rsid w:val="00D90C39"/>
    <w:rsid w:val="00D90CE8"/>
    <w:rsid w:val="00D9282E"/>
    <w:rsid w:val="00D9298A"/>
    <w:rsid w:val="00D92A45"/>
    <w:rsid w:val="00D9373B"/>
    <w:rsid w:val="00D93962"/>
    <w:rsid w:val="00D94677"/>
    <w:rsid w:val="00D950F0"/>
    <w:rsid w:val="00D95E07"/>
    <w:rsid w:val="00D9697A"/>
    <w:rsid w:val="00D96CA0"/>
    <w:rsid w:val="00D972EA"/>
    <w:rsid w:val="00D97A3A"/>
    <w:rsid w:val="00DA0650"/>
    <w:rsid w:val="00DA083F"/>
    <w:rsid w:val="00DA0B07"/>
    <w:rsid w:val="00DA29C6"/>
    <w:rsid w:val="00DA3009"/>
    <w:rsid w:val="00DA4C48"/>
    <w:rsid w:val="00DA62F2"/>
    <w:rsid w:val="00DA71D7"/>
    <w:rsid w:val="00DA727D"/>
    <w:rsid w:val="00DA775E"/>
    <w:rsid w:val="00DA7EB2"/>
    <w:rsid w:val="00DB0F84"/>
    <w:rsid w:val="00DB105C"/>
    <w:rsid w:val="00DB13A5"/>
    <w:rsid w:val="00DB1F39"/>
    <w:rsid w:val="00DB34F0"/>
    <w:rsid w:val="00DB4D09"/>
    <w:rsid w:val="00DB5209"/>
    <w:rsid w:val="00DB53A7"/>
    <w:rsid w:val="00DB64FE"/>
    <w:rsid w:val="00DB6AC8"/>
    <w:rsid w:val="00DB70C3"/>
    <w:rsid w:val="00DC1BD5"/>
    <w:rsid w:val="00DC49D2"/>
    <w:rsid w:val="00DC5CE9"/>
    <w:rsid w:val="00DC6C82"/>
    <w:rsid w:val="00DD01CB"/>
    <w:rsid w:val="00DD170F"/>
    <w:rsid w:val="00DD1890"/>
    <w:rsid w:val="00DD1FA5"/>
    <w:rsid w:val="00DD2182"/>
    <w:rsid w:val="00DD226E"/>
    <w:rsid w:val="00DD459F"/>
    <w:rsid w:val="00DD5142"/>
    <w:rsid w:val="00DD5719"/>
    <w:rsid w:val="00DD753C"/>
    <w:rsid w:val="00DE0A71"/>
    <w:rsid w:val="00DE0A8A"/>
    <w:rsid w:val="00DE0F2D"/>
    <w:rsid w:val="00DE31D8"/>
    <w:rsid w:val="00DE3266"/>
    <w:rsid w:val="00DE3799"/>
    <w:rsid w:val="00DE37C7"/>
    <w:rsid w:val="00DE37EE"/>
    <w:rsid w:val="00DE4BBC"/>
    <w:rsid w:val="00DE4F93"/>
    <w:rsid w:val="00DE557A"/>
    <w:rsid w:val="00DF08B6"/>
    <w:rsid w:val="00DF27FF"/>
    <w:rsid w:val="00DF3F21"/>
    <w:rsid w:val="00DF4334"/>
    <w:rsid w:val="00DF5EFF"/>
    <w:rsid w:val="00DF674A"/>
    <w:rsid w:val="00DF68E4"/>
    <w:rsid w:val="00DF6E54"/>
    <w:rsid w:val="00DF75B6"/>
    <w:rsid w:val="00DF7BC8"/>
    <w:rsid w:val="00E002A3"/>
    <w:rsid w:val="00E02956"/>
    <w:rsid w:val="00E032AA"/>
    <w:rsid w:val="00E04228"/>
    <w:rsid w:val="00E04457"/>
    <w:rsid w:val="00E04B17"/>
    <w:rsid w:val="00E04BBC"/>
    <w:rsid w:val="00E04BE0"/>
    <w:rsid w:val="00E0552C"/>
    <w:rsid w:val="00E0607B"/>
    <w:rsid w:val="00E07E9D"/>
    <w:rsid w:val="00E10450"/>
    <w:rsid w:val="00E10AB2"/>
    <w:rsid w:val="00E110E4"/>
    <w:rsid w:val="00E115C2"/>
    <w:rsid w:val="00E13049"/>
    <w:rsid w:val="00E13AB7"/>
    <w:rsid w:val="00E13AEB"/>
    <w:rsid w:val="00E1478E"/>
    <w:rsid w:val="00E157DD"/>
    <w:rsid w:val="00E1591A"/>
    <w:rsid w:val="00E159D7"/>
    <w:rsid w:val="00E166A6"/>
    <w:rsid w:val="00E20802"/>
    <w:rsid w:val="00E210B1"/>
    <w:rsid w:val="00E213AB"/>
    <w:rsid w:val="00E21653"/>
    <w:rsid w:val="00E216A5"/>
    <w:rsid w:val="00E21C9B"/>
    <w:rsid w:val="00E22F7D"/>
    <w:rsid w:val="00E2364D"/>
    <w:rsid w:val="00E2414E"/>
    <w:rsid w:val="00E246C9"/>
    <w:rsid w:val="00E24F54"/>
    <w:rsid w:val="00E2511D"/>
    <w:rsid w:val="00E25224"/>
    <w:rsid w:val="00E259FD"/>
    <w:rsid w:val="00E25E2A"/>
    <w:rsid w:val="00E2630B"/>
    <w:rsid w:val="00E26830"/>
    <w:rsid w:val="00E26FAF"/>
    <w:rsid w:val="00E31367"/>
    <w:rsid w:val="00E31AE8"/>
    <w:rsid w:val="00E32790"/>
    <w:rsid w:val="00E32AE2"/>
    <w:rsid w:val="00E35061"/>
    <w:rsid w:val="00E3518E"/>
    <w:rsid w:val="00E35FC9"/>
    <w:rsid w:val="00E36881"/>
    <w:rsid w:val="00E37ECF"/>
    <w:rsid w:val="00E407B1"/>
    <w:rsid w:val="00E40B36"/>
    <w:rsid w:val="00E41698"/>
    <w:rsid w:val="00E4171F"/>
    <w:rsid w:val="00E4189F"/>
    <w:rsid w:val="00E41E64"/>
    <w:rsid w:val="00E44AC8"/>
    <w:rsid w:val="00E452F5"/>
    <w:rsid w:val="00E45F72"/>
    <w:rsid w:val="00E46007"/>
    <w:rsid w:val="00E46142"/>
    <w:rsid w:val="00E4726F"/>
    <w:rsid w:val="00E47ED5"/>
    <w:rsid w:val="00E5085C"/>
    <w:rsid w:val="00E50B4A"/>
    <w:rsid w:val="00E51182"/>
    <w:rsid w:val="00E51672"/>
    <w:rsid w:val="00E51B64"/>
    <w:rsid w:val="00E51F92"/>
    <w:rsid w:val="00E522FC"/>
    <w:rsid w:val="00E52768"/>
    <w:rsid w:val="00E52FB6"/>
    <w:rsid w:val="00E5326C"/>
    <w:rsid w:val="00E53B2D"/>
    <w:rsid w:val="00E5424C"/>
    <w:rsid w:val="00E5547B"/>
    <w:rsid w:val="00E55DC7"/>
    <w:rsid w:val="00E55EE5"/>
    <w:rsid w:val="00E57E2B"/>
    <w:rsid w:val="00E61784"/>
    <w:rsid w:val="00E6197D"/>
    <w:rsid w:val="00E621BA"/>
    <w:rsid w:val="00E624B3"/>
    <w:rsid w:val="00E625B3"/>
    <w:rsid w:val="00E62A81"/>
    <w:rsid w:val="00E63925"/>
    <w:rsid w:val="00E64743"/>
    <w:rsid w:val="00E6494E"/>
    <w:rsid w:val="00E64998"/>
    <w:rsid w:val="00E656C5"/>
    <w:rsid w:val="00E66EC0"/>
    <w:rsid w:val="00E70896"/>
    <w:rsid w:val="00E7126C"/>
    <w:rsid w:val="00E71D66"/>
    <w:rsid w:val="00E720E0"/>
    <w:rsid w:val="00E7257D"/>
    <w:rsid w:val="00E728CB"/>
    <w:rsid w:val="00E7336F"/>
    <w:rsid w:val="00E747C3"/>
    <w:rsid w:val="00E74DF9"/>
    <w:rsid w:val="00E74F3B"/>
    <w:rsid w:val="00E755D2"/>
    <w:rsid w:val="00E76262"/>
    <w:rsid w:val="00E76B01"/>
    <w:rsid w:val="00E77786"/>
    <w:rsid w:val="00E80AB1"/>
    <w:rsid w:val="00E82178"/>
    <w:rsid w:val="00E82324"/>
    <w:rsid w:val="00E833EB"/>
    <w:rsid w:val="00E843D2"/>
    <w:rsid w:val="00E84A6B"/>
    <w:rsid w:val="00E865FE"/>
    <w:rsid w:val="00E86626"/>
    <w:rsid w:val="00E87C94"/>
    <w:rsid w:val="00E90C39"/>
    <w:rsid w:val="00E910A2"/>
    <w:rsid w:val="00E915CF"/>
    <w:rsid w:val="00E92385"/>
    <w:rsid w:val="00E92F4C"/>
    <w:rsid w:val="00E934BD"/>
    <w:rsid w:val="00E93F74"/>
    <w:rsid w:val="00E96DEA"/>
    <w:rsid w:val="00E97CD6"/>
    <w:rsid w:val="00EA1229"/>
    <w:rsid w:val="00EA1585"/>
    <w:rsid w:val="00EA161E"/>
    <w:rsid w:val="00EA166F"/>
    <w:rsid w:val="00EA27F8"/>
    <w:rsid w:val="00EA2EDE"/>
    <w:rsid w:val="00EA39C8"/>
    <w:rsid w:val="00EA48AE"/>
    <w:rsid w:val="00EA5099"/>
    <w:rsid w:val="00EA572F"/>
    <w:rsid w:val="00EA6EBB"/>
    <w:rsid w:val="00EA760A"/>
    <w:rsid w:val="00EB09E2"/>
    <w:rsid w:val="00EB3908"/>
    <w:rsid w:val="00EB3FA6"/>
    <w:rsid w:val="00EB4554"/>
    <w:rsid w:val="00EB5634"/>
    <w:rsid w:val="00EB6596"/>
    <w:rsid w:val="00EB680E"/>
    <w:rsid w:val="00EB6A24"/>
    <w:rsid w:val="00EB74A5"/>
    <w:rsid w:val="00EB7B44"/>
    <w:rsid w:val="00EC064B"/>
    <w:rsid w:val="00EC1182"/>
    <w:rsid w:val="00EC4091"/>
    <w:rsid w:val="00EC41CD"/>
    <w:rsid w:val="00EC4983"/>
    <w:rsid w:val="00EC4DA7"/>
    <w:rsid w:val="00EC5055"/>
    <w:rsid w:val="00EC5253"/>
    <w:rsid w:val="00EC5C20"/>
    <w:rsid w:val="00EC5D96"/>
    <w:rsid w:val="00EC7EE4"/>
    <w:rsid w:val="00ED00A6"/>
    <w:rsid w:val="00ED0351"/>
    <w:rsid w:val="00ED047F"/>
    <w:rsid w:val="00ED0A1A"/>
    <w:rsid w:val="00ED0A1D"/>
    <w:rsid w:val="00ED121D"/>
    <w:rsid w:val="00ED1993"/>
    <w:rsid w:val="00ED21E2"/>
    <w:rsid w:val="00ED366E"/>
    <w:rsid w:val="00ED3CD3"/>
    <w:rsid w:val="00ED4D28"/>
    <w:rsid w:val="00ED5345"/>
    <w:rsid w:val="00ED540A"/>
    <w:rsid w:val="00ED54D1"/>
    <w:rsid w:val="00ED6BD0"/>
    <w:rsid w:val="00ED72C1"/>
    <w:rsid w:val="00EE0126"/>
    <w:rsid w:val="00EE3CF8"/>
    <w:rsid w:val="00EE47FE"/>
    <w:rsid w:val="00EE509E"/>
    <w:rsid w:val="00EE50C6"/>
    <w:rsid w:val="00EE58E7"/>
    <w:rsid w:val="00EE5943"/>
    <w:rsid w:val="00EE6363"/>
    <w:rsid w:val="00EE6DD5"/>
    <w:rsid w:val="00EE70EE"/>
    <w:rsid w:val="00EE766D"/>
    <w:rsid w:val="00EE7F76"/>
    <w:rsid w:val="00EF2234"/>
    <w:rsid w:val="00EF277F"/>
    <w:rsid w:val="00EF2A15"/>
    <w:rsid w:val="00EF3463"/>
    <w:rsid w:val="00EF4AFB"/>
    <w:rsid w:val="00EF56C9"/>
    <w:rsid w:val="00EF5BFD"/>
    <w:rsid w:val="00EF672C"/>
    <w:rsid w:val="00EF7A7F"/>
    <w:rsid w:val="00EF7CF8"/>
    <w:rsid w:val="00F00470"/>
    <w:rsid w:val="00F008AE"/>
    <w:rsid w:val="00F00A52"/>
    <w:rsid w:val="00F01C6F"/>
    <w:rsid w:val="00F02719"/>
    <w:rsid w:val="00F04062"/>
    <w:rsid w:val="00F04AF1"/>
    <w:rsid w:val="00F04BDD"/>
    <w:rsid w:val="00F0509B"/>
    <w:rsid w:val="00F06EE2"/>
    <w:rsid w:val="00F074DC"/>
    <w:rsid w:val="00F0786E"/>
    <w:rsid w:val="00F07D22"/>
    <w:rsid w:val="00F12A28"/>
    <w:rsid w:val="00F131E8"/>
    <w:rsid w:val="00F1495E"/>
    <w:rsid w:val="00F14B60"/>
    <w:rsid w:val="00F14D30"/>
    <w:rsid w:val="00F15155"/>
    <w:rsid w:val="00F15632"/>
    <w:rsid w:val="00F161D8"/>
    <w:rsid w:val="00F16DF6"/>
    <w:rsid w:val="00F174BE"/>
    <w:rsid w:val="00F17535"/>
    <w:rsid w:val="00F200E9"/>
    <w:rsid w:val="00F20D47"/>
    <w:rsid w:val="00F20F83"/>
    <w:rsid w:val="00F21522"/>
    <w:rsid w:val="00F21628"/>
    <w:rsid w:val="00F21820"/>
    <w:rsid w:val="00F229A5"/>
    <w:rsid w:val="00F230A3"/>
    <w:rsid w:val="00F2376F"/>
    <w:rsid w:val="00F238AA"/>
    <w:rsid w:val="00F247AA"/>
    <w:rsid w:val="00F24F8F"/>
    <w:rsid w:val="00F25DE0"/>
    <w:rsid w:val="00F26187"/>
    <w:rsid w:val="00F30097"/>
    <w:rsid w:val="00F30113"/>
    <w:rsid w:val="00F303B2"/>
    <w:rsid w:val="00F307E0"/>
    <w:rsid w:val="00F30B33"/>
    <w:rsid w:val="00F30FD7"/>
    <w:rsid w:val="00F31211"/>
    <w:rsid w:val="00F31637"/>
    <w:rsid w:val="00F31BA1"/>
    <w:rsid w:val="00F31CC0"/>
    <w:rsid w:val="00F31FBD"/>
    <w:rsid w:val="00F3210E"/>
    <w:rsid w:val="00F338B6"/>
    <w:rsid w:val="00F33DCA"/>
    <w:rsid w:val="00F347EE"/>
    <w:rsid w:val="00F34CE2"/>
    <w:rsid w:val="00F34D63"/>
    <w:rsid w:val="00F35605"/>
    <w:rsid w:val="00F366D7"/>
    <w:rsid w:val="00F36DE2"/>
    <w:rsid w:val="00F36E32"/>
    <w:rsid w:val="00F374C6"/>
    <w:rsid w:val="00F37628"/>
    <w:rsid w:val="00F3797B"/>
    <w:rsid w:val="00F403B7"/>
    <w:rsid w:val="00F40793"/>
    <w:rsid w:val="00F41687"/>
    <w:rsid w:val="00F419AF"/>
    <w:rsid w:val="00F41E94"/>
    <w:rsid w:val="00F43059"/>
    <w:rsid w:val="00F43D5B"/>
    <w:rsid w:val="00F442CF"/>
    <w:rsid w:val="00F44CF8"/>
    <w:rsid w:val="00F454D0"/>
    <w:rsid w:val="00F478E0"/>
    <w:rsid w:val="00F52BC2"/>
    <w:rsid w:val="00F5368F"/>
    <w:rsid w:val="00F54A3C"/>
    <w:rsid w:val="00F55419"/>
    <w:rsid w:val="00F55C52"/>
    <w:rsid w:val="00F57182"/>
    <w:rsid w:val="00F57F7A"/>
    <w:rsid w:val="00F600FD"/>
    <w:rsid w:val="00F61362"/>
    <w:rsid w:val="00F61736"/>
    <w:rsid w:val="00F62D33"/>
    <w:rsid w:val="00F64C69"/>
    <w:rsid w:val="00F650F2"/>
    <w:rsid w:val="00F654E9"/>
    <w:rsid w:val="00F6570B"/>
    <w:rsid w:val="00F658A3"/>
    <w:rsid w:val="00F662CB"/>
    <w:rsid w:val="00F6650A"/>
    <w:rsid w:val="00F66EAF"/>
    <w:rsid w:val="00F67615"/>
    <w:rsid w:val="00F67A73"/>
    <w:rsid w:val="00F70D12"/>
    <w:rsid w:val="00F711FE"/>
    <w:rsid w:val="00F71E10"/>
    <w:rsid w:val="00F71F9D"/>
    <w:rsid w:val="00F72059"/>
    <w:rsid w:val="00F72146"/>
    <w:rsid w:val="00F72531"/>
    <w:rsid w:val="00F72E61"/>
    <w:rsid w:val="00F737E7"/>
    <w:rsid w:val="00F745AF"/>
    <w:rsid w:val="00F7477B"/>
    <w:rsid w:val="00F749CA"/>
    <w:rsid w:val="00F750C5"/>
    <w:rsid w:val="00F768ED"/>
    <w:rsid w:val="00F76C98"/>
    <w:rsid w:val="00F76E92"/>
    <w:rsid w:val="00F772AD"/>
    <w:rsid w:val="00F77CB5"/>
    <w:rsid w:val="00F802DA"/>
    <w:rsid w:val="00F804CD"/>
    <w:rsid w:val="00F80750"/>
    <w:rsid w:val="00F807D4"/>
    <w:rsid w:val="00F80C95"/>
    <w:rsid w:val="00F81013"/>
    <w:rsid w:val="00F827B4"/>
    <w:rsid w:val="00F82969"/>
    <w:rsid w:val="00F82E97"/>
    <w:rsid w:val="00F83EC1"/>
    <w:rsid w:val="00F84F90"/>
    <w:rsid w:val="00F85343"/>
    <w:rsid w:val="00F85F59"/>
    <w:rsid w:val="00F86538"/>
    <w:rsid w:val="00F86717"/>
    <w:rsid w:val="00F86943"/>
    <w:rsid w:val="00F86BC1"/>
    <w:rsid w:val="00F86DD4"/>
    <w:rsid w:val="00F907BF"/>
    <w:rsid w:val="00F92463"/>
    <w:rsid w:val="00F937AE"/>
    <w:rsid w:val="00F93D8B"/>
    <w:rsid w:val="00F947E9"/>
    <w:rsid w:val="00F95A19"/>
    <w:rsid w:val="00F96042"/>
    <w:rsid w:val="00F966F8"/>
    <w:rsid w:val="00F9728F"/>
    <w:rsid w:val="00F97C7A"/>
    <w:rsid w:val="00FA08BD"/>
    <w:rsid w:val="00FA2909"/>
    <w:rsid w:val="00FA2943"/>
    <w:rsid w:val="00FA2B3B"/>
    <w:rsid w:val="00FA3CEC"/>
    <w:rsid w:val="00FA487A"/>
    <w:rsid w:val="00FA55DC"/>
    <w:rsid w:val="00FA6E40"/>
    <w:rsid w:val="00FA6FDC"/>
    <w:rsid w:val="00FA7A96"/>
    <w:rsid w:val="00FA7FD4"/>
    <w:rsid w:val="00FB0C4E"/>
    <w:rsid w:val="00FB0FA4"/>
    <w:rsid w:val="00FB1A04"/>
    <w:rsid w:val="00FB2E87"/>
    <w:rsid w:val="00FB3104"/>
    <w:rsid w:val="00FB330A"/>
    <w:rsid w:val="00FB4CF2"/>
    <w:rsid w:val="00FB5D6D"/>
    <w:rsid w:val="00FB5F02"/>
    <w:rsid w:val="00FB65A6"/>
    <w:rsid w:val="00FB71E2"/>
    <w:rsid w:val="00FB75AF"/>
    <w:rsid w:val="00FC0028"/>
    <w:rsid w:val="00FC0C17"/>
    <w:rsid w:val="00FC11F1"/>
    <w:rsid w:val="00FC155B"/>
    <w:rsid w:val="00FC16A5"/>
    <w:rsid w:val="00FC2966"/>
    <w:rsid w:val="00FC2ECD"/>
    <w:rsid w:val="00FC37AF"/>
    <w:rsid w:val="00FC38B7"/>
    <w:rsid w:val="00FC398C"/>
    <w:rsid w:val="00FC423E"/>
    <w:rsid w:val="00FC4845"/>
    <w:rsid w:val="00FC4D61"/>
    <w:rsid w:val="00FC5178"/>
    <w:rsid w:val="00FC52C2"/>
    <w:rsid w:val="00FC5AA4"/>
    <w:rsid w:val="00FC6A4D"/>
    <w:rsid w:val="00FC6B03"/>
    <w:rsid w:val="00FC7E1B"/>
    <w:rsid w:val="00FD0475"/>
    <w:rsid w:val="00FD05C9"/>
    <w:rsid w:val="00FD06D5"/>
    <w:rsid w:val="00FD0BA3"/>
    <w:rsid w:val="00FD0BBB"/>
    <w:rsid w:val="00FD11F4"/>
    <w:rsid w:val="00FD1678"/>
    <w:rsid w:val="00FD28FF"/>
    <w:rsid w:val="00FD341B"/>
    <w:rsid w:val="00FD358B"/>
    <w:rsid w:val="00FD4218"/>
    <w:rsid w:val="00FD48AC"/>
    <w:rsid w:val="00FD4B54"/>
    <w:rsid w:val="00FD50B3"/>
    <w:rsid w:val="00FD521D"/>
    <w:rsid w:val="00FD5391"/>
    <w:rsid w:val="00FD631D"/>
    <w:rsid w:val="00FD68A1"/>
    <w:rsid w:val="00FD6D8D"/>
    <w:rsid w:val="00FD7348"/>
    <w:rsid w:val="00FE0511"/>
    <w:rsid w:val="00FE0F55"/>
    <w:rsid w:val="00FE110C"/>
    <w:rsid w:val="00FE131C"/>
    <w:rsid w:val="00FE34A0"/>
    <w:rsid w:val="00FE3C38"/>
    <w:rsid w:val="00FE419E"/>
    <w:rsid w:val="00FE4940"/>
    <w:rsid w:val="00FE5F2B"/>
    <w:rsid w:val="00FE7AA7"/>
    <w:rsid w:val="00FF0828"/>
    <w:rsid w:val="00FF2484"/>
    <w:rsid w:val="00FF2D2B"/>
    <w:rsid w:val="00FF3CD5"/>
    <w:rsid w:val="00FF4201"/>
    <w:rsid w:val="00FF527F"/>
    <w:rsid w:val="00FF616A"/>
    <w:rsid w:val="00FF73A6"/>
    <w:rsid w:val="00FF79A9"/>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14:docId w14:val="64BBC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IN OT" w:eastAsiaTheme="minorHAnsi" w:hAnsi="DIN OT" w:cstheme="minorBidi"/>
        <w:color w:val="000000"/>
        <w:sz w:val="22"/>
        <w:szCs w:val="22"/>
        <w:lang w:val="en-AU" w:eastAsia="en-US" w:bidi="ar-SA"/>
      </w:rPr>
    </w:rPrDefault>
    <w:pPrDefault>
      <w:pPr>
        <w:spacing w:after="240"/>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nhideWhenUsed="1"/>
    <w:lsdException w:name="footer" w:locked="0" w:unhideWhenUsed="1"/>
    <w:lsdException w:name="index heading" w:semiHidden="1" w:unhideWhenUsed="1"/>
    <w:lsdException w:name="caption" w:uiPriority="34"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iPriority="12" w:unhideWhenUsed="1" w:qFormat="1"/>
    <w:lsdException w:name="List Number" w:uiPriority="15"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iPriority="12" w:unhideWhenUsed="1" w:qFormat="1"/>
    <w:lsdException w:name="List Bullet 3" w:uiPriority="12"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31"/>
    <w:lsdException w:name="Closing" w:semiHidden="1" w:unhideWhenUsed="1"/>
    <w:lsdException w:name="Signature" w:semiHidden="1" w:uiPriority="29"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1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953192"/>
    <w:pPr>
      <w:numPr>
        <w:numId w:val="4"/>
      </w:numPr>
    </w:pPr>
    <w:rPr>
      <w:rFonts w:ascii="DIN OT Light" w:hAnsi="DIN OT Light"/>
    </w:rPr>
  </w:style>
  <w:style w:type="paragraph" w:styleId="Heading1">
    <w:name w:val="heading 1"/>
    <w:basedOn w:val="Normal"/>
    <w:next w:val="Normal"/>
    <w:link w:val="Heading1Char"/>
    <w:uiPriority w:val="9"/>
    <w:qFormat/>
    <w:rsid w:val="00BB2437"/>
    <w:pPr>
      <w:keepNext/>
      <w:keepLines/>
      <w:pageBreakBefore/>
      <w:numPr>
        <w:numId w:val="0"/>
      </w:numPr>
      <w:pBdr>
        <w:bottom w:val="single" w:sz="4" w:space="3" w:color="BFBFBF" w:themeColor="background1" w:themeShade="BF"/>
      </w:pBdr>
      <w:spacing w:after="480"/>
      <w:outlineLvl w:val="0"/>
    </w:pPr>
    <w:rPr>
      <w:rFonts w:ascii="DIN OT Medium" w:eastAsiaTheme="majorEastAsia" w:hAnsi="DIN OT Medium" w:cstheme="majorBidi"/>
      <w:bCs/>
      <w:color w:val="012169" w:themeColor="text2"/>
      <w:sz w:val="48"/>
      <w:szCs w:val="28"/>
    </w:rPr>
  </w:style>
  <w:style w:type="paragraph" w:styleId="Heading2">
    <w:name w:val="heading 2"/>
    <w:basedOn w:val="Normal"/>
    <w:next w:val="Normal"/>
    <w:link w:val="Heading2Char"/>
    <w:uiPriority w:val="9"/>
    <w:qFormat/>
    <w:rsid w:val="00F61362"/>
    <w:pPr>
      <w:keepNext/>
      <w:keepLines/>
      <w:numPr>
        <w:numId w:val="0"/>
      </w:numPr>
      <w:spacing w:before="320"/>
      <w:outlineLvl w:val="1"/>
    </w:pPr>
    <w:rPr>
      <w:rFonts w:ascii="DIN OT Medium" w:eastAsiaTheme="majorEastAsia" w:hAnsi="DIN OT Medium" w:cstheme="majorBidi"/>
      <w:bCs/>
      <w:color w:val="012169" w:themeColor="text2"/>
      <w:sz w:val="30"/>
      <w:szCs w:val="26"/>
    </w:rPr>
  </w:style>
  <w:style w:type="paragraph" w:styleId="Heading3">
    <w:name w:val="heading 3"/>
    <w:basedOn w:val="Normal"/>
    <w:next w:val="Normal"/>
    <w:link w:val="Heading3Char"/>
    <w:uiPriority w:val="9"/>
    <w:qFormat/>
    <w:rsid w:val="007568F8"/>
    <w:pPr>
      <w:keepNext/>
      <w:keepLines/>
      <w:numPr>
        <w:numId w:val="0"/>
      </w:numPr>
      <w:spacing w:before="280" w:after="120"/>
      <w:outlineLvl w:val="2"/>
    </w:pPr>
    <w:rPr>
      <w:rFonts w:ascii="DIN OT Medium" w:eastAsiaTheme="majorEastAsia" w:hAnsi="DIN OT Medium" w:cstheme="majorBidi"/>
      <w:bCs/>
      <w:color w:val="012169" w:themeColor="text2"/>
      <w:sz w:val="26"/>
    </w:rPr>
  </w:style>
  <w:style w:type="paragraph" w:styleId="Heading4">
    <w:name w:val="heading 4"/>
    <w:basedOn w:val="Normal"/>
    <w:next w:val="Normal"/>
    <w:link w:val="Heading4Char"/>
    <w:uiPriority w:val="9"/>
    <w:qFormat/>
    <w:rsid w:val="0016272E"/>
    <w:pPr>
      <w:keepNext/>
      <w:keepLines/>
      <w:numPr>
        <w:numId w:val="0"/>
      </w:numPr>
      <w:spacing w:before="240" w:after="120"/>
      <w:outlineLvl w:val="3"/>
    </w:pPr>
    <w:rPr>
      <w:rFonts w:ascii="DIN OT Medium" w:eastAsiaTheme="majorEastAsia" w:hAnsi="DIN OT Medium" w:cstheme="majorBidi"/>
      <w:bCs/>
      <w:i/>
      <w:iCs/>
      <w:color w:val="012169" w:themeColor="text2"/>
      <w:sz w:val="26"/>
    </w:rPr>
  </w:style>
  <w:style w:type="paragraph" w:styleId="Heading5">
    <w:name w:val="heading 5"/>
    <w:basedOn w:val="Normal"/>
    <w:next w:val="Normal"/>
    <w:link w:val="Heading5Char"/>
    <w:uiPriority w:val="9"/>
    <w:qFormat/>
    <w:rsid w:val="006C6C47"/>
    <w:pPr>
      <w:keepNext/>
      <w:keepLines/>
      <w:numPr>
        <w:numId w:val="0"/>
      </w:numPr>
      <w:spacing w:before="240" w:after="60"/>
      <w:outlineLvl w:val="4"/>
    </w:pPr>
    <w:rPr>
      <w:rFonts w:ascii="DIN OT Medium" w:eastAsiaTheme="majorEastAsia" w:hAnsi="DIN OT Medium" w:cstheme="majorBidi"/>
      <w:color w:val="000000" w:themeColor="text1"/>
    </w:rPr>
  </w:style>
  <w:style w:type="paragraph" w:styleId="Heading6">
    <w:name w:val="heading 6"/>
    <w:basedOn w:val="Normal"/>
    <w:next w:val="Normal"/>
    <w:link w:val="Heading6Char"/>
    <w:uiPriority w:val="9"/>
    <w:semiHidden/>
    <w:qFormat/>
    <w:rsid w:val="00BB6983"/>
    <w:pPr>
      <w:keepNext/>
      <w:keepLines/>
      <w:numPr>
        <w:numId w:val="0"/>
      </w:numPr>
      <w:spacing w:after="120" w:line="288" w:lineRule="auto"/>
      <w:outlineLvl w:val="5"/>
    </w:pPr>
    <w:rPr>
      <w:rFonts w:ascii="DIN Offc Medium" w:eastAsiaTheme="majorEastAsia" w:hAnsi="DIN Offc Medium" w:cstheme="majorBidi"/>
      <w:i/>
      <w:iCs/>
      <w:color w:val="012169" w:themeColor="text2"/>
    </w:rPr>
  </w:style>
  <w:style w:type="paragraph" w:styleId="Heading7">
    <w:name w:val="heading 7"/>
    <w:basedOn w:val="Normal"/>
    <w:next w:val="Normal"/>
    <w:link w:val="Heading7Char"/>
    <w:uiPriority w:val="9"/>
    <w:semiHidden/>
    <w:qFormat/>
    <w:rsid w:val="00BB6983"/>
    <w:pPr>
      <w:keepNext/>
      <w:keepLines/>
      <w:numPr>
        <w:numId w:val="0"/>
      </w:numPr>
      <w:spacing w:after="120" w:line="288" w:lineRule="auto"/>
      <w:outlineLvl w:val="6"/>
    </w:pPr>
    <w:rPr>
      <w:rFonts w:ascii="DIN Offc Medium" w:eastAsiaTheme="majorEastAsia" w:hAnsi="DIN Offc Medium" w:cstheme="majorBidi"/>
      <w:i/>
      <w:iCs/>
      <w:color w:val="012169" w:themeColor="text2"/>
    </w:rPr>
  </w:style>
  <w:style w:type="paragraph" w:styleId="Heading8">
    <w:name w:val="heading 8"/>
    <w:basedOn w:val="Normal"/>
    <w:next w:val="Normal"/>
    <w:link w:val="Heading8Char"/>
    <w:uiPriority w:val="9"/>
    <w:semiHidden/>
    <w:qFormat/>
    <w:rsid w:val="00BB6983"/>
    <w:pPr>
      <w:keepNext/>
      <w:keepLines/>
      <w:numPr>
        <w:numId w:val="0"/>
      </w:numPr>
      <w:spacing w:after="120" w:line="288" w:lineRule="auto"/>
      <w:outlineLvl w:val="7"/>
    </w:pPr>
    <w:rPr>
      <w:rFonts w:ascii="DIN Offc Medium" w:eastAsiaTheme="majorEastAsia" w:hAnsi="DIN Offc Medium" w:cstheme="majorBidi"/>
      <w:i/>
      <w:color w:val="012169" w:themeColor="text2"/>
    </w:rPr>
  </w:style>
  <w:style w:type="paragraph" w:styleId="Heading9">
    <w:name w:val="heading 9"/>
    <w:basedOn w:val="Normal"/>
    <w:next w:val="Normal"/>
    <w:link w:val="Heading9Char"/>
    <w:uiPriority w:val="9"/>
    <w:semiHidden/>
    <w:qFormat/>
    <w:rsid w:val="00BB6983"/>
    <w:pPr>
      <w:keepNext/>
      <w:keepLines/>
      <w:numPr>
        <w:numId w:val="0"/>
      </w:numPr>
      <w:spacing w:after="120" w:line="288" w:lineRule="auto"/>
      <w:outlineLvl w:val="8"/>
    </w:pPr>
    <w:rPr>
      <w:rFonts w:ascii="DIN Offc Medium" w:eastAsiaTheme="majorEastAsia" w:hAnsi="DIN Offc Medium" w:cstheme="majorBidi"/>
      <w:i/>
      <w:iCs/>
      <w:color w:val="012169"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2437"/>
    <w:rPr>
      <w:rFonts w:ascii="DIN OT Medium" w:eastAsiaTheme="majorEastAsia" w:hAnsi="DIN OT Medium" w:cstheme="majorBidi"/>
      <w:bCs/>
      <w:color w:val="012169" w:themeColor="text2"/>
      <w:sz w:val="48"/>
      <w:szCs w:val="28"/>
    </w:rPr>
  </w:style>
  <w:style w:type="character" w:customStyle="1" w:styleId="Heading2Char">
    <w:name w:val="Heading 2 Char"/>
    <w:basedOn w:val="DefaultParagraphFont"/>
    <w:link w:val="Heading2"/>
    <w:uiPriority w:val="9"/>
    <w:rsid w:val="00F61362"/>
    <w:rPr>
      <w:rFonts w:ascii="DIN OT Medium" w:eastAsiaTheme="majorEastAsia" w:hAnsi="DIN OT Medium" w:cstheme="majorBidi"/>
      <w:bCs/>
      <w:color w:val="012169" w:themeColor="text2"/>
      <w:sz w:val="30"/>
      <w:szCs w:val="26"/>
    </w:rPr>
  </w:style>
  <w:style w:type="character" w:customStyle="1" w:styleId="Heading3Char">
    <w:name w:val="Heading 3 Char"/>
    <w:basedOn w:val="DefaultParagraphFont"/>
    <w:link w:val="Heading3"/>
    <w:uiPriority w:val="9"/>
    <w:rsid w:val="007568F8"/>
    <w:rPr>
      <w:rFonts w:ascii="DIN OT Medium" w:eastAsiaTheme="majorEastAsia" w:hAnsi="DIN OT Medium" w:cstheme="majorBidi"/>
      <w:bCs/>
      <w:color w:val="012169" w:themeColor="text2"/>
      <w:sz w:val="26"/>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AD393D"/>
    <w:pPr>
      <w:keepNext/>
      <w:keepLines/>
      <w:numPr>
        <w:numId w:val="0"/>
      </w:numPr>
      <w:spacing w:before="240" w:after="120"/>
    </w:pPr>
    <w:rPr>
      <w:rFonts w:ascii="DIN OT Medium" w:hAnsi="DIN OT Medium"/>
      <w:color w:val="012169" w:themeColor="text2"/>
      <w:sz w:val="26"/>
    </w:rPr>
  </w:style>
  <w:style w:type="character" w:customStyle="1" w:styleId="Heading4Char">
    <w:name w:val="Heading 4 Char"/>
    <w:basedOn w:val="DefaultParagraphFont"/>
    <w:link w:val="Heading4"/>
    <w:uiPriority w:val="9"/>
    <w:rsid w:val="0016272E"/>
    <w:rPr>
      <w:rFonts w:ascii="DIN OT Medium" w:eastAsiaTheme="majorEastAsia" w:hAnsi="DIN OT Medium" w:cstheme="majorBidi"/>
      <w:bCs/>
      <w:i/>
      <w:iCs/>
      <w:color w:val="012169" w:themeColor="text2"/>
      <w:sz w:val="26"/>
    </w:rPr>
  </w:style>
  <w:style w:type="paragraph" w:styleId="ListBullet">
    <w:name w:val="List Bullet"/>
    <w:basedOn w:val="Normal"/>
    <w:uiPriority w:val="12"/>
    <w:qFormat/>
    <w:rsid w:val="00641EAA"/>
    <w:pPr>
      <w:numPr>
        <w:numId w:val="5"/>
      </w:numPr>
    </w:pPr>
  </w:style>
  <w:style w:type="paragraph" w:styleId="ListBullet2">
    <w:name w:val="List Bullet 2"/>
    <w:basedOn w:val="ListBullet"/>
    <w:uiPriority w:val="12"/>
    <w:qFormat/>
    <w:rsid w:val="00641EAA"/>
    <w:pPr>
      <w:numPr>
        <w:ilvl w:val="1"/>
      </w:numPr>
    </w:pPr>
  </w:style>
  <w:style w:type="paragraph" w:styleId="ListNumber">
    <w:name w:val="List Number"/>
    <w:basedOn w:val="Normal"/>
    <w:uiPriority w:val="15"/>
    <w:qFormat/>
    <w:rsid w:val="00662E28"/>
    <w:pPr>
      <w:numPr>
        <w:numId w:val="6"/>
      </w:numPr>
    </w:pPr>
  </w:style>
  <w:style w:type="paragraph" w:styleId="ListNumber2">
    <w:name w:val="List Number 2"/>
    <w:basedOn w:val="Normal"/>
    <w:uiPriority w:val="16"/>
    <w:qFormat/>
    <w:rsid w:val="00662E28"/>
    <w:pPr>
      <w:numPr>
        <w:ilvl w:val="1"/>
        <w:numId w:val="6"/>
      </w:numPr>
    </w:pPr>
  </w:style>
  <w:style w:type="numbering" w:customStyle="1" w:styleId="HeadingList">
    <w:name w:val="Heading List"/>
    <w:uiPriority w:val="99"/>
    <w:rsid w:val="001241CB"/>
  </w:style>
  <w:style w:type="paragraph" w:styleId="ListNumber3">
    <w:name w:val="List Number 3"/>
    <w:basedOn w:val="Normal"/>
    <w:uiPriority w:val="16"/>
    <w:qFormat/>
    <w:rsid w:val="00662E28"/>
    <w:pPr>
      <w:numPr>
        <w:ilvl w:val="2"/>
        <w:numId w:val="6"/>
      </w:numPr>
    </w:pPr>
  </w:style>
  <w:style w:type="paragraph" w:styleId="Title">
    <w:name w:val="Title"/>
    <w:basedOn w:val="Normal"/>
    <w:next w:val="Normal"/>
    <w:link w:val="TitleChar"/>
    <w:uiPriority w:val="31"/>
    <w:rsid w:val="00DD5719"/>
    <w:pPr>
      <w:numPr>
        <w:numId w:val="0"/>
      </w:numPr>
      <w:pBdr>
        <w:bottom w:val="single" w:sz="24" w:space="10" w:color="012169" w:themeColor="accent1"/>
      </w:pBdr>
      <w:spacing w:after="0" w:line="192" w:lineRule="auto"/>
      <w:ind w:right="567"/>
    </w:pPr>
    <w:rPr>
      <w:rFonts w:ascii="DIN OT Medium" w:eastAsiaTheme="majorEastAsia" w:hAnsi="DIN OT Medium" w:cstheme="majorBidi"/>
      <w:caps/>
      <w:color w:val="012169" w:themeColor="text2"/>
      <w:sz w:val="80"/>
      <w:szCs w:val="52"/>
    </w:rPr>
  </w:style>
  <w:style w:type="character" w:customStyle="1" w:styleId="TitleChar">
    <w:name w:val="Title Char"/>
    <w:basedOn w:val="DefaultParagraphFont"/>
    <w:link w:val="Title"/>
    <w:uiPriority w:val="31"/>
    <w:rsid w:val="000E3427"/>
    <w:rPr>
      <w:rFonts w:ascii="DIN OT Medium" w:eastAsiaTheme="majorEastAsia" w:hAnsi="DIN OT Medium" w:cstheme="majorBidi"/>
      <w:caps/>
      <w:color w:val="012169" w:themeColor="text2"/>
      <w:sz w:val="80"/>
      <w:szCs w:val="52"/>
    </w:rPr>
  </w:style>
  <w:style w:type="numbering" w:styleId="111111">
    <w:name w:val="Outline List 2"/>
    <w:basedOn w:val="NoList"/>
    <w:uiPriority w:val="99"/>
    <w:semiHidden/>
    <w:unhideWhenUsed/>
    <w:locked/>
    <w:rsid w:val="00466648"/>
  </w:style>
  <w:style w:type="paragraph" w:styleId="TOC1">
    <w:name w:val="toc 1"/>
    <w:basedOn w:val="Normal"/>
    <w:next w:val="Normal"/>
    <w:autoRedefine/>
    <w:uiPriority w:val="39"/>
    <w:unhideWhenUsed/>
    <w:rsid w:val="000432EC"/>
    <w:pPr>
      <w:numPr>
        <w:numId w:val="0"/>
      </w:numPr>
      <w:tabs>
        <w:tab w:val="right" w:pos="9027"/>
      </w:tabs>
    </w:pPr>
    <w:rPr>
      <w:rFonts w:ascii="DIN OT Medium" w:hAnsi="DIN OT Medium"/>
    </w:rPr>
  </w:style>
  <w:style w:type="paragraph" w:styleId="TOCHeading">
    <w:name w:val="TOC Heading"/>
    <w:basedOn w:val="Heading1"/>
    <w:next w:val="Normal"/>
    <w:uiPriority w:val="38"/>
    <w:unhideWhenUsed/>
    <w:qFormat/>
    <w:rsid w:val="00616C90"/>
    <w:pPr>
      <w:outlineLvl w:val="9"/>
    </w:pPr>
  </w:style>
  <w:style w:type="paragraph" w:styleId="Footer">
    <w:name w:val="footer"/>
    <w:basedOn w:val="Normal"/>
    <w:link w:val="FooterChar"/>
    <w:uiPriority w:val="99"/>
    <w:rsid w:val="00EE70EE"/>
    <w:pPr>
      <w:numPr>
        <w:numId w:val="0"/>
      </w:numPr>
      <w:tabs>
        <w:tab w:val="right" w:pos="9639"/>
      </w:tabs>
      <w:spacing w:after="0" w:line="200" w:lineRule="exact"/>
      <w:contextualSpacing/>
    </w:pPr>
    <w:rPr>
      <w:caps/>
      <w:sz w:val="16"/>
    </w:rPr>
  </w:style>
  <w:style w:type="character" w:customStyle="1" w:styleId="FooterChar">
    <w:name w:val="Footer Char"/>
    <w:basedOn w:val="DefaultParagraphFont"/>
    <w:link w:val="Footer"/>
    <w:uiPriority w:val="99"/>
    <w:rsid w:val="00EE70EE"/>
    <w:rPr>
      <w:rFonts w:ascii="DIN OT Light" w:hAnsi="DIN OT Light"/>
      <w:caps/>
      <w:sz w:val="16"/>
    </w:rPr>
  </w:style>
  <w:style w:type="paragraph" w:styleId="ListBullet3">
    <w:name w:val="List Bullet 3"/>
    <w:basedOn w:val="Normal"/>
    <w:uiPriority w:val="12"/>
    <w:qFormat/>
    <w:rsid w:val="00641EAA"/>
    <w:pPr>
      <w:numPr>
        <w:ilvl w:val="2"/>
        <w:numId w:val="5"/>
      </w:numPr>
    </w:pPr>
  </w:style>
  <w:style w:type="table" w:styleId="TableGrid">
    <w:name w:val="Table Grid"/>
    <w:basedOn w:val="TableNormal"/>
    <w:uiPriority w:val="59"/>
    <w:rsid w:val="00B20DFD"/>
    <w:pPr>
      <w:spacing w:before="60" w:after="60"/>
    </w:pPr>
    <w:rPr>
      <w:sz w:val="20"/>
    </w:r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rFonts w:ascii="DIN OT Medium" w:hAnsi="DIN OT Medium"/>
        <w:b w:val="0"/>
        <w:color w:val="FFFFFF" w:themeColor="background1"/>
      </w:rPr>
      <w:tblPr/>
      <w:trPr>
        <w:cantSplit/>
        <w:tblHeader/>
      </w:trPr>
      <w:tcPr>
        <w:shd w:val="clear" w:color="auto" w:fill="012169" w:themeFill="accent1"/>
      </w:tcPr>
    </w:tblStylePr>
    <w:tblStylePr w:type="lastRow">
      <w:rPr>
        <w:rFonts w:ascii="DIN OT Medium" w:hAnsi="DIN OT Medium"/>
        <w:b w:val="0"/>
      </w:rPr>
      <w:tblPr/>
      <w:tcPr>
        <w:shd w:val="clear" w:color="auto" w:fill="EAECEE" w:themeFill="accent4" w:themeFillTint="33"/>
      </w:tcPr>
    </w:tblStylePr>
    <w:tblStylePr w:type="firstCol">
      <w:rPr>
        <w:rFonts w:ascii="DIN OT Medium" w:hAnsi="DIN OT Medium"/>
        <w:b w:val="0"/>
        <w:color w:val="auto"/>
      </w:rPr>
    </w:tblStylePr>
    <w:tblStylePr w:type="lastCol">
      <w:pPr>
        <w:jc w:val="right"/>
      </w:pPr>
      <w:rPr>
        <w:rFonts w:ascii="DIN OT Medium" w:hAnsi="DIN OT Medium"/>
        <w:b w:val="0"/>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27194D"/>
    <w:pPr>
      <w:tabs>
        <w:tab w:val="left" w:pos="1134"/>
      </w:tabs>
      <w:spacing w:before="240" w:after="120"/>
    </w:pPr>
    <w:rPr>
      <w:rFonts w:ascii="DIN OT Medium" w:hAnsi="DIN OT Medium"/>
      <w:bCs/>
      <w:i/>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rPr>
      <w:rFonts w:ascii="DIN OT Light" w:hAnsi="DIN OT Light"/>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rFonts w:ascii="DIN OT Light" w:hAnsi="DIN OT Light"/>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rFonts w:ascii="DIN OT Light" w:hAnsi="DIN OT Light"/>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rFonts w:ascii="DIN OT Light" w:hAnsi="DIN OT Light"/>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rFonts w:ascii="DIN OT Light" w:hAnsi="DIN OT Light"/>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rFonts w:ascii="DIN OT Light" w:hAnsi="DIN OT Light"/>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rFonts w:ascii="DIN OT Light" w:hAnsi="DIN OT Light"/>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rFonts w:ascii="DIN OT Light" w:hAnsi="DIN OT Light"/>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rPr>
      <w:rFonts w:ascii="DIN OT Light" w:hAnsi="DIN OT Light"/>
    </w:rPr>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rPr>
      <w:rFonts w:ascii="DIN OT Light" w:hAnsi="DIN OT Light"/>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rFonts w:ascii="DIN OT Light" w:hAnsi="DIN OT Light"/>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29"/>
    <w:qFormat/>
    <w:locked/>
    <w:rsid w:val="003B51A4"/>
    <w:pPr>
      <w:numPr>
        <w:numId w:val="0"/>
      </w:numPr>
      <w:spacing w:after="840"/>
      <w:contextualSpacing/>
    </w:pPr>
  </w:style>
  <w:style w:type="character" w:customStyle="1" w:styleId="DateChar">
    <w:name w:val="Date Char"/>
    <w:basedOn w:val="DefaultParagraphFont"/>
    <w:link w:val="Date"/>
    <w:uiPriority w:val="29"/>
    <w:rsid w:val="003B51A4"/>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rPr>
      <w:rFonts w:ascii="DIN OT Light" w:hAnsi="DIN OT Light"/>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rsid w:val="000573E5"/>
    <w:rPr>
      <w:noProof w:val="0"/>
      <w:sz w:val="18"/>
      <w:vertAlign w:val="superscript"/>
      <w:lang w:val="en-AU"/>
    </w:rPr>
  </w:style>
  <w:style w:type="paragraph" w:styleId="FootnoteText">
    <w:name w:val="footnote text"/>
    <w:basedOn w:val="Normal"/>
    <w:link w:val="FootnoteTextChar"/>
    <w:uiPriority w:val="99"/>
    <w:rsid w:val="0016272E"/>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16272E"/>
    <w:rPr>
      <w:sz w:val="18"/>
    </w:rPr>
  </w:style>
  <w:style w:type="character" w:customStyle="1" w:styleId="Heading5Char">
    <w:name w:val="Heading 5 Char"/>
    <w:basedOn w:val="DefaultParagraphFont"/>
    <w:link w:val="Heading5"/>
    <w:uiPriority w:val="9"/>
    <w:rsid w:val="006C6C47"/>
    <w:rPr>
      <w:rFonts w:ascii="DIN OT Medium" w:eastAsiaTheme="majorEastAsia" w:hAnsi="DIN OT Medium" w:cstheme="majorBidi"/>
      <w:color w:val="000000" w:themeColor="text1"/>
    </w:rPr>
  </w:style>
  <w:style w:type="character" w:customStyle="1" w:styleId="Heading6Char">
    <w:name w:val="Heading 6 Char"/>
    <w:basedOn w:val="DefaultParagraphFont"/>
    <w:link w:val="Heading6"/>
    <w:uiPriority w:val="9"/>
    <w:semiHidden/>
    <w:rsid w:val="00283DF4"/>
    <w:rPr>
      <w:rFonts w:ascii="DIN Offc Medium" w:eastAsiaTheme="majorEastAsia" w:hAnsi="DIN Offc Medium" w:cstheme="majorBidi"/>
      <w:i/>
      <w:iCs/>
      <w:color w:val="012169" w:themeColor="text2"/>
    </w:rPr>
  </w:style>
  <w:style w:type="character" w:customStyle="1" w:styleId="Heading7Char">
    <w:name w:val="Heading 7 Char"/>
    <w:basedOn w:val="DefaultParagraphFont"/>
    <w:link w:val="Heading7"/>
    <w:uiPriority w:val="9"/>
    <w:semiHidden/>
    <w:rsid w:val="00283DF4"/>
    <w:rPr>
      <w:rFonts w:ascii="DIN Offc Medium" w:eastAsiaTheme="majorEastAsia" w:hAnsi="DIN Offc Medium" w:cstheme="majorBidi"/>
      <w:i/>
      <w:iCs/>
      <w:color w:val="012169" w:themeColor="text2"/>
    </w:rPr>
  </w:style>
  <w:style w:type="character" w:customStyle="1" w:styleId="Heading8Char">
    <w:name w:val="Heading 8 Char"/>
    <w:basedOn w:val="DefaultParagraphFont"/>
    <w:link w:val="Heading8"/>
    <w:uiPriority w:val="9"/>
    <w:semiHidden/>
    <w:rsid w:val="00283DF4"/>
    <w:rPr>
      <w:rFonts w:ascii="DIN Offc Medium" w:eastAsiaTheme="majorEastAsia" w:hAnsi="DIN Offc Medium" w:cstheme="majorBidi"/>
      <w:i/>
      <w:color w:val="012169" w:themeColor="text2"/>
    </w:rPr>
  </w:style>
  <w:style w:type="character" w:customStyle="1" w:styleId="Heading9Char">
    <w:name w:val="Heading 9 Char"/>
    <w:basedOn w:val="DefaultParagraphFont"/>
    <w:link w:val="Heading9"/>
    <w:uiPriority w:val="9"/>
    <w:semiHidden/>
    <w:rsid w:val="00283DF4"/>
    <w:rPr>
      <w:rFonts w:ascii="DIN Offc Medium" w:eastAsiaTheme="majorEastAsia" w:hAnsi="DIN Offc Medium" w:cstheme="majorBidi"/>
      <w:i/>
      <w:iCs/>
      <w:color w:val="012169" w:themeColor="text2"/>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rFonts w:ascii="DIN OT Light" w:hAnsi="DIN OT Light"/>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rFonts w:ascii="DIN OT Light" w:hAnsi="DIN OT Light"/>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link w:val="ListParagraphChar"/>
    <w:uiPriority w:val="34"/>
    <w:qFormat/>
    <w:rsid w:val="00BB7EB9"/>
    <w:pPr>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99"/>
    <w:rsid w:val="00E910A2"/>
    <w:pPr>
      <w:numPr>
        <w:numId w:val="0"/>
      </w:numPr>
    </w:pPr>
    <w:rPr>
      <w:rFonts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rPr>
      <w:rFonts w:ascii="DIN OT Light" w:hAnsi="DIN OT Light"/>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945635"/>
    <w:pPr>
      <w:numPr>
        <w:numId w:val="0"/>
      </w:numPr>
      <w:ind w:left="425" w:right="425"/>
    </w:pPr>
    <w:rPr>
      <w:i/>
      <w:iCs/>
    </w:rPr>
  </w:style>
  <w:style w:type="character" w:customStyle="1" w:styleId="QuoteChar">
    <w:name w:val="Quote Char"/>
    <w:basedOn w:val="DefaultParagraphFont"/>
    <w:link w:val="Quote"/>
    <w:uiPriority w:val="19"/>
    <w:rsid w:val="00945635"/>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rFonts w:ascii="DIN OT Light" w:hAnsi="DIN OT Light"/>
    </w:rPr>
  </w:style>
  <w:style w:type="paragraph" w:styleId="Signature">
    <w:name w:val="Signature"/>
    <w:basedOn w:val="Normal"/>
    <w:link w:val="SignatureChar"/>
    <w:uiPriority w:val="29"/>
    <w:semiHidden/>
    <w:locked/>
    <w:rsid w:val="00F00470"/>
    <w:pPr>
      <w:numPr>
        <w:numId w:val="0"/>
      </w:numPr>
      <w:contextualSpacing/>
    </w:pPr>
  </w:style>
  <w:style w:type="character" w:customStyle="1" w:styleId="SignatureChar">
    <w:name w:val="Signature Char"/>
    <w:basedOn w:val="DefaultParagraphFont"/>
    <w:link w:val="Signature"/>
    <w:uiPriority w:val="29"/>
    <w:semiHidden/>
    <w:rsid w:val="00E910A2"/>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FC398C"/>
    <w:pPr>
      <w:numPr>
        <w:numId w:val="0"/>
      </w:numPr>
      <w:tabs>
        <w:tab w:val="left" w:pos="851"/>
        <w:tab w:val="right" w:pos="9027"/>
      </w:tabs>
      <w:ind w:left="850" w:hanging="737"/>
    </w:pPr>
  </w:style>
  <w:style w:type="paragraph" w:styleId="TOC3">
    <w:name w:val="toc 3"/>
    <w:basedOn w:val="Normal"/>
    <w:next w:val="Normal"/>
    <w:autoRedefine/>
    <w:uiPriority w:val="39"/>
    <w:rsid w:val="00AD393D"/>
    <w:pPr>
      <w:numPr>
        <w:numId w:val="0"/>
      </w:numPr>
      <w:tabs>
        <w:tab w:val="left" w:pos="851"/>
        <w:tab w:val="right" w:pos="9038"/>
      </w:tabs>
      <w:ind w:left="1702" w:hanging="851"/>
    </w:pPr>
  </w:style>
  <w:style w:type="paragraph" w:styleId="TOC4">
    <w:name w:val="toc 4"/>
    <w:basedOn w:val="Normal"/>
    <w:next w:val="Normal"/>
    <w:autoRedefine/>
    <w:uiPriority w:val="39"/>
    <w:rsid w:val="00AD393D"/>
    <w:pPr>
      <w:numPr>
        <w:numId w:val="0"/>
      </w:numPr>
      <w:tabs>
        <w:tab w:val="right" w:pos="9027"/>
      </w:tabs>
    </w:pPr>
    <w:rPr>
      <w:rFonts w:ascii="DIN OT Medium" w:hAnsi="DIN OT Medium"/>
    </w:rPr>
  </w:style>
  <w:style w:type="paragraph" w:styleId="TOC5">
    <w:name w:val="toc 5"/>
    <w:basedOn w:val="Normal"/>
    <w:next w:val="Normal"/>
    <w:autoRedefine/>
    <w:uiPriority w:val="39"/>
    <w:rsid w:val="00FC398C"/>
    <w:pPr>
      <w:numPr>
        <w:numId w:val="0"/>
      </w:numPr>
      <w:tabs>
        <w:tab w:val="left" w:pos="851"/>
        <w:tab w:val="right" w:pos="9027"/>
      </w:tabs>
      <w:ind w:left="113"/>
    </w:pPr>
  </w:style>
  <w:style w:type="paragraph" w:styleId="TOC6">
    <w:name w:val="toc 6"/>
    <w:basedOn w:val="Normal"/>
    <w:next w:val="Normal"/>
    <w:autoRedefine/>
    <w:uiPriority w:val="39"/>
    <w:rsid w:val="00EE70EE"/>
    <w:pPr>
      <w:numPr>
        <w:numId w:val="0"/>
      </w:numPr>
      <w:tabs>
        <w:tab w:val="left" w:pos="851"/>
        <w:tab w:val="right" w:pos="9027"/>
      </w:tabs>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144295"/>
  </w:style>
  <w:style w:type="numbering" w:customStyle="1" w:styleId="BulletList">
    <w:name w:val="Bullet List"/>
    <w:uiPriority w:val="99"/>
    <w:rsid w:val="00641EAA"/>
    <w:pPr>
      <w:numPr>
        <w:numId w:val="5"/>
      </w:numPr>
    </w:pPr>
  </w:style>
  <w:style w:type="paragraph" w:customStyle="1" w:styleId="PaperTitle">
    <w:name w:val="Paper Title"/>
    <w:next w:val="CoverDate"/>
    <w:uiPriority w:val="31"/>
    <w:rsid w:val="007E7F27"/>
    <w:pPr>
      <w:spacing w:before="2760"/>
      <w:contextualSpacing/>
    </w:pPr>
    <w:rPr>
      <w:rFonts w:ascii="DIN OT Medium" w:eastAsiaTheme="majorEastAsia" w:hAnsi="DIN OT Medium" w:cstheme="majorBidi"/>
      <w:color w:val="012169" w:themeColor="text2"/>
      <w:sz w:val="44"/>
      <w:szCs w:val="52"/>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ttachmentHeading">
    <w:name w:val="Attachment Heading"/>
    <w:basedOn w:val="Heading1"/>
    <w:next w:val="Normal"/>
    <w:uiPriority w:val="10"/>
    <w:qFormat/>
    <w:rsid w:val="003A2733"/>
    <w:pPr>
      <w:numPr>
        <w:numId w:val="7"/>
      </w:numPr>
    </w:pPr>
  </w:style>
  <w:style w:type="paragraph" w:customStyle="1" w:styleId="AttachmentSubHeading">
    <w:name w:val="Attachment Sub Heading"/>
    <w:basedOn w:val="Heading2"/>
    <w:next w:val="Normal"/>
    <w:uiPriority w:val="10"/>
    <w:qFormat/>
    <w:rsid w:val="003A2733"/>
  </w:style>
  <w:style w:type="paragraph" w:customStyle="1" w:styleId="Heading1Numbers">
    <w:name w:val="Heading 1 Numbers"/>
    <w:basedOn w:val="Heading1"/>
    <w:next w:val="Normal"/>
    <w:uiPriority w:val="9"/>
    <w:qFormat/>
    <w:rsid w:val="00014B42"/>
    <w:pPr>
      <w:numPr>
        <w:numId w:val="10"/>
      </w:numPr>
    </w:pPr>
  </w:style>
  <w:style w:type="paragraph" w:customStyle="1" w:styleId="Heading2Numbers">
    <w:name w:val="Heading 2 Numbers"/>
    <w:basedOn w:val="Heading2"/>
    <w:next w:val="Normal"/>
    <w:uiPriority w:val="9"/>
    <w:qFormat/>
    <w:rsid w:val="00354D13"/>
    <w:pPr>
      <w:numPr>
        <w:ilvl w:val="1"/>
        <w:numId w:val="10"/>
      </w:numPr>
    </w:pPr>
    <w:rPr>
      <w:bCs w:val="0"/>
      <w:color w:val="012169"/>
    </w:rPr>
  </w:style>
  <w:style w:type="paragraph" w:customStyle="1" w:styleId="Heading3Numbers">
    <w:name w:val="Heading 3 Numbers"/>
    <w:basedOn w:val="Heading3"/>
    <w:next w:val="Normal"/>
    <w:uiPriority w:val="9"/>
    <w:qFormat/>
    <w:rsid w:val="00014B42"/>
    <w:pPr>
      <w:numPr>
        <w:ilvl w:val="2"/>
        <w:numId w:val="10"/>
      </w:numPr>
    </w:pPr>
  </w:style>
  <w:style w:type="paragraph" w:customStyle="1" w:styleId="Heading4NoNumber">
    <w:name w:val="Heading 4 No Number"/>
    <w:basedOn w:val="Heading4"/>
    <w:uiPriority w:val="9"/>
    <w:semiHidden/>
    <w:qFormat/>
    <w:rsid w:val="00BA627A"/>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semiHidden/>
    <w:qFormat/>
    <w:rsid w:val="00E910A2"/>
    <w:pPr>
      <w:numPr>
        <w:numId w:val="0"/>
      </w:numPr>
    </w:pPr>
    <w:rPr>
      <w:rFonts w:ascii="DIN Offc Medium" w:hAnsi="DIN Offc Medium"/>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uiPriority w:val="31"/>
    <w:rsid w:val="005113A6"/>
    <w:rPr>
      <w:rFonts w:ascii="DIN OT Medium" w:eastAsiaTheme="majorEastAsia" w:hAnsi="DIN OT Medium" w:cstheme="majorBidi"/>
      <w:color w:val="00A9E0" w:themeColor="background2"/>
      <w:sz w:val="24"/>
      <w:szCs w:val="52"/>
    </w:rPr>
  </w:style>
  <w:style w:type="paragraph" w:customStyle="1" w:styleId="Address">
    <w:name w:val="Address"/>
    <w:basedOn w:val="Normal"/>
    <w:uiPriority w:val="29"/>
    <w:qFormat/>
    <w:rsid w:val="00E910A2"/>
    <w:pPr>
      <w:numPr>
        <w:numId w:val="0"/>
      </w:numPr>
      <w:spacing w:after="840"/>
      <w:contextualSpacing/>
    </w:pPr>
  </w:style>
  <w:style w:type="paragraph" w:customStyle="1" w:styleId="Sincerely">
    <w:name w:val="Sincerely"/>
    <w:basedOn w:val="Normal"/>
    <w:uiPriority w:val="29"/>
    <w:qFormat/>
    <w:rsid w:val="00E910A2"/>
    <w:pPr>
      <w:numPr>
        <w:numId w:val="0"/>
      </w:numPr>
      <w:spacing w:before="720" w:after="600"/>
    </w:pPr>
  </w:style>
  <w:style w:type="paragraph" w:customStyle="1" w:styleId="Subject">
    <w:name w:val="Subject"/>
    <w:basedOn w:val="Normal"/>
    <w:uiPriority w:val="29"/>
    <w:qFormat/>
    <w:rsid w:val="00EE70EE"/>
    <w:pPr>
      <w:numPr>
        <w:numId w:val="0"/>
      </w:numPr>
      <w:spacing w:before="480" w:after="480"/>
    </w:pPr>
    <w:rPr>
      <w:rFonts w:ascii="DIN OT Medium" w:hAnsi="DIN OT Medium"/>
    </w:rPr>
  </w:style>
  <w:style w:type="table" w:customStyle="1" w:styleId="TableOption2">
    <w:name w:val="Table Option 2"/>
    <w:basedOn w:val="TableGrid"/>
    <w:uiPriority w:val="99"/>
    <w:rsid w:val="00B20DFD"/>
    <w:tblPr/>
    <w:tcPr>
      <w:shd w:val="clear" w:color="auto" w:fill="EAECEE" w:themeFill="accent4" w:themeFillTint="33"/>
    </w:tcPr>
    <w:tblStylePr w:type="firstRow">
      <w:rPr>
        <w:rFonts w:ascii="DIN OT Medium" w:hAnsi="DIN OT Medium"/>
        <w:b w:val="0"/>
        <w:color w:val="FFFFFF" w:themeColor="background1"/>
      </w:rPr>
      <w:tblPr/>
      <w:trPr>
        <w:cantSplit/>
        <w:tblHeader/>
      </w:trPr>
      <w:tcPr>
        <w:shd w:val="clear" w:color="auto" w:fill="012169" w:themeFill="accent1"/>
      </w:tcPr>
    </w:tblStylePr>
    <w:tblStylePr w:type="lastRow">
      <w:rPr>
        <w:rFonts w:ascii="DIN OT Medium" w:hAnsi="DIN OT Medium"/>
        <w:b w:val="0"/>
      </w:rPr>
      <w:tblPr/>
      <w:tcPr>
        <w:shd w:val="clear" w:color="auto" w:fill="EAECEE" w:themeFill="accent4" w:themeFillTint="33"/>
      </w:tcPr>
    </w:tblStylePr>
    <w:tblStylePr w:type="firstCol">
      <w:rPr>
        <w:rFonts w:ascii="DIN OT Medium" w:hAnsi="DIN OT Medium"/>
        <w:b w:val="0"/>
        <w:color w:val="auto"/>
      </w:rPr>
      <w:tblPr/>
      <w:tcPr>
        <w:shd w:val="clear" w:color="auto" w:fill="012169" w:themeFill="accent1"/>
      </w:tcPr>
    </w:tblStylePr>
    <w:tblStylePr w:type="lastCol">
      <w:pPr>
        <w:jc w:val="right"/>
      </w:pPr>
      <w:rPr>
        <w:rFonts w:ascii="DIN OT Medium" w:hAnsi="DIN OT Medium"/>
        <w:b w:val="0"/>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0B74CA"/>
    <w:pPr>
      <w:keepNext/>
      <w:numPr>
        <w:numId w:val="0"/>
      </w:numPr>
      <w:spacing w:before="240" w:after="120"/>
    </w:pPr>
    <w:rPr>
      <w:rFonts w:ascii="DIN OT Medium" w:hAnsi="DIN OT Medium"/>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DisclaimerHeading">
    <w:name w:val="Disclaimer Heading"/>
    <w:basedOn w:val="Normal"/>
    <w:next w:val="Normal"/>
    <w:uiPriority w:val="32"/>
    <w:rsid w:val="00EE70EE"/>
    <w:pPr>
      <w:framePr w:w="9027" w:wrap="around" w:hAnchor="text" w:yAlign="bottom"/>
      <w:numPr>
        <w:numId w:val="0"/>
      </w:numPr>
      <w:pBdr>
        <w:top w:val="single" w:sz="48" w:space="1" w:color="D9D9D9" w:themeColor="background1" w:themeShade="D9"/>
        <w:left w:val="single" w:sz="24" w:space="4" w:color="D9D9D9" w:themeColor="background1" w:themeShade="D9"/>
        <w:bottom w:val="single" w:sz="48" w:space="1" w:color="D9D9D9" w:themeColor="background1" w:themeShade="D9"/>
        <w:right w:val="single" w:sz="24" w:space="4" w:color="D9D9D9" w:themeColor="background1" w:themeShade="D9"/>
      </w:pBdr>
      <w:shd w:val="clear" w:color="auto" w:fill="D9D9D9" w:themeFill="background1" w:themeFillShade="D9"/>
      <w:spacing w:before="240"/>
      <w:ind w:left="170" w:right="170"/>
    </w:pPr>
    <w:rPr>
      <w:rFonts w:ascii="DIN OT Medium" w:hAnsi="DIN OT Medium"/>
      <w:sz w:val="28"/>
    </w:rPr>
  </w:style>
  <w:style w:type="paragraph" w:customStyle="1" w:styleId="DisclaimerText">
    <w:name w:val="Disclaimer Text"/>
    <w:basedOn w:val="DisclaimerHeading"/>
    <w:uiPriority w:val="32"/>
    <w:rsid w:val="00EE70EE"/>
    <w:pPr>
      <w:framePr w:wrap="around"/>
    </w:pPr>
    <w:rPr>
      <w:rFonts w:ascii="DIN OT Light" w:hAnsi="DIN OT Light"/>
      <w:sz w:val="22"/>
    </w:rPr>
  </w:style>
  <w:style w:type="character" w:customStyle="1" w:styleId="BoldCharacterDINOTMedium">
    <w:name w:val="Bold Character (DIN OT Medium)"/>
    <w:basedOn w:val="DefaultParagraphFont"/>
    <w:uiPriority w:val="1"/>
    <w:qFormat/>
    <w:rsid w:val="00484BF5"/>
    <w:rPr>
      <w:rFonts w:ascii="DIN OT Medium" w:hAnsi="DIN OT Medium"/>
    </w:rPr>
  </w:style>
  <w:style w:type="paragraph" w:customStyle="1" w:styleId="CoverLine">
    <w:name w:val="Cover Line"/>
    <w:basedOn w:val="Normal"/>
    <w:uiPriority w:val="31"/>
    <w:qFormat/>
    <w:rsid w:val="008B2BF9"/>
    <w:pPr>
      <w:numPr>
        <w:numId w:val="0"/>
      </w:numPr>
      <w:pBdr>
        <w:bottom w:val="single" w:sz="24" w:space="10" w:color="00A9E0" w:themeColor="accent2"/>
      </w:pBdr>
      <w:spacing w:before="2170" w:after="0" w:line="192" w:lineRule="auto"/>
      <w:ind w:left="-1440" w:firstLine="1021"/>
    </w:pPr>
    <w:rPr>
      <w:rFonts w:ascii="DIN OT Medium" w:hAnsi="DIN OT Medium"/>
      <w:caps/>
      <w:color w:val="FFFFFF" w:themeColor="background1"/>
      <w:sz w:val="80"/>
    </w:rPr>
  </w:style>
  <w:style w:type="table" w:customStyle="1" w:styleId="Style1">
    <w:name w:val="Style1"/>
    <w:basedOn w:val="TableNormal"/>
    <w:uiPriority w:val="99"/>
    <w:rsid w:val="00362355"/>
    <w:pPr>
      <w:spacing w:after="0"/>
    </w:pPr>
    <w:rPr>
      <w:sz w:val="20"/>
    </w:rPr>
    <w:tblPr/>
  </w:style>
  <w:style w:type="table" w:styleId="GridTable7Colorful-Accent6">
    <w:name w:val="Grid Table 7 Colorful Accent 6"/>
    <w:basedOn w:val="TableNormal"/>
    <w:uiPriority w:val="52"/>
    <w:locked/>
    <w:rsid w:val="005971F3"/>
    <w:pPr>
      <w:spacing w:after="0"/>
    </w:pPr>
    <w:rPr>
      <w:color w:val="26A6DC" w:themeColor="accent6" w:themeShade="BF"/>
    </w:rPr>
    <w:tblPr>
      <w:tblStyleRowBandSize w:val="1"/>
      <w:tblStyleColBandSize w:val="1"/>
      <w:tblBorders>
        <w:top w:val="single" w:sz="4" w:space="0" w:color="A9DCF1" w:themeColor="accent6" w:themeTint="99"/>
        <w:left w:val="single" w:sz="4" w:space="0" w:color="A9DCF1" w:themeColor="accent6" w:themeTint="99"/>
        <w:bottom w:val="single" w:sz="4" w:space="0" w:color="A9DCF1" w:themeColor="accent6" w:themeTint="99"/>
        <w:right w:val="single" w:sz="4" w:space="0" w:color="A9DCF1" w:themeColor="accent6" w:themeTint="99"/>
        <w:insideH w:val="single" w:sz="4" w:space="0" w:color="A9DCF1" w:themeColor="accent6" w:themeTint="99"/>
        <w:insideV w:val="single" w:sz="4" w:space="0" w:color="A9DCF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F3FA" w:themeFill="accent6" w:themeFillTint="33"/>
      </w:tcPr>
    </w:tblStylePr>
    <w:tblStylePr w:type="band1Horz">
      <w:tblPr/>
      <w:tcPr>
        <w:shd w:val="clear" w:color="auto" w:fill="E2F3FA" w:themeFill="accent6" w:themeFillTint="33"/>
      </w:tcPr>
    </w:tblStylePr>
    <w:tblStylePr w:type="neCell">
      <w:tblPr/>
      <w:tcPr>
        <w:tcBorders>
          <w:bottom w:val="single" w:sz="4" w:space="0" w:color="A9DCF1" w:themeColor="accent6" w:themeTint="99"/>
        </w:tcBorders>
      </w:tcPr>
    </w:tblStylePr>
    <w:tblStylePr w:type="nwCell">
      <w:tblPr/>
      <w:tcPr>
        <w:tcBorders>
          <w:bottom w:val="single" w:sz="4" w:space="0" w:color="A9DCF1" w:themeColor="accent6" w:themeTint="99"/>
        </w:tcBorders>
      </w:tcPr>
    </w:tblStylePr>
    <w:tblStylePr w:type="seCell">
      <w:tblPr/>
      <w:tcPr>
        <w:tcBorders>
          <w:top w:val="single" w:sz="4" w:space="0" w:color="A9DCF1" w:themeColor="accent6" w:themeTint="99"/>
        </w:tcBorders>
      </w:tcPr>
    </w:tblStylePr>
    <w:tblStylePr w:type="swCell">
      <w:tblPr/>
      <w:tcPr>
        <w:tcBorders>
          <w:top w:val="single" w:sz="4" w:space="0" w:color="A9DCF1" w:themeColor="accent6" w:themeTint="99"/>
        </w:tcBorders>
      </w:tcPr>
    </w:tblStylePr>
  </w:style>
  <w:style w:type="character" w:customStyle="1" w:styleId="LightCharacterDINOTLight">
    <w:name w:val="Light Character (DIN OT Light)"/>
    <w:basedOn w:val="DefaultParagraphFont"/>
    <w:uiPriority w:val="10"/>
    <w:qFormat/>
    <w:rsid w:val="00DB34F0"/>
    <w:rPr>
      <w:rFonts w:ascii="DIN OT Light" w:hAnsi="DIN OT Light"/>
    </w:rPr>
  </w:style>
  <w:style w:type="table" w:styleId="GridTable4-Accent3">
    <w:name w:val="Grid Table 4 Accent 3"/>
    <w:basedOn w:val="TableNormal"/>
    <w:uiPriority w:val="49"/>
    <w:locked/>
    <w:rsid w:val="00DD01CB"/>
    <w:pPr>
      <w:spacing w:after="0"/>
    </w:pPr>
    <w:tblPr>
      <w:tblStyleRowBandSize w:val="1"/>
      <w:tblStyleColBandSize w:val="1"/>
      <w:tblBorders>
        <w:top w:val="single" w:sz="4" w:space="0" w:color="48ADFF" w:themeColor="accent3" w:themeTint="99"/>
        <w:left w:val="single" w:sz="4" w:space="0" w:color="48ADFF" w:themeColor="accent3" w:themeTint="99"/>
        <w:bottom w:val="single" w:sz="4" w:space="0" w:color="48ADFF" w:themeColor="accent3" w:themeTint="99"/>
        <w:right w:val="single" w:sz="4" w:space="0" w:color="48ADFF" w:themeColor="accent3" w:themeTint="99"/>
        <w:insideH w:val="single" w:sz="4" w:space="0" w:color="48ADFF" w:themeColor="accent3" w:themeTint="99"/>
        <w:insideV w:val="single" w:sz="4" w:space="0" w:color="48ADFF" w:themeColor="accent3" w:themeTint="99"/>
      </w:tblBorders>
    </w:tblPr>
    <w:tblStylePr w:type="firstRow">
      <w:rPr>
        <w:b/>
        <w:bCs/>
        <w:color w:val="FFFFFF" w:themeColor="background1"/>
      </w:rPr>
      <w:tblPr/>
      <w:tcPr>
        <w:tcBorders>
          <w:top w:val="single" w:sz="4" w:space="0" w:color="0072CE" w:themeColor="accent3"/>
          <w:left w:val="single" w:sz="4" w:space="0" w:color="0072CE" w:themeColor="accent3"/>
          <w:bottom w:val="single" w:sz="4" w:space="0" w:color="0072CE" w:themeColor="accent3"/>
          <w:right w:val="single" w:sz="4" w:space="0" w:color="0072CE" w:themeColor="accent3"/>
          <w:insideH w:val="nil"/>
          <w:insideV w:val="nil"/>
        </w:tcBorders>
        <w:shd w:val="clear" w:color="auto" w:fill="0072CE" w:themeFill="accent3"/>
      </w:tcPr>
    </w:tblStylePr>
    <w:tblStylePr w:type="lastRow">
      <w:rPr>
        <w:b/>
        <w:bCs/>
      </w:rPr>
      <w:tblPr/>
      <w:tcPr>
        <w:tcBorders>
          <w:top w:val="double" w:sz="4" w:space="0" w:color="0072CE" w:themeColor="accent3"/>
        </w:tcBorders>
      </w:tcPr>
    </w:tblStylePr>
    <w:tblStylePr w:type="firstCol">
      <w:rPr>
        <w:b/>
        <w:bCs/>
      </w:rPr>
    </w:tblStylePr>
    <w:tblStylePr w:type="lastCol">
      <w:rPr>
        <w:b/>
        <w:bCs/>
      </w:rPr>
    </w:tblStylePr>
    <w:tblStylePr w:type="band1Vert">
      <w:tblPr/>
      <w:tcPr>
        <w:shd w:val="clear" w:color="auto" w:fill="C2E3FF" w:themeFill="accent3" w:themeFillTint="33"/>
      </w:tcPr>
    </w:tblStylePr>
    <w:tblStylePr w:type="band1Horz">
      <w:tblPr/>
      <w:tcPr>
        <w:shd w:val="clear" w:color="auto" w:fill="C2E3FF" w:themeFill="accent3" w:themeFillTint="33"/>
      </w:tcPr>
    </w:tblStylePr>
  </w:style>
  <w:style w:type="table" w:styleId="GridTable4-Accent1">
    <w:name w:val="Grid Table 4 Accent 1"/>
    <w:basedOn w:val="TableNormal"/>
    <w:uiPriority w:val="49"/>
    <w:locked/>
    <w:rsid w:val="00DD01CB"/>
    <w:pPr>
      <w:spacing w:after="0"/>
    </w:pPr>
    <w:tblPr>
      <w:tblStyleRowBandSize w:val="1"/>
      <w:tblStyleColBandSize w:val="1"/>
      <w:tblBorders>
        <w:top w:val="single" w:sz="4" w:space="0" w:color="0E57FC" w:themeColor="accent1" w:themeTint="99"/>
        <w:left w:val="single" w:sz="4" w:space="0" w:color="0E57FC" w:themeColor="accent1" w:themeTint="99"/>
        <w:bottom w:val="single" w:sz="4" w:space="0" w:color="0E57FC" w:themeColor="accent1" w:themeTint="99"/>
        <w:right w:val="single" w:sz="4" w:space="0" w:color="0E57FC" w:themeColor="accent1" w:themeTint="99"/>
        <w:insideH w:val="single" w:sz="4" w:space="0" w:color="0E57FC" w:themeColor="accent1" w:themeTint="99"/>
        <w:insideV w:val="single" w:sz="4" w:space="0" w:color="0E57FC" w:themeColor="accent1" w:themeTint="99"/>
      </w:tblBorders>
    </w:tblPr>
    <w:tblStylePr w:type="firstRow">
      <w:rPr>
        <w:b/>
        <w:bCs/>
        <w:color w:val="FFFFFF" w:themeColor="background1"/>
      </w:rPr>
      <w:tblPr/>
      <w:tcPr>
        <w:tcBorders>
          <w:top w:val="single" w:sz="4" w:space="0" w:color="012169" w:themeColor="accent1"/>
          <w:left w:val="single" w:sz="4" w:space="0" w:color="012169" w:themeColor="accent1"/>
          <w:bottom w:val="single" w:sz="4" w:space="0" w:color="012169" w:themeColor="accent1"/>
          <w:right w:val="single" w:sz="4" w:space="0" w:color="012169" w:themeColor="accent1"/>
          <w:insideH w:val="nil"/>
          <w:insideV w:val="nil"/>
        </w:tcBorders>
        <w:shd w:val="clear" w:color="auto" w:fill="012169" w:themeFill="accent1"/>
      </w:tcPr>
    </w:tblStylePr>
    <w:tblStylePr w:type="lastRow">
      <w:rPr>
        <w:b/>
        <w:bCs/>
      </w:rPr>
      <w:tblPr/>
      <w:tcPr>
        <w:tcBorders>
          <w:top w:val="double" w:sz="4" w:space="0" w:color="012169" w:themeColor="accent1"/>
        </w:tcBorders>
      </w:tcPr>
    </w:tblStylePr>
    <w:tblStylePr w:type="firstCol">
      <w:rPr>
        <w:b/>
        <w:bCs/>
      </w:rPr>
    </w:tblStylePr>
    <w:tblStylePr w:type="lastCol">
      <w:rPr>
        <w:b/>
        <w:bCs/>
      </w:rPr>
    </w:tblStylePr>
    <w:tblStylePr w:type="band1Vert">
      <w:tblPr/>
      <w:tcPr>
        <w:shd w:val="clear" w:color="auto" w:fill="AEC7FE" w:themeFill="accent1" w:themeFillTint="33"/>
      </w:tcPr>
    </w:tblStylePr>
    <w:tblStylePr w:type="band1Horz">
      <w:tblPr/>
      <w:tcPr>
        <w:shd w:val="clear" w:color="auto" w:fill="AEC7FE" w:themeFill="accent1" w:themeFillTint="33"/>
      </w:tcPr>
    </w:tblStylePr>
  </w:style>
  <w:style w:type="table" w:styleId="ListTable3-Accent1">
    <w:name w:val="List Table 3 Accent 1"/>
    <w:basedOn w:val="TableNormal"/>
    <w:uiPriority w:val="48"/>
    <w:locked/>
    <w:rsid w:val="006157C8"/>
    <w:pPr>
      <w:spacing w:after="0"/>
    </w:pPr>
    <w:tblPr>
      <w:tblStyleRowBandSize w:val="1"/>
      <w:tblStyleColBandSize w:val="1"/>
      <w:tblBorders>
        <w:top w:val="single" w:sz="4" w:space="0" w:color="012169" w:themeColor="accent1"/>
        <w:left w:val="single" w:sz="4" w:space="0" w:color="012169" w:themeColor="accent1"/>
        <w:bottom w:val="single" w:sz="4" w:space="0" w:color="012169" w:themeColor="accent1"/>
        <w:right w:val="single" w:sz="4" w:space="0" w:color="012169" w:themeColor="accent1"/>
      </w:tblBorders>
    </w:tblPr>
    <w:tblStylePr w:type="firstRow">
      <w:rPr>
        <w:b/>
        <w:bCs/>
        <w:color w:val="FFFFFF" w:themeColor="background1"/>
      </w:rPr>
      <w:tblPr/>
      <w:tcPr>
        <w:shd w:val="clear" w:color="auto" w:fill="012169" w:themeFill="accent1"/>
      </w:tcPr>
    </w:tblStylePr>
    <w:tblStylePr w:type="lastRow">
      <w:rPr>
        <w:b/>
        <w:bCs/>
      </w:rPr>
      <w:tblPr/>
      <w:tcPr>
        <w:tcBorders>
          <w:top w:val="double" w:sz="4" w:space="0" w:color="01216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12169" w:themeColor="accent1"/>
          <w:right w:val="single" w:sz="4" w:space="0" w:color="012169" w:themeColor="accent1"/>
        </w:tcBorders>
      </w:tcPr>
    </w:tblStylePr>
    <w:tblStylePr w:type="band1Horz">
      <w:tblPr/>
      <w:tcPr>
        <w:tcBorders>
          <w:top w:val="single" w:sz="4" w:space="0" w:color="012169" w:themeColor="accent1"/>
          <w:bottom w:val="single" w:sz="4" w:space="0" w:color="01216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2169" w:themeColor="accent1"/>
          <w:left w:val="nil"/>
        </w:tcBorders>
      </w:tcPr>
    </w:tblStylePr>
    <w:tblStylePr w:type="swCell">
      <w:tblPr/>
      <w:tcPr>
        <w:tcBorders>
          <w:top w:val="double" w:sz="4" w:space="0" w:color="012169" w:themeColor="accent1"/>
          <w:right w:val="nil"/>
        </w:tcBorders>
      </w:tcPr>
    </w:tblStylePr>
  </w:style>
  <w:style w:type="paragraph" w:customStyle="1" w:styleId="Numberedtableheading">
    <w:name w:val="Numbered table heading"/>
    <w:basedOn w:val="Heading4"/>
    <w:qFormat/>
    <w:rsid w:val="00AA0CA8"/>
    <w:pPr>
      <w:numPr>
        <w:numId w:val="8"/>
      </w:numPr>
      <w:spacing w:before="120"/>
      <w:ind w:left="360"/>
    </w:pPr>
  </w:style>
  <w:style w:type="paragraph" w:customStyle="1" w:styleId="Numberedfigureheading">
    <w:name w:val="Numbered figure heading"/>
    <w:basedOn w:val="Numberedtableheading"/>
    <w:qFormat/>
    <w:rsid w:val="008071C6"/>
    <w:pPr>
      <w:numPr>
        <w:numId w:val="9"/>
      </w:numPr>
    </w:pPr>
  </w:style>
  <w:style w:type="character" w:customStyle="1" w:styleId="ListParagraphChar">
    <w:name w:val="List Paragraph Char"/>
    <w:basedOn w:val="DefaultParagraphFont"/>
    <w:link w:val="ListParagraph"/>
    <w:uiPriority w:val="34"/>
    <w:rsid w:val="002554CC"/>
  </w:style>
  <w:style w:type="paragraph" w:customStyle="1" w:styleId="Nonchapterheading">
    <w:name w:val="Non chapter heading"/>
    <w:basedOn w:val="Heading5"/>
    <w:link w:val="NonchapterheadingChar"/>
    <w:rsid w:val="00BB283E"/>
    <w:pPr>
      <w:keepLines w:val="0"/>
      <w:spacing w:after="120" w:line="288" w:lineRule="auto"/>
      <w:ind w:left="360" w:hanging="360"/>
      <w:jc w:val="both"/>
    </w:pPr>
    <w:rPr>
      <w:rFonts w:ascii="Arial" w:eastAsia="Times New Roman" w:hAnsi="Arial" w:cs="Arial"/>
      <w:b/>
      <w:i/>
      <w:color w:val="auto"/>
      <w:szCs w:val="26"/>
      <w:lang w:eastAsia="en-AU"/>
    </w:rPr>
  </w:style>
  <w:style w:type="character" w:customStyle="1" w:styleId="NonchapterheadingChar">
    <w:name w:val="Non chapter heading Char"/>
    <w:basedOn w:val="Heading5Char"/>
    <w:link w:val="Nonchapterheading"/>
    <w:rsid w:val="00BB283E"/>
    <w:rPr>
      <w:rFonts w:ascii="Arial" w:eastAsia="Times New Roman" w:hAnsi="Arial" w:cs="Arial"/>
      <w:b/>
      <w:i/>
      <w:color w:val="auto"/>
      <w:szCs w:val="26"/>
      <w:lang w:eastAsia="en-AU"/>
    </w:rPr>
  </w:style>
  <w:style w:type="paragraph" w:customStyle="1" w:styleId="BULLET2">
    <w:name w:val="BULLET 2"/>
    <w:basedOn w:val="Normal"/>
    <w:qFormat/>
    <w:rsid w:val="00957713"/>
    <w:pPr>
      <w:numPr>
        <w:numId w:val="14"/>
      </w:numPr>
      <w:jc w:val="both"/>
    </w:pPr>
    <w:rPr>
      <w:rFonts w:ascii="Arial" w:eastAsiaTheme="minorEastAsia" w:hAnsi="Arial"/>
      <w:color w:val="auto"/>
      <w:lang w:eastAsia="en-AU"/>
    </w:rPr>
  </w:style>
  <w:style w:type="paragraph" w:styleId="Revision">
    <w:name w:val="Revision"/>
    <w:hidden/>
    <w:uiPriority w:val="99"/>
    <w:semiHidden/>
    <w:rsid w:val="00361CE1"/>
    <w:pPr>
      <w:spacing w:after="0"/>
    </w:pPr>
    <w:rPr>
      <w:rFonts w:ascii="DIN OT Light" w:hAnsi="DIN OT Light"/>
    </w:rPr>
  </w:style>
  <w:style w:type="character" w:styleId="UnresolvedMention">
    <w:name w:val="Unresolved Mention"/>
    <w:basedOn w:val="DefaultParagraphFont"/>
    <w:uiPriority w:val="99"/>
    <w:semiHidden/>
    <w:unhideWhenUsed/>
    <w:rsid w:val="004F5956"/>
    <w:rPr>
      <w:color w:val="605E5C"/>
      <w:shd w:val="clear" w:color="auto" w:fill="E1DFDD"/>
    </w:rPr>
  </w:style>
  <w:style w:type="paragraph" w:customStyle="1" w:styleId="APRANORMAL">
    <w:name w:val="APRA NORMAL"/>
    <w:basedOn w:val="Normal"/>
    <w:link w:val="APRANORMALChar"/>
    <w:qFormat/>
    <w:rsid w:val="00CC1D83"/>
    <w:pPr>
      <w:numPr>
        <w:numId w:val="0"/>
      </w:numPr>
    </w:pPr>
    <w:rPr>
      <w:rFonts w:cs="Times New Roman"/>
      <w:color w:val="auto"/>
      <w:lang w:val="en-GB"/>
    </w:rPr>
  </w:style>
  <w:style w:type="character" w:customStyle="1" w:styleId="APRANORMALChar">
    <w:name w:val="APRA NORMAL Char"/>
    <w:basedOn w:val="DefaultParagraphFont"/>
    <w:link w:val="APRANORMAL"/>
    <w:rsid w:val="00CC1D83"/>
    <w:rPr>
      <w:rFonts w:ascii="DIN OT Light" w:hAnsi="DIN OT Light" w:cs="Times New Roman"/>
      <w:color w:val="auto"/>
      <w:lang w:val="en-GB"/>
    </w:rPr>
  </w:style>
  <w:style w:type="table" w:customStyle="1" w:styleId="TableOption21">
    <w:name w:val="Table Option 21"/>
    <w:basedOn w:val="TableGrid"/>
    <w:uiPriority w:val="99"/>
    <w:rsid w:val="00570718"/>
    <w:tblPr/>
    <w:tcPr>
      <w:shd w:val="clear" w:color="auto" w:fill="EAECEE" w:themeFill="accent4" w:themeFillTint="33"/>
    </w:tcPr>
    <w:tblStylePr w:type="firstRow">
      <w:rPr>
        <w:rFonts w:ascii="DIN OT Medium" w:hAnsi="DIN OT Medium"/>
        <w:b w:val="0"/>
        <w:color w:val="FFFFFF" w:themeColor="background1"/>
      </w:rPr>
      <w:tblPr/>
      <w:trPr>
        <w:cantSplit/>
        <w:tblHeader/>
      </w:trPr>
      <w:tcPr>
        <w:shd w:val="clear" w:color="auto" w:fill="012169" w:themeFill="accent1"/>
      </w:tcPr>
    </w:tblStylePr>
    <w:tblStylePr w:type="lastRow">
      <w:rPr>
        <w:rFonts w:ascii="DIN OT Medium" w:hAnsi="DIN OT Medium"/>
        <w:b w:val="0"/>
      </w:rPr>
      <w:tblPr/>
      <w:tcPr>
        <w:shd w:val="clear" w:color="auto" w:fill="EAECEE" w:themeFill="accent4" w:themeFillTint="33"/>
      </w:tcPr>
    </w:tblStylePr>
    <w:tblStylePr w:type="firstCol">
      <w:rPr>
        <w:rFonts w:ascii="DIN OT Medium" w:hAnsi="DIN OT Medium"/>
        <w:b w:val="0"/>
        <w:color w:val="auto"/>
      </w:rPr>
      <w:tblPr/>
      <w:tcPr>
        <w:shd w:val="clear" w:color="auto" w:fill="012169" w:themeFill="accent1"/>
      </w:tcPr>
    </w:tblStylePr>
    <w:tblStylePr w:type="lastCol">
      <w:pPr>
        <w:jc w:val="right"/>
      </w:pPr>
      <w:rPr>
        <w:rFonts w:ascii="DIN OT Medium" w:hAnsi="DIN OT Medium"/>
        <w:b w:val="0"/>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87682">
      <w:bodyDiv w:val="1"/>
      <w:marLeft w:val="0"/>
      <w:marRight w:val="0"/>
      <w:marTop w:val="0"/>
      <w:marBottom w:val="0"/>
      <w:divBdr>
        <w:top w:val="none" w:sz="0" w:space="0" w:color="auto"/>
        <w:left w:val="none" w:sz="0" w:space="0" w:color="auto"/>
        <w:bottom w:val="none" w:sz="0" w:space="0" w:color="auto"/>
        <w:right w:val="none" w:sz="0" w:space="0" w:color="auto"/>
      </w:divBdr>
    </w:div>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207841081">
      <w:bodyDiv w:val="1"/>
      <w:marLeft w:val="0"/>
      <w:marRight w:val="0"/>
      <w:marTop w:val="0"/>
      <w:marBottom w:val="0"/>
      <w:divBdr>
        <w:top w:val="none" w:sz="0" w:space="0" w:color="auto"/>
        <w:left w:val="none" w:sz="0" w:space="0" w:color="auto"/>
        <w:bottom w:val="none" w:sz="0" w:space="0" w:color="auto"/>
        <w:right w:val="none" w:sz="0" w:space="0" w:color="auto"/>
      </w:divBdr>
    </w:div>
    <w:div w:id="225263138">
      <w:bodyDiv w:val="1"/>
      <w:marLeft w:val="0"/>
      <w:marRight w:val="0"/>
      <w:marTop w:val="0"/>
      <w:marBottom w:val="0"/>
      <w:divBdr>
        <w:top w:val="none" w:sz="0" w:space="0" w:color="auto"/>
        <w:left w:val="none" w:sz="0" w:space="0" w:color="auto"/>
        <w:bottom w:val="none" w:sz="0" w:space="0" w:color="auto"/>
        <w:right w:val="none" w:sz="0" w:space="0" w:color="auto"/>
      </w:divBdr>
    </w:div>
    <w:div w:id="234975391">
      <w:bodyDiv w:val="1"/>
      <w:marLeft w:val="0"/>
      <w:marRight w:val="0"/>
      <w:marTop w:val="0"/>
      <w:marBottom w:val="0"/>
      <w:divBdr>
        <w:top w:val="none" w:sz="0" w:space="0" w:color="auto"/>
        <w:left w:val="none" w:sz="0" w:space="0" w:color="auto"/>
        <w:bottom w:val="none" w:sz="0" w:space="0" w:color="auto"/>
        <w:right w:val="none" w:sz="0" w:space="0" w:color="auto"/>
      </w:divBdr>
    </w:div>
    <w:div w:id="266886177">
      <w:bodyDiv w:val="1"/>
      <w:marLeft w:val="0"/>
      <w:marRight w:val="0"/>
      <w:marTop w:val="0"/>
      <w:marBottom w:val="0"/>
      <w:divBdr>
        <w:top w:val="none" w:sz="0" w:space="0" w:color="auto"/>
        <w:left w:val="none" w:sz="0" w:space="0" w:color="auto"/>
        <w:bottom w:val="none" w:sz="0" w:space="0" w:color="auto"/>
        <w:right w:val="none" w:sz="0" w:space="0" w:color="auto"/>
      </w:divBdr>
    </w:div>
    <w:div w:id="322201519">
      <w:bodyDiv w:val="1"/>
      <w:marLeft w:val="0"/>
      <w:marRight w:val="0"/>
      <w:marTop w:val="0"/>
      <w:marBottom w:val="0"/>
      <w:divBdr>
        <w:top w:val="none" w:sz="0" w:space="0" w:color="auto"/>
        <w:left w:val="none" w:sz="0" w:space="0" w:color="auto"/>
        <w:bottom w:val="none" w:sz="0" w:space="0" w:color="auto"/>
        <w:right w:val="none" w:sz="0" w:space="0" w:color="auto"/>
      </w:divBdr>
    </w:div>
    <w:div w:id="395206061">
      <w:bodyDiv w:val="1"/>
      <w:marLeft w:val="0"/>
      <w:marRight w:val="0"/>
      <w:marTop w:val="0"/>
      <w:marBottom w:val="0"/>
      <w:divBdr>
        <w:top w:val="none" w:sz="0" w:space="0" w:color="auto"/>
        <w:left w:val="none" w:sz="0" w:space="0" w:color="auto"/>
        <w:bottom w:val="none" w:sz="0" w:space="0" w:color="auto"/>
        <w:right w:val="none" w:sz="0" w:space="0" w:color="auto"/>
      </w:divBdr>
    </w:div>
    <w:div w:id="423460733">
      <w:bodyDiv w:val="1"/>
      <w:marLeft w:val="0"/>
      <w:marRight w:val="0"/>
      <w:marTop w:val="0"/>
      <w:marBottom w:val="0"/>
      <w:divBdr>
        <w:top w:val="none" w:sz="0" w:space="0" w:color="auto"/>
        <w:left w:val="none" w:sz="0" w:space="0" w:color="auto"/>
        <w:bottom w:val="none" w:sz="0" w:space="0" w:color="auto"/>
        <w:right w:val="none" w:sz="0" w:space="0" w:color="auto"/>
      </w:divBdr>
    </w:div>
    <w:div w:id="440808782">
      <w:bodyDiv w:val="1"/>
      <w:marLeft w:val="0"/>
      <w:marRight w:val="0"/>
      <w:marTop w:val="0"/>
      <w:marBottom w:val="0"/>
      <w:divBdr>
        <w:top w:val="none" w:sz="0" w:space="0" w:color="auto"/>
        <w:left w:val="none" w:sz="0" w:space="0" w:color="auto"/>
        <w:bottom w:val="none" w:sz="0" w:space="0" w:color="auto"/>
        <w:right w:val="none" w:sz="0" w:space="0" w:color="auto"/>
      </w:divBdr>
    </w:div>
    <w:div w:id="441846740">
      <w:bodyDiv w:val="1"/>
      <w:marLeft w:val="0"/>
      <w:marRight w:val="0"/>
      <w:marTop w:val="0"/>
      <w:marBottom w:val="0"/>
      <w:divBdr>
        <w:top w:val="none" w:sz="0" w:space="0" w:color="auto"/>
        <w:left w:val="none" w:sz="0" w:space="0" w:color="auto"/>
        <w:bottom w:val="none" w:sz="0" w:space="0" w:color="auto"/>
        <w:right w:val="none" w:sz="0" w:space="0" w:color="auto"/>
      </w:divBdr>
    </w:div>
    <w:div w:id="605843461">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002859911">
      <w:bodyDiv w:val="1"/>
      <w:marLeft w:val="0"/>
      <w:marRight w:val="0"/>
      <w:marTop w:val="0"/>
      <w:marBottom w:val="0"/>
      <w:divBdr>
        <w:top w:val="none" w:sz="0" w:space="0" w:color="auto"/>
        <w:left w:val="none" w:sz="0" w:space="0" w:color="auto"/>
        <w:bottom w:val="none" w:sz="0" w:space="0" w:color="auto"/>
        <w:right w:val="none" w:sz="0" w:space="0" w:color="auto"/>
      </w:divBdr>
    </w:div>
    <w:div w:id="1133249316">
      <w:bodyDiv w:val="1"/>
      <w:marLeft w:val="0"/>
      <w:marRight w:val="0"/>
      <w:marTop w:val="0"/>
      <w:marBottom w:val="0"/>
      <w:divBdr>
        <w:top w:val="none" w:sz="0" w:space="0" w:color="auto"/>
        <w:left w:val="none" w:sz="0" w:space="0" w:color="auto"/>
        <w:bottom w:val="none" w:sz="0" w:space="0" w:color="auto"/>
        <w:right w:val="none" w:sz="0" w:space="0" w:color="auto"/>
      </w:divBdr>
    </w:div>
    <w:div w:id="1155872082">
      <w:bodyDiv w:val="1"/>
      <w:marLeft w:val="0"/>
      <w:marRight w:val="0"/>
      <w:marTop w:val="0"/>
      <w:marBottom w:val="0"/>
      <w:divBdr>
        <w:top w:val="none" w:sz="0" w:space="0" w:color="auto"/>
        <w:left w:val="none" w:sz="0" w:space="0" w:color="auto"/>
        <w:bottom w:val="none" w:sz="0" w:space="0" w:color="auto"/>
        <w:right w:val="none" w:sz="0" w:space="0" w:color="auto"/>
      </w:divBdr>
    </w:div>
    <w:div w:id="1258979268">
      <w:bodyDiv w:val="1"/>
      <w:marLeft w:val="0"/>
      <w:marRight w:val="0"/>
      <w:marTop w:val="0"/>
      <w:marBottom w:val="0"/>
      <w:divBdr>
        <w:top w:val="none" w:sz="0" w:space="0" w:color="auto"/>
        <w:left w:val="none" w:sz="0" w:space="0" w:color="auto"/>
        <w:bottom w:val="none" w:sz="0" w:space="0" w:color="auto"/>
        <w:right w:val="none" w:sz="0" w:space="0" w:color="auto"/>
      </w:divBdr>
    </w:div>
    <w:div w:id="1313676824">
      <w:bodyDiv w:val="1"/>
      <w:marLeft w:val="0"/>
      <w:marRight w:val="0"/>
      <w:marTop w:val="0"/>
      <w:marBottom w:val="0"/>
      <w:divBdr>
        <w:top w:val="none" w:sz="0" w:space="0" w:color="auto"/>
        <w:left w:val="none" w:sz="0" w:space="0" w:color="auto"/>
        <w:bottom w:val="none" w:sz="0" w:space="0" w:color="auto"/>
        <w:right w:val="none" w:sz="0" w:space="0" w:color="auto"/>
      </w:divBdr>
    </w:div>
    <w:div w:id="1389257421">
      <w:bodyDiv w:val="1"/>
      <w:marLeft w:val="0"/>
      <w:marRight w:val="0"/>
      <w:marTop w:val="0"/>
      <w:marBottom w:val="0"/>
      <w:divBdr>
        <w:top w:val="none" w:sz="0" w:space="0" w:color="auto"/>
        <w:left w:val="none" w:sz="0" w:space="0" w:color="auto"/>
        <w:bottom w:val="none" w:sz="0" w:space="0" w:color="auto"/>
        <w:right w:val="none" w:sz="0" w:space="0" w:color="auto"/>
      </w:divBdr>
    </w:div>
    <w:div w:id="143624733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616205066">
      <w:bodyDiv w:val="1"/>
      <w:marLeft w:val="0"/>
      <w:marRight w:val="0"/>
      <w:marTop w:val="0"/>
      <w:marBottom w:val="0"/>
      <w:divBdr>
        <w:top w:val="none" w:sz="0" w:space="0" w:color="auto"/>
        <w:left w:val="none" w:sz="0" w:space="0" w:color="auto"/>
        <w:bottom w:val="none" w:sz="0" w:space="0" w:color="auto"/>
        <w:right w:val="none" w:sz="0" w:space="0" w:color="auto"/>
      </w:divBdr>
    </w:div>
    <w:div w:id="1661888999">
      <w:bodyDiv w:val="1"/>
      <w:marLeft w:val="0"/>
      <w:marRight w:val="0"/>
      <w:marTop w:val="0"/>
      <w:marBottom w:val="0"/>
      <w:divBdr>
        <w:top w:val="none" w:sz="0" w:space="0" w:color="auto"/>
        <w:left w:val="none" w:sz="0" w:space="0" w:color="auto"/>
        <w:bottom w:val="none" w:sz="0" w:space="0" w:color="auto"/>
        <w:right w:val="none" w:sz="0" w:space="0" w:color="auto"/>
      </w:divBdr>
    </w:div>
    <w:div w:id="1714185262">
      <w:bodyDiv w:val="1"/>
      <w:marLeft w:val="0"/>
      <w:marRight w:val="0"/>
      <w:marTop w:val="0"/>
      <w:marBottom w:val="0"/>
      <w:divBdr>
        <w:top w:val="none" w:sz="0" w:space="0" w:color="auto"/>
        <w:left w:val="none" w:sz="0" w:space="0" w:color="auto"/>
        <w:bottom w:val="none" w:sz="0" w:space="0" w:color="auto"/>
        <w:right w:val="none" w:sz="0" w:space="0" w:color="auto"/>
      </w:divBdr>
    </w:div>
    <w:div w:id="1734353644">
      <w:bodyDiv w:val="1"/>
      <w:marLeft w:val="0"/>
      <w:marRight w:val="0"/>
      <w:marTop w:val="0"/>
      <w:marBottom w:val="0"/>
      <w:divBdr>
        <w:top w:val="none" w:sz="0" w:space="0" w:color="auto"/>
        <w:left w:val="none" w:sz="0" w:space="0" w:color="auto"/>
        <w:bottom w:val="none" w:sz="0" w:space="0" w:color="auto"/>
        <w:right w:val="none" w:sz="0" w:space="0" w:color="auto"/>
      </w:divBdr>
    </w:div>
    <w:div w:id="1766341909">
      <w:bodyDiv w:val="1"/>
      <w:marLeft w:val="0"/>
      <w:marRight w:val="0"/>
      <w:marTop w:val="0"/>
      <w:marBottom w:val="0"/>
      <w:divBdr>
        <w:top w:val="none" w:sz="0" w:space="0" w:color="auto"/>
        <w:left w:val="none" w:sz="0" w:space="0" w:color="auto"/>
        <w:bottom w:val="none" w:sz="0" w:space="0" w:color="auto"/>
        <w:right w:val="none" w:sz="0" w:space="0" w:color="auto"/>
      </w:divBdr>
    </w:div>
    <w:div w:id="1770390547">
      <w:bodyDiv w:val="1"/>
      <w:marLeft w:val="0"/>
      <w:marRight w:val="0"/>
      <w:marTop w:val="0"/>
      <w:marBottom w:val="0"/>
      <w:divBdr>
        <w:top w:val="none" w:sz="0" w:space="0" w:color="auto"/>
        <w:left w:val="none" w:sz="0" w:space="0" w:color="auto"/>
        <w:bottom w:val="none" w:sz="0" w:space="0" w:color="auto"/>
        <w:right w:val="none" w:sz="0" w:space="0" w:color="auto"/>
      </w:divBdr>
      <w:divsChild>
        <w:div w:id="1644044640">
          <w:marLeft w:val="547"/>
          <w:marRight w:val="0"/>
          <w:marTop w:val="0"/>
          <w:marBottom w:val="0"/>
          <w:divBdr>
            <w:top w:val="none" w:sz="0" w:space="0" w:color="auto"/>
            <w:left w:val="none" w:sz="0" w:space="0" w:color="auto"/>
            <w:bottom w:val="none" w:sz="0" w:space="0" w:color="auto"/>
            <w:right w:val="none" w:sz="0" w:space="0" w:color="auto"/>
          </w:divBdr>
        </w:div>
      </w:divsChild>
    </w:div>
    <w:div w:id="1864393926">
      <w:bodyDiv w:val="1"/>
      <w:marLeft w:val="0"/>
      <w:marRight w:val="0"/>
      <w:marTop w:val="0"/>
      <w:marBottom w:val="0"/>
      <w:divBdr>
        <w:top w:val="none" w:sz="0" w:space="0" w:color="auto"/>
        <w:left w:val="none" w:sz="0" w:space="0" w:color="auto"/>
        <w:bottom w:val="none" w:sz="0" w:space="0" w:color="auto"/>
        <w:right w:val="none" w:sz="0" w:space="0" w:color="auto"/>
      </w:divBdr>
    </w:div>
    <w:div w:id="1973247409">
      <w:bodyDiv w:val="1"/>
      <w:marLeft w:val="0"/>
      <w:marRight w:val="0"/>
      <w:marTop w:val="0"/>
      <w:marBottom w:val="0"/>
      <w:divBdr>
        <w:top w:val="none" w:sz="0" w:space="0" w:color="auto"/>
        <w:left w:val="none" w:sz="0" w:space="0" w:color="auto"/>
        <w:bottom w:val="none" w:sz="0" w:space="0" w:color="auto"/>
        <w:right w:val="none" w:sz="0" w:space="0" w:color="auto"/>
      </w:divBdr>
    </w:div>
    <w:div w:id="2042243699">
      <w:bodyDiv w:val="1"/>
      <w:marLeft w:val="0"/>
      <w:marRight w:val="0"/>
      <w:marTop w:val="0"/>
      <w:marBottom w:val="0"/>
      <w:divBdr>
        <w:top w:val="none" w:sz="0" w:space="0" w:color="auto"/>
        <w:left w:val="none" w:sz="0" w:space="0" w:color="auto"/>
        <w:bottom w:val="none" w:sz="0" w:space="0" w:color="auto"/>
        <w:right w:val="none" w:sz="0" w:space="0" w:color="auto"/>
      </w:divBdr>
    </w:div>
    <w:div w:id="2044674046">
      <w:bodyDiv w:val="1"/>
      <w:marLeft w:val="0"/>
      <w:marRight w:val="0"/>
      <w:marTop w:val="0"/>
      <w:marBottom w:val="0"/>
      <w:divBdr>
        <w:top w:val="none" w:sz="0" w:space="0" w:color="auto"/>
        <w:left w:val="none" w:sz="0" w:space="0" w:color="auto"/>
        <w:bottom w:val="none" w:sz="0" w:space="0" w:color="auto"/>
        <w:right w:val="none" w:sz="0" w:space="0" w:color="auto"/>
      </w:divBdr>
    </w:div>
    <w:div w:id="210811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5.png"/><Relationship Id="rId29"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24" Type="http://schemas.openxmlformats.org/officeDocument/2006/relationships/image" Target="media/image9.png"/><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image" Target="media/image8.png"/><Relationship Id="rId28" Type="http://schemas.openxmlformats.org/officeDocument/2006/relationships/customXml" Target="../customXml/item4.xml"/><Relationship Id="rId10" Type="http://schemas.openxmlformats.org/officeDocument/2006/relationships/image" Target="media/image1.png"/><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hyperlink" Target="https://creativecommons.org/licenses/by/3.0/au/" TargetMode="External"/><Relationship Id="rId14" Type="http://schemas.openxmlformats.org/officeDocument/2006/relationships/diagramColors" Target="diagrams/colors1.xml"/><Relationship Id="rId22" Type="http://schemas.openxmlformats.org/officeDocument/2006/relationships/image" Target="media/image7.png"/><Relationship Id="rId27" Type="http://schemas.openxmlformats.org/officeDocument/2006/relationships/customXml" Target="../customXml/item3.xml"/><Relationship Id="rId30" Type="http://schemas.openxmlformats.org/officeDocument/2006/relationships/customXml" Target="../customXml/item6.xml"/></Relationships>
</file>

<file path=word/_rels/footnotes.xml.rels><?xml version="1.0" encoding="UTF-8" standalone="yes"?>
<Relationships xmlns="http://schemas.openxmlformats.org/package/2006/relationships"><Relationship Id="rId8" Type="http://schemas.openxmlformats.org/officeDocument/2006/relationships/hyperlink" Target="https://www.commbank.com.au/about-us/investors/credit-ratings.html" TargetMode="External"/><Relationship Id="rId13" Type="http://schemas.openxmlformats.org/officeDocument/2006/relationships/hyperlink" Target="https://www.apra.gov.au/sites/default/files/2022-02/Information%20Paper%20-%20APRA%E2%80%99s%20Policy%20Priorities%20February%202022.pdf" TargetMode="External"/><Relationship Id="rId3" Type="http://schemas.openxmlformats.org/officeDocument/2006/relationships/hyperlink" Target="https://www.bis.org/bcbs/publ/d295.htm" TargetMode="External"/><Relationship Id="rId7" Type="http://schemas.openxmlformats.org/officeDocument/2006/relationships/hyperlink" Target="https://www.anz.com/debtinvestors/centre/credit-ratings/" TargetMode="External"/><Relationship Id="rId12" Type="http://schemas.openxmlformats.org/officeDocument/2006/relationships/hyperlink" Target="https://www.bis.org/bcbs/publ/d521.pdf" TargetMode="External"/><Relationship Id="rId2" Type="http://schemas.openxmlformats.org/officeDocument/2006/relationships/hyperlink" Target="https://www.bis.org/publ/bcbs238.pdf" TargetMode="External"/><Relationship Id="rId1" Type="http://schemas.openxmlformats.org/officeDocument/2006/relationships/hyperlink" Target="https://www.apra.gov.au/regulation-impact-statements" TargetMode="External"/><Relationship Id="rId6" Type="http://schemas.openxmlformats.org/officeDocument/2006/relationships/hyperlink" Target="https://www.bis.org/bcbs/publ/d469.htm" TargetMode="External"/><Relationship Id="rId11" Type="http://schemas.openxmlformats.org/officeDocument/2006/relationships/hyperlink" Target="https://www.bankofengland.co.uk/prudential-regulation/publication/2022/march/prudential-liquidity-framework-supporting-liquid-asset-usability?utm_source=Bank+of+England+updates&amp;utm_campaign=beba92fef8-EMAIL_CAMPAIGN_2022_03_31_09_03&amp;utm_medium=email&amp;utm_term=0_556dbefcdc-beba92fef8-111023901" TargetMode="External"/><Relationship Id="rId5" Type="http://schemas.openxmlformats.org/officeDocument/2006/relationships/hyperlink" Target="https://www.bis.org/bcbs/publ/d419.htm" TargetMode="External"/><Relationship Id="rId10" Type="http://schemas.openxmlformats.org/officeDocument/2006/relationships/hyperlink" Target="https://www.westpac.com.au/about-westpac/investor-centre/fixed-income-investors/credit-ratings/" TargetMode="External"/><Relationship Id="rId4" Type="http://schemas.openxmlformats.org/officeDocument/2006/relationships/hyperlink" Target="https://www.apra.gov.au/post-implementation-review-of-basel-iii-liquidity-reforms" TargetMode="External"/><Relationship Id="rId9" Type="http://schemas.openxmlformats.org/officeDocument/2006/relationships/hyperlink" Target="https://capital.nab.com.au/disclaimer-area/credit-ratings-79.phps" TargetMode="External"/><Relationship Id="rId14" Type="http://schemas.openxmlformats.org/officeDocument/2006/relationships/hyperlink" Target="https://www.apra.gov.au/aggregate-committed-liquidity-facility-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C673C4E-F88C-48FC-971C-3A769C1D8FE2}" type="doc">
      <dgm:prSet loTypeId="urn:microsoft.com/office/officeart/2005/8/layout/venn3" loCatId="relationship" qsTypeId="urn:microsoft.com/office/officeart/2005/8/quickstyle/simple1" qsCatId="simple" csTypeId="urn:microsoft.com/office/officeart/2005/8/colors/colorful3" csCatId="colorful" phldr="1"/>
      <dgm:spPr/>
      <dgm:t>
        <a:bodyPr/>
        <a:lstStyle/>
        <a:p>
          <a:endParaRPr lang="en-AU"/>
        </a:p>
      </dgm:t>
    </dgm:pt>
    <dgm:pt modelId="{3882191D-C05F-432D-B9D5-C7E5A5DEB162}">
      <dgm:prSet phldrT="[Text]"/>
      <dgm:spPr>
        <a:xfrm>
          <a:off x="437695" y="410"/>
          <a:ext cx="2649338" cy="2649338"/>
        </a:xfrm>
        <a:prstGeom prst="ellipse">
          <a:avLst/>
        </a:prstGeom>
        <a:solidFill>
          <a:srgbClr val="0070CE">
            <a:alpha val="50000"/>
            <a:hueOff val="0"/>
            <a:satOff val="0"/>
            <a:lumOff val="0"/>
            <a:alphaOff val="0"/>
          </a:srgbClr>
        </a:solidFill>
        <a:ln w="12700" cap="flat" cmpd="sng" algn="ctr">
          <a:solidFill>
            <a:srgbClr val="FFFFFF">
              <a:hueOff val="0"/>
              <a:satOff val="0"/>
              <a:lumOff val="0"/>
              <a:alphaOff val="0"/>
            </a:srgbClr>
          </a:solidFill>
          <a:prstDash val="solid"/>
          <a:miter lim="800000"/>
        </a:ln>
        <a:effectLst/>
      </dgm:spPr>
      <dgm:t>
        <a:bodyPr/>
        <a:lstStyle/>
        <a:p>
          <a:pPr>
            <a:buNone/>
          </a:pPr>
          <a:r>
            <a:rPr lang="en-AU" dirty="0">
              <a:solidFill>
                <a:srgbClr val="212121"/>
              </a:solidFill>
              <a:latin typeface="DIN OT Medium" panose="020B0604020201010104" pitchFamily="34" charset="0"/>
              <a:ea typeface="+mn-ea"/>
              <a:cs typeface="+mn-cs"/>
            </a:rPr>
            <a:t>Policy assessment </a:t>
          </a:r>
        </a:p>
      </dgm:t>
    </dgm:pt>
    <dgm:pt modelId="{5701EC05-589B-456C-B600-D08ACD0C7449}" type="parTrans" cxnId="{C6404FD8-23DD-44BB-823E-6B09E2F95625}">
      <dgm:prSet/>
      <dgm:spPr/>
      <dgm:t>
        <a:bodyPr/>
        <a:lstStyle/>
        <a:p>
          <a:endParaRPr lang="en-AU"/>
        </a:p>
      </dgm:t>
    </dgm:pt>
    <dgm:pt modelId="{2AAFA55D-F172-4026-8899-E5C8640AE1C5}" type="sibTrans" cxnId="{C6404FD8-23DD-44BB-823E-6B09E2F95625}">
      <dgm:prSet/>
      <dgm:spPr/>
      <dgm:t>
        <a:bodyPr/>
        <a:lstStyle/>
        <a:p>
          <a:endParaRPr lang="en-AU"/>
        </a:p>
      </dgm:t>
    </dgm:pt>
    <dgm:pt modelId="{B4CDE89E-6C70-40C4-AB99-0DDF407714DA}">
      <dgm:prSet phldrT="[Text]"/>
      <dgm:spPr>
        <a:xfrm>
          <a:off x="2557166" y="410"/>
          <a:ext cx="2649338" cy="2649338"/>
        </a:xfrm>
        <a:prstGeom prst="ellipse">
          <a:avLst/>
        </a:prstGeom>
        <a:solidFill>
          <a:srgbClr val="0070CE">
            <a:alpha val="50000"/>
            <a:hueOff val="-497572"/>
            <a:satOff val="-11287"/>
            <a:lumOff val="3137"/>
            <a:alphaOff val="0"/>
          </a:srgbClr>
        </a:solidFill>
        <a:ln w="12700" cap="flat" cmpd="sng" algn="ctr">
          <a:solidFill>
            <a:srgbClr val="FFFFFF">
              <a:hueOff val="0"/>
              <a:satOff val="0"/>
              <a:lumOff val="0"/>
              <a:alphaOff val="0"/>
            </a:srgbClr>
          </a:solidFill>
          <a:prstDash val="solid"/>
          <a:miter lim="800000"/>
        </a:ln>
        <a:effectLst/>
      </dgm:spPr>
      <dgm:t>
        <a:bodyPr/>
        <a:lstStyle/>
        <a:p>
          <a:pPr>
            <a:buNone/>
          </a:pPr>
          <a:r>
            <a:rPr lang="en-AU" dirty="0">
              <a:solidFill>
                <a:srgbClr val="212121"/>
              </a:solidFill>
              <a:latin typeface="DIN OT Medium" panose="020B0604020201010104" pitchFamily="34" charset="0"/>
              <a:ea typeface="+mn-ea"/>
              <a:cs typeface="+mn-cs"/>
            </a:rPr>
            <a:t>Data analysis</a:t>
          </a:r>
        </a:p>
      </dgm:t>
    </dgm:pt>
    <dgm:pt modelId="{B3FA7627-679B-44D2-AEA6-D353DC3BF0EF}" type="parTrans" cxnId="{5EA7777F-5573-4FB6-8B7D-A25AC6ADF49E}">
      <dgm:prSet/>
      <dgm:spPr/>
      <dgm:t>
        <a:bodyPr/>
        <a:lstStyle/>
        <a:p>
          <a:endParaRPr lang="en-AU"/>
        </a:p>
      </dgm:t>
    </dgm:pt>
    <dgm:pt modelId="{CF880EC2-A0AA-4D99-82D6-E2D2F3DB134D}" type="sibTrans" cxnId="{5EA7777F-5573-4FB6-8B7D-A25AC6ADF49E}">
      <dgm:prSet/>
      <dgm:spPr/>
      <dgm:t>
        <a:bodyPr/>
        <a:lstStyle/>
        <a:p>
          <a:endParaRPr lang="en-AU"/>
        </a:p>
      </dgm:t>
    </dgm:pt>
    <dgm:pt modelId="{9E736D75-A92B-451E-8A91-EECBEEA08EAE}">
      <dgm:prSet phldrT="[Text]"/>
      <dgm:spPr>
        <a:xfrm>
          <a:off x="4676638" y="410"/>
          <a:ext cx="2649338" cy="2649338"/>
        </a:xfrm>
        <a:prstGeom prst="ellipse">
          <a:avLst/>
        </a:prstGeom>
        <a:solidFill>
          <a:srgbClr val="0070CE">
            <a:alpha val="50000"/>
            <a:hueOff val="-995143"/>
            <a:satOff val="-22573"/>
            <a:lumOff val="6275"/>
            <a:alphaOff val="0"/>
          </a:srgbClr>
        </a:solidFill>
        <a:ln w="12700" cap="flat" cmpd="sng" algn="ctr">
          <a:solidFill>
            <a:srgbClr val="FFFFFF">
              <a:hueOff val="0"/>
              <a:satOff val="0"/>
              <a:lumOff val="0"/>
              <a:alphaOff val="0"/>
            </a:srgbClr>
          </a:solidFill>
          <a:prstDash val="solid"/>
          <a:miter lim="800000"/>
        </a:ln>
        <a:effectLst/>
      </dgm:spPr>
      <dgm:t>
        <a:bodyPr/>
        <a:lstStyle/>
        <a:p>
          <a:pPr>
            <a:buNone/>
          </a:pPr>
          <a:r>
            <a:rPr lang="en-AU" dirty="0">
              <a:solidFill>
                <a:srgbClr val="212121"/>
              </a:solidFill>
              <a:latin typeface="DIN OT Medium" panose="020B0604020201010104" pitchFamily="34" charset="0"/>
              <a:ea typeface="+mn-ea"/>
              <a:cs typeface="+mn-cs"/>
            </a:rPr>
            <a:t>Bilateral meetings</a:t>
          </a:r>
        </a:p>
      </dgm:t>
    </dgm:pt>
    <dgm:pt modelId="{6EAED586-202F-4EC4-BBF8-3E720FF5B7B8}" type="parTrans" cxnId="{935C0661-8A5A-49AB-BEF4-AE618BC80BDF}">
      <dgm:prSet/>
      <dgm:spPr/>
      <dgm:t>
        <a:bodyPr/>
        <a:lstStyle/>
        <a:p>
          <a:endParaRPr lang="en-AU"/>
        </a:p>
      </dgm:t>
    </dgm:pt>
    <dgm:pt modelId="{7133BBFA-97ED-47FA-8A2A-44C4E084CF06}" type="sibTrans" cxnId="{935C0661-8A5A-49AB-BEF4-AE618BC80BDF}">
      <dgm:prSet/>
      <dgm:spPr/>
      <dgm:t>
        <a:bodyPr/>
        <a:lstStyle/>
        <a:p>
          <a:endParaRPr lang="en-AU"/>
        </a:p>
      </dgm:t>
    </dgm:pt>
    <dgm:pt modelId="{0D94B085-B8AA-492C-8A86-77AB18A26E46}">
      <dgm:prSet phldrT="[Text]"/>
      <dgm:spPr>
        <a:xfrm>
          <a:off x="6796109" y="410"/>
          <a:ext cx="2649338" cy="2649338"/>
        </a:xfrm>
        <a:prstGeom prst="ellipse">
          <a:avLst/>
        </a:prstGeom>
        <a:solidFill>
          <a:srgbClr val="0070CE">
            <a:alpha val="50000"/>
            <a:hueOff val="-1492715"/>
            <a:satOff val="-33860"/>
            <a:lumOff val="9412"/>
            <a:alphaOff val="0"/>
          </a:srgbClr>
        </a:solidFill>
        <a:ln w="12700" cap="flat" cmpd="sng" algn="ctr">
          <a:solidFill>
            <a:srgbClr val="FFFFFF">
              <a:hueOff val="0"/>
              <a:satOff val="0"/>
              <a:lumOff val="0"/>
              <a:alphaOff val="0"/>
            </a:srgbClr>
          </a:solidFill>
          <a:prstDash val="solid"/>
          <a:miter lim="800000"/>
        </a:ln>
        <a:effectLst/>
      </dgm:spPr>
      <dgm:t>
        <a:bodyPr/>
        <a:lstStyle/>
        <a:p>
          <a:pPr>
            <a:buNone/>
          </a:pPr>
          <a:r>
            <a:rPr lang="en-AU" dirty="0">
              <a:solidFill>
                <a:srgbClr val="212121"/>
              </a:solidFill>
              <a:latin typeface="DIN OT Medium" panose="020B0604020201010104" pitchFamily="34" charset="0"/>
              <a:ea typeface="+mn-ea"/>
              <a:cs typeface="+mn-cs"/>
            </a:rPr>
            <a:t>Industry roundtable discussions</a:t>
          </a:r>
        </a:p>
      </dgm:t>
    </dgm:pt>
    <dgm:pt modelId="{0304505A-3D29-4B87-A991-267D7210EAB3}" type="parTrans" cxnId="{03978BAD-9170-41CD-A33B-1C0BD78ABE0D}">
      <dgm:prSet/>
      <dgm:spPr/>
      <dgm:t>
        <a:bodyPr/>
        <a:lstStyle/>
        <a:p>
          <a:endParaRPr lang="en-AU"/>
        </a:p>
      </dgm:t>
    </dgm:pt>
    <dgm:pt modelId="{C86401A6-7D5D-41DF-9503-FDC2DE767031}" type="sibTrans" cxnId="{03978BAD-9170-41CD-A33B-1C0BD78ABE0D}">
      <dgm:prSet/>
      <dgm:spPr/>
      <dgm:t>
        <a:bodyPr/>
        <a:lstStyle/>
        <a:p>
          <a:endParaRPr lang="en-AU"/>
        </a:p>
      </dgm:t>
    </dgm:pt>
    <dgm:pt modelId="{6A57D04A-A82F-457D-BB6B-5AECF3E00F95}">
      <dgm:prSet/>
      <dgm:spPr>
        <a:solidFill>
          <a:srgbClr val="A8F4FE">
            <a:alpha val="69804"/>
          </a:srgbClr>
        </a:solidFill>
      </dgm:spPr>
      <dgm:t>
        <a:bodyPr/>
        <a:lstStyle/>
        <a:p>
          <a:r>
            <a:rPr lang="en-AU" dirty="0">
              <a:solidFill>
                <a:srgbClr val="212121"/>
              </a:solidFill>
              <a:latin typeface="DIN OT Medium" panose="020B0604020201010104" pitchFamily="34" charset="0"/>
              <a:ea typeface="+mn-ea"/>
              <a:cs typeface="+mn-cs"/>
            </a:rPr>
            <a:t>Written submissions </a:t>
          </a:r>
          <a:endParaRPr lang="en-AU" dirty="0"/>
        </a:p>
      </dgm:t>
    </dgm:pt>
    <dgm:pt modelId="{056F1084-5919-4851-9B8F-8BDE94BB281E}" type="parTrans" cxnId="{F56092C9-BEF4-4387-994C-FD2B846A4BAD}">
      <dgm:prSet/>
      <dgm:spPr/>
      <dgm:t>
        <a:bodyPr/>
        <a:lstStyle/>
        <a:p>
          <a:endParaRPr lang="en-AU"/>
        </a:p>
      </dgm:t>
    </dgm:pt>
    <dgm:pt modelId="{BFBDDA3F-E66E-4CC8-9982-D49537598362}" type="sibTrans" cxnId="{F56092C9-BEF4-4387-994C-FD2B846A4BAD}">
      <dgm:prSet/>
      <dgm:spPr/>
      <dgm:t>
        <a:bodyPr/>
        <a:lstStyle/>
        <a:p>
          <a:endParaRPr lang="en-AU"/>
        </a:p>
      </dgm:t>
    </dgm:pt>
    <dgm:pt modelId="{CEC14D29-DCC1-425C-89DE-9A42C018C56B}" type="pres">
      <dgm:prSet presAssocID="{4C673C4E-F88C-48FC-971C-3A769C1D8FE2}" presName="Name0" presStyleCnt="0">
        <dgm:presLayoutVars>
          <dgm:dir/>
          <dgm:resizeHandles val="exact"/>
        </dgm:presLayoutVars>
      </dgm:prSet>
      <dgm:spPr/>
    </dgm:pt>
    <dgm:pt modelId="{31E91595-97E7-4F7B-B637-FE39331CC251}" type="pres">
      <dgm:prSet presAssocID="{3882191D-C05F-432D-B9D5-C7E5A5DEB162}" presName="Name5" presStyleLbl="vennNode1" presStyleIdx="0" presStyleCnt="5">
        <dgm:presLayoutVars>
          <dgm:bulletEnabled val="1"/>
        </dgm:presLayoutVars>
      </dgm:prSet>
      <dgm:spPr/>
    </dgm:pt>
    <dgm:pt modelId="{846A235A-4567-42BB-913E-14A96D937551}" type="pres">
      <dgm:prSet presAssocID="{2AAFA55D-F172-4026-8899-E5C8640AE1C5}" presName="space" presStyleCnt="0"/>
      <dgm:spPr/>
    </dgm:pt>
    <dgm:pt modelId="{7FF7301B-7116-4D2B-B25B-378F90A7DE36}" type="pres">
      <dgm:prSet presAssocID="{B4CDE89E-6C70-40C4-AB99-0DDF407714DA}" presName="Name5" presStyleLbl="vennNode1" presStyleIdx="1" presStyleCnt="5">
        <dgm:presLayoutVars>
          <dgm:bulletEnabled val="1"/>
        </dgm:presLayoutVars>
      </dgm:prSet>
      <dgm:spPr/>
    </dgm:pt>
    <dgm:pt modelId="{09B26A30-B172-40E5-8B5F-72E8C5FFB489}" type="pres">
      <dgm:prSet presAssocID="{CF880EC2-A0AA-4D99-82D6-E2D2F3DB134D}" presName="space" presStyleCnt="0"/>
      <dgm:spPr/>
    </dgm:pt>
    <dgm:pt modelId="{0A0ACC2C-3FEF-4A6F-97CA-3A32268C69A4}" type="pres">
      <dgm:prSet presAssocID="{9E736D75-A92B-451E-8A91-EECBEEA08EAE}" presName="Name5" presStyleLbl="vennNode1" presStyleIdx="2" presStyleCnt="5">
        <dgm:presLayoutVars>
          <dgm:bulletEnabled val="1"/>
        </dgm:presLayoutVars>
      </dgm:prSet>
      <dgm:spPr/>
    </dgm:pt>
    <dgm:pt modelId="{7ECA7B5C-4AEC-4FDC-94B5-4014AAF57E41}" type="pres">
      <dgm:prSet presAssocID="{7133BBFA-97ED-47FA-8A2A-44C4E084CF06}" presName="space" presStyleCnt="0"/>
      <dgm:spPr/>
    </dgm:pt>
    <dgm:pt modelId="{936A12EC-BB53-481E-A804-BC8F9528FA24}" type="pres">
      <dgm:prSet presAssocID="{0D94B085-B8AA-492C-8A86-77AB18A26E46}" presName="Name5" presStyleLbl="vennNode1" presStyleIdx="3" presStyleCnt="5">
        <dgm:presLayoutVars>
          <dgm:bulletEnabled val="1"/>
        </dgm:presLayoutVars>
      </dgm:prSet>
      <dgm:spPr/>
    </dgm:pt>
    <dgm:pt modelId="{32064C89-192C-4ED5-A49D-926289A26255}" type="pres">
      <dgm:prSet presAssocID="{C86401A6-7D5D-41DF-9503-FDC2DE767031}" presName="space" presStyleCnt="0"/>
      <dgm:spPr/>
    </dgm:pt>
    <dgm:pt modelId="{E09773FC-DC6B-43AF-99EE-90F1F33E3304}" type="pres">
      <dgm:prSet presAssocID="{6A57D04A-A82F-457D-BB6B-5AECF3E00F95}" presName="Name5" presStyleLbl="vennNode1" presStyleIdx="4" presStyleCnt="5">
        <dgm:presLayoutVars>
          <dgm:bulletEnabled val="1"/>
        </dgm:presLayoutVars>
      </dgm:prSet>
      <dgm:spPr/>
    </dgm:pt>
  </dgm:ptLst>
  <dgm:cxnLst>
    <dgm:cxn modelId="{F8681B1A-B1C5-426B-B3F0-89B0A60BACA0}" type="presOf" srcId="{3882191D-C05F-432D-B9D5-C7E5A5DEB162}" destId="{31E91595-97E7-4F7B-B637-FE39331CC251}" srcOrd="0" destOrd="0" presId="urn:microsoft.com/office/officeart/2005/8/layout/venn3"/>
    <dgm:cxn modelId="{FF726A2A-8369-41F1-A19D-FD3234575C01}" type="presOf" srcId="{0D94B085-B8AA-492C-8A86-77AB18A26E46}" destId="{936A12EC-BB53-481E-A804-BC8F9528FA24}" srcOrd="0" destOrd="0" presId="urn:microsoft.com/office/officeart/2005/8/layout/venn3"/>
    <dgm:cxn modelId="{935C0661-8A5A-49AB-BEF4-AE618BC80BDF}" srcId="{4C673C4E-F88C-48FC-971C-3A769C1D8FE2}" destId="{9E736D75-A92B-451E-8A91-EECBEEA08EAE}" srcOrd="2" destOrd="0" parTransId="{6EAED586-202F-4EC4-BBF8-3E720FF5B7B8}" sibTransId="{7133BBFA-97ED-47FA-8A2A-44C4E084CF06}"/>
    <dgm:cxn modelId="{463B1C71-4546-49EF-A6EB-2779BAB3ED03}" type="presOf" srcId="{6A57D04A-A82F-457D-BB6B-5AECF3E00F95}" destId="{E09773FC-DC6B-43AF-99EE-90F1F33E3304}" srcOrd="0" destOrd="0" presId="urn:microsoft.com/office/officeart/2005/8/layout/venn3"/>
    <dgm:cxn modelId="{5EA7777F-5573-4FB6-8B7D-A25AC6ADF49E}" srcId="{4C673C4E-F88C-48FC-971C-3A769C1D8FE2}" destId="{B4CDE89E-6C70-40C4-AB99-0DDF407714DA}" srcOrd="1" destOrd="0" parTransId="{B3FA7627-679B-44D2-AEA6-D353DC3BF0EF}" sibTransId="{CF880EC2-A0AA-4D99-82D6-E2D2F3DB134D}"/>
    <dgm:cxn modelId="{6EFC5480-7A68-4473-BB77-5DD0AC2CD6D1}" type="presOf" srcId="{B4CDE89E-6C70-40C4-AB99-0DDF407714DA}" destId="{7FF7301B-7116-4D2B-B25B-378F90A7DE36}" srcOrd="0" destOrd="0" presId="urn:microsoft.com/office/officeart/2005/8/layout/venn3"/>
    <dgm:cxn modelId="{4F4D93A6-596C-4CCA-8D17-0C451691C783}" type="presOf" srcId="{4C673C4E-F88C-48FC-971C-3A769C1D8FE2}" destId="{CEC14D29-DCC1-425C-89DE-9A42C018C56B}" srcOrd="0" destOrd="0" presId="urn:microsoft.com/office/officeart/2005/8/layout/venn3"/>
    <dgm:cxn modelId="{03978BAD-9170-41CD-A33B-1C0BD78ABE0D}" srcId="{4C673C4E-F88C-48FC-971C-3A769C1D8FE2}" destId="{0D94B085-B8AA-492C-8A86-77AB18A26E46}" srcOrd="3" destOrd="0" parTransId="{0304505A-3D29-4B87-A991-267D7210EAB3}" sibTransId="{C86401A6-7D5D-41DF-9503-FDC2DE767031}"/>
    <dgm:cxn modelId="{F56092C9-BEF4-4387-994C-FD2B846A4BAD}" srcId="{4C673C4E-F88C-48FC-971C-3A769C1D8FE2}" destId="{6A57D04A-A82F-457D-BB6B-5AECF3E00F95}" srcOrd="4" destOrd="0" parTransId="{056F1084-5919-4851-9B8F-8BDE94BB281E}" sibTransId="{BFBDDA3F-E66E-4CC8-9982-D49537598362}"/>
    <dgm:cxn modelId="{C6404FD8-23DD-44BB-823E-6B09E2F95625}" srcId="{4C673C4E-F88C-48FC-971C-3A769C1D8FE2}" destId="{3882191D-C05F-432D-B9D5-C7E5A5DEB162}" srcOrd="0" destOrd="0" parTransId="{5701EC05-589B-456C-B600-D08ACD0C7449}" sibTransId="{2AAFA55D-F172-4026-8899-E5C8640AE1C5}"/>
    <dgm:cxn modelId="{785BD4F9-E21E-480B-B74C-7ABC90B1307A}" type="presOf" srcId="{9E736D75-A92B-451E-8A91-EECBEEA08EAE}" destId="{0A0ACC2C-3FEF-4A6F-97CA-3A32268C69A4}" srcOrd="0" destOrd="0" presId="urn:microsoft.com/office/officeart/2005/8/layout/venn3"/>
    <dgm:cxn modelId="{B3E5B4B8-31C5-4E74-85A4-82C3E1C0CBEA}" type="presParOf" srcId="{CEC14D29-DCC1-425C-89DE-9A42C018C56B}" destId="{31E91595-97E7-4F7B-B637-FE39331CC251}" srcOrd="0" destOrd="0" presId="urn:microsoft.com/office/officeart/2005/8/layout/venn3"/>
    <dgm:cxn modelId="{21F6EBB1-2DD0-4808-9FFD-E0551A561D02}" type="presParOf" srcId="{CEC14D29-DCC1-425C-89DE-9A42C018C56B}" destId="{846A235A-4567-42BB-913E-14A96D937551}" srcOrd="1" destOrd="0" presId="urn:microsoft.com/office/officeart/2005/8/layout/venn3"/>
    <dgm:cxn modelId="{81903BED-13A9-4770-B436-22323B156578}" type="presParOf" srcId="{CEC14D29-DCC1-425C-89DE-9A42C018C56B}" destId="{7FF7301B-7116-4D2B-B25B-378F90A7DE36}" srcOrd="2" destOrd="0" presId="urn:microsoft.com/office/officeart/2005/8/layout/venn3"/>
    <dgm:cxn modelId="{18D833C0-BAAD-4841-84AA-B79BE04180CA}" type="presParOf" srcId="{CEC14D29-DCC1-425C-89DE-9A42C018C56B}" destId="{09B26A30-B172-40E5-8B5F-72E8C5FFB489}" srcOrd="3" destOrd="0" presId="urn:microsoft.com/office/officeart/2005/8/layout/venn3"/>
    <dgm:cxn modelId="{1FB5A44D-35FA-4330-91EE-DA600118ADDA}" type="presParOf" srcId="{CEC14D29-DCC1-425C-89DE-9A42C018C56B}" destId="{0A0ACC2C-3FEF-4A6F-97CA-3A32268C69A4}" srcOrd="4" destOrd="0" presId="urn:microsoft.com/office/officeart/2005/8/layout/venn3"/>
    <dgm:cxn modelId="{3064E877-2DBD-49C8-89BC-9D093A35134F}" type="presParOf" srcId="{CEC14D29-DCC1-425C-89DE-9A42C018C56B}" destId="{7ECA7B5C-4AEC-4FDC-94B5-4014AAF57E41}" srcOrd="5" destOrd="0" presId="urn:microsoft.com/office/officeart/2005/8/layout/venn3"/>
    <dgm:cxn modelId="{1136C530-CA90-4BA9-BBB3-F6394FAA7F12}" type="presParOf" srcId="{CEC14D29-DCC1-425C-89DE-9A42C018C56B}" destId="{936A12EC-BB53-481E-A804-BC8F9528FA24}" srcOrd="6" destOrd="0" presId="urn:microsoft.com/office/officeart/2005/8/layout/venn3"/>
    <dgm:cxn modelId="{FD84286B-7CC3-499F-8FF9-00D847FADFCA}" type="presParOf" srcId="{CEC14D29-DCC1-425C-89DE-9A42C018C56B}" destId="{32064C89-192C-4ED5-A49D-926289A26255}" srcOrd="7" destOrd="0" presId="urn:microsoft.com/office/officeart/2005/8/layout/venn3"/>
    <dgm:cxn modelId="{29B085EB-A922-4A16-BEC2-A4B00DA823ED}" type="presParOf" srcId="{CEC14D29-DCC1-425C-89DE-9A42C018C56B}" destId="{E09773FC-DC6B-43AF-99EE-90F1F33E3304}" srcOrd="8" destOrd="0" presId="urn:microsoft.com/office/officeart/2005/8/layout/venn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E91595-97E7-4F7B-B637-FE39331CC251}">
      <dsp:nvSpPr>
        <dsp:cNvPr id="0" name=""/>
        <dsp:cNvSpPr/>
      </dsp:nvSpPr>
      <dsp:spPr>
        <a:xfrm>
          <a:off x="699" y="86193"/>
          <a:ext cx="1364312" cy="1364312"/>
        </a:xfrm>
        <a:prstGeom prst="ellipse">
          <a:avLst/>
        </a:prstGeom>
        <a:solidFill>
          <a:srgbClr val="0070CE">
            <a:alpha val="50000"/>
            <a:hueOff val="0"/>
            <a:satOff val="0"/>
            <a:lumOff val="0"/>
            <a:alphaOff val="0"/>
          </a:srgbClr>
        </a:solidFill>
        <a:ln w="127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75083" tIns="13970" rIns="75083" bIns="13970" numCol="1" spcCol="1270" anchor="ctr" anchorCtr="0">
          <a:noAutofit/>
        </a:bodyPr>
        <a:lstStyle/>
        <a:p>
          <a:pPr marL="0" lvl="0" indent="0" algn="ctr" defTabSz="488950">
            <a:lnSpc>
              <a:spcPct val="90000"/>
            </a:lnSpc>
            <a:spcBef>
              <a:spcPct val="0"/>
            </a:spcBef>
            <a:spcAft>
              <a:spcPct val="35000"/>
            </a:spcAft>
            <a:buNone/>
          </a:pPr>
          <a:r>
            <a:rPr lang="en-AU" sz="1100" kern="1200" dirty="0">
              <a:solidFill>
                <a:srgbClr val="212121"/>
              </a:solidFill>
              <a:latin typeface="DIN OT Medium" panose="020B0604020201010104" pitchFamily="34" charset="0"/>
              <a:ea typeface="+mn-ea"/>
              <a:cs typeface="+mn-cs"/>
            </a:rPr>
            <a:t>Policy assessment </a:t>
          </a:r>
        </a:p>
      </dsp:txBody>
      <dsp:txXfrm>
        <a:off x="200498" y="285992"/>
        <a:ext cx="964714" cy="964714"/>
      </dsp:txXfrm>
    </dsp:sp>
    <dsp:sp modelId="{7FF7301B-7116-4D2B-B25B-378F90A7DE36}">
      <dsp:nvSpPr>
        <dsp:cNvPr id="0" name=""/>
        <dsp:cNvSpPr/>
      </dsp:nvSpPr>
      <dsp:spPr>
        <a:xfrm>
          <a:off x="1092149" y="86193"/>
          <a:ext cx="1364312" cy="1364312"/>
        </a:xfrm>
        <a:prstGeom prst="ellipse">
          <a:avLst/>
        </a:prstGeom>
        <a:solidFill>
          <a:srgbClr val="0070CE">
            <a:alpha val="50000"/>
            <a:hueOff val="-497572"/>
            <a:satOff val="-11287"/>
            <a:lumOff val="3137"/>
            <a:alphaOff val="0"/>
          </a:srgbClr>
        </a:solidFill>
        <a:ln w="127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75083" tIns="13970" rIns="75083" bIns="13970" numCol="1" spcCol="1270" anchor="ctr" anchorCtr="0">
          <a:noAutofit/>
        </a:bodyPr>
        <a:lstStyle/>
        <a:p>
          <a:pPr marL="0" lvl="0" indent="0" algn="ctr" defTabSz="488950">
            <a:lnSpc>
              <a:spcPct val="90000"/>
            </a:lnSpc>
            <a:spcBef>
              <a:spcPct val="0"/>
            </a:spcBef>
            <a:spcAft>
              <a:spcPct val="35000"/>
            </a:spcAft>
            <a:buNone/>
          </a:pPr>
          <a:r>
            <a:rPr lang="en-AU" sz="1100" kern="1200" dirty="0">
              <a:solidFill>
                <a:srgbClr val="212121"/>
              </a:solidFill>
              <a:latin typeface="DIN OT Medium" panose="020B0604020201010104" pitchFamily="34" charset="0"/>
              <a:ea typeface="+mn-ea"/>
              <a:cs typeface="+mn-cs"/>
            </a:rPr>
            <a:t>Data analysis</a:t>
          </a:r>
        </a:p>
      </dsp:txBody>
      <dsp:txXfrm>
        <a:off x="1291948" y="285992"/>
        <a:ext cx="964714" cy="964714"/>
      </dsp:txXfrm>
    </dsp:sp>
    <dsp:sp modelId="{0A0ACC2C-3FEF-4A6F-97CA-3A32268C69A4}">
      <dsp:nvSpPr>
        <dsp:cNvPr id="0" name=""/>
        <dsp:cNvSpPr/>
      </dsp:nvSpPr>
      <dsp:spPr>
        <a:xfrm>
          <a:off x="2183598" y="86193"/>
          <a:ext cx="1364312" cy="1364312"/>
        </a:xfrm>
        <a:prstGeom prst="ellipse">
          <a:avLst/>
        </a:prstGeom>
        <a:solidFill>
          <a:srgbClr val="0070CE">
            <a:alpha val="50000"/>
            <a:hueOff val="-995143"/>
            <a:satOff val="-22573"/>
            <a:lumOff val="6275"/>
            <a:alphaOff val="0"/>
          </a:srgbClr>
        </a:solidFill>
        <a:ln w="127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75083" tIns="13970" rIns="75083" bIns="13970" numCol="1" spcCol="1270" anchor="ctr" anchorCtr="0">
          <a:noAutofit/>
        </a:bodyPr>
        <a:lstStyle/>
        <a:p>
          <a:pPr marL="0" lvl="0" indent="0" algn="ctr" defTabSz="488950">
            <a:lnSpc>
              <a:spcPct val="90000"/>
            </a:lnSpc>
            <a:spcBef>
              <a:spcPct val="0"/>
            </a:spcBef>
            <a:spcAft>
              <a:spcPct val="35000"/>
            </a:spcAft>
            <a:buNone/>
          </a:pPr>
          <a:r>
            <a:rPr lang="en-AU" sz="1100" kern="1200" dirty="0">
              <a:solidFill>
                <a:srgbClr val="212121"/>
              </a:solidFill>
              <a:latin typeface="DIN OT Medium" panose="020B0604020201010104" pitchFamily="34" charset="0"/>
              <a:ea typeface="+mn-ea"/>
              <a:cs typeface="+mn-cs"/>
            </a:rPr>
            <a:t>Bilateral meetings</a:t>
          </a:r>
        </a:p>
      </dsp:txBody>
      <dsp:txXfrm>
        <a:off x="2383397" y="285992"/>
        <a:ext cx="964714" cy="964714"/>
      </dsp:txXfrm>
    </dsp:sp>
    <dsp:sp modelId="{936A12EC-BB53-481E-A804-BC8F9528FA24}">
      <dsp:nvSpPr>
        <dsp:cNvPr id="0" name=""/>
        <dsp:cNvSpPr/>
      </dsp:nvSpPr>
      <dsp:spPr>
        <a:xfrm>
          <a:off x="3275048" y="86193"/>
          <a:ext cx="1364312" cy="1364312"/>
        </a:xfrm>
        <a:prstGeom prst="ellipse">
          <a:avLst/>
        </a:prstGeom>
        <a:solidFill>
          <a:srgbClr val="0070CE">
            <a:alpha val="50000"/>
            <a:hueOff val="-1492715"/>
            <a:satOff val="-33860"/>
            <a:lumOff val="9412"/>
            <a:alphaOff val="0"/>
          </a:srgbClr>
        </a:solidFill>
        <a:ln w="127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75083" tIns="13970" rIns="75083" bIns="13970" numCol="1" spcCol="1270" anchor="ctr" anchorCtr="0">
          <a:noAutofit/>
        </a:bodyPr>
        <a:lstStyle/>
        <a:p>
          <a:pPr marL="0" lvl="0" indent="0" algn="ctr" defTabSz="488950">
            <a:lnSpc>
              <a:spcPct val="90000"/>
            </a:lnSpc>
            <a:spcBef>
              <a:spcPct val="0"/>
            </a:spcBef>
            <a:spcAft>
              <a:spcPct val="35000"/>
            </a:spcAft>
            <a:buNone/>
          </a:pPr>
          <a:r>
            <a:rPr lang="en-AU" sz="1100" kern="1200" dirty="0">
              <a:solidFill>
                <a:srgbClr val="212121"/>
              </a:solidFill>
              <a:latin typeface="DIN OT Medium" panose="020B0604020201010104" pitchFamily="34" charset="0"/>
              <a:ea typeface="+mn-ea"/>
              <a:cs typeface="+mn-cs"/>
            </a:rPr>
            <a:t>Industry roundtable discussions</a:t>
          </a:r>
        </a:p>
      </dsp:txBody>
      <dsp:txXfrm>
        <a:off x="3474847" y="285992"/>
        <a:ext cx="964714" cy="964714"/>
      </dsp:txXfrm>
    </dsp:sp>
    <dsp:sp modelId="{E09773FC-DC6B-43AF-99EE-90F1F33E3304}">
      <dsp:nvSpPr>
        <dsp:cNvPr id="0" name=""/>
        <dsp:cNvSpPr/>
      </dsp:nvSpPr>
      <dsp:spPr>
        <a:xfrm>
          <a:off x="4366498" y="86193"/>
          <a:ext cx="1364312" cy="1364312"/>
        </a:xfrm>
        <a:prstGeom prst="ellipse">
          <a:avLst/>
        </a:prstGeom>
        <a:solidFill>
          <a:srgbClr val="A8F4FE">
            <a:alpha val="69804"/>
          </a:srgb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75083" tIns="13970" rIns="75083" bIns="13970" numCol="1" spcCol="1270" anchor="ctr" anchorCtr="0">
          <a:noAutofit/>
        </a:bodyPr>
        <a:lstStyle/>
        <a:p>
          <a:pPr marL="0" lvl="0" indent="0" algn="ctr" defTabSz="488950">
            <a:lnSpc>
              <a:spcPct val="90000"/>
            </a:lnSpc>
            <a:spcBef>
              <a:spcPct val="0"/>
            </a:spcBef>
            <a:spcAft>
              <a:spcPct val="35000"/>
            </a:spcAft>
            <a:buNone/>
          </a:pPr>
          <a:r>
            <a:rPr lang="en-AU" sz="1100" kern="1200" dirty="0">
              <a:solidFill>
                <a:srgbClr val="212121"/>
              </a:solidFill>
              <a:latin typeface="DIN OT Medium" panose="020B0604020201010104" pitchFamily="34" charset="0"/>
              <a:ea typeface="+mn-ea"/>
              <a:cs typeface="+mn-cs"/>
            </a:rPr>
            <a:t>Written submissions </a:t>
          </a:r>
          <a:endParaRPr lang="en-AU" sz="1100" kern="1200" dirty="0"/>
        </a:p>
      </dsp:txBody>
      <dsp:txXfrm>
        <a:off x="4566297" y="285992"/>
        <a:ext cx="964714" cy="964714"/>
      </dsp:txXfrm>
    </dsp:sp>
  </dsp:spTree>
</dsp:drawing>
</file>

<file path=word/diagrams/layout1.xml><?xml version="1.0" encoding="utf-8"?>
<dgm:layoutDef xmlns:dgm="http://schemas.openxmlformats.org/drawingml/2006/diagram" xmlns:a="http://schemas.openxmlformats.org/drawingml/2006/main" uniqueId="urn:microsoft.com/office/officeart/2005/8/layout/venn3">
  <dgm:title val=""/>
  <dgm:desc val=""/>
  <dgm:catLst>
    <dgm:cat type="relationship" pri="2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fallback" val="2D"/>
        </dgm:alg>
      </dgm:if>
      <dgm:else name="Name3">
        <dgm:alg type="lin">
          <dgm:param type="fallback" val="2D"/>
          <dgm:param type="linDir" val="fromR"/>
        </dgm:alg>
      </dgm:else>
    </dgm:choose>
    <dgm:shape xmlns:r="http://schemas.openxmlformats.org/officeDocument/2006/relationships" r:blip="">
      <dgm:adjLst/>
    </dgm:shape>
    <dgm:presOf/>
    <dgm:constrLst>
      <dgm:constr type="w" for="ch" ptType="node" refType="w"/>
      <dgm:constr type="h" for="ch" ptType="node" refType="w" refFor="ch" refPtType="node"/>
      <dgm:constr type="w" for="ch" forName="space" refType="w" refFor="ch" refPtType="node" fact="-0.2"/>
      <dgm:constr type="primFontSz" for="ch" ptType="node" op="equ" val="65"/>
    </dgm:constrLst>
    <dgm:ruleLst/>
    <dgm:forEach name="Name4" axis="ch" ptType="node">
      <dgm:layoutNode name="Name5" styleLbl="vennNode1">
        <dgm:varLst>
          <dgm:bulletEnabled val="1"/>
        </dgm:varLst>
        <dgm:alg type="tx">
          <dgm:param type="txAnchorVertCh" val="mid"/>
          <dgm:param type="txAnchorHorzCh" val="ctr"/>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w" fact="0.156"/>
          <dgm:constr type="rMarg" refType="w" fact="0.156"/>
        </dgm:constrLst>
        <dgm:ruleLst>
          <dgm:rule type="primFontSz" val="5" fact="NaN" max="NaN"/>
        </dgm:ruleLst>
      </dgm:layoutNode>
      <dgm:forEach name="Name6"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4" ma:contentTypeDescription="Create a new document." ma:contentTypeScope="" ma:versionID="bc8c1ae6f50bee9cb95bd38a46bdc62f">
  <xsd:schema xmlns:xsd="http://www.w3.org/2001/XMLSchema" xmlns:xs="http://www.w3.org/2001/XMLSchema" xmlns:p="http://schemas.microsoft.com/office/2006/metadata/properties" xmlns:ns2="4195ad5f-cdf2-4c4a-8d9b-b7944a108e98" xmlns:ns3="26285671-540d-468b-b7a1-f3e0438dd51a" targetNamespace="http://schemas.microsoft.com/office/2006/metadata/properties" ma:root="true" ma:fieldsID="883a595fd6cebbbc5e1a059e2314ef55" ns2:_="" ns3:_="">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4195ad5f-cdf2-4c4a-8d9b-b7944a108e98" xsi:nil="true"/>
    <lcf76f155ced4ddcb4097134ff3c332f xmlns="26285671-540d-468b-b7a1-f3e0438dd51a">
      <Terms xmlns="http://schemas.microsoft.com/office/infopath/2007/PartnerControls"/>
    </lcf76f155ced4ddcb4097134ff3c332f>
    <_dlc_DocId xmlns="4195ad5f-cdf2-4c4a-8d9b-b7944a108e98">DOCID-322795542-16632</_dlc_DocId>
    <_dlc_DocIdUrl xmlns="4195ad5f-cdf2-4c4a-8d9b-b7944a108e98">
      <Url>https://pmc01.sharepoint.com/sites/CRMOBPR/_layouts/15/DocIdRedir.aspx?ID=DOCID-322795542-16632</Url>
      <Description>DOCID-322795542-16632</Description>
    </_dlc_DocIdUrl>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40637BB-9686-4BA6-88E8-431E244AAE02}">
  <ds:schemaRefs>
    <ds:schemaRef ds:uri="http://schemas.openxmlformats.org/officeDocument/2006/bibliography"/>
  </ds:schemaRefs>
</ds:datastoreItem>
</file>

<file path=customXml/itemProps3.xml><?xml version="1.0" encoding="utf-8"?>
<ds:datastoreItem xmlns:ds="http://schemas.openxmlformats.org/officeDocument/2006/customXml" ds:itemID="{1E7C3166-17D8-4D4A-9920-3AA48800D34B}"/>
</file>

<file path=customXml/itemProps4.xml><?xml version="1.0" encoding="utf-8"?>
<ds:datastoreItem xmlns:ds="http://schemas.openxmlformats.org/officeDocument/2006/customXml" ds:itemID="{DB577C5E-BCEA-48AC-87A7-10EE4D69CC16}"/>
</file>

<file path=customXml/itemProps5.xml><?xml version="1.0" encoding="utf-8"?>
<ds:datastoreItem xmlns:ds="http://schemas.openxmlformats.org/officeDocument/2006/customXml" ds:itemID="{54A49C61-E469-43C3-916A-6D2F12CBDC1B}"/>
</file>

<file path=customXml/itemProps6.xml><?xml version="1.0" encoding="utf-8"?>
<ds:datastoreItem xmlns:ds="http://schemas.openxmlformats.org/officeDocument/2006/customXml" ds:itemID="{C16CD58D-E37B-4820-BF24-316E2D16F36C}"/>
</file>

<file path=docProps/app.xml><?xml version="1.0" encoding="utf-8"?>
<Properties xmlns="http://schemas.openxmlformats.org/officeDocument/2006/extended-properties" xmlns:vt="http://schemas.openxmlformats.org/officeDocument/2006/docPropsVTypes">
  <Template>Normal.dotm</Template>
  <TotalTime>0</TotalTime>
  <Pages>24</Pages>
  <Words>6041</Words>
  <Characters>34860</Characters>
  <Application>Microsoft Office Word</Application>
  <DocSecurity>0</DocSecurity>
  <Lines>774</Lines>
  <Paragraphs>378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2022-06-21T06:42:00Z</dcterms:created>
  <dcterms:modified xsi:type="dcterms:W3CDTF">2022-06-21T06:49:00Z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0x0101009CA239676470E04B809DDC4E24CF2322</vt:lpwstr>
  </property>
  <property fmtid="{D5CDD505-2E9C-101B-9397-08002B2CF9AE}" pid="3" name="_dlc_DocIdItemGuid">
    <vt:lpwstr>a2512374-412e-4b60-850f-2d3b6757e297</vt:lpwstr>
  </property>
  <property fmtid="{D5CDD505-2E9C-101B-9397-08002B2CF9AE}" pid="4" name="MediaServiceImageTags">
    <vt:lpwstr/>
  </property>
</Properties>
</file>