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F0" w:rsidRDefault="00EB5492">
      <w:pPr>
        <w:jc w:val="right"/>
        <w:rPr>
          <w:rFonts w:ascii="Segoe UI" w:eastAsia="Times New Roman" w:hAnsi="Segoe UI" w:cs="Segoe UI"/>
          <w:sz w:val="18"/>
          <w:szCs w:val="18"/>
          <w:lang w:val="en-US"/>
        </w:rPr>
      </w:pPr>
      <w:r>
        <w:rPr>
          <w:rFonts w:eastAsia="Times New Roman"/>
          <w:sz w:val="16"/>
          <w:szCs w:val="16"/>
          <w:lang w:val="en-US"/>
        </w:rPr>
        <w:t>Reference: OBPR22-01821</w:t>
      </w:r>
      <w:r>
        <w:rPr>
          <w:rFonts w:eastAsia="Times New Roman"/>
          <w:sz w:val="16"/>
          <w:szCs w:val="16"/>
          <w:lang w:val="en-US"/>
        </w:rPr>
        <w:br/>
        <w:t>Telephone: 6271 6270</w:t>
      </w:r>
      <w:r>
        <w:rPr>
          <w:rFonts w:eastAsia="Times New Roman"/>
          <w:sz w:val="16"/>
          <w:szCs w:val="16"/>
          <w:lang w:val="en-US"/>
        </w:rPr>
        <w:br/>
        <w:t xml:space="preserve">e-mail: </w:t>
      </w:r>
      <w:hyperlink r:id="rId6" w:history="1">
        <w:r>
          <w:rPr>
            <w:rStyle w:val="Hyperlink"/>
            <w:rFonts w:eastAsia="Times New Roman"/>
            <w:sz w:val="16"/>
            <w:szCs w:val="16"/>
            <w:lang w:val="en-US"/>
          </w:rPr>
          <w:t>helpdesk-obpr@pmc.gov.au</w:t>
        </w:r>
      </w:hyperlink>
    </w:p>
    <w:p w:rsidR="00334FF0" w:rsidRDefault="00EB5492">
      <w:pPr>
        <w:divId w:val="156455717"/>
        <w:rPr>
          <w:rFonts w:eastAsia="Times New Roman"/>
          <w:shd w:val="clear" w:color="auto" w:fill="FFFFFF" w:themeFill="background1"/>
          <w:lang w:val="en-US"/>
        </w:rPr>
      </w:pPr>
      <w:r>
        <w:rPr>
          <w:rFonts w:ascii="Segoe UI" w:eastAsia="Times New Roman" w:hAnsi="Segoe UI" w:cs="Segoe UI"/>
          <w:sz w:val="18"/>
          <w:szCs w:val="18"/>
          <w:lang w:val="en-US"/>
        </w:rPr>
        <w:br/>
      </w:r>
      <w:proofErr w:type="spellStart"/>
      <w:r>
        <w:rPr>
          <w:rFonts w:eastAsia="Times New Roman"/>
          <w:shd w:val="clear" w:color="auto" w:fill="FFFFFF" w:themeFill="background1"/>
          <w:lang w:val="en-US"/>
        </w:rPr>
        <w:t>Mr</w:t>
      </w:r>
      <w:proofErr w:type="spellEnd"/>
      <w:r>
        <w:rPr>
          <w:rFonts w:eastAsia="Times New Roman"/>
          <w:shd w:val="clear" w:color="auto" w:fill="FFFFFF" w:themeFill="background1"/>
          <w:lang w:val="en-US"/>
        </w:rPr>
        <w:t xml:space="preserve"> John Lonsdale</w:t>
      </w:r>
      <w:r>
        <w:rPr>
          <w:rFonts w:eastAsia="Times New Roman"/>
          <w:sz w:val="18"/>
          <w:szCs w:val="18"/>
          <w:shd w:val="clear" w:color="auto" w:fill="FFFFFF" w:themeFill="background1"/>
          <w:lang w:val="en-US"/>
        </w:rPr>
        <w:br/>
      </w:r>
      <w:r>
        <w:rPr>
          <w:rFonts w:eastAsia="Times New Roman"/>
          <w:shd w:val="clear" w:color="auto" w:fill="FFFFFF" w:themeFill="background1"/>
          <w:lang w:val="en-US"/>
        </w:rPr>
        <w:t>Deputy Chair</w:t>
      </w:r>
      <w:r>
        <w:rPr>
          <w:rFonts w:eastAsia="Times New Roman"/>
          <w:sz w:val="18"/>
          <w:szCs w:val="18"/>
          <w:shd w:val="clear" w:color="auto" w:fill="FFFFFF" w:themeFill="background1"/>
          <w:lang w:val="en-US"/>
        </w:rPr>
        <w:br/>
      </w:r>
      <w:r>
        <w:rPr>
          <w:rFonts w:eastAsia="Times New Roman"/>
          <w:shd w:val="clear" w:color="auto" w:fill="FFFFFF" w:themeFill="background1"/>
          <w:lang w:val="en-US"/>
        </w:rPr>
        <w:t>Australian Prudential Regulation Authority</w:t>
      </w:r>
      <w:r>
        <w:rPr>
          <w:rFonts w:eastAsia="Times New Roman"/>
          <w:sz w:val="18"/>
          <w:szCs w:val="18"/>
          <w:shd w:val="clear" w:color="auto" w:fill="FFFFFF" w:themeFill="background1"/>
          <w:lang w:val="en-US"/>
        </w:rPr>
        <w:br/>
      </w:r>
      <w:r>
        <w:rPr>
          <w:rFonts w:eastAsia="Times New Roman"/>
          <w:sz w:val="18"/>
          <w:szCs w:val="18"/>
          <w:shd w:val="clear" w:color="auto" w:fill="FFFFFF" w:themeFill="background1"/>
          <w:lang w:val="en-US"/>
        </w:rPr>
        <w:br/>
      </w:r>
    </w:p>
    <w:p w:rsidR="00334FF0" w:rsidRDefault="00EB5492">
      <w:pPr>
        <w:divId w:val="156455717"/>
        <w:rPr>
          <w:rFonts w:ascii="Segoe UI" w:eastAsia="Times New Roman" w:hAnsi="Segoe UI" w:cs="Segoe UI"/>
          <w:sz w:val="18"/>
          <w:szCs w:val="18"/>
          <w:lang w:val="en-US"/>
        </w:rPr>
      </w:pPr>
      <w:r>
        <w:rPr>
          <w:rFonts w:eastAsia="Times New Roman"/>
          <w:shd w:val="clear" w:color="auto" w:fill="FFFFFF" w:themeFill="background1"/>
          <w:lang w:val="en-US"/>
        </w:rPr>
        <w:t xml:space="preserve">Dear </w:t>
      </w:r>
      <w:proofErr w:type="spellStart"/>
      <w:r>
        <w:rPr>
          <w:rFonts w:eastAsia="Times New Roman"/>
          <w:shd w:val="clear" w:color="auto" w:fill="FFFFFF" w:themeFill="background1"/>
          <w:lang w:val="en-US"/>
        </w:rPr>
        <w:t>Mr</w:t>
      </w:r>
      <w:proofErr w:type="spellEnd"/>
      <w:r>
        <w:rPr>
          <w:rFonts w:eastAsia="Times New Roman"/>
          <w:shd w:val="clear" w:color="auto" w:fill="FFFFFF" w:themeFill="background1"/>
          <w:lang w:val="en-US"/>
        </w:rPr>
        <w:t xml:space="preserve"> Lonsdale</w:t>
      </w:r>
    </w:p>
    <w:p w:rsidR="00334FF0" w:rsidRDefault="00EB5492">
      <w:pPr>
        <w:divId w:val="1389037674"/>
        <w:rPr>
          <w:rFonts w:ascii="Segoe UI" w:eastAsia="Times New Roman" w:hAnsi="Segoe UI" w:cs="Segoe UI"/>
          <w:sz w:val="18"/>
          <w:szCs w:val="18"/>
          <w:lang w:val="en-US"/>
        </w:rPr>
      </w:pPr>
      <w:r>
        <w:rPr>
          <w:rFonts w:ascii="Segoe UI" w:eastAsia="Times New Roman" w:hAnsi="Segoe UI" w:cs="Segoe UI"/>
          <w:sz w:val="18"/>
          <w:szCs w:val="18"/>
          <w:lang w:val="en-US"/>
        </w:rPr>
        <w:t>                                           </w:t>
      </w:r>
      <w:r>
        <w:rPr>
          <w:rFonts w:ascii="Segoe UI" w:eastAsia="Times New Roman" w:hAnsi="Segoe UI" w:cs="Segoe UI"/>
          <w:sz w:val="18"/>
          <w:szCs w:val="18"/>
          <w:lang w:val="en-US"/>
        </w:rPr>
        <w:br/>
      </w:r>
      <w:r>
        <w:rPr>
          <w:rFonts w:ascii="Arial" w:eastAsia="Times New Roman" w:hAnsi="Arial" w:cs="Arial"/>
          <w:b/>
          <w:bCs/>
          <w:lang w:val="en-US"/>
        </w:rPr>
        <w:t xml:space="preserve">Post Implementation Review </w:t>
      </w:r>
      <w:r>
        <w:rPr>
          <w:rStyle w:val="Strong"/>
          <w:rFonts w:ascii="Arial" w:eastAsia="Times New Roman" w:hAnsi="Arial" w:cs="Arial"/>
          <w:lang w:val="en-US"/>
        </w:rPr>
        <w:t>of the Basel III liquidity reforms</w:t>
      </w:r>
    </w:p>
    <w:p w:rsidR="00334FF0" w:rsidRDefault="00EB5492">
      <w:pPr>
        <w:divId w:val="1259758271"/>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334FF0" w:rsidRDefault="00EB5492">
      <w:pPr>
        <w:divId w:val="1466191779"/>
        <w:rPr>
          <w:rFonts w:ascii="Segoe UI" w:eastAsia="Times New Roman" w:hAnsi="Segoe UI" w:cs="Segoe UI"/>
          <w:sz w:val="18"/>
          <w:szCs w:val="18"/>
          <w:lang w:val="en-US"/>
        </w:rPr>
      </w:pPr>
      <w:r>
        <w:rPr>
          <w:rFonts w:eastAsia="Times New Roman"/>
          <w:lang w:val="en-US"/>
        </w:rPr>
        <w:t>Thank you for your letter submitting a Post Implementation Review (PIR) for formal assessment.</w:t>
      </w:r>
    </w:p>
    <w:p w:rsidR="00334FF0" w:rsidRDefault="00EB5492">
      <w:pPr>
        <w:divId w:val="1199589535"/>
        <w:rPr>
          <w:rFonts w:eastAsia="Times New Roman"/>
          <w:lang w:val="en-US"/>
        </w:rPr>
      </w:pPr>
      <w:r>
        <w:rPr>
          <w:rFonts w:ascii="Segoe UI" w:eastAsia="Times New Roman" w:hAnsi="Segoe UI" w:cs="Segoe UI"/>
          <w:sz w:val="18"/>
          <w:szCs w:val="18"/>
          <w:lang w:val="en-US"/>
        </w:rPr>
        <w:br/>
      </w:r>
      <w:r>
        <w:rPr>
          <w:rFonts w:eastAsia="Times New Roman"/>
          <w:lang w:val="en-US"/>
        </w:rPr>
        <w:t xml:space="preserve">I note the PIR has been formally certified </w:t>
      </w:r>
      <w:r>
        <w:rPr>
          <w:rFonts w:eastAsia="Times New Roman"/>
          <w:shd w:val="clear" w:color="auto" w:fill="FFFFFF" w:themeFill="background1"/>
          <w:lang w:val="en-US"/>
        </w:rPr>
        <w:t>at the Deputy Secretary equivalent level as required</w:t>
      </w:r>
      <w:r>
        <w:rPr>
          <w:rFonts w:eastAsia="Times New Roman"/>
          <w:lang w:val="en-US"/>
        </w:rPr>
        <w:t xml:space="preserve"> by the </w:t>
      </w:r>
      <w:r>
        <w:rPr>
          <w:rFonts w:eastAsia="Times New Roman"/>
          <w:i/>
          <w:iCs/>
          <w:lang w:val="en-US"/>
        </w:rPr>
        <w:t>Australian Government Guide to Regulatory Impact Analysis</w:t>
      </w:r>
      <w:r>
        <w:rPr>
          <w:rFonts w:eastAsia="Times New Roman"/>
          <w:lang w:val="en-US"/>
        </w:rPr>
        <w:t xml:space="preserve">. </w:t>
      </w:r>
    </w:p>
    <w:p w:rsidR="00334FF0" w:rsidRDefault="00EB5492">
      <w:pPr>
        <w:divId w:val="1199589535"/>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I appreciate the Department’s constructive engagement on the PIR.</w:t>
      </w:r>
    </w:p>
    <w:p w:rsidR="00334FF0" w:rsidRDefault="00EB5492">
      <w:pPr>
        <w:divId w:val="432823663"/>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The OBPR’s assessment is that the PIR contains an adequate level of analysis to inform the decision</w:t>
      </w:r>
      <w:r>
        <w:rPr>
          <w:rFonts w:eastAsia="Times New Roman"/>
          <w:lang w:val="en-US"/>
        </w:rPr>
        <w:noBreakHyphen/>
        <w:t xml:space="preserve">maker on the efficiency and effectiveness of the regulation. The PIR now needs to be sent to the relevant portfolio minister and the Prime Minister. The PIR will then be published on the OBPR’s website </w:t>
      </w:r>
      <w:hyperlink r:id="rId7" w:history="1">
        <w:r>
          <w:rPr>
            <w:rStyle w:val="Hyperlink"/>
            <w:rFonts w:eastAsia="Times New Roman"/>
            <w:lang w:val="en-US"/>
          </w:rPr>
          <w:t>obpr.pmc.gov.au/published-impact-analyses-and-reports/</w:t>
        </w:r>
      </w:hyperlink>
      <w:r>
        <w:rPr>
          <w:rFonts w:eastAsia="Times New Roman"/>
          <w:lang w:val="en-US"/>
        </w:rPr>
        <w:t>. The PIR is complete, and your PIR is compliant with the PIR’s requirements, only after it has been published on this website. </w:t>
      </w:r>
    </w:p>
    <w:p w:rsidR="00334FF0" w:rsidRDefault="00EB5492">
      <w:pPr>
        <w:divId w:val="171536298"/>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 xml:space="preserve">If you have any further queries, please do not hesitate to contact me. </w:t>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eastAsia="Times New Roman"/>
          <w:lang w:val="en-US"/>
        </w:rPr>
        <w:t>Yours sincerely</w:t>
      </w:r>
    </w:p>
    <w:p w:rsidR="00334FF0" w:rsidRDefault="00EB5492">
      <w:pPr>
        <w:divId w:val="986209374"/>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eastAsia="Times New Roman"/>
          <w:lang w:val="en-US"/>
        </w:rPr>
        <w:t>Jason Lange</w:t>
      </w:r>
      <w:r>
        <w:rPr>
          <w:rFonts w:ascii="Segoe UI" w:eastAsia="Times New Roman" w:hAnsi="Segoe UI" w:cs="Segoe UI"/>
          <w:lang w:val="en-US"/>
        </w:rPr>
        <w:br/>
      </w:r>
      <w:r>
        <w:rPr>
          <w:rFonts w:eastAsia="Times New Roman"/>
          <w:lang w:val="en-US"/>
        </w:rPr>
        <w:t>Executive Director</w:t>
      </w:r>
      <w:r>
        <w:rPr>
          <w:rFonts w:ascii="Segoe UI" w:eastAsia="Times New Roman" w:hAnsi="Segoe UI" w:cs="Segoe UI"/>
          <w:sz w:val="18"/>
          <w:szCs w:val="18"/>
          <w:lang w:val="en-US"/>
        </w:rPr>
        <w:br/>
      </w:r>
      <w:r>
        <w:rPr>
          <w:rFonts w:eastAsia="Times New Roman"/>
          <w:lang w:val="en-US"/>
        </w:rPr>
        <w:t>2</w:t>
      </w:r>
      <w:r w:rsidR="00A87926">
        <w:rPr>
          <w:rFonts w:eastAsia="Times New Roman"/>
          <w:lang w:val="en-US"/>
        </w:rPr>
        <w:t>3</w:t>
      </w:r>
      <w:bookmarkStart w:id="0" w:name="_GoBack"/>
      <w:bookmarkEnd w:id="0"/>
      <w:r>
        <w:rPr>
          <w:rFonts w:eastAsia="Times New Roman"/>
          <w:lang w:val="en-US"/>
        </w:rPr>
        <w:t xml:space="preserve"> June 2022</w:t>
      </w:r>
    </w:p>
    <w:tbl>
      <w:tblPr>
        <w:tblW w:w="0" w:type="auto"/>
        <w:tblCellSpacing w:w="15" w:type="dxa"/>
        <w:tblInd w:w="-27360" w:type="dxa"/>
        <w:tblLook w:val="04A0" w:firstRow="1" w:lastRow="0" w:firstColumn="1" w:lastColumn="0" w:noHBand="0" w:noVBand="1"/>
      </w:tblPr>
      <w:tblGrid>
        <w:gridCol w:w="171"/>
        <w:gridCol w:w="6041"/>
      </w:tblGrid>
      <w:tr w:rsidR="00334FF0">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6"/>
            </w:tblGrid>
            <w:tr w:rsidR="00334FF0">
              <w:trPr>
                <w:divId w:val="330908191"/>
                <w:tblCellSpacing w:w="15" w:type="dxa"/>
              </w:trPr>
              <w:tc>
                <w:tcPr>
                  <w:tcW w:w="0" w:type="auto"/>
                  <w:tcMar>
                    <w:top w:w="15" w:type="dxa"/>
                    <w:left w:w="15" w:type="dxa"/>
                    <w:bottom w:w="15" w:type="dxa"/>
                    <w:right w:w="15" w:type="dxa"/>
                  </w:tcMar>
                  <w:vAlign w:val="center"/>
                  <w:hideMark/>
                </w:tcPr>
                <w:p w:rsidR="00334FF0" w:rsidRDefault="00334FF0">
                  <w:pPr>
                    <w:rPr>
                      <w:rFonts w:ascii="Segoe UI" w:eastAsia="Times New Roman" w:hAnsi="Segoe UI" w:cs="Segoe UI"/>
                      <w:sz w:val="18"/>
                      <w:szCs w:val="18"/>
                      <w:lang w:val="en-US"/>
                    </w:rPr>
                  </w:pPr>
                </w:p>
              </w:tc>
            </w:tr>
          </w:tbl>
          <w:p w:rsidR="00334FF0" w:rsidRDefault="00334FF0">
            <w:pPr>
              <w:rPr>
                <w:rFonts w:eastAsia="Times New Roman"/>
                <w:sz w:val="20"/>
                <w:szCs w:val="20"/>
              </w:rPr>
            </w:pPr>
          </w:p>
        </w:tc>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5966"/>
            </w:tblGrid>
            <w:tr w:rsidR="00334FF0">
              <w:trPr>
                <w:divId w:val="999238044"/>
                <w:tblCellSpacing w:w="15" w:type="dxa"/>
              </w:trPr>
              <w:tc>
                <w:tcPr>
                  <w:tcW w:w="0" w:type="auto"/>
                  <w:tcMar>
                    <w:top w:w="15" w:type="dxa"/>
                    <w:left w:w="15" w:type="dxa"/>
                    <w:bottom w:w="15" w:type="dxa"/>
                    <w:right w:w="15" w:type="dxa"/>
                  </w:tcMar>
                  <w:vAlign w:val="center"/>
                  <w:hideMark/>
                </w:tcPr>
                <w:p w:rsidR="00334FF0" w:rsidRDefault="00EB5492">
                  <w:pPr>
                    <w:pStyle w:val="NormalWeb"/>
                    <w:jc w:val="center"/>
                    <w:rPr>
                      <w:sz w:val="16"/>
                      <w:szCs w:val="16"/>
                    </w:rPr>
                  </w:pPr>
                  <w:r>
                    <w:rPr>
                      <w:sz w:val="16"/>
                      <w:szCs w:val="16"/>
                    </w:rPr>
                    <w:t>1 National Circuit, Barton ACT 2600 • Telephone 02 6271 6270 • Internet obpr.pmc.gov.au</w:t>
                  </w:r>
                </w:p>
              </w:tc>
            </w:tr>
          </w:tbl>
          <w:p w:rsidR="00334FF0" w:rsidRDefault="00334FF0">
            <w:pPr>
              <w:rPr>
                <w:rFonts w:eastAsia="Times New Roman"/>
                <w:sz w:val="20"/>
                <w:szCs w:val="20"/>
              </w:rPr>
            </w:pPr>
          </w:p>
        </w:tc>
      </w:tr>
    </w:tbl>
    <w:p w:rsidR="00334FF0" w:rsidRDefault="00334FF0">
      <w:pPr>
        <w:rPr>
          <w:rFonts w:eastAsia="Times New Roman"/>
        </w:rPr>
      </w:pPr>
    </w:p>
    <w:sectPr w:rsidR="00334F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92" w:rsidRDefault="00EB5492" w:rsidP="00EB5492">
      <w:r>
        <w:separator/>
      </w:r>
    </w:p>
  </w:endnote>
  <w:endnote w:type="continuationSeparator" w:id="0">
    <w:p w:rsidR="00EB5492" w:rsidRDefault="00EB5492" w:rsidP="00EB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FD" w:rsidRDefault="00266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FD" w:rsidRDefault="00266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FD" w:rsidRDefault="00266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92" w:rsidRDefault="00EB5492" w:rsidP="00EB5492">
      <w:r>
        <w:separator/>
      </w:r>
    </w:p>
  </w:footnote>
  <w:footnote w:type="continuationSeparator" w:id="0">
    <w:p w:rsidR="00EB5492" w:rsidRDefault="00EB5492" w:rsidP="00EB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FD" w:rsidRDefault="00266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92" w:rsidRPr="00EB5492" w:rsidRDefault="00EB5492" w:rsidP="00EB5492">
    <w:pPr>
      <w:pStyle w:val="Header"/>
      <w:jc w:val="center"/>
    </w:pPr>
    <w:r>
      <w:rPr>
        <w:noProof/>
      </w:rPr>
      <w:drawing>
        <wp:inline distT="0" distB="0" distL="0" distR="0" wp14:anchorId="1C9A4080" wp14:editId="64A935D4">
          <wp:extent cx="3090545" cy="1498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0545" cy="1498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FD" w:rsidRDefault="00266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92"/>
    <w:rsid w:val="001A4D84"/>
    <w:rsid w:val="00266DFD"/>
    <w:rsid w:val="00334FF0"/>
    <w:rsid w:val="00A87926"/>
    <w:rsid w:val="00EB5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33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funeraldatatbl">
    <w:name w:val="funeraldatatbl"/>
    <w:basedOn w:val="Normal"/>
    <w:uiPriority w:val="99"/>
    <w:semiHidden/>
    <w:pPr>
      <w:ind w:left="-675"/>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5717">
      <w:marLeft w:val="0"/>
      <w:marRight w:val="0"/>
      <w:marTop w:val="0"/>
      <w:marBottom w:val="0"/>
      <w:divBdr>
        <w:top w:val="none" w:sz="0" w:space="0" w:color="auto"/>
        <w:left w:val="none" w:sz="0" w:space="0" w:color="auto"/>
        <w:bottom w:val="none" w:sz="0" w:space="0" w:color="auto"/>
        <w:right w:val="none" w:sz="0" w:space="0" w:color="auto"/>
      </w:divBdr>
    </w:div>
    <w:div w:id="330908191">
      <w:marLeft w:val="0"/>
      <w:marRight w:val="0"/>
      <w:marTop w:val="0"/>
      <w:marBottom w:val="0"/>
      <w:divBdr>
        <w:top w:val="none" w:sz="0" w:space="0" w:color="auto"/>
        <w:left w:val="none" w:sz="0" w:space="0" w:color="auto"/>
        <w:bottom w:val="none" w:sz="0" w:space="0" w:color="auto"/>
        <w:right w:val="none" w:sz="0" w:space="0" w:color="auto"/>
      </w:divBdr>
    </w:div>
    <w:div w:id="615647415">
      <w:marLeft w:val="0"/>
      <w:marRight w:val="0"/>
      <w:marTop w:val="0"/>
      <w:marBottom w:val="0"/>
      <w:divBdr>
        <w:top w:val="none" w:sz="0" w:space="0" w:color="auto"/>
        <w:left w:val="none" w:sz="0" w:space="0" w:color="auto"/>
        <w:bottom w:val="none" w:sz="0" w:space="0" w:color="auto"/>
        <w:right w:val="none" w:sz="0" w:space="0" w:color="auto"/>
      </w:divBdr>
      <w:divsChild>
        <w:div w:id="132796416">
          <w:marLeft w:val="0"/>
          <w:marRight w:val="0"/>
          <w:marTop w:val="0"/>
          <w:marBottom w:val="0"/>
          <w:divBdr>
            <w:top w:val="none" w:sz="0" w:space="0" w:color="auto"/>
            <w:left w:val="none" w:sz="0" w:space="0" w:color="auto"/>
            <w:bottom w:val="none" w:sz="0" w:space="0" w:color="auto"/>
            <w:right w:val="none" w:sz="0" w:space="0" w:color="auto"/>
          </w:divBdr>
          <w:divsChild>
            <w:div w:id="1466191779">
              <w:marLeft w:val="0"/>
              <w:marRight w:val="0"/>
              <w:marTop w:val="0"/>
              <w:marBottom w:val="0"/>
              <w:divBdr>
                <w:top w:val="none" w:sz="0" w:space="0" w:color="auto"/>
                <w:left w:val="none" w:sz="0" w:space="0" w:color="auto"/>
                <w:bottom w:val="none" w:sz="0" w:space="0" w:color="auto"/>
                <w:right w:val="none" w:sz="0" w:space="0" w:color="auto"/>
              </w:divBdr>
            </w:div>
            <w:div w:id="1199589535">
              <w:marLeft w:val="0"/>
              <w:marRight w:val="0"/>
              <w:marTop w:val="0"/>
              <w:marBottom w:val="0"/>
              <w:divBdr>
                <w:top w:val="none" w:sz="0" w:space="0" w:color="auto"/>
                <w:left w:val="none" w:sz="0" w:space="0" w:color="auto"/>
                <w:bottom w:val="none" w:sz="0" w:space="0" w:color="auto"/>
                <w:right w:val="none" w:sz="0" w:space="0" w:color="auto"/>
              </w:divBdr>
            </w:div>
            <w:div w:id="432823663">
              <w:marLeft w:val="0"/>
              <w:marRight w:val="0"/>
              <w:marTop w:val="0"/>
              <w:marBottom w:val="0"/>
              <w:divBdr>
                <w:top w:val="none" w:sz="0" w:space="0" w:color="auto"/>
                <w:left w:val="none" w:sz="0" w:space="0" w:color="auto"/>
                <w:bottom w:val="none" w:sz="0" w:space="0" w:color="auto"/>
                <w:right w:val="none" w:sz="0" w:space="0" w:color="auto"/>
              </w:divBdr>
            </w:div>
            <w:div w:id="171536298">
              <w:marLeft w:val="0"/>
              <w:marRight w:val="0"/>
              <w:marTop w:val="0"/>
              <w:marBottom w:val="0"/>
              <w:divBdr>
                <w:top w:val="none" w:sz="0" w:space="0" w:color="auto"/>
                <w:left w:val="none" w:sz="0" w:space="0" w:color="auto"/>
                <w:bottom w:val="none" w:sz="0" w:space="0" w:color="auto"/>
                <w:right w:val="none" w:sz="0" w:space="0" w:color="auto"/>
              </w:divBdr>
            </w:div>
          </w:divsChild>
        </w:div>
        <w:div w:id="986209374">
          <w:marLeft w:val="0"/>
          <w:marRight w:val="0"/>
          <w:marTop w:val="0"/>
          <w:marBottom w:val="0"/>
          <w:divBdr>
            <w:top w:val="none" w:sz="0" w:space="0" w:color="auto"/>
            <w:left w:val="none" w:sz="0" w:space="0" w:color="auto"/>
            <w:bottom w:val="none" w:sz="0" w:space="0" w:color="auto"/>
            <w:right w:val="none" w:sz="0" w:space="0" w:color="auto"/>
          </w:divBdr>
        </w:div>
      </w:divsChild>
    </w:div>
    <w:div w:id="999238044">
      <w:marLeft w:val="0"/>
      <w:marRight w:val="0"/>
      <w:marTop w:val="0"/>
      <w:marBottom w:val="0"/>
      <w:divBdr>
        <w:top w:val="none" w:sz="0" w:space="0" w:color="auto"/>
        <w:left w:val="none" w:sz="0" w:space="0" w:color="auto"/>
        <w:bottom w:val="none" w:sz="0" w:space="0" w:color="auto"/>
        <w:right w:val="none" w:sz="0" w:space="0" w:color="auto"/>
      </w:divBdr>
    </w:div>
    <w:div w:id="1259758271">
      <w:marLeft w:val="0"/>
      <w:marRight w:val="0"/>
      <w:marTop w:val="0"/>
      <w:marBottom w:val="0"/>
      <w:divBdr>
        <w:top w:val="none" w:sz="0" w:space="0" w:color="auto"/>
        <w:left w:val="none" w:sz="0" w:space="0" w:color="auto"/>
        <w:bottom w:val="none" w:sz="0" w:space="0" w:color="auto"/>
        <w:right w:val="none" w:sz="0" w:space="0" w:color="auto"/>
      </w:divBdr>
    </w:div>
    <w:div w:id="13890376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ris.pmc.gov.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helpdesk-obpr@pmc.gov.a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DOCID-322795542-16635</_dlc_DocId>
    <_dlc_DocIdUrl xmlns="4195ad5f-cdf2-4c4a-8d9b-b7944a108e98">
      <Url>https://pmc01.sharepoint.com/sites/CRMOBPR/_layouts/15/DocIdRedir.aspx?ID=DOCID-322795542-16635</Url>
      <Description>DOCID-322795542-16635</Description>
    </_dlc_DocIdUrl>
  </documentManagement>
</p:properties>
</file>

<file path=customXml/itemProps1.xml><?xml version="1.0" encoding="utf-8"?>
<ds:datastoreItem xmlns:ds="http://schemas.openxmlformats.org/officeDocument/2006/customXml" ds:itemID="{7F4437BE-3B12-4FC2-9373-685E0E0C393C}"/>
</file>

<file path=customXml/itemProps2.xml><?xml version="1.0" encoding="utf-8"?>
<ds:datastoreItem xmlns:ds="http://schemas.openxmlformats.org/officeDocument/2006/customXml" ds:itemID="{EA82893C-9C95-4745-96C9-27096C4D97BD}"/>
</file>

<file path=customXml/itemProps3.xml><?xml version="1.0" encoding="utf-8"?>
<ds:datastoreItem xmlns:ds="http://schemas.openxmlformats.org/officeDocument/2006/customXml" ds:itemID="{1836D027-BA06-49F6-91A2-77DA79CE602D}"/>
</file>

<file path=customXml/itemProps4.xml><?xml version="1.0" encoding="utf-8"?>
<ds:datastoreItem xmlns:ds="http://schemas.openxmlformats.org/officeDocument/2006/customXml" ds:itemID="{D4FA52A7-8FB5-4B89-85CA-13D218575520}"/>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2022-06-28T05:04:00Z</dcterms:created>
  <dcterms:modified xsi:type="dcterms:W3CDTF">2022-06-28T05:05:00Z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aa6771dc-0e26-4562-b8b2-110727a9b9d4</vt:lpwstr>
  </property>
</Properties>
</file>