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D9520" w14:textId="2A65E097" w:rsidR="00C3560D" w:rsidRPr="006C6D9D" w:rsidRDefault="00B86E94" w:rsidP="00C3560D">
      <w:pPr>
        <w:jc w:val="center"/>
        <w:rPr>
          <w:b/>
          <w:bCs/>
          <w:sz w:val="40"/>
          <w:szCs w:val="40"/>
        </w:rPr>
      </w:pPr>
      <w:bookmarkStart w:id="0" w:name="_Hlk97023912"/>
      <w:bookmarkStart w:id="1" w:name="_Toc88748490"/>
      <w:bookmarkEnd w:id="0"/>
      <w:r w:rsidRPr="00B86E94">
        <w:rPr>
          <w:b/>
          <w:bCs/>
          <w:sz w:val="40"/>
          <w:szCs w:val="40"/>
        </w:rPr>
        <w:t>Australia-India Economic Cooperation and Trade Agreement</w:t>
      </w:r>
      <w:r>
        <w:rPr>
          <w:i/>
          <w:iCs/>
        </w:rPr>
        <w:t xml:space="preserve"> </w:t>
      </w:r>
    </w:p>
    <w:p w14:paraId="257EC185" w14:textId="77777777" w:rsidR="00C3560D" w:rsidRPr="006C6D9D" w:rsidRDefault="00C3560D" w:rsidP="00C3560D">
      <w:pPr>
        <w:jc w:val="center"/>
        <w:rPr>
          <w:sz w:val="40"/>
          <w:szCs w:val="40"/>
        </w:rPr>
      </w:pPr>
      <w:r w:rsidRPr="006C6D9D">
        <w:rPr>
          <w:sz w:val="40"/>
          <w:szCs w:val="40"/>
        </w:rPr>
        <w:t>REGULAT</w:t>
      </w:r>
      <w:r>
        <w:rPr>
          <w:sz w:val="40"/>
          <w:szCs w:val="40"/>
        </w:rPr>
        <w:t>ION</w:t>
      </w:r>
      <w:r w:rsidRPr="006C6D9D">
        <w:rPr>
          <w:sz w:val="40"/>
          <w:szCs w:val="40"/>
        </w:rPr>
        <w:t xml:space="preserve"> IMPACT STATEMENT</w:t>
      </w:r>
    </w:p>
    <w:p w14:paraId="0AD2DD71" w14:textId="472C0982" w:rsidR="00C3560D" w:rsidRPr="004C7831" w:rsidRDefault="009A6690" w:rsidP="00C3560D">
      <w:pPr>
        <w:jc w:val="center"/>
        <w:rPr>
          <w:b/>
          <w:bCs/>
          <w:sz w:val="24"/>
          <w:szCs w:val="24"/>
        </w:rPr>
      </w:pPr>
      <w:r>
        <w:rPr>
          <w:b/>
          <w:bCs/>
          <w:sz w:val="24"/>
          <w:szCs w:val="24"/>
        </w:rPr>
        <w:t>FI</w:t>
      </w:r>
      <w:r w:rsidR="00BD1EAD">
        <w:rPr>
          <w:b/>
          <w:bCs/>
          <w:sz w:val="24"/>
          <w:szCs w:val="24"/>
        </w:rPr>
        <w:t>NAL</w:t>
      </w:r>
      <w:r>
        <w:rPr>
          <w:b/>
          <w:bCs/>
          <w:sz w:val="24"/>
          <w:szCs w:val="24"/>
        </w:rPr>
        <w:t xml:space="preserve"> PASS</w:t>
      </w:r>
      <w:r w:rsidR="00C3560D" w:rsidRPr="004C7831">
        <w:rPr>
          <w:b/>
          <w:bCs/>
          <w:sz w:val="24"/>
          <w:szCs w:val="24"/>
        </w:rPr>
        <w:t xml:space="preserve"> ASSESSMENT</w:t>
      </w:r>
    </w:p>
    <w:p w14:paraId="5685EE86" w14:textId="667CE79B" w:rsidR="00C3560D" w:rsidRPr="00B853AF" w:rsidRDefault="00790C82" w:rsidP="00C3560D">
      <w:pPr>
        <w:jc w:val="center"/>
        <w:rPr>
          <w:b/>
          <w:bCs/>
          <w:sz w:val="24"/>
          <w:szCs w:val="24"/>
        </w:rPr>
      </w:pPr>
      <w:r>
        <w:rPr>
          <w:b/>
          <w:bCs/>
          <w:sz w:val="24"/>
          <w:szCs w:val="24"/>
        </w:rPr>
        <w:t>28</w:t>
      </w:r>
      <w:r w:rsidR="00876023">
        <w:rPr>
          <w:b/>
          <w:bCs/>
          <w:sz w:val="24"/>
          <w:szCs w:val="24"/>
        </w:rPr>
        <w:t xml:space="preserve"> March</w:t>
      </w:r>
      <w:r w:rsidR="00C3560D" w:rsidRPr="004C7831">
        <w:rPr>
          <w:b/>
          <w:bCs/>
          <w:sz w:val="24"/>
          <w:szCs w:val="24"/>
        </w:rPr>
        <w:t xml:space="preserve"> 202</w:t>
      </w:r>
      <w:r w:rsidR="00C3560D">
        <w:rPr>
          <w:b/>
          <w:bCs/>
          <w:sz w:val="24"/>
          <w:szCs w:val="24"/>
        </w:rPr>
        <w:t>2</w:t>
      </w:r>
    </w:p>
    <w:p w14:paraId="6B1C668A" w14:textId="6950F0D7" w:rsidR="00C3560D" w:rsidRDefault="00C3560D" w:rsidP="00F03F07"/>
    <w:sdt>
      <w:sdtPr>
        <w:rPr>
          <w:rFonts w:asciiTheme="minorHAnsi" w:eastAsiaTheme="minorHAnsi" w:hAnsiTheme="minorHAnsi" w:cstheme="minorBidi"/>
          <w:color w:val="auto"/>
          <w:sz w:val="22"/>
          <w:szCs w:val="22"/>
          <w:lang w:val="en-AU"/>
        </w:rPr>
        <w:id w:val="-890582937"/>
        <w:docPartObj>
          <w:docPartGallery w:val="Table of Contents"/>
          <w:docPartUnique/>
        </w:docPartObj>
      </w:sdtPr>
      <w:sdtEndPr>
        <w:rPr>
          <w:noProof/>
        </w:rPr>
      </w:sdtEndPr>
      <w:sdtContent>
        <w:p w14:paraId="499DC05F" w14:textId="62DD78F0" w:rsidR="00876023" w:rsidRDefault="00876023">
          <w:pPr>
            <w:pStyle w:val="TOCHeading"/>
          </w:pPr>
          <w:r>
            <w:t>Contents</w:t>
          </w:r>
        </w:p>
        <w:p w14:paraId="2F2D119E" w14:textId="2CC0B38E" w:rsidR="0062202D" w:rsidRDefault="00876023">
          <w:pPr>
            <w:pStyle w:val="TOC1"/>
            <w:rPr>
              <w:rFonts w:eastAsiaTheme="minorEastAsia"/>
              <w:noProof/>
              <w:lang w:eastAsia="en-AU"/>
            </w:rPr>
          </w:pPr>
          <w:r>
            <w:fldChar w:fldCharType="begin"/>
          </w:r>
          <w:r>
            <w:instrText xml:space="preserve"> TOC \o "1-3" \h \z \u </w:instrText>
          </w:r>
          <w:r>
            <w:fldChar w:fldCharType="separate"/>
          </w:r>
          <w:hyperlink w:anchor="_Toc99370640" w:history="1">
            <w:r w:rsidR="0062202D" w:rsidRPr="00CF2C29">
              <w:rPr>
                <w:rStyle w:val="Hyperlink"/>
                <w:noProof/>
              </w:rPr>
              <w:t>INTRODUCTION</w:t>
            </w:r>
            <w:r w:rsidR="0062202D">
              <w:rPr>
                <w:noProof/>
                <w:webHidden/>
              </w:rPr>
              <w:tab/>
            </w:r>
            <w:r w:rsidR="0062202D">
              <w:rPr>
                <w:noProof/>
                <w:webHidden/>
              </w:rPr>
              <w:fldChar w:fldCharType="begin"/>
            </w:r>
            <w:r w:rsidR="0062202D">
              <w:rPr>
                <w:noProof/>
                <w:webHidden/>
              </w:rPr>
              <w:instrText xml:space="preserve"> PAGEREF _Toc99370640 \h </w:instrText>
            </w:r>
            <w:r w:rsidR="0062202D">
              <w:rPr>
                <w:noProof/>
                <w:webHidden/>
              </w:rPr>
            </w:r>
            <w:r w:rsidR="0062202D">
              <w:rPr>
                <w:noProof/>
                <w:webHidden/>
              </w:rPr>
              <w:fldChar w:fldCharType="separate"/>
            </w:r>
            <w:r w:rsidR="0092298E">
              <w:rPr>
                <w:noProof/>
                <w:webHidden/>
              </w:rPr>
              <w:t>3</w:t>
            </w:r>
            <w:r w:rsidR="0062202D">
              <w:rPr>
                <w:noProof/>
                <w:webHidden/>
              </w:rPr>
              <w:fldChar w:fldCharType="end"/>
            </w:r>
          </w:hyperlink>
        </w:p>
        <w:p w14:paraId="6F09A8D9" w14:textId="31028474" w:rsidR="0062202D" w:rsidRDefault="00796FE6">
          <w:pPr>
            <w:pStyle w:val="TOC1"/>
            <w:rPr>
              <w:rFonts w:eastAsiaTheme="minorEastAsia"/>
              <w:noProof/>
              <w:lang w:eastAsia="en-AU"/>
            </w:rPr>
          </w:pPr>
          <w:hyperlink w:anchor="_Toc99370641" w:history="1">
            <w:r w:rsidR="0062202D" w:rsidRPr="00CF2C29">
              <w:rPr>
                <w:rStyle w:val="Hyperlink"/>
                <w:noProof/>
              </w:rPr>
              <w:t>PROBLEM IDENTIFICATION – WHAT POLICY PROBLEM ARE YOU TRYING TO SOLVE?</w:t>
            </w:r>
            <w:r w:rsidR="0062202D">
              <w:rPr>
                <w:noProof/>
                <w:webHidden/>
              </w:rPr>
              <w:tab/>
            </w:r>
            <w:r w:rsidR="0062202D">
              <w:rPr>
                <w:noProof/>
                <w:webHidden/>
              </w:rPr>
              <w:fldChar w:fldCharType="begin"/>
            </w:r>
            <w:r w:rsidR="0062202D">
              <w:rPr>
                <w:noProof/>
                <w:webHidden/>
              </w:rPr>
              <w:instrText xml:space="preserve"> PAGEREF _Toc99370641 \h </w:instrText>
            </w:r>
            <w:r w:rsidR="0062202D">
              <w:rPr>
                <w:noProof/>
                <w:webHidden/>
              </w:rPr>
            </w:r>
            <w:r w:rsidR="0062202D">
              <w:rPr>
                <w:noProof/>
                <w:webHidden/>
              </w:rPr>
              <w:fldChar w:fldCharType="separate"/>
            </w:r>
            <w:r w:rsidR="0092298E">
              <w:rPr>
                <w:noProof/>
                <w:webHidden/>
              </w:rPr>
              <w:t>4</w:t>
            </w:r>
            <w:r w:rsidR="0062202D">
              <w:rPr>
                <w:noProof/>
                <w:webHidden/>
              </w:rPr>
              <w:fldChar w:fldCharType="end"/>
            </w:r>
          </w:hyperlink>
        </w:p>
        <w:p w14:paraId="609F6D7D" w14:textId="44382389" w:rsidR="0062202D" w:rsidRDefault="00796FE6">
          <w:pPr>
            <w:pStyle w:val="TOC2"/>
            <w:rPr>
              <w:rFonts w:eastAsiaTheme="minorEastAsia"/>
              <w:noProof/>
              <w:lang w:eastAsia="en-AU"/>
            </w:rPr>
          </w:pPr>
          <w:hyperlink w:anchor="_Toc99370642" w:history="1">
            <w:r w:rsidR="0062202D" w:rsidRPr="00CF2C29">
              <w:rPr>
                <w:rStyle w:val="Hyperlink"/>
                <w:noProof/>
              </w:rPr>
              <w:t>The need for trade diversification</w:t>
            </w:r>
            <w:r w:rsidR="0062202D">
              <w:rPr>
                <w:noProof/>
                <w:webHidden/>
              </w:rPr>
              <w:tab/>
            </w:r>
            <w:r w:rsidR="0062202D">
              <w:rPr>
                <w:noProof/>
                <w:webHidden/>
              </w:rPr>
              <w:fldChar w:fldCharType="begin"/>
            </w:r>
            <w:r w:rsidR="0062202D">
              <w:rPr>
                <w:noProof/>
                <w:webHidden/>
              </w:rPr>
              <w:instrText xml:space="preserve"> PAGEREF _Toc99370642 \h </w:instrText>
            </w:r>
            <w:r w:rsidR="0062202D">
              <w:rPr>
                <w:noProof/>
                <w:webHidden/>
              </w:rPr>
            </w:r>
            <w:r w:rsidR="0062202D">
              <w:rPr>
                <w:noProof/>
                <w:webHidden/>
              </w:rPr>
              <w:fldChar w:fldCharType="separate"/>
            </w:r>
            <w:r w:rsidR="0092298E">
              <w:rPr>
                <w:noProof/>
                <w:webHidden/>
              </w:rPr>
              <w:t>4</w:t>
            </w:r>
            <w:r w:rsidR="0062202D">
              <w:rPr>
                <w:noProof/>
                <w:webHidden/>
              </w:rPr>
              <w:fldChar w:fldCharType="end"/>
            </w:r>
          </w:hyperlink>
        </w:p>
        <w:p w14:paraId="5F383A89" w14:textId="0BCB30DF" w:rsidR="0062202D" w:rsidRDefault="00796FE6">
          <w:pPr>
            <w:pStyle w:val="TOC2"/>
            <w:rPr>
              <w:rFonts w:eastAsiaTheme="minorEastAsia"/>
              <w:noProof/>
              <w:lang w:eastAsia="en-AU"/>
            </w:rPr>
          </w:pPr>
          <w:hyperlink w:anchor="_Toc99370643" w:history="1">
            <w:r w:rsidR="0062202D" w:rsidRPr="00CF2C29">
              <w:rPr>
                <w:rStyle w:val="Hyperlink"/>
                <w:noProof/>
              </w:rPr>
              <w:t>Challenges for Australian exporters and suppliers in the Indian market</w:t>
            </w:r>
            <w:r w:rsidR="0062202D">
              <w:rPr>
                <w:noProof/>
                <w:webHidden/>
              </w:rPr>
              <w:tab/>
            </w:r>
            <w:r w:rsidR="0062202D">
              <w:rPr>
                <w:noProof/>
                <w:webHidden/>
              </w:rPr>
              <w:fldChar w:fldCharType="begin"/>
            </w:r>
            <w:r w:rsidR="0062202D">
              <w:rPr>
                <w:noProof/>
                <w:webHidden/>
              </w:rPr>
              <w:instrText xml:space="preserve"> PAGEREF _Toc99370643 \h </w:instrText>
            </w:r>
            <w:r w:rsidR="0062202D">
              <w:rPr>
                <w:noProof/>
                <w:webHidden/>
              </w:rPr>
            </w:r>
            <w:r w:rsidR="0062202D">
              <w:rPr>
                <w:noProof/>
                <w:webHidden/>
              </w:rPr>
              <w:fldChar w:fldCharType="separate"/>
            </w:r>
            <w:r w:rsidR="0092298E">
              <w:rPr>
                <w:noProof/>
                <w:webHidden/>
              </w:rPr>
              <w:t>5</w:t>
            </w:r>
            <w:r w:rsidR="0062202D">
              <w:rPr>
                <w:noProof/>
                <w:webHidden/>
              </w:rPr>
              <w:fldChar w:fldCharType="end"/>
            </w:r>
          </w:hyperlink>
        </w:p>
        <w:p w14:paraId="0B2A89B7" w14:textId="674D4E97" w:rsidR="0062202D" w:rsidRDefault="00796FE6">
          <w:pPr>
            <w:pStyle w:val="TOC2"/>
            <w:rPr>
              <w:rFonts w:eastAsiaTheme="minorEastAsia"/>
              <w:noProof/>
              <w:lang w:eastAsia="en-AU"/>
            </w:rPr>
          </w:pPr>
          <w:hyperlink w:anchor="_Toc99370644" w:history="1">
            <w:r w:rsidR="0062202D" w:rsidRPr="00CF2C29">
              <w:rPr>
                <w:rStyle w:val="Hyperlink"/>
                <w:noProof/>
              </w:rPr>
              <w:t>The risks of becoming uncompetitive</w:t>
            </w:r>
            <w:r w:rsidR="0062202D">
              <w:rPr>
                <w:noProof/>
                <w:webHidden/>
              </w:rPr>
              <w:tab/>
            </w:r>
            <w:r w:rsidR="0062202D">
              <w:rPr>
                <w:noProof/>
                <w:webHidden/>
              </w:rPr>
              <w:fldChar w:fldCharType="begin"/>
            </w:r>
            <w:r w:rsidR="0062202D">
              <w:rPr>
                <w:noProof/>
                <w:webHidden/>
              </w:rPr>
              <w:instrText xml:space="preserve"> PAGEREF _Toc99370644 \h </w:instrText>
            </w:r>
            <w:r w:rsidR="0062202D">
              <w:rPr>
                <w:noProof/>
                <w:webHidden/>
              </w:rPr>
            </w:r>
            <w:r w:rsidR="0062202D">
              <w:rPr>
                <w:noProof/>
                <w:webHidden/>
              </w:rPr>
              <w:fldChar w:fldCharType="separate"/>
            </w:r>
            <w:r w:rsidR="0092298E">
              <w:rPr>
                <w:noProof/>
                <w:webHidden/>
              </w:rPr>
              <w:t>7</w:t>
            </w:r>
            <w:r w:rsidR="0062202D">
              <w:rPr>
                <w:noProof/>
                <w:webHidden/>
              </w:rPr>
              <w:fldChar w:fldCharType="end"/>
            </w:r>
          </w:hyperlink>
        </w:p>
        <w:p w14:paraId="79F1F330" w14:textId="1E96C9FF" w:rsidR="0062202D" w:rsidRDefault="00796FE6">
          <w:pPr>
            <w:pStyle w:val="TOC1"/>
            <w:rPr>
              <w:rFonts w:eastAsiaTheme="minorEastAsia"/>
              <w:noProof/>
              <w:lang w:eastAsia="en-AU"/>
            </w:rPr>
          </w:pPr>
          <w:hyperlink w:anchor="_Toc99370645" w:history="1">
            <w:r w:rsidR="0062202D" w:rsidRPr="00CF2C29">
              <w:rPr>
                <w:rStyle w:val="Hyperlink"/>
                <w:noProof/>
              </w:rPr>
              <w:t>WHAT ARE THE PURPOSE AND THE OBJECTIVES OF GOVERNMENT ACTION?</w:t>
            </w:r>
            <w:r w:rsidR="0062202D">
              <w:rPr>
                <w:noProof/>
                <w:webHidden/>
              </w:rPr>
              <w:tab/>
            </w:r>
            <w:r w:rsidR="0062202D">
              <w:rPr>
                <w:noProof/>
                <w:webHidden/>
              </w:rPr>
              <w:fldChar w:fldCharType="begin"/>
            </w:r>
            <w:r w:rsidR="0062202D">
              <w:rPr>
                <w:noProof/>
                <w:webHidden/>
              </w:rPr>
              <w:instrText xml:space="preserve"> PAGEREF _Toc99370645 \h </w:instrText>
            </w:r>
            <w:r w:rsidR="0062202D">
              <w:rPr>
                <w:noProof/>
                <w:webHidden/>
              </w:rPr>
            </w:r>
            <w:r w:rsidR="0062202D">
              <w:rPr>
                <w:noProof/>
                <w:webHidden/>
              </w:rPr>
              <w:fldChar w:fldCharType="separate"/>
            </w:r>
            <w:r w:rsidR="0092298E">
              <w:rPr>
                <w:noProof/>
                <w:webHidden/>
              </w:rPr>
              <w:t>10</w:t>
            </w:r>
            <w:r w:rsidR="0062202D">
              <w:rPr>
                <w:noProof/>
                <w:webHidden/>
              </w:rPr>
              <w:fldChar w:fldCharType="end"/>
            </w:r>
          </w:hyperlink>
        </w:p>
        <w:p w14:paraId="520B841A" w14:textId="5DB2680D" w:rsidR="0062202D" w:rsidRDefault="00796FE6">
          <w:pPr>
            <w:pStyle w:val="TOC2"/>
            <w:rPr>
              <w:rFonts w:eastAsiaTheme="minorEastAsia"/>
              <w:noProof/>
              <w:lang w:eastAsia="en-AU"/>
            </w:rPr>
          </w:pPr>
          <w:hyperlink w:anchor="_Toc99370646" w:history="1">
            <w:r w:rsidR="0062202D" w:rsidRPr="00CF2C29">
              <w:rPr>
                <w:rStyle w:val="Hyperlink"/>
                <w:noProof/>
              </w:rPr>
              <w:t>The purpose of government action</w:t>
            </w:r>
            <w:r w:rsidR="0062202D">
              <w:rPr>
                <w:noProof/>
                <w:webHidden/>
              </w:rPr>
              <w:tab/>
            </w:r>
            <w:r w:rsidR="0062202D">
              <w:rPr>
                <w:noProof/>
                <w:webHidden/>
              </w:rPr>
              <w:fldChar w:fldCharType="begin"/>
            </w:r>
            <w:r w:rsidR="0062202D">
              <w:rPr>
                <w:noProof/>
                <w:webHidden/>
              </w:rPr>
              <w:instrText xml:space="preserve"> PAGEREF _Toc99370646 \h </w:instrText>
            </w:r>
            <w:r w:rsidR="0062202D">
              <w:rPr>
                <w:noProof/>
                <w:webHidden/>
              </w:rPr>
            </w:r>
            <w:r w:rsidR="0062202D">
              <w:rPr>
                <w:noProof/>
                <w:webHidden/>
              </w:rPr>
              <w:fldChar w:fldCharType="separate"/>
            </w:r>
            <w:r w:rsidR="0092298E">
              <w:rPr>
                <w:noProof/>
                <w:webHidden/>
              </w:rPr>
              <w:t>10</w:t>
            </w:r>
            <w:r w:rsidR="0062202D">
              <w:rPr>
                <w:noProof/>
                <w:webHidden/>
              </w:rPr>
              <w:fldChar w:fldCharType="end"/>
            </w:r>
          </w:hyperlink>
        </w:p>
        <w:p w14:paraId="1ED7C977" w14:textId="06775282" w:rsidR="0062202D" w:rsidRDefault="00796FE6">
          <w:pPr>
            <w:pStyle w:val="TOC2"/>
            <w:rPr>
              <w:rFonts w:eastAsiaTheme="minorEastAsia"/>
              <w:noProof/>
              <w:lang w:eastAsia="en-AU"/>
            </w:rPr>
          </w:pPr>
          <w:hyperlink w:anchor="_Toc99370647" w:history="1">
            <w:r w:rsidR="0062202D" w:rsidRPr="00CF2C29">
              <w:rPr>
                <w:rStyle w:val="Hyperlink"/>
                <w:noProof/>
              </w:rPr>
              <w:t>The objectives of the proposed AI ECTA</w:t>
            </w:r>
            <w:r w:rsidR="0062202D">
              <w:rPr>
                <w:noProof/>
                <w:webHidden/>
              </w:rPr>
              <w:tab/>
            </w:r>
            <w:r w:rsidR="0062202D">
              <w:rPr>
                <w:noProof/>
                <w:webHidden/>
              </w:rPr>
              <w:fldChar w:fldCharType="begin"/>
            </w:r>
            <w:r w:rsidR="0062202D">
              <w:rPr>
                <w:noProof/>
                <w:webHidden/>
              </w:rPr>
              <w:instrText xml:space="preserve"> PAGEREF _Toc99370647 \h </w:instrText>
            </w:r>
            <w:r w:rsidR="0062202D">
              <w:rPr>
                <w:noProof/>
                <w:webHidden/>
              </w:rPr>
            </w:r>
            <w:r w:rsidR="0062202D">
              <w:rPr>
                <w:noProof/>
                <w:webHidden/>
              </w:rPr>
              <w:fldChar w:fldCharType="separate"/>
            </w:r>
            <w:r w:rsidR="0092298E">
              <w:rPr>
                <w:noProof/>
                <w:webHidden/>
              </w:rPr>
              <w:t>11</w:t>
            </w:r>
            <w:r w:rsidR="0062202D">
              <w:rPr>
                <w:noProof/>
                <w:webHidden/>
              </w:rPr>
              <w:fldChar w:fldCharType="end"/>
            </w:r>
          </w:hyperlink>
        </w:p>
        <w:p w14:paraId="5758A2E9" w14:textId="15590967" w:rsidR="0062202D" w:rsidRDefault="00796FE6">
          <w:pPr>
            <w:pStyle w:val="TOC1"/>
            <w:rPr>
              <w:rFonts w:eastAsiaTheme="minorEastAsia"/>
              <w:noProof/>
              <w:lang w:eastAsia="en-AU"/>
            </w:rPr>
          </w:pPr>
          <w:hyperlink w:anchor="_Toc99370648" w:history="1">
            <w:r w:rsidR="0062202D" w:rsidRPr="00CF2C29">
              <w:rPr>
                <w:rStyle w:val="Hyperlink"/>
                <w:noProof/>
              </w:rPr>
              <w:t>WHAT ARE THE OPTIONS TO ACHIEVE THESE OBJECTIVES?</w:t>
            </w:r>
            <w:r w:rsidR="0062202D">
              <w:rPr>
                <w:noProof/>
                <w:webHidden/>
              </w:rPr>
              <w:tab/>
            </w:r>
            <w:r w:rsidR="0062202D">
              <w:rPr>
                <w:noProof/>
                <w:webHidden/>
              </w:rPr>
              <w:fldChar w:fldCharType="begin"/>
            </w:r>
            <w:r w:rsidR="0062202D">
              <w:rPr>
                <w:noProof/>
                <w:webHidden/>
              </w:rPr>
              <w:instrText xml:space="preserve"> PAGEREF _Toc99370648 \h </w:instrText>
            </w:r>
            <w:r w:rsidR="0062202D">
              <w:rPr>
                <w:noProof/>
                <w:webHidden/>
              </w:rPr>
            </w:r>
            <w:r w:rsidR="0062202D">
              <w:rPr>
                <w:noProof/>
                <w:webHidden/>
              </w:rPr>
              <w:fldChar w:fldCharType="separate"/>
            </w:r>
            <w:r w:rsidR="0092298E">
              <w:rPr>
                <w:noProof/>
                <w:webHidden/>
              </w:rPr>
              <w:t>12</w:t>
            </w:r>
            <w:r w:rsidR="0062202D">
              <w:rPr>
                <w:noProof/>
                <w:webHidden/>
              </w:rPr>
              <w:fldChar w:fldCharType="end"/>
            </w:r>
          </w:hyperlink>
        </w:p>
        <w:p w14:paraId="7E6EA5D3" w14:textId="58735D2E" w:rsidR="0062202D" w:rsidRDefault="00796FE6">
          <w:pPr>
            <w:pStyle w:val="TOC2"/>
            <w:rPr>
              <w:rFonts w:eastAsiaTheme="minorEastAsia"/>
              <w:noProof/>
              <w:lang w:eastAsia="en-AU"/>
            </w:rPr>
          </w:pPr>
          <w:hyperlink w:anchor="_Toc99370649" w:history="1">
            <w:r w:rsidR="0062202D" w:rsidRPr="00CF2C29">
              <w:rPr>
                <w:rStyle w:val="Hyperlink"/>
                <w:noProof/>
              </w:rPr>
              <w:t>Option 1: sign the proposed AI ECTA</w:t>
            </w:r>
            <w:r w:rsidR="0062202D">
              <w:rPr>
                <w:noProof/>
                <w:webHidden/>
              </w:rPr>
              <w:tab/>
            </w:r>
            <w:r w:rsidR="0062202D">
              <w:rPr>
                <w:noProof/>
                <w:webHidden/>
              </w:rPr>
              <w:fldChar w:fldCharType="begin"/>
            </w:r>
            <w:r w:rsidR="0062202D">
              <w:rPr>
                <w:noProof/>
                <w:webHidden/>
              </w:rPr>
              <w:instrText xml:space="preserve"> PAGEREF _Toc99370649 \h </w:instrText>
            </w:r>
            <w:r w:rsidR="0062202D">
              <w:rPr>
                <w:noProof/>
                <w:webHidden/>
              </w:rPr>
            </w:r>
            <w:r w:rsidR="0062202D">
              <w:rPr>
                <w:noProof/>
                <w:webHidden/>
              </w:rPr>
              <w:fldChar w:fldCharType="separate"/>
            </w:r>
            <w:r w:rsidR="0092298E">
              <w:rPr>
                <w:noProof/>
                <w:webHidden/>
              </w:rPr>
              <w:t>13</w:t>
            </w:r>
            <w:r w:rsidR="0062202D">
              <w:rPr>
                <w:noProof/>
                <w:webHidden/>
              </w:rPr>
              <w:fldChar w:fldCharType="end"/>
            </w:r>
          </w:hyperlink>
        </w:p>
        <w:p w14:paraId="75DC800B" w14:textId="617F953A" w:rsidR="0062202D" w:rsidRDefault="00796FE6">
          <w:pPr>
            <w:pStyle w:val="TOC2"/>
            <w:rPr>
              <w:rFonts w:eastAsiaTheme="minorEastAsia"/>
              <w:noProof/>
              <w:lang w:eastAsia="en-AU"/>
            </w:rPr>
          </w:pPr>
          <w:hyperlink w:anchor="_Toc99370650" w:history="1">
            <w:r w:rsidR="0062202D" w:rsidRPr="00CF2C29">
              <w:rPr>
                <w:rStyle w:val="Hyperlink"/>
                <w:noProof/>
              </w:rPr>
              <w:t>Option 2: not sign the proposed AI ECTA</w:t>
            </w:r>
            <w:r w:rsidR="0062202D">
              <w:rPr>
                <w:noProof/>
                <w:webHidden/>
              </w:rPr>
              <w:tab/>
            </w:r>
            <w:r w:rsidR="0062202D">
              <w:rPr>
                <w:noProof/>
                <w:webHidden/>
              </w:rPr>
              <w:fldChar w:fldCharType="begin"/>
            </w:r>
            <w:r w:rsidR="0062202D">
              <w:rPr>
                <w:noProof/>
                <w:webHidden/>
              </w:rPr>
              <w:instrText xml:space="preserve"> PAGEREF _Toc99370650 \h </w:instrText>
            </w:r>
            <w:r w:rsidR="0062202D">
              <w:rPr>
                <w:noProof/>
                <w:webHidden/>
              </w:rPr>
            </w:r>
            <w:r w:rsidR="0062202D">
              <w:rPr>
                <w:noProof/>
                <w:webHidden/>
              </w:rPr>
              <w:fldChar w:fldCharType="separate"/>
            </w:r>
            <w:r w:rsidR="0092298E">
              <w:rPr>
                <w:noProof/>
                <w:webHidden/>
              </w:rPr>
              <w:t>15</w:t>
            </w:r>
            <w:r w:rsidR="0062202D">
              <w:rPr>
                <w:noProof/>
                <w:webHidden/>
              </w:rPr>
              <w:fldChar w:fldCharType="end"/>
            </w:r>
          </w:hyperlink>
        </w:p>
        <w:p w14:paraId="27291185" w14:textId="123806F1" w:rsidR="0062202D" w:rsidRDefault="00796FE6">
          <w:pPr>
            <w:pStyle w:val="TOC1"/>
            <w:rPr>
              <w:rFonts w:eastAsiaTheme="minorEastAsia"/>
              <w:noProof/>
              <w:lang w:eastAsia="en-AU"/>
            </w:rPr>
          </w:pPr>
          <w:hyperlink w:anchor="_Toc99370651" w:history="1">
            <w:r w:rsidR="0062202D" w:rsidRPr="00CF2C29">
              <w:rPr>
                <w:rStyle w:val="Hyperlink"/>
                <w:noProof/>
              </w:rPr>
              <w:t>BENEFITS AND IMPACT ANALYSIS</w:t>
            </w:r>
            <w:r w:rsidR="0062202D">
              <w:rPr>
                <w:noProof/>
                <w:webHidden/>
              </w:rPr>
              <w:tab/>
            </w:r>
            <w:r w:rsidR="0062202D">
              <w:rPr>
                <w:noProof/>
                <w:webHidden/>
              </w:rPr>
              <w:fldChar w:fldCharType="begin"/>
            </w:r>
            <w:r w:rsidR="0062202D">
              <w:rPr>
                <w:noProof/>
                <w:webHidden/>
              </w:rPr>
              <w:instrText xml:space="preserve"> PAGEREF _Toc99370651 \h </w:instrText>
            </w:r>
            <w:r w:rsidR="0062202D">
              <w:rPr>
                <w:noProof/>
                <w:webHidden/>
              </w:rPr>
            </w:r>
            <w:r w:rsidR="0062202D">
              <w:rPr>
                <w:noProof/>
                <w:webHidden/>
              </w:rPr>
              <w:fldChar w:fldCharType="separate"/>
            </w:r>
            <w:r w:rsidR="0092298E">
              <w:rPr>
                <w:noProof/>
                <w:webHidden/>
              </w:rPr>
              <w:t>15</w:t>
            </w:r>
            <w:r w:rsidR="0062202D">
              <w:rPr>
                <w:noProof/>
                <w:webHidden/>
              </w:rPr>
              <w:fldChar w:fldCharType="end"/>
            </w:r>
          </w:hyperlink>
        </w:p>
        <w:p w14:paraId="6D91E7F7" w14:textId="62036124" w:rsidR="0062202D" w:rsidRDefault="00796FE6">
          <w:pPr>
            <w:pStyle w:val="TOC2"/>
            <w:rPr>
              <w:rFonts w:eastAsiaTheme="minorEastAsia"/>
              <w:noProof/>
              <w:lang w:eastAsia="en-AU"/>
            </w:rPr>
          </w:pPr>
          <w:hyperlink w:anchor="_Toc99370652" w:history="1">
            <w:r w:rsidR="0062202D" w:rsidRPr="00CF2C29">
              <w:rPr>
                <w:rStyle w:val="Hyperlink"/>
                <w:noProof/>
              </w:rPr>
              <w:t>Economic modelling</w:t>
            </w:r>
            <w:r w:rsidR="0062202D">
              <w:rPr>
                <w:noProof/>
                <w:webHidden/>
              </w:rPr>
              <w:tab/>
            </w:r>
            <w:r w:rsidR="0062202D">
              <w:rPr>
                <w:noProof/>
                <w:webHidden/>
              </w:rPr>
              <w:fldChar w:fldCharType="begin"/>
            </w:r>
            <w:r w:rsidR="0062202D">
              <w:rPr>
                <w:noProof/>
                <w:webHidden/>
              </w:rPr>
              <w:instrText xml:space="preserve"> PAGEREF _Toc99370652 \h </w:instrText>
            </w:r>
            <w:r w:rsidR="0062202D">
              <w:rPr>
                <w:noProof/>
                <w:webHidden/>
              </w:rPr>
            </w:r>
            <w:r w:rsidR="0062202D">
              <w:rPr>
                <w:noProof/>
                <w:webHidden/>
              </w:rPr>
              <w:fldChar w:fldCharType="separate"/>
            </w:r>
            <w:r w:rsidR="0092298E">
              <w:rPr>
                <w:noProof/>
                <w:webHidden/>
              </w:rPr>
              <w:t>16</w:t>
            </w:r>
            <w:r w:rsidR="0062202D">
              <w:rPr>
                <w:noProof/>
                <w:webHidden/>
              </w:rPr>
              <w:fldChar w:fldCharType="end"/>
            </w:r>
          </w:hyperlink>
        </w:p>
        <w:p w14:paraId="117CE7F8" w14:textId="7A486105" w:rsidR="0062202D" w:rsidRDefault="00796FE6">
          <w:pPr>
            <w:pStyle w:val="TOC2"/>
            <w:rPr>
              <w:rFonts w:eastAsiaTheme="minorEastAsia"/>
              <w:noProof/>
              <w:lang w:eastAsia="en-AU"/>
            </w:rPr>
          </w:pPr>
          <w:hyperlink w:anchor="_Toc99370653" w:history="1">
            <w:r w:rsidR="0062202D" w:rsidRPr="00CF2C29">
              <w:rPr>
                <w:rStyle w:val="Hyperlink"/>
                <w:noProof/>
              </w:rPr>
              <w:t>The impact of liberalising trade in goods with India</w:t>
            </w:r>
            <w:r w:rsidR="0062202D">
              <w:rPr>
                <w:noProof/>
                <w:webHidden/>
              </w:rPr>
              <w:tab/>
            </w:r>
            <w:r w:rsidR="0062202D">
              <w:rPr>
                <w:noProof/>
                <w:webHidden/>
              </w:rPr>
              <w:fldChar w:fldCharType="begin"/>
            </w:r>
            <w:r w:rsidR="0062202D">
              <w:rPr>
                <w:noProof/>
                <w:webHidden/>
              </w:rPr>
              <w:instrText xml:space="preserve"> PAGEREF _Toc99370653 \h </w:instrText>
            </w:r>
            <w:r w:rsidR="0062202D">
              <w:rPr>
                <w:noProof/>
                <w:webHidden/>
              </w:rPr>
            </w:r>
            <w:r w:rsidR="0062202D">
              <w:rPr>
                <w:noProof/>
                <w:webHidden/>
              </w:rPr>
              <w:fldChar w:fldCharType="separate"/>
            </w:r>
            <w:r w:rsidR="0092298E">
              <w:rPr>
                <w:noProof/>
                <w:webHidden/>
              </w:rPr>
              <w:t>17</w:t>
            </w:r>
            <w:r w:rsidR="0062202D">
              <w:rPr>
                <w:noProof/>
                <w:webHidden/>
              </w:rPr>
              <w:fldChar w:fldCharType="end"/>
            </w:r>
          </w:hyperlink>
        </w:p>
        <w:p w14:paraId="7FDBC4AB" w14:textId="4A3A035B" w:rsidR="0062202D" w:rsidRDefault="00796FE6">
          <w:pPr>
            <w:pStyle w:val="TOC2"/>
            <w:rPr>
              <w:rFonts w:eastAsiaTheme="minorEastAsia"/>
              <w:noProof/>
              <w:lang w:eastAsia="en-AU"/>
            </w:rPr>
          </w:pPr>
          <w:hyperlink w:anchor="_Toc99370654" w:history="1">
            <w:r w:rsidR="0062202D" w:rsidRPr="00CF2C29">
              <w:rPr>
                <w:rStyle w:val="Hyperlink"/>
                <w:noProof/>
              </w:rPr>
              <w:t>The impact of key goods market access outcomes</w:t>
            </w:r>
            <w:r w:rsidR="0062202D">
              <w:rPr>
                <w:noProof/>
                <w:webHidden/>
              </w:rPr>
              <w:tab/>
            </w:r>
            <w:r w:rsidR="0062202D">
              <w:rPr>
                <w:noProof/>
                <w:webHidden/>
              </w:rPr>
              <w:fldChar w:fldCharType="begin"/>
            </w:r>
            <w:r w:rsidR="0062202D">
              <w:rPr>
                <w:noProof/>
                <w:webHidden/>
              </w:rPr>
              <w:instrText xml:space="preserve"> PAGEREF _Toc99370654 \h </w:instrText>
            </w:r>
            <w:r w:rsidR="0062202D">
              <w:rPr>
                <w:noProof/>
                <w:webHidden/>
              </w:rPr>
            </w:r>
            <w:r w:rsidR="0062202D">
              <w:rPr>
                <w:noProof/>
                <w:webHidden/>
              </w:rPr>
              <w:fldChar w:fldCharType="separate"/>
            </w:r>
            <w:r w:rsidR="0092298E">
              <w:rPr>
                <w:noProof/>
                <w:webHidden/>
              </w:rPr>
              <w:t>18</w:t>
            </w:r>
            <w:r w:rsidR="0062202D">
              <w:rPr>
                <w:noProof/>
                <w:webHidden/>
              </w:rPr>
              <w:fldChar w:fldCharType="end"/>
            </w:r>
          </w:hyperlink>
        </w:p>
        <w:p w14:paraId="2D14E170" w14:textId="3DB430CD" w:rsidR="0062202D" w:rsidRDefault="00796FE6">
          <w:pPr>
            <w:pStyle w:val="TOC3"/>
            <w:rPr>
              <w:rFonts w:eastAsiaTheme="minorEastAsia"/>
              <w:noProof/>
              <w:lang w:eastAsia="en-AU"/>
            </w:rPr>
          </w:pPr>
          <w:hyperlink w:anchor="_Toc99370655" w:history="1">
            <w:r w:rsidR="0062202D" w:rsidRPr="00CF2C29">
              <w:rPr>
                <w:rStyle w:val="Hyperlink"/>
                <w:noProof/>
              </w:rPr>
              <w:t>Industrial products</w:t>
            </w:r>
            <w:r w:rsidR="0062202D">
              <w:rPr>
                <w:noProof/>
                <w:webHidden/>
              </w:rPr>
              <w:tab/>
            </w:r>
            <w:r w:rsidR="0062202D">
              <w:rPr>
                <w:noProof/>
                <w:webHidden/>
              </w:rPr>
              <w:fldChar w:fldCharType="begin"/>
            </w:r>
            <w:r w:rsidR="0062202D">
              <w:rPr>
                <w:noProof/>
                <w:webHidden/>
              </w:rPr>
              <w:instrText xml:space="preserve"> PAGEREF _Toc99370655 \h </w:instrText>
            </w:r>
            <w:r w:rsidR="0062202D">
              <w:rPr>
                <w:noProof/>
                <w:webHidden/>
              </w:rPr>
            </w:r>
            <w:r w:rsidR="0062202D">
              <w:rPr>
                <w:noProof/>
                <w:webHidden/>
              </w:rPr>
              <w:fldChar w:fldCharType="separate"/>
            </w:r>
            <w:r w:rsidR="0092298E">
              <w:rPr>
                <w:noProof/>
                <w:webHidden/>
              </w:rPr>
              <w:t>23</w:t>
            </w:r>
            <w:r w:rsidR="0062202D">
              <w:rPr>
                <w:noProof/>
                <w:webHidden/>
              </w:rPr>
              <w:fldChar w:fldCharType="end"/>
            </w:r>
          </w:hyperlink>
        </w:p>
        <w:p w14:paraId="15194F58" w14:textId="3AD8F05D" w:rsidR="0062202D" w:rsidRDefault="00796FE6">
          <w:pPr>
            <w:pStyle w:val="TOC3"/>
            <w:rPr>
              <w:rFonts w:eastAsiaTheme="minorEastAsia"/>
              <w:noProof/>
              <w:lang w:eastAsia="en-AU"/>
            </w:rPr>
          </w:pPr>
          <w:hyperlink w:anchor="_Toc99370656" w:history="1">
            <w:r w:rsidR="0062202D" w:rsidRPr="00CF2C29">
              <w:rPr>
                <w:rStyle w:val="Hyperlink"/>
                <w:noProof/>
              </w:rPr>
              <w:t>Liquified natural gas</w:t>
            </w:r>
            <w:r w:rsidR="0062202D">
              <w:rPr>
                <w:noProof/>
                <w:webHidden/>
              </w:rPr>
              <w:tab/>
            </w:r>
            <w:r w:rsidR="0062202D">
              <w:rPr>
                <w:noProof/>
                <w:webHidden/>
              </w:rPr>
              <w:fldChar w:fldCharType="begin"/>
            </w:r>
            <w:r w:rsidR="0062202D">
              <w:rPr>
                <w:noProof/>
                <w:webHidden/>
              </w:rPr>
              <w:instrText xml:space="preserve"> PAGEREF _Toc99370656 \h </w:instrText>
            </w:r>
            <w:r w:rsidR="0062202D">
              <w:rPr>
                <w:noProof/>
                <w:webHidden/>
              </w:rPr>
            </w:r>
            <w:r w:rsidR="0062202D">
              <w:rPr>
                <w:noProof/>
                <w:webHidden/>
              </w:rPr>
              <w:fldChar w:fldCharType="separate"/>
            </w:r>
            <w:r w:rsidR="0092298E">
              <w:rPr>
                <w:noProof/>
                <w:webHidden/>
              </w:rPr>
              <w:t>23</w:t>
            </w:r>
            <w:r w:rsidR="0062202D">
              <w:rPr>
                <w:noProof/>
                <w:webHidden/>
              </w:rPr>
              <w:fldChar w:fldCharType="end"/>
            </w:r>
          </w:hyperlink>
        </w:p>
        <w:p w14:paraId="0705ABA7" w14:textId="5D1A4B33" w:rsidR="0062202D" w:rsidRDefault="00796FE6">
          <w:pPr>
            <w:pStyle w:val="TOC3"/>
            <w:rPr>
              <w:rFonts w:eastAsiaTheme="minorEastAsia"/>
              <w:noProof/>
              <w:lang w:eastAsia="en-AU"/>
            </w:rPr>
          </w:pPr>
          <w:hyperlink w:anchor="_Toc99370657" w:history="1">
            <w:r w:rsidR="0062202D" w:rsidRPr="00CF2C29">
              <w:rPr>
                <w:rStyle w:val="Hyperlink"/>
                <w:noProof/>
              </w:rPr>
              <w:t>Metallic ores and non-ferrous metals</w:t>
            </w:r>
            <w:r w:rsidR="0062202D">
              <w:rPr>
                <w:noProof/>
                <w:webHidden/>
              </w:rPr>
              <w:tab/>
            </w:r>
            <w:r w:rsidR="0062202D">
              <w:rPr>
                <w:noProof/>
                <w:webHidden/>
              </w:rPr>
              <w:fldChar w:fldCharType="begin"/>
            </w:r>
            <w:r w:rsidR="0062202D">
              <w:rPr>
                <w:noProof/>
                <w:webHidden/>
              </w:rPr>
              <w:instrText xml:space="preserve"> PAGEREF _Toc99370657 \h </w:instrText>
            </w:r>
            <w:r w:rsidR="0062202D">
              <w:rPr>
                <w:noProof/>
                <w:webHidden/>
              </w:rPr>
            </w:r>
            <w:r w:rsidR="0062202D">
              <w:rPr>
                <w:noProof/>
                <w:webHidden/>
              </w:rPr>
              <w:fldChar w:fldCharType="separate"/>
            </w:r>
            <w:r w:rsidR="0092298E">
              <w:rPr>
                <w:noProof/>
                <w:webHidden/>
              </w:rPr>
              <w:t>24</w:t>
            </w:r>
            <w:r w:rsidR="0062202D">
              <w:rPr>
                <w:noProof/>
                <w:webHidden/>
              </w:rPr>
              <w:fldChar w:fldCharType="end"/>
            </w:r>
          </w:hyperlink>
        </w:p>
        <w:p w14:paraId="7F96E07C" w14:textId="748C6D96" w:rsidR="0062202D" w:rsidRDefault="00796FE6">
          <w:pPr>
            <w:pStyle w:val="TOC3"/>
            <w:rPr>
              <w:rFonts w:eastAsiaTheme="minorEastAsia"/>
              <w:noProof/>
              <w:lang w:eastAsia="en-AU"/>
            </w:rPr>
          </w:pPr>
          <w:hyperlink w:anchor="_Toc99370658" w:history="1">
            <w:r w:rsidR="0062202D" w:rsidRPr="00CF2C29">
              <w:rPr>
                <w:rStyle w:val="Hyperlink"/>
                <w:noProof/>
              </w:rPr>
              <w:t>Wine</w:t>
            </w:r>
            <w:r w:rsidR="0062202D">
              <w:rPr>
                <w:noProof/>
                <w:webHidden/>
              </w:rPr>
              <w:tab/>
            </w:r>
            <w:r w:rsidR="0062202D">
              <w:rPr>
                <w:noProof/>
                <w:webHidden/>
              </w:rPr>
              <w:fldChar w:fldCharType="begin"/>
            </w:r>
            <w:r w:rsidR="0062202D">
              <w:rPr>
                <w:noProof/>
                <w:webHidden/>
              </w:rPr>
              <w:instrText xml:space="preserve"> PAGEREF _Toc99370658 \h </w:instrText>
            </w:r>
            <w:r w:rsidR="0062202D">
              <w:rPr>
                <w:noProof/>
                <w:webHidden/>
              </w:rPr>
            </w:r>
            <w:r w:rsidR="0062202D">
              <w:rPr>
                <w:noProof/>
                <w:webHidden/>
              </w:rPr>
              <w:fldChar w:fldCharType="separate"/>
            </w:r>
            <w:r w:rsidR="0092298E">
              <w:rPr>
                <w:noProof/>
                <w:webHidden/>
              </w:rPr>
              <w:t>26</w:t>
            </w:r>
            <w:r w:rsidR="0062202D">
              <w:rPr>
                <w:noProof/>
                <w:webHidden/>
              </w:rPr>
              <w:fldChar w:fldCharType="end"/>
            </w:r>
          </w:hyperlink>
        </w:p>
        <w:p w14:paraId="5A2EE570" w14:textId="38DF33A8" w:rsidR="0062202D" w:rsidRDefault="00796FE6">
          <w:pPr>
            <w:pStyle w:val="TOC3"/>
            <w:rPr>
              <w:rFonts w:eastAsiaTheme="minorEastAsia"/>
              <w:noProof/>
              <w:lang w:eastAsia="en-AU"/>
            </w:rPr>
          </w:pPr>
          <w:hyperlink w:anchor="_Toc99370659" w:history="1">
            <w:r w:rsidR="0062202D" w:rsidRPr="00CF2C29">
              <w:rPr>
                <w:rStyle w:val="Hyperlink"/>
                <w:noProof/>
              </w:rPr>
              <w:t>Sheep meat</w:t>
            </w:r>
            <w:r w:rsidR="0062202D" w:rsidRPr="00CF2C29">
              <w:rPr>
                <w:rStyle w:val="Hyperlink"/>
                <w:iCs/>
                <w:noProof/>
              </w:rPr>
              <w:t xml:space="preserve"> and wool</w:t>
            </w:r>
            <w:r w:rsidR="0062202D">
              <w:rPr>
                <w:noProof/>
                <w:webHidden/>
              </w:rPr>
              <w:tab/>
            </w:r>
            <w:r w:rsidR="0062202D">
              <w:rPr>
                <w:noProof/>
                <w:webHidden/>
              </w:rPr>
              <w:fldChar w:fldCharType="begin"/>
            </w:r>
            <w:r w:rsidR="0062202D">
              <w:rPr>
                <w:noProof/>
                <w:webHidden/>
              </w:rPr>
              <w:instrText xml:space="preserve"> PAGEREF _Toc99370659 \h </w:instrText>
            </w:r>
            <w:r w:rsidR="0062202D">
              <w:rPr>
                <w:noProof/>
                <w:webHidden/>
              </w:rPr>
            </w:r>
            <w:r w:rsidR="0062202D">
              <w:rPr>
                <w:noProof/>
                <w:webHidden/>
              </w:rPr>
              <w:fldChar w:fldCharType="separate"/>
            </w:r>
            <w:r w:rsidR="0092298E">
              <w:rPr>
                <w:noProof/>
                <w:webHidden/>
              </w:rPr>
              <w:t>26</w:t>
            </w:r>
            <w:r w:rsidR="0062202D">
              <w:rPr>
                <w:noProof/>
                <w:webHidden/>
              </w:rPr>
              <w:fldChar w:fldCharType="end"/>
            </w:r>
          </w:hyperlink>
        </w:p>
        <w:p w14:paraId="5424E535" w14:textId="1810A979" w:rsidR="0062202D" w:rsidRDefault="00796FE6">
          <w:pPr>
            <w:pStyle w:val="TOC3"/>
            <w:rPr>
              <w:rFonts w:eastAsiaTheme="minorEastAsia"/>
              <w:noProof/>
              <w:lang w:eastAsia="en-AU"/>
            </w:rPr>
          </w:pPr>
          <w:hyperlink w:anchor="_Toc99370660" w:history="1">
            <w:r w:rsidR="0062202D" w:rsidRPr="00CF2C29">
              <w:rPr>
                <w:rStyle w:val="Hyperlink"/>
                <w:noProof/>
              </w:rPr>
              <w:t>Seafood</w:t>
            </w:r>
            <w:r w:rsidR="0062202D">
              <w:rPr>
                <w:noProof/>
                <w:webHidden/>
              </w:rPr>
              <w:tab/>
            </w:r>
            <w:r w:rsidR="0062202D">
              <w:rPr>
                <w:noProof/>
                <w:webHidden/>
              </w:rPr>
              <w:fldChar w:fldCharType="begin"/>
            </w:r>
            <w:r w:rsidR="0062202D">
              <w:rPr>
                <w:noProof/>
                <w:webHidden/>
              </w:rPr>
              <w:instrText xml:space="preserve"> PAGEREF _Toc99370660 \h </w:instrText>
            </w:r>
            <w:r w:rsidR="0062202D">
              <w:rPr>
                <w:noProof/>
                <w:webHidden/>
              </w:rPr>
            </w:r>
            <w:r w:rsidR="0062202D">
              <w:rPr>
                <w:noProof/>
                <w:webHidden/>
              </w:rPr>
              <w:fldChar w:fldCharType="separate"/>
            </w:r>
            <w:r w:rsidR="0092298E">
              <w:rPr>
                <w:noProof/>
                <w:webHidden/>
              </w:rPr>
              <w:t>28</w:t>
            </w:r>
            <w:r w:rsidR="0062202D">
              <w:rPr>
                <w:noProof/>
                <w:webHidden/>
              </w:rPr>
              <w:fldChar w:fldCharType="end"/>
            </w:r>
          </w:hyperlink>
        </w:p>
        <w:p w14:paraId="267A1532" w14:textId="543849EE" w:rsidR="0062202D" w:rsidRDefault="00796FE6">
          <w:pPr>
            <w:pStyle w:val="TOC3"/>
            <w:rPr>
              <w:rFonts w:eastAsiaTheme="minorEastAsia"/>
              <w:noProof/>
              <w:lang w:eastAsia="en-AU"/>
            </w:rPr>
          </w:pPr>
          <w:hyperlink w:anchor="_Toc99370661" w:history="1">
            <w:r w:rsidR="0062202D" w:rsidRPr="00CF2C29">
              <w:rPr>
                <w:rStyle w:val="Hyperlink"/>
                <w:noProof/>
              </w:rPr>
              <w:t>Horticulture</w:t>
            </w:r>
            <w:r w:rsidR="0062202D">
              <w:rPr>
                <w:noProof/>
                <w:webHidden/>
              </w:rPr>
              <w:tab/>
            </w:r>
            <w:r w:rsidR="0062202D">
              <w:rPr>
                <w:noProof/>
                <w:webHidden/>
              </w:rPr>
              <w:fldChar w:fldCharType="begin"/>
            </w:r>
            <w:r w:rsidR="0062202D">
              <w:rPr>
                <w:noProof/>
                <w:webHidden/>
              </w:rPr>
              <w:instrText xml:space="preserve"> PAGEREF _Toc99370661 \h </w:instrText>
            </w:r>
            <w:r w:rsidR="0062202D">
              <w:rPr>
                <w:noProof/>
                <w:webHidden/>
              </w:rPr>
            </w:r>
            <w:r w:rsidR="0062202D">
              <w:rPr>
                <w:noProof/>
                <w:webHidden/>
              </w:rPr>
              <w:fldChar w:fldCharType="separate"/>
            </w:r>
            <w:r w:rsidR="0092298E">
              <w:rPr>
                <w:noProof/>
                <w:webHidden/>
              </w:rPr>
              <w:t>30</w:t>
            </w:r>
            <w:r w:rsidR="0062202D">
              <w:rPr>
                <w:noProof/>
                <w:webHidden/>
              </w:rPr>
              <w:fldChar w:fldCharType="end"/>
            </w:r>
          </w:hyperlink>
        </w:p>
        <w:p w14:paraId="348BEB11" w14:textId="584C13C4" w:rsidR="0062202D" w:rsidRDefault="00796FE6">
          <w:pPr>
            <w:pStyle w:val="TOC3"/>
            <w:rPr>
              <w:rFonts w:eastAsiaTheme="minorEastAsia"/>
              <w:noProof/>
              <w:lang w:eastAsia="en-AU"/>
            </w:rPr>
          </w:pPr>
          <w:hyperlink w:anchor="_Toc99370662" w:history="1">
            <w:r w:rsidR="0062202D" w:rsidRPr="00CF2C29">
              <w:rPr>
                <w:rStyle w:val="Hyperlink"/>
                <w:noProof/>
              </w:rPr>
              <w:t>Pulses</w:t>
            </w:r>
            <w:r w:rsidR="0062202D">
              <w:rPr>
                <w:noProof/>
                <w:webHidden/>
              </w:rPr>
              <w:tab/>
            </w:r>
            <w:r w:rsidR="0062202D">
              <w:rPr>
                <w:noProof/>
                <w:webHidden/>
              </w:rPr>
              <w:fldChar w:fldCharType="begin"/>
            </w:r>
            <w:r w:rsidR="0062202D">
              <w:rPr>
                <w:noProof/>
                <w:webHidden/>
              </w:rPr>
              <w:instrText xml:space="preserve"> PAGEREF _Toc99370662 \h </w:instrText>
            </w:r>
            <w:r w:rsidR="0062202D">
              <w:rPr>
                <w:noProof/>
                <w:webHidden/>
              </w:rPr>
            </w:r>
            <w:r w:rsidR="0062202D">
              <w:rPr>
                <w:noProof/>
                <w:webHidden/>
              </w:rPr>
              <w:fldChar w:fldCharType="separate"/>
            </w:r>
            <w:r w:rsidR="0092298E">
              <w:rPr>
                <w:noProof/>
                <w:webHidden/>
              </w:rPr>
              <w:t>32</w:t>
            </w:r>
            <w:r w:rsidR="0062202D">
              <w:rPr>
                <w:noProof/>
                <w:webHidden/>
              </w:rPr>
              <w:fldChar w:fldCharType="end"/>
            </w:r>
          </w:hyperlink>
        </w:p>
        <w:p w14:paraId="76C5C516" w14:textId="6CB64876" w:rsidR="0062202D" w:rsidRDefault="00796FE6">
          <w:pPr>
            <w:pStyle w:val="TOC3"/>
            <w:rPr>
              <w:rFonts w:eastAsiaTheme="minorEastAsia"/>
              <w:noProof/>
              <w:lang w:eastAsia="en-AU"/>
            </w:rPr>
          </w:pPr>
          <w:hyperlink w:anchor="_Toc99370663" w:history="1">
            <w:r w:rsidR="0062202D" w:rsidRPr="00CF2C29">
              <w:rPr>
                <w:rStyle w:val="Hyperlink"/>
                <w:noProof/>
              </w:rPr>
              <w:t>Cereals</w:t>
            </w:r>
            <w:r w:rsidR="0062202D">
              <w:rPr>
                <w:noProof/>
                <w:webHidden/>
              </w:rPr>
              <w:tab/>
            </w:r>
            <w:r w:rsidR="0062202D">
              <w:rPr>
                <w:noProof/>
                <w:webHidden/>
              </w:rPr>
              <w:fldChar w:fldCharType="begin"/>
            </w:r>
            <w:r w:rsidR="0062202D">
              <w:rPr>
                <w:noProof/>
                <w:webHidden/>
              </w:rPr>
              <w:instrText xml:space="preserve"> PAGEREF _Toc99370663 \h </w:instrText>
            </w:r>
            <w:r w:rsidR="0062202D">
              <w:rPr>
                <w:noProof/>
                <w:webHidden/>
              </w:rPr>
            </w:r>
            <w:r w:rsidR="0062202D">
              <w:rPr>
                <w:noProof/>
                <w:webHidden/>
              </w:rPr>
              <w:fldChar w:fldCharType="separate"/>
            </w:r>
            <w:r w:rsidR="0092298E">
              <w:rPr>
                <w:noProof/>
                <w:webHidden/>
              </w:rPr>
              <w:t>33</w:t>
            </w:r>
            <w:r w:rsidR="0062202D">
              <w:rPr>
                <w:noProof/>
                <w:webHidden/>
              </w:rPr>
              <w:fldChar w:fldCharType="end"/>
            </w:r>
          </w:hyperlink>
        </w:p>
        <w:p w14:paraId="1C26DC00" w14:textId="2833ADC6" w:rsidR="0062202D" w:rsidRDefault="00796FE6">
          <w:pPr>
            <w:pStyle w:val="TOC3"/>
            <w:rPr>
              <w:rFonts w:eastAsiaTheme="minorEastAsia"/>
              <w:noProof/>
              <w:lang w:eastAsia="en-AU"/>
            </w:rPr>
          </w:pPr>
          <w:hyperlink w:anchor="_Toc99370664" w:history="1">
            <w:r w:rsidR="0062202D" w:rsidRPr="00CF2C29">
              <w:rPr>
                <w:rStyle w:val="Hyperlink"/>
                <w:noProof/>
              </w:rPr>
              <w:t>Cotton</w:t>
            </w:r>
            <w:r w:rsidR="0062202D">
              <w:rPr>
                <w:noProof/>
                <w:webHidden/>
              </w:rPr>
              <w:tab/>
            </w:r>
            <w:r w:rsidR="0062202D">
              <w:rPr>
                <w:noProof/>
                <w:webHidden/>
              </w:rPr>
              <w:fldChar w:fldCharType="begin"/>
            </w:r>
            <w:r w:rsidR="0062202D">
              <w:rPr>
                <w:noProof/>
                <w:webHidden/>
              </w:rPr>
              <w:instrText xml:space="preserve"> PAGEREF _Toc99370664 \h </w:instrText>
            </w:r>
            <w:r w:rsidR="0062202D">
              <w:rPr>
                <w:noProof/>
                <w:webHidden/>
              </w:rPr>
            </w:r>
            <w:r w:rsidR="0062202D">
              <w:rPr>
                <w:noProof/>
                <w:webHidden/>
              </w:rPr>
              <w:fldChar w:fldCharType="separate"/>
            </w:r>
            <w:r w:rsidR="0092298E">
              <w:rPr>
                <w:noProof/>
                <w:webHidden/>
              </w:rPr>
              <w:t>35</w:t>
            </w:r>
            <w:r w:rsidR="0062202D">
              <w:rPr>
                <w:noProof/>
                <w:webHidden/>
              </w:rPr>
              <w:fldChar w:fldCharType="end"/>
            </w:r>
          </w:hyperlink>
        </w:p>
        <w:p w14:paraId="19D29AFC" w14:textId="0F0ED223" w:rsidR="0062202D" w:rsidRDefault="00796FE6">
          <w:pPr>
            <w:pStyle w:val="TOC3"/>
            <w:rPr>
              <w:rFonts w:eastAsiaTheme="minorEastAsia"/>
              <w:noProof/>
              <w:lang w:eastAsia="en-AU"/>
            </w:rPr>
          </w:pPr>
          <w:hyperlink w:anchor="_Toc99370665" w:history="1">
            <w:r w:rsidR="0062202D" w:rsidRPr="00CF2C29">
              <w:rPr>
                <w:rStyle w:val="Hyperlink"/>
                <w:noProof/>
              </w:rPr>
              <w:t>Processed Dairy</w:t>
            </w:r>
            <w:r w:rsidR="0062202D">
              <w:rPr>
                <w:noProof/>
                <w:webHidden/>
              </w:rPr>
              <w:tab/>
            </w:r>
            <w:r w:rsidR="0062202D">
              <w:rPr>
                <w:noProof/>
                <w:webHidden/>
              </w:rPr>
              <w:fldChar w:fldCharType="begin"/>
            </w:r>
            <w:r w:rsidR="0062202D">
              <w:rPr>
                <w:noProof/>
                <w:webHidden/>
              </w:rPr>
              <w:instrText xml:space="preserve"> PAGEREF _Toc99370665 \h </w:instrText>
            </w:r>
            <w:r w:rsidR="0062202D">
              <w:rPr>
                <w:noProof/>
                <w:webHidden/>
              </w:rPr>
            </w:r>
            <w:r w:rsidR="0062202D">
              <w:rPr>
                <w:noProof/>
                <w:webHidden/>
              </w:rPr>
              <w:fldChar w:fldCharType="separate"/>
            </w:r>
            <w:r w:rsidR="0092298E">
              <w:rPr>
                <w:noProof/>
                <w:webHidden/>
              </w:rPr>
              <w:t>35</w:t>
            </w:r>
            <w:r w:rsidR="0062202D">
              <w:rPr>
                <w:noProof/>
                <w:webHidden/>
              </w:rPr>
              <w:fldChar w:fldCharType="end"/>
            </w:r>
          </w:hyperlink>
        </w:p>
        <w:p w14:paraId="3F9064C1" w14:textId="0BC1DA85" w:rsidR="0062202D" w:rsidRDefault="00796FE6">
          <w:pPr>
            <w:pStyle w:val="TOC3"/>
            <w:rPr>
              <w:rFonts w:eastAsiaTheme="minorEastAsia"/>
              <w:noProof/>
              <w:lang w:eastAsia="en-AU"/>
            </w:rPr>
          </w:pPr>
          <w:hyperlink w:anchor="_Toc99370666" w:history="1">
            <w:r w:rsidR="0062202D" w:rsidRPr="00CF2C29">
              <w:rPr>
                <w:rStyle w:val="Hyperlink"/>
                <w:noProof/>
              </w:rPr>
              <w:t>Processed foods</w:t>
            </w:r>
            <w:r w:rsidR="0062202D">
              <w:rPr>
                <w:noProof/>
                <w:webHidden/>
              </w:rPr>
              <w:tab/>
            </w:r>
            <w:r w:rsidR="0062202D">
              <w:rPr>
                <w:noProof/>
                <w:webHidden/>
              </w:rPr>
              <w:fldChar w:fldCharType="begin"/>
            </w:r>
            <w:r w:rsidR="0062202D">
              <w:rPr>
                <w:noProof/>
                <w:webHidden/>
              </w:rPr>
              <w:instrText xml:space="preserve"> PAGEREF _Toc99370666 \h </w:instrText>
            </w:r>
            <w:r w:rsidR="0062202D">
              <w:rPr>
                <w:noProof/>
                <w:webHidden/>
              </w:rPr>
            </w:r>
            <w:r w:rsidR="0062202D">
              <w:rPr>
                <w:noProof/>
                <w:webHidden/>
              </w:rPr>
              <w:fldChar w:fldCharType="separate"/>
            </w:r>
            <w:r w:rsidR="0092298E">
              <w:rPr>
                <w:noProof/>
                <w:webHidden/>
              </w:rPr>
              <w:t>36</w:t>
            </w:r>
            <w:r w:rsidR="0062202D">
              <w:rPr>
                <w:noProof/>
                <w:webHidden/>
              </w:rPr>
              <w:fldChar w:fldCharType="end"/>
            </w:r>
          </w:hyperlink>
        </w:p>
        <w:p w14:paraId="2176043A" w14:textId="4E1778A6" w:rsidR="0062202D" w:rsidRDefault="00796FE6">
          <w:pPr>
            <w:pStyle w:val="TOC2"/>
            <w:rPr>
              <w:rFonts w:eastAsiaTheme="minorEastAsia"/>
              <w:noProof/>
              <w:lang w:eastAsia="en-AU"/>
            </w:rPr>
          </w:pPr>
          <w:hyperlink w:anchor="_Toc99370667" w:history="1">
            <w:r w:rsidR="0062202D" w:rsidRPr="00CF2C29">
              <w:rPr>
                <w:rStyle w:val="Hyperlink"/>
                <w:noProof/>
              </w:rPr>
              <w:t>Key goods market access outcomes for India</w:t>
            </w:r>
            <w:r w:rsidR="0062202D">
              <w:rPr>
                <w:noProof/>
                <w:webHidden/>
              </w:rPr>
              <w:tab/>
            </w:r>
            <w:r w:rsidR="0062202D">
              <w:rPr>
                <w:noProof/>
                <w:webHidden/>
              </w:rPr>
              <w:fldChar w:fldCharType="begin"/>
            </w:r>
            <w:r w:rsidR="0062202D">
              <w:rPr>
                <w:noProof/>
                <w:webHidden/>
              </w:rPr>
              <w:instrText xml:space="preserve"> PAGEREF _Toc99370667 \h </w:instrText>
            </w:r>
            <w:r w:rsidR="0062202D">
              <w:rPr>
                <w:noProof/>
                <w:webHidden/>
              </w:rPr>
            </w:r>
            <w:r w:rsidR="0062202D">
              <w:rPr>
                <w:noProof/>
                <w:webHidden/>
              </w:rPr>
              <w:fldChar w:fldCharType="separate"/>
            </w:r>
            <w:r w:rsidR="0092298E">
              <w:rPr>
                <w:noProof/>
                <w:webHidden/>
              </w:rPr>
              <w:t>36</w:t>
            </w:r>
            <w:r w:rsidR="0062202D">
              <w:rPr>
                <w:noProof/>
                <w:webHidden/>
              </w:rPr>
              <w:fldChar w:fldCharType="end"/>
            </w:r>
          </w:hyperlink>
        </w:p>
        <w:p w14:paraId="478CDCD1" w14:textId="3EA17904" w:rsidR="0062202D" w:rsidRDefault="00796FE6">
          <w:pPr>
            <w:pStyle w:val="TOC2"/>
            <w:rPr>
              <w:rFonts w:eastAsiaTheme="minorEastAsia"/>
              <w:noProof/>
              <w:lang w:eastAsia="en-AU"/>
            </w:rPr>
          </w:pPr>
          <w:hyperlink w:anchor="_Toc99370668" w:history="1">
            <w:r w:rsidR="0062202D" w:rsidRPr="00CF2C29">
              <w:rPr>
                <w:rStyle w:val="Hyperlink"/>
                <w:noProof/>
              </w:rPr>
              <w:t>Trade in Goods Chapter Outcomes</w:t>
            </w:r>
            <w:r w:rsidR="0062202D">
              <w:rPr>
                <w:noProof/>
                <w:webHidden/>
              </w:rPr>
              <w:tab/>
            </w:r>
            <w:r w:rsidR="0062202D">
              <w:rPr>
                <w:noProof/>
                <w:webHidden/>
              </w:rPr>
              <w:fldChar w:fldCharType="begin"/>
            </w:r>
            <w:r w:rsidR="0062202D">
              <w:rPr>
                <w:noProof/>
                <w:webHidden/>
              </w:rPr>
              <w:instrText xml:space="preserve"> PAGEREF _Toc99370668 \h </w:instrText>
            </w:r>
            <w:r w:rsidR="0062202D">
              <w:rPr>
                <w:noProof/>
                <w:webHidden/>
              </w:rPr>
            </w:r>
            <w:r w:rsidR="0062202D">
              <w:rPr>
                <w:noProof/>
                <w:webHidden/>
              </w:rPr>
              <w:fldChar w:fldCharType="separate"/>
            </w:r>
            <w:r w:rsidR="0092298E">
              <w:rPr>
                <w:noProof/>
                <w:webHidden/>
              </w:rPr>
              <w:t>38</w:t>
            </w:r>
            <w:r w:rsidR="0062202D">
              <w:rPr>
                <w:noProof/>
                <w:webHidden/>
              </w:rPr>
              <w:fldChar w:fldCharType="end"/>
            </w:r>
          </w:hyperlink>
        </w:p>
        <w:p w14:paraId="02001D2A" w14:textId="19C7C44C" w:rsidR="0062202D" w:rsidRDefault="00796FE6">
          <w:pPr>
            <w:pStyle w:val="TOC2"/>
            <w:rPr>
              <w:rFonts w:eastAsiaTheme="minorEastAsia"/>
              <w:noProof/>
              <w:lang w:eastAsia="en-AU"/>
            </w:rPr>
          </w:pPr>
          <w:hyperlink w:anchor="_Toc99370669" w:history="1">
            <w:r w:rsidR="0062202D" w:rsidRPr="00CF2C29">
              <w:rPr>
                <w:rStyle w:val="Hyperlink"/>
                <w:noProof/>
              </w:rPr>
              <w:t>The impact of liberalising trade in services with India</w:t>
            </w:r>
            <w:r w:rsidR="0062202D">
              <w:rPr>
                <w:noProof/>
                <w:webHidden/>
              </w:rPr>
              <w:tab/>
            </w:r>
            <w:r w:rsidR="0062202D">
              <w:rPr>
                <w:noProof/>
                <w:webHidden/>
              </w:rPr>
              <w:fldChar w:fldCharType="begin"/>
            </w:r>
            <w:r w:rsidR="0062202D">
              <w:rPr>
                <w:noProof/>
                <w:webHidden/>
              </w:rPr>
              <w:instrText xml:space="preserve"> PAGEREF _Toc99370669 \h </w:instrText>
            </w:r>
            <w:r w:rsidR="0062202D">
              <w:rPr>
                <w:noProof/>
                <w:webHidden/>
              </w:rPr>
            </w:r>
            <w:r w:rsidR="0062202D">
              <w:rPr>
                <w:noProof/>
                <w:webHidden/>
              </w:rPr>
              <w:fldChar w:fldCharType="separate"/>
            </w:r>
            <w:r w:rsidR="0092298E">
              <w:rPr>
                <w:noProof/>
                <w:webHidden/>
              </w:rPr>
              <w:t>39</w:t>
            </w:r>
            <w:r w:rsidR="0062202D">
              <w:rPr>
                <w:noProof/>
                <w:webHidden/>
              </w:rPr>
              <w:fldChar w:fldCharType="end"/>
            </w:r>
          </w:hyperlink>
        </w:p>
        <w:p w14:paraId="596B8290" w14:textId="7EC3FA43" w:rsidR="0062202D" w:rsidRDefault="00796FE6">
          <w:pPr>
            <w:pStyle w:val="TOC2"/>
            <w:rPr>
              <w:rFonts w:eastAsiaTheme="minorEastAsia"/>
              <w:noProof/>
              <w:lang w:eastAsia="en-AU"/>
            </w:rPr>
          </w:pPr>
          <w:hyperlink w:anchor="_Toc99370670" w:history="1">
            <w:r w:rsidR="0062202D" w:rsidRPr="00CF2C29">
              <w:rPr>
                <w:rStyle w:val="Hyperlink"/>
                <w:noProof/>
              </w:rPr>
              <w:t>The impact of key services market access outcomes</w:t>
            </w:r>
            <w:r w:rsidR="0062202D">
              <w:rPr>
                <w:noProof/>
                <w:webHidden/>
              </w:rPr>
              <w:tab/>
            </w:r>
            <w:r w:rsidR="0062202D">
              <w:rPr>
                <w:noProof/>
                <w:webHidden/>
              </w:rPr>
              <w:fldChar w:fldCharType="begin"/>
            </w:r>
            <w:r w:rsidR="0062202D">
              <w:rPr>
                <w:noProof/>
                <w:webHidden/>
              </w:rPr>
              <w:instrText xml:space="preserve"> PAGEREF _Toc99370670 \h </w:instrText>
            </w:r>
            <w:r w:rsidR="0062202D">
              <w:rPr>
                <w:noProof/>
                <w:webHidden/>
              </w:rPr>
            </w:r>
            <w:r w:rsidR="0062202D">
              <w:rPr>
                <w:noProof/>
                <w:webHidden/>
              </w:rPr>
              <w:fldChar w:fldCharType="separate"/>
            </w:r>
            <w:r w:rsidR="0092298E">
              <w:rPr>
                <w:noProof/>
                <w:webHidden/>
              </w:rPr>
              <w:t>40</w:t>
            </w:r>
            <w:r w:rsidR="0062202D">
              <w:rPr>
                <w:noProof/>
                <w:webHidden/>
              </w:rPr>
              <w:fldChar w:fldCharType="end"/>
            </w:r>
          </w:hyperlink>
        </w:p>
        <w:p w14:paraId="0C7CB1E6" w14:textId="180F390B" w:rsidR="0062202D" w:rsidRDefault="00796FE6">
          <w:pPr>
            <w:pStyle w:val="TOC2"/>
            <w:rPr>
              <w:rFonts w:eastAsiaTheme="minorEastAsia"/>
              <w:noProof/>
              <w:lang w:eastAsia="en-AU"/>
            </w:rPr>
          </w:pPr>
          <w:hyperlink w:anchor="_Toc99370671" w:history="1">
            <w:r w:rsidR="0062202D" w:rsidRPr="00CF2C29">
              <w:rPr>
                <w:rStyle w:val="Hyperlink"/>
                <w:noProof/>
              </w:rPr>
              <w:t>Trade in Services Chapter outcomes</w:t>
            </w:r>
            <w:r w:rsidR="0062202D">
              <w:rPr>
                <w:noProof/>
                <w:webHidden/>
              </w:rPr>
              <w:tab/>
            </w:r>
            <w:r w:rsidR="0062202D">
              <w:rPr>
                <w:noProof/>
                <w:webHidden/>
              </w:rPr>
              <w:fldChar w:fldCharType="begin"/>
            </w:r>
            <w:r w:rsidR="0062202D">
              <w:rPr>
                <w:noProof/>
                <w:webHidden/>
              </w:rPr>
              <w:instrText xml:space="preserve"> PAGEREF _Toc99370671 \h </w:instrText>
            </w:r>
            <w:r w:rsidR="0062202D">
              <w:rPr>
                <w:noProof/>
                <w:webHidden/>
              </w:rPr>
            </w:r>
            <w:r w:rsidR="0062202D">
              <w:rPr>
                <w:noProof/>
                <w:webHidden/>
              </w:rPr>
              <w:fldChar w:fldCharType="separate"/>
            </w:r>
            <w:r w:rsidR="0092298E">
              <w:rPr>
                <w:noProof/>
                <w:webHidden/>
              </w:rPr>
              <w:t>45</w:t>
            </w:r>
            <w:r w:rsidR="0062202D">
              <w:rPr>
                <w:noProof/>
                <w:webHidden/>
              </w:rPr>
              <w:fldChar w:fldCharType="end"/>
            </w:r>
          </w:hyperlink>
        </w:p>
        <w:p w14:paraId="26C17808" w14:textId="3ADB8F60" w:rsidR="0062202D" w:rsidRDefault="00796FE6">
          <w:pPr>
            <w:pStyle w:val="TOC3"/>
            <w:rPr>
              <w:rFonts w:eastAsiaTheme="minorEastAsia"/>
              <w:noProof/>
              <w:lang w:eastAsia="en-AU"/>
            </w:rPr>
          </w:pPr>
          <w:hyperlink w:anchor="_Toc99370672" w:history="1">
            <w:r w:rsidR="0062202D" w:rsidRPr="00CF2C29">
              <w:rPr>
                <w:rStyle w:val="Hyperlink"/>
                <w:noProof/>
              </w:rPr>
              <w:t>Impact on financial services</w:t>
            </w:r>
            <w:r w:rsidR="0062202D">
              <w:rPr>
                <w:noProof/>
                <w:webHidden/>
              </w:rPr>
              <w:tab/>
            </w:r>
            <w:r w:rsidR="0062202D">
              <w:rPr>
                <w:noProof/>
                <w:webHidden/>
              </w:rPr>
              <w:fldChar w:fldCharType="begin"/>
            </w:r>
            <w:r w:rsidR="0062202D">
              <w:rPr>
                <w:noProof/>
                <w:webHidden/>
              </w:rPr>
              <w:instrText xml:space="preserve"> PAGEREF _Toc99370672 \h </w:instrText>
            </w:r>
            <w:r w:rsidR="0062202D">
              <w:rPr>
                <w:noProof/>
                <w:webHidden/>
              </w:rPr>
            </w:r>
            <w:r w:rsidR="0062202D">
              <w:rPr>
                <w:noProof/>
                <w:webHidden/>
              </w:rPr>
              <w:fldChar w:fldCharType="separate"/>
            </w:r>
            <w:r w:rsidR="0092298E">
              <w:rPr>
                <w:noProof/>
                <w:webHidden/>
              </w:rPr>
              <w:t>47</w:t>
            </w:r>
            <w:r w:rsidR="0062202D">
              <w:rPr>
                <w:noProof/>
                <w:webHidden/>
              </w:rPr>
              <w:fldChar w:fldCharType="end"/>
            </w:r>
          </w:hyperlink>
        </w:p>
        <w:p w14:paraId="67269C93" w14:textId="7FF6A51F" w:rsidR="0062202D" w:rsidRDefault="00796FE6">
          <w:pPr>
            <w:pStyle w:val="TOC3"/>
            <w:rPr>
              <w:rFonts w:eastAsiaTheme="minorEastAsia"/>
              <w:noProof/>
              <w:lang w:eastAsia="en-AU"/>
            </w:rPr>
          </w:pPr>
          <w:hyperlink w:anchor="_Toc99370673" w:history="1">
            <w:r w:rsidR="0062202D" w:rsidRPr="00CF2C29">
              <w:rPr>
                <w:rStyle w:val="Hyperlink"/>
                <w:noProof/>
              </w:rPr>
              <w:t>Impact on telecommunications services</w:t>
            </w:r>
            <w:r w:rsidR="0062202D">
              <w:rPr>
                <w:noProof/>
                <w:webHidden/>
              </w:rPr>
              <w:tab/>
            </w:r>
            <w:r w:rsidR="0062202D">
              <w:rPr>
                <w:noProof/>
                <w:webHidden/>
              </w:rPr>
              <w:fldChar w:fldCharType="begin"/>
            </w:r>
            <w:r w:rsidR="0062202D">
              <w:rPr>
                <w:noProof/>
                <w:webHidden/>
              </w:rPr>
              <w:instrText xml:space="preserve"> PAGEREF _Toc99370673 \h </w:instrText>
            </w:r>
            <w:r w:rsidR="0062202D">
              <w:rPr>
                <w:noProof/>
                <w:webHidden/>
              </w:rPr>
            </w:r>
            <w:r w:rsidR="0062202D">
              <w:rPr>
                <w:noProof/>
                <w:webHidden/>
              </w:rPr>
              <w:fldChar w:fldCharType="separate"/>
            </w:r>
            <w:r w:rsidR="0092298E">
              <w:rPr>
                <w:noProof/>
                <w:webHidden/>
              </w:rPr>
              <w:t>48</w:t>
            </w:r>
            <w:r w:rsidR="0062202D">
              <w:rPr>
                <w:noProof/>
                <w:webHidden/>
              </w:rPr>
              <w:fldChar w:fldCharType="end"/>
            </w:r>
          </w:hyperlink>
        </w:p>
        <w:p w14:paraId="4F51B328" w14:textId="3A7B452F" w:rsidR="0062202D" w:rsidRDefault="00796FE6">
          <w:pPr>
            <w:pStyle w:val="TOC3"/>
            <w:rPr>
              <w:rFonts w:eastAsiaTheme="minorEastAsia"/>
              <w:noProof/>
              <w:lang w:eastAsia="en-AU"/>
            </w:rPr>
          </w:pPr>
          <w:hyperlink w:anchor="_Toc99370674" w:history="1">
            <w:r w:rsidR="0062202D" w:rsidRPr="00CF2C29">
              <w:rPr>
                <w:rStyle w:val="Hyperlink"/>
                <w:noProof/>
              </w:rPr>
              <w:t>Impact on professional services</w:t>
            </w:r>
            <w:r w:rsidR="0062202D">
              <w:rPr>
                <w:noProof/>
                <w:webHidden/>
              </w:rPr>
              <w:tab/>
            </w:r>
            <w:r w:rsidR="0062202D">
              <w:rPr>
                <w:noProof/>
                <w:webHidden/>
              </w:rPr>
              <w:fldChar w:fldCharType="begin"/>
            </w:r>
            <w:r w:rsidR="0062202D">
              <w:rPr>
                <w:noProof/>
                <w:webHidden/>
              </w:rPr>
              <w:instrText xml:space="preserve"> PAGEREF _Toc99370674 \h </w:instrText>
            </w:r>
            <w:r w:rsidR="0062202D">
              <w:rPr>
                <w:noProof/>
                <w:webHidden/>
              </w:rPr>
            </w:r>
            <w:r w:rsidR="0062202D">
              <w:rPr>
                <w:noProof/>
                <w:webHidden/>
              </w:rPr>
              <w:fldChar w:fldCharType="separate"/>
            </w:r>
            <w:r w:rsidR="0092298E">
              <w:rPr>
                <w:noProof/>
                <w:webHidden/>
              </w:rPr>
              <w:t>50</w:t>
            </w:r>
            <w:r w:rsidR="0062202D">
              <w:rPr>
                <w:noProof/>
                <w:webHidden/>
              </w:rPr>
              <w:fldChar w:fldCharType="end"/>
            </w:r>
          </w:hyperlink>
        </w:p>
        <w:p w14:paraId="0C52D3C3" w14:textId="49DFA781" w:rsidR="0062202D" w:rsidRDefault="00796FE6">
          <w:pPr>
            <w:pStyle w:val="TOC3"/>
            <w:rPr>
              <w:rFonts w:eastAsiaTheme="minorEastAsia"/>
              <w:noProof/>
              <w:lang w:eastAsia="en-AU"/>
            </w:rPr>
          </w:pPr>
          <w:hyperlink w:anchor="_Toc99370675" w:history="1">
            <w:r w:rsidR="0062202D" w:rsidRPr="00CF2C29">
              <w:rPr>
                <w:rStyle w:val="Hyperlink"/>
                <w:noProof/>
              </w:rPr>
              <w:t>Clarity regarding domestic regulations</w:t>
            </w:r>
            <w:r w:rsidR="0062202D">
              <w:rPr>
                <w:noProof/>
                <w:webHidden/>
              </w:rPr>
              <w:tab/>
            </w:r>
            <w:r w:rsidR="0062202D">
              <w:rPr>
                <w:noProof/>
                <w:webHidden/>
              </w:rPr>
              <w:fldChar w:fldCharType="begin"/>
            </w:r>
            <w:r w:rsidR="0062202D">
              <w:rPr>
                <w:noProof/>
                <w:webHidden/>
              </w:rPr>
              <w:instrText xml:space="preserve"> PAGEREF _Toc99370675 \h </w:instrText>
            </w:r>
            <w:r w:rsidR="0062202D">
              <w:rPr>
                <w:noProof/>
                <w:webHidden/>
              </w:rPr>
            </w:r>
            <w:r w:rsidR="0062202D">
              <w:rPr>
                <w:noProof/>
                <w:webHidden/>
              </w:rPr>
              <w:fldChar w:fldCharType="separate"/>
            </w:r>
            <w:r w:rsidR="0092298E">
              <w:rPr>
                <w:noProof/>
                <w:webHidden/>
              </w:rPr>
              <w:t>51</w:t>
            </w:r>
            <w:r w:rsidR="0062202D">
              <w:rPr>
                <w:noProof/>
                <w:webHidden/>
              </w:rPr>
              <w:fldChar w:fldCharType="end"/>
            </w:r>
          </w:hyperlink>
        </w:p>
        <w:p w14:paraId="6092853A" w14:textId="73191100" w:rsidR="0062202D" w:rsidRDefault="00796FE6">
          <w:pPr>
            <w:pStyle w:val="TOC3"/>
            <w:rPr>
              <w:rFonts w:eastAsiaTheme="minorEastAsia"/>
              <w:noProof/>
              <w:lang w:eastAsia="en-AU"/>
            </w:rPr>
          </w:pPr>
          <w:hyperlink w:anchor="_Toc99370676" w:history="1">
            <w:r w:rsidR="0062202D" w:rsidRPr="00CF2C29">
              <w:rPr>
                <w:rStyle w:val="Hyperlink"/>
                <w:noProof/>
              </w:rPr>
              <w:t>Impact on taxation of services</w:t>
            </w:r>
            <w:r w:rsidR="0062202D">
              <w:rPr>
                <w:noProof/>
                <w:webHidden/>
              </w:rPr>
              <w:tab/>
            </w:r>
            <w:r w:rsidR="0062202D">
              <w:rPr>
                <w:noProof/>
                <w:webHidden/>
              </w:rPr>
              <w:fldChar w:fldCharType="begin"/>
            </w:r>
            <w:r w:rsidR="0062202D">
              <w:rPr>
                <w:noProof/>
                <w:webHidden/>
              </w:rPr>
              <w:instrText xml:space="preserve"> PAGEREF _Toc99370676 \h </w:instrText>
            </w:r>
            <w:r w:rsidR="0062202D">
              <w:rPr>
                <w:noProof/>
                <w:webHidden/>
              </w:rPr>
            </w:r>
            <w:r w:rsidR="0062202D">
              <w:rPr>
                <w:noProof/>
                <w:webHidden/>
              </w:rPr>
              <w:fldChar w:fldCharType="separate"/>
            </w:r>
            <w:r w:rsidR="0092298E">
              <w:rPr>
                <w:noProof/>
                <w:webHidden/>
              </w:rPr>
              <w:t>51</w:t>
            </w:r>
            <w:r w:rsidR="0062202D">
              <w:rPr>
                <w:noProof/>
                <w:webHidden/>
              </w:rPr>
              <w:fldChar w:fldCharType="end"/>
            </w:r>
          </w:hyperlink>
        </w:p>
        <w:p w14:paraId="700DF469" w14:textId="6C6211B3" w:rsidR="0062202D" w:rsidRDefault="00796FE6">
          <w:pPr>
            <w:pStyle w:val="TOC3"/>
            <w:rPr>
              <w:rFonts w:eastAsiaTheme="minorEastAsia"/>
              <w:noProof/>
              <w:lang w:eastAsia="en-AU"/>
            </w:rPr>
          </w:pPr>
          <w:hyperlink w:anchor="_Toc99370677" w:history="1">
            <w:r w:rsidR="0062202D" w:rsidRPr="00CF2C29">
              <w:rPr>
                <w:rStyle w:val="Hyperlink"/>
                <w:noProof/>
              </w:rPr>
              <w:t>Impact of key mobility (temporary entry) market access outcomes</w:t>
            </w:r>
            <w:r w:rsidR="0062202D">
              <w:rPr>
                <w:noProof/>
                <w:webHidden/>
              </w:rPr>
              <w:tab/>
            </w:r>
            <w:r w:rsidR="0062202D">
              <w:rPr>
                <w:noProof/>
                <w:webHidden/>
              </w:rPr>
              <w:fldChar w:fldCharType="begin"/>
            </w:r>
            <w:r w:rsidR="0062202D">
              <w:rPr>
                <w:noProof/>
                <w:webHidden/>
              </w:rPr>
              <w:instrText xml:space="preserve"> PAGEREF _Toc99370677 \h </w:instrText>
            </w:r>
            <w:r w:rsidR="0062202D">
              <w:rPr>
                <w:noProof/>
                <w:webHidden/>
              </w:rPr>
            </w:r>
            <w:r w:rsidR="0062202D">
              <w:rPr>
                <w:noProof/>
                <w:webHidden/>
              </w:rPr>
              <w:fldChar w:fldCharType="separate"/>
            </w:r>
            <w:r w:rsidR="0092298E">
              <w:rPr>
                <w:noProof/>
                <w:webHidden/>
              </w:rPr>
              <w:t>52</w:t>
            </w:r>
            <w:r w:rsidR="0062202D">
              <w:rPr>
                <w:noProof/>
                <w:webHidden/>
              </w:rPr>
              <w:fldChar w:fldCharType="end"/>
            </w:r>
          </w:hyperlink>
        </w:p>
        <w:p w14:paraId="62664106" w14:textId="108B47D6" w:rsidR="0062202D" w:rsidRDefault="00796FE6">
          <w:pPr>
            <w:pStyle w:val="TOC1"/>
            <w:rPr>
              <w:rFonts w:eastAsiaTheme="minorEastAsia"/>
              <w:noProof/>
              <w:lang w:eastAsia="en-AU"/>
            </w:rPr>
          </w:pPr>
          <w:hyperlink w:anchor="_Toc99370678" w:history="1">
            <w:r w:rsidR="0062202D" w:rsidRPr="00CF2C29">
              <w:rPr>
                <w:rStyle w:val="Hyperlink"/>
                <w:noProof/>
              </w:rPr>
              <w:t>WHO DID YOU CONSULT AND HOW DID YOU INCORPORATE THEIR FEEDBACK?</w:t>
            </w:r>
            <w:r w:rsidR="0062202D">
              <w:rPr>
                <w:noProof/>
                <w:webHidden/>
              </w:rPr>
              <w:tab/>
            </w:r>
            <w:r w:rsidR="0062202D">
              <w:rPr>
                <w:noProof/>
                <w:webHidden/>
              </w:rPr>
              <w:fldChar w:fldCharType="begin"/>
            </w:r>
            <w:r w:rsidR="0062202D">
              <w:rPr>
                <w:noProof/>
                <w:webHidden/>
              </w:rPr>
              <w:instrText xml:space="preserve"> PAGEREF _Toc99370678 \h </w:instrText>
            </w:r>
            <w:r w:rsidR="0062202D">
              <w:rPr>
                <w:noProof/>
                <w:webHidden/>
              </w:rPr>
            </w:r>
            <w:r w:rsidR="0062202D">
              <w:rPr>
                <w:noProof/>
                <w:webHidden/>
              </w:rPr>
              <w:fldChar w:fldCharType="separate"/>
            </w:r>
            <w:r w:rsidR="0092298E">
              <w:rPr>
                <w:noProof/>
                <w:webHidden/>
              </w:rPr>
              <w:t>55</w:t>
            </w:r>
            <w:r w:rsidR="0062202D">
              <w:rPr>
                <w:noProof/>
                <w:webHidden/>
              </w:rPr>
              <w:fldChar w:fldCharType="end"/>
            </w:r>
          </w:hyperlink>
        </w:p>
        <w:p w14:paraId="07D97E24" w14:textId="6A569AC3" w:rsidR="0062202D" w:rsidRDefault="00796FE6">
          <w:pPr>
            <w:pStyle w:val="TOC2"/>
            <w:rPr>
              <w:rFonts w:eastAsiaTheme="minorEastAsia"/>
              <w:noProof/>
              <w:lang w:eastAsia="en-AU"/>
            </w:rPr>
          </w:pPr>
          <w:hyperlink w:anchor="_Toc99370679" w:history="1">
            <w:r w:rsidR="0062202D" w:rsidRPr="00CF2C29">
              <w:rPr>
                <w:rStyle w:val="Hyperlink"/>
                <w:noProof/>
              </w:rPr>
              <w:t>The stakeholder engagement process in the CECA negotiations</w:t>
            </w:r>
            <w:r w:rsidR="0062202D">
              <w:rPr>
                <w:noProof/>
                <w:webHidden/>
              </w:rPr>
              <w:tab/>
            </w:r>
            <w:r w:rsidR="0062202D">
              <w:rPr>
                <w:noProof/>
                <w:webHidden/>
              </w:rPr>
              <w:fldChar w:fldCharType="begin"/>
            </w:r>
            <w:r w:rsidR="0062202D">
              <w:rPr>
                <w:noProof/>
                <w:webHidden/>
              </w:rPr>
              <w:instrText xml:space="preserve"> PAGEREF _Toc99370679 \h </w:instrText>
            </w:r>
            <w:r w:rsidR="0062202D">
              <w:rPr>
                <w:noProof/>
                <w:webHidden/>
              </w:rPr>
            </w:r>
            <w:r w:rsidR="0062202D">
              <w:rPr>
                <w:noProof/>
                <w:webHidden/>
              </w:rPr>
              <w:fldChar w:fldCharType="separate"/>
            </w:r>
            <w:r w:rsidR="0092298E">
              <w:rPr>
                <w:noProof/>
                <w:webHidden/>
              </w:rPr>
              <w:t>55</w:t>
            </w:r>
            <w:r w:rsidR="0062202D">
              <w:rPr>
                <w:noProof/>
                <w:webHidden/>
              </w:rPr>
              <w:fldChar w:fldCharType="end"/>
            </w:r>
          </w:hyperlink>
        </w:p>
        <w:p w14:paraId="3DC8E154" w14:textId="0F7E0E56" w:rsidR="0062202D" w:rsidRDefault="00796FE6">
          <w:pPr>
            <w:pStyle w:val="TOC2"/>
            <w:rPr>
              <w:rFonts w:eastAsiaTheme="minorEastAsia"/>
              <w:noProof/>
              <w:lang w:eastAsia="en-AU"/>
            </w:rPr>
          </w:pPr>
          <w:hyperlink w:anchor="_Toc99370680" w:history="1">
            <w:r w:rsidR="0062202D" w:rsidRPr="00CF2C29">
              <w:rPr>
                <w:rStyle w:val="Hyperlink"/>
                <w:noProof/>
              </w:rPr>
              <w:t>Business, Industry and Civil Society</w:t>
            </w:r>
            <w:r w:rsidR="0062202D">
              <w:rPr>
                <w:noProof/>
                <w:webHidden/>
              </w:rPr>
              <w:tab/>
            </w:r>
            <w:r w:rsidR="0062202D">
              <w:rPr>
                <w:noProof/>
                <w:webHidden/>
              </w:rPr>
              <w:fldChar w:fldCharType="begin"/>
            </w:r>
            <w:r w:rsidR="0062202D">
              <w:rPr>
                <w:noProof/>
                <w:webHidden/>
              </w:rPr>
              <w:instrText xml:space="preserve"> PAGEREF _Toc99370680 \h </w:instrText>
            </w:r>
            <w:r w:rsidR="0062202D">
              <w:rPr>
                <w:noProof/>
                <w:webHidden/>
              </w:rPr>
            </w:r>
            <w:r w:rsidR="0062202D">
              <w:rPr>
                <w:noProof/>
                <w:webHidden/>
              </w:rPr>
              <w:fldChar w:fldCharType="separate"/>
            </w:r>
            <w:r w:rsidR="0092298E">
              <w:rPr>
                <w:noProof/>
                <w:webHidden/>
              </w:rPr>
              <w:t>56</w:t>
            </w:r>
            <w:r w:rsidR="0062202D">
              <w:rPr>
                <w:noProof/>
                <w:webHidden/>
              </w:rPr>
              <w:fldChar w:fldCharType="end"/>
            </w:r>
          </w:hyperlink>
        </w:p>
        <w:p w14:paraId="5E791A79" w14:textId="6FBE55B5" w:rsidR="0062202D" w:rsidRDefault="00796FE6">
          <w:pPr>
            <w:pStyle w:val="TOC2"/>
            <w:rPr>
              <w:rFonts w:eastAsiaTheme="minorEastAsia"/>
              <w:noProof/>
              <w:lang w:eastAsia="en-AU"/>
            </w:rPr>
          </w:pPr>
          <w:hyperlink w:anchor="_Toc99370681" w:history="1">
            <w:r w:rsidR="0062202D" w:rsidRPr="00CF2C29">
              <w:rPr>
                <w:rStyle w:val="Hyperlink"/>
                <w:noProof/>
              </w:rPr>
              <w:t>State and territory governments</w:t>
            </w:r>
            <w:r w:rsidR="0062202D">
              <w:rPr>
                <w:noProof/>
                <w:webHidden/>
              </w:rPr>
              <w:tab/>
            </w:r>
            <w:r w:rsidR="0062202D">
              <w:rPr>
                <w:noProof/>
                <w:webHidden/>
              </w:rPr>
              <w:fldChar w:fldCharType="begin"/>
            </w:r>
            <w:r w:rsidR="0062202D">
              <w:rPr>
                <w:noProof/>
                <w:webHidden/>
              </w:rPr>
              <w:instrText xml:space="preserve"> PAGEREF _Toc99370681 \h </w:instrText>
            </w:r>
            <w:r w:rsidR="0062202D">
              <w:rPr>
                <w:noProof/>
                <w:webHidden/>
              </w:rPr>
            </w:r>
            <w:r w:rsidR="0062202D">
              <w:rPr>
                <w:noProof/>
                <w:webHidden/>
              </w:rPr>
              <w:fldChar w:fldCharType="separate"/>
            </w:r>
            <w:r w:rsidR="0092298E">
              <w:rPr>
                <w:noProof/>
                <w:webHidden/>
              </w:rPr>
              <w:t>62</w:t>
            </w:r>
            <w:r w:rsidR="0062202D">
              <w:rPr>
                <w:noProof/>
                <w:webHidden/>
              </w:rPr>
              <w:fldChar w:fldCharType="end"/>
            </w:r>
          </w:hyperlink>
        </w:p>
        <w:p w14:paraId="66F96E52" w14:textId="164EEE42" w:rsidR="0062202D" w:rsidRDefault="00796FE6">
          <w:pPr>
            <w:pStyle w:val="TOC1"/>
            <w:rPr>
              <w:rFonts w:eastAsiaTheme="minorEastAsia"/>
              <w:noProof/>
              <w:lang w:eastAsia="en-AU"/>
            </w:rPr>
          </w:pPr>
          <w:hyperlink w:anchor="_Toc99370682" w:history="1">
            <w:r w:rsidR="0062202D" w:rsidRPr="00CF2C29">
              <w:rPr>
                <w:rStyle w:val="Hyperlink"/>
                <w:noProof/>
              </w:rPr>
              <w:t>WHAT IS THE BEST OPTION FROM THOSE YOU HAVE CONSIDERED?</w:t>
            </w:r>
            <w:r w:rsidR="0062202D">
              <w:rPr>
                <w:noProof/>
                <w:webHidden/>
              </w:rPr>
              <w:tab/>
            </w:r>
            <w:r w:rsidR="0062202D">
              <w:rPr>
                <w:noProof/>
                <w:webHidden/>
              </w:rPr>
              <w:fldChar w:fldCharType="begin"/>
            </w:r>
            <w:r w:rsidR="0062202D">
              <w:rPr>
                <w:noProof/>
                <w:webHidden/>
              </w:rPr>
              <w:instrText xml:space="preserve"> PAGEREF _Toc99370682 \h </w:instrText>
            </w:r>
            <w:r w:rsidR="0062202D">
              <w:rPr>
                <w:noProof/>
                <w:webHidden/>
              </w:rPr>
            </w:r>
            <w:r w:rsidR="0062202D">
              <w:rPr>
                <w:noProof/>
                <w:webHidden/>
              </w:rPr>
              <w:fldChar w:fldCharType="separate"/>
            </w:r>
            <w:r w:rsidR="0092298E">
              <w:rPr>
                <w:noProof/>
                <w:webHidden/>
              </w:rPr>
              <w:t>62</w:t>
            </w:r>
            <w:r w:rsidR="0062202D">
              <w:rPr>
                <w:noProof/>
                <w:webHidden/>
              </w:rPr>
              <w:fldChar w:fldCharType="end"/>
            </w:r>
          </w:hyperlink>
        </w:p>
        <w:p w14:paraId="0A0A1BE1" w14:textId="2A491759" w:rsidR="0062202D" w:rsidRDefault="00796FE6">
          <w:pPr>
            <w:pStyle w:val="TOC2"/>
            <w:rPr>
              <w:rFonts w:eastAsiaTheme="minorEastAsia"/>
              <w:noProof/>
              <w:lang w:eastAsia="en-AU"/>
            </w:rPr>
          </w:pPr>
          <w:hyperlink w:anchor="_Toc99370683" w:history="1">
            <w:r w:rsidR="0062202D" w:rsidRPr="00CF2C29">
              <w:rPr>
                <w:rStyle w:val="Hyperlink"/>
                <w:noProof/>
              </w:rPr>
              <w:t>Assessment of Option 1 – signing the proposed AI ECTA</w:t>
            </w:r>
            <w:r w:rsidR="0062202D">
              <w:rPr>
                <w:noProof/>
                <w:webHidden/>
              </w:rPr>
              <w:tab/>
            </w:r>
            <w:r w:rsidR="0062202D">
              <w:rPr>
                <w:noProof/>
                <w:webHidden/>
              </w:rPr>
              <w:fldChar w:fldCharType="begin"/>
            </w:r>
            <w:r w:rsidR="0062202D">
              <w:rPr>
                <w:noProof/>
                <w:webHidden/>
              </w:rPr>
              <w:instrText xml:space="preserve"> PAGEREF _Toc99370683 \h </w:instrText>
            </w:r>
            <w:r w:rsidR="0062202D">
              <w:rPr>
                <w:noProof/>
                <w:webHidden/>
              </w:rPr>
            </w:r>
            <w:r w:rsidR="0062202D">
              <w:rPr>
                <w:noProof/>
                <w:webHidden/>
              </w:rPr>
              <w:fldChar w:fldCharType="separate"/>
            </w:r>
            <w:r w:rsidR="0092298E">
              <w:rPr>
                <w:noProof/>
                <w:webHidden/>
              </w:rPr>
              <w:t>65</w:t>
            </w:r>
            <w:r w:rsidR="0062202D">
              <w:rPr>
                <w:noProof/>
                <w:webHidden/>
              </w:rPr>
              <w:fldChar w:fldCharType="end"/>
            </w:r>
          </w:hyperlink>
        </w:p>
        <w:p w14:paraId="40DC4348" w14:textId="243B2087" w:rsidR="0062202D" w:rsidRDefault="00796FE6">
          <w:pPr>
            <w:pStyle w:val="TOC2"/>
            <w:rPr>
              <w:rFonts w:eastAsiaTheme="minorEastAsia"/>
              <w:noProof/>
              <w:lang w:eastAsia="en-AU"/>
            </w:rPr>
          </w:pPr>
          <w:hyperlink w:anchor="_Toc99370684" w:history="1">
            <w:r w:rsidR="0062202D" w:rsidRPr="00CF2C29">
              <w:rPr>
                <w:rStyle w:val="Hyperlink"/>
                <w:noProof/>
              </w:rPr>
              <w:t>Assessment of Option 2 – not signing the proposed AI ECTA</w:t>
            </w:r>
            <w:r w:rsidR="0062202D">
              <w:rPr>
                <w:noProof/>
                <w:webHidden/>
              </w:rPr>
              <w:tab/>
            </w:r>
            <w:r w:rsidR="0062202D">
              <w:rPr>
                <w:noProof/>
                <w:webHidden/>
              </w:rPr>
              <w:fldChar w:fldCharType="begin"/>
            </w:r>
            <w:r w:rsidR="0062202D">
              <w:rPr>
                <w:noProof/>
                <w:webHidden/>
              </w:rPr>
              <w:instrText xml:space="preserve"> PAGEREF _Toc99370684 \h </w:instrText>
            </w:r>
            <w:r w:rsidR="0062202D">
              <w:rPr>
                <w:noProof/>
                <w:webHidden/>
              </w:rPr>
            </w:r>
            <w:r w:rsidR="0062202D">
              <w:rPr>
                <w:noProof/>
                <w:webHidden/>
              </w:rPr>
              <w:fldChar w:fldCharType="separate"/>
            </w:r>
            <w:r w:rsidR="0092298E">
              <w:rPr>
                <w:noProof/>
                <w:webHidden/>
              </w:rPr>
              <w:t>66</w:t>
            </w:r>
            <w:r w:rsidR="0062202D">
              <w:rPr>
                <w:noProof/>
                <w:webHidden/>
              </w:rPr>
              <w:fldChar w:fldCharType="end"/>
            </w:r>
          </w:hyperlink>
        </w:p>
        <w:p w14:paraId="5D0DF201" w14:textId="54BBFBDD" w:rsidR="0062202D" w:rsidRDefault="00796FE6">
          <w:pPr>
            <w:pStyle w:val="TOC1"/>
            <w:rPr>
              <w:rFonts w:eastAsiaTheme="minorEastAsia"/>
              <w:noProof/>
              <w:lang w:eastAsia="en-AU"/>
            </w:rPr>
          </w:pPr>
          <w:hyperlink w:anchor="_Toc99370685" w:history="1">
            <w:r w:rsidR="0062202D" w:rsidRPr="00CF2C29">
              <w:rPr>
                <w:rStyle w:val="Hyperlink"/>
                <w:noProof/>
              </w:rPr>
              <w:t>HOW WILL YOU IMPLEMENT AND EVALUATE YOUR CHOSEN OPTION?</w:t>
            </w:r>
            <w:r w:rsidR="0062202D">
              <w:rPr>
                <w:noProof/>
                <w:webHidden/>
              </w:rPr>
              <w:tab/>
            </w:r>
            <w:r w:rsidR="0062202D">
              <w:rPr>
                <w:noProof/>
                <w:webHidden/>
              </w:rPr>
              <w:fldChar w:fldCharType="begin"/>
            </w:r>
            <w:r w:rsidR="0062202D">
              <w:rPr>
                <w:noProof/>
                <w:webHidden/>
              </w:rPr>
              <w:instrText xml:space="preserve"> PAGEREF _Toc99370685 \h </w:instrText>
            </w:r>
            <w:r w:rsidR="0062202D">
              <w:rPr>
                <w:noProof/>
                <w:webHidden/>
              </w:rPr>
            </w:r>
            <w:r w:rsidR="0062202D">
              <w:rPr>
                <w:noProof/>
                <w:webHidden/>
              </w:rPr>
              <w:fldChar w:fldCharType="separate"/>
            </w:r>
            <w:r w:rsidR="0092298E">
              <w:rPr>
                <w:noProof/>
                <w:webHidden/>
              </w:rPr>
              <w:t>67</w:t>
            </w:r>
            <w:r w:rsidR="0062202D">
              <w:rPr>
                <w:noProof/>
                <w:webHidden/>
              </w:rPr>
              <w:fldChar w:fldCharType="end"/>
            </w:r>
          </w:hyperlink>
        </w:p>
        <w:p w14:paraId="7B09E9D3" w14:textId="64253528" w:rsidR="0062202D" w:rsidRDefault="00796FE6">
          <w:pPr>
            <w:pStyle w:val="TOC2"/>
            <w:rPr>
              <w:rFonts w:eastAsiaTheme="minorEastAsia"/>
              <w:noProof/>
              <w:lang w:eastAsia="en-AU"/>
            </w:rPr>
          </w:pPr>
          <w:hyperlink w:anchor="_Toc99370686" w:history="1">
            <w:r w:rsidR="0062202D" w:rsidRPr="00CF2C29">
              <w:rPr>
                <w:rStyle w:val="Hyperlink"/>
                <w:noProof/>
              </w:rPr>
              <w:t>Implementing the proposed AI ECTA</w:t>
            </w:r>
            <w:r w:rsidR="0062202D">
              <w:rPr>
                <w:noProof/>
                <w:webHidden/>
              </w:rPr>
              <w:tab/>
            </w:r>
            <w:r w:rsidR="0062202D">
              <w:rPr>
                <w:noProof/>
                <w:webHidden/>
              </w:rPr>
              <w:fldChar w:fldCharType="begin"/>
            </w:r>
            <w:r w:rsidR="0062202D">
              <w:rPr>
                <w:noProof/>
                <w:webHidden/>
              </w:rPr>
              <w:instrText xml:space="preserve"> PAGEREF _Toc99370686 \h </w:instrText>
            </w:r>
            <w:r w:rsidR="0062202D">
              <w:rPr>
                <w:noProof/>
                <w:webHidden/>
              </w:rPr>
            </w:r>
            <w:r w:rsidR="0062202D">
              <w:rPr>
                <w:noProof/>
                <w:webHidden/>
              </w:rPr>
              <w:fldChar w:fldCharType="separate"/>
            </w:r>
            <w:r w:rsidR="0092298E">
              <w:rPr>
                <w:noProof/>
                <w:webHidden/>
              </w:rPr>
              <w:t>67</w:t>
            </w:r>
            <w:r w:rsidR="0062202D">
              <w:rPr>
                <w:noProof/>
                <w:webHidden/>
              </w:rPr>
              <w:fldChar w:fldCharType="end"/>
            </w:r>
          </w:hyperlink>
        </w:p>
        <w:p w14:paraId="465C3F36" w14:textId="61DF5D3C" w:rsidR="0062202D" w:rsidRDefault="00796FE6">
          <w:pPr>
            <w:pStyle w:val="TOC2"/>
            <w:rPr>
              <w:rFonts w:eastAsiaTheme="minorEastAsia"/>
              <w:noProof/>
              <w:lang w:eastAsia="en-AU"/>
            </w:rPr>
          </w:pPr>
          <w:hyperlink w:anchor="_Toc99370687" w:history="1">
            <w:r w:rsidR="0062202D" w:rsidRPr="00CF2C29">
              <w:rPr>
                <w:rStyle w:val="Hyperlink"/>
                <w:noProof/>
              </w:rPr>
              <w:t>Implementation risks</w:t>
            </w:r>
            <w:r w:rsidR="0062202D">
              <w:rPr>
                <w:noProof/>
                <w:webHidden/>
              </w:rPr>
              <w:tab/>
            </w:r>
            <w:r w:rsidR="0062202D">
              <w:rPr>
                <w:noProof/>
                <w:webHidden/>
              </w:rPr>
              <w:fldChar w:fldCharType="begin"/>
            </w:r>
            <w:r w:rsidR="0062202D">
              <w:rPr>
                <w:noProof/>
                <w:webHidden/>
              </w:rPr>
              <w:instrText xml:space="preserve"> PAGEREF _Toc99370687 \h </w:instrText>
            </w:r>
            <w:r w:rsidR="0062202D">
              <w:rPr>
                <w:noProof/>
                <w:webHidden/>
              </w:rPr>
            </w:r>
            <w:r w:rsidR="0062202D">
              <w:rPr>
                <w:noProof/>
                <w:webHidden/>
              </w:rPr>
              <w:fldChar w:fldCharType="separate"/>
            </w:r>
            <w:r w:rsidR="0092298E">
              <w:rPr>
                <w:noProof/>
                <w:webHidden/>
              </w:rPr>
              <w:t>69</w:t>
            </w:r>
            <w:r w:rsidR="0062202D">
              <w:rPr>
                <w:noProof/>
                <w:webHidden/>
              </w:rPr>
              <w:fldChar w:fldCharType="end"/>
            </w:r>
          </w:hyperlink>
        </w:p>
        <w:p w14:paraId="5BF1C252" w14:textId="534C72C9" w:rsidR="0062202D" w:rsidRDefault="00796FE6">
          <w:pPr>
            <w:pStyle w:val="TOC2"/>
            <w:rPr>
              <w:rFonts w:eastAsiaTheme="minorEastAsia"/>
              <w:noProof/>
              <w:lang w:eastAsia="en-AU"/>
            </w:rPr>
          </w:pPr>
          <w:hyperlink w:anchor="_Toc99370688" w:history="1">
            <w:r w:rsidR="0062202D" w:rsidRPr="00CF2C29">
              <w:rPr>
                <w:rStyle w:val="Hyperlink"/>
                <w:noProof/>
              </w:rPr>
              <w:t>Engaging with stakeholders to promote the proposed AI ECTA</w:t>
            </w:r>
            <w:r w:rsidR="0062202D">
              <w:rPr>
                <w:noProof/>
                <w:webHidden/>
              </w:rPr>
              <w:tab/>
            </w:r>
            <w:r w:rsidR="0062202D">
              <w:rPr>
                <w:noProof/>
                <w:webHidden/>
              </w:rPr>
              <w:fldChar w:fldCharType="begin"/>
            </w:r>
            <w:r w:rsidR="0062202D">
              <w:rPr>
                <w:noProof/>
                <w:webHidden/>
              </w:rPr>
              <w:instrText xml:space="preserve"> PAGEREF _Toc99370688 \h </w:instrText>
            </w:r>
            <w:r w:rsidR="0062202D">
              <w:rPr>
                <w:noProof/>
                <w:webHidden/>
              </w:rPr>
            </w:r>
            <w:r w:rsidR="0062202D">
              <w:rPr>
                <w:noProof/>
                <w:webHidden/>
              </w:rPr>
              <w:fldChar w:fldCharType="separate"/>
            </w:r>
            <w:r w:rsidR="0092298E">
              <w:rPr>
                <w:noProof/>
                <w:webHidden/>
              </w:rPr>
              <w:t>69</w:t>
            </w:r>
            <w:r w:rsidR="0062202D">
              <w:rPr>
                <w:noProof/>
                <w:webHidden/>
              </w:rPr>
              <w:fldChar w:fldCharType="end"/>
            </w:r>
          </w:hyperlink>
        </w:p>
        <w:p w14:paraId="64B8BD78" w14:textId="40C93816" w:rsidR="0062202D" w:rsidRDefault="00796FE6">
          <w:pPr>
            <w:pStyle w:val="TOC2"/>
            <w:rPr>
              <w:rFonts w:eastAsiaTheme="minorEastAsia"/>
              <w:noProof/>
              <w:lang w:eastAsia="en-AU"/>
            </w:rPr>
          </w:pPr>
          <w:hyperlink w:anchor="_Toc99370689" w:history="1">
            <w:r w:rsidR="0062202D" w:rsidRPr="00CF2C29">
              <w:rPr>
                <w:rStyle w:val="Hyperlink"/>
                <w:noProof/>
              </w:rPr>
              <w:t>Evaluating the proposed AI ECTA</w:t>
            </w:r>
            <w:r w:rsidR="0062202D">
              <w:rPr>
                <w:noProof/>
                <w:webHidden/>
              </w:rPr>
              <w:tab/>
            </w:r>
            <w:r w:rsidR="0062202D">
              <w:rPr>
                <w:noProof/>
                <w:webHidden/>
              </w:rPr>
              <w:fldChar w:fldCharType="begin"/>
            </w:r>
            <w:r w:rsidR="0062202D">
              <w:rPr>
                <w:noProof/>
                <w:webHidden/>
              </w:rPr>
              <w:instrText xml:space="preserve"> PAGEREF _Toc99370689 \h </w:instrText>
            </w:r>
            <w:r w:rsidR="0062202D">
              <w:rPr>
                <w:noProof/>
                <w:webHidden/>
              </w:rPr>
            </w:r>
            <w:r w:rsidR="0062202D">
              <w:rPr>
                <w:noProof/>
                <w:webHidden/>
              </w:rPr>
              <w:fldChar w:fldCharType="separate"/>
            </w:r>
            <w:r w:rsidR="0092298E">
              <w:rPr>
                <w:noProof/>
                <w:webHidden/>
              </w:rPr>
              <w:t>70</w:t>
            </w:r>
            <w:r w:rsidR="0062202D">
              <w:rPr>
                <w:noProof/>
                <w:webHidden/>
              </w:rPr>
              <w:fldChar w:fldCharType="end"/>
            </w:r>
          </w:hyperlink>
        </w:p>
        <w:p w14:paraId="1E49A433" w14:textId="0692EBF2" w:rsidR="0062202D" w:rsidRDefault="00796FE6">
          <w:pPr>
            <w:pStyle w:val="TOC2"/>
            <w:rPr>
              <w:rFonts w:eastAsiaTheme="minorEastAsia"/>
              <w:noProof/>
              <w:lang w:eastAsia="en-AU"/>
            </w:rPr>
          </w:pPr>
          <w:hyperlink w:anchor="_Toc99370690" w:history="1">
            <w:r w:rsidR="0062202D" w:rsidRPr="00CF2C29">
              <w:rPr>
                <w:rStyle w:val="Hyperlink"/>
                <w:noProof/>
              </w:rPr>
              <w:t>Potential metrics for success</w:t>
            </w:r>
            <w:r w:rsidR="0062202D">
              <w:rPr>
                <w:noProof/>
                <w:webHidden/>
              </w:rPr>
              <w:tab/>
            </w:r>
            <w:r w:rsidR="0062202D">
              <w:rPr>
                <w:noProof/>
                <w:webHidden/>
              </w:rPr>
              <w:fldChar w:fldCharType="begin"/>
            </w:r>
            <w:r w:rsidR="0062202D">
              <w:rPr>
                <w:noProof/>
                <w:webHidden/>
              </w:rPr>
              <w:instrText xml:space="preserve"> PAGEREF _Toc99370690 \h </w:instrText>
            </w:r>
            <w:r w:rsidR="0062202D">
              <w:rPr>
                <w:noProof/>
                <w:webHidden/>
              </w:rPr>
            </w:r>
            <w:r w:rsidR="0062202D">
              <w:rPr>
                <w:noProof/>
                <w:webHidden/>
              </w:rPr>
              <w:fldChar w:fldCharType="separate"/>
            </w:r>
            <w:r w:rsidR="0092298E">
              <w:rPr>
                <w:noProof/>
                <w:webHidden/>
              </w:rPr>
              <w:t>70</w:t>
            </w:r>
            <w:r w:rsidR="0062202D">
              <w:rPr>
                <w:noProof/>
                <w:webHidden/>
              </w:rPr>
              <w:fldChar w:fldCharType="end"/>
            </w:r>
          </w:hyperlink>
        </w:p>
        <w:p w14:paraId="0A2CF8D2" w14:textId="39126458" w:rsidR="0062202D" w:rsidRDefault="00796FE6">
          <w:pPr>
            <w:pStyle w:val="TOC1"/>
            <w:rPr>
              <w:rFonts w:eastAsiaTheme="minorEastAsia"/>
              <w:noProof/>
              <w:lang w:eastAsia="en-AU"/>
            </w:rPr>
          </w:pPr>
          <w:hyperlink w:anchor="_Toc99370691" w:history="1">
            <w:r w:rsidR="0062202D" w:rsidRPr="00CF2C29">
              <w:rPr>
                <w:rStyle w:val="Hyperlink"/>
                <w:rFonts w:cstheme="minorHAnsi"/>
                <w:noProof/>
              </w:rPr>
              <w:t xml:space="preserve">ATTACHMENT A: </w:t>
            </w:r>
            <w:r w:rsidR="0062202D" w:rsidRPr="00CF2C29">
              <w:rPr>
                <w:rStyle w:val="Hyperlink"/>
                <w:rFonts w:cstheme="minorHAnsi"/>
                <w:caps/>
                <w:noProof/>
              </w:rPr>
              <w:t>Joint Statement on a Comprehensive Strategic Partnership between Republic of India and Australia</w:t>
            </w:r>
            <w:r w:rsidR="0062202D">
              <w:rPr>
                <w:noProof/>
                <w:webHidden/>
              </w:rPr>
              <w:tab/>
            </w:r>
            <w:r w:rsidR="0062202D">
              <w:rPr>
                <w:noProof/>
                <w:webHidden/>
              </w:rPr>
              <w:fldChar w:fldCharType="begin"/>
            </w:r>
            <w:r w:rsidR="0062202D">
              <w:rPr>
                <w:noProof/>
                <w:webHidden/>
              </w:rPr>
              <w:instrText xml:space="preserve"> PAGEREF _Toc99370691 \h </w:instrText>
            </w:r>
            <w:r w:rsidR="0062202D">
              <w:rPr>
                <w:noProof/>
                <w:webHidden/>
              </w:rPr>
            </w:r>
            <w:r w:rsidR="0062202D">
              <w:rPr>
                <w:noProof/>
                <w:webHidden/>
              </w:rPr>
              <w:fldChar w:fldCharType="separate"/>
            </w:r>
            <w:r w:rsidR="0092298E">
              <w:rPr>
                <w:noProof/>
                <w:webHidden/>
              </w:rPr>
              <w:t>72</w:t>
            </w:r>
            <w:r w:rsidR="0062202D">
              <w:rPr>
                <w:noProof/>
                <w:webHidden/>
              </w:rPr>
              <w:fldChar w:fldCharType="end"/>
            </w:r>
          </w:hyperlink>
        </w:p>
        <w:p w14:paraId="7A523DEB" w14:textId="4FA066DB" w:rsidR="0062202D" w:rsidRDefault="00796FE6">
          <w:pPr>
            <w:pStyle w:val="TOC1"/>
            <w:rPr>
              <w:rFonts w:eastAsiaTheme="minorEastAsia"/>
              <w:noProof/>
              <w:lang w:eastAsia="en-AU"/>
            </w:rPr>
          </w:pPr>
          <w:hyperlink w:anchor="_Toc99370692" w:history="1">
            <w:r w:rsidR="0062202D" w:rsidRPr="00CF2C29">
              <w:rPr>
                <w:rStyle w:val="Hyperlink"/>
                <w:rFonts w:cstheme="minorHAnsi"/>
                <w:noProof/>
              </w:rPr>
              <w:t>ATTACHMENT B: 17th AUSTRALIA-INDIA JOINT MINISTERIAL COMMISSION STATEMENT</w:t>
            </w:r>
            <w:r w:rsidR="0062202D">
              <w:rPr>
                <w:noProof/>
                <w:webHidden/>
              </w:rPr>
              <w:tab/>
            </w:r>
            <w:r w:rsidR="0062202D">
              <w:rPr>
                <w:noProof/>
                <w:webHidden/>
              </w:rPr>
              <w:fldChar w:fldCharType="begin"/>
            </w:r>
            <w:r w:rsidR="0062202D">
              <w:rPr>
                <w:noProof/>
                <w:webHidden/>
              </w:rPr>
              <w:instrText xml:space="preserve"> PAGEREF _Toc99370692 \h </w:instrText>
            </w:r>
            <w:r w:rsidR="0062202D">
              <w:rPr>
                <w:noProof/>
                <w:webHidden/>
              </w:rPr>
            </w:r>
            <w:r w:rsidR="0062202D">
              <w:rPr>
                <w:noProof/>
                <w:webHidden/>
              </w:rPr>
              <w:fldChar w:fldCharType="separate"/>
            </w:r>
            <w:r w:rsidR="0092298E">
              <w:rPr>
                <w:noProof/>
                <w:webHidden/>
              </w:rPr>
              <w:t>80</w:t>
            </w:r>
            <w:r w:rsidR="0062202D">
              <w:rPr>
                <w:noProof/>
                <w:webHidden/>
              </w:rPr>
              <w:fldChar w:fldCharType="end"/>
            </w:r>
          </w:hyperlink>
        </w:p>
        <w:p w14:paraId="401E51F6" w14:textId="4B1CDDB2" w:rsidR="0062202D" w:rsidRDefault="00796FE6">
          <w:pPr>
            <w:pStyle w:val="TOC1"/>
            <w:rPr>
              <w:rFonts w:eastAsiaTheme="minorEastAsia"/>
              <w:noProof/>
              <w:lang w:eastAsia="en-AU"/>
            </w:rPr>
          </w:pPr>
          <w:hyperlink w:anchor="_Toc99370693" w:history="1">
            <w:r w:rsidR="0062202D" w:rsidRPr="00CF2C29">
              <w:rPr>
                <w:rStyle w:val="Hyperlink"/>
                <w:rFonts w:cstheme="minorHAnsi"/>
                <w:noProof/>
              </w:rPr>
              <w:t>ATTACHMENT C: REGULATORY BURDEN ESTIMATE</w:t>
            </w:r>
            <w:r w:rsidR="0062202D">
              <w:rPr>
                <w:noProof/>
                <w:webHidden/>
              </w:rPr>
              <w:tab/>
            </w:r>
            <w:r w:rsidR="0062202D">
              <w:rPr>
                <w:noProof/>
                <w:webHidden/>
              </w:rPr>
              <w:fldChar w:fldCharType="begin"/>
            </w:r>
            <w:r w:rsidR="0062202D">
              <w:rPr>
                <w:noProof/>
                <w:webHidden/>
              </w:rPr>
              <w:instrText xml:space="preserve"> PAGEREF _Toc99370693 \h </w:instrText>
            </w:r>
            <w:r w:rsidR="0062202D">
              <w:rPr>
                <w:noProof/>
                <w:webHidden/>
              </w:rPr>
            </w:r>
            <w:r w:rsidR="0062202D">
              <w:rPr>
                <w:noProof/>
                <w:webHidden/>
              </w:rPr>
              <w:fldChar w:fldCharType="separate"/>
            </w:r>
            <w:r w:rsidR="0092298E">
              <w:rPr>
                <w:noProof/>
                <w:webHidden/>
              </w:rPr>
              <w:t>81</w:t>
            </w:r>
            <w:r w:rsidR="0062202D">
              <w:rPr>
                <w:noProof/>
                <w:webHidden/>
              </w:rPr>
              <w:fldChar w:fldCharType="end"/>
            </w:r>
          </w:hyperlink>
        </w:p>
        <w:p w14:paraId="43E9DF1E" w14:textId="663B324A" w:rsidR="00876023" w:rsidRDefault="00876023" w:rsidP="00927AE1">
          <w:pPr>
            <w:pStyle w:val="TOC1"/>
          </w:pPr>
          <w:r>
            <w:rPr>
              <w:noProof/>
            </w:rPr>
            <w:fldChar w:fldCharType="end"/>
          </w:r>
        </w:p>
      </w:sdtContent>
    </w:sdt>
    <w:p w14:paraId="61344C95" w14:textId="77777777" w:rsidR="00876023" w:rsidRPr="00876023" w:rsidRDefault="00876023" w:rsidP="00876023"/>
    <w:p w14:paraId="2718F021" w14:textId="77777777" w:rsidR="003F199A" w:rsidRDefault="003F199A">
      <w:pPr>
        <w:rPr>
          <w:rFonts w:asciiTheme="majorHAnsi" w:eastAsiaTheme="majorEastAsia" w:hAnsiTheme="majorHAnsi" w:cstheme="majorBidi"/>
          <w:color w:val="2F5496" w:themeColor="accent1" w:themeShade="BF"/>
          <w:sz w:val="32"/>
          <w:szCs w:val="32"/>
        </w:rPr>
      </w:pPr>
      <w:r>
        <w:br w:type="page"/>
      </w:r>
    </w:p>
    <w:p w14:paraId="3B96B07F" w14:textId="0D4B917C" w:rsidR="00C3560D" w:rsidRPr="00963EEA" w:rsidRDefault="00C3560D" w:rsidP="00EB0980">
      <w:pPr>
        <w:pStyle w:val="Heading1"/>
        <w:spacing w:before="0"/>
      </w:pPr>
      <w:bookmarkStart w:id="2" w:name="_Toc99370640"/>
      <w:r w:rsidRPr="00963EEA">
        <w:lastRenderedPageBreak/>
        <w:t>INTRODUCTION</w:t>
      </w:r>
      <w:bookmarkEnd w:id="1"/>
      <w:bookmarkEnd w:id="2"/>
    </w:p>
    <w:p w14:paraId="1EFDD56D" w14:textId="77777777" w:rsidR="00C3560D" w:rsidRPr="008C028F" w:rsidRDefault="00C3560D" w:rsidP="00EB0980">
      <w:pPr>
        <w:pStyle w:val="ListParagraph"/>
        <w:spacing w:after="0"/>
        <w:rPr>
          <w:sz w:val="24"/>
          <w:szCs w:val="24"/>
        </w:rPr>
      </w:pPr>
    </w:p>
    <w:p w14:paraId="0AF16F8C" w14:textId="45E3269A" w:rsidR="00C3560D" w:rsidRDefault="00C3560D" w:rsidP="00A80396">
      <w:pPr>
        <w:pStyle w:val="ListParagraph"/>
        <w:numPr>
          <w:ilvl w:val="0"/>
          <w:numId w:val="1"/>
        </w:numPr>
        <w:spacing w:after="0"/>
        <w:ind w:left="567" w:hanging="567"/>
        <w:rPr>
          <w:sz w:val="24"/>
          <w:szCs w:val="24"/>
        </w:rPr>
      </w:pPr>
      <w:r w:rsidRPr="00B164D1">
        <w:rPr>
          <w:sz w:val="24"/>
          <w:szCs w:val="24"/>
        </w:rPr>
        <w:t xml:space="preserve">This Regulation Impact Statement (RIS) relates to an </w:t>
      </w:r>
      <w:r>
        <w:rPr>
          <w:sz w:val="24"/>
          <w:szCs w:val="24"/>
        </w:rPr>
        <w:t xml:space="preserve">Australia-India Comprehensive Economic Cooperation Agreement (CECA) </w:t>
      </w:r>
      <w:r w:rsidRPr="00B164D1">
        <w:rPr>
          <w:sz w:val="24"/>
          <w:szCs w:val="24"/>
        </w:rPr>
        <w:t>Interim Agreement</w:t>
      </w:r>
      <w:r>
        <w:rPr>
          <w:sz w:val="24"/>
          <w:szCs w:val="24"/>
        </w:rPr>
        <w:t xml:space="preserve"> (</w:t>
      </w:r>
      <w:r w:rsidR="00624076">
        <w:rPr>
          <w:sz w:val="24"/>
          <w:szCs w:val="24"/>
        </w:rPr>
        <w:t xml:space="preserve">known as the </w:t>
      </w:r>
      <w:r w:rsidR="008524F0">
        <w:rPr>
          <w:sz w:val="24"/>
          <w:szCs w:val="24"/>
        </w:rPr>
        <w:t>Australia-India</w:t>
      </w:r>
      <w:r w:rsidR="00624076">
        <w:rPr>
          <w:sz w:val="24"/>
          <w:szCs w:val="24"/>
        </w:rPr>
        <w:t xml:space="preserve"> Economic Cooperation and Trade Agreement (</w:t>
      </w:r>
      <w:r w:rsidR="008524F0">
        <w:rPr>
          <w:sz w:val="24"/>
          <w:szCs w:val="24"/>
        </w:rPr>
        <w:t>AI</w:t>
      </w:r>
      <w:r w:rsidR="00624076">
        <w:rPr>
          <w:sz w:val="24"/>
          <w:szCs w:val="24"/>
        </w:rPr>
        <w:t xml:space="preserve"> ECTA))</w:t>
      </w:r>
      <w:r w:rsidRPr="00B164D1">
        <w:rPr>
          <w:sz w:val="24"/>
          <w:szCs w:val="24"/>
        </w:rPr>
        <w:t xml:space="preserve"> to be concluded prior to </w:t>
      </w:r>
      <w:r>
        <w:rPr>
          <w:sz w:val="24"/>
          <w:szCs w:val="24"/>
        </w:rPr>
        <w:t xml:space="preserve">the </w:t>
      </w:r>
      <w:r w:rsidRPr="00B164D1">
        <w:rPr>
          <w:sz w:val="24"/>
          <w:szCs w:val="24"/>
        </w:rPr>
        <w:t xml:space="preserve">finalisation of the </w:t>
      </w:r>
      <w:r>
        <w:rPr>
          <w:sz w:val="24"/>
          <w:szCs w:val="24"/>
        </w:rPr>
        <w:t xml:space="preserve">full </w:t>
      </w:r>
      <w:r w:rsidRPr="00B164D1">
        <w:rPr>
          <w:sz w:val="24"/>
          <w:szCs w:val="24"/>
        </w:rPr>
        <w:t xml:space="preserve">CECA. The </w:t>
      </w:r>
      <w:r w:rsidR="00C96E4A">
        <w:rPr>
          <w:sz w:val="24"/>
          <w:szCs w:val="24"/>
        </w:rPr>
        <w:t xml:space="preserve">proposed </w:t>
      </w:r>
      <w:r w:rsidR="008524F0">
        <w:rPr>
          <w:sz w:val="24"/>
          <w:szCs w:val="24"/>
        </w:rPr>
        <w:t>AI</w:t>
      </w:r>
      <w:r w:rsidR="00624076">
        <w:rPr>
          <w:sz w:val="24"/>
          <w:szCs w:val="24"/>
        </w:rPr>
        <w:t xml:space="preserve"> ECTA</w:t>
      </w:r>
      <w:r w:rsidRPr="00B164D1">
        <w:rPr>
          <w:sz w:val="24"/>
          <w:szCs w:val="24"/>
        </w:rPr>
        <w:t xml:space="preserve"> is </w:t>
      </w:r>
      <w:r>
        <w:rPr>
          <w:sz w:val="24"/>
          <w:szCs w:val="24"/>
        </w:rPr>
        <w:t xml:space="preserve">focussed on an </w:t>
      </w:r>
      <w:r w:rsidRPr="00B164D1">
        <w:rPr>
          <w:sz w:val="24"/>
          <w:szCs w:val="24"/>
        </w:rPr>
        <w:t xml:space="preserve">‘early harvest’ </w:t>
      </w:r>
      <w:r>
        <w:rPr>
          <w:sz w:val="24"/>
          <w:szCs w:val="24"/>
        </w:rPr>
        <w:t xml:space="preserve">of market access outcomes that delivers balanced wins, including access for Australian agriculture, </w:t>
      </w:r>
      <w:r w:rsidRPr="00B164D1">
        <w:rPr>
          <w:sz w:val="24"/>
          <w:szCs w:val="24"/>
        </w:rPr>
        <w:t>in advance of</w:t>
      </w:r>
      <w:r>
        <w:rPr>
          <w:sz w:val="24"/>
          <w:szCs w:val="24"/>
        </w:rPr>
        <w:t xml:space="preserve"> a comprehensive CECA being finalised by the end of 2022. </w:t>
      </w:r>
      <w:r w:rsidRPr="00B164D1">
        <w:rPr>
          <w:sz w:val="24"/>
          <w:szCs w:val="24"/>
        </w:rPr>
        <w:t xml:space="preserve"> </w:t>
      </w:r>
    </w:p>
    <w:p w14:paraId="6B510322" w14:textId="77777777" w:rsidR="00C3560D" w:rsidRDefault="00C3560D" w:rsidP="00EB0980">
      <w:pPr>
        <w:pStyle w:val="ListParagraph"/>
        <w:spacing w:after="0"/>
        <w:ind w:left="567"/>
        <w:rPr>
          <w:sz w:val="24"/>
          <w:szCs w:val="24"/>
        </w:rPr>
      </w:pPr>
    </w:p>
    <w:p w14:paraId="1DF20ED0" w14:textId="364CBFE8" w:rsidR="00C3560D" w:rsidRPr="00AA6CE3" w:rsidRDefault="00C3560D" w:rsidP="00A80396">
      <w:pPr>
        <w:pStyle w:val="ListParagraph"/>
        <w:numPr>
          <w:ilvl w:val="0"/>
          <w:numId w:val="1"/>
        </w:numPr>
        <w:spacing w:after="0"/>
        <w:ind w:left="567" w:hanging="567"/>
        <w:rPr>
          <w:sz w:val="24"/>
          <w:szCs w:val="24"/>
        </w:rPr>
      </w:pPr>
      <w:r w:rsidRPr="00AA6CE3">
        <w:rPr>
          <w:sz w:val="24"/>
          <w:szCs w:val="24"/>
        </w:rPr>
        <w:t xml:space="preserve">In accordance with the Australian Government’s Guide to Regulatory Impact Analysis, the Department of Foreign Affairs and Trade (DFAT) has completed this RIS to analyse the impact of the decision to sign </w:t>
      </w:r>
      <w:r>
        <w:rPr>
          <w:sz w:val="24"/>
          <w:szCs w:val="24"/>
        </w:rPr>
        <w:t>the</w:t>
      </w:r>
      <w:r w:rsidR="00C96E4A">
        <w:rPr>
          <w:sz w:val="24"/>
          <w:szCs w:val="24"/>
        </w:rPr>
        <w:t xml:space="preserve"> proposed</w:t>
      </w:r>
      <w:r w:rsidRPr="00AA6CE3">
        <w:rPr>
          <w:sz w:val="24"/>
          <w:szCs w:val="24"/>
        </w:rPr>
        <w:t xml:space="preserve"> </w:t>
      </w:r>
      <w:r w:rsidR="00624076">
        <w:rPr>
          <w:sz w:val="24"/>
          <w:szCs w:val="24"/>
        </w:rPr>
        <w:t>A</w:t>
      </w:r>
      <w:r w:rsidR="006E5E78">
        <w:rPr>
          <w:sz w:val="24"/>
          <w:szCs w:val="24"/>
        </w:rPr>
        <w:t>I</w:t>
      </w:r>
      <w:r w:rsidR="00624076">
        <w:rPr>
          <w:sz w:val="24"/>
          <w:szCs w:val="24"/>
        </w:rPr>
        <w:t xml:space="preserve"> ECTA</w:t>
      </w:r>
      <w:r w:rsidRPr="00AA6CE3">
        <w:rPr>
          <w:sz w:val="24"/>
          <w:szCs w:val="24"/>
        </w:rPr>
        <w:t xml:space="preserve"> with India. </w:t>
      </w:r>
    </w:p>
    <w:p w14:paraId="6A2F04EC" w14:textId="77777777" w:rsidR="00C3560D" w:rsidRPr="005F7C70" w:rsidRDefault="00C3560D" w:rsidP="00EB0980">
      <w:pPr>
        <w:pStyle w:val="ListParagraph"/>
        <w:spacing w:after="0"/>
        <w:ind w:left="567"/>
        <w:rPr>
          <w:sz w:val="24"/>
          <w:szCs w:val="24"/>
        </w:rPr>
      </w:pPr>
    </w:p>
    <w:p w14:paraId="28DCB6E4" w14:textId="77777777" w:rsidR="00C3560D" w:rsidRDefault="00C3560D" w:rsidP="00A80396">
      <w:pPr>
        <w:pStyle w:val="ListParagraph"/>
        <w:numPr>
          <w:ilvl w:val="0"/>
          <w:numId w:val="1"/>
        </w:numPr>
        <w:spacing w:after="0"/>
        <w:ind w:left="567" w:hanging="567"/>
        <w:rPr>
          <w:sz w:val="24"/>
          <w:szCs w:val="24"/>
        </w:rPr>
      </w:pPr>
      <w:r>
        <w:rPr>
          <w:sz w:val="24"/>
          <w:szCs w:val="24"/>
        </w:rPr>
        <w:t xml:space="preserve">India and Australia launched CECA negotiations in May 2011. </w:t>
      </w:r>
      <w:r w:rsidRPr="005F7C70">
        <w:rPr>
          <w:sz w:val="24"/>
          <w:szCs w:val="24"/>
        </w:rPr>
        <w:t xml:space="preserve">There were nine rounds of negotiations before both countries decided to suspend negotiations in September 2015, pending the outcome of </w:t>
      </w:r>
      <w:r>
        <w:rPr>
          <w:sz w:val="24"/>
          <w:szCs w:val="24"/>
        </w:rPr>
        <w:t>negotiations on a Regional Comprehensive Economic Partnership (RCEP), in which both Australia and India were participating</w:t>
      </w:r>
      <w:r w:rsidRPr="005F7C70">
        <w:rPr>
          <w:sz w:val="24"/>
          <w:szCs w:val="24"/>
        </w:rPr>
        <w:t>.</w:t>
      </w:r>
      <w:r>
        <w:rPr>
          <w:sz w:val="24"/>
          <w:szCs w:val="24"/>
        </w:rPr>
        <w:t xml:space="preserve"> However, India withdrew from RCEP in November 2019.</w:t>
      </w:r>
    </w:p>
    <w:p w14:paraId="3661048C" w14:textId="77777777" w:rsidR="00C3560D" w:rsidRPr="005F7C70" w:rsidRDefault="00C3560D" w:rsidP="00EB0980">
      <w:pPr>
        <w:pStyle w:val="ListParagraph"/>
        <w:spacing w:after="0"/>
        <w:ind w:left="567"/>
        <w:rPr>
          <w:sz w:val="24"/>
          <w:szCs w:val="24"/>
        </w:rPr>
      </w:pPr>
    </w:p>
    <w:p w14:paraId="42F83FC8" w14:textId="77777777" w:rsidR="00C3560D" w:rsidRDefault="00C3560D" w:rsidP="00A80396">
      <w:pPr>
        <w:pStyle w:val="ListParagraph"/>
        <w:numPr>
          <w:ilvl w:val="0"/>
          <w:numId w:val="1"/>
        </w:numPr>
        <w:spacing w:after="0"/>
        <w:ind w:left="567" w:hanging="567"/>
        <w:rPr>
          <w:sz w:val="24"/>
          <w:szCs w:val="24"/>
        </w:rPr>
      </w:pPr>
      <w:r>
        <w:rPr>
          <w:sz w:val="24"/>
          <w:szCs w:val="24"/>
        </w:rPr>
        <w:t xml:space="preserve">At the India-Australia Leaders’ Virtual Summit on 4 June 2020, the Prime Minister of India, </w:t>
      </w:r>
      <w:proofErr w:type="spellStart"/>
      <w:r>
        <w:rPr>
          <w:sz w:val="24"/>
          <w:szCs w:val="24"/>
        </w:rPr>
        <w:t>Narenda</w:t>
      </w:r>
      <w:proofErr w:type="spellEnd"/>
      <w:r>
        <w:rPr>
          <w:sz w:val="24"/>
          <w:szCs w:val="24"/>
        </w:rPr>
        <w:t xml:space="preserve"> Modi, and the Prime Minister of Australia, Scott Morrison, committed to a Comprehensive Strategic Partnership (CSP) between India and Australia. Both Prime Ministers also</w:t>
      </w:r>
      <w:r w:rsidRPr="005F7C70">
        <w:rPr>
          <w:sz w:val="24"/>
          <w:szCs w:val="24"/>
        </w:rPr>
        <w:t xml:space="preserve"> decided to re-engage on a bilateral CECA.</w:t>
      </w:r>
      <w:r>
        <w:rPr>
          <w:sz w:val="24"/>
          <w:szCs w:val="24"/>
        </w:rPr>
        <w:t xml:space="preserve"> The Joint Statement on a CSP is at </w:t>
      </w:r>
      <w:r>
        <w:rPr>
          <w:b/>
          <w:bCs/>
          <w:sz w:val="24"/>
          <w:szCs w:val="24"/>
        </w:rPr>
        <w:t>Attachment A.</w:t>
      </w:r>
    </w:p>
    <w:p w14:paraId="48B3BC17" w14:textId="77777777" w:rsidR="00C3560D" w:rsidRPr="005F7C70" w:rsidRDefault="00C3560D" w:rsidP="00EB0980">
      <w:pPr>
        <w:pStyle w:val="ListParagraph"/>
        <w:spacing w:after="0"/>
        <w:ind w:left="567"/>
        <w:rPr>
          <w:sz w:val="24"/>
          <w:szCs w:val="24"/>
        </w:rPr>
      </w:pPr>
    </w:p>
    <w:p w14:paraId="32438F6E" w14:textId="0CB53664" w:rsidR="00C3560D" w:rsidRDefault="00C3560D" w:rsidP="00A80396">
      <w:pPr>
        <w:pStyle w:val="ListParagraph"/>
        <w:numPr>
          <w:ilvl w:val="0"/>
          <w:numId w:val="1"/>
        </w:numPr>
        <w:spacing w:after="0"/>
        <w:ind w:left="567" w:hanging="567"/>
        <w:rPr>
          <w:rFonts w:eastAsiaTheme="minorEastAsia"/>
          <w:b/>
          <w:bCs/>
          <w:sz w:val="24"/>
          <w:szCs w:val="24"/>
        </w:rPr>
      </w:pPr>
      <w:r w:rsidRPr="543832D4">
        <w:rPr>
          <w:sz w:val="24"/>
          <w:szCs w:val="24"/>
        </w:rPr>
        <w:t>At the 17</w:t>
      </w:r>
      <w:r w:rsidRPr="543832D4">
        <w:rPr>
          <w:sz w:val="24"/>
          <w:szCs w:val="24"/>
          <w:vertAlign w:val="superscript"/>
        </w:rPr>
        <w:t>th</w:t>
      </w:r>
      <w:r w:rsidRPr="543832D4">
        <w:rPr>
          <w:sz w:val="24"/>
          <w:szCs w:val="24"/>
        </w:rPr>
        <w:t xml:space="preserve"> Australia-India Joint Ministerial Commission meeting on 30 September 2021, Australia’s Minister for Trade, Tourism and Investment, Dan Tehan, and India’s Minister of Commerce and Industry, Consumer Affairs and Food, and Public Distribution and Textiles, Piyush Goyal, formally re-launched CECA negotiations and reaffirmed their commitment to conclude a bilateral CECA. This included reaching </w:t>
      </w:r>
      <w:r w:rsidR="00F64053" w:rsidRPr="543832D4">
        <w:rPr>
          <w:sz w:val="24"/>
          <w:szCs w:val="24"/>
        </w:rPr>
        <w:t>an</w:t>
      </w:r>
      <w:r w:rsidRPr="543832D4">
        <w:rPr>
          <w:sz w:val="24"/>
          <w:szCs w:val="24"/>
        </w:rPr>
        <w:t xml:space="preserve"> </w:t>
      </w:r>
      <w:r w:rsidR="00217C26">
        <w:rPr>
          <w:sz w:val="24"/>
          <w:szCs w:val="24"/>
        </w:rPr>
        <w:t>A</w:t>
      </w:r>
      <w:r w:rsidR="006E5E78">
        <w:rPr>
          <w:sz w:val="24"/>
          <w:szCs w:val="24"/>
        </w:rPr>
        <w:t>I</w:t>
      </w:r>
      <w:r w:rsidR="00217C26">
        <w:rPr>
          <w:sz w:val="24"/>
          <w:szCs w:val="24"/>
        </w:rPr>
        <w:t xml:space="preserve"> ECTA</w:t>
      </w:r>
      <w:r w:rsidRPr="543832D4">
        <w:rPr>
          <w:sz w:val="24"/>
          <w:szCs w:val="24"/>
        </w:rPr>
        <w:t xml:space="preserve"> by December 2021 to liberalise and deepen bilateral trade in goods and services, and to conclude the negotiations on a full CECA by the end of 2022. The </w:t>
      </w:r>
      <w:r w:rsidR="00914398">
        <w:rPr>
          <w:sz w:val="24"/>
          <w:szCs w:val="24"/>
        </w:rPr>
        <w:t>j</w:t>
      </w:r>
      <w:r w:rsidR="00EA15E5">
        <w:rPr>
          <w:sz w:val="24"/>
          <w:szCs w:val="24"/>
        </w:rPr>
        <w:t xml:space="preserve">oint media release following the Joint Ministerial Commission on </w:t>
      </w:r>
      <w:r w:rsidR="009E1127">
        <w:rPr>
          <w:sz w:val="24"/>
          <w:szCs w:val="24"/>
        </w:rPr>
        <w:t xml:space="preserve">the Australia and India trade deal </w:t>
      </w:r>
      <w:r w:rsidRPr="543832D4">
        <w:rPr>
          <w:sz w:val="24"/>
          <w:szCs w:val="24"/>
        </w:rPr>
        <w:t xml:space="preserve">is </w:t>
      </w:r>
      <w:r w:rsidR="008969BA">
        <w:rPr>
          <w:sz w:val="24"/>
          <w:szCs w:val="24"/>
        </w:rPr>
        <w:t>in</w:t>
      </w:r>
      <w:r w:rsidR="008969BA" w:rsidRPr="543832D4">
        <w:rPr>
          <w:sz w:val="24"/>
          <w:szCs w:val="24"/>
        </w:rPr>
        <w:t xml:space="preserve"> </w:t>
      </w:r>
      <w:r w:rsidRPr="543832D4">
        <w:rPr>
          <w:b/>
          <w:bCs/>
          <w:sz w:val="24"/>
          <w:szCs w:val="24"/>
        </w:rPr>
        <w:t xml:space="preserve">Attachment B. </w:t>
      </w:r>
      <w:r w:rsidR="543832D4" w:rsidRPr="543832D4">
        <w:rPr>
          <w:rFonts w:ascii="Calibri" w:eastAsia="Calibri" w:hAnsi="Calibri" w:cs="Calibri"/>
          <w:sz w:val="24"/>
          <w:szCs w:val="24"/>
        </w:rPr>
        <w:t>On 11 February</w:t>
      </w:r>
      <w:r w:rsidR="00653EBB">
        <w:rPr>
          <w:rFonts w:ascii="Calibri" w:eastAsia="Calibri" w:hAnsi="Calibri" w:cs="Calibri"/>
          <w:sz w:val="24"/>
          <w:szCs w:val="24"/>
        </w:rPr>
        <w:t xml:space="preserve"> 2022</w:t>
      </w:r>
      <w:r w:rsidR="543832D4" w:rsidRPr="543832D4">
        <w:rPr>
          <w:rFonts w:ascii="Calibri" w:eastAsia="Calibri" w:hAnsi="Calibri" w:cs="Calibri"/>
          <w:sz w:val="24"/>
          <w:szCs w:val="24"/>
        </w:rPr>
        <w:t>, Minister Tehan and Minister Goyal committed to concluding th</w:t>
      </w:r>
      <w:r w:rsidR="00653EBB">
        <w:rPr>
          <w:rFonts w:ascii="Calibri" w:eastAsia="Calibri" w:hAnsi="Calibri" w:cs="Calibri"/>
          <w:sz w:val="24"/>
          <w:szCs w:val="24"/>
        </w:rPr>
        <w:t xml:space="preserve">e AI ECTA </w:t>
      </w:r>
      <w:r w:rsidR="543832D4" w:rsidRPr="543832D4">
        <w:rPr>
          <w:rFonts w:ascii="Calibri" w:eastAsia="Calibri" w:hAnsi="Calibri" w:cs="Calibri"/>
          <w:sz w:val="24"/>
          <w:szCs w:val="24"/>
        </w:rPr>
        <w:t xml:space="preserve">agreement in March 2022.  </w:t>
      </w:r>
    </w:p>
    <w:p w14:paraId="64E236F7" w14:textId="77777777" w:rsidR="00C3560D" w:rsidRPr="00351545" w:rsidRDefault="00C3560D" w:rsidP="00EB0980">
      <w:pPr>
        <w:pStyle w:val="ListParagraph"/>
        <w:spacing w:after="0"/>
        <w:rPr>
          <w:b/>
          <w:bCs/>
          <w:sz w:val="24"/>
          <w:szCs w:val="24"/>
        </w:rPr>
      </w:pPr>
    </w:p>
    <w:p w14:paraId="556390EC" w14:textId="57CF22AD" w:rsidR="00C3560D" w:rsidRPr="008235ED" w:rsidRDefault="00C3560D" w:rsidP="00A80396">
      <w:pPr>
        <w:pStyle w:val="ListParagraph"/>
        <w:numPr>
          <w:ilvl w:val="0"/>
          <w:numId w:val="1"/>
        </w:numPr>
        <w:spacing w:after="0"/>
        <w:ind w:left="567" w:hanging="567"/>
        <w:rPr>
          <w:b/>
          <w:bCs/>
          <w:sz w:val="24"/>
          <w:szCs w:val="24"/>
        </w:rPr>
      </w:pPr>
      <w:r w:rsidRPr="543832D4">
        <w:rPr>
          <w:sz w:val="24"/>
          <w:szCs w:val="24"/>
        </w:rPr>
        <w:t xml:space="preserve">The proposed treaty-level </w:t>
      </w:r>
      <w:r w:rsidR="00421A8C">
        <w:rPr>
          <w:sz w:val="24"/>
          <w:szCs w:val="24"/>
        </w:rPr>
        <w:t>AI</w:t>
      </w:r>
      <w:r w:rsidR="00624076">
        <w:rPr>
          <w:sz w:val="24"/>
          <w:szCs w:val="24"/>
        </w:rPr>
        <w:t xml:space="preserve"> ECTA</w:t>
      </w:r>
      <w:r w:rsidRPr="543832D4">
        <w:rPr>
          <w:sz w:val="24"/>
          <w:szCs w:val="24"/>
        </w:rPr>
        <w:t xml:space="preserve"> will have 14 chapters, including on trade in goods, trade in services, </w:t>
      </w:r>
      <w:proofErr w:type="gramStart"/>
      <w:r w:rsidR="00D5195E" w:rsidRPr="543832D4">
        <w:rPr>
          <w:sz w:val="24"/>
          <w:szCs w:val="24"/>
        </w:rPr>
        <w:t>entry</w:t>
      </w:r>
      <w:proofErr w:type="gramEnd"/>
      <w:r w:rsidR="00D5195E" w:rsidRPr="543832D4">
        <w:rPr>
          <w:sz w:val="24"/>
          <w:szCs w:val="24"/>
        </w:rPr>
        <w:t xml:space="preserve"> and temporary </w:t>
      </w:r>
      <w:r w:rsidR="003E54D5">
        <w:rPr>
          <w:sz w:val="24"/>
          <w:szCs w:val="24"/>
        </w:rPr>
        <w:t>stay</w:t>
      </w:r>
      <w:r w:rsidR="00D5195E" w:rsidRPr="543832D4">
        <w:rPr>
          <w:sz w:val="24"/>
          <w:szCs w:val="24"/>
        </w:rPr>
        <w:t xml:space="preserve"> of natural persons for business purposes, customs procedures and trade facilitation, rules of origin and origin procedures, sanitary and phytosanitary measures and technical barriers to trade. </w:t>
      </w:r>
    </w:p>
    <w:p w14:paraId="18761746" w14:textId="77777777" w:rsidR="00CE3B13" w:rsidRDefault="00CE3B13" w:rsidP="00EB0980">
      <w:pPr>
        <w:rPr>
          <w:rFonts w:asciiTheme="majorHAnsi" w:eastAsiaTheme="majorEastAsia" w:hAnsiTheme="majorHAnsi" w:cstheme="majorBidi"/>
          <w:color w:val="2F5496" w:themeColor="accent1" w:themeShade="BF"/>
          <w:sz w:val="32"/>
          <w:szCs w:val="32"/>
        </w:rPr>
      </w:pPr>
      <w:bookmarkStart w:id="3" w:name="_Toc88748491"/>
      <w:r>
        <w:br w:type="page"/>
      </w:r>
    </w:p>
    <w:p w14:paraId="67BB9CDA" w14:textId="0882AEBC" w:rsidR="00C3560D" w:rsidRDefault="00C3560D" w:rsidP="00EB0980">
      <w:pPr>
        <w:pStyle w:val="Heading1"/>
        <w:spacing w:before="0"/>
      </w:pPr>
      <w:bookmarkStart w:id="4" w:name="_Toc99370641"/>
      <w:r w:rsidRPr="00B853AF">
        <w:lastRenderedPageBreak/>
        <w:t xml:space="preserve">PROBLEM IDENTIFICATION – WHAT </w:t>
      </w:r>
      <w:r>
        <w:t>POLICY PROBLEM ARE YOU TRYING TO SOLVE?</w:t>
      </w:r>
      <w:bookmarkEnd w:id="3"/>
      <w:bookmarkEnd w:id="4"/>
      <w:r>
        <w:t xml:space="preserve"> </w:t>
      </w:r>
    </w:p>
    <w:p w14:paraId="237D3F59" w14:textId="77777777" w:rsidR="00C3560D" w:rsidRDefault="00C3560D" w:rsidP="00EB0980">
      <w:pPr>
        <w:spacing w:after="0"/>
        <w:rPr>
          <w:b/>
          <w:bCs/>
        </w:rPr>
      </w:pPr>
    </w:p>
    <w:p w14:paraId="16F3FF3E" w14:textId="23C2C8B4" w:rsidR="00C3560D" w:rsidRDefault="00C3560D" w:rsidP="00A80396">
      <w:pPr>
        <w:pStyle w:val="ListParagraph"/>
        <w:numPr>
          <w:ilvl w:val="0"/>
          <w:numId w:val="1"/>
        </w:numPr>
        <w:spacing w:after="0"/>
        <w:ind w:left="567" w:hanging="567"/>
        <w:rPr>
          <w:sz w:val="24"/>
          <w:szCs w:val="24"/>
        </w:rPr>
      </w:pPr>
      <w:r w:rsidRPr="543832D4">
        <w:rPr>
          <w:sz w:val="24"/>
          <w:szCs w:val="24"/>
        </w:rPr>
        <w:t>Australia’s prosperity has been, and will continue to be, underpinned by trade and foreign investment. Australia has been a major beneficiary of the open rules-based global trading system and its future growth will</w:t>
      </w:r>
      <w:r w:rsidR="0043553E" w:rsidRPr="543832D4">
        <w:rPr>
          <w:sz w:val="24"/>
          <w:szCs w:val="24"/>
        </w:rPr>
        <w:t xml:space="preserve"> continue to</w:t>
      </w:r>
      <w:r w:rsidRPr="543832D4">
        <w:rPr>
          <w:sz w:val="24"/>
          <w:szCs w:val="24"/>
        </w:rPr>
        <w:t xml:space="preserve"> depend on hav</w:t>
      </w:r>
      <w:r w:rsidR="0043553E" w:rsidRPr="543832D4">
        <w:rPr>
          <w:sz w:val="24"/>
          <w:szCs w:val="24"/>
        </w:rPr>
        <w:t>ing</w:t>
      </w:r>
      <w:r w:rsidRPr="543832D4">
        <w:rPr>
          <w:sz w:val="24"/>
          <w:szCs w:val="24"/>
        </w:rPr>
        <w:t xml:space="preserve"> open economic settings. </w:t>
      </w:r>
    </w:p>
    <w:p w14:paraId="2993B30F" w14:textId="77777777" w:rsidR="00C3560D" w:rsidRDefault="00C3560D" w:rsidP="00EB0980">
      <w:pPr>
        <w:pStyle w:val="ListParagraph"/>
        <w:spacing w:after="0"/>
        <w:ind w:left="567"/>
        <w:rPr>
          <w:sz w:val="24"/>
          <w:szCs w:val="24"/>
        </w:rPr>
      </w:pPr>
    </w:p>
    <w:p w14:paraId="22490F82" w14:textId="553B6A4D" w:rsidR="00C3560D" w:rsidRDefault="00C3560D">
      <w:pPr>
        <w:pStyle w:val="ListParagraph"/>
        <w:numPr>
          <w:ilvl w:val="0"/>
          <w:numId w:val="1"/>
        </w:numPr>
        <w:spacing w:after="0"/>
        <w:ind w:left="567" w:hanging="567"/>
        <w:rPr>
          <w:sz w:val="24"/>
          <w:szCs w:val="24"/>
        </w:rPr>
      </w:pPr>
      <w:r w:rsidRPr="000950E3">
        <w:rPr>
          <w:sz w:val="24"/>
          <w:szCs w:val="24"/>
        </w:rPr>
        <w:t>In recent decades, Australia’s exports ha</w:t>
      </w:r>
      <w:r w:rsidR="005714F1">
        <w:rPr>
          <w:sz w:val="24"/>
          <w:szCs w:val="24"/>
        </w:rPr>
        <w:t>ve</w:t>
      </w:r>
      <w:r w:rsidRPr="000950E3">
        <w:rPr>
          <w:sz w:val="24"/>
          <w:szCs w:val="24"/>
        </w:rPr>
        <w:t xml:space="preserve"> been driven by growth in demand from East Asia.</w:t>
      </w:r>
      <w:r>
        <w:rPr>
          <w:rStyle w:val="FootnoteReference"/>
          <w:sz w:val="24"/>
          <w:szCs w:val="24"/>
        </w:rPr>
        <w:footnoteReference w:id="2"/>
      </w:r>
      <w:r w:rsidRPr="000950E3">
        <w:rPr>
          <w:sz w:val="24"/>
          <w:szCs w:val="24"/>
        </w:rPr>
        <w:t xml:space="preserve"> However, the COVID-19 pandemic, US-China trade tensions and recent bilateral trade challenges have highlighted the risks of market concentration. It has also renewed public debate about how Australia could diversify its export markets to make Australia’s economy more resilient and less susceptible to economic shocks</w:t>
      </w:r>
      <w:r>
        <w:rPr>
          <w:sz w:val="24"/>
          <w:szCs w:val="24"/>
        </w:rPr>
        <w:t xml:space="preserve"> and trade disruptions.</w:t>
      </w:r>
      <w:r>
        <w:rPr>
          <w:rStyle w:val="FootnoteReference"/>
          <w:sz w:val="24"/>
          <w:szCs w:val="24"/>
        </w:rPr>
        <w:footnoteReference w:id="3"/>
      </w:r>
      <w:r>
        <w:rPr>
          <w:sz w:val="24"/>
          <w:szCs w:val="24"/>
        </w:rPr>
        <w:t xml:space="preserve"> </w:t>
      </w:r>
    </w:p>
    <w:p w14:paraId="5D86473E" w14:textId="77777777" w:rsidR="00EB0980" w:rsidRDefault="00EB0980">
      <w:pPr>
        <w:spacing w:after="0"/>
        <w:rPr>
          <w:b/>
          <w:bCs/>
          <w:sz w:val="24"/>
          <w:szCs w:val="24"/>
        </w:rPr>
      </w:pPr>
    </w:p>
    <w:p w14:paraId="67E4A586" w14:textId="45DD800D" w:rsidR="00C3560D" w:rsidRPr="00556D1E" w:rsidRDefault="00C3560D" w:rsidP="0001716D">
      <w:pPr>
        <w:pStyle w:val="Heading2"/>
        <w:spacing w:before="0"/>
      </w:pPr>
      <w:bookmarkStart w:id="5" w:name="_Toc99370642"/>
      <w:r>
        <w:t>The need for trade diversification</w:t>
      </w:r>
      <w:bookmarkEnd w:id="5"/>
      <w:r>
        <w:t xml:space="preserve"> </w:t>
      </w:r>
    </w:p>
    <w:p w14:paraId="44B59BB3" w14:textId="77777777" w:rsidR="00EB0980" w:rsidRDefault="00EB0980">
      <w:pPr>
        <w:pStyle w:val="ListParagraph"/>
        <w:spacing w:after="0"/>
        <w:ind w:left="567"/>
        <w:rPr>
          <w:sz w:val="24"/>
          <w:szCs w:val="24"/>
        </w:rPr>
      </w:pPr>
    </w:p>
    <w:p w14:paraId="49AEE177" w14:textId="0367EB2C" w:rsidR="00C3560D" w:rsidRDefault="00C3560D">
      <w:pPr>
        <w:pStyle w:val="ListParagraph"/>
        <w:numPr>
          <w:ilvl w:val="0"/>
          <w:numId w:val="1"/>
        </w:numPr>
        <w:spacing w:after="0"/>
        <w:ind w:left="567" w:hanging="567"/>
        <w:rPr>
          <w:sz w:val="24"/>
          <w:szCs w:val="24"/>
        </w:rPr>
      </w:pPr>
      <w:r>
        <w:rPr>
          <w:sz w:val="24"/>
          <w:szCs w:val="24"/>
        </w:rPr>
        <w:t xml:space="preserve">In February 2020, the Joint Standing Committee on </w:t>
      </w:r>
      <w:proofErr w:type="gramStart"/>
      <w:r>
        <w:rPr>
          <w:sz w:val="24"/>
          <w:szCs w:val="24"/>
        </w:rPr>
        <w:t>Trade</w:t>
      </w:r>
      <w:proofErr w:type="gramEnd"/>
      <w:r>
        <w:rPr>
          <w:sz w:val="24"/>
          <w:szCs w:val="24"/>
        </w:rPr>
        <w:t xml:space="preserve"> and Investment Growth (the Committee) resolved to inquire into the 2018-19 annual reports of DFAT and the Australian Trade and Investment Commission. The focus of the inquiry was to understand whether there was a need for Australia to diversify its trade markets and foreign investment profile.</w:t>
      </w:r>
      <w:r>
        <w:rPr>
          <w:rStyle w:val="FootnoteReference"/>
          <w:sz w:val="24"/>
          <w:szCs w:val="24"/>
        </w:rPr>
        <w:footnoteReference w:id="4"/>
      </w:r>
      <w:r>
        <w:rPr>
          <w:sz w:val="24"/>
          <w:szCs w:val="24"/>
        </w:rPr>
        <w:t xml:space="preserve"> </w:t>
      </w:r>
    </w:p>
    <w:p w14:paraId="550C7FA0" w14:textId="77777777" w:rsidR="00C3560D" w:rsidRPr="00991E63" w:rsidRDefault="00C3560D" w:rsidP="00EB0980">
      <w:pPr>
        <w:pStyle w:val="ListParagraph"/>
        <w:spacing w:after="0"/>
        <w:rPr>
          <w:sz w:val="24"/>
          <w:szCs w:val="24"/>
        </w:rPr>
      </w:pPr>
    </w:p>
    <w:p w14:paraId="5B88FE75" w14:textId="77777777" w:rsidR="00C3560D" w:rsidRDefault="00C3560D" w:rsidP="00A80396">
      <w:pPr>
        <w:pStyle w:val="ListParagraph"/>
        <w:numPr>
          <w:ilvl w:val="0"/>
          <w:numId w:val="1"/>
        </w:numPr>
        <w:spacing w:after="0" w:line="254" w:lineRule="auto"/>
        <w:ind w:left="567" w:hanging="567"/>
        <w:rPr>
          <w:sz w:val="24"/>
          <w:szCs w:val="24"/>
        </w:rPr>
      </w:pPr>
      <w:r w:rsidRPr="00B66E36">
        <w:rPr>
          <w:sz w:val="24"/>
          <w:szCs w:val="24"/>
        </w:rPr>
        <w:t xml:space="preserve">As outlined in the Committee’s report of February 2021, </w:t>
      </w:r>
      <w:r>
        <w:rPr>
          <w:sz w:val="24"/>
          <w:szCs w:val="24"/>
        </w:rPr>
        <w:t>a large proportion of Australia’s exports were concentrated towards high demand and high profit markets, the largest of which was China. The Committee acknowledged that market concentration could bring benefits to Australian exporters. For example, stable trading relationships allowed exporters to lower overheads by reducing costs in areas like regulatory compliance and often offer a price premium.</w:t>
      </w:r>
      <w:r>
        <w:rPr>
          <w:rStyle w:val="FootnoteReference"/>
          <w:sz w:val="24"/>
          <w:szCs w:val="24"/>
        </w:rPr>
        <w:footnoteReference w:id="5"/>
      </w:r>
      <w:r>
        <w:rPr>
          <w:sz w:val="24"/>
          <w:szCs w:val="24"/>
        </w:rPr>
        <w:t xml:space="preserve"> </w:t>
      </w:r>
    </w:p>
    <w:p w14:paraId="3196A679" w14:textId="77777777" w:rsidR="00C3560D" w:rsidRPr="007B3213" w:rsidRDefault="00C3560D" w:rsidP="00EB0980">
      <w:pPr>
        <w:pStyle w:val="ListParagraph"/>
        <w:spacing w:after="0"/>
        <w:rPr>
          <w:sz w:val="24"/>
          <w:szCs w:val="24"/>
        </w:rPr>
      </w:pPr>
    </w:p>
    <w:p w14:paraId="7B7D2CDF" w14:textId="6EBEC064" w:rsidR="00C3560D" w:rsidRDefault="00C3560D" w:rsidP="00A80396">
      <w:pPr>
        <w:pStyle w:val="ListParagraph"/>
        <w:numPr>
          <w:ilvl w:val="0"/>
          <w:numId w:val="1"/>
        </w:numPr>
        <w:spacing w:after="0" w:line="254" w:lineRule="auto"/>
        <w:ind w:left="567" w:hanging="567"/>
        <w:rPr>
          <w:sz w:val="24"/>
          <w:szCs w:val="24"/>
        </w:rPr>
      </w:pPr>
      <w:r>
        <w:rPr>
          <w:sz w:val="24"/>
          <w:szCs w:val="24"/>
        </w:rPr>
        <w:t xml:space="preserve">However, the Committee also acknowledged that market concentration carries an element of risk. Specifically, the Committee was concerned that Australia’s reliance on a small number of markets had left it exposed to economic, political and security risks. This had tangible impacts for Australian exporters and suppliers, as it made them more vulnerable, particularly if there were challenges in the bilateral relationship. Therefore, taking greater steps to diversify markets for Australia’s exports will help to mitigate this risk, as well as </w:t>
      </w:r>
      <w:r w:rsidR="00F64053">
        <w:rPr>
          <w:sz w:val="24"/>
          <w:szCs w:val="24"/>
        </w:rPr>
        <w:t>opening</w:t>
      </w:r>
      <w:r>
        <w:rPr>
          <w:sz w:val="24"/>
          <w:szCs w:val="24"/>
        </w:rPr>
        <w:t xml:space="preserve"> new opportunities for business.</w:t>
      </w:r>
      <w:r>
        <w:rPr>
          <w:rStyle w:val="FootnoteReference"/>
          <w:sz w:val="24"/>
          <w:szCs w:val="24"/>
        </w:rPr>
        <w:footnoteReference w:id="6"/>
      </w:r>
    </w:p>
    <w:p w14:paraId="0C2F5AB4" w14:textId="77777777" w:rsidR="00C3560D" w:rsidRPr="009E1317" w:rsidRDefault="00C3560D" w:rsidP="00EB0980">
      <w:pPr>
        <w:pStyle w:val="ListParagraph"/>
        <w:spacing w:after="0"/>
        <w:rPr>
          <w:sz w:val="24"/>
          <w:szCs w:val="24"/>
        </w:rPr>
      </w:pPr>
    </w:p>
    <w:p w14:paraId="1B925BCE" w14:textId="72685BE6" w:rsidR="543832D4" w:rsidRDefault="543832D4" w:rsidP="00A80396">
      <w:pPr>
        <w:pStyle w:val="ListParagraph"/>
        <w:numPr>
          <w:ilvl w:val="0"/>
          <w:numId w:val="1"/>
        </w:numPr>
        <w:spacing w:after="0" w:line="254" w:lineRule="auto"/>
        <w:ind w:left="567" w:hanging="567"/>
        <w:rPr>
          <w:sz w:val="24"/>
          <w:szCs w:val="24"/>
        </w:rPr>
      </w:pPr>
      <w:r w:rsidRPr="543832D4">
        <w:rPr>
          <w:sz w:val="24"/>
          <w:szCs w:val="24"/>
        </w:rPr>
        <w:t xml:space="preserve">The Committee also heard that a large proportion of Australia’s exports come from a small range of sectors. For example, Australia’s goods exports to India </w:t>
      </w:r>
      <w:proofErr w:type="gramStart"/>
      <w:r w:rsidRPr="543832D4">
        <w:rPr>
          <w:sz w:val="24"/>
          <w:szCs w:val="24"/>
        </w:rPr>
        <w:t>is</w:t>
      </w:r>
      <w:proofErr w:type="gramEnd"/>
      <w:r w:rsidRPr="543832D4">
        <w:rPr>
          <w:sz w:val="24"/>
          <w:szCs w:val="24"/>
        </w:rPr>
        <w:t xml:space="preserve"> dominated by coal, which </w:t>
      </w:r>
      <w:r w:rsidRPr="543832D4">
        <w:rPr>
          <w:sz w:val="24"/>
          <w:szCs w:val="24"/>
        </w:rPr>
        <w:lastRenderedPageBreak/>
        <w:t>comprises of approximately 70 per cent. Like market concentration, export concentration may reduce Australia’s economic resilience in the case of market disruptions or shocks. Accordingly, identifying opportunities for diversifying our export goods and services will help Australian exporters and suppliers to withstand disruptions in a particular market or economy.</w:t>
      </w:r>
      <w:r w:rsidRPr="543832D4">
        <w:rPr>
          <w:rStyle w:val="FootnoteReference"/>
          <w:sz w:val="24"/>
          <w:szCs w:val="24"/>
        </w:rPr>
        <w:footnoteReference w:id="7"/>
      </w:r>
      <w:r w:rsidRPr="543832D4">
        <w:rPr>
          <w:sz w:val="24"/>
          <w:szCs w:val="24"/>
        </w:rPr>
        <w:t xml:space="preserve"> </w:t>
      </w:r>
    </w:p>
    <w:p w14:paraId="46F67B20" w14:textId="2F0127D0" w:rsidR="543832D4" w:rsidRDefault="543832D4" w:rsidP="543832D4">
      <w:pPr>
        <w:spacing w:after="0" w:line="254" w:lineRule="auto"/>
        <w:rPr>
          <w:sz w:val="24"/>
          <w:szCs w:val="24"/>
        </w:rPr>
      </w:pPr>
    </w:p>
    <w:p w14:paraId="1D99422E" w14:textId="167F0D44" w:rsidR="00C37D86" w:rsidRDefault="00ED7914" w:rsidP="00A80396">
      <w:pPr>
        <w:pStyle w:val="ListParagraph"/>
        <w:numPr>
          <w:ilvl w:val="0"/>
          <w:numId w:val="1"/>
        </w:numPr>
        <w:spacing w:after="0" w:line="254" w:lineRule="auto"/>
        <w:ind w:left="567" w:hanging="567"/>
        <w:rPr>
          <w:sz w:val="24"/>
          <w:szCs w:val="24"/>
        </w:rPr>
      </w:pPr>
      <w:r>
        <w:rPr>
          <w:sz w:val="24"/>
          <w:szCs w:val="24"/>
        </w:rPr>
        <w:t>The</w:t>
      </w:r>
      <w:r w:rsidR="00C3560D">
        <w:rPr>
          <w:sz w:val="24"/>
          <w:szCs w:val="24"/>
        </w:rPr>
        <w:t xml:space="preserve"> Committee </w:t>
      </w:r>
      <w:r>
        <w:rPr>
          <w:sz w:val="24"/>
          <w:szCs w:val="24"/>
        </w:rPr>
        <w:t xml:space="preserve">recommended </w:t>
      </w:r>
      <w:r w:rsidR="00523E67">
        <w:rPr>
          <w:sz w:val="24"/>
          <w:szCs w:val="24"/>
        </w:rPr>
        <w:t>the Government develop and release a plan</w:t>
      </w:r>
      <w:r w:rsidR="007C3225">
        <w:rPr>
          <w:sz w:val="24"/>
          <w:szCs w:val="24"/>
        </w:rPr>
        <w:t xml:space="preserve"> for trade diversification, which focussed </w:t>
      </w:r>
      <w:proofErr w:type="gramStart"/>
      <w:r w:rsidR="007C3225">
        <w:rPr>
          <w:sz w:val="24"/>
          <w:szCs w:val="24"/>
        </w:rPr>
        <w:t>on:</w:t>
      </w:r>
      <w:proofErr w:type="gramEnd"/>
      <w:r w:rsidR="007C3225">
        <w:rPr>
          <w:sz w:val="24"/>
          <w:szCs w:val="24"/>
        </w:rPr>
        <w:t xml:space="preserve"> maintaining existing relationships with existing close trading partners as well as expanding trade with other countries; and</w:t>
      </w:r>
      <w:r w:rsidR="00C37D86">
        <w:rPr>
          <w:sz w:val="24"/>
          <w:szCs w:val="24"/>
        </w:rPr>
        <w:t xml:space="preserve"> diversifying Australia’s range of goods and services exports.</w:t>
      </w:r>
      <w:r w:rsidR="000718D3">
        <w:rPr>
          <w:rStyle w:val="FootnoteReference"/>
          <w:sz w:val="24"/>
          <w:szCs w:val="24"/>
        </w:rPr>
        <w:footnoteReference w:id="8"/>
      </w:r>
      <w:r w:rsidR="00C37D86">
        <w:rPr>
          <w:sz w:val="24"/>
          <w:szCs w:val="24"/>
        </w:rPr>
        <w:t xml:space="preserve"> </w:t>
      </w:r>
    </w:p>
    <w:p w14:paraId="1B8CA9A4" w14:textId="77777777" w:rsidR="00C37D86" w:rsidRPr="00C37D86" w:rsidRDefault="00C37D86" w:rsidP="00C37D86">
      <w:pPr>
        <w:pStyle w:val="ListParagraph"/>
        <w:rPr>
          <w:sz w:val="24"/>
          <w:szCs w:val="24"/>
        </w:rPr>
      </w:pPr>
    </w:p>
    <w:p w14:paraId="40C72B2B" w14:textId="065D6AAC" w:rsidR="008031DD" w:rsidRDefault="00C37D86" w:rsidP="00A80396">
      <w:pPr>
        <w:pStyle w:val="ListParagraph"/>
        <w:numPr>
          <w:ilvl w:val="0"/>
          <w:numId w:val="1"/>
        </w:numPr>
        <w:spacing w:after="0" w:line="254" w:lineRule="auto"/>
        <w:ind w:left="567" w:hanging="567"/>
        <w:rPr>
          <w:sz w:val="24"/>
          <w:szCs w:val="24"/>
        </w:rPr>
      </w:pPr>
      <w:r w:rsidRPr="543832D4">
        <w:rPr>
          <w:sz w:val="24"/>
          <w:szCs w:val="24"/>
        </w:rPr>
        <w:t xml:space="preserve">The Committee also recommended the Government </w:t>
      </w:r>
      <w:r w:rsidR="00FA77DE" w:rsidRPr="543832D4">
        <w:rPr>
          <w:sz w:val="24"/>
          <w:szCs w:val="24"/>
        </w:rPr>
        <w:t xml:space="preserve">continue to plan for greater trade opportunities for Australian exporters, including through delivering on its India Economic Strategy. </w:t>
      </w:r>
    </w:p>
    <w:p w14:paraId="48D20626" w14:textId="77777777" w:rsidR="00EC7C1E" w:rsidRPr="00EC7C1E" w:rsidRDefault="00EC7C1E">
      <w:pPr>
        <w:spacing w:after="0" w:line="254" w:lineRule="auto"/>
        <w:rPr>
          <w:sz w:val="24"/>
          <w:szCs w:val="24"/>
        </w:rPr>
      </w:pPr>
    </w:p>
    <w:p w14:paraId="2D0F589C" w14:textId="25F98F39" w:rsidR="008031DD" w:rsidRDefault="008031DD">
      <w:pPr>
        <w:pStyle w:val="ListParagraph"/>
        <w:numPr>
          <w:ilvl w:val="0"/>
          <w:numId w:val="1"/>
        </w:numPr>
        <w:spacing w:after="0" w:line="254" w:lineRule="auto"/>
        <w:ind w:left="567" w:hanging="567"/>
        <w:rPr>
          <w:sz w:val="24"/>
          <w:szCs w:val="24"/>
        </w:rPr>
      </w:pPr>
      <w:r w:rsidRPr="543832D4">
        <w:rPr>
          <w:sz w:val="24"/>
          <w:szCs w:val="24"/>
        </w:rPr>
        <w:t>As part of the Government’s formal</w:t>
      </w:r>
      <w:r w:rsidR="005C76E3" w:rsidRPr="543832D4">
        <w:rPr>
          <w:sz w:val="24"/>
          <w:szCs w:val="24"/>
        </w:rPr>
        <w:t xml:space="preserve"> response, the Government noted that it was delivering a comprehensive suite of measures to support Australian exporters to diversify their markets</w:t>
      </w:r>
      <w:r w:rsidR="004A424F" w:rsidRPr="543832D4">
        <w:rPr>
          <w:sz w:val="24"/>
          <w:szCs w:val="24"/>
        </w:rPr>
        <w:t>, including through new Free Trade Agreements (FTAs)</w:t>
      </w:r>
      <w:r w:rsidR="00EC7C1E" w:rsidRPr="543832D4">
        <w:rPr>
          <w:sz w:val="24"/>
          <w:szCs w:val="24"/>
        </w:rPr>
        <w:t xml:space="preserve">. The Government also </w:t>
      </w:r>
      <w:r w:rsidR="005C76E3" w:rsidRPr="543832D4">
        <w:rPr>
          <w:sz w:val="24"/>
          <w:szCs w:val="24"/>
        </w:rPr>
        <w:t xml:space="preserve">agreed to </w:t>
      </w:r>
      <w:r w:rsidR="004A424F" w:rsidRPr="543832D4">
        <w:rPr>
          <w:sz w:val="24"/>
          <w:szCs w:val="24"/>
        </w:rPr>
        <w:t>continue delivering on its India Economic Strategy.</w:t>
      </w:r>
      <w:r w:rsidR="006C28D5">
        <w:rPr>
          <w:rStyle w:val="FootnoteReference"/>
          <w:sz w:val="24"/>
          <w:szCs w:val="24"/>
        </w:rPr>
        <w:footnoteReference w:id="9"/>
      </w:r>
      <w:r w:rsidR="004A424F" w:rsidRPr="543832D4">
        <w:rPr>
          <w:sz w:val="24"/>
          <w:szCs w:val="24"/>
        </w:rPr>
        <w:t xml:space="preserve"> </w:t>
      </w:r>
    </w:p>
    <w:p w14:paraId="0B5A1E52" w14:textId="77777777" w:rsidR="00C3560D" w:rsidRPr="00556D1E" w:rsidRDefault="00C3560D">
      <w:pPr>
        <w:spacing w:after="0" w:line="254" w:lineRule="auto"/>
        <w:rPr>
          <w:sz w:val="24"/>
          <w:szCs w:val="24"/>
        </w:rPr>
      </w:pPr>
    </w:p>
    <w:p w14:paraId="1B49E5D1" w14:textId="77777777" w:rsidR="00C3560D" w:rsidRPr="0004697A" w:rsidRDefault="00C3560D" w:rsidP="0001716D">
      <w:pPr>
        <w:pStyle w:val="Heading2"/>
        <w:spacing w:before="0"/>
      </w:pPr>
      <w:bookmarkStart w:id="6" w:name="_Toc99370643"/>
      <w:r>
        <w:t>Challenges for Australian exporters and suppliers in the Indian market</w:t>
      </w:r>
      <w:bookmarkEnd w:id="6"/>
    </w:p>
    <w:p w14:paraId="59448828" w14:textId="77777777" w:rsidR="009A509A" w:rsidRDefault="009A509A">
      <w:pPr>
        <w:pStyle w:val="ListParagraph"/>
        <w:spacing w:after="0"/>
        <w:ind w:left="567"/>
        <w:rPr>
          <w:sz w:val="24"/>
          <w:szCs w:val="24"/>
        </w:rPr>
      </w:pPr>
    </w:p>
    <w:p w14:paraId="58B7418C" w14:textId="37C99687" w:rsidR="00C3560D" w:rsidRDefault="00C3560D">
      <w:pPr>
        <w:pStyle w:val="ListParagraph"/>
        <w:numPr>
          <w:ilvl w:val="0"/>
          <w:numId w:val="1"/>
        </w:numPr>
        <w:spacing w:after="0"/>
        <w:ind w:left="567" w:hanging="567"/>
        <w:rPr>
          <w:sz w:val="24"/>
          <w:szCs w:val="24"/>
        </w:rPr>
      </w:pPr>
      <w:r w:rsidRPr="0034548A">
        <w:rPr>
          <w:sz w:val="24"/>
          <w:szCs w:val="24"/>
        </w:rPr>
        <w:t xml:space="preserve">Diversifying Australia’s trade relationship through the proposed the </w:t>
      </w:r>
      <w:r w:rsidR="00421A8C">
        <w:rPr>
          <w:sz w:val="24"/>
          <w:szCs w:val="24"/>
        </w:rPr>
        <w:t>AI</w:t>
      </w:r>
      <w:r w:rsidR="00217C26">
        <w:rPr>
          <w:sz w:val="24"/>
          <w:szCs w:val="24"/>
        </w:rPr>
        <w:t xml:space="preserve"> ECTA</w:t>
      </w:r>
      <w:r w:rsidRPr="0034548A">
        <w:rPr>
          <w:sz w:val="24"/>
          <w:szCs w:val="24"/>
        </w:rPr>
        <w:t xml:space="preserve"> is strategic. </w:t>
      </w:r>
      <w:r w:rsidRPr="00041D8F">
        <w:rPr>
          <w:sz w:val="24"/>
          <w:szCs w:val="24"/>
        </w:rPr>
        <w:t>India is the world's largest democracy and is a market of 1.3 billion people.</w:t>
      </w:r>
      <w:r w:rsidR="00EC3F92" w:rsidRPr="00041D8F">
        <w:rPr>
          <w:rStyle w:val="FootnoteReference"/>
          <w:sz w:val="24"/>
          <w:szCs w:val="24"/>
        </w:rPr>
        <w:footnoteReference w:id="10"/>
      </w:r>
      <w:r w:rsidRPr="00041D8F">
        <w:rPr>
          <w:sz w:val="24"/>
          <w:szCs w:val="24"/>
        </w:rPr>
        <w:t xml:space="preserve"> India’s economy is recovering from COVID-19 and rapid mass vaccination is restoring confidence. The International Monetary Fund (IMF) has forecasted that India’s GDP would grow at 9.5 per</w:t>
      </w:r>
      <w:r w:rsidR="00854D6C" w:rsidRPr="00041D8F">
        <w:rPr>
          <w:sz w:val="24"/>
          <w:szCs w:val="24"/>
        </w:rPr>
        <w:t xml:space="preserve"> </w:t>
      </w:r>
      <w:r w:rsidRPr="00041D8F">
        <w:rPr>
          <w:sz w:val="24"/>
          <w:szCs w:val="24"/>
        </w:rPr>
        <w:t>cent for the current Indian financial year (ending March 2022), which if achieved, would make India the fastest recovering major economy.</w:t>
      </w:r>
      <w:r w:rsidR="00693C29" w:rsidRPr="00041D8F">
        <w:rPr>
          <w:rStyle w:val="FootnoteReference"/>
          <w:sz w:val="24"/>
          <w:szCs w:val="24"/>
        </w:rPr>
        <w:footnoteReference w:id="11"/>
      </w:r>
      <w:r w:rsidRPr="00041D8F">
        <w:rPr>
          <w:sz w:val="24"/>
          <w:szCs w:val="24"/>
        </w:rPr>
        <w:t xml:space="preserve"> Growth over the longer term is underpinned by India’s sound fundamentals and a continued economic reform agenda. To 2026, the IMF forecasts GDP growth of 53 per cent on 2019 levels. </w:t>
      </w:r>
    </w:p>
    <w:p w14:paraId="57E481D9" w14:textId="77777777" w:rsidR="0034548A" w:rsidRPr="0034548A" w:rsidRDefault="0034548A" w:rsidP="0034548A">
      <w:pPr>
        <w:pStyle w:val="ListParagraph"/>
        <w:spacing w:after="0"/>
        <w:ind w:left="567"/>
        <w:rPr>
          <w:sz w:val="24"/>
          <w:szCs w:val="24"/>
        </w:rPr>
      </w:pPr>
    </w:p>
    <w:p w14:paraId="095A72E7" w14:textId="45973BED" w:rsidR="00C3560D" w:rsidRDefault="00C3560D" w:rsidP="00A80396">
      <w:pPr>
        <w:pStyle w:val="ListParagraph"/>
        <w:numPr>
          <w:ilvl w:val="0"/>
          <w:numId w:val="1"/>
        </w:numPr>
        <w:spacing w:after="0"/>
        <w:ind w:left="567" w:hanging="567"/>
        <w:rPr>
          <w:sz w:val="24"/>
          <w:szCs w:val="24"/>
        </w:rPr>
      </w:pPr>
      <w:r w:rsidRPr="000D1A3B">
        <w:rPr>
          <w:sz w:val="24"/>
          <w:szCs w:val="24"/>
        </w:rPr>
        <w:t>I</w:t>
      </w:r>
      <w:r>
        <w:rPr>
          <w:sz w:val="24"/>
          <w:szCs w:val="24"/>
        </w:rPr>
        <w:t>ndia’s</w:t>
      </w:r>
      <w:r w:rsidRPr="000D1A3B">
        <w:rPr>
          <w:sz w:val="24"/>
          <w:szCs w:val="24"/>
        </w:rPr>
        <w:t xml:space="preserve"> growth will be driven by a young demographic, burgeoning consumer class, more people employed in formal work, mass technology uptake, significant infrastructure investment and rapid urbanisation.</w:t>
      </w:r>
      <w:r w:rsidR="007911A6">
        <w:rPr>
          <w:rStyle w:val="FootnoteReference"/>
          <w:sz w:val="24"/>
          <w:szCs w:val="24"/>
        </w:rPr>
        <w:footnoteReference w:id="12"/>
      </w:r>
      <w:r w:rsidRPr="000D1A3B">
        <w:rPr>
          <w:sz w:val="24"/>
          <w:szCs w:val="24"/>
        </w:rPr>
        <w:t xml:space="preserve"> India’s ambitious economic reform agenda and cooperation under the CSP provides significant potential to create stronger opportunities in education, agriculture, energy, resources, tourism, healthcare, financial services, </w:t>
      </w:r>
      <w:r w:rsidRPr="000D1A3B">
        <w:rPr>
          <w:sz w:val="24"/>
          <w:szCs w:val="24"/>
        </w:rPr>
        <w:lastRenderedPageBreak/>
        <w:t xml:space="preserve">infrastructure, science and innovation, as well as in prospective sectors such as critical minerals, health and critical technology. </w:t>
      </w:r>
      <w:r>
        <w:rPr>
          <w:sz w:val="24"/>
          <w:szCs w:val="24"/>
        </w:rPr>
        <w:t>This makes India an attractive market for Australian goods and services exports.</w:t>
      </w:r>
    </w:p>
    <w:p w14:paraId="6DF6AFA1" w14:textId="77777777" w:rsidR="00C3560D" w:rsidRPr="00DB0A3F" w:rsidRDefault="00C3560D" w:rsidP="00EB0980">
      <w:pPr>
        <w:pStyle w:val="ListParagraph"/>
        <w:spacing w:after="0"/>
        <w:rPr>
          <w:sz w:val="24"/>
          <w:szCs w:val="24"/>
        </w:rPr>
      </w:pPr>
    </w:p>
    <w:p w14:paraId="4B733F80" w14:textId="26C13603" w:rsidR="003B26D5" w:rsidRDefault="00CA6629" w:rsidP="00A80396">
      <w:pPr>
        <w:pStyle w:val="ListParagraph"/>
        <w:numPr>
          <w:ilvl w:val="0"/>
          <w:numId w:val="1"/>
        </w:numPr>
        <w:spacing w:after="0"/>
        <w:ind w:left="567" w:hanging="567"/>
        <w:rPr>
          <w:sz w:val="24"/>
          <w:szCs w:val="24"/>
        </w:rPr>
      </w:pPr>
      <w:r>
        <w:rPr>
          <w:sz w:val="24"/>
          <w:szCs w:val="24"/>
        </w:rPr>
        <w:t>U</w:t>
      </w:r>
      <w:r w:rsidR="001505F9">
        <w:rPr>
          <w:sz w:val="24"/>
          <w:szCs w:val="24"/>
        </w:rPr>
        <w:t>nder the current trade arrangements</w:t>
      </w:r>
      <w:r w:rsidR="006070C7">
        <w:rPr>
          <w:sz w:val="24"/>
          <w:szCs w:val="24"/>
        </w:rPr>
        <w:t>, Australia’s trade with India will continue to be hampered by India’s exceptionally high tariffs</w:t>
      </w:r>
      <w:r w:rsidR="00532202">
        <w:rPr>
          <w:sz w:val="24"/>
          <w:szCs w:val="24"/>
        </w:rPr>
        <w:t>, especially</w:t>
      </w:r>
      <w:r w:rsidR="00BC3B50">
        <w:rPr>
          <w:sz w:val="24"/>
          <w:szCs w:val="24"/>
        </w:rPr>
        <w:t xml:space="preserve"> </w:t>
      </w:r>
      <w:r w:rsidR="00C3560D">
        <w:rPr>
          <w:sz w:val="24"/>
          <w:szCs w:val="24"/>
        </w:rPr>
        <w:t>for imported food and agricultural products</w:t>
      </w:r>
      <w:r w:rsidR="00084B58">
        <w:rPr>
          <w:sz w:val="24"/>
          <w:szCs w:val="24"/>
        </w:rPr>
        <w:t xml:space="preserve">, which </w:t>
      </w:r>
      <w:r w:rsidR="00823367">
        <w:rPr>
          <w:sz w:val="24"/>
          <w:szCs w:val="24"/>
        </w:rPr>
        <w:t xml:space="preserve">prevents Australian products from entering </w:t>
      </w:r>
      <w:r w:rsidR="00414950">
        <w:rPr>
          <w:sz w:val="24"/>
          <w:szCs w:val="24"/>
        </w:rPr>
        <w:t>and competing in</w:t>
      </w:r>
      <w:r w:rsidR="00C3560D">
        <w:rPr>
          <w:sz w:val="24"/>
          <w:szCs w:val="24"/>
        </w:rPr>
        <w:t xml:space="preserve"> the Indian market.</w:t>
      </w:r>
      <w:r w:rsidR="001A2ACD">
        <w:rPr>
          <w:sz w:val="24"/>
          <w:szCs w:val="24"/>
        </w:rPr>
        <w:t xml:space="preserve"> For example, </w:t>
      </w:r>
      <w:r w:rsidR="00414950">
        <w:rPr>
          <w:sz w:val="24"/>
          <w:szCs w:val="24"/>
        </w:rPr>
        <w:t xml:space="preserve">of the nearly 12,000 lines in India’s </w:t>
      </w:r>
      <w:r w:rsidR="001A2ACD">
        <w:rPr>
          <w:sz w:val="24"/>
          <w:szCs w:val="24"/>
        </w:rPr>
        <w:t>tariff</w:t>
      </w:r>
      <w:r w:rsidR="00414950">
        <w:rPr>
          <w:sz w:val="24"/>
          <w:szCs w:val="24"/>
        </w:rPr>
        <w:t xml:space="preserve"> schedule, </w:t>
      </w:r>
      <w:r w:rsidR="001A2ACD">
        <w:rPr>
          <w:sz w:val="24"/>
          <w:szCs w:val="24"/>
        </w:rPr>
        <w:t xml:space="preserve">Australia only trades </w:t>
      </w:r>
      <w:r w:rsidR="00414950">
        <w:rPr>
          <w:sz w:val="24"/>
          <w:szCs w:val="24"/>
        </w:rPr>
        <w:t>on 1,628</w:t>
      </w:r>
      <w:r w:rsidR="005A6EB5">
        <w:rPr>
          <w:sz w:val="24"/>
          <w:szCs w:val="24"/>
        </w:rPr>
        <w:t xml:space="preserve"> (approximately 14 per</w:t>
      </w:r>
      <w:r w:rsidR="005253A0">
        <w:rPr>
          <w:sz w:val="24"/>
          <w:szCs w:val="24"/>
        </w:rPr>
        <w:t xml:space="preserve"> </w:t>
      </w:r>
      <w:r w:rsidR="005A6EB5">
        <w:rPr>
          <w:sz w:val="24"/>
          <w:szCs w:val="24"/>
        </w:rPr>
        <w:t>cent)</w:t>
      </w:r>
      <w:r w:rsidR="00414950">
        <w:rPr>
          <w:sz w:val="24"/>
          <w:szCs w:val="24"/>
        </w:rPr>
        <w:t xml:space="preserve"> of India’s tariff lines</w:t>
      </w:r>
      <w:r w:rsidR="005A6EB5">
        <w:rPr>
          <w:sz w:val="24"/>
          <w:szCs w:val="24"/>
        </w:rPr>
        <w:t xml:space="preserve"> </w:t>
      </w:r>
      <w:r w:rsidR="003B26D5">
        <w:rPr>
          <w:sz w:val="24"/>
          <w:szCs w:val="24"/>
        </w:rPr>
        <w:t xml:space="preserve">largely </w:t>
      </w:r>
      <w:r w:rsidR="005A6EB5">
        <w:rPr>
          <w:sz w:val="24"/>
          <w:szCs w:val="24"/>
        </w:rPr>
        <w:t xml:space="preserve">due to the high </w:t>
      </w:r>
      <w:r w:rsidR="003B26D5">
        <w:rPr>
          <w:sz w:val="24"/>
          <w:szCs w:val="24"/>
        </w:rPr>
        <w:t xml:space="preserve">tariff </w:t>
      </w:r>
      <w:r w:rsidR="005A6EB5">
        <w:rPr>
          <w:sz w:val="24"/>
          <w:szCs w:val="24"/>
        </w:rPr>
        <w:t xml:space="preserve">barriers </w:t>
      </w:r>
      <w:r w:rsidR="002325EE">
        <w:rPr>
          <w:sz w:val="24"/>
          <w:szCs w:val="24"/>
        </w:rPr>
        <w:t>to entry.</w:t>
      </w:r>
      <w:r w:rsidR="00C3560D">
        <w:rPr>
          <w:sz w:val="24"/>
          <w:szCs w:val="24"/>
        </w:rPr>
        <w:t xml:space="preserve"> </w:t>
      </w:r>
    </w:p>
    <w:p w14:paraId="1F57E054" w14:textId="77777777" w:rsidR="003B26D5" w:rsidRPr="003B26D5" w:rsidRDefault="003B26D5" w:rsidP="003B26D5">
      <w:pPr>
        <w:pStyle w:val="ListParagraph"/>
        <w:rPr>
          <w:sz w:val="24"/>
          <w:szCs w:val="24"/>
        </w:rPr>
      </w:pPr>
    </w:p>
    <w:p w14:paraId="2BBC97AB" w14:textId="24116C44" w:rsidR="00C3560D" w:rsidRDefault="00C3560D" w:rsidP="00A80396">
      <w:pPr>
        <w:pStyle w:val="ListParagraph"/>
        <w:numPr>
          <w:ilvl w:val="0"/>
          <w:numId w:val="1"/>
        </w:numPr>
        <w:spacing w:after="0"/>
        <w:ind w:left="567" w:hanging="567"/>
        <w:rPr>
          <w:sz w:val="24"/>
          <w:szCs w:val="24"/>
        </w:rPr>
      </w:pPr>
      <w:r>
        <w:rPr>
          <w:sz w:val="24"/>
          <w:szCs w:val="24"/>
        </w:rPr>
        <w:t xml:space="preserve">Further, from time to time, measures such as higher tariffs, quantitative restrictions and changes to non-tariff barriers are imposed </w:t>
      </w:r>
      <w:r w:rsidR="005E15B6">
        <w:rPr>
          <w:sz w:val="24"/>
          <w:szCs w:val="24"/>
        </w:rPr>
        <w:t xml:space="preserve">by the Indian Government </w:t>
      </w:r>
      <w:r>
        <w:rPr>
          <w:sz w:val="24"/>
          <w:szCs w:val="24"/>
        </w:rPr>
        <w:t>at little or no notice. This creates uncertainty and disrupts trade for Australian and other suppliers.</w:t>
      </w:r>
      <w:r>
        <w:rPr>
          <w:rStyle w:val="FootnoteReference"/>
          <w:sz w:val="24"/>
          <w:szCs w:val="24"/>
        </w:rPr>
        <w:footnoteReference w:id="13"/>
      </w:r>
      <w:r>
        <w:rPr>
          <w:sz w:val="24"/>
          <w:szCs w:val="24"/>
        </w:rPr>
        <w:t xml:space="preserve"> </w:t>
      </w:r>
    </w:p>
    <w:p w14:paraId="7D134F69" w14:textId="77777777" w:rsidR="00C3560D" w:rsidRPr="00493EB1" w:rsidRDefault="00C3560D" w:rsidP="00EB0980">
      <w:pPr>
        <w:pStyle w:val="ListParagraph"/>
        <w:spacing w:after="0"/>
        <w:rPr>
          <w:sz w:val="24"/>
          <w:szCs w:val="24"/>
        </w:rPr>
      </w:pPr>
    </w:p>
    <w:p w14:paraId="68DA7C9B" w14:textId="08D8B07C" w:rsidR="00C3560D" w:rsidRDefault="00C3560D">
      <w:pPr>
        <w:pStyle w:val="ListParagraph"/>
        <w:numPr>
          <w:ilvl w:val="0"/>
          <w:numId w:val="1"/>
        </w:numPr>
        <w:spacing w:after="0"/>
        <w:ind w:left="567" w:hanging="567"/>
        <w:rPr>
          <w:sz w:val="24"/>
          <w:szCs w:val="24"/>
        </w:rPr>
      </w:pPr>
      <w:r>
        <w:rPr>
          <w:sz w:val="24"/>
          <w:szCs w:val="24"/>
        </w:rPr>
        <w:t>Feedback from stakeholder consultations have also indicated that due to high market barriers, there would be limited opportunities for Australian producers to broaden their product exports to India – especially in the agriculture and horticulture sectors. For example, imports of Australian wine to India attracts a standard import duty of 150%, which the Australian wine sector has identified as a major disincentive to market development.</w:t>
      </w:r>
      <w:r>
        <w:rPr>
          <w:rStyle w:val="FootnoteReference"/>
          <w:sz w:val="24"/>
          <w:szCs w:val="24"/>
        </w:rPr>
        <w:footnoteReference w:id="14"/>
      </w:r>
      <w:r>
        <w:rPr>
          <w:sz w:val="24"/>
          <w:szCs w:val="24"/>
        </w:rPr>
        <w:t xml:space="preserve"> Similarly, associations representing the horticulture and grain sectors have also identified high import duties as a significant impediment for Australian producers to export the Indian market.</w:t>
      </w:r>
      <w:r>
        <w:rPr>
          <w:rStyle w:val="FootnoteReference"/>
          <w:sz w:val="24"/>
          <w:szCs w:val="24"/>
        </w:rPr>
        <w:footnoteReference w:id="15"/>
      </w:r>
    </w:p>
    <w:p w14:paraId="555768D3" w14:textId="77777777" w:rsidR="004C3719" w:rsidRPr="004C3719" w:rsidRDefault="004C3719" w:rsidP="0001716D">
      <w:pPr>
        <w:pStyle w:val="ListParagraph"/>
        <w:spacing w:after="0"/>
        <w:rPr>
          <w:sz w:val="24"/>
          <w:szCs w:val="24"/>
        </w:rPr>
      </w:pPr>
    </w:p>
    <w:p w14:paraId="7BF73273" w14:textId="6B131208" w:rsidR="004C3719" w:rsidRPr="005C6F68" w:rsidRDefault="001B4BEE">
      <w:pPr>
        <w:pStyle w:val="ListParagraph"/>
        <w:numPr>
          <w:ilvl w:val="0"/>
          <w:numId w:val="1"/>
        </w:numPr>
        <w:spacing w:after="0"/>
        <w:ind w:left="567" w:hanging="567"/>
        <w:rPr>
          <w:sz w:val="24"/>
          <w:szCs w:val="24"/>
        </w:rPr>
      </w:pPr>
      <w:r>
        <w:rPr>
          <w:sz w:val="24"/>
          <w:szCs w:val="24"/>
        </w:rPr>
        <w:t xml:space="preserve">India has continued its rise in the World Bank’s Doing Business ranking </w:t>
      </w:r>
      <w:r w:rsidR="00C90954">
        <w:rPr>
          <w:sz w:val="24"/>
          <w:szCs w:val="24"/>
        </w:rPr>
        <w:t>f</w:t>
      </w:r>
      <w:r>
        <w:rPr>
          <w:sz w:val="24"/>
          <w:szCs w:val="24"/>
        </w:rPr>
        <w:t xml:space="preserve">rom 142 in 2015 to 63 in 2020. However, India </w:t>
      </w:r>
      <w:proofErr w:type="gramStart"/>
      <w:r>
        <w:rPr>
          <w:sz w:val="24"/>
          <w:szCs w:val="24"/>
        </w:rPr>
        <w:t>still remains</w:t>
      </w:r>
      <w:proofErr w:type="gramEnd"/>
      <w:r>
        <w:rPr>
          <w:sz w:val="24"/>
          <w:szCs w:val="24"/>
        </w:rPr>
        <w:t xml:space="preserve"> a challenging place to invest and do business.</w:t>
      </w:r>
      <w:r w:rsidR="006F1C43">
        <w:rPr>
          <w:rStyle w:val="FootnoteReference"/>
          <w:sz w:val="24"/>
          <w:szCs w:val="24"/>
        </w:rPr>
        <w:footnoteReference w:id="16"/>
      </w:r>
      <w:r>
        <w:rPr>
          <w:sz w:val="24"/>
          <w:szCs w:val="24"/>
        </w:rPr>
        <w:t xml:space="preserve"> </w:t>
      </w:r>
      <w:r w:rsidR="00ED057F">
        <w:rPr>
          <w:sz w:val="24"/>
          <w:szCs w:val="24"/>
        </w:rPr>
        <w:t>In particular</w:t>
      </w:r>
      <w:r w:rsidR="00D3558F">
        <w:rPr>
          <w:sz w:val="24"/>
          <w:szCs w:val="24"/>
        </w:rPr>
        <w:t>, stakeholders have indicated that</w:t>
      </w:r>
      <w:r w:rsidR="004C3719" w:rsidRPr="005C6F68">
        <w:rPr>
          <w:sz w:val="24"/>
          <w:szCs w:val="24"/>
        </w:rPr>
        <w:t xml:space="preserve"> </w:t>
      </w:r>
      <w:r w:rsidR="00D14817" w:rsidRPr="005C6F68">
        <w:rPr>
          <w:sz w:val="24"/>
          <w:szCs w:val="24"/>
        </w:rPr>
        <w:t>regulatory barriers</w:t>
      </w:r>
      <w:r w:rsidR="00CF3CAB" w:rsidRPr="005C6F68">
        <w:rPr>
          <w:sz w:val="24"/>
          <w:szCs w:val="24"/>
        </w:rPr>
        <w:t xml:space="preserve">, the lack of transparency </w:t>
      </w:r>
      <w:r w:rsidR="005C6F68">
        <w:rPr>
          <w:sz w:val="24"/>
          <w:szCs w:val="24"/>
        </w:rPr>
        <w:t>and difficulties in accessing information,</w:t>
      </w:r>
      <w:r w:rsidR="000C3016">
        <w:rPr>
          <w:sz w:val="24"/>
          <w:szCs w:val="24"/>
        </w:rPr>
        <w:t xml:space="preserve"> a complex visa system </w:t>
      </w:r>
      <w:r w:rsidR="006F1C43">
        <w:rPr>
          <w:sz w:val="24"/>
          <w:szCs w:val="24"/>
        </w:rPr>
        <w:t xml:space="preserve">and the absence of a mutual recognition system for professional qualifications </w:t>
      </w:r>
      <w:r w:rsidR="000C3016">
        <w:rPr>
          <w:sz w:val="24"/>
          <w:szCs w:val="24"/>
        </w:rPr>
        <w:t xml:space="preserve">have made it difficult to </w:t>
      </w:r>
      <w:r w:rsidR="006F1C43">
        <w:rPr>
          <w:sz w:val="24"/>
          <w:szCs w:val="24"/>
        </w:rPr>
        <w:t xml:space="preserve">do business and engage in services trade in India. </w:t>
      </w:r>
    </w:p>
    <w:p w14:paraId="20EB441E" w14:textId="77777777" w:rsidR="00C3560D" w:rsidRPr="00B02120" w:rsidRDefault="00C3560D" w:rsidP="0001716D">
      <w:pPr>
        <w:pStyle w:val="ListParagraph"/>
        <w:spacing w:after="0"/>
        <w:rPr>
          <w:sz w:val="24"/>
          <w:szCs w:val="24"/>
        </w:rPr>
      </w:pPr>
    </w:p>
    <w:p w14:paraId="7CA0E566" w14:textId="4BA07E0D" w:rsidR="00C3560D" w:rsidRDefault="00A27338">
      <w:pPr>
        <w:pStyle w:val="ListParagraph"/>
        <w:numPr>
          <w:ilvl w:val="0"/>
          <w:numId w:val="1"/>
        </w:numPr>
        <w:spacing w:after="0"/>
        <w:ind w:left="567" w:hanging="567"/>
        <w:rPr>
          <w:sz w:val="24"/>
          <w:szCs w:val="24"/>
        </w:rPr>
      </w:pPr>
      <w:r>
        <w:rPr>
          <w:sz w:val="24"/>
          <w:szCs w:val="24"/>
        </w:rPr>
        <w:t>Under the existing trade framework</w:t>
      </w:r>
      <w:r w:rsidR="00C3560D" w:rsidRPr="543832D4">
        <w:rPr>
          <w:sz w:val="24"/>
          <w:szCs w:val="24"/>
        </w:rPr>
        <w:t>, Australian exporters and suppliers w</w:t>
      </w:r>
      <w:r w:rsidR="00DB2CB4" w:rsidRPr="543832D4">
        <w:rPr>
          <w:sz w:val="24"/>
          <w:szCs w:val="24"/>
        </w:rPr>
        <w:t>ill</w:t>
      </w:r>
      <w:r w:rsidR="00C3560D" w:rsidRPr="543832D4">
        <w:rPr>
          <w:sz w:val="24"/>
          <w:szCs w:val="24"/>
        </w:rPr>
        <w:t xml:space="preserve"> continue to be subject to</w:t>
      </w:r>
      <w:r>
        <w:rPr>
          <w:sz w:val="24"/>
          <w:szCs w:val="24"/>
        </w:rPr>
        <w:t xml:space="preserve"> significantly high tariffs,</w:t>
      </w:r>
      <w:r w:rsidR="00C3560D" w:rsidRPr="543832D4">
        <w:rPr>
          <w:sz w:val="24"/>
          <w:szCs w:val="24"/>
        </w:rPr>
        <w:t xml:space="preserve"> trade uncertainties and w</w:t>
      </w:r>
      <w:r w:rsidR="00DB2CB4" w:rsidRPr="543832D4">
        <w:rPr>
          <w:sz w:val="24"/>
          <w:szCs w:val="24"/>
        </w:rPr>
        <w:t>ill</w:t>
      </w:r>
      <w:r w:rsidR="00C3560D" w:rsidRPr="543832D4">
        <w:rPr>
          <w:sz w:val="24"/>
          <w:szCs w:val="24"/>
        </w:rPr>
        <w:t xml:space="preserve"> not be in a competitive position to tap into one of the world’s largest and fastest growing economies.</w:t>
      </w:r>
      <w:r>
        <w:rPr>
          <w:sz w:val="24"/>
          <w:szCs w:val="24"/>
        </w:rPr>
        <w:t xml:space="preserve"> </w:t>
      </w:r>
      <w:proofErr w:type="gramStart"/>
      <w:r>
        <w:rPr>
          <w:sz w:val="24"/>
          <w:szCs w:val="24"/>
        </w:rPr>
        <w:t>This is why</w:t>
      </w:r>
      <w:proofErr w:type="gramEnd"/>
      <w:r>
        <w:rPr>
          <w:sz w:val="24"/>
          <w:szCs w:val="24"/>
        </w:rPr>
        <w:t xml:space="preserve"> signing the proposed </w:t>
      </w:r>
      <w:r w:rsidR="00421A8C">
        <w:rPr>
          <w:sz w:val="24"/>
          <w:szCs w:val="24"/>
        </w:rPr>
        <w:t>AI</w:t>
      </w:r>
      <w:r w:rsidR="00217C26">
        <w:rPr>
          <w:sz w:val="24"/>
          <w:szCs w:val="24"/>
        </w:rPr>
        <w:t xml:space="preserve"> ECTA</w:t>
      </w:r>
      <w:r>
        <w:rPr>
          <w:sz w:val="24"/>
          <w:szCs w:val="24"/>
        </w:rPr>
        <w:t xml:space="preserve"> is important for Australian exporters and suppliers, as it will allow Australia entry into the Indian market on par with India’s other FTA partners.  </w:t>
      </w:r>
    </w:p>
    <w:p w14:paraId="138F6890" w14:textId="77777777" w:rsidR="00E93D55" w:rsidRPr="00CF5E0D" w:rsidRDefault="00E93D55" w:rsidP="00EB0980">
      <w:pPr>
        <w:pStyle w:val="ListParagraph"/>
        <w:spacing w:after="0"/>
        <w:rPr>
          <w:sz w:val="24"/>
          <w:szCs w:val="24"/>
        </w:rPr>
      </w:pPr>
    </w:p>
    <w:p w14:paraId="2BCF4060" w14:textId="77777777" w:rsidR="00742C5A" w:rsidRDefault="00742C5A">
      <w:pPr>
        <w:rPr>
          <w:b/>
          <w:bCs/>
          <w:sz w:val="24"/>
          <w:szCs w:val="24"/>
        </w:rPr>
      </w:pPr>
      <w:r>
        <w:rPr>
          <w:b/>
          <w:bCs/>
          <w:sz w:val="24"/>
          <w:szCs w:val="24"/>
        </w:rPr>
        <w:br w:type="page"/>
      </w:r>
    </w:p>
    <w:p w14:paraId="3B658207" w14:textId="07C85771" w:rsidR="00504ACD" w:rsidRPr="00504ACD" w:rsidRDefault="00504ACD">
      <w:pPr>
        <w:spacing w:after="0"/>
        <w:rPr>
          <w:b/>
          <w:bCs/>
          <w:sz w:val="24"/>
          <w:szCs w:val="24"/>
        </w:rPr>
      </w:pPr>
      <w:r>
        <w:rPr>
          <w:b/>
          <w:bCs/>
          <w:sz w:val="24"/>
          <w:szCs w:val="24"/>
        </w:rPr>
        <w:lastRenderedPageBreak/>
        <w:t xml:space="preserve">Trends in Australia and India’s trading relationship </w:t>
      </w:r>
    </w:p>
    <w:p w14:paraId="403A2D7F" w14:textId="77777777" w:rsidR="00504ACD" w:rsidRPr="00504ACD" w:rsidRDefault="00504ACD" w:rsidP="0001716D">
      <w:pPr>
        <w:pStyle w:val="ListParagraph"/>
        <w:spacing w:after="0"/>
        <w:rPr>
          <w:sz w:val="24"/>
          <w:szCs w:val="24"/>
        </w:rPr>
      </w:pPr>
    </w:p>
    <w:p w14:paraId="224AEDBF" w14:textId="16C8A5CF" w:rsidR="00C3560D" w:rsidRDefault="00C3560D">
      <w:pPr>
        <w:pStyle w:val="ListParagraph"/>
        <w:numPr>
          <w:ilvl w:val="0"/>
          <w:numId w:val="1"/>
        </w:numPr>
        <w:spacing w:after="0"/>
        <w:ind w:left="567" w:hanging="567"/>
        <w:rPr>
          <w:sz w:val="24"/>
          <w:szCs w:val="24"/>
        </w:rPr>
      </w:pPr>
      <w:r>
        <w:rPr>
          <w:sz w:val="24"/>
          <w:szCs w:val="24"/>
        </w:rPr>
        <w:t>Since 2007, t</w:t>
      </w:r>
      <w:r w:rsidRPr="008D6782">
        <w:rPr>
          <w:sz w:val="24"/>
          <w:szCs w:val="24"/>
        </w:rPr>
        <w:t xml:space="preserve">wo-way trade in goods and services </w:t>
      </w:r>
      <w:r>
        <w:rPr>
          <w:sz w:val="24"/>
          <w:szCs w:val="24"/>
        </w:rPr>
        <w:t xml:space="preserve">between Australia and India </w:t>
      </w:r>
      <w:r w:rsidRPr="008D6782">
        <w:rPr>
          <w:sz w:val="24"/>
          <w:szCs w:val="24"/>
        </w:rPr>
        <w:t>has grown in value from $16.2 billion in 2014 to $24.3 billion in 2020</w:t>
      </w:r>
      <w:r>
        <w:rPr>
          <w:sz w:val="24"/>
          <w:szCs w:val="24"/>
        </w:rPr>
        <w:t>, driven largely by metallurgical coal and education</w:t>
      </w:r>
      <w:r w:rsidR="00420E06">
        <w:rPr>
          <w:sz w:val="24"/>
          <w:szCs w:val="24"/>
        </w:rPr>
        <w:t>-related travel services</w:t>
      </w:r>
      <w:r w:rsidR="00E812AA">
        <w:rPr>
          <w:rStyle w:val="FootnoteReference"/>
          <w:sz w:val="24"/>
          <w:szCs w:val="24"/>
        </w:rPr>
        <w:footnoteReference w:id="17"/>
      </w:r>
      <w:r>
        <w:rPr>
          <w:sz w:val="24"/>
          <w:szCs w:val="24"/>
        </w:rPr>
        <w:t xml:space="preserve"> (as illustrated in </w:t>
      </w:r>
      <w:r w:rsidRPr="008F54C8">
        <w:rPr>
          <w:b/>
          <w:bCs/>
          <w:sz w:val="24"/>
          <w:szCs w:val="24"/>
        </w:rPr>
        <w:t>Graph</w:t>
      </w:r>
      <w:r>
        <w:rPr>
          <w:b/>
          <w:bCs/>
          <w:sz w:val="24"/>
          <w:szCs w:val="24"/>
        </w:rPr>
        <w:t>s</w:t>
      </w:r>
      <w:r w:rsidRPr="008F54C8">
        <w:rPr>
          <w:b/>
          <w:bCs/>
          <w:sz w:val="24"/>
          <w:szCs w:val="24"/>
        </w:rPr>
        <w:t xml:space="preserve"> 1</w:t>
      </w:r>
      <w:r>
        <w:rPr>
          <w:b/>
          <w:bCs/>
          <w:sz w:val="24"/>
          <w:szCs w:val="24"/>
        </w:rPr>
        <w:t xml:space="preserve"> and 4</w:t>
      </w:r>
      <w:r>
        <w:rPr>
          <w:sz w:val="24"/>
          <w:szCs w:val="24"/>
        </w:rPr>
        <w:t xml:space="preserve">), accounting for </w:t>
      </w:r>
      <w:r w:rsidR="00352DBA">
        <w:rPr>
          <w:sz w:val="24"/>
          <w:szCs w:val="24"/>
        </w:rPr>
        <w:br/>
      </w:r>
      <w:r w:rsidRPr="00790C82">
        <w:rPr>
          <w:sz w:val="24"/>
          <w:szCs w:val="24"/>
        </w:rPr>
        <w:t>3 per cent</w:t>
      </w:r>
      <w:r>
        <w:rPr>
          <w:sz w:val="24"/>
          <w:szCs w:val="24"/>
        </w:rPr>
        <w:t xml:space="preserve"> of Australia’s two-way trade</w:t>
      </w:r>
      <w:r w:rsidRPr="008D6782">
        <w:rPr>
          <w:sz w:val="24"/>
          <w:szCs w:val="24"/>
        </w:rPr>
        <w:t>.</w:t>
      </w:r>
      <w:r>
        <w:rPr>
          <w:rStyle w:val="FootnoteReference"/>
          <w:sz w:val="24"/>
          <w:szCs w:val="24"/>
        </w:rPr>
        <w:footnoteReference w:id="18"/>
      </w:r>
      <w:r w:rsidRPr="002E2FCE">
        <w:rPr>
          <w:sz w:val="24"/>
          <w:szCs w:val="24"/>
        </w:rPr>
        <w:t xml:space="preserve"> </w:t>
      </w:r>
      <w:r>
        <w:rPr>
          <w:sz w:val="24"/>
          <w:szCs w:val="24"/>
        </w:rPr>
        <w:t xml:space="preserve">In 2020, India was Australia’s seventh largest trading partner and sixth largest export destination. Goods exports were concentrated in resource commodities (metallurgical coal, natural gas, </w:t>
      </w:r>
      <w:proofErr w:type="gramStart"/>
      <w:r>
        <w:rPr>
          <w:sz w:val="24"/>
          <w:szCs w:val="24"/>
        </w:rPr>
        <w:t>copper</w:t>
      </w:r>
      <w:proofErr w:type="gramEnd"/>
      <w:r>
        <w:rPr>
          <w:sz w:val="24"/>
          <w:szCs w:val="24"/>
        </w:rPr>
        <w:t xml:space="preserve"> and gold) while services exports were primarily in education, </w:t>
      </w:r>
      <w:r w:rsidR="00044519">
        <w:rPr>
          <w:sz w:val="24"/>
          <w:szCs w:val="24"/>
        </w:rPr>
        <w:t>recreational</w:t>
      </w:r>
      <w:r>
        <w:rPr>
          <w:sz w:val="24"/>
          <w:szCs w:val="24"/>
        </w:rPr>
        <w:t xml:space="preserve"> and business travel. </w:t>
      </w:r>
    </w:p>
    <w:p w14:paraId="2F8F88B6" w14:textId="77777777" w:rsidR="00C3560D" w:rsidRPr="00BE36A3" w:rsidRDefault="00C3560D">
      <w:pPr>
        <w:pStyle w:val="ListParagraph"/>
        <w:spacing w:after="0"/>
        <w:rPr>
          <w:sz w:val="24"/>
          <w:szCs w:val="24"/>
        </w:rPr>
      </w:pPr>
    </w:p>
    <w:p w14:paraId="307C7D2B" w14:textId="1914B39D" w:rsidR="00C3560D" w:rsidRPr="00277FCF" w:rsidRDefault="00C3560D">
      <w:pPr>
        <w:pStyle w:val="ListParagraph"/>
        <w:numPr>
          <w:ilvl w:val="0"/>
          <w:numId w:val="1"/>
        </w:numPr>
        <w:spacing w:after="0"/>
        <w:ind w:left="567" w:hanging="567"/>
        <w:rPr>
          <w:sz w:val="24"/>
          <w:szCs w:val="24"/>
        </w:rPr>
      </w:pPr>
      <w:r w:rsidRPr="00BE36A3">
        <w:rPr>
          <w:sz w:val="24"/>
          <w:szCs w:val="24"/>
        </w:rPr>
        <w:t xml:space="preserve">While the overall trajectory of Australia’s goods and services trade with India is increasing, the value of Australian goods exported to India has decreased since 2018 (as illustrated in </w:t>
      </w:r>
      <w:r w:rsidRPr="00BE36A3">
        <w:rPr>
          <w:b/>
          <w:bCs/>
          <w:sz w:val="24"/>
          <w:szCs w:val="24"/>
        </w:rPr>
        <w:t>Graph 2</w:t>
      </w:r>
      <w:r w:rsidRPr="00BE36A3">
        <w:rPr>
          <w:sz w:val="24"/>
          <w:szCs w:val="24"/>
        </w:rPr>
        <w:t xml:space="preserve">). </w:t>
      </w:r>
      <w:r>
        <w:rPr>
          <w:sz w:val="24"/>
          <w:szCs w:val="24"/>
        </w:rPr>
        <w:t>In 2020, Australia’s trade and investment relationship with India has reflected the fall in global trade amid the COVID-19 pandemic and associated restrictions on international travel. During India’s nationwide lockdown, which began in March 2020, there was a significant reduction in manufacturing and steel production, which resulted in a decline in India’s metallurgical coal imports.</w:t>
      </w:r>
      <w:r>
        <w:rPr>
          <w:rStyle w:val="FootnoteReference"/>
          <w:sz w:val="24"/>
          <w:szCs w:val="24"/>
        </w:rPr>
        <w:footnoteReference w:id="19"/>
      </w:r>
      <w:r>
        <w:rPr>
          <w:sz w:val="24"/>
          <w:szCs w:val="24"/>
        </w:rPr>
        <w:t xml:space="preserve"> </w:t>
      </w:r>
    </w:p>
    <w:p w14:paraId="32DAA64D" w14:textId="77777777" w:rsidR="00C3560D" w:rsidRPr="00DC0567" w:rsidRDefault="00C3560D">
      <w:pPr>
        <w:pStyle w:val="ListParagraph"/>
        <w:spacing w:after="0"/>
        <w:rPr>
          <w:sz w:val="24"/>
          <w:szCs w:val="24"/>
        </w:rPr>
      </w:pPr>
    </w:p>
    <w:p w14:paraId="092A9CFC" w14:textId="67109DB9" w:rsidR="00C3560D" w:rsidRDefault="00C3560D">
      <w:pPr>
        <w:pStyle w:val="ListParagraph"/>
        <w:numPr>
          <w:ilvl w:val="0"/>
          <w:numId w:val="1"/>
        </w:numPr>
        <w:spacing w:after="0"/>
        <w:ind w:left="567" w:hanging="567"/>
        <w:rPr>
          <w:sz w:val="24"/>
          <w:szCs w:val="24"/>
        </w:rPr>
      </w:pPr>
      <w:r w:rsidRPr="543832D4">
        <w:rPr>
          <w:sz w:val="24"/>
          <w:szCs w:val="24"/>
        </w:rPr>
        <w:t xml:space="preserve">There has also been a slight decrease in the value of Australian services exported to India from 2019 to 2020 (as illustrated in the table of </w:t>
      </w:r>
      <w:r w:rsidRPr="543832D4">
        <w:rPr>
          <w:b/>
          <w:bCs/>
          <w:sz w:val="24"/>
          <w:szCs w:val="24"/>
        </w:rPr>
        <w:t>Graph 3</w:t>
      </w:r>
      <w:r w:rsidRPr="543832D4">
        <w:rPr>
          <w:sz w:val="24"/>
          <w:szCs w:val="24"/>
        </w:rPr>
        <w:t>). COVID-19 has hit Australian education exports hard, especially in the Indian market, where education</w:t>
      </w:r>
      <w:r w:rsidR="00420E06" w:rsidRPr="543832D4">
        <w:rPr>
          <w:sz w:val="24"/>
          <w:szCs w:val="24"/>
        </w:rPr>
        <w:t>-related travel</w:t>
      </w:r>
      <w:r w:rsidRPr="543832D4">
        <w:rPr>
          <w:sz w:val="24"/>
          <w:szCs w:val="24"/>
        </w:rPr>
        <w:t xml:space="preserve"> was Australia’s largest service export to India valued at $6 billion in 2020. Feedback from stakeholder consultations have reiterated the importance of Australia’s education exports. Against the backdrop of Australia’s international borders opening (21 February 2021), being able to offer post-study work visas for international students from India through the proposed </w:t>
      </w:r>
      <w:r w:rsidR="006E5E78">
        <w:rPr>
          <w:sz w:val="24"/>
          <w:szCs w:val="24"/>
        </w:rPr>
        <w:t>AI ECTA</w:t>
      </w:r>
      <w:r w:rsidRPr="543832D4">
        <w:rPr>
          <w:sz w:val="24"/>
          <w:szCs w:val="24"/>
        </w:rPr>
        <w:t xml:space="preserve"> could make Australia a more attractive destination.</w:t>
      </w:r>
      <w:r w:rsidR="004A7687" w:rsidRPr="543832D4">
        <w:rPr>
          <w:sz w:val="24"/>
          <w:szCs w:val="24"/>
        </w:rPr>
        <w:t xml:space="preserve"> </w:t>
      </w:r>
      <w:r w:rsidRPr="543832D4">
        <w:rPr>
          <w:sz w:val="24"/>
          <w:szCs w:val="24"/>
        </w:rPr>
        <w:t xml:space="preserve">This would be important in rebuilding Australia’s higher education sector following the COVID-19 pandemic. </w:t>
      </w:r>
    </w:p>
    <w:p w14:paraId="072B0511" w14:textId="77777777" w:rsidR="00EB0980" w:rsidRDefault="00EB0980">
      <w:pPr>
        <w:spacing w:after="0"/>
        <w:rPr>
          <w:b/>
          <w:bCs/>
          <w:sz w:val="24"/>
          <w:szCs w:val="24"/>
        </w:rPr>
      </w:pPr>
    </w:p>
    <w:p w14:paraId="187E1C4C" w14:textId="0622FC05" w:rsidR="00C3560D" w:rsidRPr="008D51F8" w:rsidRDefault="00C3560D" w:rsidP="0001716D">
      <w:pPr>
        <w:pStyle w:val="Heading2"/>
        <w:spacing w:before="0"/>
      </w:pPr>
      <w:bookmarkStart w:id="7" w:name="_Toc99370644"/>
      <w:r>
        <w:t>The risks of becoming uncompetitive</w:t>
      </w:r>
      <w:bookmarkEnd w:id="7"/>
      <w:r>
        <w:t xml:space="preserve"> </w:t>
      </w:r>
    </w:p>
    <w:p w14:paraId="50343757" w14:textId="77777777" w:rsidR="00EB0980" w:rsidRDefault="00EB0980">
      <w:pPr>
        <w:pStyle w:val="ListParagraph"/>
        <w:spacing w:after="0"/>
        <w:ind w:left="567"/>
        <w:rPr>
          <w:sz w:val="24"/>
          <w:szCs w:val="24"/>
        </w:rPr>
      </w:pPr>
    </w:p>
    <w:p w14:paraId="391048EE" w14:textId="7BE7F1DD" w:rsidR="00C3560D" w:rsidRDefault="00C3560D">
      <w:pPr>
        <w:pStyle w:val="ListParagraph"/>
        <w:numPr>
          <w:ilvl w:val="0"/>
          <w:numId w:val="1"/>
        </w:numPr>
        <w:spacing w:after="0"/>
        <w:ind w:left="567" w:hanging="567"/>
        <w:rPr>
          <w:sz w:val="24"/>
          <w:szCs w:val="24"/>
        </w:rPr>
      </w:pPr>
      <w:r>
        <w:rPr>
          <w:sz w:val="24"/>
          <w:szCs w:val="24"/>
        </w:rPr>
        <w:t>India recently announced a review of its ASEAN Free Trade Agreement (FTA)</w:t>
      </w:r>
      <w:r w:rsidR="000B58AF">
        <w:rPr>
          <w:sz w:val="24"/>
          <w:szCs w:val="24"/>
        </w:rPr>
        <w:t>,</w:t>
      </w:r>
      <w:r>
        <w:rPr>
          <w:sz w:val="24"/>
          <w:szCs w:val="24"/>
        </w:rPr>
        <w:t xml:space="preserve"> is currently in negotiations with the UK on</w:t>
      </w:r>
      <w:r w:rsidR="00864B79">
        <w:rPr>
          <w:sz w:val="24"/>
          <w:szCs w:val="24"/>
        </w:rPr>
        <w:t xml:space="preserve"> a</w:t>
      </w:r>
      <w:r>
        <w:rPr>
          <w:sz w:val="24"/>
          <w:szCs w:val="24"/>
        </w:rPr>
        <w:t xml:space="preserve"> new FTA</w:t>
      </w:r>
      <w:r w:rsidR="00575D40">
        <w:rPr>
          <w:sz w:val="24"/>
          <w:szCs w:val="24"/>
        </w:rPr>
        <w:t>, has relaunched negotiations with Canada</w:t>
      </w:r>
      <w:r w:rsidR="000B58AF">
        <w:rPr>
          <w:sz w:val="24"/>
          <w:szCs w:val="24"/>
        </w:rPr>
        <w:t xml:space="preserve"> and has unfinished bilateral trade negotiations with the European Union, United</w:t>
      </w:r>
      <w:r w:rsidR="00AE20C7">
        <w:rPr>
          <w:sz w:val="24"/>
          <w:szCs w:val="24"/>
        </w:rPr>
        <w:t xml:space="preserve"> States and </w:t>
      </w:r>
      <w:r w:rsidR="00575D40">
        <w:rPr>
          <w:sz w:val="24"/>
          <w:szCs w:val="24"/>
        </w:rPr>
        <w:t>New Zealand</w:t>
      </w:r>
      <w:r>
        <w:rPr>
          <w:sz w:val="24"/>
          <w:szCs w:val="24"/>
        </w:rPr>
        <w:t>.</w:t>
      </w:r>
      <w:r w:rsidR="00AE20C7">
        <w:rPr>
          <w:rStyle w:val="FootnoteReference"/>
          <w:sz w:val="24"/>
          <w:szCs w:val="24"/>
        </w:rPr>
        <w:footnoteReference w:id="20"/>
      </w:r>
      <w:r>
        <w:rPr>
          <w:sz w:val="24"/>
          <w:szCs w:val="24"/>
        </w:rPr>
        <w:t xml:space="preserve"> If one of these countries or associations agrees an FTA with India, this will put Australian exporters, </w:t>
      </w:r>
      <w:proofErr w:type="gramStart"/>
      <w:r>
        <w:rPr>
          <w:sz w:val="24"/>
          <w:szCs w:val="24"/>
        </w:rPr>
        <w:t>investors</w:t>
      </w:r>
      <w:proofErr w:type="gramEnd"/>
      <w:r>
        <w:rPr>
          <w:sz w:val="24"/>
          <w:szCs w:val="24"/>
        </w:rPr>
        <w:t xml:space="preserve"> and service suppliers at a competitive disadvantage. </w:t>
      </w:r>
    </w:p>
    <w:p w14:paraId="40CAAA94" w14:textId="77777777" w:rsidR="00C3560D" w:rsidRDefault="00C3560D">
      <w:pPr>
        <w:pStyle w:val="ListParagraph"/>
        <w:spacing w:after="0"/>
        <w:ind w:left="567"/>
        <w:rPr>
          <w:sz w:val="24"/>
          <w:szCs w:val="24"/>
        </w:rPr>
      </w:pPr>
    </w:p>
    <w:p w14:paraId="39FEBA9F" w14:textId="77777777" w:rsidR="00C3560D" w:rsidRDefault="00C3560D">
      <w:pPr>
        <w:pStyle w:val="ListParagraph"/>
        <w:numPr>
          <w:ilvl w:val="0"/>
          <w:numId w:val="1"/>
        </w:numPr>
        <w:spacing w:after="0"/>
        <w:ind w:left="567" w:hanging="567"/>
        <w:rPr>
          <w:sz w:val="24"/>
          <w:szCs w:val="24"/>
        </w:rPr>
      </w:pPr>
      <w:r>
        <w:rPr>
          <w:sz w:val="24"/>
          <w:szCs w:val="24"/>
        </w:rPr>
        <w:t xml:space="preserve">Submissions received during the stakeholder consultations have indicated that some Australian goods, including minerals and metal products, are already struggling to compete </w:t>
      </w:r>
      <w:r>
        <w:rPr>
          <w:sz w:val="24"/>
          <w:szCs w:val="24"/>
        </w:rPr>
        <w:lastRenderedPageBreak/>
        <w:t>in the Indian market which also imports these goods from countries that have a preferential trade agreement in place with India.</w:t>
      </w:r>
      <w:r>
        <w:rPr>
          <w:rStyle w:val="FootnoteReference"/>
          <w:sz w:val="24"/>
          <w:szCs w:val="24"/>
        </w:rPr>
        <w:footnoteReference w:id="21"/>
      </w:r>
      <w:r>
        <w:rPr>
          <w:sz w:val="24"/>
          <w:szCs w:val="24"/>
        </w:rPr>
        <w:t xml:space="preserve"> Therefore, further delays in securing market access with India would mean that Australian exporters and suppliers would not be in a position to capitalise on India’s economic strength, including its market size and growing middle class. </w:t>
      </w:r>
    </w:p>
    <w:p w14:paraId="7C4A2AD8" w14:textId="77777777" w:rsidR="00C3560D" w:rsidRPr="00481C08" w:rsidRDefault="00C3560D">
      <w:pPr>
        <w:pStyle w:val="ListParagraph"/>
        <w:spacing w:after="0"/>
        <w:rPr>
          <w:sz w:val="24"/>
          <w:szCs w:val="24"/>
        </w:rPr>
      </w:pPr>
    </w:p>
    <w:p w14:paraId="445A8C71" w14:textId="77777777" w:rsidR="00C3560D" w:rsidRPr="001F1607" w:rsidRDefault="00C3560D">
      <w:pPr>
        <w:pStyle w:val="ListParagraph"/>
        <w:numPr>
          <w:ilvl w:val="0"/>
          <w:numId w:val="1"/>
        </w:numPr>
        <w:spacing w:after="0"/>
        <w:ind w:left="567" w:hanging="567"/>
        <w:rPr>
          <w:sz w:val="24"/>
          <w:szCs w:val="24"/>
        </w:rPr>
      </w:pPr>
      <w:r w:rsidRPr="543832D4">
        <w:rPr>
          <w:sz w:val="24"/>
          <w:szCs w:val="24"/>
        </w:rPr>
        <w:t xml:space="preserve">Further, with continued trade tensions globally, the lack of new market access opportunities could hamper Australia’s post COVID-19 economic recovery efforts, especially if other trading partners are making concerted efforts to diversify and expand their trading relationships. </w:t>
      </w:r>
      <w:bookmarkStart w:id="8" w:name="_Hlk80962030"/>
    </w:p>
    <w:p w14:paraId="60CA9B26" w14:textId="2AFBEB65" w:rsidR="00C3560D" w:rsidRDefault="00C3560D" w:rsidP="0001716D">
      <w:pPr>
        <w:spacing w:after="0"/>
        <w:rPr>
          <w:b/>
          <w:bCs/>
          <w:sz w:val="24"/>
          <w:szCs w:val="24"/>
          <w:u w:val="single"/>
        </w:rPr>
      </w:pPr>
    </w:p>
    <w:p w14:paraId="57AEE150" w14:textId="77777777" w:rsidR="00C3560D" w:rsidRPr="002C3702" w:rsidRDefault="00C3560D" w:rsidP="00EB0980">
      <w:pPr>
        <w:rPr>
          <w:b/>
          <w:bCs/>
          <w:sz w:val="28"/>
          <w:szCs w:val="28"/>
        </w:rPr>
      </w:pPr>
      <w:r w:rsidRPr="002C3702">
        <w:rPr>
          <w:b/>
          <w:bCs/>
          <w:sz w:val="28"/>
          <w:szCs w:val="28"/>
          <w:u w:val="single"/>
        </w:rPr>
        <w:t>Graph 1:</w:t>
      </w:r>
      <w:r w:rsidRPr="002C3702">
        <w:rPr>
          <w:b/>
          <w:bCs/>
          <w:sz w:val="28"/>
          <w:szCs w:val="28"/>
        </w:rPr>
        <w:t xml:space="preserve"> Goods and Services Trade between Australia and India</w:t>
      </w:r>
    </w:p>
    <w:p w14:paraId="6B06921A" w14:textId="77777777" w:rsidR="00C3560D" w:rsidRDefault="00C3560D" w:rsidP="00EB0980">
      <w:pPr>
        <w:rPr>
          <w:sz w:val="24"/>
          <w:szCs w:val="24"/>
        </w:rPr>
      </w:pPr>
      <w:r>
        <w:rPr>
          <w:sz w:val="24"/>
          <w:szCs w:val="24"/>
        </w:rPr>
        <w:t>Source: Office of the Chief Economist, DFAT based on ABS data catalogue 5368.0</w:t>
      </w:r>
    </w:p>
    <w:p w14:paraId="761FD9B1" w14:textId="77777777" w:rsidR="00C3560D" w:rsidRDefault="00C3560D" w:rsidP="00EB0980">
      <w:pPr>
        <w:rPr>
          <w:sz w:val="24"/>
          <w:szCs w:val="24"/>
        </w:rPr>
      </w:pPr>
      <w:r>
        <w:rPr>
          <w:noProof/>
          <w:lang w:eastAsia="en-AU"/>
        </w:rPr>
        <w:drawing>
          <wp:inline distT="0" distB="0" distL="0" distR="0" wp14:anchorId="6BEFDC3B" wp14:editId="575FF40B">
            <wp:extent cx="6513195" cy="2280268"/>
            <wp:effectExtent l="0" t="0" r="1905" b="6350"/>
            <wp:docPr id="1" name="Picture 1" descr="Combination bar and line chart with trade balance for goods and services. Source: DFAT Office of the Chief Economic, based on Australian Bureau of Statistics - International Trade in Goods and Services, Australia https://www.abs.gov.au/statistics/economy/international-trade/international-trade-goods-and-services-australia/latest-relea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bination bar and line chart with trade balance for goods and services. Source: DFAT Office of the Chief Economic, based on Australian Bureau of Statistics - International Trade in Goods and Services, Australia https://www.abs.gov.au/statistics/economy/international-trade/international-trade-goods-and-services-australia/latest-release "/>
                    <pic:cNvPicPr/>
                  </pic:nvPicPr>
                  <pic:blipFill>
                    <a:blip r:embed="rId11"/>
                    <a:stretch>
                      <a:fillRect/>
                    </a:stretch>
                  </pic:blipFill>
                  <pic:spPr>
                    <a:xfrm>
                      <a:off x="0" y="0"/>
                      <a:ext cx="6532455" cy="2287011"/>
                    </a:xfrm>
                    <a:prstGeom prst="rect">
                      <a:avLst/>
                    </a:prstGeom>
                  </pic:spPr>
                </pic:pic>
              </a:graphicData>
            </a:graphic>
          </wp:inline>
        </w:drawing>
      </w:r>
    </w:p>
    <w:p w14:paraId="3EEF4B05" w14:textId="77777777" w:rsidR="00C3560D" w:rsidRDefault="00C3560D" w:rsidP="00EB0980">
      <w:pPr>
        <w:rPr>
          <w:sz w:val="24"/>
          <w:szCs w:val="24"/>
        </w:rPr>
      </w:pPr>
      <w:r>
        <w:rPr>
          <w:noProof/>
          <w:lang w:eastAsia="en-AU"/>
        </w:rPr>
        <w:drawing>
          <wp:inline distT="0" distB="0" distL="0" distR="0" wp14:anchorId="28D23522" wp14:editId="6C4EF969">
            <wp:extent cx="6374521" cy="909637"/>
            <wp:effectExtent l="0" t="0" r="7620" b="5080"/>
            <wp:docPr id="9" name="Picture 9" descr="Diagram of total goods and services imports and exports between Australia and India &#10;&#10;Source: DFAT Office of the Chief Economic, based on Australian Bureau of Statistics - International Trade in Goods and Services, Australia https://www.abs.gov.au/statistics/economy/international-trade/international-trade-goods-and-services-australia/latest-relea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 of total goods and services imports and exports between Australia and India &#10;&#10;Source: DFAT Office of the Chief Economic, based on Australian Bureau of Statistics - International Trade in Goods and Services, Australia https://www.abs.gov.au/statistics/economy/international-trade/international-trade-goods-and-services-australia/latest-release "/>
                    <pic:cNvPicPr/>
                  </pic:nvPicPr>
                  <pic:blipFill>
                    <a:blip r:embed="rId12"/>
                    <a:stretch>
                      <a:fillRect/>
                    </a:stretch>
                  </pic:blipFill>
                  <pic:spPr>
                    <a:xfrm>
                      <a:off x="0" y="0"/>
                      <a:ext cx="6454318" cy="921024"/>
                    </a:xfrm>
                    <a:prstGeom prst="rect">
                      <a:avLst/>
                    </a:prstGeom>
                  </pic:spPr>
                </pic:pic>
              </a:graphicData>
            </a:graphic>
          </wp:inline>
        </w:drawing>
      </w:r>
    </w:p>
    <w:p w14:paraId="7D1DD20F" w14:textId="77777777" w:rsidR="00C3560D" w:rsidRDefault="00C3560D" w:rsidP="00EB0980">
      <w:pPr>
        <w:rPr>
          <w:b/>
          <w:bCs/>
          <w:sz w:val="24"/>
          <w:szCs w:val="24"/>
          <w:u w:val="single"/>
        </w:rPr>
      </w:pPr>
    </w:p>
    <w:p w14:paraId="20E3CEF2" w14:textId="66F42CE7" w:rsidR="00742C5A" w:rsidRDefault="00742C5A">
      <w:pPr>
        <w:rPr>
          <w:b/>
          <w:bCs/>
          <w:sz w:val="28"/>
          <w:szCs w:val="28"/>
          <w:u w:val="single"/>
        </w:rPr>
      </w:pPr>
      <w:r>
        <w:rPr>
          <w:b/>
          <w:bCs/>
          <w:sz w:val="28"/>
          <w:szCs w:val="28"/>
          <w:u w:val="single"/>
        </w:rPr>
        <w:br w:type="page"/>
      </w:r>
    </w:p>
    <w:p w14:paraId="7C108215" w14:textId="25253EB8" w:rsidR="00C3560D" w:rsidRPr="002C3702" w:rsidRDefault="00C3560D" w:rsidP="00EB0980">
      <w:pPr>
        <w:rPr>
          <w:sz w:val="28"/>
          <w:szCs w:val="28"/>
        </w:rPr>
      </w:pPr>
      <w:r w:rsidRPr="002C3702">
        <w:rPr>
          <w:b/>
          <w:bCs/>
          <w:sz w:val="28"/>
          <w:szCs w:val="28"/>
          <w:u w:val="single"/>
        </w:rPr>
        <w:lastRenderedPageBreak/>
        <w:t>Graph 2:</w:t>
      </w:r>
      <w:r w:rsidRPr="002C3702">
        <w:rPr>
          <w:b/>
          <w:bCs/>
          <w:sz w:val="28"/>
          <w:szCs w:val="28"/>
        </w:rPr>
        <w:t xml:space="preserve"> Goods Trade between Australia and India</w:t>
      </w:r>
    </w:p>
    <w:p w14:paraId="205B4A8E" w14:textId="77777777" w:rsidR="00C3560D" w:rsidRDefault="00C3560D" w:rsidP="00EB0980">
      <w:pPr>
        <w:rPr>
          <w:sz w:val="24"/>
          <w:szCs w:val="24"/>
        </w:rPr>
      </w:pPr>
      <w:r>
        <w:rPr>
          <w:sz w:val="24"/>
          <w:szCs w:val="24"/>
        </w:rPr>
        <w:t>Source: Office of the Chief Economist, DFAT based on ABS data catalogue 5368.0</w:t>
      </w:r>
    </w:p>
    <w:p w14:paraId="6947E4DA" w14:textId="77777777" w:rsidR="00C3560D" w:rsidRDefault="00C3560D" w:rsidP="00EB0980">
      <w:pPr>
        <w:rPr>
          <w:sz w:val="24"/>
          <w:szCs w:val="24"/>
        </w:rPr>
      </w:pPr>
      <w:r>
        <w:rPr>
          <w:noProof/>
          <w:lang w:eastAsia="en-AU"/>
        </w:rPr>
        <w:drawing>
          <wp:inline distT="0" distB="0" distL="0" distR="0" wp14:anchorId="61674ADA" wp14:editId="4E812783">
            <wp:extent cx="6375964" cy="2214563"/>
            <wp:effectExtent l="0" t="0" r="6350" b="0"/>
            <wp:docPr id="10" name="Picture 10" descr="Combination bar and line chart of Goods Trade between Australia and India. Source: DFAT Office of the Chief Economic, based on Australian Bureau of Statistics - International Trade in Goods and Services, Australia https://www.abs.gov.au/statistics/economy/international-trade/international-trade-goods-and-services-australia/latest-relea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ombination bar and line chart of Goods Trade between Australia and India. Source: DFAT Office of the Chief Economic, based on Australian Bureau of Statistics - International Trade in Goods and Services, Australia https://www.abs.gov.au/statistics/economy/international-trade/international-trade-goods-and-services-australia/latest-release "/>
                    <pic:cNvPicPr/>
                  </pic:nvPicPr>
                  <pic:blipFill>
                    <a:blip r:embed="rId13"/>
                    <a:stretch>
                      <a:fillRect/>
                    </a:stretch>
                  </pic:blipFill>
                  <pic:spPr>
                    <a:xfrm>
                      <a:off x="0" y="0"/>
                      <a:ext cx="6395401" cy="2221314"/>
                    </a:xfrm>
                    <a:prstGeom prst="rect">
                      <a:avLst/>
                    </a:prstGeom>
                  </pic:spPr>
                </pic:pic>
              </a:graphicData>
            </a:graphic>
          </wp:inline>
        </w:drawing>
      </w:r>
    </w:p>
    <w:p w14:paraId="0623730A" w14:textId="77777777" w:rsidR="00C3560D" w:rsidRDefault="00C3560D" w:rsidP="00EB0980">
      <w:pPr>
        <w:rPr>
          <w:sz w:val="24"/>
          <w:szCs w:val="24"/>
        </w:rPr>
      </w:pPr>
      <w:r>
        <w:rPr>
          <w:noProof/>
          <w:lang w:eastAsia="en-AU"/>
        </w:rPr>
        <w:drawing>
          <wp:inline distT="0" distB="0" distL="0" distR="0" wp14:anchorId="33409A32" wp14:editId="5C860E6B">
            <wp:extent cx="6510029" cy="923925"/>
            <wp:effectExtent l="0" t="0" r="5080" b="0"/>
            <wp:docPr id="11" name="Picture 11" descr="Diagram of total goods imports and exports between Australia and India &#10;&#10;Source: DFAT Office of the Chief Economic, based on Australian Bureau of Statistics - International Trade in Goods and Services, Australia https://www.abs.gov.au/statistics/economy/international-trade/international-trade-goods-and-services-australia/latest-relea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 of total goods imports and exports between Australia and India &#10;&#10;Source: DFAT Office of the Chief Economic, based on Australian Bureau of Statistics - International Trade in Goods and Services, Australia https://www.abs.gov.au/statistics/economy/international-trade/international-trade-goods-and-services-australia/latest-release "/>
                    <pic:cNvPicPr/>
                  </pic:nvPicPr>
                  <pic:blipFill>
                    <a:blip r:embed="rId14"/>
                    <a:stretch>
                      <a:fillRect/>
                    </a:stretch>
                  </pic:blipFill>
                  <pic:spPr>
                    <a:xfrm>
                      <a:off x="0" y="0"/>
                      <a:ext cx="6516413" cy="924831"/>
                    </a:xfrm>
                    <a:prstGeom prst="rect">
                      <a:avLst/>
                    </a:prstGeom>
                  </pic:spPr>
                </pic:pic>
              </a:graphicData>
            </a:graphic>
          </wp:inline>
        </w:drawing>
      </w:r>
    </w:p>
    <w:p w14:paraId="1900F311" w14:textId="77777777" w:rsidR="00C3560D" w:rsidRDefault="00C3560D" w:rsidP="00EB0980">
      <w:pPr>
        <w:rPr>
          <w:b/>
          <w:bCs/>
          <w:sz w:val="24"/>
          <w:szCs w:val="24"/>
          <w:u w:val="single"/>
        </w:rPr>
      </w:pPr>
    </w:p>
    <w:p w14:paraId="50537D9E" w14:textId="77777777" w:rsidR="00C3560D" w:rsidRDefault="00C3560D" w:rsidP="00EB0980">
      <w:pPr>
        <w:rPr>
          <w:b/>
          <w:bCs/>
          <w:sz w:val="24"/>
          <w:szCs w:val="24"/>
          <w:u w:val="single"/>
        </w:rPr>
      </w:pPr>
    </w:p>
    <w:p w14:paraId="5948B722" w14:textId="6D4377B0" w:rsidR="00C3560D" w:rsidRPr="002C3702" w:rsidRDefault="00C3560D" w:rsidP="00EB0980">
      <w:pPr>
        <w:rPr>
          <w:sz w:val="28"/>
          <w:szCs w:val="28"/>
        </w:rPr>
      </w:pPr>
      <w:r w:rsidRPr="002C3702">
        <w:rPr>
          <w:b/>
          <w:bCs/>
          <w:sz w:val="28"/>
          <w:szCs w:val="28"/>
          <w:u w:val="single"/>
        </w:rPr>
        <w:t>Graph 3:</w:t>
      </w:r>
      <w:r w:rsidRPr="002C3702">
        <w:rPr>
          <w:b/>
          <w:bCs/>
          <w:sz w:val="28"/>
          <w:szCs w:val="28"/>
        </w:rPr>
        <w:t xml:space="preserve"> Services Trade between Australia and India</w:t>
      </w:r>
      <w:r w:rsidRPr="002C3702">
        <w:rPr>
          <w:b/>
          <w:bCs/>
          <w:sz w:val="28"/>
          <w:szCs w:val="28"/>
          <w:u w:val="single"/>
        </w:rPr>
        <w:t xml:space="preserve"> </w:t>
      </w:r>
    </w:p>
    <w:p w14:paraId="55A68B16" w14:textId="77777777" w:rsidR="00C3560D" w:rsidRDefault="00C3560D" w:rsidP="00EB0980">
      <w:pPr>
        <w:rPr>
          <w:sz w:val="24"/>
          <w:szCs w:val="24"/>
        </w:rPr>
      </w:pPr>
      <w:r>
        <w:rPr>
          <w:sz w:val="24"/>
          <w:szCs w:val="24"/>
        </w:rPr>
        <w:t>Source: Office of the Chief Economist, DFAT based on ABS data catalogue 5368.0</w:t>
      </w:r>
    </w:p>
    <w:p w14:paraId="7132AEDE" w14:textId="77777777" w:rsidR="00C3560D" w:rsidRDefault="00C3560D" w:rsidP="00EB0980">
      <w:pPr>
        <w:rPr>
          <w:sz w:val="24"/>
          <w:szCs w:val="24"/>
        </w:rPr>
      </w:pPr>
      <w:r>
        <w:rPr>
          <w:noProof/>
          <w:lang w:eastAsia="en-AU"/>
        </w:rPr>
        <w:drawing>
          <wp:inline distT="0" distB="0" distL="0" distR="0" wp14:anchorId="483D0474" wp14:editId="2ED347EC">
            <wp:extent cx="5731510" cy="1997075"/>
            <wp:effectExtent l="0" t="0" r="2540" b="3175"/>
            <wp:docPr id="12" name="Picture 12" descr="Combination bar and line chart of Services Trade between Australia and India. &#10;Source: DFAT Office of the Chief Economic, based on Australian Bureau of Statistics - International Trade in Goods and Services, Australia https://www.abs.gov.au/statistics/economy/international-trade/international-trade-goods-and-services-australia/latest-relea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ombination bar and line chart of Services Trade between Australia and India. &#10;Source: DFAT Office of the Chief Economic, based on Australian Bureau of Statistics - International Trade in Goods and Services, Australia https://www.abs.gov.au/statistics/economy/international-trade/international-trade-goods-and-services-australia/latest-release "/>
                    <pic:cNvPicPr/>
                  </pic:nvPicPr>
                  <pic:blipFill>
                    <a:blip r:embed="rId15"/>
                    <a:stretch>
                      <a:fillRect/>
                    </a:stretch>
                  </pic:blipFill>
                  <pic:spPr>
                    <a:xfrm>
                      <a:off x="0" y="0"/>
                      <a:ext cx="5731510" cy="1997075"/>
                    </a:xfrm>
                    <a:prstGeom prst="rect">
                      <a:avLst/>
                    </a:prstGeom>
                  </pic:spPr>
                </pic:pic>
              </a:graphicData>
            </a:graphic>
          </wp:inline>
        </w:drawing>
      </w:r>
    </w:p>
    <w:p w14:paraId="406B7FB9" w14:textId="77777777" w:rsidR="00C3560D" w:rsidRDefault="00C3560D" w:rsidP="00EB0980">
      <w:pPr>
        <w:rPr>
          <w:sz w:val="24"/>
          <w:szCs w:val="24"/>
        </w:rPr>
      </w:pPr>
      <w:r>
        <w:rPr>
          <w:noProof/>
          <w:lang w:eastAsia="en-AU"/>
        </w:rPr>
        <w:drawing>
          <wp:inline distT="0" distB="0" distL="0" distR="0" wp14:anchorId="3313B31D" wp14:editId="42C3AB74">
            <wp:extent cx="5731510" cy="807720"/>
            <wp:effectExtent l="0" t="0" r="2540" b="0"/>
            <wp:docPr id="13" name="Picture 13" descr="Diagram of total services imports and exports between Australia and India &#10;&#10;Source: DFAT Office of the Chief Economic, based on Australian Bureau of Statistics - International Trade in Goods and Services, Australia https://www.abs.gov.au/statistics/economy/international-trade/international-trade-goods-and-services-australia/latest-relea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 of total services imports and exports between Australia and India &#10;&#10;Source: DFAT Office of the Chief Economic, based on Australian Bureau of Statistics - International Trade in Goods and Services, Australia https://www.abs.gov.au/statistics/economy/international-trade/international-trade-goods-and-services-australia/latest-release "/>
                    <pic:cNvPicPr/>
                  </pic:nvPicPr>
                  <pic:blipFill>
                    <a:blip r:embed="rId16"/>
                    <a:stretch>
                      <a:fillRect/>
                    </a:stretch>
                  </pic:blipFill>
                  <pic:spPr>
                    <a:xfrm>
                      <a:off x="0" y="0"/>
                      <a:ext cx="5731510" cy="807720"/>
                    </a:xfrm>
                    <a:prstGeom prst="rect">
                      <a:avLst/>
                    </a:prstGeom>
                  </pic:spPr>
                </pic:pic>
              </a:graphicData>
            </a:graphic>
          </wp:inline>
        </w:drawing>
      </w:r>
    </w:p>
    <w:p w14:paraId="770FA675" w14:textId="77777777" w:rsidR="00C3560D" w:rsidRDefault="00C3560D" w:rsidP="00EB0980">
      <w:pPr>
        <w:rPr>
          <w:b/>
          <w:bCs/>
          <w:sz w:val="24"/>
          <w:szCs w:val="24"/>
          <w:u w:val="single"/>
        </w:rPr>
      </w:pPr>
    </w:p>
    <w:p w14:paraId="7556FD6D" w14:textId="77777777" w:rsidR="00742C5A" w:rsidRDefault="00742C5A">
      <w:pPr>
        <w:rPr>
          <w:b/>
          <w:bCs/>
          <w:sz w:val="28"/>
          <w:szCs w:val="28"/>
          <w:u w:val="single"/>
        </w:rPr>
      </w:pPr>
      <w:r>
        <w:rPr>
          <w:b/>
          <w:bCs/>
          <w:sz w:val="28"/>
          <w:szCs w:val="28"/>
          <w:u w:val="single"/>
        </w:rPr>
        <w:br w:type="page"/>
      </w:r>
    </w:p>
    <w:p w14:paraId="2E71D6EF" w14:textId="5E86D2EF" w:rsidR="00C3560D" w:rsidRPr="002C3702" w:rsidRDefault="00C3560D" w:rsidP="00EB0980">
      <w:pPr>
        <w:rPr>
          <w:sz w:val="28"/>
          <w:szCs w:val="28"/>
        </w:rPr>
      </w:pPr>
      <w:r w:rsidRPr="002C3702">
        <w:rPr>
          <w:b/>
          <w:bCs/>
          <w:sz w:val="28"/>
          <w:szCs w:val="28"/>
          <w:u w:val="single"/>
        </w:rPr>
        <w:lastRenderedPageBreak/>
        <w:t>Graph 4:</w:t>
      </w:r>
      <w:r w:rsidRPr="002C3702">
        <w:rPr>
          <w:b/>
          <w:bCs/>
          <w:sz w:val="28"/>
          <w:szCs w:val="28"/>
        </w:rPr>
        <w:t xml:space="preserve"> Australia-India investment relationship </w:t>
      </w:r>
    </w:p>
    <w:p w14:paraId="604F4F30" w14:textId="77777777" w:rsidR="00C3560D" w:rsidRDefault="00C3560D" w:rsidP="00EB0980">
      <w:pPr>
        <w:rPr>
          <w:sz w:val="24"/>
          <w:szCs w:val="24"/>
        </w:rPr>
      </w:pPr>
      <w:r>
        <w:rPr>
          <w:sz w:val="24"/>
          <w:szCs w:val="24"/>
        </w:rPr>
        <w:t>Source: Office of the Chief Economist, DFAT based on ABS data catalogue 5368.0</w:t>
      </w:r>
    </w:p>
    <w:p w14:paraId="5D9DBF66" w14:textId="77777777" w:rsidR="00C3560D" w:rsidRDefault="00C3560D" w:rsidP="00EB0980">
      <w:pPr>
        <w:rPr>
          <w:sz w:val="24"/>
          <w:szCs w:val="24"/>
        </w:rPr>
      </w:pPr>
      <w:r>
        <w:rPr>
          <w:noProof/>
          <w:lang w:eastAsia="en-AU"/>
        </w:rPr>
        <w:drawing>
          <wp:inline distT="0" distB="0" distL="0" distR="0" wp14:anchorId="2EE97A9F" wp14:editId="4B1D92DA">
            <wp:extent cx="5731510" cy="1129030"/>
            <wp:effectExtent l="0" t="0" r="2540" b="0"/>
            <wp:docPr id="7" name="Picture 7" descr="Diagram of the Australian investment in and from India. &#10;&#10;Source: Australian Bureau of Statistics - International Trade in Goods and Services, Australia https://www.abs.gov.au/statistics/economy/international-trade/international-trade-goods-and-services-australia/latest-relea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of the Australian investment in and from India. &#10;&#10;Source: Australian Bureau of Statistics - International Trade in Goods and Services, Australia https://www.abs.gov.au/statistics/economy/international-trade/international-trade-goods-and-services-australia/latest-release "/>
                    <pic:cNvPicPr/>
                  </pic:nvPicPr>
                  <pic:blipFill>
                    <a:blip r:embed="rId17"/>
                    <a:stretch>
                      <a:fillRect/>
                    </a:stretch>
                  </pic:blipFill>
                  <pic:spPr>
                    <a:xfrm>
                      <a:off x="0" y="0"/>
                      <a:ext cx="5731510" cy="1129030"/>
                    </a:xfrm>
                    <a:prstGeom prst="rect">
                      <a:avLst/>
                    </a:prstGeom>
                  </pic:spPr>
                </pic:pic>
              </a:graphicData>
            </a:graphic>
          </wp:inline>
        </w:drawing>
      </w:r>
    </w:p>
    <w:p w14:paraId="5C82D716" w14:textId="4E9B6162" w:rsidR="00C3560D" w:rsidRDefault="00C3560D" w:rsidP="00EB0980">
      <w:pPr>
        <w:rPr>
          <w:rFonts w:asciiTheme="majorHAnsi" w:eastAsiaTheme="majorEastAsia" w:hAnsiTheme="majorHAnsi" w:cstheme="majorBidi"/>
          <w:color w:val="2F5496" w:themeColor="accent1" w:themeShade="BF"/>
          <w:sz w:val="32"/>
          <w:szCs w:val="32"/>
        </w:rPr>
      </w:pPr>
      <w:r>
        <w:rPr>
          <w:noProof/>
          <w:lang w:eastAsia="en-AU"/>
        </w:rPr>
        <w:drawing>
          <wp:inline distT="0" distB="0" distL="0" distR="0" wp14:anchorId="1EBEFFB6" wp14:editId="3297A7D6">
            <wp:extent cx="5731510" cy="2185670"/>
            <wp:effectExtent l="0" t="0" r="2540" b="5080"/>
            <wp:docPr id="14" name="Picture 14" descr="Diagram of Australia's Goods and Services trade with India, 2020. Details top eight exports and imports to and from India. &#10;&#10;Source: DFAT Office of the Chief Economic, based on Australian Bureau of Statistics - International Trade in Goods and Services, Australia https://www.abs.gov.au/statistics/economy/international-trade/international-trade-goods-and-services-australia/latest-relea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 of Australia's Goods and Services trade with India, 2020. Details top eight exports and imports to and from India. &#10;&#10;Source: DFAT Office of the Chief Economic, based on Australian Bureau of Statistics - International Trade in Goods and Services, Australia https://www.abs.gov.au/statistics/economy/international-trade/international-trade-goods-and-services-australia/latest-release "/>
                    <pic:cNvPicPr/>
                  </pic:nvPicPr>
                  <pic:blipFill>
                    <a:blip r:embed="rId18"/>
                    <a:stretch>
                      <a:fillRect/>
                    </a:stretch>
                  </pic:blipFill>
                  <pic:spPr>
                    <a:xfrm>
                      <a:off x="0" y="0"/>
                      <a:ext cx="5731510" cy="2185670"/>
                    </a:xfrm>
                    <a:prstGeom prst="rect">
                      <a:avLst/>
                    </a:prstGeom>
                  </pic:spPr>
                </pic:pic>
              </a:graphicData>
            </a:graphic>
          </wp:inline>
        </w:drawing>
      </w:r>
      <w:bookmarkStart w:id="9" w:name="_Toc88748492"/>
      <w:bookmarkEnd w:id="8"/>
    </w:p>
    <w:p w14:paraId="40E71E07" w14:textId="5FC08215" w:rsidR="00C3560D" w:rsidRPr="00B853AF" w:rsidRDefault="00C3560D" w:rsidP="00EB0980">
      <w:pPr>
        <w:pStyle w:val="Heading1"/>
        <w:spacing w:before="0"/>
      </w:pPr>
      <w:bookmarkStart w:id="10" w:name="_Toc99370645"/>
      <w:r>
        <w:t>WHAT ARE THE PURPOSE AND THE OBJECTIVES OF GOVERNMENT ACTION</w:t>
      </w:r>
      <w:bookmarkEnd w:id="9"/>
      <w:r w:rsidR="00F42378">
        <w:t>?</w:t>
      </w:r>
      <w:bookmarkEnd w:id="10"/>
    </w:p>
    <w:p w14:paraId="7D77D632" w14:textId="77777777" w:rsidR="00C3560D" w:rsidRPr="00213F4A" w:rsidRDefault="00C3560D" w:rsidP="00EB0980">
      <w:pPr>
        <w:spacing w:after="0"/>
        <w:rPr>
          <w:sz w:val="24"/>
          <w:szCs w:val="24"/>
        </w:rPr>
      </w:pPr>
      <w:bookmarkStart w:id="11" w:name="_Hlk83378815"/>
    </w:p>
    <w:p w14:paraId="79612C54" w14:textId="1383D78F" w:rsidR="00C3560D" w:rsidRPr="0047086A" w:rsidRDefault="00C3560D" w:rsidP="0001716D">
      <w:pPr>
        <w:pStyle w:val="Heading2"/>
        <w:spacing w:before="0"/>
      </w:pPr>
      <w:bookmarkStart w:id="12" w:name="_Toc99370646"/>
      <w:r>
        <w:t xml:space="preserve">The </w:t>
      </w:r>
      <w:r w:rsidR="00D41913">
        <w:t>purpose of government action</w:t>
      </w:r>
      <w:bookmarkEnd w:id="12"/>
      <w:r w:rsidR="00D41913">
        <w:t xml:space="preserve"> </w:t>
      </w:r>
    </w:p>
    <w:p w14:paraId="5C66AF57" w14:textId="77777777" w:rsidR="00EB0980" w:rsidRDefault="00EB0980">
      <w:pPr>
        <w:pStyle w:val="ListParagraph"/>
        <w:spacing w:after="0"/>
        <w:ind w:left="567"/>
        <w:rPr>
          <w:sz w:val="24"/>
          <w:szCs w:val="24"/>
        </w:rPr>
      </w:pPr>
    </w:p>
    <w:p w14:paraId="1FEE8F93" w14:textId="35614331" w:rsidR="00C3560D" w:rsidRDefault="00C3560D">
      <w:pPr>
        <w:pStyle w:val="ListParagraph"/>
        <w:numPr>
          <w:ilvl w:val="0"/>
          <w:numId w:val="1"/>
        </w:numPr>
        <w:spacing w:after="0"/>
        <w:ind w:left="567" w:hanging="567"/>
        <w:rPr>
          <w:sz w:val="24"/>
          <w:szCs w:val="24"/>
        </w:rPr>
      </w:pPr>
      <w:r w:rsidRPr="543832D4">
        <w:rPr>
          <w:sz w:val="24"/>
          <w:szCs w:val="24"/>
        </w:rPr>
        <w:t xml:space="preserve">Access to global markets allows Australian businesses to secure economies of scale, which </w:t>
      </w:r>
      <w:r w:rsidR="000E51F1" w:rsidRPr="543832D4">
        <w:rPr>
          <w:sz w:val="24"/>
          <w:szCs w:val="24"/>
        </w:rPr>
        <w:t>is</w:t>
      </w:r>
      <w:r w:rsidRPr="543832D4">
        <w:rPr>
          <w:sz w:val="24"/>
          <w:szCs w:val="24"/>
        </w:rPr>
        <w:t xml:space="preserve"> simply not possible given Australia’s relatively small population and domestic market. Australian businesses will export to markets where Australian products and services are in demand and where profits are highest relative to risks. While Australian businesses have opportunities to expand the markets they trade with, they will only do so where the benefits justify the costs. </w:t>
      </w:r>
    </w:p>
    <w:p w14:paraId="1E06B406" w14:textId="77777777" w:rsidR="00C3560D" w:rsidRDefault="00C3560D">
      <w:pPr>
        <w:pStyle w:val="ListParagraph"/>
        <w:spacing w:after="0"/>
        <w:ind w:left="567"/>
        <w:rPr>
          <w:sz w:val="24"/>
          <w:szCs w:val="24"/>
        </w:rPr>
      </w:pPr>
    </w:p>
    <w:p w14:paraId="023517CF" w14:textId="245BF553" w:rsidR="00C3560D" w:rsidRDefault="00C3560D">
      <w:pPr>
        <w:pStyle w:val="ListParagraph"/>
        <w:numPr>
          <w:ilvl w:val="0"/>
          <w:numId w:val="1"/>
        </w:numPr>
        <w:spacing w:after="0"/>
        <w:ind w:left="567" w:hanging="567"/>
        <w:rPr>
          <w:sz w:val="24"/>
          <w:szCs w:val="24"/>
        </w:rPr>
      </w:pPr>
      <w:r w:rsidRPr="543832D4">
        <w:rPr>
          <w:sz w:val="24"/>
          <w:szCs w:val="24"/>
        </w:rPr>
        <w:t xml:space="preserve">Through FTAs, the Australian Government can play a role in helping Australian exporters, </w:t>
      </w:r>
      <w:proofErr w:type="gramStart"/>
      <w:r w:rsidRPr="543832D4">
        <w:rPr>
          <w:sz w:val="24"/>
          <w:szCs w:val="24"/>
        </w:rPr>
        <w:t>suppliers</w:t>
      </w:r>
      <w:proofErr w:type="gramEnd"/>
      <w:r w:rsidRPr="543832D4">
        <w:rPr>
          <w:sz w:val="24"/>
          <w:szCs w:val="24"/>
        </w:rPr>
        <w:t xml:space="preserve"> and investors to tap into a new market by negotiating for greater market access, including through the elimination or reduction of certain barriers to trade in goods, services and investment. FTAs are negotiated by governments and constitute an international legal agreement, which generally includes specific commitments to make trade and investment between the parties more open. FTAs could include commitments amongst trading partners to improve market access for trade in goods and services, provide concessions for direct investment and to facilitate access to government procurement contracts. Given the nature of FTAs, it</w:t>
      </w:r>
      <w:r w:rsidR="00853518" w:rsidRPr="543832D4">
        <w:rPr>
          <w:sz w:val="24"/>
          <w:szCs w:val="24"/>
        </w:rPr>
        <w:t xml:space="preserve"> is</w:t>
      </w:r>
      <w:r w:rsidRPr="543832D4">
        <w:rPr>
          <w:sz w:val="24"/>
          <w:szCs w:val="24"/>
        </w:rPr>
        <w:t xml:space="preserve"> not </w:t>
      </w:r>
      <w:r w:rsidR="00853518" w:rsidRPr="543832D4">
        <w:rPr>
          <w:sz w:val="24"/>
          <w:szCs w:val="24"/>
        </w:rPr>
        <w:t>p</w:t>
      </w:r>
      <w:r w:rsidRPr="543832D4">
        <w:rPr>
          <w:sz w:val="24"/>
          <w:szCs w:val="24"/>
        </w:rPr>
        <w:t xml:space="preserve">ossible for Australian industry or businesses to individually negotiate, with a trading partner, for an elimination or reduction in barriers to international trade.  </w:t>
      </w:r>
    </w:p>
    <w:p w14:paraId="6CFC9E96" w14:textId="77777777" w:rsidR="004729C3" w:rsidRPr="004729C3" w:rsidRDefault="004729C3" w:rsidP="0001716D">
      <w:pPr>
        <w:pStyle w:val="ListParagraph"/>
        <w:spacing w:after="0"/>
        <w:rPr>
          <w:sz w:val="24"/>
          <w:szCs w:val="24"/>
        </w:rPr>
      </w:pPr>
    </w:p>
    <w:p w14:paraId="76DF3B8E" w14:textId="1606DF33" w:rsidR="004729C3" w:rsidRPr="004729C3" w:rsidRDefault="004729C3">
      <w:pPr>
        <w:pStyle w:val="ListParagraph"/>
        <w:numPr>
          <w:ilvl w:val="0"/>
          <w:numId w:val="1"/>
        </w:numPr>
        <w:spacing w:after="0"/>
        <w:ind w:left="567" w:hanging="567"/>
        <w:rPr>
          <w:sz w:val="24"/>
          <w:szCs w:val="24"/>
        </w:rPr>
      </w:pPr>
      <w:r>
        <w:rPr>
          <w:sz w:val="24"/>
          <w:szCs w:val="24"/>
        </w:rPr>
        <w:lastRenderedPageBreak/>
        <w:t xml:space="preserve">A 2018 FTA Utilisation Study, which focussed on the experience of Australian businesses on using FTAs, particularly with the three North Asian countries, found that 62 per cent of Australian exporters use at least one FTA to get their product into export markets while </w:t>
      </w:r>
      <w:r>
        <w:rPr>
          <w:sz w:val="24"/>
          <w:szCs w:val="24"/>
        </w:rPr>
        <w:br/>
        <w:t>78 per cent of Australian importers use at least one FTA to source products offshore.</w:t>
      </w:r>
      <w:r>
        <w:rPr>
          <w:rStyle w:val="FootnoteReference"/>
          <w:sz w:val="24"/>
          <w:szCs w:val="24"/>
        </w:rPr>
        <w:footnoteReference w:id="22"/>
      </w:r>
      <w:r>
        <w:rPr>
          <w:sz w:val="24"/>
          <w:szCs w:val="24"/>
        </w:rPr>
        <w:t xml:space="preserve"> The study found that market engagement has improved between Australian businesses and their trading partners in FTA countries following the entry into force of Australia’s FTAs.</w:t>
      </w:r>
      <w:r>
        <w:rPr>
          <w:rStyle w:val="FootnoteReference"/>
          <w:sz w:val="24"/>
          <w:szCs w:val="24"/>
        </w:rPr>
        <w:footnoteReference w:id="23"/>
      </w:r>
      <w:r>
        <w:rPr>
          <w:sz w:val="24"/>
          <w:szCs w:val="24"/>
        </w:rPr>
        <w:t xml:space="preserve"> </w:t>
      </w:r>
    </w:p>
    <w:p w14:paraId="49DF1A91" w14:textId="77777777" w:rsidR="00C3560D" w:rsidRPr="00074533" w:rsidRDefault="00C3560D">
      <w:pPr>
        <w:pStyle w:val="ListParagraph"/>
        <w:spacing w:after="0"/>
        <w:rPr>
          <w:sz w:val="24"/>
          <w:szCs w:val="24"/>
        </w:rPr>
      </w:pPr>
    </w:p>
    <w:p w14:paraId="6B0C9503" w14:textId="77777777" w:rsidR="002F680A" w:rsidRDefault="00C3560D">
      <w:pPr>
        <w:pStyle w:val="ListParagraph"/>
        <w:numPr>
          <w:ilvl w:val="0"/>
          <w:numId w:val="1"/>
        </w:numPr>
        <w:spacing w:after="0"/>
        <w:ind w:left="567" w:hanging="567"/>
        <w:rPr>
          <w:sz w:val="24"/>
          <w:szCs w:val="24"/>
        </w:rPr>
      </w:pPr>
      <w:r>
        <w:rPr>
          <w:sz w:val="24"/>
          <w:szCs w:val="24"/>
        </w:rPr>
        <w:t>As of 31 December 2020, 71.</w:t>
      </w:r>
      <w:r w:rsidR="00044519">
        <w:rPr>
          <w:sz w:val="24"/>
          <w:szCs w:val="24"/>
        </w:rPr>
        <w:t>3</w:t>
      </w:r>
      <w:r>
        <w:rPr>
          <w:sz w:val="24"/>
          <w:szCs w:val="24"/>
        </w:rPr>
        <w:t xml:space="preserve"> per</w:t>
      </w:r>
      <w:r w:rsidR="00854D6C">
        <w:rPr>
          <w:sz w:val="24"/>
          <w:szCs w:val="24"/>
        </w:rPr>
        <w:t xml:space="preserve"> </w:t>
      </w:r>
      <w:r>
        <w:rPr>
          <w:sz w:val="24"/>
          <w:szCs w:val="24"/>
        </w:rPr>
        <w:t>cent of Australia’s two-way trade was with economies covered by FTAs, with Australia partially on track to</w:t>
      </w:r>
      <w:r w:rsidR="00CB5F59">
        <w:rPr>
          <w:sz w:val="24"/>
          <w:szCs w:val="24"/>
        </w:rPr>
        <w:t xml:space="preserve"> meeting its goal of having</w:t>
      </w:r>
      <w:r>
        <w:rPr>
          <w:sz w:val="24"/>
          <w:szCs w:val="24"/>
        </w:rPr>
        <w:t xml:space="preserve"> 90 per</w:t>
      </w:r>
      <w:r w:rsidR="00854D6C">
        <w:rPr>
          <w:sz w:val="24"/>
          <w:szCs w:val="24"/>
        </w:rPr>
        <w:t xml:space="preserve"> </w:t>
      </w:r>
      <w:r>
        <w:rPr>
          <w:sz w:val="24"/>
          <w:szCs w:val="24"/>
        </w:rPr>
        <w:t>cent of trade covered by FTAs by 2022.</w:t>
      </w:r>
      <w:r>
        <w:rPr>
          <w:rStyle w:val="FootnoteReference"/>
          <w:sz w:val="24"/>
          <w:szCs w:val="24"/>
        </w:rPr>
        <w:footnoteReference w:id="24"/>
      </w:r>
      <w:r>
        <w:rPr>
          <w:sz w:val="24"/>
          <w:szCs w:val="24"/>
        </w:rPr>
        <w:t xml:space="preserve"> </w:t>
      </w:r>
    </w:p>
    <w:p w14:paraId="5CBD8082" w14:textId="77777777" w:rsidR="002F680A" w:rsidRPr="002F680A" w:rsidRDefault="002F680A" w:rsidP="0001716D">
      <w:pPr>
        <w:pStyle w:val="ListParagraph"/>
        <w:spacing w:after="0"/>
        <w:rPr>
          <w:sz w:val="24"/>
          <w:szCs w:val="24"/>
        </w:rPr>
      </w:pPr>
    </w:p>
    <w:p w14:paraId="4A774D29" w14:textId="0715DB51" w:rsidR="004729C3" w:rsidRPr="002F680A" w:rsidRDefault="004729C3">
      <w:pPr>
        <w:pStyle w:val="ListParagraph"/>
        <w:numPr>
          <w:ilvl w:val="0"/>
          <w:numId w:val="1"/>
        </w:numPr>
        <w:spacing w:after="0"/>
        <w:ind w:left="567" w:hanging="567"/>
        <w:rPr>
          <w:sz w:val="24"/>
          <w:szCs w:val="24"/>
        </w:rPr>
      </w:pPr>
      <w:r w:rsidRPr="002F680A">
        <w:rPr>
          <w:sz w:val="24"/>
          <w:szCs w:val="24"/>
        </w:rPr>
        <w:t>In 2020, the Regional Comprehensive Economic Partnership (RCEP) being the world’s largest FTA, was signed by 15 countries. RCEP was designed to enhance regional cooperation to facilitate a strong economic recovery from COVID-19. It will also provide Australian exporters and investors with guaranteed levels of access and treatment in a market covering around 30 per cent of the world’s population.</w:t>
      </w:r>
      <w:r>
        <w:rPr>
          <w:rStyle w:val="FootnoteReference"/>
          <w:sz w:val="24"/>
          <w:szCs w:val="24"/>
        </w:rPr>
        <w:footnoteReference w:id="25"/>
      </w:r>
      <w:r w:rsidRPr="002F680A">
        <w:rPr>
          <w:sz w:val="24"/>
          <w:szCs w:val="24"/>
        </w:rPr>
        <w:t xml:space="preserve"> While it was disappointing that India elected to leave the RCEP negotiations, the proposed </w:t>
      </w:r>
      <w:r w:rsidR="006E5E78">
        <w:rPr>
          <w:sz w:val="24"/>
          <w:szCs w:val="24"/>
        </w:rPr>
        <w:t>AI ECTA</w:t>
      </w:r>
      <w:r w:rsidRPr="002F680A">
        <w:rPr>
          <w:sz w:val="24"/>
          <w:szCs w:val="24"/>
        </w:rPr>
        <w:t xml:space="preserve"> would be an opportunity for Australia to capitalise on India’s growing economic strength, including its market </w:t>
      </w:r>
      <w:proofErr w:type="gramStart"/>
      <w:r w:rsidRPr="002F680A">
        <w:rPr>
          <w:sz w:val="24"/>
          <w:szCs w:val="24"/>
        </w:rPr>
        <w:t>size</w:t>
      </w:r>
      <w:proofErr w:type="gramEnd"/>
      <w:r w:rsidRPr="002F680A">
        <w:rPr>
          <w:sz w:val="24"/>
          <w:szCs w:val="24"/>
        </w:rPr>
        <w:t xml:space="preserve"> and growing middle class.</w:t>
      </w:r>
    </w:p>
    <w:p w14:paraId="39A7B277" w14:textId="77777777" w:rsidR="00EB0980" w:rsidRDefault="00EB0980">
      <w:pPr>
        <w:spacing w:after="0"/>
        <w:rPr>
          <w:b/>
          <w:bCs/>
          <w:sz w:val="24"/>
          <w:szCs w:val="24"/>
        </w:rPr>
      </w:pPr>
    </w:p>
    <w:p w14:paraId="54BC5C51" w14:textId="6C8B5886" w:rsidR="00C3560D" w:rsidRPr="00C006EA" w:rsidRDefault="00C3560D" w:rsidP="0001716D">
      <w:pPr>
        <w:pStyle w:val="Heading2"/>
        <w:spacing w:before="0"/>
      </w:pPr>
      <w:bookmarkStart w:id="13" w:name="_Toc99370647"/>
      <w:r>
        <w:t xml:space="preserve">The objectives of the proposed </w:t>
      </w:r>
      <w:r w:rsidR="00421A8C">
        <w:t>AI</w:t>
      </w:r>
      <w:r w:rsidR="00217C26">
        <w:t xml:space="preserve"> ECTA</w:t>
      </w:r>
      <w:bookmarkEnd w:id="13"/>
      <w:r>
        <w:t xml:space="preserve">  </w:t>
      </w:r>
      <w:r w:rsidRPr="00C006EA">
        <w:t xml:space="preserve"> </w:t>
      </w:r>
    </w:p>
    <w:p w14:paraId="7C242951" w14:textId="207C52F8" w:rsidR="543832D4" w:rsidRDefault="543832D4">
      <w:pPr>
        <w:spacing w:after="0"/>
        <w:rPr>
          <w:sz w:val="24"/>
          <w:szCs w:val="24"/>
        </w:rPr>
      </w:pPr>
    </w:p>
    <w:p w14:paraId="35406F34" w14:textId="1709A798" w:rsidR="00821563" w:rsidRPr="002C3702" w:rsidRDefault="00821563">
      <w:pPr>
        <w:spacing w:after="0"/>
        <w:rPr>
          <w:b/>
          <w:bCs/>
          <w:sz w:val="24"/>
          <w:szCs w:val="24"/>
        </w:rPr>
      </w:pPr>
      <w:r w:rsidRPr="00FF064C">
        <w:rPr>
          <w:b/>
          <w:bCs/>
          <w:i/>
          <w:iCs/>
          <w:sz w:val="24"/>
          <w:szCs w:val="24"/>
        </w:rPr>
        <w:t>Adva</w:t>
      </w:r>
      <w:r w:rsidRPr="002C3702">
        <w:rPr>
          <w:b/>
          <w:bCs/>
          <w:i/>
          <w:iCs/>
          <w:sz w:val="24"/>
          <w:szCs w:val="24"/>
        </w:rPr>
        <w:t xml:space="preserve">ncing </w:t>
      </w:r>
      <w:r w:rsidR="00C931F8" w:rsidRPr="002C3702">
        <w:rPr>
          <w:b/>
          <w:bCs/>
          <w:i/>
          <w:iCs/>
          <w:sz w:val="24"/>
          <w:szCs w:val="24"/>
        </w:rPr>
        <w:t>the Joint Statement between Australia and India</w:t>
      </w:r>
    </w:p>
    <w:p w14:paraId="4A846A06" w14:textId="77777777" w:rsidR="00821563" w:rsidRPr="002C3702" w:rsidRDefault="00821563">
      <w:pPr>
        <w:spacing w:after="0"/>
        <w:rPr>
          <w:sz w:val="24"/>
          <w:szCs w:val="24"/>
        </w:rPr>
      </w:pPr>
    </w:p>
    <w:p w14:paraId="0FA0B0C9" w14:textId="2FA453D5" w:rsidR="002F5D2A" w:rsidRPr="0001716D" w:rsidRDefault="003B347F">
      <w:pPr>
        <w:pStyle w:val="ListParagraph"/>
        <w:numPr>
          <w:ilvl w:val="0"/>
          <w:numId w:val="1"/>
        </w:numPr>
        <w:spacing w:after="0"/>
        <w:ind w:left="567" w:hanging="567"/>
        <w:rPr>
          <w:sz w:val="24"/>
          <w:szCs w:val="24"/>
        </w:rPr>
      </w:pPr>
      <w:r>
        <w:rPr>
          <w:sz w:val="24"/>
          <w:szCs w:val="24"/>
        </w:rPr>
        <w:t>As outlined in the</w:t>
      </w:r>
      <w:r w:rsidR="00F85EDB">
        <w:rPr>
          <w:sz w:val="24"/>
          <w:szCs w:val="24"/>
        </w:rPr>
        <w:t xml:space="preserve"> </w:t>
      </w:r>
      <w:r w:rsidR="00072289">
        <w:rPr>
          <w:sz w:val="24"/>
          <w:szCs w:val="24"/>
        </w:rPr>
        <w:t>Joint Statement between Prime Minister Morrison and Prime Minister Modi</w:t>
      </w:r>
      <w:r w:rsidR="001D6615">
        <w:rPr>
          <w:sz w:val="24"/>
          <w:szCs w:val="24"/>
        </w:rPr>
        <w:t xml:space="preserve">, Australia and India are committed to expanding </w:t>
      </w:r>
      <w:r w:rsidR="00072289">
        <w:rPr>
          <w:sz w:val="24"/>
          <w:szCs w:val="24"/>
        </w:rPr>
        <w:t xml:space="preserve">trade and investment flows </w:t>
      </w:r>
      <w:r w:rsidR="001D6615">
        <w:rPr>
          <w:sz w:val="24"/>
          <w:szCs w:val="24"/>
        </w:rPr>
        <w:t>to the benefit of both economies</w:t>
      </w:r>
      <w:r w:rsidR="00072289">
        <w:rPr>
          <w:sz w:val="24"/>
          <w:szCs w:val="24"/>
        </w:rPr>
        <w:t>.</w:t>
      </w:r>
      <w:r w:rsidR="000F1072">
        <w:rPr>
          <w:rStyle w:val="FootnoteReference"/>
          <w:sz w:val="24"/>
          <w:szCs w:val="24"/>
        </w:rPr>
        <w:footnoteReference w:id="26"/>
      </w:r>
      <w:r w:rsidR="00072289">
        <w:rPr>
          <w:sz w:val="24"/>
          <w:szCs w:val="24"/>
        </w:rPr>
        <w:t xml:space="preserve"> </w:t>
      </w:r>
      <w:r w:rsidR="00AB7598">
        <w:rPr>
          <w:sz w:val="24"/>
          <w:szCs w:val="24"/>
        </w:rPr>
        <w:t>D</w:t>
      </w:r>
      <w:r w:rsidR="00AB7598" w:rsidRPr="543832D4">
        <w:rPr>
          <w:sz w:val="24"/>
          <w:szCs w:val="24"/>
        </w:rPr>
        <w:t xml:space="preserve">eeper economic links between like-minded partners is a central element of the Australian Government’s broader strategy to shape our region. </w:t>
      </w:r>
      <w:r w:rsidR="00AB7598">
        <w:rPr>
          <w:sz w:val="24"/>
          <w:szCs w:val="24"/>
        </w:rPr>
        <w:t xml:space="preserve">It will </w:t>
      </w:r>
      <w:r w:rsidR="00AB7598" w:rsidRPr="543832D4">
        <w:rPr>
          <w:sz w:val="24"/>
          <w:szCs w:val="24"/>
        </w:rPr>
        <w:t xml:space="preserve">signal to the world Australia and India’s ongoing commitment to </w:t>
      </w:r>
      <w:r w:rsidR="00AB7598">
        <w:rPr>
          <w:sz w:val="24"/>
          <w:szCs w:val="24"/>
        </w:rPr>
        <w:t>work together to strengthen the rules-based, transparent, non-discriminatory, open, and inclusive multilateral trading system</w:t>
      </w:r>
      <w:r w:rsidR="001A3E00">
        <w:rPr>
          <w:sz w:val="24"/>
          <w:szCs w:val="24"/>
        </w:rPr>
        <w:t>, which is also consistent with</w:t>
      </w:r>
      <w:r w:rsidR="002150FC">
        <w:rPr>
          <w:sz w:val="24"/>
          <w:szCs w:val="24"/>
        </w:rPr>
        <w:t xml:space="preserve"> the</w:t>
      </w:r>
      <w:r w:rsidR="00593665">
        <w:rPr>
          <w:sz w:val="24"/>
          <w:szCs w:val="24"/>
        </w:rPr>
        <w:t xml:space="preserve"> joint</w:t>
      </w:r>
      <w:r w:rsidR="002150FC">
        <w:rPr>
          <w:sz w:val="24"/>
          <w:szCs w:val="24"/>
        </w:rPr>
        <w:t xml:space="preserve"> commitments made by Minister Tehan and Minister Goyal</w:t>
      </w:r>
      <w:r w:rsidR="00593665">
        <w:rPr>
          <w:sz w:val="24"/>
          <w:szCs w:val="24"/>
        </w:rPr>
        <w:t xml:space="preserve"> following the Joint Ministerial Commission and</w:t>
      </w:r>
      <w:r w:rsidR="001A3E00">
        <w:rPr>
          <w:sz w:val="24"/>
          <w:szCs w:val="24"/>
        </w:rPr>
        <w:t xml:space="preserve"> </w:t>
      </w:r>
      <w:r w:rsidR="001A3E00" w:rsidRPr="543832D4">
        <w:rPr>
          <w:sz w:val="24"/>
          <w:szCs w:val="24"/>
        </w:rPr>
        <w:t xml:space="preserve">Australia’s </w:t>
      </w:r>
      <w:hyperlink r:id="rId19">
        <w:r w:rsidR="001A3E00" w:rsidRPr="543832D4">
          <w:rPr>
            <w:rStyle w:val="Hyperlink"/>
            <w:sz w:val="24"/>
            <w:szCs w:val="24"/>
          </w:rPr>
          <w:t>2017 Foreign Policy White Paper</w:t>
        </w:r>
      </w:hyperlink>
      <w:r w:rsidR="001A3E00">
        <w:rPr>
          <w:rStyle w:val="Hyperlink"/>
          <w:sz w:val="24"/>
          <w:szCs w:val="24"/>
        </w:rPr>
        <w:t>.</w:t>
      </w:r>
      <w:r w:rsidR="001A3E00" w:rsidRPr="00C14608">
        <w:rPr>
          <w:rStyle w:val="FootnoteReference"/>
          <w:sz w:val="24"/>
          <w:szCs w:val="24"/>
        </w:rPr>
        <w:footnoteReference w:id="27"/>
      </w:r>
    </w:p>
    <w:p w14:paraId="22AACD66" w14:textId="77777777" w:rsidR="002F5D2A" w:rsidRPr="00E079EF" w:rsidRDefault="002F5D2A" w:rsidP="0001716D">
      <w:pPr>
        <w:pStyle w:val="ListParagraph"/>
        <w:spacing w:after="0"/>
        <w:rPr>
          <w:sz w:val="24"/>
          <w:szCs w:val="24"/>
        </w:rPr>
      </w:pPr>
    </w:p>
    <w:p w14:paraId="09D834AE" w14:textId="38D007AD" w:rsidR="00A05669" w:rsidRDefault="00C3560D">
      <w:pPr>
        <w:pStyle w:val="ListParagraph"/>
        <w:numPr>
          <w:ilvl w:val="0"/>
          <w:numId w:val="1"/>
        </w:numPr>
        <w:spacing w:after="0"/>
        <w:ind w:left="567" w:hanging="567"/>
        <w:rPr>
          <w:sz w:val="24"/>
          <w:szCs w:val="24"/>
        </w:rPr>
      </w:pPr>
      <w:r w:rsidRPr="543832D4">
        <w:rPr>
          <w:sz w:val="24"/>
          <w:szCs w:val="24"/>
        </w:rPr>
        <w:t xml:space="preserve">India is a pivotal geopolitical player in the Indo-Pacific and at a time of sharpening strategic competition, the importance of our CSP with India continues to grow. The proposed </w:t>
      </w:r>
      <w:r w:rsidR="00421A8C">
        <w:rPr>
          <w:sz w:val="24"/>
          <w:szCs w:val="24"/>
        </w:rPr>
        <w:t>AI</w:t>
      </w:r>
      <w:r w:rsidR="00217C26">
        <w:rPr>
          <w:sz w:val="24"/>
          <w:szCs w:val="24"/>
        </w:rPr>
        <w:t xml:space="preserve"> ECTA</w:t>
      </w:r>
      <w:r w:rsidRPr="543832D4">
        <w:rPr>
          <w:sz w:val="24"/>
          <w:szCs w:val="24"/>
        </w:rPr>
        <w:t xml:space="preserve"> followed by a full CECA </w:t>
      </w:r>
      <w:r w:rsidR="00CA7948">
        <w:rPr>
          <w:sz w:val="24"/>
          <w:szCs w:val="24"/>
        </w:rPr>
        <w:t>will support</w:t>
      </w:r>
      <w:r w:rsidR="00D85103">
        <w:rPr>
          <w:sz w:val="24"/>
          <w:szCs w:val="24"/>
        </w:rPr>
        <w:t xml:space="preserve"> Australia and India’s</w:t>
      </w:r>
      <w:r w:rsidR="00CA7948">
        <w:rPr>
          <w:sz w:val="24"/>
          <w:szCs w:val="24"/>
        </w:rPr>
        <w:t xml:space="preserve"> implementation of the CSP</w:t>
      </w:r>
      <w:r w:rsidR="004F0AFF">
        <w:rPr>
          <w:sz w:val="24"/>
          <w:szCs w:val="24"/>
        </w:rPr>
        <w:t xml:space="preserve"> and</w:t>
      </w:r>
      <w:r w:rsidR="001363D8">
        <w:rPr>
          <w:sz w:val="24"/>
          <w:szCs w:val="24"/>
        </w:rPr>
        <w:t xml:space="preserve"> </w:t>
      </w:r>
      <w:r w:rsidR="00D85103">
        <w:rPr>
          <w:sz w:val="24"/>
          <w:szCs w:val="24"/>
        </w:rPr>
        <w:t xml:space="preserve">Australia’s </w:t>
      </w:r>
      <w:r w:rsidR="001363D8">
        <w:rPr>
          <w:sz w:val="24"/>
          <w:szCs w:val="24"/>
        </w:rPr>
        <w:t xml:space="preserve">implementation </w:t>
      </w:r>
      <w:r w:rsidR="00CA7948">
        <w:rPr>
          <w:sz w:val="24"/>
          <w:szCs w:val="24"/>
        </w:rPr>
        <w:t>India Economic Strategy Update</w:t>
      </w:r>
      <w:r w:rsidR="004F0AFF">
        <w:rPr>
          <w:sz w:val="24"/>
          <w:szCs w:val="24"/>
        </w:rPr>
        <w:t xml:space="preserve">. This will also </w:t>
      </w:r>
      <w:r w:rsidR="00D6002C">
        <w:rPr>
          <w:sz w:val="24"/>
          <w:szCs w:val="24"/>
        </w:rPr>
        <w:t xml:space="preserve">align with the </w:t>
      </w:r>
      <w:r w:rsidR="00D6002C">
        <w:rPr>
          <w:sz w:val="24"/>
          <w:szCs w:val="24"/>
        </w:rPr>
        <w:lastRenderedPageBreak/>
        <w:t>recommendations of the Committee</w:t>
      </w:r>
      <w:r w:rsidR="004F0AFF">
        <w:rPr>
          <w:sz w:val="24"/>
          <w:szCs w:val="24"/>
        </w:rPr>
        <w:t xml:space="preserve">, as outlined in the </w:t>
      </w:r>
      <w:r w:rsidR="004F0AFF">
        <w:rPr>
          <w:i/>
          <w:iCs/>
          <w:sz w:val="24"/>
          <w:szCs w:val="24"/>
        </w:rPr>
        <w:t>Pivot</w:t>
      </w:r>
      <w:r w:rsidR="004F0AFF">
        <w:rPr>
          <w:sz w:val="24"/>
          <w:szCs w:val="24"/>
        </w:rPr>
        <w:t xml:space="preserve"> report,</w:t>
      </w:r>
      <w:r w:rsidR="00D6002C">
        <w:rPr>
          <w:sz w:val="24"/>
          <w:szCs w:val="24"/>
        </w:rPr>
        <w:t xml:space="preserve"> that Australia should create new opportunities by negotiating new t</w:t>
      </w:r>
      <w:r w:rsidR="00A05669">
        <w:rPr>
          <w:sz w:val="24"/>
          <w:szCs w:val="24"/>
        </w:rPr>
        <w:t>rade agreements to diversify its trade</w:t>
      </w:r>
      <w:r w:rsidR="00CA7948">
        <w:rPr>
          <w:sz w:val="24"/>
          <w:szCs w:val="24"/>
        </w:rPr>
        <w:t xml:space="preserve">.  </w:t>
      </w:r>
    </w:p>
    <w:p w14:paraId="4669AA63" w14:textId="77777777" w:rsidR="00A05669" w:rsidRPr="00A05669" w:rsidRDefault="00A05669" w:rsidP="0001716D">
      <w:pPr>
        <w:pStyle w:val="ListParagraph"/>
        <w:spacing w:after="0"/>
        <w:rPr>
          <w:sz w:val="24"/>
          <w:szCs w:val="24"/>
        </w:rPr>
      </w:pPr>
    </w:p>
    <w:p w14:paraId="764D8E89" w14:textId="1FC344CD" w:rsidR="543832D4" w:rsidRDefault="00A05669">
      <w:pPr>
        <w:pStyle w:val="ListParagraph"/>
        <w:numPr>
          <w:ilvl w:val="0"/>
          <w:numId w:val="1"/>
        </w:numPr>
        <w:spacing w:after="0"/>
        <w:ind w:left="567" w:hanging="567"/>
      </w:pPr>
      <w:r>
        <w:rPr>
          <w:sz w:val="24"/>
          <w:szCs w:val="24"/>
        </w:rPr>
        <w:t xml:space="preserve">The proposed </w:t>
      </w:r>
      <w:r w:rsidR="00421A8C">
        <w:rPr>
          <w:sz w:val="24"/>
          <w:szCs w:val="24"/>
        </w:rPr>
        <w:t>AI</w:t>
      </w:r>
      <w:r w:rsidR="00217C26">
        <w:rPr>
          <w:sz w:val="24"/>
          <w:szCs w:val="24"/>
        </w:rPr>
        <w:t xml:space="preserve"> ECTA</w:t>
      </w:r>
      <w:r>
        <w:rPr>
          <w:sz w:val="24"/>
          <w:szCs w:val="24"/>
        </w:rPr>
        <w:t xml:space="preserve"> followed by a full CECA </w:t>
      </w:r>
      <w:r w:rsidR="00CA7948">
        <w:rPr>
          <w:sz w:val="24"/>
          <w:szCs w:val="24"/>
        </w:rPr>
        <w:t>will</w:t>
      </w:r>
      <w:r w:rsidR="007A1803">
        <w:rPr>
          <w:sz w:val="24"/>
          <w:szCs w:val="24"/>
        </w:rPr>
        <w:t xml:space="preserve"> </w:t>
      </w:r>
      <w:r w:rsidR="00C3560D" w:rsidRPr="543832D4">
        <w:rPr>
          <w:sz w:val="24"/>
          <w:szCs w:val="24"/>
        </w:rPr>
        <w:t xml:space="preserve">sit alongside our existing FTAs with other Indo-Pacific strategic partners, including Japan, </w:t>
      </w:r>
      <w:proofErr w:type="gramStart"/>
      <w:r w:rsidR="00C3560D" w:rsidRPr="543832D4">
        <w:rPr>
          <w:sz w:val="24"/>
          <w:szCs w:val="24"/>
        </w:rPr>
        <w:t>Korea</w:t>
      </w:r>
      <w:proofErr w:type="gramEnd"/>
      <w:r w:rsidR="00C3560D" w:rsidRPr="543832D4">
        <w:rPr>
          <w:sz w:val="24"/>
          <w:szCs w:val="24"/>
        </w:rPr>
        <w:t xml:space="preserve"> and Indonesia, which </w:t>
      </w:r>
      <w:r w:rsidR="00AE5A0A">
        <w:rPr>
          <w:sz w:val="24"/>
          <w:szCs w:val="24"/>
        </w:rPr>
        <w:t>will</w:t>
      </w:r>
      <w:r w:rsidR="00C3560D" w:rsidRPr="543832D4">
        <w:rPr>
          <w:sz w:val="24"/>
          <w:szCs w:val="24"/>
        </w:rPr>
        <w:t xml:space="preserve"> strengthen our regional economic architecture, and w</w:t>
      </w:r>
      <w:r w:rsidR="00BB7AF3">
        <w:rPr>
          <w:sz w:val="24"/>
          <w:szCs w:val="24"/>
        </w:rPr>
        <w:t>ill</w:t>
      </w:r>
      <w:r w:rsidR="00C3560D" w:rsidRPr="543832D4">
        <w:rPr>
          <w:sz w:val="24"/>
          <w:szCs w:val="24"/>
        </w:rPr>
        <w:t xml:space="preserve"> send an important stra</w:t>
      </w:r>
      <w:r w:rsidR="543832D4" w:rsidRPr="543832D4">
        <w:rPr>
          <w:sz w:val="24"/>
          <w:szCs w:val="24"/>
        </w:rPr>
        <w:t>tegic message to the region that Australia and India are working together as trusted partners to promote resilience in the Indo-Pacific region.</w:t>
      </w:r>
      <w:r w:rsidR="0063088D">
        <w:rPr>
          <w:sz w:val="24"/>
          <w:szCs w:val="24"/>
        </w:rPr>
        <w:t xml:space="preserve"> </w:t>
      </w:r>
      <w:r w:rsidR="0063088D" w:rsidRPr="543832D4">
        <w:rPr>
          <w:sz w:val="24"/>
          <w:szCs w:val="24"/>
        </w:rPr>
        <w:t xml:space="preserve">The signing of new FTAs </w:t>
      </w:r>
      <w:r w:rsidR="00CA7948">
        <w:rPr>
          <w:sz w:val="24"/>
          <w:szCs w:val="24"/>
        </w:rPr>
        <w:t>will</w:t>
      </w:r>
      <w:r w:rsidR="0063088D">
        <w:rPr>
          <w:sz w:val="24"/>
          <w:szCs w:val="24"/>
        </w:rPr>
        <w:t xml:space="preserve"> </w:t>
      </w:r>
      <w:r w:rsidR="0063088D" w:rsidRPr="543832D4">
        <w:rPr>
          <w:sz w:val="24"/>
          <w:szCs w:val="24"/>
        </w:rPr>
        <w:t>help to counter economic coercion during a period of geopolitical uncertainty and trade tensions.</w:t>
      </w:r>
    </w:p>
    <w:p w14:paraId="6D6FE015" w14:textId="7AE02277" w:rsidR="00A92EC2" w:rsidRDefault="00A92EC2">
      <w:pPr>
        <w:spacing w:after="0"/>
      </w:pPr>
    </w:p>
    <w:p w14:paraId="03973116" w14:textId="5273E656" w:rsidR="00821563" w:rsidRPr="00EC65BE" w:rsidRDefault="00821563">
      <w:pPr>
        <w:spacing w:after="0"/>
        <w:rPr>
          <w:b/>
          <w:bCs/>
          <w:i/>
          <w:iCs/>
        </w:rPr>
      </w:pPr>
      <w:r w:rsidRPr="00EC65BE">
        <w:rPr>
          <w:b/>
          <w:bCs/>
          <w:i/>
          <w:iCs/>
        </w:rPr>
        <w:t xml:space="preserve">Expanding market opportunities for Australian businesses </w:t>
      </w:r>
    </w:p>
    <w:p w14:paraId="43584636" w14:textId="77777777" w:rsidR="00821563" w:rsidRPr="00EC65BE" w:rsidRDefault="00821563">
      <w:pPr>
        <w:spacing w:after="0"/>
        <w:rPr>
          <w:i/>
          <w:iCs/>
          <w:sz w:val="24"/>
          <w:szCs w:val="24"/>
        </w:rPr>
      </w:pPr>
    </w:p>
    <w:p w14:paraId="39B28348" w14:textId="213334DB" w:rsidR="00C3560D" w:rsidRPr="00244835" w:rsidRDefault="00542F04">
      <w:pPr>
        <w:pStyle w:val="ListParagraph"/>
        <w:numPr>
          <w:ilvl w:val="0"/>
          <w:numId w:val="1"/>
        </w:numPr>
        <w:spacing w:after="0"/>
        <w:ind w:left="567" w:hanging="567"/>
        <w:rPr>
          <w:sz w:val="24"/>
          <w:szCs w:val="24"/>
        </w:rPr>
      </w:pPr>
      <w:r>
        <w:rPr>
          <w:sz w:val="24"/>
          <w:szCs w:val="24"/>
        </w:rPr>
        <w:t xml:space="preserve">Further, the </w:t>
      </w:r>
      <w:r w:rsidR="00C3560D">
        <w:rPr>
          <w:sz w:val="24"/>
          <w:szCs w:val="24"/>
        </w:rPr>
        <w:t>2018 India Economic Strategy observed that there is no single market with more growth opportunities for Australian business to 2035 than India.</w:t>
      </w:r>
      <w:r w:rsidR="00C3560D">
        <w:rPr>
          <w:rStyle w:val="FootnoteReference"/>
          <w:sz w:val="24"/>
          <w:szCs w:val="24"/>
        </w:rPr>
        <w:footnoteReference w:id="28"/>
      </w:r>
      <w:r w:rsidR="00C3560D">
        <w:rPr>
          <w:sz w:val="24"/>
          <w:szCs w:val="24"/>
        </w:rPr>
        <w:t xml:space="preserve"> </w:t>
      </w:r>
      <w:r w:rsidR="00C3560D" w:rsidRPr="00244835">
        <w:rPr>
          <w:sz w:val="24"/>
          <w:szCs w:val="24"/>
        </w:rPr>
        <w:t xml:space="preserve">The proposed </w:t>
      </w:r>
      <w:r w:rsidR="00421A8C">
        <w:rPr>
          <w:sz w:val="24"/>
          <w:szCs w:val="24"/>
        </w:rPr>
        <w:t>AI</w:t>
      </w:r>
      <w:r w:rsidR="00217C26">
        <w:rPr>
          <w:sz w:val="24"/>
          <w:szCs w:val="24"/>
        </w:rPr>
        <w:t xml:space="preserve"> ECTA</w:t>
      </w:r>
      <w:r w:rsidR="00C3560D" w:rsidRPr="00244835">
        <w:rPr>
          <w:sz w:val="24"/>
          <w:szCs w:val="24"/>
        </w:rPr>
        <w:t xml:space="preserve"> will play a vital role in helping Australian businesses to unlock </w:t>
      </w:r>
      <w:r w:rsidR="00E03330" w:rsidRPr="00244835">
        <w:rPr>
          <w:sz w:val="24"/>
          <w:szCs w:val="24"/>
        </w:rPr>
        <w:t xml:space="preserve">or expand their operations in </w:t>
      </w:r>
      <w:r w:rsidR="00C3560D" w:rsidRPr="00244835">
        <w:rPr>
          <w:sz w:val="24"/>
          <w:szCs w:val="24"/>
        </w:rPr>
        <w:t>the Indian market</w:t>
      </w:r>
      <w:r w:rsidR="008D76EE" w:rsidRPr="00244835">
        <w:rPr>
          <w:sz w:val="24"/>
          <w:szCs w:val="24"/>
        </w:rPr>
        <w:t>, while a full CECA is being negotiated</w:t>
      </w:r>
      <w:r w:rsidR="00625D45" w:rsidRPr="00244835">
        <w:rPr>
          <w:sz w:val="24"/>
          <w:szCs w:val="24"/>
        </w:rPr>
        <w:t xml:space="preserve">. This includes </w:t>
      </w:r>
      <w:r w:rsidR="00C3560D" w:rsidRPr="00244835">
        <w:rPr>
          <w:sz w:val="24"/>
          <w:szCs w:val="24"/>
        </w:rPr>
        <w:t>by securing India’s commitment</w:t>
      </w:r>
      <w:r w:rsidR="00D93442" w:rsidRPr="00244835">
        <w:rPr>
          <w:sz w:val="24"/>
          <w:szCs w:val="24"/>
        </w:rPr>
        <w:t xml:space="preserve"> on tariff reduction or elimination</w:t>
      </w:r>
      <w:r w:rsidR="00CD2E0A">
        <w:rPr>
          <w:sz w:val="24"/>
          <w:szCs w:val="24"/>
        </w:rPr>
        <w:t xml:space="preserve"> to enhance market access</w:t>
      </w:r>
      <w:r w:rsidR="00D93442" w:rsidRPr="00244835">
        <w:rPr>
          <w:sz w:val="24"/>
          <w:szCs w:val="24"/>
        </w:rPr>
        <w:t xml:space="preserve"> and providing </w:t>
      </w:r>
      <w:r w:rsidR="00625D45" w:rsidRPr="00244835">
        <w:rPr>
          <w:sz w:val="24"/>
          <w:szCs w:val="24"/>
        </w:rPr>
        <w:t>increased certainty</w:t>
      </w:r>
      <w:r w:rsidR="00E03330" w:rsidRPr="00244835">
        <w:rPr>
          <w:sz w:val="24"/>
          <w:szCs w:val="24"/>
        </w:rPr>
        <w:t xml:space="preserve"> </w:t>
      </w:r>
      <w:r w:rsidR="00CD2E0A">
        <w:rPr>
          <w:sz w:val="24"/>
          <w:szCs w:val="24"/>
        </w:rPr>
        <w:t xml:space="preserve">to </w:t>
      </w:r>
      <w:r w:rsidR="00E03330" w:rsidRPr="00244835">
        <w:rPr>
          <w:sz w:val="24"/>
          <w:szCs w:val="24"/>
        </w:rPr>
        <w:t>service suppliers already doing business in India through additional bound commitments</w:t>
      </w:r>
      <w:r w:rsidR="008D76EE" w:rsidRPr="00244835">
        <w:rPr>
          <w:sz w:val="24"/>
          <w:szCs w:val="24"/>
        </w:rPr>
        <w:t xml:space="preserve"> on a range of commercially meaningful sectors. </w:t>
      </w:r>
    </w:p>
    <w:bookmarkEnd w:id="11"/>
    <w:p w14:paraId="5D152926" w14:textId="77777777" w:rsidR="00C3560D" w:rsidRPr="00E32464" w:rsidRDefault="00C3560D" w:rsidP="00EB0980">
      <w:pPr>
        <w:pStyle w:val="ListParagraph"/>
        <w:spacing w:after="0"/>
        <w:rPr>
          <w:sz w:val="24"/>
          <w:szCs w:val="24"/>
        </w:rPr>
      </w:pPr>
    </w:p>
    <w:p w14:paraId="17F24912" w14:textId="272292E5" w:rsidR="000639D4" w:rsidRPr="005C1F28" w:rsidRDefault="000639D4" w:rsidP="000639D4">
      <w:pPr>
        <w:spacing w:after="0"/>
        <w:rPr>
          <w:b/>
          <w:bCs/>
          <w:sz w:val="24"/>
          <w:szCs w:val="24"/>
        </w:rPr>
      </w:pPr>
      <w:r w:rsidRPr="005C1F28">
        <w:rPr>
          <w:b/>
          <w:bCs/>
          <w:i/>
          <w:iCs/>
          <w:sz w:val="24"/>
          <w:szCs w:val="24"/>
        </w:rPr>
        <w:t xml:space="preserve">Limitations of the proposed </w:t>
      </w:r>
      <w:r w:rsidR="00421A8C">
        <w:rPr>
          <w:b/>
          <w:bCs/>
          <w:i/>
          <w:iCs/>
          <w:sz w:val="24"/>
          <w:szCs w:val="24"/>
        </w:rPr>
        <w:t>AI</w:t>
      </w:r>
      <w:r w:rsidR="00217C26">
        <w:rPr>
          <w:b/>
          <w:bCs/>
          <w:i/>
          <w:iCs/>
          <w:sz w:val="24"/>
          <w:szCs w:val="24"/>
        </w:rPr>
        <w:t xml:space="preserve"> ECTA</w:t>
      </w:r>
      <w:r w:rsidRPr="005C1F28">
        <w:rPr>
          <w:b/>
          <w:bCs/>
          <w:i/>
          <w:iCs/>
          <w:sz w:val="24"/>
          <w:szCs w:val="24"/>
        </w:rPr>
        <w:t xml:space="preserve"> </w:t>
      </w:r>
    </w:p>
    <w:p w14:paraId="5BCFD969" w14:textId="77777777" w:rsidR="000639D4" w:rsidRPr="005C1F28" w:rsidRDefault="000639D4" w:rsidP="005C1F28">
      <w:pPr>
        <w:spacing w:after="0"/>
        <w:rPr>
          <w:sz w:val="24"/>
          <w:szCs w:val="24"/>
        </w:rPr>
      </w:pPr>
    </w:p>
    <w:p w14:paraId="6273013C" w14:textId="6A49C9CE" w:rsidR="00C3560D" w:rsidRPr="003E7BB1" w:rsidRDefault="003A24D7" w:rsidP="00A80396">
      <w:pPr>
        <w:pStyle w:val="ListParagraph"/>
        <w:numPr>
          <w:ilvl w:val="0"/>
          <w:numId w:val="1"/>
        </w:numPr>
        <w:spacing w:after="0"/>
        <w:ind w:left="567" w:hanging="567"/>
        <w:rPr>
          <w:sz w:val="24"/>
          <w:szCs w:val="24"/>
        </w:rPr>
      </w:pPr>
      <w:r>
        <w:rPr>
          <w:sz w:val="24"/>
          <w:szCs w:val="24"/>
        </w:rPr>
        <w:t xml:space="preserve">At the Joint Ministerial Commission in September 2021, </w:t>
      </w:r>
      <w:r w:rsidR="00BD6A8E">
        <w:rPr>
          <w:sz w:val="24"/>
          <w:szCs w:val="24"/>
        </w:rPr>
        <w:t>Minister Tehan and Minister Goyal</w:t>
      </w:r>
      <w:r>
        <w:rPr>
          <w:sz w:val="24"/>
          <w:szCs w:val="24"/>
        </w:rPr>
        <w:t xml:space="preserve"> agreed a number of areas that should be in the </w:t>
      </w:r>
      <w:r w:rsidR="00171109">
        <w:rPr>
          <w:sz w:val="24"/>
          <w:szCs w:val="24"/>
        </w:rPr>
        <w:t xml:space="preserve">proposed </w:t>
      </w:r>
      <w:r w:rsidR="00421A8C">
        <w:rPr>
          <w:sz w:val="24"/>
          <w:szCs w:val="24"/>
        </w:rPr>
        <w:t>AI</w:t>
      </w:r>
      <w:r w:rsidR="00624076">
        <w:rPr>
          <w:sz w:val="24"/>
          <w:szCs w:val="24"/>
        </w:rPr>
        <w:t xml:space="preserve"> ECTA</w:t>
      </w:r>
      <w:r w:rsidR="00171109">
        <w:rPr>
          <w:sz w:val="24"/>
          <w:szCs w:val="24"/>
        </w:rPr>
        <w:t xml:space="preserve">, </w:t>
      </w:r>
      <w:r w:rsidR="00BD6A8E">
        <w:rPr>
          <w:sz w:val="24"/>
          <w:szCs w:val="24"/>
        </w:rPr>
        <w:t xml:space="preserve">including liberalising trade in goods, services, </w:t>
      </w:r>
      <w:r w:rsidR="009F7639">
        <w:rPr>
          <w:sz w:val="24"/>
          <w:szCs w:val="24"/>
        </w:rPr>
        <w:t xml:space="preserve">investment, </w:t>
      </w:r>
      <w:r w:rsidR="00BD6A8E">
        <w:rPr>
          <w:sz w:val="24"/>
          <w:szCs w:val="24"/>
        </w:rPr>
        <w:t>energy and resources, logistics and transport, standards, rules of origin and sanitary and phytosanitary measures.</w:t>
      </w:r>
      <w:r w:rsidR="00BD6A8E">
        <w:rPr>
          <w:rStyle w:val="FootnoteReference"/>
          <w:sz w:val="24"/>
          <w:szCs w:val="24"/>
        </w:rPr>
        <w:footnoteReference w:id="29"/>
      </w:r>
      <w:r w:rsidR="009F7639">
        <w:rPr>
          <w:sz w:val="24"/>
          <w:szCs w:val="24"/>
        </w:rPr>
        <w:t xml:space="preserve"> While the majority of areas are captured in the proposed </w:t>
      </w:r>
      <w:r w:rsidR="00421A8C">
        <w:rPr>
          <w:sz w:val="24"/>
          <w:szCs w:val="24"/>
        </w:rPr>
        <w:t>AI</w:t>
      </w:r>
      <w:r w:rsidR="00624076">
        <w:rPr>
          <w:sz w:val="24"/>
          <w:szCs w:val="24"/>
        </w:rPr>
        <w:t xml:space="preserve"> ECTA</w:t>
      </w:r>
      <w:r w:rsidR="00BE59B8">
        <w:rPr>
          <w:sz w:val="24"/>
          <w:szCs w:val="24"/>
        </w:rPr>
        <w:t xml:space="preserve">, </w:t>
      </w:r>
      <w:r w:rsidR="00C3560D" w:rsidRPr="0001716D">
        <w:rPr>
          <w:sz w:val="24"/>
          <w:szCs w:val="24"/>
        </w:rPr>
        <w:t>there are outstanding areas, including in the areas of digital trade</w:t>
      </w:r>
      <w:r w:rsidR="00CD1261">
        <w:rPr>
          <w:sz w:val="24"/>
          <w:szCs w:val="24"/>
        </w:rPr>
        <w:t xml:space="preserve"> and </w:t>
      </w:r>
      <w:r w:rsidR="00C3560D" w:rsidRPr="0001716D">
        <w:rPr>
          <w:sz w:val="24"/>
          <w:szCs w:val="24"/>
        </w:rPr>
        <w:t xml:space="preserve">investment that remain outside the scope of the </w:t>
      </w:r>
      <w:r w:rsidR="00624076">
        <w:rPr>
          <w:sz w:val="24"/>
          <w:szCs w:val="24"/>
        </w:rPr>
        <w:t xml:space="preserve">proposed </w:t>
      </w:r>
      <w:r w:rsidR="00421A8C">
        <w:rPr>
          <w:sz w:val="24"/>
          <w:szCs w:val="24"/>
        </w:rPr>
        <w:t>AI</w:t>
      </w:r>
      <w:r w:rsidR="00624076">
        <w:rPr>
          <w:sz w:val="24"/>
          <w:szCs w:val="24"/>
        </w:rPr>
        <w:t xml:space="preserve"> ECTA</w:t>
      </w:r>
      <w:r w:rsidR="00C3560D" w:rsidRPr="0001716D">
        <w:rPr>
          <w:sz w:val="24"/>
          <w:szCs w:val="24"/>
        </w:rPr>
        <w:t>. Australia and India will continue discussions on these issues</w:t>
      </w:r>
      <w:r w:rsidR="00E46AD0">
        <w:rPr>
          <w:sz w:val="24"/>
          <w:szCs w:val="24"/>
        </w:rPr>
        <w:t>, including on more sensitive areas such as government procurement,</w:t>
      </w:r>
      <w:r w:rsidR="00C3560D" w:rsidRPr="005C1F28">
        <w:rPr>
          <w:sz w:val="24"/>
          <w:szCs w:val="24"/>
        </w:rPr>
        <w:t xml:space="preserve"> as part of negotiating a full CECA</w:t>
      </w:r>
      <w:r w:rsidR="00AF70A4">
        <w:rPr>
          <w:sz w:val="24"/>
          <w:szCs w:val="24"/>
        </w:rPr>
        <w:t>.</w:t>
      </w:r>
      <w:r w:rsidR="003E7BB1">
        <w:rPr>
          <w:sz w:val="24"/>
          <w:szCs w:val="24"/>
        </w:rPr>
        <w:t xml:space="preserve"> However</w:t>
      </w:r>
      <w:r w:rsidR="00C3560D" w:rsidRPr="003E7BB1">
        <w:rPr>
          <w:sz w:val="24"/>
          <w:szCs w:val="24"/>
        </w:rPr>
        <w:t>, the difference in objectives means that commitments on potential market access for these areas w</w:t>
      </w:r>
      <w:r w:rsidR="00E46AD0">
        <w:rPr>
          <w:sz w:val="24"/>
          <w:szCs w:val="24"/>
        </w:rPr>
        <w:t>ill</w:t>
      </w:r>
      <w:r w:rsidR="00C3560D" w:rsidRPr="003E7BB1">
        <w:rPr>
          <w:sz w:val="24"/>
          <w:szCs w:val="24"/>
        </w:rPr>
        <w:t xml:space="preserve"> not be in the proposed </w:t>
      </w:r>
      <w:r w:rsidR="00421A8C">
        <w:rPr>
          <w:sz w:val="24"/>
          <w:szCs w:val="24"/>
        </w:rPr>
        <w:t>AI</w:t>
      </w:r>
      <w:r w:rsidR="00624076">
        <w:rPr>
          <w:sz w:val="24"/>
          <w:szCs w:val="24"/>
        </w:rPr>
        <w:t xml:space="preserve"> ECTA</w:t>
      </w:r>
      <w:r w:rsidR="00C3560D" w:rsidRPr="003E7BB1">
        <w:rPr>
          <w:sz w:val="24"/>
          <w:szCs w:val="24"/>
        </w:rPr>
        <w:t>.</w:t>
      </w:r>
    </w:p>
    <w:p w14:paraId="0FD8864D" w14:textId="0BA58599" w:rsidR="00C3560D" w:rsidRPr="00E32464" w:rsidRDefault="00C3560D" w:rsidP="543832D4">
      <w:pPr>
        <w:spacing w:after="0"/>
        <w:rPr>
          <w:sz w:val="24"/>
          <w:szCs w:val="24"/>
        </w:rPr>
      </w:pPr>
      <w:r w:rsidRPr="543832D4">
        <w:rPr>
          <w:sz w:val="24"/>
          <w:szCs w:val="24"/>
        </w:rPr>
        <w:t xml:space="preserve"> </w:t>
      </w:r>
    </w:p>
    <w:p w14:paraId="1EF52AB0" w14:textId="5DF6CD23" w:rsidR="002F3D95" w:rsidRDefault="543832D4" w:rsidP="00A80396">
      <w:pPr>
        <w:pStyle w:val="ListParagraph"/>
        <w:numPr>
          <w:ilvl w:val="0"/>
          <w:numId w:val="1"/>
        </w:numPr>
        <w:spacing w:after="0"/>
        <w:ind w:left="567" w:hanging="567"/>
        <w:rPr>
          <w:sz w:val="24"/>
          <w:szCs w:val="24"/>
        </w:rPr>
      </w:pPr>
      <w:r w:rsidRPr="543832D4">
        <w:rPr>
          <w:sz w:val="24"/>
          <w:szCs w:val="24"/>
        </w:rPr>
        <w:t xml:space="preserve">Nonetheless, agreeing to the </w:t>
      </w:r>
      <w:r w:rsidR="00421A8C">
        <w:rPr>
          <w:sz w:val="24"/>
          <w:szCs w:val="24"/>
        </w:rPr>
        <w:t>AI</w:t>
      </w:r>
      <w:r w:rsidR="00624076">
        <w:rPr>
          <w:sz w:val="24"/>
          <w:szCs w:val="24"/>
        </w:rPr>
        <w:t xml:space="preserve"> ECTA</w:t>
      </w:r>
      <w:r w:rsidRPr="543832D4">
        <w:rPr>
          <w:sz w:val="24"/>
          <w:szCs w:val="24"/>
        </w:rPr>
        <w:t xml:space="preserve"> will </w:t>
      </w:r>
      <w:r w:rsidR="00667C2F">
        <w:rPr>
          <w:sz w:val="24"/>
          <w:szCs w:val="24"/>
        </w:rPr>
        <w:t xml:space="preserve">provide a solid platform for </w:t>
      </w:r>
      <w:r w:rsidR="00940128">
        <w:rPr>
          <w:sz w:val="24"/>
          <w:szCs w:val="24"/>
        </w:rPr>
        <w:t>ongoing dia</w:t>
      </w:r>
      <w:r w:rsidR="00034BE2">
        <w:rPr>
          <w:sz w:val="24"/>
          <w:szCs w:val="24"/>
        </w:rPr>
        <w:t xml:space="preserve">logue between </w:t>
      </w:r>
      <w:r w:rsidR="00667C2F">
        <w:rPr>
          <w:sz w:val="24"/>
          <w:szCs w:val="24"/>
        </w:rPr>
        <w:t>Australia and India</w:t>
      </w:r>
      <w:r w:rsidR="00034BE2">
        <w:rPr>
          <w:sz w:val="24"/>
          <w:szCs w:val="24"/>
        </w:rPr>
        <w:t xml:space="preserve"> on a full CECA. It will also </w:t>
      </w:r>
      <w:r w:rsidRPr="543832D4">
        <w:rPr>
          <w:sz w:val="24"/>
          <w:szCs w:val="24"/>
        </w:rPr>
        <w:t xml:space="preserve">allow us to further enhance cooperation in other areas which are not traditionally in an FTA, through </w:t>
      </w:r>
      <w:r w:rsidR="00B40175" w:rsidRPr="543832D4">
        <w:rPr>
          <w:sz w:val="24"/>
          <w:szCs w:val="24"/>
        </w:rPr>
        <w:t>side-track</w:t>
      </w:r>
      <w:r w:rsidRPr="543832D4">
        <w:rPr>
          <w:sz w:val="24"/>
          <w:szCs w:val="24"/>
        </w:rPr>
        <w:t xml:space="preserve"> initiative</w:t>
      </w:r>
      <w:r w:rsidR="00870F59">
        <w:rPr>
          <w:sz w:val="24"/>
          <w:szCs w:val="24"/>
        </w:rPr>
        <w:t>s</w:t>
      </w:r>
      <w:r w:rsidRPr="543832D4">
        <w:rPr>
          <w:sz w:val="24"/>
          <w:szCs w:val="24"/>
        </w:rPr>
        <w:t xml:space="preserve"> such as transport and logistics and energy and resources.  </w:t>
      </w:r>
    </w:p>
    <w:p w14:paraId="0C150086" w14:textId="030E4BB5" w:rsidR="00463DAB" w:rsidRDefault="00463DAB" w:rsidP="00927AE1">
      <w:pPr>
        <w:pStyle w:val="ListParagraph"/>
        <w:spacing w:after="0"/>
        <w:ind w:left="567"/>
        <w:rPr>
          <w:rFonts w:asciiTheme="majorHAnsi" w:eastAsiaTheme="majorEastAsia" w:hAnsiTheme="majorHAnsi" w:cstheme="majorBidi"/>
          <w:color w:val="2F5496" w:themeColor="accent1" w:themeShade="BF"/>
          <w:sz w:val="32"/>
          <w:szCs w:val="32"/>
        </w:rPr>
      </w:pPr>
      <w:bookmarkStart w:id="14" w:name="_Toc88748493"/>
    </w:p>
    <w:p w14:paraId="538759D3" w14:textId="17CC1A2D" w:rsidR="00C3560D" w:rsidRDefault="00C3560D" w:rsidP="00EB0980">
      <w:pPr>
        <w:pStyle w:val="Heading1"/>
        <w:spacing w:before="0"/>
      </w:pPr>
      <w:bookmarkStart w:id="15" w:name="_Toc99370648"/>
      <w:r>
        <w:t>WHAT ARE THE OPTIONS TO ACHIEVE THESE OBJECTIVES?</w:t>
      </w:r>
      <w:bookmarkEnd w:id="14"/>
      <w:bookmarkEnd w:id="15"/>
    </w:p>
    <w:p w14:paraId="0A8DE16D" w14:textId="77777777" w:rsidR="00C3560D" w:rsidRDefault="00C3560D" w:rsidP="00EB0980">
      <w:pPr>
        <w:pStyle w:val="ListParagraph"/>
        <w:spacing w:after="0"/>
        <w:ind w:left="360"/>
        <w:rPr>
          <w:sz w:val="24"/>
          <w:szCs w:val="24"/>
        </w:rPr>
      </w:pPr>
    </w:p>
    <w:p w14:paraId="000DD583" w14:textId="35BB6713" w:rsidR="00C3560D" w:rsidRDefault="00C3560D">
      <w:pPr>
        <w:pStyle w:val="ListParagraph"/>
        <w:numPr>
          <w:ilvl w:val="0"/>
          <w:numId w:val="1"/>
        </w:numPr>
        <w:spacing w:after="0"/>
        <w:ind w:left="567" w:hanging="567"/>
        <w:rPr>
          <w:sz w:val="24"/>
          <w:szCs w:val="24"/>
        </w:rPr>
      </w:pPr>
      <w:r w:rsidRPr="543832D4">
        <w:rPr>
          <w:sz w:val="24"/>
          <w:szCs w:val="24"/>
        </w:rPr>
        <w:t xml:space="preserve">The RIS considers two options: to sign or not to sign the proposed </w:t>
      </w:r>
      <w:r w:rsidR="00421A8C">
        <w:rPr>
          <w:sz w:val="24"/>
          <w:szCs w:val="24"/>
        </w:rPr>
        <w:t>AI</w:t>
      </w:r>
      <w:r w:rsidR="00217C26">
        <w:rPr>
          <w:sz w:val="24"/>
          <w:szCs w:val="24"/>
        </w:rPr>
        <w:t xml:space="preserve"> ECTA</w:t>
      </w:r>
      <w:r w:rsidRPr="543832D4">
        <w:rPr>
          <w:sz w:val="24"/>
          <w:szCs w:val="24"/>
        </w:rPr>
        <w:t>.</w:t>
      </w:r>
    </w:p>
    <w:p w14:paraId="1993F713" w14:textId="77777777" w:rsidR="00EB0980" w:rsidRDefault="00EB0980" w:rsidP="00F03F07">
      <w:bookmarkStart w:id="16" w:name="_Hlk83379023"/>
    </w:p>
    <w:p w14:paraId="6FB74E44" w14:textId="252AB9B8" w:rsidR="00C3560D" w:rsidRPr="0011591D" w:rsidRDefault="00C3560D">
      <w:pPr>
        <w:pStyle w:val="Heading2"/>
        <w:spacing w:before="0"/>
      </w:pPr>
      <w:bookmarkStart w:id="17" w:name="_Toc99370649"/>
      <w:r>
        <w:t xml:space="preserve">Option 1: sign the proposed </w:t>
      </w:r>
      <w:r w:rsidR="00421A8C">
        <w:t>AI</w:t>
      </w:r>
      <w:r w:rsidR="00217C26">
        <w:t xml:space="preserve"> ECTA</w:t>
      </w:r>
      <w:bookmarkEnd w:id="17"/>
      <w:r>
        <w:t xml:space="preserve"> </w:t>
      </w:r>
    </w:p>
    <w:p w14:paraId="194594DB" w14:textId="77777777" w:rsidR="00C71099" w:rsidRDefault="00C71099">
      <w:pPr>
        <w:pStyle w:val="ListParagraph"/>
        <w:spacing w:after="0"/>
        <w:ind w:left="567"/>
        <w:rPr>
          <w:sz w:val="24"/>
          <w:szCs w:val="24"/>
        </w:rPr>
      </w:pPr>
    </w:p>
    <w:p w14:paraId="41D7493E" w14:textId="1E362E9C" w:rsidR="00BE2860" w:rsidRPr="00A5588B" w:rsidRDefault="003A5D05">
      <w:pPr>
        <w:spacing w:after="0"/>
        <w:rPr>
          <w:b/>
          <w:bCs/>
          <w:sz w:val="24"/>
          <w:szCs w:val="24"/>
        </w:rPr>
      </w:pPr>
      <w:r w:rsidRPr="00FF064C">
        <w:rPr>
          <w:b/>
          <w:bCs/>
          <w:i/>
          <w:iCs/>
          <w:sz w:val="24"/>
          <w:szCs w:val="24"/>
        </w:rPr>
        <w:t xml:space="preserve">Alignment with </w:t>
      </w:r>
      <w:r w:rsidRPr="002C3702">
        <w:rPr>
          <w:b/>
          <w:bCs/>
          <w:i/>
          <w:iCs/>
          <w:sz w:val="24"/>
          <w:szCs w:val="24"/>
        </w:rPr>
        <w:t xml:space="preserve">Australian Government </w:t>
      </w:r>
      <w:r w:rsidRPr="00EC65BE">
        <w:rPr>
          <w:b/>
          <w:bCs/>
          <w:i/>
          <w:iCs/>
          <w:sz w:val="24"/>
          <w:szCs w:val="24"/>
        </w:rPr>
        <w:t xml:space="preserve">objectives </w:t>
      </w:r>
    </w:p>
    <w:p w14:paraId="1FA6E99F" w14:textId="77777777" w:rsidR="003A5D05" w:rsidRPr="003A5D05" w:rsidRDefault="003A5D05">
      <w:pPr>
        <w:spacing w:after="0"/>
        <w:rPr>
          <w:sz w:val="24"/>
          <w:szCs w:val="24"/>
        </w:rPr>
      </w:pPr>
    </w:p>
    <w:p w14:paraId="227FDE87" w14:textId="73239132" w:rsidR="00D3248A" w:rsidRDefault="000E245B">
      <w:pPr>
        <w:pStyle w:val="ListParagraph"/>
        <w:numPr>
          <w:ilvl w:val="0"/>
          <w:numId w:val="1"/>
        </w:numPr>
        <w:spacing w:after="0"/>
        <w:ind w:left="567" w:hanging="567"/>
        <w:rPr>
          <w:sz w:val="24"/>
          <w:szCs w:val="24"/>
        </w:rPr>
      </w:pPr>
      <w:r>
        <w:rPr>
          <w:sz w:val="24"/>
          <w:szCs w:val="24"/>
        </w:rPr>
        <w:t xml:space="preserve">Signing the proposed </w:t>
      </w:r>
      <w:r w:rsidR="00421A8C">
        <w:rPr>
          <w:sz w:val="24"/>
          <w:szCs w:val="24"/>
        </w:rPr>
        <w:t>AI</w:t>
      </w:r>
      <w:r w:rsidR="00217C26">
        <w:rPr>
          <w:sz w:val="24"/>
          <w:szCs w:val="24"/>
        </w:rPr>
        <w:t xml:space="preserve"> ECTA</w:t>
      </w:r>
      <w:r>
        <w:rPr>
          <w:sz w:val="24"/>
          <w:szCs w:val="24"/>
        </w:rPr>
        <w:t xml:space="preserve"> will deliver on </w:t>
      </w:r>
      <w:r w:rsidR="00A80396">
        <w:rPr>
          <w:sz w:val="24"/>
          <w:szCs w:val="24"/>
        </w:rPr>
        <w:t>Prime Minister Morrison and Prime Minister Modi’s Joint Statement</w:t>
      </w:r>
      <w:r w:rsidR="00D9775C">
        <w:rPr>
          <w:sz w:val="24"/>
          <w:szCs w:val="24"/>
        </w:rPr>
        <w:t xml:space="preserve">, as the proposed </w:t>
      </w:r>
      <w:r w:rsidR="00B25CE5">
        <w:rPr>
          <w:sz w:val="24"/>
          <w:szCs w:val="24"/>
        </w:rPr>
        <w:t>interim agreement</w:t>
      </w:r>
      <w:r w:rsidR="00D9775C">
        <w:rPr>
          <w:sz w:val="24"/>
          <w:szCs w:val="24"/>
        </w:rPr>
        <w:t xml:space="preserve"> followed by a full CECA, will </w:t>
      </w:r>
      <w:r w:rsidR="00DE7C45">
        <w:rPr>
          <w:sz w:val="24"/>
          <w:szCs w:val="24"/>
        </w:rPr>
        <w:t xml:space="preserve">expand trade and investment flows between Australia and India. </w:t>
      </w:r>
      <w:r w:rsidR="002209A4">
        <w:rPr>
          <w:sz w:val="24"/>
          <w:szCs w:val="24"/>
        </w:rPr>
        <w:t xml:space="preserve">It will also deliver on Minister Tehan and Minister Goyal’s commitment to </w:t>
      </w:r>
      <w:r w:rsidR="00C071F2">
        <w:rPr>
          <w:sz w:val="24"/>
          <w:szCs w:val="24"/>
        </w:rPr>
        <w:t xml:space="preserve">conclude a CECA, including an interim agreement to liberalise and deepen bilateral trade in goods and services. </w:t>
      </w:r>
    </w:p>
    <w:p w14:paraId="67469294" w14:textId="77777777" w:rsidR="00DA2818" w:rsidRPr="00DA2818" w:rsidRDefault="00DA2818">
      <w:pPr>
        <w:spacing w:after="0"/>
        <w:rPr>
          <w:sz w:val="24"/>
          <w:szCs w:val="24"/>
        </w:rPr>
      </w:pPr>
    </w:p>
    <w:p w14:paraId="08E69243" w14:textId="368624B3" w:rsidR="003E7BB1" w:rsidRDefault="00D3248A">
      <w:pPr>
        <w:pStyle w:val="ListParagraph"/>
        <w:numPr>
          <w:ilvl w:val="0"/>
          <w:numId w:val="1"/>
        </w:numPr>
        <w:spacing w:after="0"/>
        <w:ind w:left="567" w:hanging="567"/>
        <w:rPr>
          <w:sz w:val="24"/>
          <w:szCs w:val="24"/>
        </w:rPr>
      </w:pPr>
      <w:r>
        <w:rPr>
          <w:sz w:val="24"/>
          <w:szCs w:val="24"/>
        </w:rPr>
        <w:t xml:space="preserve">The proposed </w:t>
      </w:r>
      <w:r w:rsidR="00421A8C">
        <w:rPr>
          <w:sz w:val="24"/>
          <w:szCs w:val="24"/>
        </w:rPr>
        <w:t>AI</w:t>
      </w:r>
      <w:r w:rsidR="00217C26">
        <w:rPr>
          <w:sz w:val="24"/>
          <w:szCs w:val="24"/>
        </w:rPr>
        <w:t xml:space="preserve"> ECTA</w:t>
      </w:r>
      <w:r w:rsidR="00DE7C45">
        <w:rPr>
          <w:sz w:val="24"/>
          <w:szCs w:val="24"/>
        </w:rPr>
        <w:t xml:space="preserve"> will contribute to </w:t>
      </w:r>
      <w:r w:rsidR="00C26A2F">
        <w:rPr>
          <w:sz w:val="24"/>
          <w:szCs w:val="24"/>
        </w:rPr>
        <w:t>strengthening the CSP between Australia and India,</w:t>
      </w:r>
      <w:r w:rsidR="00344DBE">
        <w:rPr>
          <w:sz w:val="24"/>
          <w:szCs w:val="24"/>
        </w:rPr>
        <w:t xml:space="preserve"> </w:t>
      </w:r>
      <w:r w:rsidR="005B5160">
        <w:rPr>
          <w:sz w:val="24"/>
          <w:szCs w:val="24"/>
        </w:rPr>
        <w:t>as</w:t>
      </w:r>
      <w:r w:rsidR="00344DBE">
        <w:rPr>
          <w:sz w:val="24"/>
          <w:szCs w:val="24"/>
        </w:rPr>
        <w:t xml:space="preserve"> Prime Minister Morrison and Prime Minister Modi agreed to in June 2020 and will support Australia in its implementation of the India </w:t>
      </w:r>
      <w:r w:rsidR="007122D4">
        <w:rPr>
          <w:sz w:val="24"/>
          <w:szCs w:val="24"/>
        </w:rPr>
        <w:t xml:space="preserve">Economic Strategy update, which the Australian Government agreed to </w:t>
      </w:r>
      <w:r w:rsidR="0034454A">
        <w:rPr>
          <w:sz w:val="24"/>
          <w:szCs w:val="24"/>
        </w:rPr>
        <w:t xml:space="preserve">in its response to the Joint Committee’s </w:t>
      </w:r>
      <w:r w:rsidR="00E57707">
        <w:rPr>
          <w:sz w:val="24"/>
          <w:szCs w:val="24"/>
        </w:rPr>
        <w:t xml:space="preserve">recommendations following release of the </w:t>
      </w:r>
      <w:r w:rsidR="00E57707">
        <w:rPr>
          <w:i/>
          <w:iCs/>
          <w:sz w:val="24"/>
          <w:szCs w:val="24"/>
        </w:rPr>
        <w:t>Pivot</w:t>
      </w:r>
      <w:r w:rsidR="00E57707">
        <w:rPr>
          <w:sz w:val="24"/>
          <w:szCs w:val="24"/>
        </w:rPr>
        <w:t xml:space="preserve"> report</w:t>
      </w:r>
      <w:r w:rsidR="005B5160">
        <w:rPr>
          <w:sz w:val="24"/>
          <w:szCs w:val="24"/>
        </w:rPr>
        <w:t>.</w:t>
      </w:r>
      <w:r w:rsidR="007C1A2B">
        <w:rPr>
          <w:rStyle w:val="FootnoteReference"/>
          <w:sz w:val="24"/>
          <w:szCs w:val="24"/>
        </w:rPr>
        <w:footnoteReference w:id="30"/>
      </w:r>
      <w:r w:rsidR="00E57707" w:rsidRPr="00C16EEC">
        <w:rPr>
          <w:sz w:val="24"/>
          <w:szCs w:val="24"/>
        </w:rPr>
        <w:t xml:space="preserve"> </w:t>
      </w:r>
      <w:r w:rsidR="00F04BB5">
        <w:rPr>
          <w:sz w:val="24"/>
          <w:szCs w:val="24"/>
        </w:rPr>
        <w:t xml:space="preserve"> </w:t>
      </w:r>
    </w:p>
    <w:p w14:paraId="56EFED78" w14:textId="77777777" w:rsidR="001A00FA" w:rsidRPr="00A5588B" w:rsidRDefault="001A00FA" w:rsidP="0001716D">
      <w:pPr>
        <w:pStyle w:val="ListParagraph"/>
        <w:spacing w:after="0"/>
        <w:rPr>
          <w:sz w:val="24"/>
          <w:szCs w:val="24"/>
        </w:rPr>
      </w:pPr>
    </w:p>
    <w:p w14:paraId="634486B0" w14:textId="0DDDEF27" w:rsidR="001A00FA" w:rsidRPr="00A5588B" w:rsidRDefault="001A00FA">
      <w:pPr>
        <w:pStyle w:val="ListParagraph"/>
        <w:numPr>
          <w:ilvl w:val="0"/>
          <w:numId w:val="1"/>
        </w:numPr>
        <w:spacing w:after="0"/>
        <w:ind w:left="567" w:hanging="567"/>
        <w:rPr>
          <w:sz w:val="24"/>
          <w:szCs w:val="24"/>
        </w:rPr>
      </w:pPr>
      <w:r>
        <w:rPr>
          <w:sz w:val="24"/>
          <w:szCs w:val="24"/>
        </w:rPr>
        <w:t xml:space="preserve">As outlined above, it will not be possible for the Australian Government to achieve these objectives, including expand trade and investment flows, as well as liberalise and deepen bilateral trade in goods with India without the proposed </w:t>
      </w:r>
      <w:r w:rsidR="00421A8C">
        <w:rPr>
          <w:sz w:val="24"/>
          <w:szCs w:val="24"/>
        </w:rPr>
        <w:t>AI</w:t>
      </w:r>
      <w:r w:rsidR="00217C26">
        <w:rPr>
          <w:sz w:val="24"/>
          <w:szCs w:val="24"/>
        </w:rPr>
        <w:t xml:space="preserve"> ECTA</w:t>
      </w:r>
      <w:r>
        <w:rPr>
          <w:sz w:val="24"/>
          <w:szCs w:val="24"/>
        </w:rPr>
        <w:t xml:space="preserve"> followed by a full CECA. This is because under the existing trade framework, India’s exceptionally high tariffs are a significant barrier for Australian products, and these barriers will not be removed in the absence of the proposed </w:t>
      </w:r>
      <w:r w:rsidR="00421A8C">
        <w:rPr>
          <w:sz w:val="24"/>
          <w:szCs w:val="24"/>
        </w:rPr>
        <w:t>AI</w:t>
      </w:r>
      <w:r w:rsidR="00217C26">
        <w:rPr>
          <w:sz w:val="24"/>
          <w:szCs w:val="24"/>
        </w:rPr>
        <w:t xml:space="preserve"> ECTA</w:t>
      </w:r>
      <w:r>
        <w:rPr>
          <w:sz w:val="24"/>
          <w:szCs w:val="24"/>
        </w:rPr>
        <w:t xml:space="preserve"> and a full CECA.  </w:t>
      </w:r>
      <w:r w:rsidR="002E4903">
        <w:rPr>
          <w:sz w:val="24"/>
          <w:szCs w:val="24"/>
        </w:rPr>
        <w:t xml:space="preserve">    </w:t>
      </w:r>
    </w:p>
    <w:p w14:paraId="77638DB0" w14:textId="7EB4F7BB" w:rsidR="003E7BB1" w:rsidRDefault="003E7BB1">
      <w:pPr>
        <w:spacing w:after="0"/>
        <w:rPr>
          <w:sz w:val="24"/>
          <w:szCs w:val="24"/>
        </w:rPr>
      </w:pPr>
    </w:p>
    <w:p w14:paraId="7F90C7E0" w14:textId="5254AF2B" w:rsidR="006E01A2" w:rsidRPr="006E01A2" w:rsidRDefault="006E01A2">
      <w:pPr>
        <w:spacing w:after="0"/>
        <w:rPr>
          <w:b/>
          <w:bCs/>
          <w:i/>
          <w:iCs/>
          <w:sz w:val="24"/>
          <w:szCs w:val="24"/>
        </w:rPr>
      </w:pPr>
      <w:r>
        <w:rPr>
          <w:b/>
          <w:bCs/>
          <w:i/>
          <w:iCs/>
          <w:sz w:val="24"/>
          <w:szCs w:val="24"/>
        </w:rPr>
        <w:t>Benefits for Australian exporters and suppliers</w:t>
      </w:r>
    </w:p>
    <w:p w14:paraId="224C328D" w14:textId="77777777" w:rsidR="006E01A2" w:rsidRDefault="006E01A2">
      <w:pPr>
        <w:pStyle w:val="ListParagraph"/>
        <w:spacing w:after="0"/>
        <w:ind w:left="567"/>
        <w:rPr>
          <w:sz w:val="24"/>
          <w:szCs w:val="24"/>
        </w:rPr>
      </w:pPr>
    </w:p>
    <w:p w14:paraId="66428960" w14:textId="162C762D" w:rsidR="00C3560D" w:rsidRDefault="000E60FA">
      <w:pPr>
        <w:pStyle w:val="ListParagraph"/>
        <w:numPr>
          <w:ilvl w:val="0"/>
          <w:numId w:val="1"/>
        </w:numPr>
        <w:spacing w:after="0"/>
        <w:ind w:left="567" w:hanging="567"/>
        <w:rPr>
          <w:sz w:val="24"/>
          <w:szCs w:val="24"/>
        </w:rPr>
      </w:pPr>
      <w:r>
        <w:rPr>
          <w:sz w:val="24"/>
          <w:szCs w:val="24"/>
        </w:rPr>
        <w:t>In addition to delivering on the Australian Government’s objectives, s</w:t>
      </w:r>
      <w:r w:rsidR="00C3560D" w:rsidRPr="543832D4">
        <w:rPr>
          <w:sz w:val="24"/>
          <w:szCs w:val="24"/>
        </w:rPr>
        <w:t xml:space="preserve">igning the proposed </w:t>
      </w:r>
      <w:r w:rsidR="00421A8C">
        <w:rPr>
          <w:sz w:val="24"/>
          <w:szCs w:val="24"/>
        </w:rPr>
        <w:t>AI</w:t>
      </w:r>
      <w:r w:rsidR="00217C26">
        <w:rPr>
          <w:sz w:val="24"/>
          <w:szCs w:val="24"/>
        </w:rPr>
        <w:t xml:space="preserve"> ECTA</w:t>
      </w:r>
      <w:r w:rsidR="00C3560D" w:rsidRPr="543832D4">
        <w:rPr>
          <w:sz w:val="24"/>
          <w:szCs w:val="24"/>
        </w:rPr>
        <w:t xml:space="preserve"> w</w:t>
      </w:r>
      <w:r w:rsidR="00A92EC2" w:rsidRPr="543832D4">
        <w:rPr>
          <w:sz w:val="24"/>
          <w:szCs w:val="24"/>
        </w:rPr>
        <w:t>ill</w:t>
      </w:r>
      <w:r w:rsidR="00C3560D" w:rsidRPr="543832D4">
        <w:rPr>
          <w:sz w:val="24"/>
          <w:szCs w:val="24"/>
        </w:rPr>
        <w:t xml:space="preserve"> provide first mover advantages for Australia, especially if</w:t>
      </w:r>
      <w:r w:rsidR="00F63454">
        <w:rPr>
          <w:sz w:val="24"/>
          <w:szCs w:val="24"/>
        </w:rPr>
        <w:t xml:space="preserve"> Australia was</w:t>
      </w:r>
      <w:r w:rsidR="00C3560D" w:rsidRPr="543832D4">
        <w:rPr>
          <w:sz w:val="24"/>
          <w:szCs w:val="24"/>
        </w:rPr>
        <w:t xml:space="preserve"> able to secure preferential market access before India agrees FTA</w:t>
      </w:r>
      <w:r w:rsidR="00783112">
        <w:rPr>
          <w:sz w:val="24"/>
          <w:szCs w:val="24"/>
        </w:rPr>
        <w:t>s</w:t>
      </w:r>
      <w:r w:rsidR="00C3560D" w:rsidRPr="543832D4">
        <w:rPr>
          <w:sz w:val="24"/>
          <w:szCs w:val="24"/>
        </w:rPr>
        <w:t xml:space="preserve"> with other trading partners. This w</w:t>
      </w:r>
      <w:r w:rsidR="00B55734" w:rsidRPr="543832D4">
        <w:rPr>
          <w:sz w:val="24"/>
          <w:szCs w:val="24"/>
        </w:rPr>
        <w:t>ill</w:t>
      </w:r>
      <w:r w:rsidR="00C3560D" w:rsidRPr="543832D4">
        <w:rPr>
          <w:sz w:val="24"/>
          <w:szCs w:val="24"/>
        </w:rPr>
        <w:t xml:space="preserve"> </w:t>
      </w:r>
      <w:r w:rsidR="009E3E65">
        <w:rPr>
          <w:sz w:val="24"/>
          <w:szCs w:val="24"/>
        </w:rPr>
        <w:t>provide Australian exporters and producers with expanded market opportunities</w:t>
      </w:r>
      <w:r w:rsidR="00556878">
        <w:rPr>
          <w:sz w:val="24"/>
          <w:szCs w:val="24"/>
        </w:rPr>
        <w:t xml:space="preserve">, which will </w:t>
      </w:r>
      <w:r w:rsidR="00C3560D" w:rsidRPr="543832D4">
        <w:rPr>
          <w:sz w:val="24"/>
          <w:szCs w:val="24"/>
        </w:rPr>
        <w:t>bring about several benefits</w:t>
      </w:r>
      <w:r w:rsidR="00556878">
        <w:rPr>
          <w:sz w:val="24"/>
          <w:szCs w:val="24"/>
        </w:rPr>
        <w:t>, including</w:t>
      </w:r>
      <w:r w:rsidR="00C3560D" w:rsidRPr="543832D4">
        <w:rPr>
          <w:sz w:val="24"/>
          <w:szCs w:val="24"/>
        </w:rPr>
        <w:t xml:space="preserve">:  </w:t>
      </w:r>
    </w:p>
    <w:p w14:paraId="219D1FB0" w14:textId="77777777" w:rsidR="00C3560D" w:rsidRDefault="00C3560D">
      <w:pPr>
        <w:pStyle w:val="ListParagraph"/>
        <w:spacing w:after="0"/>
        <w:ind w:left="567"/>
        <w:rPr>
          <w:sz w:val="24"/>
          <w:szCs w:val="24"/>
        </w:rPr>
      </w:pPr>
    </w:p>
    <w:p w14:paraId="2459259B" w14:textId="34E8298D" w:rsidR="00027BBE" w:rsidRDefault="00B50DF0">
      <w:pPr>
        <w:pStyle w:val="ListParagraph"/>
        <w:numPr>
          <w:ilvl w:val="0"/>
          <w:numId w:val="2"/>
        </w:numPr>
        <w:spacing w:after="0"/>
        <w:rPr>
          <w:sz w:val="24"/>
          <w:szCs w:val="24"/>
        </w:rPr>
      </w:pPr>
      <w:r>
        <w:rPr>
          <w:sz w:val="24"/>
          <w:szCs w:val="24"/>
        </w:rPr>
        <w:t>i</w:t>
      </w:r>
      <w:r w:rsidR="00C3560D">
        <w:rPr>
          <w:sz w:val="24"/>
          <w:szCs w:val="24"/>
        </w:rPr>
        <w:t xml:space="preserve">t </w:t>
      </w:r>
      <w:r w:rsidR="00B55734">
        <w:rPr>
          <w:sz w:val="24"/>
          <w:szCs w:val="24"/>
        </w:rPr>
        <w:t>will</w:t>
      </w:r>
      <w:r w:rsidR="00C3560D">
        <w:rPr>
          <w:sz w:val="24"/>
          <w:szCs w:val="24"/>
        </w:rPr>
        <w:t xml:space="preserve"> enable </w:t>
      </w:r>
      <w:r w:rsidR="00F63454">
        <w:rPr>
          <w:sz w:val="24"/>
          <w:szCs w:val="24"/>
        </w:rPr>
        <w:t>Australian</w:t>
      </w:r>
      <w:r w:rsidR="00C3560D">
        <w:rPr>
          <w:sz w:val="24"/>
          <w:szCs w:val="24"/>
        </w:rPr>
        <w:t xml:space="preserve"> suppliers to obtain guaranteed access to the enormous untapped Indian market. For example, this w</w:t>
      </w:r>
      <w:r>
        <w:rPr>
          <w:sz w:val="24"/>
          <w:szCs w:val="24"/>
        </w:rPr>
        <w:t>ill</w:t>
      </w:r>
      <w:r w:rsidR="00C3560D">
        <w:rPr>
          <w:sz w:val="24"/>
          <w:szCs w:val="24"/>
        </w:rPr>
        <w:t xml:space="preserve"> result in</w:t>
      </w:r>
      <w:r w:rsidR="00757D1E">
        <w:rPr>
          <w:sz w:val="24"/>
          <w:szCs w:val="24"/>
        </w:rPr>
        <w:t>:</w:t>
      </w:r>
      <w:r w:rsidR="00C3560D">
        <w:rPr>
          <w:sz w:val="24"/>
          <w:szCs w:val="24"/>
        </w:rPr>
        <w:t xml:space="preserve"> </w:t>
      </w:r>
    </w:p>
    <w:p w14:paraId="266D4425" w14:textId="77777777" w:rsidR="00602659" w:rsidRDefault="00602659">
      <w:pPr>
        <w:pStyle w:val="ListParagraph"/>
        <w:spacing w:after="0"/>
        <w:ind w:left="2007"/>
        <w:rPr>
          <w:sz w:val="24"/>
          <w:szCs w:val="24"/>
        </w:rPr>
      </w:pPr>
    </w:p>
    <w:p w14:paraId="345490A2" w14:textId="7BEF2ECD" w:rsidR="00F47618" w:rsidRPr="0062202D" w:rsidRDefault="00757D1E" w:rsidP="0062202D">
      <w:pPr>
        <w:pStyle w:val="ListParagraph"/>
        <w:numPr>
          <w:ilvl w:val="0"/>
          <w:numId w:val="16"/>
        </w:numPr>
        <w:spacing w:after="0"/>
        <w:rPr>
          <w:rFonts w:eastAsiaTheme="minorEastAsia"/>
          <w:sz w:val="24"/>
          <w:szCs w:val="24"/>
        </w:rPr>
      </w:pPr>
      <w:r>
        <w:rPr>
          <w:sz w:val="24"/>
          <w:szCs w:val="24"/>
        </w:rPr>
        <w:t xml:space="preserve">an </w:t>
      </w:r>
      <w:r w:rsidR="000131AD" w:rsidRPr="543832D4">
        <w:rPr>
          <w:sz w:val="24"/>
          <w:szCs w:val="24"/>
        </w:rPr>
        <w:t>elimination of tariffs</w:t>
      </w:r>
      <w:r w:rsidR="00C3560D" w:rsidRPr="543832D4">
        <w:rPr>
          <w:sz w:val="24"/>
          <w:szCs w:val="24"/>
        </w:rPr>
        <w:t xml:space="preserve"> at entry into force for </w:t>
      </w:r>
      <w:r w:rsidR="007A39EB">
        <w:rPr>
          <w:sz w:val="24"/>
          <w:szCs w:val="24"/>
        </w:rPr>
        <w:t>a wide range of min</w:t>
      </w:r>
      <w:r w:rsidR="00F47618">
        <w:rPr>
          <w:sz w:val="24"/>
          <w:szCs w:val="24"/>
        </w:rPr>
        <w:t>ing</w:t>
      </w:r>
      <w:r w:rsidR="007A39EB">
        <w:rPr>
          <w:sz w:val="24"/>
          <w:szCs w:val="24"/>
        </w:rPr>
        <w:t xml:space="preserve"> and resource</w:t>
      </w:r>
      <w:r w:rsidR="00F47618">
        <w:rPr>
          <w:sz w:val="24"/>
          <w:szCs w:val="24"/>
        </w:rPr>
        <w:t xml:space="preserve"> products</w:t>
      </w:r>
      <w:r w:rsidR="007A39EB">
        <w:rPr>
          <w:sz w:val="24"/>
          <w:szCs w:val="24"/>
        </w:rPr>
        <w:t xml:space="preserve"> (</w:t>
      </w:r>
      <w:r w:rsidR="00BC2483">
        <w:rPr>
          <w:sz w:val="24"/>
          <w:szCs w:val="24"/>
        </w:rPr>
        <w:t>alumina,</w:t>
      </w:r>
      <w:r w:rsidR="00421A8C">
        <w:rPr>
          <w:sz w:val="24"/>
          <w:szCs w:val="24"/>
        </w:rPr>
        <w:t xml:space="preserve"> </w:t>
      </w:r>
      <w:r w:rsidR="0053748C" w:rsidRPr="543832D4">
        <w:rPr>
          <w:sz w:val="24"/>
          <w:szCs w:val="24"/>
        </w:rPr>
        <w:t>coal</w:t>
      </w:r>
      <w:r w:rsidR="00B50DF0" w:rsidRPr="543832D4">
        <w:rPr>
          <w:sz w:val="24"/>
          <w:szCs w:val="24"/>
        </w:rPr>
        <w:t>,</w:t>
      </w:r>
      <w:r w:rsidR="543832D4" w:rsidRPr="543832D4">
        <w:rPr>
          <w:rFonts w:ascii="Calibri" w:eastAsia="Calibri" w:hAnsi="Calibri" w:cs="Calibri"/>
          <w:sz w:val="24"/>
          <w:szCs w:val="24"/>
        </w:rPr>
        <w:t xml:space="preserve"> </w:t>
      </w:r>
      <w:r w:rsidR="004844AD" w:rsidRPr="543832D4">
        <w:rPr>
          <w:rFonts w:ascii="Calibri" w:eastAsia="Calibri" w:hAnsi="Calibri" w:cs="Calibri"/>
          <w:sz w:val="24"/>
          <w:szCs w:val="24"/>
        </w:rPr>
        <w:t>coke and semi-coke of coal,</w:t>
      </w:r>
      <w:r w:rsidR="004844AD">
        <w:rPr>
          <w:rFonts w:ascii="Calibri" w:eastAsia="Calibri" w:hAnsi="Calibri" w:cs="Calibri"/>
          <w:sz w:val="24"/>
          <w:szCs w:val="24"/>
        </w:rPr>
        <w:t xml:space="preserve"> </w:t>
      </w:r>
      <w:r w:rsidR="00301553">
        <w:rPr>
          <w:rFonts w:ascii="Calibri" w:eastAsia="Calibri" w:hAnsi="Calibri" w:cs="Calibri"/>
          <w:sz w:val="24"/>
          <w:szCs w:val="24"/>
        </w:rPr>
        <w:t>most</w:t>
      </w:r>
      <w:r w:rsidR="000F5776">
        <w:rPr>
          <w:rFonts w:ascii="Calibri" w:eastAsia="Calibri" w:hAnsi="Calibri" w:cs="Calibri"/>
          <w:sz w:val="24"/>
          <w:szCs w:val="24"/>
        </w:rPr>
        <w:t xml:space="preserve"> </w:t>
      </w:r>
      <w:r w:rsidR="543832D4" w:rsidRPr="543832D4">
        <w:rPr>
          <w:rFonts w:ascii="Calibri" w:eastAsia="Calibri" w:hAnsi="Calibri" w:cs="Calibri"/>
          <w:sz w:val="24"/>
          <w:szCs w:val="24"/>
        </w:rPr>
        <w:t xml:space="preserve">metallic ores such as </w:t>
      </w:r>
      <w:r w:rsidR="007A39EB">
        <w:rPr>
          <w:rFonts w:ascii="Calibri" w:eastAsia="Calibri" w:hAnsi="Calibri" w:cs="Calibri"/>
          <w:sz w:val="24"/>
          <w:szCs w:val="24"/>
        </w:rPr>
        <w:t xml:space="preserve">copper and </w:t>
      </w:r>
      <w:r w:rsidR="543832D4" w:rsidRPr="543832D4">
        <w:rPr>
          <w:rFonts w:ascii="Calibri" w:eastAsia="Calibri" w:hAnsi="Calibri" w:cs="Calibri"/>
          <w:sz w:val="24"/>
          <w:szCs w:val="24"/>
        </w:rPr>
        <w:t>manganese ores</w:t>
      </w:r>
      <w:r w:rsidR="00D62F45">
        <w:rPr>
          <w:rFonts w:ascii="Calibri" w:eastAsia="Calibri" w:hAnsi="Calibri" w:cs="Calibri"/>
          <w:sz w:val="24"/>
          <w:szCs w:val="24"/>
        </w:rPr>
        <w:t>,</w:t>
      </w:r>
      <w:r w:rsidR="543832D4" w:rsidRPr="543832D4">
        <w:rPr>
          <w:rFonts w:ascii="Calibri" w:eastAsia="Calibri" w:hAnsi="Calibri" w:cs="Calibri"/>
          <w:sz w:val="24"/>
          <w:szCs w:val="24"/>
        </w:rPr>
        <w:t xml:space="preserve"> titanium dioxide, certain non-ferrous metals</w:t>
      </w:r>
      <w:r w:rsidR="00F47618">
        <w:rPr>
          <w:rFonts w:ascii="Calibri" w:eastAsia="Calibri" w:hAnsi="Calibri" w:cs="Calibri"/>
          <w:sz w:val="24"/>
          <w:szCs w:val="24"/>
        </w:rPr>
        <w:t>)</w:t>
      </w:r>
      <w:r w:rsidR="543832D4" w:rsidRPr="543832D4">
        <w:rPr>
          <w:rFonts w:ascii="Calibri" w:eastAsia="Calibri" w:hAnsi="Calibri" w:cs="Calibri"/>
          <w:sz w:val="24"/>
          <w:szCs w:val="24"/>
        </w:rPr>
        <w:t>,</w:t>
      </w:r>
      <w:r w:rsidR="007A39EB">
        <w:rPr>
          <w:rFonts w:ascii="Calibri" w:eastAsia="Calibri" w:hAnsi="Calibri" w:cs="Calibri"/>
          <w:sz w:val="24"/>
          <w:szCs w:val="24"/>
        </w:rPr>
        <w:t xml:space="preserve"> </w:t>
      </w:r>
      <w:r w:rsidR="00F47618">
        <w:rPr>
          <w:rFonts w:ascii="Calibri" w:eastAsia="Calibri" w:hAnsi="Calibri" w:cs="Calibri"/>
          <w:sz w:val="24"/>
          <w:szCs w:val="24"/>
        </w:rPr>
        <w:t xml:space="preserve">as well as agricultural products, such as </w:t>
      </w:r>
      <w:r w:rsidR="007A39EB">
        <w:rPr>
          <w:sz w:val="24"/>
          <w:szCs w:val="24"/>
        </w:rPr>
        <w:t>wool</w:t>
      </w:r>
      <w:r w:rsidR="00F47618">
        <w:rPr>
          <w:sz w:val="24"/>
          <w:szCs w:val="24"/>
        </w:rPr>
        <w:t xml:space="preserve">, </w:t>
      </w:r>
      <w:r w:rsidR="007A39EB" w:rsidRPr="543832D4">
        <w:rPr>
          <w:sz w:val="24"/>
          <w:szCs w:val="24"/>
        </w:rPr>
        <w:t xml:space="preserve">sheep meat, </w:t>
      </w:r>
      <w:r w:rsidR="00F47618">
        <w:rPr>
          <w:sz w:val="24"/>
          <w:szCs w:val="24"/>
        </w:rPr>
        <w:t xml:space="preserve">and </w:t>
      </w:r>
      <w:r w:rsidR="00266295">
        <w:rPr>
          <w:sz w:val="24"/>
          <w:szCs w:val="24"/>
        </w:rPr>
        <w:t xml:space="preserve">fresh </w:t>
      </w:r>
      <w:r w:rsidR="007A39EB" w:rsidRPr="543832D4">
        <w:rPr>
          <w:sz w:val="24"/>
          <w:szCs w:val="24"/>
        </w:rPr>
        <w:t>rock lobsters</w:t>
      </w:r>
    </w:p>
    <w:p w14:paraId="7AADE598" w14:textId="0084D063" w:rsidR="007A39EB" w:rsidRDefault="00F47618">
      <w:pPr>
        <w:pStyle w:val="ListParagraph"/>
        <w:numPr>
          <w:ilvl w:val="0"/>
          <w:numId w:val="16"/>
        </w:numPr>
        <w:spacing w:after="0"/>
        <w:rPr>
          <w:rFonts w:eastAsiaTheme="minorEastAsia"/>
          <w:sz w:val="24"/>
          <w:szCs w:val="24"/>
        </w:rPr>
      </w:pPr>
      <w:r>
        <w:rPr>
          <w:rFonts w:ascii="Calibri" w:eastAsia="Calibri" w:hAnsi="Calibri" w:cs="Calibri"/>
          <w:sz w:val="24"/>
          <w:szCs w:val="24"/>
        </w:rPr>
        <w:t>tariffs bound at zero on</w:t>
      </w:r>
      <w:r w:rsidR="007A39EB">
        <w:rPr>
          <w:rFonts w:ascii="Calibri" w:eastAsia="Calibri" w:hAnsi="Calibri" w:cs="Calibri"/>
          <w:sz w:val="24"/>
          <w:szCs w:val="24"/>
        </w:rPr>
        <w:t xml:space="preserve"> entry into force for </w:t>
      </w:r>
      <w:r w:rsidR="00266295">
        <w:rPr>
          <w:rFonts w:ascii="Calibri" w:eastAsia="Calibri" w:hAnsi="Calibri" w:cs="Calibri"/>
          <w:sz w:val="24"/>
          <w:szCs w:val="24"/>
        </w:rPr>
        <w:t xml:space="preserve">barley, </w:t>
      </w:r>
      <w:r w:rsidR="007A39EB">
        <w:rPr>
          <w:rFonts w:ascii="Calibri" w:eastAsia="Calibri" w:hAnsi="Calibri" w:cs="Calibri"/>
          <w:sz w:val="24"/>
          <w:szCs w:val="24"/>
        </w:rPr>
        <w:t>oats, hides and skins</w:t>
      </w:r>
      <w:proofErr w:type="gramStart"/>
      <w:r w:rsidR="00D62F45">
        <w:rPr>
          <w:rFonts w:ascii="Calibri" w:eastAsia="Calibri" w:hAnsi="Calibri" w:cs="Calibri"/>
          <w:sz w:val="24"/>
          <w:szCs w:val="24"/>
        </w:rPr>
        <w:t>,</w:t>
      </w:r>
      <w:r>
        <w:rPr>
          <w:rFonts w:ascii="Calibri" w:eastAsia="Calibri" w:hAnsi="Calibri" w:cs="Calibri"/>
          <w:sz w:val="24"/>
          <w:szCs w:val="24"/>
        </w:rPr>
        <w:t xml:space="preserve"> </w:t>
      </w:r>
      <w:r w:rsidR="00D62F45">
        <w:rPr>
          <w:rFonts w:ascii="Calibri" w:eastAsia="Calibri" w:hAnsi="Calibri" w:cs="Calibri"/>
          <w:sz w:val="24"/>
          <w:szCs w:val="24"/>
        </w:rPr>
        <w:t>,</w:t>
      </w:r>
      <w:proofErr w:type="gramEnd"/>
      <w:r w:rsidR="00D62F45">
        <w:rPr>
          <w:rFonts w:ascii="Calibri" w:eastAsia="Calibri" w:hAnsi="Calibri" w:cs="Calibri"/>
          <w:sz w:val="24"/>
          <w:szCs w:val="24"/>
        </w:rPr>
        <w:t xml:space="preserve"> and </w:t>
      </w:r>
      <w:r w:rsidR="00064C02">
        <w:rPr>
          <w:rFonts w:ascii="Calibri" w:eastAsia="Calibri" w:hAnsi="Calibri" w:cs="Calibri"/>
          <w:sz w:val="24"/>
          <w:szCs w:val="24"/>
        </w:rPr>
        <w:t>liquified natural gas (</w:t>
      </w:r>
      <w:r w:rsidR="00D62F45">
        <w:rPr>
          <w:rFonts w:ascii="Calibri" w:eastAsia="Calibri" w:hAnsi="Calibri" w:cs="Calibri"/>
          <w:sz w:val="24"/>
          <w:szCs w:val="24"/>
        </w:rPr>
        <w:t>LNG</w:t>
      </w:r>
      <w:r w:rsidR="00064C02">
        <w:rPr>
          <w:rFonts w:ascii="Calibri" w:eastAsia="Calibri" w:hAnsi="Calibri" w:cs="Calibri"/>
          <w:sz w:val="24"/>
          <w:szCs w:val="24"/>
        </w:rPr>
        <w:t>)</w:t>
      </w:r>
    </w:p>
    <w:p w14:paraId="781A4450" w14:textId="77777777" w:rsidR="0053748C" w:rsidRPr="0053748C" w:rsidRDefault="0053748C" w:rsidP="0053748C">
      <w:pPr>
        <w:pStyle w:val="ListParagraph"/>
        <w:spacing w:after="0"/>
        <w:ind w:left="2007"/>
        <w:rPr>
          <w:sz w:val="24"/>
          <w:szCs w:val="24"/>
        </w:rPr>
      </w:pPr>
    </w:p>
    <w:p w14:paraId="5408A23B" w14:textId="34EC2103" w:rsidR="00027BBE" w:rsidRDefault="00757D1E">
      <w:pPr>
        <w:pStyle w:val="ListParagraph"/>
        <w:numPr>
          <w:ilvl w:val="0"/>
          <w:numId w:val="16"/>
        </w:numPr>
        <w:spacing w:after="0"/>
        <w:rPr>
          <w:sz w:val="24"/>
          <w:szCs w:val="24"/>
        </w:rPr>
      </w:pPr>
      <w:r>
        <w:rPr>
          <w:sz w:val="24"/>
          <w:szCs w:val="24"/>
        </w:rPr>
        <w:t xml:space="preserve">an </w:t>
      </w:r>
      <w:r w:rsidR="005711AC" w:rsidRPr="543832D4">
        <w:rPr>
          <w:sz w:val="24"/>
          <w:szCs w:val="24"/>
        </w:rPr>
        <w:t xml:space="preserve">elimination </w:t>
      </w:r>
      <w:r w:rsidR="000131AD" w:rsidRPr="543832D4">
        <w:rPr>
          <w:sz w:val="24"/>
          <w:szCs w:val="24"/>
        </w:rPr>
        <w:t xml:space="preserve">of tariffs </w:t>
      </w:r>
      <w:r w:rsidR="005711AC" w:rsidRPr="543832D4">
        <w:rPr>
          <w:sz w:val="24"/>
          <w:szCs w:val="24"/>
        </w:rPr>
        <w:t xml:space="preserve">over </w:t>
      </w:r>
      <w:r w:rsidR="00E23A79" w:rsidRPr="543832D4">
        <w:rPr>
          <w:sz w:val="24"/>
          <w:szCs w:val="24"/>
        </w:rPr>
        <w:t xml:space="preserve">3, 5, 7 or 10 years for </w:t>
      </w:r>
      <w:r w:rsidR="00F47618">
        <w:rPr>
          <w:sz w:val="24"/>
          <w:szCs w:val="24"/>
        </w:rPr>
        <w:t xml:space="preserve">crude petroleum, </w:t>
      </w:r>
      <w:r w:rsidR="00266295">
        <w:rPr>
          <w:sz w:val="24"/>
          <w:szCs w:val="24"/>
        </w:rPr>
        <w:t>certain waste and scraps,</w:t>
      </w:r>
      <w:r w:rsidR="008B5A5C">
        <w:rPr>
          <w:sz w:val="24"/>
          <w:szCs w:val="24"/>
        </w:rPr>
        <w:t xml:space="preserve"> </w:t>
      </w:r>
      <w:r w:rsidR="00F47618">
        <w:rPr>
          <w:sz w:val="24"/>
          <w:szCs w:val="24"/>
        </w:rPr>
        <w:t>petroleum oils,</w:t>
      </w:r>
      <w:r w:rsidR="00E23A79" w:rsidRPr="543832D4">
        <w:rPr>
          <w:sz w:val="24"/>
          <w:szCs w:val="24"/>
        </w:rPr>
        <w:t xml:space="preserve"> </w:t>
      </w:r>
      <w:r w:rsidR="00283A9D">
        <w:rPr>
          <w:sz w:val="24"/>
          <w:szCs w:val="24"/>
        </w:rPr>
        <w:t xml:space="preserve">certain medical devices, </w:t>
      </w:r>
      <w:r w:rsidR="00E23A79" w:rsidRPr="543832D4">
        <w:rPr>
          <w:sz w:val="24"/>
          <w:szCs w:val="24"/>
        </w:rPr>
        <w:t xml:space="preserve">certain </w:t>
      </w:r>
      <w:proofErr w:type="gramStart"/>
      <w:r w:rsidR="00E23A79" w:rsidRPr="543832D4">
        <w:rPr>
          <w:sz w:val="24"/>
          <w:szCs w:val="24"/>
        </w:rPr>
        <w:t>fruit</w:t>
      </w:r>
      <w:proofErr w:type="gramEnd"/>
      <w:r w:rsidR="00E23A79" w:rsidRPr="543832D4">
        <w:rPr>
          <w:sz w:val="24"/>
          <w:szCs w:val="24"/>
        </w:rPr>
        <w:t xml:space="preserve"> and vegetables</w:t>
      </w:r>
      <w:r w:rsidR="00421A8C">
        <w:rPr>
          <w:sz w:val="24"/>
          <w:szCs w:val="24"/>
        </w:rPr>
        <w:t>,</w:t>
      </w:r>
      <w:r w:rsidR="00283A9D">
        <w:rPr>
          <w:sz w:val="24"/>
          <w:szCs w:val="24"/>
        </w:rPr>
        <w:t xml:space="preserve"> such as cherries, b</w:t>
      </w:r>
      <w:r w:rsidR="00421A8C">
        <w:rPr>
          <w:sz w:val="24"/>
          <w:szCs w:val="24"/>
        </w:rPr>
        <w:t>e</w:t>
      </w:r>
      <w:r w:rsidR="00283A9D">
        <w:rPr>
          <w:sz w:val="24"/>
          <w:szCs w:val="24"/>
        </w:rPr>
        <w:t xml:space="preserve">rries and </w:t>
      </w:r>
      <w:r w:rsidR="00D07268">
        <w:rPr>
          <w:sz w:val="24"/>
          <w:szCs w:val="24"/>
        </w:rPr>
        <w:t>avocados</w:t>
      </w:r>
      <w:r w:rsidR="00E23A79" w:rsidRPr="543832D4">
        <w:rPr>
          <w:sz w:val="24"/>
          <w:szCs w:val="24"/>
        </w:rPr>
        <w:t xml:space="preserve">, certain nuts, </w:t>
      </w:r>
      <w:r w:rsidR="00D07268">
        <w:rPr>
          <w:sz w:val="24"/>
          <w:szCs w:val="24"/>
        </w:rPr>
        <w:t>sandalwood</w:t>
      </w:r>
      <w:r w:rsidR="00283A9D">
        <w:rPr>
          <w:sz w:val="24"/>
          <w:szCs w:val="24"/>
        </w:rPr>
        <w:t xml:space="preserve"> chips and dust</w:t>
      </w:r>
      <w:r w:rsidR="00D07268">
        <w:rPr>
          <w:sz w:val="24"/>
          <w:szCs w:val="24"/>
        </w:rPr>
        <w:t xml:space="preserve">, </w:t>
      </w:r>
      <w:r w:rsidR="00F47618">
        <w:rPr>
          <w:sz w:val="24"/>
          <w:szCs w:val="24"/>
        </w:rPr>
        <w:t>certain oilseeds, seafood</w:t>
      </w:r>
      <w:r w:rsidR="00E23A79" w:rsidRPr="543832D4">
        <w:rPr>
          <w:sz w:val="24"/>
          <w:szCs w:val="24"/>
        </w:rPr>
        <w:t>,</w:t>
      </w:r>
      <w:r w:rsidR="004844AD">
        <w:rPr>
          <w:sz w:val="24"/>
          <w:szCs w:val="24"/>
        </w:rPr>
        <w:t xml:space="preserve"> </w:t>
      </w:r>
      <w:r w:rsidR="00E23A79" w:rsidRPr="543832D4">
        <w:rPr>
          <w:sz w:val="24"/>
          <w:szCs w:val="24"/>
        </w:rPr>
        <w:t>food preparation</w:t>
      </w:r>
      <w:r w:rsidR="004844AD">
        <w:rPr>
          <w:sz w:val="24"/>
          <w:szCs w:val="24"/>
        </w:rPr>
        <w:t>s</w:t>
      </w:r>
      <w:r w:rsidR="00D07268">
        <w:rPr>
          <w:sz w:val="24"/>
          <w:szCs w:val="24"/>
        </w:rPr>
        <w:t>, certain wood and paper products</w:t>
      </w:r>
      <w:r w:rsidR="00F47618">
        <w:rPr>
          <w:sz w:val="24"/>
          <w:szCs w:val="24"/>
        </w:rPr>
        <w:t xml:space="preserve"> and pharmaceutical products</w:t>
      </w:r>
    </w:p>
    <w:p w14:paraId="53A30427" w14:textId="77777777" w:rsidR="007A39EB" w:rsidRPr="00010B29" w:rsidRDefault="007A39EB" w:rsidP="00010B29">
      <w:pPr>
        <w:pStyle w:val="ListParagraph"/>
        <w:rPr>
          <w:sz w:val="24"/>
          <w:szCs w:val="24"/>
        </w:rPr>
      </w:pPr>
    </w:p>
    <w:p w14:paraId="6055B8E5" w14:textId="423026B6" w:rsidR="007A39EB" w:rsidRDefault="007A39EB">
      <w:pPr>
        <w:pStyle w:val="ListParagraph"/>
        <w:numPr>
          <w:ilvl w:val="0"/>
          <w:numId w:val="16"/>
        </w:numPr>
        <w:spacing w:after="0"/>
        <w:rPr>
          <w:sz w:val="24"/>
          <w:szCs w:val="24"/>
        </w:rPr>
      </w:pPr>
      <w:r>
        <w:rPr>
          <w:sz w:val="24"/>
          <w:szCs w:val="24"/>
        </w:rPr>
        <w:t>preferential tariff</w:t>
      </w:r>
      <w:r w:rsidR="00254091">
        <w:rPr>
          <w:sz w:val="24"/>
          <w:szCs w:val="24"/>
        </w:rPr>
        <w:t xml:space="preserve"> reduction</w:t>
      </w:r>
      <w:r>
        <w:rPr>
          <w:sz w:val="24"/>
          <w:szCs w:val="24"/>
        </w:rPr>
        <w:t>s for wine and certain fruit</w:t>
      </w:r>
      <w:r w:rsidR="008C5DEC">
        <w:rPr>
          <w:sz w:val="24"/>
          <w:szCs w:val="24"/>
        </w:rPr>
        <w:t xml:space="preserve"> such as apricots and strawberries</w:t>
      </w:r>
      <w:r>
        <w:rPr>
          <w:sz w:val="24"/>
          <w:szCs w:val="24"/>
        </w:rPr>
        <w:t>, and</w:t>
      </w:r>
    </w:p>
    <w:p w14:paraId="4867FBF2" w14:textId="77777777" w:rsidR="00602659" w:rsidRDefault="00602659">
      <w:pPr>
        <w:pStyle w:val="ListParagraph"/>
        <w:spacing w:after="0"/>
        <w:ind w:left="2007"/>
        <w:rPr>
          <w:sz w:val="24"/>
          <w:szCs w:val="24"/>
        </w:rPr>
      </w:pPr>
    </w:p>
    <w:p w14:paraId="6A6D96F1" w14:textId="212375AB" w:rsidR="009D7A74" w:rsidRDefault="00421A8C">
      <w:pPr>
        <w:pStyle w:val="ListParagraph"/>
        <w:numPr>
          <w:ilvl w:val="0"/>
          <w:numId w:val="16"/>
        </w:numPr>
        <w:spacing w:after="0"/>
        <w:rPr>
          <w:sz w:val="24"/>
          <w:szCs w:val="24"/>
        </w:rPr>
      </w:pPr>
      <w:r>
        <w:rPr>
          <w:sz w:val="24"/>
          <w:szCs w:val="24"/>
        </w:rPr>
        <w:t xml:space="preserve">duty-free quota for cotton and </w:t>
      </w:r>
      <w:r w:rsidR="004844AD">
        <w:rPr>
          <w:sz w:val="24"/>
          <w:szCs w:val="24"/>
        </w:rPr>
        <w:t xml:space="preserve">preferential </w:t>
      </w:r>
      <w:r w:rsidR="009D7A74" w:rsidRPr="543832D4">
        <w:rPr>
          <w:sz w:val="24"/>
          <w:szCs w:val="24"/>
        </w:rPr>
        <w:t xml:space="preserve">tariffs in-quota for </w:t>
      </w:r>
      <w:r w:rsidR="000F69BD">
        <w:rPr>
          <w:sz w:val="24"/>
          <w:szCs w:val="24"/>
        </w:rPr>
        <w:t xml:space="preserve">lentils, </w:t>
      </w:r>
      <w:r w:rsidR="009D7A74" w:rsidRPr="543832D4">
        <w:rPr>
          <w:sz w:val="24"/>
          <w:szCs w:val="24"/>
        </w:rPr>
        <w:t xml:space="preserve">almonds, oranges, </w:t>
      </w:r>
      <w:proofErr w:type="gramStart"/>
      <w:r w:rsidR="009D7A74" w:rsidRPr="543832D4">
        <w:rPr>
          <w:sz w:val="24"/>
          <w:szCs w:val="24"/>
        </w:rPr>
        <w:t>mandarins</w:t>
      </w:r>
      <w:proofErr w:type="gramEnd"/>
      <w:r w:rsidR="009D7A74" w:rsidRPr="543832D4">
        <w:rPr>
          <w:sz w:val="24"/>
          <w:szCs w:val="24"/>
        </w:rPr>
        <w:t xml:space="preserve"> and pears</w:t>
      </w:r>
      <w:r w:rsidR="007A39EB">
        <w:rPr>
          <w:sz w:val="24"/>
          <w:szCs w:val="24"/>
        </w:rPr>
        <w:t>.</w:t>
      </w:r>
      <w:r w:rsidR="00B50DF0" w:rsidRPr="543832D4">
        <w:rPr>
          <w:sz w:val="24"/>
          <w:szCs w:val="24"/>
        </w:rPr>
        <w:t xml:space="preserve"> </w:t>
      </w:r>
    </w:p>
    <w:p w14:paraId="609A4E60" w14:textId="77777777" w:rsidR="009D7A74" w:rsidRDefault="009D7A74">
      <w:pPr>
        <w:spacing w:after="0"/>
        <w:ind w:left="1287"/>
        <w:rPr>
          <w:sz w:val="24"/>
          <w:szCs w:val="24"/>
        </w:rPr>
      </w:pPr>
    </w:p>
    <w:p w14:paraId="23D5676D" w14:textId="3A0EBAC1" w:rsidR="00C3560D" w:rsidRPr="00027BBE" w:rsidRDefault="00C3560D">
      <w:pPr>
        <w:spacing w:after="0"/>
        <w:ind w:left="1287"/>
        <w:rPr>
          <w:sz w:val="24"/>
          <w:szCs w:val="24"/>
        </w:rPr>
      </w:pPr>
      <w:r w:rsidRPr="00027BBE">
        <w:rPr>
          <w:sz w:val="24"/>
          <w:szCs w:val="24"/>
        </w:rPr>
        <w:t>This w</w:t>
      </w:r>
      <w:r w:rsidR="00735FF1">
        <w:rPr>
          <w:sz w:val="24"/>
          <w:szCs w:val="24"/>
        </w:rPr>
        <w:t>ill</w:t>
      </w:r>
      <w:r w:rsidRPr="00027BBE">
        <w:rPr>
          <w:sz w:val="24"/>
          <w:szCs w:val="24"/>
        </w:rPr>
        <w:t xml:space="preserve"> help to broaden and diversify</w:t>
      </w:r>
      <w:r w:rsidR="00B46CE4">
        <w:rPr>
          <w:sz w:val="24"/>
          <w:szCs w:val="24"/>
        </w:rPr>
        <w:t xml:space="preserve"> Australia’s</w:t>
      </w:r>
      <w:r w:rsidRPr="00027BBE">
        <w:rPr>
          <w:sz w:val="24"/>
          <w:szCs w:val="24"/>
        </w:rPr>
        <w:t xml:space="preserve"> export profile to India. </w:t>
      </w:r>
    </w:p>
    <w:p w14:paraId="4CED74D2" w14:textId="77777777" w:rsidR="00C3560D" w:rsidRDefault="00C3560D">
      <w:pPr>
        <w:pStyle w:val="ListParagraph"/>
        <w:spacing w:after="0"/>
        <w:ind w:left="927"/>
        <w:rPr>
          <w:sz w:val="24"/>
          <w:szCs w:val="24"/>
        </w:rPr>
      </w:pPr>
    </w:p>
    <w:p w14:paraId="4CA78D48" w14:textId="6865ED5C" w:rsidR="00C3560D" w:rsidRPr="00027BBE" w:rsidRDefault="00C3560D">
      <w:pPr>
        <w:pStyle w:val="ListParagraph"/>
        <w:numPr>
          <w:ilvl w:val="0"/>
          <w:numId w:val="2"/>
        </w:numPr>
        <w:spacing w:after="0"/>
        <w:rPr>
          <w:sz w:val="24"/>
          <w:szCs w:val="24"/>
        </w:rPr>
      </w:pPr>
      <w:r w:rsidRPr="00027BBE">
        <w:rPr>
          <w:sz w:val="24"/>
          <w:szCs w:val="24"/>
        </w:rPr>
        <w:t xml:space="preserve">It </w:t>
      </w:r>
      <w:r w:rsidR="00735FF1">
        <w:rPr>
          <w:sz w:val="24"/>
          <w:szCs w:val="24"/>
        </w:rPr>
        <w:t>will</w:t>
      </w:r>
      <w:r w:rsidRPr="00027BBE">
        <w:rPr>
          <w:sz w:val="24"/>
          <w:szCs w:val="24"/>
        </w:rPr>
        <w:t xml:space="preserve"> </w:t>
      </w:r>
      <w:r w:rsidR="00A77153">
        <w:rPr>
          <w:sz w:val="24"/>
          <w:szCs w:val="24"/>
        </w:rPr>
        <w:t>address</w:t>
      </w:r>
      <w:r w:rsidR="00A77153" w:rsidRPr="00027BBE">
        <w:rPr>
          <w:sz w:val="24"/>
          <w:szCs w:val="24"/>
        </w:rPr>
        <w:t xml:space="preserve"> </w:t>
      </w:r>
      <w:r w:rsidRPr="00027BBE">
        <w:rPr>
          <w:sz w:val="24"/>
          <w:szCs w:val="24"/>
        </w:rPr>
        <w:t xml:space="preserve">some of the current restrictions that are placed on the movement of professionals and their ability to invest in India and supply a service, which was an issue raised by </w:t>
      </w:r>
      <w:proofErr w:type="gramStart"/>
      <w:r w:rsidRPr="00027BBE">
        <w:rPr>
          <w:sz w:val="24"/>
          <w:szCs w:val="24"/>
        </w:rPr>
        <w:t>a number of</w:t>
      </w:r>
      <w:proofErr w:type="gramEnd"/>
      <w:r w:rsidRPr="00027BBE">
        <w:rPr>
          <w:sz w:val="24"/>
          <w:szCs w:val="24"/>
        </w:rPr>
        <w:t xml:space="preserve"> stakeholders during the consultation process. Please refer to the </w:t>
      </w:r>
      <w:r w:rsidR="00B46CE4">
        <w:rPr>
          <w:sz w:val="24"/>
          <w:szCs w:val="24"/>
        </w:rPr>
        <w:t>‘</w:t>
      </w:r>
      <w:r w:rsidRPr="00027BBE">
        <w:rPr>
          <w:sz w:val="24"/>
          <w:szCs w:val="24"/>
        </w:rPr>
        <w:t xml:space="preserve">Benefits and </w:t>
      </w:r>
      <w:r w:rsidR="00B46CE4">
        <w:rPr>
          <w:sz w:val="24"/>
          <w:szCs w:val="24"/>
        </w:rPr>
        <w:t>i</w:t>
      </w:r>
      <w:r w:rsidRPr="00027BBE">
        <w:rPr>
          <w:sz w:val="24"/>
          <w:szCs w:val="24"/>
        </w:rPr>
        <w:t xml:space="preserve">mpacts </w:t>
      </w:r>
      <w:r w:rsidR="00B46CE4">
        <w:rPr>
          <w:sz w:val="24"/>
          <w:szCs w:val="24"/>
        </w:rPr>
        <w:t>a</w:t>
      </w:r>
      <w:r w:rsidRPr="00027BBE">
        <w:rPr>
          <w:sz w:val="24"/>
          <w:szCs w:val="24"/>
        </w:rPr>
        <w:t>nalysis</w:t>
      </w:r>
      <w:r w:rsidR="00B46CE4">
        <w:rPr>
          <w:sz w:val="24"/>
          <w:szCs w:val="24"/>
        </w:rPr>
        <w:t>’</w:t>
      </w:r>
      <w:r w:rsidRPr="00027BBE">
        <w:rPr>
          <w:sz w:val="24"/>
          <w:szCs w:val="24"/>
        </w:rPr>
        <w:t xml:space="preserve"> </w:t>
      </w:r>
      <w:r w:rsidR="00B46CE4">
        <w:rPr>
          <w:sz w:val="24"/>
          <w:szCs w:val="24"/>
        </w:rPr>
        <w:t>s</w:t>
      </w:r>
      <w:r w:rsidRPr="00027BBE">
        <w:rPr>
          <w:sz w:val="24"/>
          <w:szCs w:val="24"/>
        </w:rPr>
        <w:t xml:space="preserve">ection and the </w:t>
      </w:r>
      <w:r w:rsidR="00B46CE4">
        <w:rPr>
          <w:sz w:val="24"/>
          <w:szCs w:val="24"/>
        </w:rPr>
        <w:t>‘</w:t>
      </w:r>
      <w:r w:rsidRPr="00027BBE">
        <w:rPr>
          <w:sz w:val="24"/>
          <w:szCs w:val="24"/>
        </w:rPr>
        <w:t>Consultation</w:t>
      </w:r>
      <w:r w:rsidR="00B46CE4">
        <w:rPr>
          <w:sz w:val="24"/>
          <w:szCs w:val="24"/>
        </w:rPr>
        <w:t>’</w:t>
      </w:r>
      <w:r w:rsidRPr="00027BBE">
        <w:rPr>
          <w:sz w:val="24"/>
          <w:szCs w:val="24"/>
        </w:rPr>
        <w:t xml:space="preserve"> </w:t>
      </w:r>
      <w:r w:rsidR="00B46CE4">
        <w:rPr>
          <w:sz w:val="24"/>
          <w:szCs w:val="24"/>
        </w:rPr>
        <w:t>s</w:t>
      </w:r>
      <w:r w:rsidRPr="00027BBE">
        <w:rPr>
          <w:sz w:val="24"/>
          <w:szCs w:val="24"/>
        </w:rPr>
        <w:t>ection for further details</w:t>
      </w:r>
      <w:r w:rsidR="00B50DF0">
        <w:rPr>
          <w:sz w:val="24"/>
          <w:szCs w:val="24"/>
        </w:rPr>
        <w:t>.</w:t>
      </w:r>
      <w:r w:rsidRPr="00027BBE">
        <w:rPr>
          <w:sz w:val="24"/>
          <w:szCs w:val="24"/>
        </w:rPr>
        <w:t xml:space="preserve"> </w:t>
      </w:r>
    </w:p>
    <w:p w14:paraId="52E3D9B3" w14:textId="77777777" w:rsidR="00C3560D" w:rsidRDefault="00C3560D">
      <w:pPr>
        <w:pStyle w:val="ListParagraph"/>
        <w:spacing w:after="0" w:line="254" w:lineRule="auto"/>
        <w:ind w:left="927"/>
        <w:rPr>
          <w:sz w:val="24"/>
          <w:szCs w:val="24"/>
        </w:rPr>
      </w:pPr>
    </w:p>
    <w:p w14:paraId="0A237A01" w14:textId="01C44CEB" w:rsidR="00C3560D" w:rsidRDefault="00C3560D">
      <w:pPr>
        <w:pStyle w:val="ListParagraph"/>
        <w:numPr>
          <w:ilvl w:val="0"/>
          <w:numId w:val="2"/>
        </w:numPr>
        <w:spacing w:after="0" w:line="254" w:lineRule="auto"/>
        <w:rPr>
          <w:sz w:val="24"/>
          <w:szCs w:val="24"/>
        </w:rPr>
      </w:pPr>
      <w:r>
        <w:rPr>
          <w:sz w:val="24"/>
          <w:szCs w:val="24"/>
        </w:rPr>
        <w:t>It</w:t>
      </w:r>
      <w:r w:rsidR="00735FF1">
        <w:rPr>
          <w:sz w:val="24"/>
          <w:szCs w:val="24"/>
        </w:rPr>
        <w:t xml:space="preserve"> will</w:t>
      </w:r>
      <w:r>
        <w:rPr>
          <w:sz w:val="24"/>
          <w:szCs w:val="24"/>
        </w:rPr>
        <w:t xml:space="preserve"> lower the price of </w:t>
      </w:r>
      <w:r w:rsidR="00405171">
        <w:rPr>
          <w:sz w:val="24"/>
          <w:szCs w:val="24"/>
        </w:rPr>
        <w:t xml:space="preserve">imported </w:t>
      </w:r>
      <w:r>
        <w:rPr>
          <w:sz w:val="24"/>
          <w:szCs w:val="24"/>
        </w:rPr>
        <w:t>products</w:t>
      </w:r>
      <w:r w:rsidR="00405171">
        <w:rPr>
          <w:sz w:val="24"/>
          <w:szCs w:val="24"/>
        </w:rPr>
        <w:t xml:space="preserve"> from India and potentially increase the variety of goods</w:t>
      </w:r>
      <w:r>
        <w:rPr>
          <w:sz w:val="24"/>
          <w:szCs w:val="24"/>
        </w:rPr>
        <w:t xml:space="preserve"> available to Australian consumers. </w:t>
      </w:r>
    </w:p>
    <w:p w14:paraId="0E0C20E7" w14:textId="77777777" w:rsidR="00C3560D" w:rsidRPr="00AA5410" w:rsidRDefault="00C3560D">
      <w:pPr>
        <w:pStyle w:val="ListParagraph"/>
        <w:spacing w:after="0"/>
        <w:ind w:left="927"/>
        <w:rPr>
          <w:sz w:val="24"/>
          <w:szCs w:val="24"/>
        </w:rPr>
      </w:pPr>
    </w:p>
    <w:p w14:paraId="0256FBAA" w14:textId="74CC22E7" w:rsidR="00C3560D" w:rsidRDefault="008E6336">
      <w:pPr>
        <w:pStyle w:val="ListParagraph"/>
        <w:numPr>
          <w:ilvl w:val="0"/>
          <w:numId w:val="1"/>
        </w:numPr>
        <w:spacing w:after="0"/>
        <w:ind w:left="567" w:hanging="567"/>
        <w:rPr>
          <w:sz w:val="24"/>
          <w:szCs w:val="24"/>
        </w:rPr>
      </w:pPr>
      <w:r w:rsidRPr="543832D4">
        <w:rPr>
          <w:sz w:val="24"/>
          <w:szCs w:val="24"/>
        </w:rPr>
        <w:t>In the context of trade in services, t</w:t>
      </w:r>
      <w:r w:rsidR="00C3560D" w:rsidRPr="543832D4">
        <w:rPr>
          <w:sz w:val="24"/>
          <w:szCs w:val="24"/>
        </w:rPr>
        <w:t>he Most</w:t>
      </w:r>
      <w:r w:rsidR="000A2A01">
        <w:rPr>
          <w:sz w:val="24"/>
          <w:szCs w:val="24"/>
        </w:rPr>
        <w:t>-</w:t>
      </w:r>
      <w:r w:rsidR="00C3560D" w:rsidRPr="543832D4">
        <w:rPr>
          <w:sz w:val="24"/>
          <w:szCs w:val="24"/>
        </w:rPr>
        <w:t>Favoured</w:t>
      </w:r>
      <w:r w:rsidR="000A2A01">
        <w:rPr>
          <w:sz w:val="24"/>
          <w:szCs w:val="24"/>
        </w:rPr>
        <w:t>-</w:t>
      </w:r>
      <w:r w:rsidR="00C3560D" w:rsidRPr="543832D4">
        <w:rPr>
          <w:sz w:val="24"/>
          <w:szCs w:val="24"/>
        </w:rPr>
        <w:t>Nation (MFN) provision</w:t>
      </w:r>
      <w:r w:rsidRPr="543832D4">
        <w:rPr>
          <w:sz w:val="24"/>
          <w:szCs w:val="24"/>
        </w:rPr>
        <w:t>s</w:t>
      </w:r>
      <w:r w:rsidR="00C3560D" w:rsidRPr="543832D4">
        <w:rPr>
          <w:sz w:val="24"/>
          <w:szCs w:val="24"/>
        </w:rPr>
        <w:t xml:space="preserve"> in the proposed </w:t>
      </w:r>
      <w:r w:rsidR="00421A8C">
        <w:rPr>
          <w:sz w:val="24"/>
          <w:szCs w:val="24"/>
        </w:rPr>
        <w:t>AI</w:t>
      </w:r>
      <w:r w:rsidR="00217C26">
        <w:rPr>
          <w:sz w:val="24"/>
          <w:szCs w:val="24"/>
        </w:rPr>
        <w:t xml:space="preserve"> ECTA</w:t>
      </w:r>
      <w:r w:rsidR="00C3560D" w:rsidRPr="543832D4">
        <w:rPr>
          <w:sz w:val="24"/>
          <w:szCs w:val="24"/>
        </w:rPr>
        <w:t xml:space="preserve"> w</w:t>
      </w:r>
      <w:r w:rsidR="00B30AC2" w:rsidRPr="543832D4">
        <w:rPr>
          <w:sz w:val="24"/>
          <w:szCs w:val="24"/>
        </w:rPr>
        <w:t>ill</w:t>
      </w:r>
      <w:r w:rsidR="00C3560D" w:rsidRPr="543832D4">
        <w:rPr>
          <w:sz w:val="24"/>
          <w:szCs w:val="24"/>
        </w:rPr>
        <w:t xml:space="preserve"> also enable Australia to reap any future liberalisation that India might offer to a future trading partner. </w:t>
      </w:r>
      <w:r w:rsidR="00213608">
        <w:rPr>
          <w:sz w:val="24"/>
          <w:szCs w:val="24"/>
        </w:rPr>
        <w:t xml:space="preserve">As MFN only applies on a prospective basis (and not retrospectively), </w:t>
      </w:r>
      <w:r w:rsidR="00C3560D" w:rsidRPr="543832D4">
        <w:rPr>
          <w:sz w:val="24"/>
          <w:szCs w:val="24"/>
        </w:rPr>
        <w:t>India w</w:t>
      </w:r>
      <w:r w:rsidR="00B30AC2" w:rsidRPr="543832D4">
        <w:rPr>
          <w:sz w:val="24"/>
          <w:szCs w:val="24"/>
        </w:rPr>
        <w:t xml:space="preserve">ill </w:t>
      </w:r>
      <w:r w:rsidR="00C3560D" w:rsidRPr="543832D4">
        <w:rPr>
          <w:sz w:val="24"/>
          <w:szCs w:val="24"/>
        </w:rPr>
        <w:t>be bound to provide the same treatment to Australian exporters that it provides to an exporter of a future FTA partner.</w:t>
      </w:r>
      <w:r w:rsidR="009E1CEB">
        <w:rPr>
          <w:sz w:val="24"/>
          <w:szCs w:val="24"/>
        </w:rPr>
        <w:t xml:space="preserve"> Therefore, signing the proposed </w:t>
      </w:r>
      <w:r w:rsidR="00421A8C">
        <w:rPr>
          <w:sz w:val="24"/>
          <w:szCs w:val="24"/>
        </w:rPr>
        <w:t>AI</w:t>
      </w:r>
      <w:r w:rsidR="00217C26">
        <w:rPr>
          <w:sz w:val="24"/>
          <w:szCs w:val="24"/>
        </w:rPr>
        <w:t xml:space="preserve"> ECTA</w:t>
      </w:r>
      <w:r w:rsidR="009E1CEB">
        <w:rPr>
          <w:sz w:val="24"/>
          <w:szCs w:val="24"/>
        </w:rPr>
        <w:t xml:space="preserve"> now</w:t>
      </w:r>
      <w:r w:rsidR="00FF16C8">
        <w:rPr>
          <w:sz w:val="24"/>
          <w:szCs w:val="24"/>
        </w:rPr>
        <w:t>,</w:t>
      </w:r>
      <w:r w:rsidR="009E1CEB">
        <w:rPr>
          <w:sz w:val="24"/>
          <w:szCs w:val="24"/>
        </w:rPr>
        <w:t xml:space="preserve"> followed by a full CECA, will ensure Australia is </w:t>
      </w:r>
      <w:r w:rsidR="006535D3">
        <w:rPr>
          <w:sz w:val="24"/>
          <w:szCs w:val="24"/>
        </w:rPr>
        <w:t>in prime</w:t>
      </w:r>
      <w:r w:rsidR="009E1CEB">
        <w:rPr>
          <w:sz w:val="24"/>
          <w:szCs w:val="24"/>
        </w:rPr>
        <w:t xml:space="preserve"> position to benefit from future FTAs that India may agree on</w:t>
      </w:r>
      <w:r w:rsidR="00BA405E">
        <w:rPr>
          <w:sz w:val="24"/>
          <w:szCs w:val="24"/>
        </w:rPr>
        <w:t xml:space="preserve"> – especially as India </w:t>
      </w:r>
      <w:r w:rsidR="00FE012F">
        <w:rPr>
          <w:sz w:val="24"/>
          <w:szCs w:val="24"/>
        </w:rPr>
        <w:t>appears to be</w:t>
      </w:r>
      <w:r w:rsidR="00BA405E">
        <w:rPr>
          <w:sz w:val="24"/>
          <w:szCs w:val="24"/>
        </w:rPr>
        <w:t xml:space="preserve"> embarking on </w:t>
      </w:r>
      <w:r w:rsidR="00FE012F">
        <w:rPr>
          <w:sz w:val="24"/>
          <w:szCs w:val="24"/>
        </w:rPr>
        <w:t>FTA negotiations with a range of trading partners</w:t>
      </w:r>
      <w:r w:rsidR="005F3AD5">
        <w:rPr>
          <w:sz w:val="24"/>
          <w:szCs w:val="24"/>
        </w:rPr>
        <w:t>.</w:t>
      </w:r>
      <w:r w:rsidR="007E2302" w:rsidRPr="543832D4">
        <w:rPr>
          <w:sz w:val="24"/>
          <w:szCs w:val="24"/>
        </w:rPr>
        <w:t xml:space="preserve"> </w:t>
      </w:r>
      <w:r w:rsidR="007E2302" w:rsidRPr="003E54D5">
        <w:rPr>
          <w:sz w:val="24"/>
          <w:szCs w:val="24"/>
        </w:rPr>
        <w:t>A side letter on wine would have the same effect for that product.</w:t>
      </w:r>
      <w:r w:rsidR="00C3560D" w:rsidRPr="543832D4">
        <w:rPr>
          <w:sz w:val="24"/>
          <w:szCs w:val="24"/>
        </w:rPr>
        <w:t xml:space="preserve"> In the long-term, this w</w:t>
      </w:r>
      <w:r w:rsidR="00B30AC2" w:rsidRPr="543832D4">
        <w:rPr>
          <w:sz w:val="24"/>
          <w:szCs w:val="24"/>
        </w:rPr>
        <w:t>ill</w:t>
      </w:r>
      <w:r w:rsidR="00C3560D" w:rsidRPr="543832D4">
        <w:rPr>
          <w:sz w:val="24"/>
          <w:szCs w:val="24"/>
        </w:rPr>
        <w:t xml:space="preserve"> enable Australian products to remain competitive in the Indian market.</w:t>
      </w:r>
      <w:r w:rsidR="001F1683">
        <w:rPr>
          <w:sz w:val="24"/>
          <w:szCs w:val="24"/>
        </w:rPr>
        <w:t xml:space="preserve"> </w:t>
      </w:r>
    </w:p>
    <w:p w14:paraId="5E014FA5" w14:textId="77777777" w:rsidR="00C3560D" w:rsidRDefault="00C3560D">
      <w:pPr>
        <w:spacing w:after="0"/>
      </w:pPr>
    </w:p>
    <w:p w14:paraId="2721D323" w14:textId="5169AF15" w:rsidR="00377820" w:rsidRDefault="00377820">
      <w:pPr>
        <w:pStyle w:val="ListParagraph"/>
        <w:numPr>
          <w:ilvl w:val="0"/>
          <w:numId w:val="1"/>
        </w:numPr>
        <w:spacing w:after="0"/>
        <w:ind w:left="567" w:hanging="567"/>
        <w:rPr>
          <w:sz w:val="24"/>
          <w:szCs w:val="24"/>
        </w:rPr>
      </w:pPr>
      <w:r w:rsidRPr="543832D4">
        <w:rPr>
          <w:sz w:val="24"/>
          <w:szCs w:val="24"/>
        </w:rPr>
        <w:t xml:space="preserve">The proposed </w:t>
      </w:r>
      <w:r w:rsidR="00421A8C">
        <w:rPr>
          <w:sz w:val="24"/>
          <w:szCs w:val="24"/>
        </w:rPr>
        <w:t>AI</w:t>
      </w:r>
      <w:r w:rsidR="00217C26">
        <w:rPr>
          <w:sz w:val="24"/>
          <w:szCs w:val="24"/>
        </w:rPr>
        <w:t xml:space="preserve"> ECTA</w:t>
      </w:r>
      <w:r w:rsidRPr="543832D4">
        <w:rPr>
          <w:sz w:val="24"/>
          <w:szCs w:val="24"/>
        </w:rPr>
        <w:t xml:space="preserve"> </w:t>
      </w:r>
      <w:r w:rsidR="00B30AC2" w:rsidRPr="543832D4">
        <w:rPr>
          <w:sz w:val="24"/>
          <w:szCs w:val="24"/>
        </w:rPr>
        <w:t>will</w:t>
      </w:r>
      <w:r w:rsidRPr="543832D4">
        <w:rPr>
          <w:sz w:val="24"/>
          <w:szCs w:val="24"/>
        </w:rPr>
        <w:t xml:space="preserve"> provide regulatory certainty for Australian businesses, while a full CECA is still being negotiated. This certainty </w:t>
      </w:r>
      <w:r w:rsidR="008A095A">
        <w:rPr>
          <w:sz w:val="24"/>
          <w:szCs w:val="24"/>
        </w:rPr>
        <w:t>will</w:t>
      </w:r>
      <w:r w:rsidRPr="543832D4">
        <w:rPr>
          <w:sz w:val="24"/>
          <w:szCs w:val="24"/>
        </w:rPr>
        <w:t xml:space="preserve"> support exporters and </w:t>
      </w:r>
      <w:r w:rsidR="00794F02">
        <w:rPr>
          <w:sz w:val="24"/>
          <w:szCs w:val="24"/>
        </w:rPr>
        <w:t xml:space="preserve">support </w:t>
      </w:r>
      <w:r w:rsidRPr="543832D4">
        <w:rPr>
          <w:sz w:val="24"/>
          <w:szCs w:val="24"/>
        </w:rPr>
        <w:t xml:space="preserve">mobility for businesspeople and professionals, which is important in a post COVID-19 recovery environment. </w:t>
      </w:r>
    </w:p>
    <w:p w14:paraId="57ADACE5" w14:textId="77777777" w:rsidR="00377820" w:rsidRPr="00377820" w:rsidRDefault="00377820">
      <w:pPr>
        <w:pStyle w:val="ListParagraph"/>
        <w:spacing w:after="0"/>
        <w:rPr>
          <w:sz w:val="24"/>
          <w:szCs w:val="24"/>
        </w:rPr>
      </w:pPr>
    </w:p>
    <w:p w14:paraId="72448BDB" w14:textId="5E6E8B33" w:rsidR="00540FD8" w:rsidRPr="001C1DA9" w:rsidRDefault="00C3560D">
      <w:pPr>
        <w:pStyle w:val="ListParagraph"/>
        <w:numPr>
          <w:ilvl w:val="0"/>
          <w:numId w:val="1"/>
        </w:numPr>
        <w:spacing w:after="0"/>
        <w:ind w:left="567" w:hanging="567"/>
        <w:rPr>
          <w:sz w:val="24"/>
          <w:szCs w:val="24"/>
        </w:rPr>
      </w:pPr>
      <w:r w:rsidRPr="543832D4">
        <w:rPr>
          <w:sz w:val="24"/>
          <w:szCs w:val="24"/>
        </w:rPr>
        <w:t xml:space="preserve">Signing of the proposed </w:t>
      </w:r>
      <w:r w:rsidR="00421A8C">
        <w:rPr>
          <w:sz w:val="24"/>
          <w:szCs w:val="24"/>
        </w:rPr>
        <w:t>AI</w:t>
      </w:r>
      <w:r w:rsidR="00217C26">
        <w:rPr>
          <w:sz w:val="24"/>
          <w:szCs w:val="24"/>
        </w:rPr>
        <w:t xml:space="preserve"> ECTA</w:t>
      </w:r>
      <w:r w:rsidRPr="543832D4">
        <w:rPr>
          <w:sz w:val="24"/>
          <w:szCs w:val="24"/>
        </w:rPr>
        <w:t xml:space="preserve"> w</w:t>
      </w:r>
      <w:r w:rsidR="00B30AC2" w:rsidRPr="543832D4">
        <w:rPr>
          <w:sz w:val="24"/>
          <w:szCs w:val="24"/>
        </w:rPr>
        <w:t>ill</w:t>
      </w:r>
      <w:r w:rsidRPr="543832D4">
        <w:rPr>
          <w:sz w:val="24"/>
          <w:szCs w:val="24"/>
        </w:rPr>
        <w:t xml:space="preserve"> also signal our commitment and pave the way for further discussions on a full CECA, which w</w:t>
      </w:r>
      <w:r w:rsidR="00602867" w:rsidRPr="543832D4">
        <w:rPr>
          <w:sz w:val="24"/>
          <w:szCs w:val="24"/>
        </w:rPr>
        <w:t>ill</w:t>
      </w:r>
      <w:r w:rsidRPr="543832D4">
        <w:rPr>
          <w:sz w:val="24"/>
          <w:szCs w:val="24"/>
        </w:rPr>
        <w:t xml:space="preserve"> have the potential to address some of the areas not currently in the interim agreement. This could potentially facilitate more opportunities in relation to government procurement, enhance investments and other measures, including around digital trade to foster closer economic links between Australia and India. </w:t>
      </w:r>
    </w:p>
    <w:p w14:paraId="3DEECABE" w14:textId="228769D5" w:rsidR="00E6417A" w:rsidRDefault="00C3560D" w:rsidP="004D46B8">
      <w:pPr>
        <w:pStyle w:val="ListParagraph"/>
        <w:spacing w:after="0"/>
        <w:ind w:left="567"/>
        <w:rPr>
          <w:rFonts w:asciiTheme="majorHAnsi" w:eastAsiaTheme="majorEastAsia" w:hAnsiTheme="majorHAnsi" w:cstheme="majorBidi"/>
          <w:color w:val="2F5496" w:themeColor="accent1" w:themeShade="BF"/>
          <w:sz w:val="26"/>
          <w:szCs w:val="26"/>
        </w:rPr>
      </w:pPr>
      <w:r>
        <w:rPr>
          <w:sz w:val="24"/>
          <w:szCs w:val="24"/>
        </w:rPr>
        <w:t xml:space="preserve"> </w:t>
      </w:r>
    </w:p>
    <w:p w14:paraId="6B14BF00" w14:textId="51DF03CF" w:rsidR="00C3560D" w:rsidRPr="00CF22DD" w:rsidRDefault="00C3560D" w:rsidP="00EB0980">
      <w:pPr>
        <w:pStyle w:val="Heading2"/>
        <w:spacing w:before="0"/>
      </w:pPr>
      <w:bookmarkStart w:id="18" w:name="_Toc99370650"/>
      <w:r>
        <w:lastRenderedPageBreak/>
        <w:t xml:space="preserve">Option 2: not sign the proposed </w:t>
      </w:r>
      <w:r w:rsidR="00421A8C">
        <w:t>AI</w:t>
      </w:r>
      <w:r w:rsidR="00217C26">
        <w:t xml:space="preserve"> ECTA</w:t>
      </w:r>
      <w:bookmarkEnd w:id="18"/>
      <w:r>
        <w:t xml:space="preserve"> </w:t>
      </w:r>
    </w:p>
    <w:p w14:paraId="36614954" w14:textId="42905B7B" w:rsidR="00243B4F" w:rsidRDefault="00243B4F" w:rsidP="00243B4F">
      <w:pPr>
        <w:spacing w:after="0"/>
        <w:rPr>
          <w:sz w:val="24"/>
          <w:szCs w:val="24"/>
        </w:rPr>
      </w:pPr>
    </w:p>
    <w:p w14:paraId="371248D7" w14:textId="7160088B" w:rsidR="00243B4F" w:rsidRDefault="00243B4F" w:rsidP="00243B4F">
      <w:pPr>
        <w:spacing w:after="0"/>
        <w:rPr>
          <w:sz w:val="24"/>
          <w:szCs w:val="24"/>
        </w:rPr>
      </w:pPr>
      <w:r>
        <w:rPr>
          <w:b/>
          <w:bCs/>
          <w:i/>
          <w:iCs/>
          <w:sz w:val="24"/>
          <w:szCs w:val="24"/>
        </w:rPr>
        <w:t xml:space="preserve">Inconsistent with Australia Government objectives </w:t>
      </w:r>
    </w:p>
    <w:p w14:paraId="11D57DF5" w14:textId="540010E7" w:rsidR="00913D3A" w:rsidRDefault="00913D3A" w:rsidP="00913D3A">
      <w:pPr>
        <w:pStyle w:val="ListParagraph"/>
        <w:spacing w:after="0"/>
        <w:ind w:left="567"/>
        <w:rPr>
          <w:sz w:val="24"/>
          <w:szCs w:val="24"/>
        </w:rPr>
      </w:pPr>
    </w:p>
    <w:p w14:paraId="3BD0E5A4" w14:textId="73A205B2" w:rsidR="00913D3A" w:rsidRDefault="00913D3A" w:rsidP="00A80396">
      <w:pPr>
        <w:pStyle w:val="ListParagraph"/>
        <w:numPr>
          <w:ilvl w:val="0"/>
          <w:numId w:val="1"/>
        </w:numPr>
        <w:spacing w:after="0"/>
        <w:ind w:left="567" w:hanging="567"/>
        <w:rPr>
          <w:sz w:val="24"/>
          <w:szCs w:val="24"/>
        </w:rPr>
      </w:pPr>
      <w:r>
        <w:rPr>
          <w:sz w:val="24"/>
          <w:szCs w:val="24"/>
        </w:rPr>
        <w:t xml:space="preserve">Not signing the proposed </w:t>
      </w:r>
      <w:r w:rsidR="00421A8C">
        <w:rPr>
          <w:sz w:val="24"/>
          <w:szCs w:val="24"/>
        </w:rPr>
        <w:t>AI</w:t>
      </w:r>
      <w:r w:rsidR="00217C26">
        <w:rPr>
          <w:sz w:val="24"/>
          <w:szCs w:val="24"/>
        </w:rPr>
        <w:t xml:space="preserve"> ECTA</w:t>
      </w:r>
      <w:r>
        <w:rPr>
          <w:sz w:val="24"/>
          <w:szCs w:val="24"/>
        </w:rPr>
        <w:t xml:space="preserve"> w</w:t>
      </w:r>
      <w:r w:rsidR="00995D52">
        <w:rPr>
          <w:sz w:val="24"/>
          <w:szCs w:val="24"/>
        </w:rPr>
        <w:t>ill</w:t>
      </w:r>
      <w:r>
        <w:rPr>
          <w:sz w:val="24"/>
          <w:szCs w:val="24"/>
        </w:rPr>
        <w:t xml:space="preserve"> mean that the Australian Government w</w:t>
      </w:r>
      <w:r w:rsidR="00995D52">
        <w:rPr>
          <w:sz w:val="24"/>
          <w:szCs w:val="24"/>
        </w:rPr>
        <w:t>ill</w:t>
      </w:r>
      <w:r>
        <w:rPr>
          <w:sz w:val="24"/>
          <w:szCs w:val="24"/>
        </w:rPr>
        <w:t xml:space="preserve"> not be able to achieve the objectives of trade liberalisation and strengthened economic ties with India, as outlined in the Joint Statement between Prime Minister Morrison and Prime Minister Modi. It w</w:t>
      </w:r>
      <w:r w:rsidR="00995D52">
        <w:rPr>
          <w:sz w:val="24"/>
          <w:szCs w:val="24"/>
        </w:rPr>
        <w:t>ill</w:t>
      </w:r>
      <w:r>
        <w:rPr>
          <w:sz w:val="24"/>
          <w:szCs w:val="24"/>
        </w:rPr>
        <w:t xml:space="preserve"> also mean that the commitment between Minister Tehan and Minister Goyal made during the Joint Ministerial Commission</w:t>
      </w:r>
      <w:r w:rsidR="00E5794C">
        <w:rPr>
          <w:sz w:val="24"/>
          <w:szCs w:val="24"/>
        </w:rPr>
        <w:t xml:space="preserve"> to deepen bilateral trade in goods and services </w:t>
      </w:r>
      <w:r w:rsidR="0091092E">
        <w:rPr>
          <w:sz w:val="24"/>
          <w:szCs w:val="24"/>
        </w:rPr>
        <w:t xml:space="preserve">will </w:t>
      </w:r>
      <w:r w:rsidR="00E5794C">
        <w:rPr>
          <w:sz w:val="24"/>
          <w:szCs w:val="24"/>
        </w:rPr>
        <w:t>not be met</w:t>
      </w:r>
      <w:r>
        <w:rPr>
          <w:sz w:val="24"/>
          <w:szCs w:val="24"/>
        </w:rPr>
        <w:t xml:space="preserve">. </w:t>
      </w:r>
      <w:r w:rsidR="00F5416C">
        <w:rPr>
          <w:sz w:val="24"/>
          <w:szCs w:val="24"/>
        </w:rPr>
        <w:t xml:space="preserve">This </w:t>
      </w:r>
      <w:r w:rsidR="0091092E">
        <w:rPr>
          <w:sz w:val="24"/>
          <w:szCs w:val="24"/>
        </w:rPr>
        <w:t>will</w:t>
      </w:r>
      <w:r w:rsidR="00F5416C">
        <w:rPr>
          <w:sz w:val="24"/>
          <w:szCs w:val="24"/>
        </w:rPr>
        <w:t xml:space="preserve"> be counterintuitive to Australia’s trade diversification efforts, which is a key aspect of Australia’s post pandemic recovery. </w:t>
      </w:r>
    </w:p>
    <w:p w14:paraId="04360008" w14:textId="77777777" w:rsidR="00394EA0" w:rsidRDefault="00394EA0" w:rsidP="00394EA0">
      <w:pPr>
        <w:pStyle w:val="ListParagraph"/>
        <w:spacing w:after="0"/>
        <w:ind w:left="567"/>
        <w:rPr>
          <w:sz w:val="24"/>
          <w:szCs w:val="24"/>
        </w:rPr>
      </w:pPr>
    </w:p>
    <w:p w14:paraId="683BDB43" w14:textId="29C17447" w:rsidR="00214C9E" w:rsidRDefault="00214C9E" w:rsidP="00214C9E">
      <w:pPr>
        <w:pStyle w:val="ListParagraph"/>
        <w:numPr>
          <w:ilvl w:val="0"/>
          <w:numId w:val="1"/>
        </w:numPr>
        <w:spacing w:after="0"/>
        <w:ind w:left="567" w:hanging="567"/>
        <w:rPr>
          <w:sz w:val="24"/>
          <w:szCs w:val="24"/>
        </w:rPr>
      </w:pPr>
      <w:r w:rsidRPr="543832D4">
        <w:rPr>
          <w:sz w:val="24"/>
          <w:szCs w:val="24"/>
        </w:rPr>
        <w:t xml:space="preserve">Further, if we do not sign the proposed </w:t>
      </w:r>
      <w:r w:rsidR="00421A8C">
        <w:rPr>
          <w:sz w:val="24"/>
          <w:szCs w:val="24"/>
        </w:rPr>
        <w:t>AI</w:t>
      </w:r>
      <w:r w:rsidR="00217C26">
        <w:rPr>
          <w:sz w:val="24"/>
          <w:szCs w:val="24"/>
        </w:rPr>
        <w:t xml:space="preserve"> ECTA</w:t>
      </w:r>
      <w:r w:rsidRPr="543832D4">
        <w:rPr>
          <w:sz w:val="24"/>
          <w:szCs w:val="24"/>
        </w:rPr>
        <w:t xml:space="preserve"> and a full CECA, we would not bring our strategic relationship up to par with other key Quadrilateral partners in the region, such as Japan. </w:t>
      </w:r>
      <w:r w:rsidR="00747CCA">
        <w:rPr>
          <w:sz w:val="24"/>
          <w:szCs w:val="24"/>
        </w:rPr>
        <w:t xml:space="preserve">It could also bring into question Australia’s reputation as a trading partner, particularly in terms of its ability to uphold and deliver on its commitments – for example, the commitment made between Minister Tehan and Minister Goyal to conclude a CECA, including to reach an interim agreement. </w:t>
      </w:r>
    </w:p>
    <w:p w14:paraId="428AAEAB" w14:textId="41B52F64" w:rsidR="00C3560D" w:rsidRDefault="00C3560D" w:rsidP="00F4255B">
      <w:pPr>
        <w:spacing w:after="0"/>
        <w:rPr>
          <w:sz w:val="24"/>
          <w:szCs w:val="24"/>
        </w:rPr>
      </w:pPr>
    </w:p>
    <w:p w14:paraId="5EE7D469" w14:textId="45B9EF1E" w:rsidR="00F4255B" w:rsidRPr="00F4255B" w:rsidRDefault="00F4255B" w:rsidP="00F4255B">
      <w:pPr>
        <w:spacing w:after="0"/>
        <w:rPr>
          <w:b/>
          <w:bCs/>
          <w:i/>
          <w:iCs/>
          <w:sz w:val="24"/>
          <w:szCs w:val="24"/>
        </w:rPr>
      </w:pPr>
      <w:r>
        <w:rPr>
          <w:b/>
          <w:bCs/>
          <w:i/>
          <w:iCs/>
          <w:sz w:val="24"/>
          <w:szCs w:val="24"/>
        </w:rPr>
        <w:t xml:space="preserve">Disadvantages for Australian exporters and suppliers </w:t>
      </w:r>
    </w:p>
    <w:p w14:paraId="0CF3CAED" w14:textId="77777777" w:rsidR="00F4255B" w:rsidRPr="00F4255B" w:rsidRDefault="00F4255B" w:rsidP="00F4255B">
      <w:pPr>
        <w:spacing w:after="0"/>
        <w:rPr>
          <w:sz w:val="24"/>
          <w:szCs w:val="24"/>
        </w:rPr>
      </w:pPr>
    </w:p>
    <w:p w14:paraId="5D5BB62D" w14:textId="7D968FF2" w:rsidR="00C3560D" w:rsidRDefault="00C3560D" w:rsidP="00A80396">
      <w:pPr>
        <w:pStyle w:val="ListParagraph"/>
        <w:numPr>
          <w:ilvl w:val="0"/>
          <w:numId w:val="1"/>
        </w:numPr>
        <w:spacing w:after="0"/>
        <w:ind w:left="567" w:hanging="567"/>
        <w:rPr>
          <w:sz w:val="24"/>
          <w:szCs w:val="24"/>
        </w:rPr>
      </w:pPr>
      <w:r w:rsidRPr="543832D4">
        <w:rPr>
          <w:sz w:val="24"/>
          <w:szCs w:val="24"/>
        </w:rPr>
        <w:t xml:space="preserve">As outlined in the </w:t>
      </w:r>
      <w:r w:rsidR="00602867" w:rsidRPr="543832D4">
        <w:rPr>
          <w:sz w:val="24"/>
          <w:szCs w:val="24"/>
        </w:rPr>
        <w:t>‘</w:t>
      </w:r>
      <w:r w:rsidRPr="543832D4">
        <w:rPr>
          <w:sz w:val="24"/>
          <w:szCs w:val="24"/>
        </w:rPr>
        <w:t>Problem Identification</w:t>
      </w:r>
      <w:r w:rsidR="00602867" w:rsidRPr="543832D4">
        <w:rPr>
          <w:sz w:val="24"/>
          <w:szCs w:val="24"/>
        </w:rPr>
        <w:t>’</w:t>
      </w:r>
      <w:r w:rsidRPr="543832D4">
        <w:rPr>
          <w:sz w:val="24"/>
          <w:szCs w:val="24"/>
        </w:rPr>
        <w:t xml:space="preserve"> </w:t>
      </w:r>
      <w:r w:rsidR="00602867" w:rsidRPr="543832D4">
        <w:rPr>
          <w:sz w:val="24"/>
          <w:szCs w:val="24"/>
        </w:rPr>
        <w:t>s</w:t>
      </w:r>
      <w:r w:rsidRPr="543832D4">
        <w:rPr>
          <w:sz w:val="24"/>
          <w:szCs w:val="24"/>
        </w:rPr>
        <w:t>ection, the IMF has forecasted that India’s GDP would grow at 9.5 per</w:t>
      </w:r>
      <w:r w:rsidR="00854D6C" w:rsidRPr="543832D4">
        <w:rPr>
          <w:sz w:val="24"/>
          <w:szCs w:val="24"/>
        </w:rPr>
        <w:t xml:space="preserve"> </w:t>
      </w:r>
      <w:r w:rsidRPr="543832D4">
        <w:rPr>
          <w:sz w:val="24"/>
          <w:szCs w:val="24"/>
        </w:rPr>
        <w:t>cent for the current Indian financial year (ending March 2022), which if achieved, would make India the fastest recovering major economy.</w:t>
      </w:r>
      <w:r w:rsidR="00CC53A1" w:rsidRPr="543832D4">
        <w:rPr>
          <w:sz w:val="24"/>
          <w:szCs w:val="24"/>
        </w:rPr>
        <w:t xml:space="preserve"> Not signing the proposed </w:t>
      </w:r>
      <w:r w:rsidR="006E5E78">
        <w:rPr>
          <w:sz w:val="24"/>
          <w:szCs w:val="24"/>
        </w:rPr>
        <w:t>AI ECTA</w:t>
      </w:r>
      <w:r w:rsidR="00CC53A1" w:rsidRPr="543832D4">
        <w:rPr>
          <w:sz w:val="24"/>
          <w:szCs w:val="24"/>
        </w:rPr>
        <w:t xml:space="preserve"> means that Australian businesses would </w:t>
      </w:r>
      <w:r w:rsidR="005607F7" w:rsidRPr="543832D4">
        <w:rPr>
          <w:sz w:val="24"/>
          <w:szCs w:val="24"/>
        </w:rPr>
        <w:t xml:space="preserve">be in a less favourable position to </w:t>
      </w:r>
      <w:r w:rsidRPr="543832D4">
        <w:rPr>
          <w:sz w:val="24"/>
          <w:szCs w:val="24"/>
        </w:rPr>
        <w:t>capitalise on this growth</w:t>
      </w:r>
      <w:r w:rsidR="005607F7" w:rsidRPr="543832D4">
        <w:rPr>
          <w:sz w:val="24"/>
          <w:szCs w:val="24"/>
        </w:rPr>
        <w:t>, which</w:t>
      </w:r>
      <w:r w:rsidRPr="543832D4">
        <w:rPr>
          <w:sz w:val="24"/>
          <w:szCs w:val="24"/>
        </w:rPr>
        <w:t xml:space="preserve"> w</w:t>
      </w:r>
      <w:r w:rsidR="007F64D6" w:rsidRPr="543832D4">
        <w:rPr>
          <w:sz w:val="24"/>
          <w:szCs w:val="24"/>
        </w:rPr>
        <w:t>ould</w:t>
      </w:r>
      <w:r w:rsidRPr="543832D4">
        <w:rPr>
          <w:sz w:val="24"/>
          <w:szCs w:val="24"/>
        </w:rPr>
        <w:t xml:space="preserve"> bring about significant benefits not only for Australian businesses </w:t>
      </w:r>
      <w:r w:rsidR="00C15888" w:rsidRPr="543832D4">
        <w:rPr>
          <w:sz w:val="24"/>
          <w:szCs w:val="24"/>
        </w:rPr>
        <w:t xml:space="preserve">themselves </w:t>
      </w:r>
      <w:r w:rsidRPr="543832D4">
        <w:rPr>
          <w:sz w:val="24"/>
          <w:szCs w:val="24"/>
        </w:rPr>
        <w:t xml:space="preserve">but also for the Australian economy, more broadly. </w:t>
      </w:r>
    </w:p>
    <w:p w14:paraId="2268D74F" w14:textId="77777777" w:rsidR="00C3560D" w:rsidRPr="00F5265F" w:rsidRDefault="00C3560D" w:rsidP="00EB0980">
      <w:pPr>
        <w:pStyle w:val="ListParagraph"/>
        <w:spacing w:after="0"/>
        <w:rPr>
          <w:sz w:val="24"/>
          <w:szCs w:val="24"/>
        </w:rPr>
      </w:pPr>
    </w:p>
    <w:p w14:paraId="7A0DE414" w14:textId="3F627106" w:rsidR="002F3D95" w:rsidRPr="00E93508" w:rsidRDefault="00C3560D" w:rsidP="00A80396">
      <w:pPr>
        <w:pStyle w:val="ListParagraph"/>
        <w:numPr>
          <w:ilvl w:val="0"/>
          <w:numId w:val="1"/>
        </w:numPr>
        <w:spacing w:after="0"/>
        <w:ind w:left="567" w:hanging="567"/>
        <w:rPr>
          <w:sz w:val="24"/>
          <w:szCs w:val="24"/>
        </w:rPr>
      </w:pPr>
      <w:r w:rsidRPr="543832D4">
        <w:rPr>
          <w:sz w:val="24"/>
          <w:szCs w:val="24"/>
        </w:rPr>
        <w:t xml:space="preserve">In the absence of the proposed </w:t>
      </w:r>
      <w:r w:rsidR="00421A8C">
        <w:rPr>
          <w:sz w:val="24"/>
          <w:szCs w:val="24"/>
        </w:rPr>
        <w:t>AI</w:t>
      </w:r>
      <w:r w:rsidR="00217C26">
        <w:rPr>
          <w:sz w:val="24"/>
          <w:szCs w:val="24"/>
        </w:rPr>
        <w:t xml:space="preserve"> ECTA</w:t>
      </w:r>
      <w:r w:rsidRPr="543832D4">
        <w:rPr>
          <w:sz w:val="24"/>
          <w:szCs w:val="24"/>
        </w:rPr>
        <w:t>, Australia w</w:t>
      </w:r>
      <w:r w:rsidR="00B27714" w:rsidRPr="543832D4">
        <w:rPr>
          <w:sz w:val="24"/>
          <w:szCs w:val="24"/>
        </w:rPr>
        <w:t>ill</w:t>
      </w:r>
      <w:r w:rsidRPr="543832D4">
        <w:rPr>
          <w:sz w:val="24"/>
          <w:szCs w:val="24"/>
        </w:rPr>
        <w:t xml:space="preserve"> continue to be trading with India </w:t>
      </w:r>
      <w:r w:rsidR="007D77D1" w:rsidRPr="543832D4">
        <w:rPr>
          <w:sz w:val="24"/>
          <w:szCs w:val="24"/>
        </w:rPr>
        <w:t>under the current conditions</w:t>
      </w:r>
      <w:r w:rsidRPr="543832D4">
        <w:rPr>
          <w:sz w:val="24"/>
          <w:szCs w:val="24"/>
        </w:rPr>
        <w:t xml:space="preserve"> and many of the key products of interest to Australia w</w:t>
      </w:r>
      <w:r w:rsidR="00B27714" w:rsidRPr="543832D4">
        <w:rPr>
          <w:sz w:val="24"/>
          <w:szCs w:val="24"/>
        </w:rPr>
        <w:t>ill</w:t>
      </w:r>
      <w:r w:rsidRPr="543832D4">
        <w:rPr>
          <w:sz w:val="24"/>
          <w:szCs w:val="24"/>
        </w:rPr>
        <w:t xml:space="preserve"> continue to face very high </w:t>
      </w:r>
      <w:r w:rsidR="00F47618">
        <w:rPr>
          <w:sz w:val="24"/>
          <w:szCs w:val="24"/>
        </w:rPr>
        <w:t xml:space="preserve">and variable </w:t>
      </w:r>
      <w:r w:rsidRPr="543832D4">
        <w:rPr>
          <w:sz w:val="24"/>
          <w:szCs w:val="24"/>
        </w:rPr>
        <w:t>tariff rates, which as outlined above, is a barrier for Australian businesses trying to tap into the Indian market</w:t>
      </w:r>
      <w:r w:rsidR="00444EB5" w:rsidRPr="543832D4">
        <w:rPr>
          <w:sz w:val="24"/>
          <w:szCs w:val="24"/>
        </w:rPr>
        <w:t>, especially in the agriculture sectors</w:t>
      </w:r>
      <w:r w:rsidRPr="543832D4">
        <w:rPr>
          <w:sz w:val="24"/>
          <w:szCs w:val="24"/>
        </w:rPr>
        <w:t xml:space="preserve">. </w:t>
      </w:r>
      <w:r w:rsidR="00F47618">
        <w:rPr>
          <w:sz w:val="24"/>
          <w:szCs w:val="24"/>
        </w:rPr>
        <w:t xml:space="preserve"> They will also see market share decrease as key competitors stand to benefit from </w:t>
      </w:r>
      <w:r w:rsidR="00010B29">
        <w:rPr>
          <w:sz w:val="24"/>
          <w:szCs w:val="24"/>
        </w:rPr>
        <w:t>prospective</w:t>
      </w:r>
      <w:r w:rsidR="00F47618">
        <w:rPr>
          <w:sz w:val="24"/>
          <w:szCs w:val="24"/>
        </w:rPr>
        <w:t xml:space="preserve"> FTAs between India and the UK, </w:t>
      </w:r>
      <w:proofErr w:type="gramStart"/>
      <w:r w:rsidR="00F47618">
        <w:rPr>
          <w:sz w:val="24"/>
          <w:szCs w:val="24"/>
        </w:rPr>
        <w:t>Canada</w:t>
      </w:r>
      <w:proofErr w:type="gramEnd"/>
      <w:r w:rsidR="00F47618">
        <w:rPr>
          <w:sz w:val="24"/>
          <w:szCs w:val="24"/>
        </w:rPr>
        <w:t xml:space="preserve"> and the EU.  </w:t>
      </w:r>
      <w:r w:rsidRPr="543832D4">
        <w:rPr>
          <w:sz w:val="24"/>
          <w:szCs w:val="24"/>
        </w:rPr>
        <w:t>This w</w:t>
      </w:r>
      <w:r w:rsidR="007F64D6" w:rsidRPr="543832D4">
        <w:rPr>
          <w:sz w:val="24"/>
          <w:szCs w:val="24"/>
        </w:rPr>
        <w:t>ill</w:t>
      </w:r>
      <w:r w:rsidRPr="543832D4">
        <w:rPr>
          <w:sz w:val="24"/>
          <w:szCs w:val="24"/>
        </w:rPr>
        <w:t xml:space="preserve"> mean Australian exports to India </w:t>
      </w:r>
      <w:r w:rsidR="007F64D6" w:rsidRPr="543832D4">
        <w:rPr>
          <w:sz w:val="24"/>
          <w:szCs w:val="24"/>
        </w:rPr>
        <w:t>will</w:t>
      </w:r>
      <w:r w:rsidRPr="543832D4">
        <w:rPr>
          <w:sz w:val="24"/>
          <w:szCs w:val="24"/>
        </w:rPr>
        <w:t xml:space="preserve"> likely remain concentrated on a few limited sectors with </w:t>
      </w:r>
      <w:r w:rsidR="00F47618">
        <w:rPr>
          <w:sz w:val="24"/>
          <w:szCs w:val="24"/>
        </w:rPr>
        <w:t>limited</w:t>
      </w:r>
      <w:r w:rsidRPr="543832D4">
        <w:rPr>
          <w:sz w:val="24"/>
          <w:szCs w:val="24"/>
        </w:rPr>
        <w:t xml:space="preserve"> opportunities for diversification. </w:t>
      </w:r>
    </w:p>
    <w:p w14:paraId="239BF596" w14:textId="3E96C3A7" w:rsidR="00C71099" w:rsidRPr="000F5776" w:rsidRDefault="00C71099" w:rsidP="000F5776">
      <w:pPr>
        <w:spacing w:after="0"/>
        <w:rPr>
          <w:rFonts w:asciiTheme="majorHAnsi" w:eastAsiaTheme="majorEastAsia" w:hAnsiTheme="majorHAnsi" w:cstheme="majorBidi"/>
          <w:color w:val="2F5496" w:themeColor="accent1" w:themeShade="BF"/>
          <w:sz w:val="32"/>
          <w:szCs w:val="32"/>
        </w:rPr>
      </w:pPr>
      <w:bookmarkStart w:id="19" w:name="_Toc88748494"/>
      <w:bookmarkEnd w:id="16"/>
    </w:p>
    <w:p w14:paraId="2685796C" w14:textId="50522C36" w:rsidR="00C3560D" w:rsidRDefault="00C3560D" w:rsidP="0038033F">
      <w:pPr>
        <w:pStyle w:val="Heading1"/>
        <w:spacing w:before="0"/>
      </w:pPr>
      <w:bookmarkStart w:id="20" w:name="_Toc99370651"/>
      <w:r>
        <w:t>BENEFITS AND IMPACT ANALYSIS</w:t>
      </w:r>
      <w:bookmarkEnd w:id="19"/>
      <w:bookmarkEnd w:id="20"/>
    </w:p>
    <w:p w14:paraId="698FDEC0" w14:textId="77777777" w:rsidR="00C3560D" w:rsidRDefault="00C3560D" w:rsidP="0038033F">
      <w:pPr>
        <w:spacing w:after="0"/>
      </w:pPr>
    </w:p>
    <w:p w14:paraId="4F6166A2" w14:textId="19F2232F" w:rsidR="00C3560D" w:rsidRDefault="00C3560D" w:rsidP="00A80396">
      <w:pPr>
        <w:pStyle w:val="ListParagraph"/>
        <w:numPr>
          <w:ilvl w:val="0"/>
          <w:numId w:val="1"/>
        </w:numPr>
        <w:spacing w:after="0"/>
        <w:ind w:left="567" w:hanging="567"/>
        <w:rPr>
          <w:sz w:val="24"/>
          <w:szCs w:val="24"/>
        </w:rPr>
      </w:pPr>
      <w:r w:rsidRPr="543832D4">
        <w:rPr>
          <w:sz w:val="24"/>
          <w:szCs w:val="24"/>
        </w:rPr>
        <w:t xml:space="preserve">There are multiple influences on international trade and investment flows, such as current economic conditions, exchange rate fluctuations, supply and demand factors, and environmental issues such as natural disasters. This has an impact on determining a causal relationship between an FTA and trade and investment outcomes.  </w:t>
      </w:r>
    </w:p>
    <w:p w14:paraId="66AB2A7E" w14:textId="77777777" w:rsidR="00C3560D" w:rsidRDefault="00C3560D" w:rsidP="0038033F">
      <w:pPr>
        <w:pStyle w:val="ListParagraph"/>
        <w:spacing w:after="0"/>
        <w:ind w:left="567"/>
        <w:rPr>
          <w:sz w:val="24"/>
          <w:szCs w:val="24"/>
        </w:rPr>
      </w:pPr>
    </w:p>
    <w:p w14:paraId="4F8A1537" w14:textId="10B7BAE7" w:rsidR="00C3560D" w:rsidRPr="00E52E3F" w:rsidRDefault="00C3560D" w:rsidP="00A80396">
      <w:pPr>
        <w:pStyle w:val="ListParagraph"/>
        <w:numPr>
          <w:ilvl w:val="0"/>
          <w:numId w:val="1"/>
        </w:numPr>
        <w:spacing w:after="0"/>
        <w:ind w:left="567" w:hanging="567"/>
        <w:rPr>
          <w:sz w:val="24"/>
          <w:szCs w:val="24"/>
        </w:rPr>
      </w:pPr>
      <w:r w:rsidRPr="543832D4">
        <w:rPr>
          <w:sz w:val="24"/>
          <w:szCs w:val="24"/>
        </w:rPr>
        <w:lastRenderedPageBreak/>
        <w:t xml:space="preserve">Measuring what would have happened if a trade agreement had not entered into force is complex. Data considered in isolation may not always reveal the full picture. Comparisons between Australian and partner-country trade data can be difficult, reflecting valuation differences, transhipments through third-party countries, and timing issues. The impact of recent disruptions to trade due to COVID-19 and the effects of trade tensions also add to the complexity. If we do not sign the proposed </w:t>
      </w:r>
      <w:r w:rsidR="00421A8C">
        <w:rPr>
          <w:sz w:val="24"/>
          <w:szCs w:val="24"/>
        </w:rPr>
        <w:t>AI</w:t>
      </w:r>
      <w:r w:rsidR="00217C26">
        <w:rPr>
          <w:sz w:val="24"/>
          <w:szCs w:val="24"/>
        </w:rPr>
        <w:t xml:space="preserve"> ECTA</w:t>
      </w:r>
      <w:r w:rsidRPr="543832D4">
        <w:rPr>
          <w:sz w:val="24"/>
          <w:szCs w:val="24"/>
        </w:rPr>
        <w:t xml:space="preserve">, and then CECA, trade will likely </w:t>
      </w:r>
      <w:proofErr w:type="gramStart"/>
      <w:r w:rsidRPr="543832D4">
        <w:rPr>
          <w:sz w:val="24"/>
          <w:szCs w:val="24"/>
        </w:rPr>
        <w:t>continue on</w:t>
      </w:r>
      <w:proofErr w:type="gramEnd"/>
      <w:r w:rsidRPr="543832D4">
        <w:rPr>
          <w:sz w:val="24"/>
          <w:szCs w:val="24"/>
        </w:rPr>
        <w:t xml:space="preserve"> its current growth trajectory, but the opportunity cost may be significant, especially as India continues to negotiate and enter into preferential trade agreements with other trading partners and tracks as the fastest growing large economy. Accordingly, DFAT considers that the benefits to Australia in signing the </w:t>
      </w:r>
      <w:r w:rsidR="00421A8C">
        <w:rPr>
          <w:sz w:val="24"/>
          <w:szCs w:val="24"/>
        </w:rPr>
        <w:t>AI</w:t>
      </w:r>
      <w:r w:rsidR="00217C26">
        <w:rPr>
          <w:sz w:val="24"/>
          <w:szCs w:val="24"/>
        </w:rPr>
        <w:t xml:space="preserve"> ECTA</w:t>
      </w:r>
      <w:r w:rsidRPr="543832D4">
        <w:rPr>
          <w:sz w:val="24"/>
          <w:szCs w:val="24"/>
        </w:rPr>
        <w:t xml:space="preserve">, while negotiating a full CECA, as explored in detail below, are greater than not signing.  </w:t>
      </w:r>
    </w:p>
    <w:p w14:paraId="7F5CB8F7" w14:textId="77777777" w:rsidR="00C3560D" w:rsidRPr="003648B6" w:rsidRDefault="00C3560D" w:rsidP="0038033F">
      <w:pPr>
        <w:pStyle w:val="ListParagraph"/>
        <w:spacing w:after="0"/>
        <w:rPr>
          <w:sz w:val="24"/>
          <w:szCs w:val="24"/>
        </w:rPr>
      </w:pPr>
    </w:p>
    <w:p w14:paraId="2330E1B4" w14:textId="7389D9E0" w:rsidR="00C3560D" w:rsidRPr="00E52E3F" w:rsidRDefault="00C3560D" w:rsidP="00A80396">
      <w:pPr>
        <w:pStyle w:val="ListParagraph"/>
        <w:numPr>
          <w:ilvl w:val="0"/>
          <w:numId w:val="1"/>
        </w:numPr>
        <w:spacing w:after="0"/>
        <w:ind w:left="567" w:hanging="567"/>
        <w:rPr>
          <w:sz w:val="24"/>
          <w:szCs w:val="24"/>
        </w:rPr>
      </w:pPr>
      <w:r w:rsidRPr="543832D4">
        <w:rPr>
          <w:sz w:val="24"/>
          <w:szCs w:val="24"/>
        </w:rPr>
        <w:t xml:space="preserve">DFAT’s qualitative assessment is that signing the proposed </w:t>
      </w:r>
      <w:r w:rsidR="00421A8C">
        <w:rPr>
          <w:sz w:val="24"/>
          <w:szCs w:val="24"/>
        </w:rPr>
        <w:t>AI</w:t>
      </w:r>
      <w:r w:rsidR="00217C26">
        <w:rPr>
          <w:sz w:val="24"/>
          <w:szCs w:val="24"/>
        </w:rPr>
        <w:t xml:space="preserve"> ECTA</w:t>
      </w:r>
      <w:r w:rsidRPr="543832D4">
        <w:rPr>
          <w:sz w:val="24"/>
          <w:szCs w:val="24"/>
        </w:rPr>
        <w:t xml:space="preserve"> would result in a net benefit for Australia. This is due to the likelihood of increased business activity and confidence, a greater range of competitively priced goods imported from India for consumers, and improved access and competitiveness of Australian goods and services into India, which is good for Australian jobs and business. </w:t>
      </w:r>
    </w:p>
    <w:p w14:paraId="254F878A" w14:textId="77777777" w:rsidR="00C3560D" w:rsidRPr="008577D0" w:rsidRDefault="00C3560D" w:rsidP="0038033F">
      <w:pPr>
        <w:pStyle w:val="ListParagraph"/>
        <w:spacing w:after="0"/>
        <w:rPr>
          <w:sz w:val="24"/>
          <w:szCs w:val="24"/>
        </w:rPr>
      </w:pPr>
    </w:p>
    <w:p w14:paraId="770F881B" w14:textId="0DE671F4" w:rsidR="00C3560D" w:rsidRPr="000A087B" w:rsidRDefault="00C3560D" w:rsidP="00A80396">
      <w:pPr>
        <w:pStyle w:val="ListParagraph"/>
        <w:numPr>
          <w:ilvl w:val="0"/>
          <w:numId w:val="1"/>
        </w:numPr>
        <w:spacing w:after="0"/>
        <w:ind w:left="567" w:hanging="567"/>
        <w:rPr>
          <w:sz w:val="24"/>
          <w:szCs w:val="24"/>
        </w:rPr>
      </w:pPr>
      <w:r>
        <w:rPr>
          <w:sz w:val="24"/>
          <w:szCs w:val="24"/>
        </w:rPr>
        <w:t xml:space="preserve">This assessment is supported by recent studies. In 2018, </w:t>
      </w:r>
      <w:r w:rsidRPr="008577D0">
        <w:rPr>
          <w:sz w:val="24"/>
          <w:szCs w:val="24"/>
        </w:rPr>
        <w:t xml:space="preserve">DFAT commissioned an independent study on business utilisation of Australia's FTAs. </w:t>
      </w:r>
      <w:r w:rsidR="009020EF" w:rsidRPr="008577D0">
        <w:rPr>
          <w:sz w:val="24"/>
          <w:szCs w:val="24"/>
        </w:rPr>
        <w:t xml:space="preserve">PricewaterhouseCoopers (PwC) found </w:t>
      </w:r>
      <w:r w:rsidR="009020EF">
        <w:rPr>
          <w:sz w:val="24"/>
          <w:szCs w:val="24"/>
        </w:rPr>
        <w:t xml:space="preserve">that </w:t>
      </w:r>
      <w:r w:rsidR="009020EF" w:rsidRPr="008577D0">
        <w:rPr>
          <w:sz w:val="24"/>
          <w:szCs w:val="24"/>
        </w:rPr>
        <w:t>Australia's FTAs</w:t>
      </w:r>
      <w:r w:rsidR="009020EF">
        <w:rPr>
          <w:sz w:val="24"/>
          <w:szCs w:val="24"/>
        </w:rPr>
        <w:t xml:space="preserve"> with China, </w:t>
      </w:r>
      <w:proofErr w:type="gramStart"/>
      <w:r w:rsidR="009020EF">
        <w:rPr>
          <w:sz w:val="24"/>
          <w:szCs w:val="24"/>
        </w:rPr>
        <w:t>Japan</w:t>
      </w:r>
      <w:proofErr w:type="gramEnd"/>
      <w:r w:rsidR="009020EF">
        <w:rPr>
          <w:sz w:val="24"/>
          <w:szCs w:val="24"/>
        </w:rPr>
        <w:t xml:space="preserve"> and Korea a</w:t>
      </w:r>
      <w:r w:rsidR="009020EF" w:rsidRPr="008577D0">
        <w:rPr>
          <w:sz w:val="24"/>
          <w:szCs w:val="24"/>
        </w:rPr>
        <w:t xml:space="preserve">re being widely used and </w:t>
      </w:r>
      <w:r w:rsidR="009020EF">
        <w:rPr>
          <w:sz w:val="24"/>
          <w:szCs w:val="24"/>
        </w:rPr>
        <w:t>have</w:t>
      </w:r>
      <w:r w:rsidR="009020EF" w:rsidRPr="008577D0">
        <w:rPr>
          <w:sz w:val="24"/>
          <w:szCs w:val="24"/>
        </w:rPr>
        <w:t xml:space="preserve"> a positive impact on business confidence, activity, strategy, expansion planning, and international investment</w:t>
      </w:r>
      <w:r w:rsidR="009020EF">
        <w:rPr>
          <w:sz w:val="24"/>
          <w:szCs w:val="24"/>
        </w:rPr>
        <w:t xml:space="preserve">, </w:t>
      </w:r>
      <w:r w:rsidR="009020EF" w:rsidRPr="008577D0">
        <w:rPr>
          <w:sz w:val="24"/>
          <w:szCs w:val="24"/>
        </w:rPr>
        <w:t>including in services sector</w:t>
      </w:r>
      <w:r w:rsidR="009020EF">
        <w:rPr>
          <w:sz w:val="24"/>
          <w:szCs w:val="24"/>
        </w:rPr>
        <w:t>s</w:t>
      </w:r>
      <w:r w:rsidR="009020EF" w:rsidRPr="008577D0">
        <w:rPr>
          <w:sz w:val="24"/>
          <w:szCs w:val="24"/>
        </w:rPr>
        <w:t>.</w:t>
      </w:r>
      <w:r w:rsidR="009020EF" w:rsidRPr="00923078">
        <w:rPr>
          <w:rStyle w:val="FootnoteReference"/>
          <w:sz w:val="24"/>
          <w:szCs w:val="24"/>
        </w:rPr>
        <w:t xml:space="preserve"> </w:t>
      </w:r>
      <w:r w:rsidR="009020EF">
        <w:rPr>
          <w:rStyle w:val="FootnoteReference"/>
          <w:sz w:val="24"/>
          <w:szCs w:val="24"/>
        </w:rPr>
        <w:footnoteReference w:id="31"/>
      </w:r>
      <w:r w:rsidR="009020EF" w:rsidRPr="008577D0" w:rsidDel="009020EF">
        <w:rPr>
          <w:sz w:val="24"/>
          <w:szCs w:val="24"/>
        </w:rPr>
        <w:t xml:space="preserve"> </w:t>
      </w:r>
      <w:r>
        <w:rPr>
          <w:sz w:val="24"/>
          <w:szCs w:val="24"/>
        </w:rPr>
        <w:br/>
      </w:r>
    </w:p>
    <w:p w14:paraId="29E55EE2" w14:textId="77777777" w:rsidR="00C3560D" w:rsidRDefault="00C3560D" w:rsidP="00A80396">
      <w:pPr>
        <w:pStyle w:val="ListParagraph"/>
        <w:numPr>
          <w:ilvl w:val="0"/>
          <w:numId w:val="1"/>
        </w:numPr>
        <w:spacing w:after="0"/>
        <w:ind w:left="567" w:hanging="567"/>
        <w:rPr>
          <w:sz w:val="24"/>
          <w:szCs w:val="24"/>
        </w:rPr>
      </w:pPr>
      <w:r w:rsidRPr="543832D4">
        <w:rPr>
          <w:sz w:val="24"/>
          <w:szCs w:val="24"/>
        </w:rPr>
        <w:t xml:space="preserve">The PwC research highlighted the 'head turning' effect of Australia's trade agreements with China, </w:t>
      </w:r>
      <w:proofErr w:type="gramStart"/>
      <w:r w:rsidRPr="543832D4">
        <w:rPr>
          <w:sz w:val="24"/>
          <w:szCs w:val="24"/>
        </w:rPr>
        <w:t>Japan</w:t>
      </w:r>
      <w:proofErr w:type="gramEnd"/>
      <w:r w:rsidRPr="543832D4">
        <w:rPr>
          <w:sz w:val="24"/>
          <w:szCs w:val="24"/>
        </w:rPr>
        <w:t xml:space="preserve"> and Korea, </w:t>
      </w:r>
      <w:bookmarkStart w:id="21" w:name="_Hlk83302557"/>
      <w:r w:rsidRPr="543832D4">
        <w:rPr>
          <w:sz w:val="24"/>
          <w:szCs w:val="24"/>
        </w:rPr>
        <w:t xml:space="preserve">contributing to the positive perception of Australia as a place to invest and do business. </w:t>
      </w:r>
      <w:bookmarkEnd w:id="21"/>
      <w:r w:rsidRPr="543832D4">
        <w:rPr>
          <w:sz w:val="24"/>
          <w:szCs w:val="24"/>
        </w:rPr>
        <w:t>It also noted businesses reporting increases in domestic demand for goods and services from businesses trading internationally.</w:t>
      </w:r>
    </w:p>
    <w:p w14:paraId="5F75CD4E" w14:textId="77777777" w:rsidR="00C3560D" w:rsidRPr="001378B7" w:rsidRDefault="00C3560D" w:rsidP="0038033F">
      <w:pPr>
        <w:pStyle w:val="ListParagraph"/>
        <w:spacing w:after="0"/>
        <w:rPr>
          <w:sz w:val="24"/>
          <w:szCs w:val="24"/>
        </w:rPr>
      </w:pPr>
    </w:p>
    <w:p w14:paraId="069F0EB3" w14:textId="46662023" w:rsidR="005265AF" w:rsidRPr="001378B7" w:rsidRDefault="00C3560D" w:rsidP="00A80396">
      <w:pPr>
        <w:pStyle w:val="ListParagraph"/>
        <w:numPr>
          <w:ilvl w:val="0"/>
          <w:numId w:val="1"/>
        </w:numPr>
        <w:spacing w:after="0"/>
        <w:ind w:left="567" w:hanging="567"/>
        <w:rPr>
          <w:sz w:val="24"/>
          <w:szCs w:val="24"/>
        </w:rPr>
      </w:pPr>
      <w:r w:rsidRPr="543832D4">
        <w:rPr>
          <w:sz w:val="24"/>
          <w:szCs w:val="24"/>
        </w:rPr>
        <w:t xml:space="preserve">DFAT estimates that the proposed </w:t>
      </w:r>
      <w:r w:rsidR="00421A8C">
        <w:rPr>
          <w:sz w:val="24"/>
          <w:szCs w:val="24"/>
        </w:rPr>
        <w:t>AI</w:t>
      </w:r>
      <w:r w:rsidR="00217C26">
        <w:rPr>
          <w:sz w:val="24"/>
          <w:szCs w:val="24"/>
        </w:rPr>
        <w:t xml:space="preserve"> ECTA</w:t>
      </w:r>
      <w:r w:rsidRPr="543832D4">
        <w:rPr>
          <w:sz w:val="24"/>
          <w:szCs w:val="24"/>
        </w:rPr>
        <w:t xml:space="preserve"> will have a similar effect on Australian markets resulting in an overall net benefit for Australian businesses and consumers in advance of any further openings secured in CECA. More detailed evidence supporting this proposition is provided below.</w:t>
      </w:r>
    </w:p>
    <w:p w14:paraId="3921A122" w14:textId="56EBAAB1" w:rsidR="0057428A" w:rsidRPr="005265AF" w:rsidRDefault="0057428A" w:rsidP="000F5776">
      <w:pPr>
        <w:pStyle w:val="ListParagraph"/>
        <w:spacing w:after="0"/>
        <w:ind w:left="567"/>
        <w:rPr>
          <w:rFonts w:asciiTheme="majorHAnsi" w:eastAsiaTheme="majorEastAsia" w:hAnsiTheme="majorHAnsi" w:cstheme="majorBidi"/>
          <w:color w:val="2F5496" w:themeColor="accent1" w:themeShade="BF"/>
          <w:sz w:val="26"/>
          <w:szCs w:val="26"/>
        </w:rPr>
      </w:pPr>
      <w:bookmarkStart w:id="22" w:name="_Toc88748498"/>
    </w:p>
    <w:p w14:paraId="2F0B59C7" w14:textId="313AD59C" w:rsidR="00AA71D0" w:rsidRDefault="00AA71D0" w:rsidP="0038033F">
      <w:pPr>
        <w:pStyle w:val="Heading2"/>
        <w:spacing w:before="0"/>
      </w:pPr>
      <w:bookmarkStart w:id="23" w:name="_Toc99370652"/>
      <w:r>
        <w:t>Economic modelling</w:t>
      </w:r>
      <w:bookmarkEnd w:id="23"/>
    </w:p>
    <w:p w14:paraId="744337E6" w14:textId="77777777" w:rsidR="00AA71D0" w:rsidRPr="00AA71D0" w:rsidRDefault="00AA71D0">
      <w:pPr>
        <w:pStyle w:val="ListParagraph"/>
        <w:spacing w:after="0"/>
        <w:ind w:left="567"/>
      </w:pPr>
    </w:p>
    <w:p w14:paraId="4BBBFADF" w14:textId="1C589BE7" w:rsidR="008A65A3" w:rsidRPr="00A5588B" w:rsidRDefault="00AA71D0">
      <w:pPr>
        <w:pStyle w:val="ListParagraph"/>
        <w:numPr>
          <w:ilvl w:val="0"/>
          <w:numId w:val="1"/>
        </w:numPr>
        <w:spacing w:after="0"/>
        <w:ind w:left="567" w:hanging="567"/>
      </w:pPr>
      <w:r w:rsidRPr="006A574B">
        <w:rPr>
          <w:sz w:val="24"/>
          <w:szCs w:val="24"/>
        </w:rPr>
        <w:t xml:space="preserve">Independent economic modelling was commissioned in both </w:t>
      </w:r>
      <w:r>
        <w:rPr>
          <w:sz w:val="24"/>
          <w:szCs w:val="24"/>
        </w:rPr>
        <w:t>India and Australia</w:t>
      </w:r>
      <w:r w:rsidRPr="006A574B">
        <w:rPr>
          <w:sz w:val="24"/>
          <w:szCs w:val="24"/>
        </w:rPr>
        <w:t xml:space="preserve"> for </w:t>
      </w:r>
      <w:r>
        <w:rPr>
          <w:sz w:val="24"/>
          <w:szCs w:val="24"/>
        </w:rPr>
        <w:t xml:space="preserve">the </w:t>
      </w:r>
      <w:r w:rsidRPr="006A574B">
        <w:rPr>
          <w:sz w:val="24"/>
          <w:szCs w:val="24"/>
        </w:rPr>
        <w:t>Australia-India Joint Feasibility Study</w:t>
      </w:r>
      <w:r w:rsidR="005E1290">
        <w:rPr>
          <w:sz w:val="24"/>
          <w:szCs w:val="24"/>
        </w:rPr>
        <w:t xml:space="preserve"> in 2009.</w:t>
      </w:r>
      <w:r>
        <w:rPr>
          <w:rStyle w:val="FootnoteReference"/>
        </w:rPr>
        <w:footnoteReference w:id="32"/>
      </w:r>
      <w:r>
        <w:rPr>
          <w:sz w:val="24"/>
          <w:szCs w:val="24"/>
        </w:rPr>
        <w:t xml:space="preserve"> </w:t>
      </w:r>
      <w:r w:rsidRPr="008E30F1">
        <w:rPr>
          <w:sz w:val="24"/>
          <w:szCs w:val="24"/>
        </w:rPr>
        <w:t>Economic modelling is necessarily based on certain assumptions and the results of the modelling should be regarded as indicative</w:t>
      </w:r>
      <w:r>
        <w:rPr>
          <w:sz w:val="24"/>
          <w:szCs w:val="24"/>
        </w:rPr>
        <w:t xml:space="preserve">. </w:t>
      </w:r>
      <w:r w:rsidR="00704DED">
        <w:rPr>
          <w:sz w:val="24"/>
          <w:szCs w:val="24"/>
        </w:rPr>
        <w:t xml:space="preserve">While a new feasibility </w:t>
      </w:r>
      <w:r w:rsidR="008A65A3">
        <w:rPr>
          <w:sz w:val="24"/>
          <w:szCs w:val="24"/>
        </w:rPr>
        <w:t xml:space="preserve">study </w:t>
      </w:r>
      <w:r w:rsidR="00704DED">
        <w:rPr>
          <w:sz w:val="24"/>
          <w:szCs w:val="24"/>
        </w:rPr>
        <w:t xml:space="preserve">has not been commissioned since </w:t>
      </w:r>
      <w:r w:rsidR="008A65A3">
        <w:rPr>
          <w:sz w:val="24"/>
          <w:szCs w:val="24"/>
        </w:rPr>
        <w:t>the Australia-India CECA negotiations recommenced, t</w:t>
      </w:r>
      <w:r w:rsidRPr="00BD11D9">
        <w:rPr>
          <w:sz w:val="24"/>
          <w:szCs w:val="24"/>
        </w:rPr>
        <w:t>he results</w:t>
      </w:r>
      <w:r w:rsidR="008A65A3">
        <w:rPr>
          <w:sz w:val="24"/>
          <w:szCs w:val="24"/>
        </w:rPr>
        <w:t xml:space="preserve"> from the 2009 study</w:t>
      </w:r>
      <w:r w:rsidRPr="00BD11D9">
        <w:rPr>
          <w:sz w:val="24"/>
          <w:szCs w:val="24"/>
        </w:rPr>
        <w:t xml:space="preserve"> indicated that the welfare of the two countries would increase with the conclusion of an FTA, or an Interim Agreement. </w:t>
      </w:r>
    </w:p>
    <w:p w14:paraId="1D79D827" w14:textId="77777777" w:rsidR="008A65A3" w:rsidRPr="00A5588B" w:rsidRDefault="008A65A3">
      <w:pPr>
        <w:pStyle w:val="ListParagraph"/>
        <w:spacing w:after="0"/>
        <w:ind w:left="567"/>
      </w:pPr>
    </w:p>
    <w:p w14:paraId="422DDA7F" w14:textId="2A00292F" w:rsidR="003F6444" w:rsidRPr="003F6444" w:rsidRDefault="00AA71D0">
      <w:pPr>
        <w:pStyle w:val="ListParagraph"/>
        <w:numPr>
          <w:ilvl w:val="0"/>
          <w:numId w:val="1"/>
        </w:numPr>
        <w:spacing w:after="0"/>
        <w:ind w:left="567" w:hanging="567"/>
      </w:pPr>
      <w:r w:rsidRPr="00BD11D9">
        <w:rPr>
          <w:sz w:val="24"/>
          <w:szCs w:val="24"/>
        </w:rPr>
        <w:t>The</w:t>
      </w:r>
      <w:r w:rsidR="008A65A3">
        <w:rPr>
          <w:sz w:val="24"/>
          <w:szCs w:val="24"/>
        </w:rPr>
        <w:t xml:space="preserve"> 2009 Joint Feasibility Study found that</w:t>
      </w:r>
      <w:r w:rsidRPr="00BD11D9">
        <w:rPr>
          <w:sz w:val="24"/>
          <w:szCs w:val="24"/>
        </w:rPr>
        <w:t xml:space="preserve"> welfare gains for both the countries could be in the range of 0.15 and 1.14 per</w:t>
      </w:r>
      <w:r w:rsidR="00854D6C">
        <w:rPr>
          <w:sz w:val="24"/>
          <w:szCs w:val="24"/>
        </w:rPr>
        <w:t xml:space="preserve"> </w:t>
      </w:r>
      <w:r w:rsidRPr="00BD11D9">
        <w:rPr>
          <w:sz w:val="24"/>
          <w:szCs w:val="24"/>
        </w:rPr>
        <w:t xml:space="preserve">cent of Gross Domestic Product (GDP) </w:t>
      </w:r>
      <w:r w:rsidR="00791075" w:rsidRPr="00B11E1F">
        <w:rPr>
          <w:sz w:val="24"/>
          <w:szCs w:val="24"/>
        </w:rPr>
        <w:t>for India</w:t>
      </w:r>
      <w:r w:rsidR="00791075">
        <w:rPr>
          <w:sz w:val="24"/>
          <w:szCs w:val="24"/>
        </w:rPr>
        <w:t xml:space="preserve"> </w:t>
      </w:r>
      <w:r w:rsidR="003E54D5">
        <w:rPr>
          <w:rFonts w:ascii="Calibri" w:eastAsia="Calibri" w:hAnsi="Calibri" w:cs="Calibri"/>
          <w:color w:val="000000" w:themeColor="text1"/>
          <w:sz w:val="24"/>
          <w:szCs w:val="24"/>
        </w:rPr>
        <w:t>(with the upper range in 2010 being valued at US$12.53 billion)</w:t>
      </w:r>
      <w:r w:rsidR="003E54D5" w:rsidRPr="00BD11D9">
        <w:rPr>
          <w:sz w:val="24"/>
          <w:szCs w:val="24"/>
        </w:rPr>
        <w:t xml:space="preserve"> and 0.23 and 1.17 per</w:t>
      </w:r>
      <w:r w:rsidR="003E54D5">
        <w:rPr>
          <w:sz w:val="24"/>
          <w:szCs w:val="24"/>
        </w:rPr>
        <w:t xml:space="preserve"> </w:t>
      </w:r>
      <w:r w:rsidR="003E54D5" w:rsidRPr="00BD11D9">
        <w:rPr>
          <w:sz w:val="24"/>
          <w:szCs w:val="24"/>
        </w:rPr>
        <w:t>cent of GDP for Australia</w:t>
      </w:r>
      <w:r w:rsidR="003E54D5">
        <w:rPr>
          <w:sz w:val="24"/>
          <w:szCs w:val="24"/>
        </w:rPr>
        <w:t xml:space="preserve"> </w:t>
      </w:r>
      <w:r w:rsidR="003E54D5">
        <w:rPr>
          <w:rFonts w:ascii="Calibri" w:eastAsia="Calibri" w:hAnsi="Calibri" w:cs="Calibri"/>
          <w:color w:val="000000" w:themeColor="text1"/>
          <w:sz w:val="24"/>
          <w:szCs w:val="24"/>
        </w:rPr>
        <w:t>(with the upper range in 2010 being valued at US$10.65 billion)</w:t>
      </w:r>
      <w:r w:rsidR="003E54D5">
        <w:rPr>
          <w:sz w:val="24"/>
          <w:szCs w:val="24"/>
        </w:rPr>
        <w:t xml:space="preserve">. </w:t>
      </w:r>
      <w:r w:rsidR="003E54D5">
        <w:rPr>
          <w:rFonts w:ascii="Calibri" w:eastAsia="Calibri" w:hAnsi="Calibri" w:cs="Calibri"/>
          <w:color w:val="000000" w:themeColor="text1"/>
          <w:sz w:val="24"/>
          <w:szCs w:val="24"/>
        </w:rPr>
        <w:t>Over a period of 20 years (from 2010), an FTA could lead to Indian GDP gaining in net terms an additional US$34.4 billion in (2009 prices) net present value terms, compared to US$32.4 billion in Australia</w:t>
      </w:r>
      <w:r w:rsidR="003E54D5" w:rsidRPr="00BD11D9">
        <w:rPr>
          <w:sz w:val="24"/>
          <w:szCs w:val="24"/>
        </w:rPr>
        <w:t xml:space="preserve">. </w:t>
      </w:r>
      <w:r w:rsidR="00101909">
        <w:rPr>
          <w:sz w:val="24"/>
          <w:szCs w:val="24"/>
        </w:rPr>
        <w:t xml:space="preserve">The proposed </w:t>
      </w:r>
      <w:r w:rsidR="006E5E78">
        <w:rPr>
          <w:sz w:val="24"/>
          <w:szCs w:val="24"/>
        </w:rPr>
        <w:t>AI ECTA</w:t>
      </w:r>
      <w:r w:rsidR="003E54D5" w:rsidRPr="00BD11D9">
        <w:rPr>
          <w:sz w:val="24"/>
          <w:szCs w:val="24"/>
        </w:rPr>
        <w:t xml:space="preserve"> or a full </w:t>
      </w:r>
      <w:r w:rsidR="00101909">
        <w:rPr>
          <w:sz w:val="24"/>
          <w:szCs w:val="24"/>
        </w:rPr>
        <w:t>CECA</w:t>
      </w:r>
      <w:r w:rsidR="003E54D5" w:rsidRPr="00BD11D9">
        <w:rPr>
          <w:sz w:val="24"/>
          <w:szCs w:val="24"/>
        </w:rPr>
        <w:t xml:space="preserve"> could result in a modest positive impact on total global economic output.</w:t>
      </w:r>
      <w:r w:rsidR="001F3B2F">
        <w:rPr>
          <w:sz w:val="24"/>
          <w:szCs w:val="24"/>
        </w:rPr>
        <w:t xml:space="preserve"> </w:t>
      </w:r>
    </w:p>
    <w:p w14:paraId="74241D1D" w14:textId="77777777" w:rsidR="003F6444" w:rsidRPr="003F6444" w:rsidRDefault="003F6444" w:rsidP="0001716D">
      <w:pPr>
        <w:pStyle w:val="ListParagraph"/>
        <w:spacing w:after="0"/>
        <w:rPr>
          <w:sz w:val="24"/>
          <w:szCs w:val="24"/>
        </w:rPr>
      </w:pPr>
    </w:p>
    <w:p w14:paraId="05CC91A2" w14:textId="6338C497" w:rsidR="00AA71D0" w:rsidRDefault="003F6444">
      <w:pPr>
        <w:pStyle w:val="ListParagraph"/>
        <w:numPr>
          <w:ilvl w:val="0"/>
          <w:numId w:val="1"/>
        </w:numPr>
        <w:spacing w:after="0"/>
        <w:ind w:left="567" w:hanging="567"/>
      </w:pPr>
      <w:r>
        <w:rPr>
          <w:sz w:val="24"/>
          <w:szCs w:val="24"/>
        </w:rPr>
        <w:t>I</w:t>
      </w:r>
      <w:r w:rsidR="001F3B2F">
        <w:rPr>
          <w:sz w:val="24"/>
          <w:szCs w:val="24"/>
        </w:rPr>
        <w:t>n the absence of a more up-to-date feasibility study</w:t>
      </w:r>
      <w:r w:rsidR="00852F1A">
        <w:rPr>
          <w:sz w:val="24"/>
          <w:szCs w:val="24"/>
        </w:rPr>
        <w:t xml:space="preserve">, </w:t>
      </w:r>
      <w:r w:rsidR="00361140">
        <w:rPr>
          <w:sz w:val="24"/>
          <w:szCs w:val="24"/>
        </w:rPr>
        <w:t>it is not possible</w:t>
      </w:r>
      <w:r w:rsidR="00852F1A">
        <w:rPr>
          <w:sz w:val="24"/>
          <w:szCs w:val="24"/>
        </w:rPr>
        <w:t xml:space="preserve"> </w:t>
      </w:r>
      <w:r w:rsidR="00571B64">
        <w:rPr>
          <w:sz w:val="24"/>
          <w:szCs w:val="24"/>
        </w:rPr>
        <w:t>to provide more current figures</w:t>
      </w:r>
      <w:r w:rsidR="00361140">
        <w:rPr>
          <w:sz w:val="24"/>
          <w:szCs w:val="24"/>
        </w:rPr>
        <w:t xml:space="preserve"> for this </w:t>
      </w:r>
      <w:r w:rsidR="008D2422">
        <w:rPr>
          <w:sz w:val="24"/>
          <w:szCs w:val="24"/>
        </w:rPr>
        <w:t>RIS</w:t>
      </w:r>
      <w:r w:rsidR="00571B64">
        <w:rPr>
          <w:sz w:val="24"/>
          <w:szCs w:val="24"/>
        </w:rPr>
        <w:t xml:space="preserve"> in terms o</w:t>
      </w:r>
      <w:r w:rsidR="00361140">
        <w:rPr>
          <w:sz w:val="24"/>
          <w:szCs w:val="24"/>
        </w:rPr>
        <w:t xml:space="preserve">f </w:t>
      </w:r>
      <w:r w:rsidR="00571B64">
        <w:rPr>
          <w:sz w:val="24"/>
          <w:szCs w:val="24"/>
        </w:rPr>
        <w:t xml:space="preserve">welfare gains that </w:t>
      </w:r>
      <w:r w:rsidR="00361140">
        <w:rPr>
          <w:sz w:val="24"/>
          <w:szCs w:val="24"/>
        </w:rPr>
        <w:t>are</w:t>
      </w:r>
      <w:r w:rsidR="00571B64">
        <w:rPr>
          <w:sz w:val="24"/>
          <w:szCs w:val="24"/>
        </w:rPr>
        <w:t xml:space="preserve"> anticipated to flow from the proposed </w:t>
      </w:r>
      <w:r w:rsidR="00421A8C">
        <w:rPr>
          <w:sz w:val="24"/>
          <w:szCs w:val="24"/>
        </w:rPr>
        <w:t>AI</w:t>
      </w:r>
      <w:r w:rsidR="00217C26">
        <w:rPr>
          <w:sz w:val="24"/>
          <w:szCs w:val="24"/>
        </w:rPr>
        <w:t xml:space="preserve"> ECTA</w:t>
      </w:r>
      <w:r w:rsidR="00571B64">
        <w:rPr>
          <w:sz w:val="24"/>
          <w:szCs w:val="24"/>
        </w:rPr>
        <w:t xml:space="preserve">. </w:t>
      </w:r>
    </w:p>
    <w:p w14:paraId="624D9402" w14:textId="77777777" w:rsidR="0038033F" w:rsidRDefault="0038033F" w:rsidP="00F03F07"/>
    <w:p w14:paraId="2A2B5B85" w14:textId="1E05DF20" w:rsidR="00C3560D" w:rsidRDefault="00C3560D">
      <w:pPr>
        <w:pStyle w:val="Heading2"/>
        <w:spacing w:before="0"/>
      </w:pPr>
      <w:bookmarkStart w:id="24" w:name="_Toc99370653"/>
      <w:r>
        <w:t>The impact of liberalising trade in goods with India</w:t>
      </w:r>
      <w:bookmarkEnd w:id="24"/>
      <w:r>
        <w:t xml:space="preserve"> </w:t>
      </w:r>
    </w:p>
    <w:p w14:paraId="54909A9D" w14:textId="77777777" w:rsidR="00B71EE1" w:rsidRDefault="00B71EE1">
      <w:pPr>
        <w:pStyle w:val="ListParagraph"/>
        <w:spacing w:after="0"/>
        <w:ind w:left="567"/>
        <w:rPr>
          <w:sz w:val="24"/>
          <w:szCs w:val="24"/>
        </w:rPr>
      </w:pPr>
    </w:p>
    <w:p w14:paraId="25494034" w14:textId="5556A429" w:rsidR="0039249F" w:rsidRDefault="0039249F">
      <w:pPr>
        <w:pStyle w:val="ListParagraph"/>
        <w:numPr>
          <w:ilvl w:val="0"/>
          <w:numId w:val="1"/>
        </w:numPr>
        <w:spacing w:after="0"/>
        <w:ind w:left="567" w:hanging="567"/>
      </w:pPr>
      <w:r w:rsidRPr="543832D4">
        <w:rPr>
          <w:sz w:val="24"/>
          <w:szCs w:val="24"/>
        </w:rPr>
        <w:t>India’s economy is globally significant – estimated to be the third largest economy in the world (in purchasing power parity terms), accounting for around 7 per cent of global gross domestic product in recent estimates.</w:t>
      </w:r>
      <w:r w:rsidRPr="543832D4">
        <w:rPr>
          <w:rStyle w:val="FootnoteReference"/>
          <w:sz w:val="24"/>
          <w:szCs w:val="24"/>
        </w:rPr>
        <w:footnoteReference w:id="33"/>
      </w:r>
      <w:r w:rsidRPr="543832D4">
        <w:rPr>
          <w:sz w:val="24"/>
          <w:szCs w:val="24"/>
        </w:rPr>
        <w:t xml:space="preserve"> </w:t>
      </w:r>
      <w:r w:rsidR="543832D4" w:rsidRPr="543832D4">
        <w:rPr>
          <w:rFonts w:ascii="Calibri" w:eastAsia="Calibri" w:hAnsi="Calibri" w:cs="Calibri"/>
          <w:sz w:val="24"/>
          <w:szCs w:val="24"/>
        </w:rPr>
        <w:t>It has the world’s second largest population and on track to surpass China within the next decade.</w:t>
      </w:r>
      <w:r w:rsidR="008F3719">
        <w:rPr>
          <w:rStyle w:val="FootnoteReference"/>
          <w:rFonts w:ascii="Calibri" w:eastAsia="Calibri" w:hAnsi="Calibri" w:cs="Calibri"/>
          <w:sz w:val="24"/>
          <w:szCs w:val="24"/>
        </w:rPr>
        <w:footnoteReference w:id="34"/>
      </w:r>
      <w:r w:rsidR="008F3719" w:rsidRPr="543832D4">
        <w:rPr>
          <w:rFonts w:ascii="Calibri" w:eastAsia="Calibri" w:hAnsi="Calibri" w:cs="Calibri"/>
          <w:sz w:val="24"/>
          <w:szCs w:val="24"/>
        </w:rPr>
        <w:t xml:space="preserve"> </w:t>
      </w:r>
      <w:r w:rsidR="543832D4" w:rsidRPr="543832D4">
        <w:rPr>
          <w:rFonts w:ascii="Calibri" w:eastAsia="Calibri" w:hAnsi="Calibri" w:cs="Calibri"/>
          <w:sz w:val="24"/>
          <w:szCs w:val="24"/>
        </w:rPr>
        <w:t>Yet, India’s economic development is far from its potential – with one sixth of the global population, its productivity remains 82 per</w:t>
      </w:r>
      <w:r w:rsidR="004004E3">
        <w:rPr>
          <w:rFonts w:ascii="Calibri" w:eastAsia="Calibri" w:hAnsi="Calibri" w:cs="Calibri"/>
          <w:sz w:val="24"/>
          <w:szCs w:val="24"/>
        </w:rPr>
        <w:t> </w:t>
      </w:r>
      <w:r w:rsidR="543832D4" w:rsidRPr="543832D4">
        <w:rPr>
          <w:rFonts w:ascii="Calibri" w:eastAsia="Calibri" w:hAnsi="Calibri" w:cs="Calibri"/>
          <w:sz w:val="24"/>
          <w:szCs w:val="24"/>
        </w:rPr>
        <w:t>cent lower than OECD best performers.</w:t>
      </w:r>
      <w:r w:rsidR="008F3719">
        <w:rPr>
          <w:rStyle w:val="FootnoteReference"/>
          <w:rFonts w:ascii="Calibri" w:eastAsia="Calibri" w:hAnsi="Calibri" w:cs="Calibri"/>
          <w:sz w:val="24"/>
          <w:szCs w:val="24"/>
        </w:rPr>
        <w:footnoteReference w:id="35"/>
      </w:r>
      <w:r w:rsidR="543832D4" w:rsidRPr="543832D4">
        <w:rPr>
          <w:rFonts w:ascii="Calibri" w:eastAsia="Calibri" w:hAnsi="Calibri" w:cs="Calibri"/>
          <w:sz w:val="24"/>
          <w:szCs w:val="24"/>
        </w:rPr>
        <w:t xml:space="preserve"> However, India’s gradual recovery from the pandemic could herald a return to improved performance. In its most recent World</w:t>
      </w:r>
      <w:r w:rsidR="004004E3">
        <w:rPr>
          <w:rFonts w:ascii="Calibri" w:eastAsia="Calibri" w:hAnsi="Calibri" w:cs="Calibri"/>
          <w:sz w:val="24"/>
          <w:szCs w:val="24"/>
        </w:rPr>
        <w:t> </w:t>
      </w:r>
      <w:r w:rsidR="543832D4" w:rsidRPr="543832D4">
        <w:rPr>
          <w:rFonts w:ascii="Calibri" w:eastAsia="Calibri" w:hAnsi="Calibri" w:cs="Calibri"/>
          <w:sz w:val="24"/>
          <w:szCs w:val="24"/>
        </w:rPr>
        <w:t>Economic Outlook update for January 2022, the International Monetary Fund revised India’s prospects up for 2023, citing better‑than‑expected improvements in the financial sector, with credit growth leading to greater investment and consumption.</w:t>
      </w:r>
      <w:r w:rsidR="008F3719">
        <w:rPr>
          <w:rStyle w:val="FootnoteReference"/>
          <w:rFonts w:ascii="Calibri" w:eastAsia="Calibri" w:hAnsi="Calibri" w:cs="Calibri"/>
          <w:sz w:val="24"/>
          <w:szCs w:val="24"/>
        </w:rPr>
        <w:footnoteReference w:id="36"/>
      </w:r>
      <w:r w:rsidR="008F3719">
        <w:t xml:space="preserve"> </w:t>
      </w:r>
    </w:p>
    <w:p w14:paraId="2330775B" w14:textId="3587D2DC" w:rsidR="543832D4" w:rsidRDefault="543832D4" w:rsidP="00FF064C">
      <w:pPr>
        <w:pStyle w:val="ListParagraph"/>
        <w:numPr>
          <w:ilvl w:val="0"/>
          <w:numId w:val="1"/>
        </w:numPr>
        <w:spacing w:after="0"/>
        <w:ind w:left="567" w:hanging="567"/>
      </w:pPr>
      <w:r w:rsidRPr="543832D4">
        <w:rPr>
          <w:rFonts w:ascii="Calibri" w:eastAsia="Calibri" w:hAnsi="Calibri" w:cs="Calibri"/>
          <w:sz w:val="24"/>
          <w:szCs w:val="24"/>
        </w:rPr>
        <w:t>India’s strong fundamentals, including its youthful demographics, burgeoning consumer class, steady urbanisation and formalisation of the economy will fuel a growing demand for Australian goods and services in the long-term. Having an established framework to enhance two-way trade in goods would ensure Australian businesses are in a prime position to capitalise on India’s enormous and growing market. It would also likely result in a greater variety of goods from India being imported into Australia at a lower cost.</w:t>
      </w:r>
    </w:p>
    <w:p w14:paraId="0A8083D5" w14:textId="28BB2697" w:rsidR="543832D4" w:rsidRDefault="543832D4" w:rsidP="00A5588B">
      <w:pPr>
        <w:spacing w:after="0"/>
      </w:pPr>
    </w:p>
    <w:p w14:paraId="05DFBE5C" w14:textId="77E4AAEF" w:rsidR="009F6D6A" w:rsidRPr="009F6D6A" w:rsidRDefault="0039249F" w:rsidP="00FF064C">
      <w:pPr>
        <w:pStyle w:val="ListParagraph"/>
        <w:numPr>
          <w:ilvl w:val="0"/>
          <w:numId w:val="1"/>
        </w:numPr>
        <w:spacing w:after="0"/>
        <w:ind w:left="567" w:hanging="567"/>
      </w:pPr>
      <w:r w:rsidRPr="543832D4">
        <w:rPr>
          <w:sz w:val="24"/>
          <w:szCs w:val="24"/>
        </w:rPr>
        <w:t xml:space="preserve">In the India Economic Strategy, India’s economic growth was assumed to be 6-8 per cent, which would result in India’s economy doubling between 2017 and 2035 and its share of </w:t>
      </w:r>
      <w:r w:rsidRPr="543832D4">
        <w:rPr>
          <w:sz w:val="24"/>
          <w:szCs w:val="24"/>
        </w:rPr>
        <w:lastRenderedPageBreak/>
        <w:t xml:space="preserve">global economic activity increasing from 6 per cent to 13 per cent. However, </w:t>
      </w:r>
      <w:proofErr w:type="gramStart"/>
      <w:r w:rsidRPr="543832D4">
        <w:rPr>
          <w:sz w:val="24"/>
          <w:szCs w:val="24"/>
        </w:rPr>
        <w:t>in order to</w:t>
      </w:r>
      <w:proofErr w:type="gramEnd"/>
      <w:r w:rsidRPr="543832D4">
        <w:rPr>
          <w:sz w:val="24"/>
          <w:szCs w:val="24"/>
        </w:rPr>
        <w:t xml:space="preserve"> meet this economic growth potential, India will need to undertake a wide range of economic reforms </w:t>
      </w:r>
      <w:r w:rsidR="00C37B96">
        <w:rPr>
          <w:sz w:val="24"/>
          <w:szCs w:val="24"/>
        </w:rPr>
        <w:t xml:space="preserve">that </w:t>
      </w:r>
      <w:r w:rsidRPr="543832D4">
        <w:rPr>
          <w:sz w:val="24"/>
          <w:szCs w:val="24"/>
        </w:rPr>
        <w:t xml:space="preserve">require greater integration with the global economy. </w:t>
      </w:r>
    </w:p>
    <w:p w14:paraId="739690C2" w14:textId="77777777" w:rsidR="009F6D6A" w:rsidRPr="009F6D6A" w:rsidRDefault="009F6D6A" w:rsidP="0038033F">
      <w:pPr>
        <w:pStyle w:val="ListParagraph"/>
        <w:spacing w:after="0"/>
        <w:rPr>
          <w:sz w:val="24"/>
          <w:szCs w:val="24"/>
        </w:rPr>
      </w:pPr>
    </w:p>
    <w:p w14:paraId="2A3E1415" w14:textId="13DAD0DD" w:rsidR="009F6D6A" w:rsidRPr="009F6D6A" w:rsidRDefault="00575D40" w:rsidP="00A80396">
      <w:pPr>
        <w:pStyle w:val="ListParagraph"/>
        <w:numPr>
          <w:ilvl w:val="0"/>
          <w:numId w:val="1"/>
        </w:numPr>
        <w:spacing w:after="0"/>
        <w:ind w:left="567" w:hanging="567"/>
      </w:pPr>
      <w:r>
        <w:rPr>
          <w:sz w:val="24"/>
          <w:szCs w:val="24"/>
        </w:rPr>
        <w:t xml:space="preserve">India is traditionally a highly protected economy with high tariff and non-tariff barriers, particularly in agriculture.  </w:t>
      </w:r>
      <w:r w:rsidR="0039249F" w:rsidRPr="543832D4">
        <w:rPr>
          <w:sz w:val="24"/>
          <w:szCs w:val="24"/>
        </w:rPr>
        <w:t xml:space="preserve"> </w:t>
      </w:r>
      <w:r>
        <w:rPr>
          <w:sz w:val="24"/>
          <w:szCs w:val="24"/>
        </w:rPr>
        <w:t>T</w:t>
      </w:r>
      <w:r w:rsidR="0039249F" w:rsidRPr="543832D4">
        <w:rPr>
          <w:sz w:val="24"/>
          <w:szCs w:val="24"/>
        </w:rPr>
        <w:t xml:space="preserve">he trade liberalisation measures included in the proposed </w:t>
      </w:r>
      <w:r w:rsidR="006E5E78">
        <w:rPr>
          <w:sz w:val="24"/>
          <w:szCs w:val="24"/>
        </w:rPr>
        <w:t>AI ECTA</w:t>
      </w:r>
      <w:r>
        <w:rPr>
          <w:sz w:val="24"/>
          <w:szCs w:val="24"/>
        </w:rPr>
        <w:t xml:space="preserve"> </w:t>
      </w:r>
      <w:r w:rsidRPr="543832D4">
        <w:rPr>
          <w:sz w:val="24"/>
          <w:szCs w:val="24"/>
        </w:rPr>
        <w:t xml:space="preserve">will </w:t>
      </w:r>
      <w:r>
        <w:rPr>
          <w:sz w:val="24"/>
          <w:szCs w:val="24"/>
        </w:rPr>
        <w:t>have</w:t>
      </w:r>
      <w:r w:rsidRPr="543832D4">
        <w:rPr>
          <w:sz w:val="24"/>
          <w:szCs w:val="24"/>
        </w:rPr>
        <w:t xml:space="preserve"> economic benefits for Australia</w:t>
      </w:r>
      <w:r w:rsidR="0039249F" w:rsidRPr="543832D4">
        <w:rPr>
          <w:sz w:val="24"/>
          <w:szCs w:val="24"/>
        </w:rPr>
        <w:t xml:space="preserve">. The </w:t>
      </w:r>
      <w:r>
        <w:rPr>
          <w:sz w:val="24"/>
          <w:szCs w:val="24"/>
        </w:rPr>
        <w:t xml:space="preserve">binding, </w:t>
      </w:r>
      <w:r w:rsidR="0039249F" w:rsidRPr="543832D4">
        <w:rPr>
          <w:sz w:val="24"/>
          <w:szCs w:val="24"/>
        </w:rPr>
        <w:t xml:space="preserve">elimination or reduction in tariffs would bring significant benefits for Australian businesses, including opening the doors for Australian goods to enter the Indian market (where this was previously not economically feasible for businesses due to high </w:t>
      </w:r>
      <w:r>
        <w:rPr>
          <w:sz w:val="24"/>
          <w:szCs w:val="24"/>
        </w:rPr>
        <w:t xml:space="preserve">and variable </w:t>
      </w:r>
      <w:r w:rsidR="0039249F" w:rsidRPr="543832D4">
        <w:rPr>
          <w:sz w:val="24"/>
          <w:szCs w:val="24"/>
        </w:rPr>
        <w:t xml:space="preserve">tariffs) and ensuring Australian goods are more competitively priced. </w:t>
      </w:r>
    </w:p>
    <w:p w14:paraId="2A952460" w14:textId="77777777" w:rsidR="009F6D6A" w:rsidRPr="009F6D6A" w:rsidRDefault="009F6D6A" w:rsidP="0038033F">
      <w:pPr>
        <w:pStyle w:val="ListParagraph"/>
        <w:spacing w:after="0"/>
        <w:rPr>
          <w:sz w:val="24"/>
          <w:szCs w:val="24"/>
        </w:rPr>
      </w:pPr>
    </w:p>
    <w:p w14:paraId="08D4009A" w14:textId="4C8B795D" w:rsidR="009F6D6A" w:rsidRPr="009F6D6A" w:rsidRDefault="0039249F" w:rsidP="00A80396">
      <w:pPr>
        <w:pStyle w:val="ListParagraph"/>
        <w:numPr>
          <w:ilvl w:val="0"/>
          <w:numId w:val="1"/>
        </w:numPr>
        <w:spacing w:after="0"/>
        <w:ind w:left="567" w:hanging="567"/>
      </w:pPr>
      <w:r w:rsidRPr="543832D4">
        <w:rPr>
          <w:sz w:val="24"/>
          <w:szCs w:val="24"/>
        </w:rPr>
        <w:t>In 2020, India was Australia’s sixth largest exports market for goods and services</w:t>
      </w:r>
      <w:r w:rsidR="006E7246" w:rsidRPr="543832D4">
        <w:rPr>
          <w:sz w:val="24"/>
          <w:szCs w:val="24"/>
        </w:rPr>
        <w:t xml:space="preserve"> and fourth largest goods export market</w:t>
      </w:r>
      <w:r w:rsidRPr="543832D4">
        <w:rPr>
          <w:sz w:val="24"/>
          <w:szCs w:val="24"/>
        </w:rPr>
        <w:t xml:space="preserve">, with coal being Australia’s single largest goods export to India. However, if coal </w:t>
      </w:r>
      <w:r w:rsidR="00D1683A" w:rsidRPr="543832D4">
        <w:rPr>
          <w:sz w:val="24"/>
          <w:szCs w:val="24"/>
        </w:rPr>
        <w:t>w</w:t>
      </w:r>
      <w:r w:rsidR="00C37B96">
        <w:rPr>
          <w:sz w:val="24"/>
          <w:szCs w:val="24"/>
        </w:rPr>
        <w:t>ere</w:t>
      </w:r>
      <w:r w:rsidRPr="543832D4">
        <w:rPr>
          <w:sz w:val="24"/>
          <w:szCs w:val="24"/>
        </w:rPr>
        <w:t xml:space="preserve"> excluded (it accounted for 42 per cent of exports in 2020), India drops to Australia’s 10</w:t>
      </w:r>
      <w:r w:rsidRPr="543832D4">
        <w:rPr>
          <w:sz w:val="24"/>
          <w:szCs w:val="24"/>
          <w:vertAlign w:val="superscript"/>
        </w:rPr>
        <w:t>th</w:t>
      </w:r>
      <w:r w:rsidRPr="543832D4">
        <w:rPr>
          <w:sz w:val="24"/>
          <w:szCs w:val="24"/>
        </w:rPr>
        <w:t xml:space="preserve"> largest export market. The </w:t>
      </w:r>
      <w:r w:rsidR="007E08E2" w:rsidRPr="543832D4">
        <w:rPr>
          <w:sz w:val="24"/>
          <w:szCs w:val="24"/>
        </w:rPr>
        <w:t>proposed</w:t>
      </w:r>
      <w:r w:rsidRPr="543832D4">
        <w:rPr>
          <w:sz w:val="24"/>
          <w:szCs w:val="24"/>
        </w:rPr>
        <w:t xml:space="preserve"> </w:t>
      </w:r>
      <w:r w:rsidR="00421A8C">
        <w:rPr>
          <w:sz w:val="24"/>
          <w:szCs w:val="24"/>
        </w:rPr>
        <w:t>AI</w:t>
      </w:r>
      <w:r w:rsidR="00217C26">
        <w:rPr>
          <w:sz w:val="24"/>
          <w:szCs w:val="24"/>
        </w:rPr>
        <w:t xml:space="preserve"> ECTA</w:t>
      </w:r>
      <w:r w:rsidR="007E08E2" w:rsidRPr="543832D4">
        <w:rPr>
          <w:sz w:val="24"/>
          <w:szCs w:val="24"/>
        </w:rPr>
        <w:t xml:space="preserve"> and a full CECA </w:t>
      </w:r>
      <w:r w:rsidRPr="543832D4">
        <w:rPr>
          <w:sz w:val="24"/>
          <w:szCs w:val="24"/>
        </w:rPr>
        <w:t xml:space="preserve">will </w:t>
      </w:r>
      <w:r w:rsidR="00C37B96">
        <w:rPr>
          <w:sz w:val="24"/>
          <w:szCs w:val="24"/>
        </w:rPr>
        <w:t xml:space="preserve">provide an important mechanism to further </w:t>
      </w:r>
      <w:r w:rsidRPr="543832D4">
        <w:rPr>
          <w:sz w:val="24"/>
          <w:szCs w:val="24"/>
        </w:rPr>
        <w:t>diversi</w:t>
      </w:r>
      <w:r w:rsidR="00C37B96">
        <w:rPr>
          <w:sz w:val="24"/>
          <w:szCs w:val="24"/>
        </w:rPr>
        <w:t>f</w:t>
      </w:r>
      <w:r w:rsidRPr="543832D4">
        <w:rPr>
          <w:sz w:val="24"/>
          <w:szCs w:val="24"/>
        </w:rPr>
        <w:t xml:space="preserve">y Australia’s exports to India. </w:t>
      </w:r>
    </w:p>
    <w:p w14:paraId="7DC9C65C" w14:textId="3FDA9405" w:rsidR="009F6D6A" w:rsidRPr="009F6D6A" w:rsidRDefault="009F6D6A" w:rsidP="0038033F">
      <w:pPr>
        <w:pStyle w:val="ListParagraph"/>
        <w:spacing w:after="0"/>
        <w:rPr>
          <w:sz w:val="24"/>
          <w:szCs w:val="24"/>
        </w:rPr>
      </w:pPr>
    </w:p>
    <w:p w14:paraId="76E3119F" w14:textId="6BD5A008" w:rsidR="543832D4" w:rsidRDefault="543832D4" w:rsidP="00A80396">
      <w:pPr>
        <w:pStyle w:val="ListParagraph"/>
        <w:numPr>
          <w:ilvl w:val="0"/>
          <w:numId w:val="1"/>
        </w:numPr>
        <w:spacing w:after="0"/>
        <w:ind w:left="567" w:hanging="567"/>
      </w:pPr>
      <w:r w:rsidRPr="543832D4">
        <w:rPr>
          <w:rFonts w:ascii="Calibri" w:eastAsia="Calibri" w:hAnsi="Calibri" w:cs="Calibri"/>
          <w:sz w:val="24"/>
          <w:szCs w:val="24"/>
        </w:rPr>
        <w:t>In 2020, India was Australia’s 11</w:t>
      </w:r>
      <w:r w:rsidRPr="543832D4">
        <w:rPr>
          <w:rFonts w:ascii="Calibri" w:eastAsia="Calibri" w:hAnsi="Calibri" w:cs="Calibri"/>
          <w:sz w:val="24"/>
          <w:szCs w:val="24"/>
          <w:vertAlign w:val="superscript"/>
        </w:rPr>
        <w:t>th</w:t>
      </w:r>
      <w:r w:rsidRPr="543832D4">
        <w:rPr>
          <w:rFonts w:ascii="Calibri" w:eastAsia="Calibri" w:hAnsi="Calibri" w:cs="Calibri"/>
          <w:sz w:val="24"/>
          <w:szCs w:val="24"/>
        </w:rPr>
        <w:t xml:space="preserve"> largest source for goods and services imports. Australia’s largest imports by value between 2016-2020 (prior to the pandemic, which affected international travel) were recreational travel (worth around </w:t>
      </w:r>
      <w:r w:rsidR="007F3483">
        <w:rPr>
          <w:rFonts w:ascii="Calibri" w:eastAsia="Calibri" w:hAnsi="Calibri" w:cs="Calibri"/>
          <w:sz w:val="24"/>
          <w:szCs w:val="24"/>
        </w:rPr>
        <w:t>AU</w:t>
      </w:r>
      <w:r w:rsidRPr="543832D4">
        <w:rPr>
          <w:rFonts w:ascii="Calibri" w:eastAsia="Calibri" w:hAnsi="Calibri" w:cs="Calibri"/>
          <w:sz w:val="24"/>
          <w:szCs w:val="24"/>
        </w:rPr>
        <w:t xml:space="preserve">$1,094 million); refined petroleum (worth around </w:t>
      </w:r>
      <w:r w:rsidR="007F3483">
        <w:rPr>
          <w:rFonts w:ascii="Calibri" w:eastAsia="Calibri" w:hAnsi="Calibri" w:cs="Calibri"/>
          <w:sz w:val="24"/>
          <w:szCs w:val="24"/>
        </w:rPr>
        <w:t>AU</w:t>
      </w:r>
      <w:r w:rsidRPr="543832D4">
        <w:rPr>
          <w:rFonts w:ascii="Calibri" w:eastAsia="Calibri" w:hAnsi="Calibri" w:cs="Calibri"/>
          <w:sz w:val="24"/>
          <w:szCs w:val="24"/>
        </w:rPr>
        <w:t>$1,042 million on average); professional, technology and other business services (</w:t>
      </w:r>
      <w:r w:rsidR="007F3483">
        <w:rPr>
          <w:rFonts w:ascii="Calibri" w:eastAsia="Calibri" w:hAnsi="Calibri" w:cs="Calibri"/>
          <w:sz w:val="24"/>
          <w:szCs w:val="24"/>
        </w:rPr>
        <w:t>AU</w:t>
      </w:r>
      <w:r w:rsidRPr="543832D4">
        <w:rPr>
          <w:rFonts w:ascii="Calibri" w:eastAsia="Calibri" w:hAnsi="Calibri" w:cs="Calibri"/>
          <w:sz w:val="24"/>
          <w:szCs w:val="24"/>
        </w:rPr>
        <w:t xml:space="preserve">$612 million); and telecommunications and ICT services </w:t>
      </w:r>
      <w:r w:rsidR="007F3483">
        <w:rPr>
          <w:rFonts w:ascii="Calibri" w:eastAsia="Calibri" w:hAnsi="Calibri" w:cs="Calibri"/>
          <w:sz w:val="24"/>
          <w:szCs w:val="24"/>
        </w:rPr>
        <w:br/>
      </w:r>
      <w:r w:rsidRPr="543832D4">
        <w:rPr>
          <w:rFonts w:ascii="Calibri" w:eastAsia="Calibri" w:hAnsi="Calibri" w:cs="Calibri"/>
          <w:sz w:val="24"/>
          <w:szCs w:val="24"/>
        </w:rPr>
        <w:t>(</w:t>
      </w:r>
      <w:r w:rsidR="007F3483">
        <w:rPr>
          <w:rFonts w:ascii="Calibri" w:eastAsia="Calibri" w:hAnsi="Calibri" w:cs="Calibri"/>
          <w:sz w:val="24"/>
          <w:szCs w:val="24"/>
        </w:rPr>
        <w:t>AU</w:t>
      </w:r>
      <w:r w:rsidRPr="543832D4">
        <w:rPr>
          <w:rFonts w:ascii="Calibri" w:eastAsia="Calibri" w:hAnsi="Calibri" w:cs="Calibri"/>
          <w:sz w:val="24"/>
          <w:szCs w:val="24"/>
        </w:rPr>
        <w:t>$500 million).</w:t>
      </w:r>
    </w:p>
    <w:p w14:paraId="560F9B05" w14:textId="69D976EA" w:rsidR="543832D4" w:rsidRDefault="543832D4" w:rsidP="543832D4">
      <w:pPr>
        <w:spacing w:after="0"/>
        <w:rPr>
          <w:rFonts w:ascii="Calibri" w:eastAsia="Calibri" w:hAnsi="Calibri" w:cs="Calibri"/>
          <w:sz w:val="24"/>
          <w:szCs w:val="24"/>
        </w:rPr>
      </w:pPr>
    </w:p>
    <w:p w14:paraId="0588151E" w14:textId="144A5EED" w:rsidR="543832D4" w:rsidRDefault="543832D4" w:rsidP="00A80396">
      <w:pPr>
        <w:pStyle w:val="ListParagraph"/>
        <w:numPr>
          <w:ilvl w:val="0"/>
          <w:numId w:val="1"/>
        </w:numPr>
        <w:spacing w:after="0"/>
        <w:ind w:left="567" w:hanging="567"/>
      </w:pPr>
      <w:r w:rsidRPr="543832D4">
        <w:rPr>
          <w:rFonts w:ascii="Calibri" w:eastAsia="Calibri" w:hAnsi="Calibri" w:cs="Calibri"/>
          <w:sz w:val="24"/>
          <w:szCs w:val="24"/>
        </w:rPr>
        <w:t>Liberalising Australia’s trade in goods with India would likely have a quantifiable impact, which has been considered in the context of specific goods, as per below:</w:t>
      </w:r>
    </w:p>
    <w:p w14:paraId="44DFC128" w14:textId="77777777" w:rsidR="0038033F" w:rsidRDefault="0038033F" w:rsidP="00F03F07"/>
    <w:p w14:paraId="3212A1F3" w14:textId="5533F235" w:rsidR="005E6076" w:rsidRDefault="005E6076" w:rsidP="0038033F">
      <w:pPr>
        <w:pStyle w:val="Heading2"/>
        <w:spacing w:before="0"/>
      </w:pPr>
      <w:bookmarkStart w:id="25" w:name="_Toc99370654"/>
      <w:r>
        <w:t xml:space="preserve">The impact of key </w:t>
      </w:r>
      <w:r w:rsidR="00A96E01">
        <w:t>goods</w:t>
      </w:r>
      <w:r>
        <w:t xml:space="preserve"> market access outcomes</w:t>
      </w:r>
      <w:bookmarkEnd w:id="25"/>
    </w:p>
    <w:p w14:paraId="394BCA92" w14:textId="77777777" w:rsidR="005E6076" w:rsidRDefault="005E6076" w:rsidP="0038033F">
      <w:pPr>
        <w:pStyle w:val="ListParagraph"/>
        <w:spacing w:after="0"/>
        <w:ind w:left="567"/>
        <w:rPr>
          <w:sz w:val="24"/>
          <w:szCs w:val="24"/>
        </w:rPr>
      </w:pPr>
      <w:bookmarkStart w:id="26" w:name="_Hlk83297353"/>
    </w:p>
    <w:p w14:paraId="0B2AFCFD" w14:textId="3C3D9522" w:rsidR="000B0214" w:rsidRPr="000F5776" w:rsidRDefault="000B0214" w:rsidP="000B0214">
      <w:pPr>
        <w:pStyle w:val="ListParagraph"/>
        <w:numPr>
          <w:ilvl w:val="0"/>
          <w:numId w:val="1"/>
        </w:numPr>
        <w:spacing w:after="0"/>
        <w:ind w:left="567" w:hanging="567"/>
        <w:rPr>
          <w:sz w:val="24"/>
          <w:szCs w:val="24"/>
        </w:rPr>
      </w:pPr>
      <w:r w:rsidRPr="000B0214">
        <w:rPr>
          <w:rFonts w:ascii="Calibri" w:eastAsia="Calibri" w:hAnsi="Calibri" w:cs="Calibri"/>
          <w:sz w:val="24"/>
          <w:szCs w:val="24"/>
        </w:rPr>
        <w:t xml:space="preserve">Under the proposed </w:t>
      </w:r>
      <w:r w:rsidR="00421A8C">
        <w:rPr>
          <w:rFonts w:ascii="Calibri" w:eastAsia="Calibri" w:hAnsi="Calibri" w:cs="Calibri"/>
          <w:sz w:val="24"/>
          <w:szCs w:val="24"/>
        </w:rPr>
        <w:t>AI</w:t>
      </w:r>
      <w:r w:rsidR="00217C26">
        <w:rPr>
          <w:rFonts w:ascii="Calibri" w:eastAsia="Calibri" w:hAnsi="Calibri" w:cs="Calibri"/>
          <w:sz w:val="24"/>
          <w:szCs w:val="24"/>
        </w:rPr>
        <w:t xml:space="preserve"> ECTA</w:t>
      </w:r>
      <w:r w:rsidRPr="000B0214">
        <w:rPr>
          <w:rFonts w:ascii="Calibri" w:eastAsia="Calibri" w:hAnsi="Calibri" w:cs="Calibri"/>
          <w:sz w:val="24"/>
          <w:szCs w:val="24"/>
        </w:rPr>
        <w:t xml:space="preserve">, </w:t>
      </w:r>
      <w:r w:rsidR="00254236">
        <w:rPr>
          <w:rFonts w:ascii="Calibri" w:eastAsia="Calibri" w:hAnsi="Calibri" w:cs="Calibri"/>
          <w:sz w:val="24"/>
          <w:szCs w:val="24"/>
        </w:rPr>
        <w:t xml:space="preserve">more than 85 </w:t>
      </w:r>
      <w:r w:rsidRPr="000B0214">
        <w:rPr>
          <w:rFonts w:ascii="Calibri" w:eastAsia="Calibri" w:hAnsi="Calibri" w:cs="Calibri"/>
          <w:sz w:val="24"/>
          <w:szCs w:val="24"/>
        </w:rPr>
        <w:t>percent of Australian goods exports (valued at AU$1</w:t>
      </w:r>
      <w:r w:rsidR="00254236">
        <w:rPr>
          <w:rFonts w:ascii="Calibri" w:eastAsia="Calibri" w:hAnsi="Calibri" w:cs="Calibri"/>
          <w:sz w:val="24"/>
          <w:szCs w:val="24"/>
        </w:rPr>
        <w:t>2</w:t>
      </w:r>
      <w:r w:rsidRPr="000B0214">
        <w:rPr>
          <w:rFonts w:ascii="Calibri" w:eastAsia="Calibri" w:hAnsi="Calibri" w:cs="Calibri"/>
          <w:sz w:val="24"/>
          <w:szCs w:val="24"/>
        </w:rPr>
        <w:t>.</w:t>
      </w:r>
      <w:r w:rsidR="00254236">
        <w:rPr>
          <w:rFonts w:ascii="Calibri" w:eastAsia="Calibri" w:hAnsi="Calibri" w:cs="Calibri"/>
          <w:sz w:val="24"/>
          <w:szCs w:val="24"/>
        </w:rPr>
        <w:t>6</w:t>
      </w:r>
      <w:r w:rsidRPr="000B0214">
        <w:rPr>
          <w:rFonts w:ascii="Calibri" w:eastAsia="Calibri" w:hAnsi="Calibri" w:cs="Calibri"/>
          <w:sz w:val="24"/>
          <w:szCs w:val="24"/>
        </w:rPr>
        <w:t xml:space="preserve"> billion on average over the period 2018 to 2020) will enter India duty</w:t>
      </w:r>
      <w:r w:rsidRPr="000B0214">
        <w:rPr>
          <w:rFonts w:ascii="Calibri" w:eastAsia="Calibri" w:hAnsi="Calibri" w:cs="Calibri"/>
          <w:sz w:val="24"/>
          <w:szCs w:val="24"/>
        </w:rPr>
        <w:noBreakHyphen/>
        <w:t xml:space="preserve">free on Entry </w:t>
      </w:r>
      <w:r w:rsidR="00624076">
        <w:rPr>
          <w:rFonts w:ascii="Calibri" w:eastAsia="Calibri" w:hAnsi="Calibri" w:cs="Calibri"/>
          <w:sz w:val="24"/>
          <w:szCs w:val="24"/>
        </w:rPr>
        <w:t>i</w:t>
      </w:r>
      <w:r w:rsidRPr="000B0214">
        <w:rPr>
          <w:rFonts w:ascii="Calibri" w:eastAsia="Calibri" w:hAnsi="Calibri" w:cs="Calibri"/>
          <w:sz w:val="24"/>
          <w:szCs w:val="24"/>
        </w:rPr>
        <w:t>nto Force (EIF). This will include key Australian goods such as coal, LNG,</w:t>
      </w:r>
      <w:r w:rsidR="00624076">
        <w:rPr>
          <w:rFonts w:ascii="Calibri" w:eastAsia="Calibri" w:hAnsi="Calibri" w:cs="Calibri"/>
          <w:sz w:val="24"/>
          <w:szCs w:val="24"/>
        </w:rPr>
        <w:t xml:space="preserve"> alumina, wool,</w:t>
      </w:r>
      <w:r w:rsidRPr="000B0214">
        <w:rPr>
          <w:rFonts w:ascii="Calibri" w:eastAsia="Calibri" w:hAnsi="Calibri" w:cs="Calibri"/>
          <w:sz w:val="24"/>
          <w:szCs w:val="24"/>
        </w:rPr>
        <w:t xml:space="preserve"> sheep meat, barley</w:t>
      </w:r>
      <w:r w:rsidR="00624076">
        <w:rPr>
          <w:rFonts w:ascii="Calibri" w:eastAsia="Calibri" w:hAnsi="Calibri" w:cs="Calibri"/>
          <w:sz w:val="24"/>
          <w:szCs w:val="24"/>
        </w:rPr>
        <w:t>,</w:t>
      </w:r>
      <w:r w:rsidRPr="000B0214">
        <w:rPr>
          <w:rFonts w:ascii="Calibri" w:eastAsia="Calibri" w:hAnsi="Calibri" w:cs="Calibri"/>
          <w:sz w:val="24"/>
          <w:szCs w:val="24"/>
        </w:rPr>
        <w:t xml:space="preserve"> oats, </w:t>
      </w:r>
      <w:r w:rsidR="000455D3">
        <w:rPr>
          <w:rFonts w:ascii="Calibri" w:eastAsia="Calibri" w:hAnsi="Calibri" w:cs="Calibri"/>
          <w:sz w:val="24"/>
          <w:szCs w:val="24"/>
        </w:rPr>
        <w:t xml:space="preserve">fresh </w:t>
      </w:r>
      <w:r w:rsidRPr="000B0214">
        <w:rPr>
          <w:rFonts w:ascii="Calibri" w:eastAsia="Calibri" w:hAnsi="Calibri" w:cs="Calibri"/>
          <w:sz w:val="24"/>
          <w:szCs w:val="24"/>
        </w:rPr>
        <w:t xml:space="preserve">rock lobsters, hides and skins, </w:t>
      </w:r>
      <w:r w:rsidR="000455D3">
        <w:rPr>
          <w:rFonts w:ascii="Calibri" w:eastAsia="Calibri" w:hAnsi="Calibri" w:cs="Calibri"/>
          <w:sz w:val="24"/>
          <w:szCs w:val="24"/>
        </w:rPr>
        <w:t xml:space="preserve">certain </w:t>
      </w:r>
      <w:r w:rsidRPr="000B0214">
        <w:rPr>
          <w:rFonts w:ascii="Calibri" w:eastAsia="Calibri" w:hAnsi="Calibri" w:cs="Calibri"/>
          <w:sz w:val="24"/>
          <w:szCs w:val="24"/>
        </w:rPr>
        <w:t>metallic ores and non</w:t>
      </w:r>
      <w:r w:rsidRPr="000B0214">
        <w:rPr>
          <w:rFonts w:ascii="Calibri" w:eastAsia="Calibri" w:hAnsi="Calibri" w:cs="Calibri"/>
          <w:sz w:val="24"/>
          <w:szCs w:val="24"/>
        </w:rPr>
        <w:noBreakHyphen/>
        <w:t xml:space="preserve">ferrous metals. </w:t>
      </w:r>
      <w:r w:rsidR="00624076">
        <w:rPr>
          <w:rFonts w:ascii="Calibri" w:eastAsia="Calibri" w:hAnsi="Calibri" w:cs="Calibri"/>
          <w:sz w:val="24"/>
          <w:szCs w:val="24"/>
        </w:rPr>
        <w:t>Cotton will be able to access a sizable duty-free quota.</w:t>
      </w:r>
    </w:p>
    <w:p w14:paraId="3273DF3A" w14:textId="77777777" w:rsidR="000567A0" w:rsidRPr="00595208" w:rsidRDefault="000567A0" w:rsidP="000F5776">
      <w:pPr>
        <w:pStyle w:val="ListParagraph"/>
        <w:spacing w:after="0"/>
        <w:ind w:left="567"/>
        <w:rPr>
          <w:sz w:val="24"/>
          <w:szCs w:val="24"/>
        </w:rPr>
      </w:pPr>
    </w:p>
    <w:p w14:paraId="3B711258" w14:textId="241DD057" w:rsidR="000B6AFC" w:rsidRDefault="00295886" w:rsidP="000B6AFC">
      <w:pPr>
        <w:pStyle w:val="ListParagraph"/>
        <w:numPr>
          <w:ilvl w:val="0"/>
          <w:numId w:val="1"/>
        </w:numPr>
        <w:spacing w:after="0"/>
        <w:ind w:left="567" w:hanging="567"/>
        <w:rPr>
          <w:sz w:val="24"/>
          <w:szCs w:val="24"/>
        </w:rPr>
      </w:pPr>
      <w:r w:rsidRPr="00295886">
        <w:rPr>
          <w:sz w:val="24"/>
          <w:szCs w:val="24"/>
        </w:rPr>
        <w:t xml:space="preserve">Tariff barriers that have been in place on Australian exports will also be progressively removed over </w:t>
      </w:r>
      <w:proofErr w:type="gramStart"/>
      <w:r w:rsidRPr="00295886">
        <w:rPr>
          <w:sz w:val="24"/>
          <w:szCs w:val="24"/>
        </w:rPr>
        <w:t>a number of</w:t>
      </w:r>
      <w:proofErr w:type="gramEnd"/>
      <w:r w:rsidRPr="00295886">
        <w:rPr>
          <w:sz w:val="24"/>
          <w:szCs w:val="24"/>
        </w:rPr>
        <w:t xml:space="preserve"> years across a range of key products </w:t>
      </w:r>
      <w:r w:rsidR="008969BA" w:rsidRPr="00295886">
        <w:rPr>
          <w:sz w:val="24"/>
          <w:szCs w:val="24"/>
        </w:rPr>
        <w:t xml:space="preserve">including </w:t>
      </w:r>
      <w:r w:rsidR="008969BA" w:rsidRPr="00295886">
        <w:rPr>
          <w:rFonts w:ascii="Calibri" w:eastAsia="Calibri" w:hAnsi="Calibri" w:cs="Calibri"/>
          <w:sz w:val="24"/>
          <w:szCs w:val="24"/>
        </w:rPr>
        <w:t>certain</w:t>
      </w:r>
      <w:r w:rsidR="002D25AB">
        <w:rPr>
          <w:rFonts w:ascii="Calibri" w:eastAsia="Calibri" w:hAnsi="Calibri" w:cs="Calibri"/>
          <w:sz w:val="24"/>
          <w:szCs w:val="24"/>
        </w:rPr>
        <w:t xml:space="preserve"> medical devices, </w:t>
      </w:r>
      <w:r w:rsidRPr="00295886">
        <w:rPr>
          <w:rFonts w:ascii="Calibri" w:eastAsia="Calibri" w:hAnsi="Calibri" w:cs="Calibri"/>
          <w:sz w:val="24"/>
          <w:szCs w:val="24"/>
        </w:rPr>
        <w:t xml:space="preserve">certain fruit and vegetables, certain nuts, </w:t>
      </w:r>
      <w:r w:rsidR="00624076">
        <w:rPr>
          <w:rFonts w:ascii="Calibri" w:eastAsia="Calibri" w:hAnsi="Calibri" w:cs="Calibri"/>
          <w:sz w:val="24"/>
          <w:szCs w:val="24"/>
        </w:rPr>
        <w:t>seafood</w:t>
      </w:r>
      <w:r w:rsidRPr="00295886">
        <w:rPr>
          <w:rFonts w:ascii="Calibri" w:eastAsia="Calibri" w:hAnsi="Calibri" w:cs="Calibri"/>
          <w:sz w:val="24"/>
          <w:szCs w:val="24"/>
        </w:rPr>
        <w:t xml:space="preserve">, </w:t>
      </w:r>
      <w:r w:rsidR="008969BA" w:rsidRPr="00295886">
        <w:rPr>
          <w:rFonts w:ascii="Calibri" w:eastAsia="Calibri" w:hAnsi="Calibri" w:cs="Calibri"/>
          <w:sz w:val="24"/>
          <w:szCs w:val="24"/>
        </w:rPr>
        <w:t>sandalwood, and</w:t>
      </w:r>
      <w:r>
        <w:rPr>
          <w:rFonts w:ascii="Calibri" w:eastAsia="Calibri" w:hAnsi="Calibri" w:cs="Calibri"/>
          <w:sz w:val="24"/>
          <w:szCs w:val="24"/>
        </w:rPr>
        <w:t xml:space="preserve"> </w:t>
      </w:r>
      <w:r w:rsidRPr="00295886">
        <w:rPr>
          <w:rFonts w:ascii="Calibri" w:eastAsia="Calibri" w:hAnsi="Calibri" w:cs="Calibri"/>
          <w:sz w:val="24"/>
          <w:szCs w:val="24"/>
        </w:rPr>
        <w:t>food preparation</w:t>
      </w:r>
      <w:r>
        <w:rPr>
          <w:sz w:val="24"/>
          <w:szCs w:val="24"/>
        </w:rPr>
        <w:t>.</w:t>
      </w:r>
    </w:p>
    <w:p w14:paraId="26CE5028" w14:textId="77777777" w:rsidR="000B6AFC" w:rsidRPr="000B6AFC" w:rsidRDefault="000B6AFC" w:rsidP="000B6AFC">
      <w:pPr>
        <w:spacing w:after="0"/>
        <w:rPr>
          <w:sz w:val="24"/>
          <w:szCs w:val="24"/>
        </w:rPr>
      </w:pPr>
    </w:p>
    <w:p w14:paraId="4E47DCE7" w14:textId="17618480" w:rsidR="00264FF6" w:rsidRDefault="00264FF6" w:rsidP="00264FF6">
      <w:pPr>
        <w:pStyle w:val="ListParagraph"/>
        <w:numPr>
          <w:ilvl w:val="0"/>
          <w:numId w:val="1"/>
        </w:numPr>
        <w:spacing w:after="0"/>
        <w:ind w:left="567" w:hanging="567"/>
        <w:rPr>
          <w:sz w:val="24"/>
          <w:szCs w:val="24"/>
        </w:rPr>
      </w:pPr>
      <w:bookmarkStart w:id="27" w:name="_Hlk99107408"/>
      <w:r w:rsidRPr="543832D4">
        <w:rPr>
          <w:rFonts w:ascii="Calibri" w:eastAsia="Calibri" w:hAnsi="Calibri" w:cs="Calibri"/>
          <w:sz w:val="24"/>
          <w:szCs w:val="24"/>
        </w:rPr>
        <w:t>Tariffs will also be reduced on certain products, including fruits such as apricots and strawberries. Almonds, oranges,</w:t>
      </w:r>
      <w:r w:rsidR="00265963">
        <w:rPr>
          <w:rFonts w:ascii="Calibri" w:eastAsia="Calibri" w:hAnsi="Calibri" w:cs="Calibri"/>
          <w:sz w:val="24"/>
          <w:szCs w:val="24"/>
        </w:rPr>
        <w:t xml:space="preserve"> mandarins</w:t>
      </w:r>
      <w:r w:rsidR="008969BA">
        <w:rPr>
          <w:rFonts w:ascii="Calibri" w:eastAsia="Calibri" w:hAnsi="Calibri" w:cs="Calibri"/>
          <w:sz w:val="24"/>
          <w:szCs w:val="24"/>
        </w:rPr>
        <w:t>,</w:t>
      </w:r>
      <w:r w:rsidR="002D25AB">
        <w:rPr>
          <w:rFonts w:ascii="Calibri" w:eastAsia="Calibri" w:hAnsi="Calibri" w:cs="Calibri"/>
          <w:sz w:val="24"/>
          <w:szCs w:val="24"/>
        </w:rPr>
        <w:t xml:space="preserve"> and</w:t>
      </w:r>
      <w:r w:rsidR="008969BA">
        <w:rPr>
          <w:rFonts w:ascii="Calibri" w:eastAsia="Calibri" w:hAnsi="Calibri" w:cs="Calibri"/>
          <w:sz w:val="24"/>
          <w:szCs w:val="24"/>
        </w:rPr>
        <w:t xml:space="preserve"> </w:t>
      </w:r>
      <w:r w:rsidRPr="543832D4">
        <w:rPr>
          <w:rFonts w:ascii="Calibri" w:eastAsia="Calibri" w:hAnsi="Calibri" w:cs="Calibri"/>
          <w:sz w:val="24"/>
          <w:szCs w:val="24"/>
        </w:rPr>
        <w:t>pears</w:t>
      </w:r>
      <w:r w:rsidR="008969BA">
        <w:rPr>
          <w:rFonts w:ascii="Calibri" w:eastAsia="Calibri" w:hAnsi="Calibri" w:cs="Calibri"/>
          <w:sz w:val="24"/>
          <w:szCs w:val="24"/>
        </w:rPr>
        <w:t xml:space="preserve"> </w:t>
      </w:r>
      <w:r w:rsidRPr="543832D4">
        <w:rPr>
          <w:rFonts w:ascii="Calibri" w:eastAsia="Calibri" w:hAnsi="Calibri" w:cs="Calibri"/>
          <w:sz w:val="24"/>
          <w:szCs w:val="24"/>
        </w:rPr>
        <w:t xml:space="preserve">will be </w:t>
      </w:r>
      <w:r w:rsidR="002D25AB">
        <w:rPr>
          <w:rFonts w:ascii="Calibri" w:eastAsia="Calibri" w:hAnsi="Calibri" w:cs="Calibri"/>
          <w:sz w:val="24"/>
          <w:szCs w:val="24"/>
        </w:rPr>
        <w:t>able to access preferential quotas</w:t>
      </w:r>
      <w:r w:rsidR="008969BA">
        <w:rPr>
          <w:rFonts w:ascii="Calibri" w:eastAsia="Calibri" w:hAnsi="Calibri" w:cs="Calibri"/>
          <w:sz w:val="24"/>
          <w:szCs w:val="24"/>
        </w:rPr>
        <w:t>.</w:t>
      </w:r>
      <w:r w:rsidRPr="543832D4">
        <w:rPr>
          <w:rFonts w:ascii="Calibri" w:eastAsia="Calibri" w:hAnsi="Calibri" w:cs="Calibri"/>
          <w:sz w:val="24"/>
          <w:szCs w:val="24"/>
        </w:rPr>
        <w:t xml:space="preserve"> </w:t>
      </w:r>
      <w:r w:rsidR="008969BA">
        <w:rPr>
          <w:rFonts w:ascii="Calibri" w:eastAsia="Calibri" w:hAnsi="Calibri" w:cs="Calibri"/>
          <w:sz w:val="24"/>
          <w:szCs w:val="24"/>
        </w:rPr>
        <w:t>T</w:t>
      </w:r>
      <w:r w:rsidRPr="543832D4">
        <w:rPr>
          <w:rFonts w:ascii="Calibri" w:eastAsia="Calibri" w:hAnsi="Calibri" w:cs="Calibri"/>
          <w:sz w:val="24"/>
          <w:szCs w:val="24"/>
        </w:rPr>
        <w:t xml:space="preserve">ariffs on wine will be reduced for bottles whose </w:t>
      </w:r>
      <w:r w:rsidR="00662F9C">
        <w:rPr>
          <w:rFonts w:ascii="Calibri" w:eastAsia="Calibri" w:hAnsi="Calibri" w:cs="Calibri"/>
          <w:sz w:val="24"/>
          <w:szCs w:val="24"/>
        </w:rPr>
        <w:t xml:space="preserve">import </w:t>
      </w:r>
      <w:r w:rsidRPr="543832D4">
        <w:rPr>
          <w:rFonts w:ascii="Calibri" w:eastAsia="Calibri" w:hAnsi="Calibri" w:cs="Calibri"/>
          <w:sz w:val="24"/>
          <w:szCs w:val="24"/>
        </w:rPr>
        <w:t xml:space="preserve">price is above a certain </w:t>
      </w:r>
      <w:r w:rsidRPr="543832D4">
        <w:rPr>
          <w:rFonts w:ascii="Calibri" w:eastAsia="Calibri" w:hAnsi="Calibri" w:cs="Calibri"/>
          <w:sz w:val="24"/>
          <w:szCs w:val="24"/>
        </w:rPr>
        <w:lastRenderedPageBreak/>
        <w:t>minimum value.</w:t>
      </w:r>
      <w:r w:rsidR="00A13499">
        <w:rPr>
          <w:rFonts w:ascii="Calibri" w:eastAsia="Calibri" w:hAnsi="Calibri" w:cs="Calibri"/>
          <w:sz w:val="24"/>
          <w:szCs w:val="24"/>
        </w:rPr>
        <w:t xml:space="preserve"> </w:t>
      </w:r>
      <w:r w:rsidR="0055578C">
        <w:rPr>
          <w:rFonts w:ascii="Calibri" w:eastAsia="Calibri" w:hAnsi="Calibri" w:cs="Calibri"/>
          <w:sz w:val="24"/>
          <w:szCs w:val="24"/>
        </w:rPr>
        <w:t xml:space="preserve">In total we estimate tariff savings of </w:t>
      </w:r>
      <w:r w:rsidR="00896460">
        <w:rPr>
          <w:rFonts w:ascii="Calibri" w:eastAsia="Calibri" w:hAnsi="Calibri" w:cs="Calibri"/>
          <w:sz w:val="24"/>
          <w:szCs w:val="24"/>
        </w:rPr>
        <w:t>roughly AU$500 million on imports of Australian goods into India.</w:t>
      </w:r>
      <w:r w:rsidR="00896460">
        <w:rPr>
          <w:rStyle w:val="FootnoteReference"/>
          <w:rFonts w:ascii="Calibri" w:eastAsia="Calibri" w:hAnsi="Calibri" w:cs="Calibri"/>
          <w:sz w:val="24"/>
          <w:szCs w:val="24"/>
        </w:rPr>
        <w:footnoteReference w:id="37"/>
      </w:r>
    </w:p>
    <w:bookmarkEnd w:id="26"/>
    <w:bookmarkEnd w:id="27"/>
    <w:p w14:paraId="0617BC6D" w14:textId="77777777" w:rsidR="005E6076" w:rsidRPr="000519E4" w:rsidRDefault="005E6076" w:rsidP="0038033F">
      <w:pPr>
        <w:pStyle w:val="ListParagraph"/>
        <w:spacing w:after="0"/>
        <w:ind w:left="567"/>
        <w:rPr>
          <w:sz w:val="24"/>
          <w:szCs w:val="24"/>
        </w:rPr>
      </w:pPr>
    </w:p>
    <w:p w14:paraId="3893F025" w14:textId="46E22AC8" w:rsidR="005265AF" w:rsidRPr="00455CF4" w:rsidRDefault="005E6076" w:rsidP="00927AE1">
      <w:pPr>
        <w:pStyle w:val="ListParagraph"/>
        <w:spacing w:after="0"/>
        <w:ind w:left="567"/>
        <w:rPr>
          <w:sz w:val="24"/>
          <w:szCs w:val="24"/>
        </w:rPr>
      </w:pPr>
      <w:r w:rsidRPr="543832D4">
        <w:rPr>
          <w:b/>
          <w:bCs/>
          <w:sz w:val="24"/>
          <w:szCs w:val="24"/>
          <w:u w:val="single"/>
        </w:rPr>
        <w:t xml:space="preserve">Table </w:t>
      </w:r>
      <w:r w:rsidR="002403BA" w:rsidRPr="543832D4">
        <w:rPr>
          <w:b/>
          <w:bCs/>
          <w:sz w:val="24"/>
          <w:szCs w:val="24"/>
          <w:u w:val="single"/>
        </w:rPr>
        <w:t>1</w:t>
      </w:r>
      <w:r w:rsidRPr="543832D4">
        <w:rPr>
          <w:sz w:val="24"/>
          <w:szCs w:val="24"/>
        </w:rPr>
        <w:t xml:space="preserve"> summarises the agreed tariff elimination schedule that will apply to Australia’s major goods exports to India under the proposed </w:t>
      </w:r>
      <w:r w:rsidR="00421A8C">
        <w:rPr>
          <w:sz w:val="24"/>
          <w:szCs w:val="24"/>
        </w:rPr>
        <w:t>AI</w:t>
      </w:r>
      <w:r w:rsidR="00217C26">
        <w:rPr>
          <w:sz w:val="24"/>
          <w:szCs w:val="24"/>
        </w:rPr>
        <w:t xml:space="preserve"> ECTA</w:t>
      </w:r>
      <w:r w:rsidRPr="543832D4">
        <w:rPr>
          <w:sz w:val="24"/>
          <w:szCs w:val="24"/>
        </w:rPr>
        <w:t>.</w:t>
      </w:r>
      <w:r w:rsidR="005925BB">
        <w:rPr>
          <w:sz w:val="24"/>
          <w:szCs w:val="24"/>
        </w:rPr>
        <w:t xml:space="preserve"> </w:t>
      </w:r>
      <w:r w:rsidRPr="543832D4">
        <w:rPr>
          <w:b/>
          <w:bCs/>
          <w:sz w:val="24"/>
          <w:szCs w:val="24"/>
          <w:u w:val="single"/>
        </w:rPr>
        <w:t>Table</w:t>
      </w:r>
      <w:r w:rsidR="003D0982">
        <w:rPr>
          <w:b/>
          <w:bCs/>
          <w:sz w:val="24"/>
          <w:szCs w:val="24"/>
          <w:u w:val="single"/>
        </w:rPr>
        <w:t>s</w:t>
      </w:r>
      <w:r w:rsidRPr="543832D4">
        <w:rPr>
          <w:b/>
          <w:bCs/>
          <w:sz w:val="24"/>
          <w:szCs w:val="24"/>
          <w:u w:val="single"/>
        </w:rPr>
        <w:t xml:space="preserve"> </w:t>
      </w:r>
      <w:r w:rsidR="002403BA" w:rsidRPr="543832D4">
        <w:rPr>
          <w:b/>
          <w:bCs/>
          <w:sz w:val="24"/>
          <w:szCs w:val="24"/>
          <w:u w:val="single"/>
        </w:rPr>
        <w:t>2</w:t>
      </w:r>
      <w:r w:rsidR="003D0982">
        <w:rPr>
          <w:b/>
          <w:bCs/>
          <w:sz w:val="24"/>
          <w:szCs w:val="24"/>
          <w:u w:val="single"/>
        </w:rPr>
        <w:t xml:space="preserve"> and 3</w:t>
      </w:r>
      <w:r w:rsidRPr="543832D4">
        <w:rPr>
          <w:sz w:val="24"/>
          <w:szCs w:val="24"/>
        </w:rPr>
        <w:t xml:space="preserve"> </w:t>
      </w:r>
      <w:r w:rsidR="00034C83">
        <w:rPr>
          <w:sz w:val="24"/>
          <w:szCs w:val="24"/>
        </w:rPr>
        <w:t xml:space="preserve">outlines the key Australian exports to India and key Australian exports to receive tariff preferences under the proposed </w:t>
      </w:r>
      <w:r w:rsidR="00421A8C">
        <w:rPr>
          <w:sz w:val="24"/>
          <w:szCs w:val="24"/>
        </w:rPr>
        <w:t>AI</w:t>
      </w:r>
      <w:r w:rsidR="00217C26">
        <w:rPr>
          <w:sz w:val="24"/>
          <w:szCs w:val="24"/>
        </w:rPr>
        <w:t xml:space="preserve"> ECTA</w:t>
      </w:r>
      <w:r w:rsidR="00034C83">
        <w:rPr>
          <w:sz w:val="24"/>
          <w:szCs w:val="24"/>
        </w:rPr>
        <w:t xml:space="preserve">. The section, below, also examines </w:t>
      </w:r>
      <w:r w:rsidR="00E35F52">
        <w:rPr>
          <w:sz w:val="24"/>
          <w:szCs w:val="24"/>
        </w:rPr>
        <w:t xml:space="preserve">the benefits and impacts for </w:t>
      </w:r>
      <w:r w:rsidR="001F440D">
        <w:rPr>
          <w:sz w:val="24"/>
          <w:szCs w:val="24"/>
        </w:rPr>
        <w:t xml:space="preserve">key </w:t>
      </w:r>
      <w:r w:rsidR="00E35F52">
        <w:rPr>
          <w:sz w:val="24"/>
          <w:szCs w:val="24"/>
        </w:rPr>
        <w:t>Australian goods that</w:t>
      </w:r>
      <w:r w:rsidR="000A77A5">
        <w:rPr>
          <w:sz w:val="24"/>
          <w:szCs w:val="24"/>
        </w:rPr>
        <w:t xml:space="preserve"> </w:t>
      </w:r>
      <w:r w:rsidR="00C83FF7">
        <w:rPr>
          <w:sz w:val="24"/>
          <w:szCs w:val="24"/>
        </w:rPr>
        <w:t xml:space="preserve">currently experience high barriers to entry and </w:t>
      </w:r>
      <w:r w:rsidR="005E25F5">
        <w:rPr>
          <w:sz w:val="24"/>
          <w:szCs w:val="24"/>
        </w:rPr>
        <w:t>will benefit considerably</w:t>
      </w:r>
      <w:r w:rsidR="00E35F52">
        <w:rPr>
          <w:sz w:val="24"/>
          <w:szCs w:val="24"/>
        </w:rPr>
        <w:t xml:space="preserve"> from the proposed </w:t>
      </w:r>
      <w:r w:rsidR="00421A8C">
        <w:rPr>
          <w:sz w:val="24"/>
          <w:szCs w:val="24"/>
        </w:rPr>
        <w:t>AI</w:t>
      </w:r>
      <w:r w:rsidR="00217C26">
        <w:rPr>
          <w:sz w:val="24"/>
          <w:szCs w:val="24"/>
        </w:rPr>
        <w:t xml:space="preserve"> ECTA</w:t>
      </w:r>
      <w:r w:rsidR="00E35F52">
        <w:rPr>
          <w:sz w:val="24"/>
          <w:szCs w:val="24"/>
        </w:rPr>
        <w:t xml:space="preserve">. </w:t>
      </w:r>
    </w:p>
    <w:p w14:paraId="00F1D26A" w14:textId="77777777" w:rsidR="005265AF" w:rsidRDefault="005265AF" w:rsidP="00927AE1">
      <w:pPr>
        <w:pStyle w:val="ListParagraph"/>
        <w:spacing w:after="0"/>
        <w:ind w:left="567"/>
        <w:rPr>
          <w:b/>
          <w:bCs/>
          <w:u w:val="single"/>
        </w:rPr>
      </w:pPr>
    </w:p>
    <w:p w14:paraId="5AEB9FE6" w14:textId="21E3720D" w:rsidR="008F3719" w:rsidRDefault="005E6076" w:rsidP="0038033F">
      <w:pPr>
        <w:spacing w:after="0"/>
        <w:rPr>
          <w:b/>
          <w:bCs/>
          <w:sz w:val="24"/>
          <w:szCs w:val="24"/>
        </w:rPr>
      </w:pPr>
      <w:r w:rsidRPr="543832D4">
        <w:rPr>
          <w:b/>
          <w:bCs/>
          <w:sz w:val="24"/>
          <w:szCs w:val="24"/>
          <w:u w:val="single"/>
        </w:rPr>
        <w:t xml:space="preserve">Table </w:t>
      </w:r>
      <w:r w:rsidR="002403BA" w:rsidRPr="543832D4">
        <w:rPr>
          <w:b/>
          <w:bCs/>
          <w:sz w:val="24"/>
          <w:szCs w:val="24"/>
          <w:u w:val="single"/>
        </w:rPr>
        <w:t>1</w:t>
      </w:r>
      <w:r w:rsidRPr="543832D4">
        <w:rPr>
          <w:b/>
          <w:bCs/>
          <w:sz w:val="24"/>
          <w:szCs w:val="24"/>
        </w:rPr>
        <w:t xml:space="preserve">: </w:t>
      </w:r>
      <w:r w:rsidR="00B73C11">
        <w:rPr>
          <w:b/>
          <w:bCs/>
          <w:sz w:val="24"/>
          <w:szCs w:val="24"/>
        </w:rPr>
        <w:t>A</w:t>
      </w:r>
      <w:r w:rsidR="008F3719" w:rsidRPr="008F3719">
        <w:rPr>
          <w:b/>
          <w:bCs/>
          <w:sz w:val="24"/>
          <w:szCs w:val="24"/>
        </w:rPr>
        <w:t>greed tariff elimination schedule</w:t>
      </w:r>
    </w:p>
    <w:p w14:paraId="2D9B0EB4" w14:textId="7BB81FCF" w:rsidR="0062202D" w:rsidRDefault="0062202D" w:rsidP="0038033F">
      <w:pPr>
        <w:spacing w:after="0"/>
        <w:rPr>
          <w:b/>
          <w:bCs/>
          <w:sz w:val="24"/>
          <w:szCs w:val="24"/>
        </w:rPr>
      </w:pPr>
    </w:p>
    <w:tbl>
      <w:tblPr>
        <w:tblStyle w:val="TableGrid"/>
        <w:tblW w:w="0" w:type="auto"/>
        <w:tblLook w:val="04A0" w:firstRow="1" w:lastRow="0" w:firstColumn="1" w:lastColumn="0" w:noHBand="0" w:noVBand="1"/>
      </w:tblPr>
      <w:tblGrid>
        <w:gridCol w:w="2547"/>
        <w:gridCol w:w="1304"/>
        <w:gridCol w:w="1926"/>
        <w:gridCol w:w="1926"/>
        <w:gridCol w:w="1926"/>
      </w:tblGrid>
      <w:tr w:rsidR="00FC6180" w:rsidRPr="00FC6180" w14:paraId="17177B09" w14:textId="77777777" w:rsidTr="004E058E">
        <w:tc>
          <w:tcPr>
            <w:tcW w:w="2547" w:type="dxa"/>
            <w:shd w:val="clear" w:color="auto" w:fill="D9D9D9" w:themeFill="background1" w:themeFillShade="D9"/>
          </w:tcPr>
          <w:p w14:paraId="20BA8B41" w14:textId="77777777" w:rsidR="00FC6180" w:rsidRPr="00FC6180" w:rsidRDefault="00FC6180" w:rsidP="00D81319">
            <w:pPr>
              <w:rPr>
                <w:b/>
                <w:bCs/>
                <w:sz w:val="24"/>
                <w:szCs w:val="24"/>
              </w:rPr>
            </w:pPr>
          </w:p>
        </w:tc>
        <w:tc>
          <w:tcPr>
            <w:tcW w:w="1304" w:type="dxa"/>
            <w:shd w:val="clear" w:color="auto" w:fill="D9D9D9" w:themeFill="background1" w:themeFillShade="D9"/>
            <w:vAlign w:val="center"/>
          </w:tcPr>
          <w:p w14:paraId="2F7D0213" w14:textId="77777777" w:rsidR="00FC6180" w:rsidRPr="00FC6180" w:rsidRDefault="00FC6180" w:rsidP="00FC6180">
            <w:pPr>
              <w:jc w:val="center"/>
              <w:rPr>
                <w:b/>
                <w:bCs/>
                <w:sz w:val="24"/>
                <w:szCs w:val="24"/>
              </w:rPr>
            </w:pPr>
            <w:r w:rsidRPr="00FC6180">
              <w:rPr>
                <w:b/>
                <w:bCs/>
                <w:sz w:val="24"/>
                <w:szCs w:val="24"/>
              </w:rPr>
              <w:t>No. of tariff lines</w:t>
            </w:r>
          </w:p>
        </w:tc>
        <w:tc>
          <w:tcPr>
            <w:tcW w:w="1926" w:type="dxa"/>
            <w:shd w:val="clear" w:color="auto" w:fill="D9D9D9" w:themeFill="background1" w:themeFillShade="D9"/>
            <w:vAlign w:val="center"/>
          </w:tcPr>
          <w:p w14:paraId="69C554FD" w14:textId="77777777" w:rsidR="00FC6180" w:rsidRPr="00FC6180" w:rsidRDefault="00FC6180" w:rsidP="00FC6180">
            <w:pPr>
              <w:jc w:val="center"/>
              <w:rPr>
                <w:b/>
                <w:bCs/>
                <w:sz w:val="24"/>
                <w:szCs w:val="24"/>
              </w:rPr>
            </w:pPr>
            <w:r w:rsidRPr="00FC6180">
              <w:rPr>
                <w:b/>
                <w:bCs/>
                <w:sz w:val="24"/>
                <w:szCs w:val="24"/>
              </w:rPr>
              <w:t>% (all lines)</w:t>
            </w:r>
          </w:p>
        </w:tc>
        <w:tc>
          <w:tcPr>
            <w:tcW w:w="1926" w:type="dxa"/>
            <w:shd w:val="clear" w:color="auto" w:fill="D9D9D9" w:themeFill="background1" w:themeFillShade="D9"/>
            <w:vAlign w:val="center"/>
          </w:tcPr>
          <w:p w14:paraId="525A4FB1" w14:textId="77777777" w:rsidR="00FC6180" w:rsidRPr="00FC6180" w:rsidRDefault="00FC6180" w:rsidP="00FC6180">
            <w:pPr>
              <w:jc w:val="center"/>
              <w:rPr>
                <w:b/>
                <w:bCs/>
                <w:sz w:val="24"/>
                <w:szCs w:val="24"/>
              </w:rPr>
            </w:pPr>
            <w:r w:rsidRPr="00FC6180">
              <w:rPr>
                <w:b/>
                <w:bCs/>
                <w:sz w:val="24"/>
                <w:szCs w:val="24"/>
              </w:rPr>
              <w:t xml:space="preserve">India’s imports from Australia (2018-20 average) </w:t>
            </w:r>
            <w:proofErr w:type="spellStart"/>
            <w:r w:rsidRPr="00FC6180">
              <w:rPr>
                <w:b/>
                <w:bCs/>
                <w:sz w:val="24"/>
                <w:szCs w:val="24"/>
              </w:rPr>
              <w:t>AUDm</w:t>
            </w:r>
            <w:proofErr w:type="spellEnd"/>
          </w:p>
        </w:tc>
        <w:tc>
          <w:tcPr>
            <w:tcW w:w="1926" w:type="dxa"/>
            <w:shd w:val="clear" w:color="auto" w:fill="D9D9D9" w:themeFill="background1" w:themeFillShade="D9"/>
            <w:vAlign w:val="center"/>
          </w:tcPr>
          <w:p w14:paraId="6DB014B6" w14:textId="77777777" w:rsidR="00FC6180" w:rsidRPr="00FC6180" w:rsidRDefault="00FC6180" w:rsidP="00FC6180">
            <w:pPr>
              <w:jc w:val="center"/>
              <w:rPr>
                <w:b/>
                <w:bCs/>
                <w:sz w:val="24"/>
                <w:szCs w:val="24"/>
              </w:rPr>
            </w:pPr>
            <w:r w:rsidRPr="00FC6180">
              <w:rPr>
                <w:b/>
                <w:bCs/>
                <w:sz w:val="24"/>
                <w:szCs w:val="24"/>
              </w:rPr>
              <w:t>% India’s total imports from Australia</w:t>
            </w:r>
          </w:p>
        </w:tc>
      </w:tr>
      <w:tr w:rsidR="00FC6180" w:rsidRPr="00FC6180" w14:paraId="7C91EE0D" w14:textId="77777777" w:rsidTr="004E058E">
        <w:tc>
          <w:tcPr>
            <w:tcW w:w="2547" w:type="dxa"/>
            <w:shd w:val="clear" w:color="auto" w:fill="D9E2F3" w:themeFill="accent1" w:themeFillTint="33"/>
          </w:tcPr>
          <w:p w14:paraId="7AD7D7EA" w14:textId="77777777" w:rsidR="00FC6180" w:rsidRPr="004E058E" w:rsidRDefault="00FC6180" w:rsidP="00D81319">
            <w:pPr>
              <w:rPr>
                <w:sz w:val="24"/>
                <w:szCs w:val="24"/>
              </w:rPr>
            </w:pPr>
            <w:r w:rsidRPr="004E058E">
              <w:rPr>
                <w:sz w:val="24"/>
                <w:szCs w:val="24"/>
              </w:rPr>
              <w:t>Total</w:t>
            </w:r>
          </w:p>
        </w:tc>
        <w:tc>
          <w:tcPr>
            <w:tcW w:w="1304" w:type="dxa"/>
            <w:shd w:val="clear" w:color="auto" w:fill="D9E2F3" w:themeFill="accent1" w:themeFillTint="33"/>
          </w:tcPr>
          <w:p w14:paraId="45832F6F" w14:textId="77777777" w:rsidR="00FC6180" w:rsidRPr="00FC6180" w:rsidRDefault="00FC6180" w:rsidP="00FC6180">
            <w:pPr>
              <w:jc w:val="right"/>
              <w:rPr>
                <w:sz w:val="24"/>
                <w:szCs w:val="24"/>
              </w:rPr>
            </w:pPr>
            <w:r w:rsidRPr="00FC6180">
              <w:rPr>
                <w:sz w:val="24"/>
                <w:szCs w:val="24"/>
              </w:rPr>
              <w:t xml:space="preserve"> 11,908 </w:t>
            </w:r>
          </w:p>
        </w:tc>
        <w:tc>
          <w:tcPr>
            <w:tcW w:w="1926" w:type="dxa"/>
            <w:shd w:val="clear" w:color="auto" w:fill="D9E2F3" w:themeFill="accent1" w:themeFillTint="33"/>
          </w:tcPr>
          <w:p w14:paraId="54BF7FE0" w14:textId="77777777" w:rsidR="00FC6180" w:rsidRPr="00FC6180" w:rsidRDefault="00FC6180" w:rsidP="00FC6180">
            <w:pPr>
              <w:jc w:val="right"/>
              <w:rPr>
                <w:sz w:val="24"/>
                <w:szCs w:val="24"/>
              </w:rPr>
            </w:pPr>
          </w:p>
        </w:tc>
        <w:tc>
          <w:tcPr>
            <w:tcW w:w="1926" w:type="dxa"/>
            <w:shd w:val="clear" w:color="auto" w:fill="D9E2F3" w:themeFill="accent1" w:themeFillTint="33"/>
          </w:tcPr>
          <w:p w14:paraId="5199AA50" w14:textId="77777777" w:rsidR="00FC6180" w:rsidRPr="00FC6180" w:rsidRDefault="00FC6180" w:rsidP="00FC6180">
            <w:pPr>
              <w:jc w:val="right"/>
              <w:rPr>
                <w:sz w:val="24"/>
                <w:szCs w:val="24"/>
              </w:rPr>
            </w:pPr>
            <w:r w:rsidRPr="00FC6180">
              <w:rPr>
                <w:sz w:val="24"/>
                <w:szCs w:val="24"/>
              </w:rPr>
              <w:t xml:space="preserve"> 14,772 </w:t>
            </w:r>
          </w:p>
        </w:tc>
        <w:tc>
          <w:tcPr>
            <w:tcW w:w="1926" w:type="dxa"/>
            <w:shd w:val="clear" w:color="auto" w:fill="D9E2F3" w:themeFill="accent1" w:themeFillTint="33"/>
          </w:tcPr>
          <w:p w14:paraId="0F279529" w14:textId="77777777" w:rsidR="00FC6180" w:rsidRPr="00FC6180" w:rsidRDefault="00FC6180" w:rsidP="00FC6180">
            <w:pPr>
              <w:jc w:val="right"/>
              <w:rPr>
                <w:sz w:val="24"/>
                <w:szCs w:val="24"/>
              </w:rPr>
            </w:pPr>
          </w:p>
        </w:tc>
      </w:tr>
      <w:tr w:rsidR="00FC6180" w:rsidRPr="00FC6180" w14:paraId="20701292" w14:textId="77777777" w:rsidTr="00FC6180">
        <w:tc>
          <w:tcPr>
            <w:tcW w:w="2547" w:type="dxa"/>
          </w:tcPr>
          <w:p w14:paraId="056676B7" w14:textId="77777777" w:rsidR="00FC6180" w:rsidRPr="004E058E" w:rsidRDefault="00FC6180" w:rsidP="00D81319">
            <w:pPr>
              <w:rPr>
                <w:sz w:val="24"/>
                <w:szCs w:val="24"/>
              </w:rPr>
            </w:pPr>
            <w:r w:rsidRPr="004E058E">
              <w:rPr>
                <w:sz w:val="24"/>
                <w:szCs w:val="24"/>
              </w:rPr>
              <w:t>EIF</w:t>
            </w:r>
          </w:p>
        </w:tc>
        <w:tc>
          <w:tcPr>
            <w:tcW w:w="1304" w:type="dxa"/>
          </w:tcPr>
          <w:p w14:paraId="46E5060C" w14:textId="77777777" w:rsidR="00FC6180" w:rsidRPr="00FC6180" w:rsidRDefault="00FC6180" w:rsidP="00FC6180">
            <w:pPr>
              <w:jc w:val="right"/>
              <w:rPr>
                <w:sz w:val="24"/>
                <w:szCs w:val="24"/>
              </w:rPr>
            </w:pPr>
            <w:r w:rsidRPr="00FC6180">
              <w:rPr>
                <w:sz w:val="24"/>
                <w:szCs w:val="24"/>
              </w:rPr>
              <w:t xml:space="preserve"> 4,760 </w:t>
            </w:r>
          </w:p>
        </w:tc>
        <w:tc>
          <w:tcPr>
            <w:tcW w:w="1926" w:type="dxa"/>
          </w:tcPr>
          <w:p w14:paraId="5B25E3B5" w14:textId="77777777" w:rsidR="00FC6180" w:rsidRPr="00FC6180" w:rsidRDefault="00FC6180" w:rsidP="00FC6180">
            <w:pPr>
              <w:jc w:val="right"/>
              <w:rPr>
                <w:sz w:val="24"/>
                <w:szCs w:val="24"/>
              </w:rPr>
            </w:pPr>
            <w:r w:rsidRPr="00FC6180">
              <w:rPr>
                <w:sz w:val="24"/>
                <w:szCs w:val="24"/>
              </w:rPr>
              <w:t>40.0%</w:t>
            </w:r>
          </w:p>
        </w:tc>
        <w:tc>
          <w:tcPr>
            <w:tcW w:w="1926" w:type="dxa"/>
          </w:tcPr>
          <w:p w14:paraId="579D7F6D" w14:textId="77777777" w:rsidR="00FC6180" w:rsidRPr="00FC6180" w:rsidRDefault="00FC6180" w:rsidP="00FC6180">
            <w:pPr>
              <w:jc w:val="right"/>
              <w:rPr>
                <w:sz w:val="24"/>
                <w:szCs w:val="24"/>
              </w:rPr>
            </w:pPr>
            <w:r w:rsidRPr="00FC6180">
              <w:rPr>
                <w:sz w:val="24"/>
                <w:szCs w:val="24"/>
              </w:rPr>
              <w:t xml:space="preserve"> 12,597 </w:t>
            </w:r>
          </w:p>
        </w:tc>
        <w:tc>
          <w:tcPr>
            <w:tcW w:w="1926" w:type="dxa"/>
          </w:tcPr>
          <w:p w14:paraId="502E6F49" w14:textId="77777777" w:rsidR="00FC6180" w:rsidRPr="00FC6180" w:rsidRDefault="00FC6180" w:rsidP="00FC6180">
            <w:pPr>
              <w:jc w:val="right"/>
              <w:rPr>
                <w:sz w:val="24"/>
                <w:szCs w:val="24"/>
              </w:rPr>
            </w:pPr>
            <w:r w:rsidRPr="00FC6180">
              <w:rPr>
                <w:sz w:val="24"/>
                <w:szCs w:val="24"/>
              </w:rPr>
              <w:t>85.3%</w:t>
            </w:r>
          </w:p>
        </w:tc>
      </w:tr>
      <w:tr w:rsidR="00FC6180" w:rsidRPr="00FC6180" w14:paraId="43C09023" w14:textId="77777777" w:rsidTr="00FC6180">
        <w:tc>
          <w:tcPr>
            <w:tcW w:w="2547" w:type="dxa"/>
          </w:tcPr>
          <w:p w14:paraId="068536B8" w14:textId="77777777" w:rsidR="00FC6180" w:rsidRPr="004E058E" w:rsidRDefault="00FC6180" w:rsidP="00D81319">
            <w:pPr>
              <w:rPr>
                <w:sz w:val="24"/>
                <w:szCs w:val="24"/>
              </w:rPr>
            </w:pPr>
            <w:r w:rsidRPr="004E058E">
              <w:rPr>
                <w:sz w:val="24"/>
                <w:szCs w:val="24"/>
              </w:rPr>
              <w:t>3 years</w:t>
            </w:r>
          </w:p>
        </w:tc>
        <w:tc>
          <w:tcPr>
            <w:tcW w:w="1304" w:type="dxa"/>
          </w:tcPr>
          <w:p w14:paraId="3F90F5DA" w14:textId="77777777" w:rsidR="00FC6180" w:rsidRPr="00FC6180" w:rsidRDefault="00FC6180" w:rsidP="00FC6180">
            <w:pPr>
              <w:jc w:val="right"/>
              <w:rPr>
                <w:sz w:val="24"/>
                <w:szCs w:val="24"/>
              </w:rPr>
            </w:pPr>
            <w:r w:rsidRPr="00FC6180">
              <w:rPr>
                <w:sz w:val="24"/>
                <w:szCs w:val="24"/>
              </w:rPr>
              <w:t xml:space="preserve"> 196 </w:t>
            </w:r>
          </w:p>
        </w:tc>
        <w:tc>
          <w:tcPr>
            <w:tcW w:w="1926" w:type="dxa"/>
          </w:tcPr>
          <w:p w14:paraId="37349133" w14:textId="77777777" w:rsidR="00FC6180" w:rsidRPr="00FC6180" w:rsidRDefault="00FC6180" w:rsidP="00FC6180">
            <w:pPr>
              <w:jc w:val="right"/>
              <w:rPr>
                <w:sz w:val="24"/>
                <w:szCs w:val="24"/>
              </w:rPr>
            </w:pPr>
            <w:r w:rsidRPr="00FC6180">
              <w:rPr>
                <w:sz w:val="24"/>
                <w:szCs w:val="24"/>
              </w:rPr>
              <w:t>1.6%</w:t>
            </w:r>
          </w:p>
        </w:tc>
        <w:tc>
          <w:tcPr>
            <w:tcW w:w="1926" w:type="dxa"/>
          </w:tcPr>
          <w:p w14:paraId="76B325AB" w14:textId="77777777" w:rsidR="00FC6180" w:rsidRPr="00FC6180" w:rsidRDefault="00FC6180" w:rsidP="00FC6180">
            <w:pPr>
              <w:jc w:val="right"/>
              <w:rPr>
                <w:sz w:val="24"/>
                <w:szCs w:val="24"/>
              </w:rPr>
            </w:pPr>
            <w:r w:rsidRPr="00FC6180">
              <w:rPr>
                <w:sz w:val="24"/>
                <w:szCs w:val="24"/>
              </w:rPr>
              <w:t xml:space="preserve"> 2 </w:t>
            </w:r>
          </w:p>
        </w:tc>
        <w:tc>
          <w:tcPr>
            <w:tcW w:w="1926" w:type="dxa"/>
          </w:tcPr>
          <w:p w14:paraId="51B910A6" w14:textId="77777777" w:rsidR="00FC6180" w:rsidRPr="00FC6180" w:rsidRDefault="00FC6180" w:rsidP="00FC6180">
            <w:pPr>
              <w:jc w:val="right"/>
              <w:rPr>
                <w:sz w:val="24"/>
                <w:szCs w:val="24"/>
              </w:rPr>
            </w:pPr>
            <w:r w:rsidRPr="00FC6180">
              <w:rPr>
                <w:sz w:val="24"/>
                <w:szCs w:val="24"/>
              </w:rPr>
              <w:t>0.0%</w:t>
            </w:r>
          </w:p>
        </w:tc>
      </w:tr>
      <w:tr w:rsidR="00FC6180" w:rsidRPr="00FC6180" w14:paraId="7193A236" w14:textId="77777777" w:rsidTr="00FC6180">
        <w:tc>
          <w:tcPr>
            <w:tcW w:w="2547" w:type="dxa"/>
          </w:tcPr>
          <w:p w14:paraId="4D6674C4" w14:textId="77777777" w:rsidR="00FC6180" w:rsidRPr="004E058E" w:rsidRDefault="00FC6180" w:rsidP="00D81319">
            <w:pPr>
              <w:rPr>
                <w:sz w:val="24"/>
                <w:szCs w:val="24"/>
              </w:rPr>
            </w:pPr>
            <w:r w:rsidRPr="004E058E">
              <w:rPr>
                <w:sz w:val="24"/>
                <w:szCs w:val="24"/>
              </w:rPr>
              <w:t>5 years</w:t>
            </w:r>
          </w:p>
        </w:tc>
        <w:tc>
          <w:tcPr>
            <w:tcW w:w="1304" w:type="dxa"/>
          </w:tcPr>
          <w:p w14:paraId="6E9A6C2D" w14:textId="77777777" w:rsidR="00FC6180" w:rsidRPr="00FC6180" w:rsidRDefault="00FC6180" w:rsidP="00FC6180">
            <w:pPr>
              <w:jc w:val="right"/>
              <w:rPr>
                <w:sz w:val="24"/>
                <w:szCs w:val="24"/>
              </w:rPr>
            </w:pPr>
            <w:r w:rsidRPr="00FC6180">
              <w:rPr>
                <w:sz w:val="24"/>
                <w:szCs w:val="24"/>
              </w:rPr>
              <w:t xml:space="preserve"> 813 </w:t>
            </w:r>
          </w:p>
        </w:tc>
        <w:tc>
          <w:tcPr>
            <w:tcW w:w="1926" w:type="dxa"/>
          </w:tcPr>
          <w:p w14:paraId="3534E68C" w14:textId="77777777" w:rsidR="00FC6180" w:rsidRPr="00FC6180" w:rsidRDefault="00FC6180" w:rsidP="00FC6180">
            <w:pPr>
              <w:jc w:val="right"/>
              <w:rPr>
                <w:sz w:val="24"/>
                <w:szCs w:val="24"/>
              </w:rPr>
            </w:pPr>
            <w:r w:rsidRPr="00FC6180">
              <w:rPr>
                <w:sz w:val="24"/>
                <w:szCs w:val="24"/>
              </w:rPr>
              <w:t>6.8%</w:t>
            </w:r>
          </w:p>
        </w:tc>
        <w:tc>
          <w:tcPr>
            <w:tcW w:w="1926" w:type="dxa"/>
          </w:tcPr>
          <w:p w14:paraId="497D476D" w14:textId="77777777" w:rsidR="00FC6180" w:rsidRPr="00FC6180" w:rsidRDefault="00FC6180" w:rsidP="00FC6180">
            <w:pPr>
              <w:jc w:val="right"/>
              <w:rPr>
                <w:sz w:val="24"/>
                <w:szCs w:val="24"/>
              </w:rPr>
            </w:pPr>
            <w:r w:rsidRPr="00FC6180">
              <w:rPr>
                <w:sz w:val="24"/>
                <w:szCs w:val="24"/>
              </w:rPr>
              <w:t xml:space="preserve"> 502 </w:t>
            </w:r>
          </w:p>
        </w:tc>
        <w:tc>
          <w:tcPr>
            <w:tcW w:w="1926" w:type="dxa"/>
          </w:tcPr>
          <w:p w14:paraId="6629EDC6" w14:textId="77777777" w:rsidR="00FC6180" w:rsidRPr="00FC6180" w:rsidRDefault="00FC6180" w:rsidP="00FC6180">
            <w:pPr>
              <w:jc w:val="right"/>
              <w:rPr>
                <w:sz w:val="24"/>
                <w:szCs w:val="24"/>
              </w:rPr>
            </w:pPr>
            <w:r w:rsidRPr="00FC6180">
              <w:rPr>
                <w:sz w:val="24"/>
                <w:szCs w:val="24"/>
              </w:rPr>
              <w:t>3.4%</w:t>
            </w:r>
          </w:p>
        </w:tc>
      </w:tr>
      <w:tr w:rsidR="00FC6180" w:rsidRPr="00FC6180" w14:paraId="4A512097" w14:textId="77777777" w:rsidTr="00FC6180">
        <w:tc>
          <w:tcPr>
            <w:tcW w:w="2547" w:type="dxa"/>
          </w:tcPr>
          <w:p w14:paraId="47C2F74A" w14:textId="77777777" w:rsidR="00FC6180" w:rsidRPr="004E058E" w:rsidRDefault="00FC6180" w:rsidP="00D81319">
            <w:pPr>
              <w:rPr>
                <w:sz w:val="24"/>
                <w:szCs w:val="24"/>
              </w:rPr>
            </w:pPr>
            <w:r w:rsidRPr="004E058E">
              <w:rPr>
                <w:sz w:val="24"/>
                <w:szCs w:val="24"/>
              </w:rPr>
              <w:t>7 years</w:t>
            </w:r>
          </w:p>
        </w:tc>
        <w:tc>
          <w:tcPr>
            <w:tcW w:w="1304" w:type="dxa"/>
          </w:tcPr>
          <w:p w14:paraId="1D95AD86" w14:textId="77777777" w:rsidR="00FC6180" w:rsidRPr="00FC6180" w:rsidRDefault="00FC6180" w:rsidP="00FC6180">
            <w:pPr>
              <w:jc w:val="right"/>
              <w:rPr>
                <w:sz w:val="24"/>
                <w:szCs w:val="24"/>
              </w:rPr>
            </w:pPr>
            <w:r w:rsidRPr="00FC6180">
              <w:rPr>
                <w:sz w:val="24"/>
                <w:szCs w:val="24"/>
              </w:rPr>
              <w:t xml:space="preserve"> 2,484 </w:t>
            </w:r>
          </w:p>
        </w:tc>
        <w:tc>
          <w:tcPr>
            <w:tcW w:w="1926" w:type="dxa"/>
          </w:tcPr>
          <w:p w14:paraId="122EA6C7" w14:textId="77777777" w:rsidR="00FC6180" w:rsidRPr="00FC6180" w:rsidRDefault="00FC6180" w:rsidP="00FC6180">
            <w:pPr>
              <w:jc w:val="right"/>
              <w:rPr>
                <w:sz w:val="24"/>
                <w:szCs w:val="24"/>
              </w:rPr>
            </w:pPr>
            <w:r w:rsidRPr="00FC6180">
              <w:rPr>
                <w:sz w:val="24"/>
                <w:szCs w:val="24"/>
              </w:rPr>
              <w:t>20.9%</w:t>
            </w:r>
          </w:p>
        </w:tc>
        <w:tc>
          <w:tcPr>
            <w:tcW w:w="1926" w:type="dxa"/>
          </w:tcPr>
          <w:p w14:paraId="22C0E381" w14:textId="77777777" w:rsidR="00FC6180" w:rsidRPr="00FC6180" w:rsidRDefault="00FC6180" w:rsidP="00FC6180">
            <w:pPr>
              <w:jc w:val="right"/>
              <w:rPr>
                <w:sz w:val="24"/>
                <w:szCs w:val="24"/>
              </w:rPr>
            </w:pPr>
            <w:r w:rsidRPr="00FC6180">
              <w:rPr>
                <w:sz w:val="24"/>
                <w:szCs w:val="24"/>
              </w:rPr>
              <w:t xml:space="preserve"> 60 </w:t>
            </w:r>
          </w:p>
        </w:tc>
        <w:tc>
          <w:tcPr>
            <w:tcW w:w="1926" w:type="dxa"/>
          </w:tcPr>
          <w:p w14:paraId="5CE4A314" w14:textId="77777777" w:rsidR="00FC6180" w:rsidRPr="00FC6180" w:rsidRDefault="00FC6180" w:rsidP="00FC6180">
            <w:pPr>
              <w:jc w:val="right"/>
              <w:rPr>
                <w:sz w:val="24"/>
                <w:szCs w:val="24"/>
              </w:rPr>
            </w:pPr>
            <w:r w:rsidRPr="00FC6180">
              <w:rPr>
                <w:sz w:val="24"/>
                <w:szCs w:val="24"/>
              </w:rPr>
              <w:t>0.4%</w:t>
            </w:r>
          </w:p>
        </w:tc>
      </w:tr>
      <w:tr w:rsidR="00FC6180" w:rsidRPr="00FC6180" w14:paraId="72B28CBB" w14:textId="77777777" w:rsidTr="00FC6180">
        <w:tc>
          <w:tcPr>
            <w:tcW w:w="2547" w:type="dxa"/>
          </w:tcPr>
          <w:p w14:paraId="255C1108" w14:textId="77777777" w:rsidR="00FC6180" w:rsidRPr="004E058E" w:rsidRDefault="00FC6180" w:rsidP="00D81319">
            <w:pPr>
              <w:rPr>
                <w:sz w:val="24"/>
                <w:szCs w:val="24"/>
              </w:rPr>
            </w:pPr>
            <w:r w:rsidRPr="004E058E">
              <w:rPr>
                <w:sz w:val="24"/>
                <w:szCs w:val="24"/>
              </w:rPr>
              <w:t>10 years</w:t>
            </w:r>
          </w:p>
        </w:tc>
        <w:tc>
          <w:tcPr>
            <w:tcW w:w="1304" w:type="dxa"/>
          </w:tcPr>
          <w:p w14:paraId="58062105" w14:textId="77777777" w:rsidR="00FC6180" w:rsidRPr="00FC6180" w:rsidRDefault="00FC6180" w:rsidP="00FC6180">
            <w:pPr>
              <w:jc w:val="right"/>
              <w:rPr>
                <w:sz w:val="24"/>
                <w:szCs w:val="24"/>
              </w:rPr>
            </w:pPr>
            <w:r w:rsidRPr="00FC6180">
              <w:rPr>
                <w:sz w:val="24"/>
                <w:szCs w:val="24"/>
              </w:rPr>
              <w:t xml:space="preserve"> 6 </w:t>
            </w:r>
          </w:p>
        </w:tc>
        <w:tc>
          <w:tcPr>
            <w:tcW w:w="1926" w:type="dxa"/>
          </w:tcPr>
          <w:p w14:paraId="7E2D90BC" w14:textId="77777777" w:rsidR="00FC6180" w:rsidRPr="00FC6180" w:rsidRDefault="00FC6180" w:rsidP="00FC6180">
            <w:pPr>
              <w:jc w:val="right"/>
              <w:rPr>
                <w:sz w:val="24"/>
                <w:szCs w:val="24"/>
              </w:rPr>
            </w:pPr>
            <w:r w:rsidRPr="00FC6180">
              <w:rPr>
                <w:sz w:val="24"/>
                <w:szCs w:val="24"/>
              </w:rPr>
              <w:t>0.1%</w:t>
            </w:r>
          </w:p>
        </w:tc>
        <w:tc>
          <w:tcPr>
            <w:tcW w:w="1926" w:type="dxa"/>
          </w:tcPr>
          <w:p w14:paraId="351666EC" w14:textId="77777777" w:rsidR="00FC6180" w:rsidRPr="00FC6180" w:rsidRDefault="00FC6180" w:rsidP="00FC6180">
            <w:pPr>
              <w:jc w:val="right"/>
              <w:rPr>
                <w:sz w:val="24"/>
                <w:szCs w:val="24"/>
              </w:rPr>
            </w:pPr>
            <w:r w:rsidRPr="00FC6180">
              <w:rPr>
                <w:sz w:val="24"/>
                <w:szCs w:val="24"/>
              </w:rPr>
              <w:t xml:space="preserve"> -   </w:t>
            </w:r>
          </w:p>
        </w:tc>
        <w:tc>
          <w:tcPr>
            <w:tcW w:w="1926" w:type="dxa"/>
          </w:tcPr>
          <w:p w14:paraId="3777317E" w14:textId="77777777" w:rsidR="00FC6180" w:rsidRPr="00FC6180" w:rsidRDefault="00FC6180" w:rsidP="00FC6180">
            <w:pPr>
              <w:jc w:val="right"/>
              <w:rPr>
                <w:sz w:val="24"/>
                <w:szCs w:val="24"/>
              </w:rPr>
            </w:pPr>
            <w:r w:rsidRPr="00FC6180">
              <w:rPr>
                <w:sz w:val="24"/>
                <w:szCs w:val="24"/>
              </w:rPr>
              <w:t>0.0%</w:t>
            </w:r>
          </w:p>
        </w:tc>
      </w:tr>
      <w:tr w:rsidR="00FC6180" w:rsidRPr="00FC6180" w14:paraId="7BE90F70" w14:textId="77777777" w:rsidTr="00FC6180">
        <w:tc>
          <w:tcPr>
            <w:tcW w:w="2547" w:type="dxa"/>
          </w:tcPr>
          <w:p w14:paraId="46CDD998" w14:textId="77777777" w:rsidR="00FC6180" w:rsidRPr="004E058E" w:rsidRDefault="00FC6180" w:rsidP="00D81319">
            <w:pPr>
              <w:rPr>
                <w:sz w:val="24"/>
                <w:szCs w:val="24"/>
              </w:rPr>
            </w:pPr>
            <w:r w:rsidRPr="004E058E">
              <w:rPr>
                <w:sz w:val="24"/>
                <w:szCs w:val="24"/>
              </w:rPr>
              <w:t xml:space="preserve">Tariff reduction only </w:t>
            </w:r>
          </w:p>
        </w:tc>
        <w:tc>
          <w:tcPr>
            <w:tcW w:w="1304" w:type="dxa"/>
          </w:tcPr>
          <w:p w14:paraId="62217934" w14:textId="77777777" w:rsidR="00FC6180" w:rsidRPr="00FC6180" w:rsidRDefault="00FC6180" w:rsidP="00FC6180">
            <w:pPr>
              <w:jc w:val="right"/>
              <w:rPr>
                <w:sz w:val="24"/>
                <w:szCs w:val="24"/>
              </w:rPr>
            </w:pPr>
            <w:r w:rsidRPr="00FC6180">
              <w:rPr>
                <w:sz w:val="24"/>
                <w:szCs w:val="24"/>
              </w:rPr>
              <w:t xml:space="preserve"> 102 </w:t>
            </w:r>
          </w:p>
        </w:tc>
        <w:tc>
          <w:tcPr>
            <w:tcW w:w="1926" w:type="dxa"/>
          </w:tcPr>
          <w:p w14:paraId="3933A9B1" w14:textId="77777777" w:rsidR="00FC6180" w:rsidRPr="00FC6180" w:rsidRDefault="00FC6180" w:rsidP="00FC6180">
            <w:pPr>
              <w:jc w:val="right"/>
              <w:rPr>
                <w:sz w:val="24"/>
                <w:szCs w:val="24"/>
              </w:rPr>
            </w:pPr>
            <w:r w:rsidRPr="00FC6180">
              <w:rPr>
                <w:sz w:val="24"/>
                <w:szCs w:val="24"/>
              </w:rPr>
              <w:t>0.9%</w:t>
            </w:r>
          </w:p>
        </w:tc>
        <w:tc>
          <w:tcPr>
            <w:tcW w:w="1926" w:type="dxa"/>
          </w:tcPr>
          <w:p w14:paraId="0E01B110" w14:textId="77777777" w:rsidR="00FC6180" w:rsidRPr="00FC6180" w:rsidRDefault="00FC6180" w:rsidP="00FC6180">
            <w:pPr>
              <w:jc w:val="right"/>
              <w:rPr>
                <w:sz w:val="24"/>
                <w:szCs w:val="24"/>
              </w:rPr>
            </w:pPr>
            <w:r w:rsidRPr="00FC6180">
              <w:rPr>
                <w:sz w:val="24"/>
                <w:szCs w:val="24"/>
              </w:rPr>
              <w:t xml:space="preserve"> 16 </w:t>
            </w:r>
          </w:p>
        </w:tc>
        <w:tc>
          <w:tcPr>
            <w:tcW w:w="1926" w:type="dxa"/>
          </w:tcPr>
          <w:p w14:paraId="71F26A68" w14:textId="77777777" w:rsidR="00FC6180" w:rsidRPr="00FC6180" w:rsidRDefault="00FC6180" w:rsidP="00FC6180">
            <w:pPr>
              <w:jc w:val="right"/>
              <w:rPr>
                <w:sz w:val="24"/>
                <w:szCs w:val="24"/>
              </w:rPr>
            </w:pPr>
            <w:r w:rsidRPr="00FC6180">
              <w:rPr>
                <w:sz w:val="24"/>
                <w:szCs w:val="24"/>
              </w:rPr>
              <w:t>0.1%</w:t>
            </w:r>
          </w:p>
        </w:tc>
      </w:tr>
      <w:tr w:rsidR="00FC6180" w:rsidRPr="00FC6180" w14:paraId="6EC8A885" w14:textId="77777777" w:rsidTr="00FC6180">
        <w:tc>
          <w:tcPr>
            <w:tcW w:w="2547" w:type="dxa"/>
          </w:tcPr>
          <w:p w14:paraId="37023F0A" w14:textId="77777777" w:rsidR="00FC6180" w:rsidRPr="004E058E" w:rsidRDefault="00FC6180" w:rsidP="00D81319">
            <w:pPr>
              <w:rPr>
                <w:sz w:val="24"/>
                <w:szCs w:val="24"/>
              </w:rPr>
            </w:pPr>
            <w:r w:rsidRPr="004E058E">
              <w:rPr>
                <w:sz w:val="24"/>
                <w:szCs w:val="24"/>
              </w:rPr>
              <w:t>TRQs</w:t>
            </w:r>
          </w:p>
        </w:tc>
        <w:tc>
          <w:tcPr>
            <w:tcW w:w="1304" w:type="dxa"/>
          </w:tcPr>
          <w:p w14:paraId="6C392624" w14:textId="77777777" w:rsidR="00FC6180" w:rsidRPr="00FC6180" w:rsidRDefault="00FC6180" w:rsidP="00FC6180">
            <w:pPr>
              <w:jc w:val="right"/>
              <w:rPr>
                <w:sz w:val="24"/>
                <w:szCs w:val="24"/>
              </w:rPr>
            </w:pPr>
            <w:r w:rsidRPr="00FC6180">
              <w:rPr>
                <w:sz w:val="24"/>
                <w:szCs w:val="24"/>
              </w:rPr>
              <w:t xml:space="preserve"> 7 </w:t>
            </w:r>
          </w:p>
        </w:tc>
        <w:tc>
          <w:tcPr>
            <w:tcW w:w="1926" w:type="dxa"/>
          </w:tcPr>
          <w:p w14:paraId="6779262A" w14:textId="77777777" w:rsidR="00FC6180" w:rsidRPr="00FC6180" w:rsidRDefault="00FC6180" w:rsidP="00FC6180">
            <w:pPr>
              <w:jc w:val="right"/>
              <w:rPr>
                <w:sz w:val="24"/>
                <w:szCs w:val="24"/>
              </w:rPr>
            </w:pPr>
            <w:r w:rsidRPr="00FC6180">
              <w:rPr>
                <w:sz w:val="24"/>
                <w:szCs w:val="24"/>
              </w:rPr>
              <w:t>0.1%</w:t>
            </w:r>
          </w:p>
        </w:tc>
        <w:tc>
          <w:tcPr>
            <w:tcW w:w="1926" w:type="dxa"/>
          </w:tcPr>
          <w:p w14:paraId="2DBA1976" w14:textId="77777777" w:rsidR="00FC6180" w:rsidRPr="00FC6180" w:rsidRDefault="00FC6180" w:rsidP="00FC6180">
            <w:pPr>
              <w:jc w:val="right"/>
              <w:rPr>
                <w:sz w:val="24"/>
                <w:szCs w:val="24"/>
              </w:rPr>
            </w:pPr>
            <w:r w:rsidRPr="00FC6180">
              <w:rPr>
                <w:sz w:val="24"/>
                <w:szCs w:val="24"/>
              </w:rPr>
              <w:t xml:space="preserve"> 206 </w:t>
            </w:r>
          </w:p>
        </w:tc>
        <w:tc>
          <w:tcPr>
            <w:tcW w:w="1926" w:type="dxa"/>
          </w:tcPr>
          <w:p w14:paraId="576F958A" w14:textId="77777777" w:rsidR="00FC6180" w:rsidRPr="00FC6180" w:rsidRDefault="00FC6180" w:rsidP="00FC6180">
            <w:pPr>
              <w:jc w:val="right"/>
              <w:rPr>
                <w:sz w:val="24"/>
                <w:szCs w:val="24"/>
              </w:rPr>
            </w:pPr>
            <w:r w:rsidRPr="00FC6180">
              <w:rPr>
                <w:sz w:val="24"/>
                <w:szCs w:val="24"/>
              </w:rPr>
              <w:t>1.4%</w:t>
            </w:r>
          </w:p>
        </w:tc>
      </w:tr>
      <w:tr w:rsidR="00FC6180" w:rsidRPr="00FC6180" w14:paraId="599657A2" w14:textId="77777777" w:rsidTr="004E058E">
        <w:tc>
          <w:tcPr>
            <w:tcW w:w="2547" w:type="dxa"/>
            <w:shd w:val="clear" w:color="auto" w:fill="D9E2F3" w:themeFill="accent1" w:themeFillTint="33"/>
          </w:tcPr>
          <w:p w14:paraId="22F5EAE8" w14:textId="77777777" w:rsidR="00FC6180" w:rsidRPr="004E058E" w:rsidRDefault="00FC6180" w:rsidP="00D81319">
            <w:pPr>
              <w:rPr>
                <w:sz w:val="24"/>
                <w:szCs w:val="24"/>
              </w:rPr>
            </w:pPr>
            <w:r w:rsidRPr="004E058E">
              <w:rPr>
                <w:sz w:val="24"/>
                <w:szCs w:val="24"/>
              </w:rPr>
              <w:t>Subtotal in offer</w:t>
            </w:r>
          </w:p>
        </w:tc>
        <w:tc>
          <w:tcPr>
            <w:tcW w:w="1304" w:type="dxa"/>
            <w:shd w:val="clear" w:color="auto" w:fill="D9E2F3" w:themeFill="accent1" w:themeFillTint="33"/>
          </w:tcPr>
          <w:p w14:paraId="4F419208" w14:textId="77777777" w:rsidR="00FC6180" w:rsidRPr="00FC6180" w:rsidRDefault="00FC6180" w:rsidP="00FC6180">
            <w:pPr>
              <w:jc w:val="right"/>
              <w:rPr>
                <w:sz w:val="24"/>
                <w:szCs w:val="24"/>
              </w:rPr>
            </w:pPr>
            <w:r w:rsidRPr="00FC6180">
              <w:rPr>
                <w:sz w:val="24"/>
                <w:szCs w:val="24"/>
              </w:rPr>
              <w:t xml:space="preserve"> 8,368 </w:t>
            </w:r>
          </w:p>
        </w:tc>
        <w:tc>
          <w:tcPr>
            <w:tcW w:w="1926" w:type="dxa"/>
            <w:shd w:val="clear" w:color="auto" w:fill="D9E2F3" w:themeFill="accent1" w:themeFillTint="33"/>
          </w:tcPr>
          <w:p w14:paraId="218C2F40" w14:textId="77777777" w:rsidR="00FC6180" w:rsidRPr="00FC6180" w:rsidRDefault="00FC6180" w:rsidP="00FC6180">
            <w:pPr>
              <w:jc w:val="right"/>
              <w:rPr>
                <w:sz w:val="24"/>
                <w:szCs w:val="24"/>
              </w:rPr>
            </w:pPr>
            <w:r w:rsidRPr="00FC6180">
              <w:rPr>
                <w:sz w:val="24"/>
                <w:szCs w:val="24"/>
              </w:rPr>
              <w:t>70.3%</w:t>
            </w:r>
          </w:p>
        </w:tc>
        <w:tc>
          <w:tcPr>
            <w:tcW w:w="1926" w:type="dxa"/>
            <w:shd w:val="clear" w:color="auto" w:fill="D9E2F3" w:themeFill="accent1" w:themeFillTint="33"/>
          </w:tcPr>
          <w:p w14:paraId="19FD64C6" w14:textId="77777777" w:rsidR="00FC6180" w:rsidRPr="00FC6180" w:rsidRDefault="00FC6180" w:rsidP="00FC6180">
            <w:pPr>
              <w:jc w:val="right"/>
              <w:rPr>
                <w:sz w:val="24"/>
                <w:szCs w:val="24"/>
              </w:rPr>
            </w:pPr>
            <w:r w:rsidRPr="00FC6180">
              <w:rPr>
                <w:sz w:val="24"/>
                <w:szCs w:val="24"/>
              </w:rPr>
              <w:t xml:space="preserve"> 13,382 </w:t>
            </w:r>
          </w:p>
        </w:tc>
        <w:tc>
          <w:tcPr>
            <w:tcW w:w="1926" w:type="dxa"/>
            <w:shd w:val="clear" w:color="auto" w:fill="D9E2F3" w:themeFill="accent1" w:themeFillTint="33"/>
          </w:tcPr>
          <w:p w14:paraId="290FAE16" w14:textId="77777777" w:rsidR="00FC6180" w:rsidRPr="00FC6180" w:rsidRDefault="00FC6180" w:rsidP="00FC6180">
            <w:pPr>
              <w:jc w:val="right"/>
              <w:rPr>
                <w:sz w:val="24"/>
                <w:szCs w:val="24"/>
              </w:rPr>
            </w:pPr>
            <w:r w:rsidRPr="00FC6180">
              <w:rPr>
                <w:sz w:val="24"/>
                <w:szCs w:val="24"/>
              </w:rPr>
              <w:t>90.6%</w:t>
            </w:r>
          </w:p>
        </w:tc>
      </w:tr>
      <w:tr w:rsidR="00FC6180" w:rsidRPr="00FC6180" w14:paraId="1E8A6E9B" w14:textId="77777777" w:rsidTr="00FC6180">
        <w:tc>
          <w:tcPr>
            <w:tcW w:w="2547" w:type="dxa"/>
          </w:tcPr>
          <w:p w14:paraId="77ACD34A" w14:textId="77777777" w:rsidR="00FC6180" w:rsidRPr="004E058E" w:rsidRDefault="00FC6180" w:rsidP="00D81319">
            <w:pPr>
              <w:rPr>
                <w:sz w:val="24"/>
                <w:szCs w:val="24"/>
              </w:rPr>
            </w:pPr>
            <w:r w:rsidRPr="004E058E">
              <w:rPr>
                <w:sz w:val="24"/>
                <w:szCs w:val="24"/>
              </w:rPr>
              <w:t>Excluded</w:t>
            </w:r>
          </w:p>
        </w:tc>
        <w:tc>
          <w:tcPr>
            <w:tcW w:w="1304" w:type="dxa"/>
          </w:tcPr>
          <w:p w14:paraId="3C32BE3C" w14:textId="77777777" w:rsidR="00FC6180" w:rsidRPr="00FC6180" w:rsidRDefault="00FC6180" w:rsidP="00FC6180">
            <w:pPr>
              <w:jc w:val="right"/>
              <w:rPr>
                <w:sz w:val="24"/>
                <w:szCs w:val="24"/>
              </w:rPr>
            </w:pPr>
            <w:r w:rsidRPr="00FC6180">
              <w:rPr>
                <w:sz w:val="24"/>
                <w:szCs w:val="24"/>
              </w:rPr>
              <w:t xml:space="preserve"> 3,540 </w:t>
            </w:r>
          </w:p>
        </w:tc>
        <w:tc>
          <w:tcPr>
            <w:tcW w:w="1926" w:type="dxa"/>
          </w:tcPr>
          <w:p w14:paraId="01B8E37C" w14:textId="77777777" w:rsidR="00FC6180" w:rsidRPr="00FC6180" w:rsidRDefault="00FC6180" w:rsidP="00FC6180">
            <w:pPr>
              <w:jc w:val="right"/>
              <w:rPr>
                <w:sz w:val="24"/>
                <w:szCs w:val="24"/>
              </w:rPr>
            </w:pPr>
            <w:r w:rsidRPr="00FC6180">
              <w:rPr>
                <w:sz w:val="24"/>
                <w:szCs w:val="24"/>
              </w:rPr>
              <w:t>29.7%</w:t>
            </w:r>
          </w:p>
        </w:tc>
        <w:tc>
          <w:tcPr>
            <w:tcW w:w="1926" w:type="dxa"/>
          </w:tcPr>
          <w:p w14:paraId="2CFBBDCD" w14:textId="77777777" w:rsidR="00FC6180" w:rsidRPr="00FC6180" w:rsidRDefault="00FC6180" w:rsidP="00FC6180">
            <w:pPr>
              <w:jc w:val="right"/>
              <w:rPr>
                <w:sz w:val="24"/>
                <w:szCs w:val="24"/>
              </w:rPr>
            </w:pPr>
            <w:r w:rsidRPr="00FC6180">
              <w:rPr>
                <w:sz w:val="24"/>
                <w:szCs w:val="24"/>
              </w:rPr>
              <w:t xml:space="preserve"> 1,390 </w:t>
            </w:r>
          </w:p>
        </w:tc>
        <w:tc>
          <w:tcPr>
            <w:tcW w:w="1926" w:type="dxa"/>
          </w:tcPr>
          <w:p w14:paraId="50AD2C54" w14:textId="77777777" w:rsidR="00FC6180" w:rsidRPr="00FC6180" w:rsidRDefault="00FC6180" w:rsidP="00FC6180">
            <w:pPr>
              <w:jc w:val="right"/>
              <w:rPr>
                <w:sz w:val="24"/>
                <w:szCs w:val="24"/>
              </w:rPr>
            </w:pPr>
            <w:r w:rsidRPr="00FC6180">
              <w:rPr>
                <w:sz w:val="24"/>
                <w:szCs w:val="24"/>
              </w:rPr>
              <w:t>9.4%</w:t>
            </w:r>
          </w:p>
        </w:tc>
      </w:tr>
    </w:tbl>
    <w:p w14:paraId="6AF1634B" w14:textId="497B1607" w:rsidR="00CF3A25" w:rsidRDefault="00CF3A25" w:rsidP="0038033F">
      <w:pPr>
        <w:spacing w:after="0"/>
        <w:rPr>
          <w:b/>
          <w:bCs/>
          <w:sz w:val="24"/>
          <w:szCs w:val="24"/>
        </w:rPr>
      </w:pPr>
    </w:p>
    <w:p w14:paraId="1208E609" w14:textId="77777777" w:rsidR="00CF3A25" w:rsidRDefault="00CF3A25" w:rsidP="0038033F">
      <w:pPr>
        <w:spacing w:after="0"/>
        <w:rPr>
          <w:b/>
          <w:bCs/>
          <w:sz w:val="24"/>
          <w:szCs w:val="24"/>
        </w:rPr>
      </w:pPr>
    </w:p>
    <w:p w14:paraId="19560393" w14:textId="41CA4B83" w:rsidR="00B5780F" w:rsidRDefault="00B5780F">
      <w:pPr>
        <w:spacing w:after="0"/>
        <w:rPr>
          <w:b/>
          <w:bCs/>
          <w:sz w:val="24"/>
          <w:szCs w:val="24"/>
        </w:rPr>
      </w:pPr>
      <w:r w:rsidRPr="00B73C11">
        <w:rPr>
          <w:b/>
          <w:bCs/>
          <w:sz w:val="24"/>
          <w:szCs w:val="24"/>
          <w:u w:val="single"/>
        </w:rPr>
        <w:t xml:space="preserve">Table </w:t>
      </w:r>
      <w:r w:rsidR="002403BA" w:rsidRPr="00B73C11">
        <w:rPr>
          <w:b/>
          <w:bCs/>
          <w:sz w:val="24"/>
          <w:szCs w:val="24"/>
          <w:u w:val="single"/>
        </w:rPr>
        <w:t>2</w:t>
      </w:r>
      <w:r w:rsidRPr="00B73C11">
        <w:rPr>
          <w:b/>
          <w:bCs/>
          <w:sz w:val="24"/>
          <w:szCs w:val="24"/>
          <w:u w:val="single"/>
        </w:rPr>
        <w:t>:</w:t>
      </w:r>
      <w:r w:rsidRPr="543832D4">
        <w:rPr>
          <w:b/>
          <w:bCs/>
          <w:sz w:val="24"/>
          <w:szCs w:val="24"/>
        </w:rPr>
        <w:t xml:space="preserve"> Key Australian exports to India </w:t>
      </w:r>
    </w:p>
    <w:p w14:paraId="089E3609" w14:textId="77777777" w:rsidR="00533889" w:rsidRPr="00D76CFD" w:rsidRDefault="00533889" w:rsidP="0038033F">
      <w:pPr>
        <w:spacing w:after="0"/>
        <w:rPr>
          <w:b/>
          <w:bCs/>
          <w:highlight w:val="yellow"/>
        </w:rPr>
      </w:pPr>
    </w:p>
    <w:tbl>
      <w:tblPr>
        <w:tblStyle w:val="TableGrid"/>
        <w:tblW w:w="9782" w:type="dxa"/>
        <w:tblInd w:w="-294" w:type="dxa"/>
        <w:tblLayout w:type="fixed"/>
        <w:tblLook w:val="04A0" w:firstRow="1" w:lastRow="0" w:firstColumn="1" w:lastColumn="0" w:noHBand="0" w:noVBand="1"/>
      </w:tblPr>
      <w:tblGrid>
        <w:gridCol w:w="1702"/>
        <w:gridCol w:w="992"/>
        <w:gridCol w:w="992"/>
        <w:gridCol w:w="1276"/>
        <w:gridCol w:w="1701"/>
        <w:gridCol w:w="3119"/>
      </w:tblGrid>
      <w:tr w:rsidR="00B67785" w14:paraId="336F4B1B" w14:textId="77777777" w:rsidTr="0062202D">
        <w:trPr>
          <w:tblHeader/>
        </w:trPr>
        <w:tc>
          <w:tcPr>
            <w:tcW w:w="1702" w:type="dxa"/>
            <w:tcBorders>
              <w:top w:val="single" w:sz="8" w:space="0" w:color="auto"/>
              <w:left w:val="single" w:sz="8" w:space="0" w:color="auto"/>
              <w:bottom w:val="single" w:sz="8" w:space="0" w:color="auto"/>
              <w:right w:val="single" w:sz="8" w:space="0" w:color="auto"/>
            </w:tcBorders>
            <w:shd w:val="clear" w:color="auto" w:fill="BDD6EE" w:themeFill="accent5" w:themeFillTint="66"/>
          </w:tcPr>
          <w:p w14:paraId="0FF9CD47" w14:textId="7BC52445" w:rsidR="00B67785" w:rsidRDefault="00B67785" w:rsidP="543832D4">
            <w:pPr>
              <w:jc w:val="center"/>
            </w:pPr>
            <w:bookmarkStart w:id="28" w:name="_Hlk97127680"/>
            <w:r w:rsidRPr="543832D4">
              <w:rPr>
                <w:rFonts w:ascii="Calibri" w:eastAsia="Calibri" w:hAnsi="Calibri" w:cs="Calibri"/>
                <w:b/>
                <w:bCs/>
              </w:rPr>
              <w:t>Commodity</w:t>
            </w:r>
          </w:p>
        </w:tc>
        <w:tc>
          <w:tcPr>
            <w:tcW w:w="992" w:type="dxa"/>
            <w:tcBorders>
              <w:top w:val="single" w:sz="8" w:space="0" w:color="auto"/>
              <w:left w:val="single" w:sz="8" w:space="0" w:color="auto"/>
              <w:bottom w:val="single" w:sz="8" w:space="0" w:color="auto"/>
              <w:right w:val="single" w:sz="8" w:space="0" w:color="auto"/>
            </w:tcBorders>
            <w:shd w:val="clear" w:color="auto" w:fill="BDD6EE" w:themeFill="accent5" w:themeFillTint="66"/>
          </w:tcPr>
          <w:p w14:paraId="571EC513" w14:textId="74CAC5E8" w:rsidR="00B67785" w:rsidRDefault="00B67785" w:rsidP="543832D4">
            <w:pPr>
              <w:jc w:val="center"/>
            </w:pPr>
            <w:r w:rsidRPr="543832D4">
              <w:rPr>
                <w:rFonts w:ascii="Calibri" w:eastAsia="Calibri" w:hAnsi="Calibri" w:cs="Calibri"/>
                <w:b/>
                <w:bCs/>
                <w:color w:val="000000" w:themeColor="text1"/>
              </w:rPr>
              <w:t>HS code</w:t>
            </w:r>
          </w:p>
        </w:tc>
        <w:tc>
          <w:tcPr>
            <w:tcW w:w="992" w:type="dxa"/>
            <w:tcBorders>
              <w:top w:val="single" w:sz="8" w:space="0" w:color="auto"/>
              <w:left w:val="single" w:sz="8" w:space="0" w:color="auto"/>
              <w:bottom w:val="single" w:sz="8" w:space="0" w:color="auto"/>
              <w:right w:val="single" w:sz="8" w:space="0" w:color="auto"/>
            </w:tcBorders>
            <w:shd w:val="clear" w:color="auto" w:fill="BDD6EE" w:themeFill="accent5" w:themeFillTint="66"/>
          </w:tcPr>
          <w:p w14:paraId="3BBE90E2" w14:textId="73A42D16" w:rsidR="00B67785" w:rsidRDefault="00B67785" w:rsidP="00682311">
            <w:pPr>
              <w:jc w:val="center"/>
            </w:pPr>
            <w:r w:rsidRPr="543832D4">
              <w:rPr>
                <w:rFonts w:ascii="Calibri" w:eastAsia="Calibri" w:hAnsi="Calibri" w:cs="Calibri"/>
                <w:b/>
                <w:bCs/>
                <w:color w:val="000000" w:themeColor="text1"/>
              </w:rPr>
              <w:t>Current t</w:t>
            </w:r>
            <w:r>
              <w:rPr>
                <w:rFonts w:ascii="Calibri" w:eastAsia="Calibri" w:hAnsi="Calibri" w:cs="Calibri"/>
                <w:b/>
                <w:bCs/>
                <w:color w:val="000000" w:themeColor="text1"/>
              </w:rPr>
              <w:t>ariff</w:t>
            </w:r>
          </w:p>
          <w:p w14:paraId="4A381796" w14:textId="7E77373A" w:rsidR="00B67785" w:rsidRDefault="00B67785" w:rsidP="543832D4">
            <w:pPr>
              <w:jc w:val="center"/>
            </w:pPr>
          </w:p>
        </w:tc>
        <w:tc>
          <w:tcPr>
            <w:tcW w:w="1276" w:type="dxa"/>
            <w:tcBorders>
              <w:top w:val="single" w:sz="8" w:space="0" w:color="auto"/>
              <w:left w:val="single" w:sz="8" w:space="0" w:color="auto"/>
              <w:bottom w:val="single" w:sz="8" w:space="0" w:color="auto"/>
              <w:right w:val="single" w:sz="8" w:space="0" w:color="auto"/>
            </w:tcBorders>
            <w:shd w:val="clear" w:color="auto" w:fill="BDD6EE" w:themeFill="accent5" w:themeFillTint="66"/>
          </w:tcPr>
          <w:p w14:paraId="23D470EE" w14:textId="30EDBEC9" w:rsidR="00B67785" w:rsidRPr="543832D4" w:rsidRDefault="00B67785" w:rsidP="543832D4">
            <w:pPr>
              <w:jc w:val="center"/>
              <w:rPr>
                <w:rFonts w:ascii="Calibri" w:eastAsia="Calibri" w:hAnsi="Calibri" w:cs="Calibri"/>
                <w:b/>
                <w:bCs/>
                <w:color w:val="000000" w:themeColor="text1"/>
              </w:rPr>
            </w:pPr>
            <w:r>
              <w:rPr>
                <w:rFonts w:ascii="Calibri" w:eastAsia="Calibri" w:hAnsi="Calibri" w:cs="Calibri"/>
                <w:b/>
                <w:bCs/>
                <w:color w:val="000000" w:themeColor="text1"/>
              </w:rPr>
              <w:t>WTO Bound tariffs</w:t>
            </w:r>
          </w:p>
        </w:tc>
        <w:tc>
          <w:tcPr>
            <w:tcW w:w="1701" w:type="dxa"/>
            <w:tcBorders>
              <w:top w:val="single" w:sz="8" w:space="0" w:color="auto"/>
              <w:left w:val="single" w:sz="8" w:space="0" w:color="auto"/>
              <w:bottom w:val="single" w:sz="8" w:space="0" w:color="auto"/>
              <w:right w:val="single" w:sz="8" w:space="0" w:color="auto"/>
            </w:tcBorders>
            <w:shd w:val="clear" w:color="auto" w:fill="BDD6EE" w:themeFill="accent5" w:themeFillTint="66"/>
          </w:tcPr>
          <w:p w14:paraId="1C3ED899" w14:textId="62AD0CE4" w:rsidR="00B67785" w:rsidRDefault="00B67785" w:rsidP="543832D4">
            <w:pPr>
              <w:jc w:val="center"/>
            </w:pPr>
            <w:r w:rsidRPr="543832D4">
              <w:rPr>
                <w:rFonts w:ascii="Calibri" w:eastAsia="Calibri" w:hAnsi="Calibri" w:cs="Calibri"/>
                <w:b/>
                <w:bCs/>
                <w:color w:val="000000" w:themeColor="text1"/>
              </w:rPr>
              <w:t xml:space="preserve">IN imports from AU/World (2018-20, </w:t>
            </w:r>
            <w:proofErr w:type="spellStart"/>
            <w:r w:rsidRPr="543832D4">
              <w:rPr>
                <w:rFonts w:ascii="Calibri" w:eastAsia="Calibri" w:hAnsi="Calibri" w:cs="Calibri"/>
                <w:b/>
                <w:bCs/>
                <w:color w:val="000000" w:themeColor="text1"/>
              </w:rPr>
              <w:t>A$m</w:t>
            </w:r>
            <w:proofErr w:type="spellEnd"/>
            <w:r w:rsidRPr="543832D4">
              <w:rPr>
                <w:rFonts w:ascii="Calibri" w:eastAsia="Calibri" w:hAnsi="Calibri" w:cs="Calibri"/>
                <w:b/>
                <w:bCs/>
                <w:color w:val="000000" w:themeColor="text1"/>
              </w:rPr>
              <w:t>)</w:t>
            </w:r>
          </w:p>
        </w:tc>
        <w:tc>
          <w:tcPr>
            <w:tcW w:w="3119" w:type="dxa"/>
            <w:tcBorders>
              <w:top w:val="single" w:sz="8" w:space="0" w:color="auto"/>
              <w:left w:val="single" w:sz="8" w:space="0" w:color="auto"/>
              <w:bottom w:val="single" w:sz="8" w:space="0" w:color="auto"/>
              <w:right w:val="single" w:sz="8" w:space="0" w:color="auto"/>
            </w:tcBorders>
            <w:shd w:val="clear" w:color="auto" w:fill="BDD6EE" w:themeFill="accent5" w:themeFillTint="66"/>
          </w:tcPr>
          <w:p w14:paraId="213DE00D" w14:textId="694B357F" w:rsidR="00B67785" w:rsidRDefault="00B67785" w:rsidP="543832D4">
            <w:pPr>
              <w:jc w:val="center"/>
            </w:pPr>
            <w:r>
              <w:rPr>
                <w:rFonts w:ascii="Calibri" w:eastAsia="Calibri" w:hAnsi="Calibri" w:cs="Calibri"/>
                <w:b/>
                <w:bCs/>
                <w:color w:val="000000" w:themeColor="text1"/>
              </w:rPr>
              <w:t xml:space="preserve">Tariff </w:t>
            </w:r>
            <w:r w:rsidRPr="543832D4">
              <w:rPr>
                <w:rFonts w:ascii="Calibri" w:eastAsia="Calibri" w:hAnsi="Calibri" w:cs="Calibri"/>
                <w:b/>
                <w:bCs/>
                <w:color w:val="000000" w:themeColor="text1"/>
              </w:rPr>
              <w:t>Treatment</w:t>
            </w:r>
            <w:r>
              <w:rPr>
                <w:rFonts w:ascii="Calibri" w:eastAsia="Calibri" w:hAnsi="Calibri" w:cs="Calibri"/>
                <w:b/>
                <w:bCs/>
                <w:color w:val="000000" w:themeColor="text1"/>
              </w:rPr>
              <w:t xml:space="preserve"> – Elimination in years</w:t>
            </w:r>
          </w:p>
        </w:tc>
      </w:tr>
      <w:tr w:rsidR="0062202D" w14:paraId="2AB9BFA2" w14:textId="77777777" w:rsidTr="0062202D">
        <w:tc>
          <w:tcPr>
            <w:tcW w:w="9782" w:type="dxa"/>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8BBE12A" w14:textId="77777777" w:rsidR="0062202D" w:rsidRDefault="0062202D" w:rsidP="006E5E78">
            <w:pPr>
              <w:jc w:val="center"/>
            </w:pPr>
            <w:r w:rsidRPr="543832D4">
              <w:rPr>
                <w:rFonts w:ascii="Calibri" w:eastAsia="Calibri" w:hAnsi="Calibri" w:cs="Calibri"/>
                <w:b/>
                <w:bCs/>
                <w:color w:val="000000" w:themeColor="text1"/>
              </w:rPr>
              <w:t>INDUSTRIAL PRODUCTS</w:t>
            </w:r>
          </w:p>
        </w:tc>
      </w:tr>
      <w:tr w:rsidR="004E5AEF" w14:paraId="01C7735A" w14:textId="77777777" w:rsidTr="0062202D">
        <w:tc>
          <w:tcPr>
            <w:tcW w:w="1702" w:type="dxa"/>
            <w:tcBorders>
              <w:top w:val="single" w:sz="8" w:space="0" w:color="auto"/>
              <w:left w:val="single" w:sz="8" w:space="0" w:color="auto"/>
              <w:bottom w:val="single" w:sz="8" w:space="0" w:color="auto"/>
              <w:right w:val="single" w:sz="8" w:space="0" w:color="auto"/>
            </w:tcBorders>
          </w:tcPr>
          <w:p w14:paraId="32F9663F" w14:textId="77777777" w:rsidR="004E5AEF" w:rsidRPr="543832D4" w:rsidRDefault="004E5AEF" w:rsidP="006E5E78">
            <w:pPr>
              <w:rPr>
                <w:rFonts w:ascii="Calibri" w:eastAsia="Calibri" w:hAnsi="Calibri" w:cs="Calibri"/>
              </w:rPr>
            </w:pPr>
            <w:r w:rsidRPr="543832D4">
              <w:rPr>
                <w:rFonts w:ascii="Calibri" w:eastAsia="Calibri" w:hAnsi="Calibri" w:cs="Calibri"/>
              </w:rPr>
              <w:t>Coal</w:t>
            </w:r>
          </w:p>
        </w:tc>
        <w:tc>
          <w:tcPr>
            <w:tcW w:w="992" w:type="dxa"/>
            <w:tcBorders>
              <w:top w:val="nil"/>
              <w:left w:val="single" w:sz="8" w:space="0" w:color="auto"/>
              <w:bottom w:val="single" w:sz="8" w:space="0" w:color="auto"/>
              <w:right w:val="single" w:sz="8" w:space="0" w:color="auto"/>
            </w:tcBorders>
          </w:tcPr>
          <w:p w14:paraId="24D441CD" w14:textId="77777777" w:rsidR="004E5AEF" w:rsidRPr="543832D4" w:rsidRDefault="004E5AEF" w:rsidP="006E5E78">
            <w:pPr>
              <w:rPr>
                <w:rFonts w:ascii="Calibri" w:eastAsia="Calibri" w:hAnsi="Calibri" w:cs="Calibri"/>
              </w:rPr>
            </w:pPr>
            <w:r w:rsidRPr="543832D4">
              <w:rPr>
                <w:rFonts w:ascii="Calibri" w:eastAsia="Calibri" w:hAnsi="Calibri" w:cs="Calibri"/>
              </w:rPr>
              <w:t>2701</w:t>
            </w:r>
          </w:p>
        </w:tc>
        <w:tc>
          <w:tcPr>
            <w:tcW w:w="992" w:type="dxa"/>
            <w:tcBorders>
              <w:top w:val="nil"/>
              <w:left w:val="single" w:sz="8" w:space="0" w:color="auto"/>
              <w:bottom w:val="single" w:sz="8" w:space="0" w:color="auto"/>
              <w:right w:val="single" w:sz="8" w:space="0" w:color="auto"/>
            </w:tcBorders>
          </w:tcPr>
          <w:p w14:paraId="7DED10D0" w14:textId="77777777" w:rsidR="004E5AEF" w:rsidRPr="543832D4" w:rsidRDefault="004E5AEF" w:rsidP="006E5E78">
            <w:pPr>
              <w:rPr>
                <w:rFonts w:ascii="Calibri" w:eastAsia="Calibri" w:hAnsi="Calibri" w:cs="Calibri"/>
              </w:rPr>
            </w:pPr>
            <w:r w:rsidRPr="543832D4">
              <w:rPr>
                <w:rFonts w:ascii="Calibri" w:eastAsia="Calibri" w:hAnsi="Calibri" w:cs="Calibri"/>
              </w:rPr>
              <w:t>2.5</w:t>
            </w:r>
          </w:p>
        </w:tc>
        <w:tc>
          <w:tcPr>
            <w:tcW w:w="1276" w:type="dxa"/>
            <w:tcBorders>
              <w:top w:val="nil"/>
              <w:left w:val="single" w:sz="8" w:space="0" w:color="auto"/>
              <w:bottom w:val="single" w:sz="8" w:space="0" w:color="auto"/>
              <w:right w:val="single" w:sz="8" w:space="0" w:color="auto"/>
            </w:tcBorders>
          </w:tcPr>
          <w:p w14:paraId="0AAAF660" w14:textId="128B1BBB" w:rsidR="004E5AEF" w:rsidRPr="543832D4" w:rsidRDefault="00E72256" w:rsidP="006E5E78">
            <w:pPr>
              <w:rPr>
                <w:rFonts w:ascii="Calibri" w:eastAsia="Calibri" w:hAnsi="Calibri" w:cs="Calibri"/>
              </w:rPr>
            </w:pPr>
            <w:r>
              <w:rPr>
                <w:rFonts w:ascii="Calibri" w:eastAsia="Calibri" w:hAnsi="Calibri" w:cs="Calibri"/>
              </w:rPr>
              <w:t>25</w:t>
            </w:r>
          </w:p>
        </w:tc>
        <w:tc>
          <w:tcPr>
            <w:tcW w:w="1701" w:type="dxa"/>
            <w:tcBorders>
              <w:top w:val="nil"/>
              <w:left w:val="single" w:sz="8" w:space="0" w:color="auto"/>
              <w:bottom w:val="single" w:sz="8" w:space="0" w:color="auto"/>
              <w:right w:val="single" w:sz="8" w:space="0" w:color="auto"/>
            </w:tcBorders>
          </w:tcPr>
          <w:p w14:paraId="5BBA6943" w14:textId="77777777" w:rsidR="004E5AEF" w:rsidRPr="543832D4" w:rsidRDefault="004E5AEF" w:rsidP="006E5E78">
            <w:pPr>
              <w:rPr>
                <w:rFonts w:ascii="Calibri" w:eastAsia="Calibri" w:hAnsi="Calibri" w:cs="Calibri"/>
              </w:rPr>
            </w:pPr>
            <w:r w:rsidRPr="543832D4">
              <w:rPr>
                <w:rFonts w:ascii="Calibri" w:eastAsia="Calibri" w:hAnsi="Calibri" w:cs="Calibri"/>
              </w:rPr>
              <w:t>10,322 / 28,894</w:t>
            </w:r>
          </w:p>
        </w:tc>
        <w:tc>
          <w:tcPr>
            <w:tcW w:w="3119" w:type="dxa"/>
            <w:tcBorders>
              <w:top w:val="nil"/>
              <w:left w:val="single" w:sz="8" w:space="0" w:color="auto"/>
              <w:bottom w:val="single" w:sz="8" w:space="0" w:color="auto"/>
              <w:right w:val="single" w:sz="8" w:space="0" w:color="auto"/>
            </w:tcBorders>
          </w:tcPr>
          <w:p w14:paraId="19650583" w14:textId="77777777" w:rsidR="004E5AEF" w:rsidRDefault="004E5AEF" w:rsidP="006E5E78">
            <w:r w:rsidRPr="543832D4">
              <w:rPr>
                <w:rFonts w:ascii="Calibri" w:eastAsia="Calibri" w:hAnsi="Calibri" w:cs="Calibri"/>
              </w:rPr>
              <w:t>EIF</w:t>
            </w:r>
            <w:r>
              <w:rPr>
                <w:rFonts w:ascii="Calibri" w:eastAsia="Calibri" w:hAnsi="Calibri" w:cs="Calibri"/>
              </w:rPr>
              <w:t xml:space="preserve"> </w:t>
            </w:r>
          </w:p>
          <w:p w14:paraId="539121B8" w14:textId="77777777" w:rsidR="004E5AEF" w:rsidRPr="543832D4" w:rsidRDefault="004E5AEF" w:rsidP="006E5E78">
            <w:pPr>
              <w:rPr>
                <w:rFonts w:ascii="Calibri" w:eastAsia="Calibri" w:hAnsi="Calibri" w:cs="Calibri"/>
              </w:rPr>
            </w:pPr>
            <w:r w:rsidRPr="543832D4">
              <w:rPr>
                <w:rFonts w:ascii="Calibri" w:eastAsia="Calibri" w:hAnsi="Calibri" w:cs="Calibri"/>
              </w:rPr>
              <w:t>5 years bituminous coal</w:t>
            </w:r>
          </w:p>
        </w:tc>
      </w:tr>
      <w:tr w:rsidR="004E5AEF" w14:paraId="2D314333" w14:textId="77777777" w:rsidTr="0062202D">
        <w:tc>
          <w:tcPr>
            <w:tcW w:w="1702" w:type="dxa"/>
            <w:tcBorders>
              <w:top w:val="single" w:sz="8" w:space="0" w:color="auto"/>
              <w:left w:val="single" w:sz="8" w:space="0" w:color="auto"/>
              <w:bottom w:val="single" w:sz="8" w:space="0" w:color="auto"/>
              <w:right w:val="single" w:sz="8" w:space="0" w:color="auto"/>
            </w:tcBorders>
          </w:tcPr>
          <w:p w14:paraId="5BA0FF90" w14:textId="77777777" w:rsidR="004E5AEF" w:rsidRPr="543832D4" w:rsidRDefault="004E5AEF" w:rsidP="006E5E78">
            <w:pPr>
              <w:rPr>
                <w:rFonts w:ascii="Calibri" w:eastAsia="Calibri" w:hAnsi="Calibri" w:cs="Calibri"/>
              </w:rPr>
            </w:pPr>
            <w:r w:rsidRPr="543832D4">
              <w:rPr>
                <w:rFonts w:ascii="Calibri" w:eastAsia="Calibri" w:hAnsi="Calibri" w:cs="Calibri"/>
              </w:rPr>
              <w:t>LNG</w:t>
            </w:r>
          </w:p>
        </w:tc>
        <w:tc>
          <w:tcPr>
            <w:tcW w:w="992" w:type="dxa"/>
            <w:tcBorders>
              <w:top w:val="nil"/>
              <w:left w:val="single" w:sz="8" w:space="0" w:color="auto"/>
              <w:bottom w:val="single" w:sz="8" w:space="0" w:color="auto"/>
              <w:right w:val="single" w:sz="8" w:space="0" w:color="auto"/>
            </w:tcBorders>
          </w:tcPr>
          <w:p w14:paraId="4A79162C" w14:textId="77777777" w:rsidR="004E5AEF" w:rsidRDefault="004E5AEF" w:rsidP="006E5E78">
            <w:r>
              <w:t>27111100</w:t>
            </w:r>
          </w:p>
        </w:tc>
        <w:tc>
          <w:tcPr>
            <w:tcW w:w="992" w:type="dxa"/>
            <w:tcBorders>
              <w:top w:val="nil"/>
              <w:left w:val="single" w:sz="8" w:space="0" w:color="auto"/>
              <w:bottom w:val="single" w:sz="8" w:space="0" w:color="auto"/>
              <w:right w:val="single" w:sz="8" w:space="0" w:color="auto"/>
            </w:tcBorders>
          </w:tcPr>
          <w:p w14:paraId="2254852E" w14:textId="77777777" w:rsidR="004E5AEF" w:rsidRDefault="004E5AEF" w:rsidP="006E5E78">
            <w:r>
              <w:t>2.5</w:t>
            </w:r>
          </w:p>
        </w:tc>
        <w:tc>
          <w:tcPr>
            <w:tcW w:w="1276" w:type="dxa"/>
            <w:tcBorders>
              <w:top w:val="nil"/>
              <w:left w:val="single" w:sz="8" w:space="0" w:color="auto"/>
              <w:bottom w:val="single" w:sz="8" w:space="0" w:color="auto"/>
              <w:right w:val="single" w:sz="8" w:space="0" w:color="auto"/>
            </w:tcBorders>
          </w:tcPr>
          <w:p w14:paraId="1F85FE78" w14:textId="4E579D09" w:rsidR="004E5AEF" w:rsidRDefault="00637250" w:rsidP="006E5E78">
            <w:r>
              <w:t>Unbound</w:t>
            </w:r>
          </w:p>
        </w:tc>
        <w:tc>
          <w:tcPr>
            <w:tcW w:w="1701" w:type="dxa"/>
            <w:tcBorders>
              <w:top w:val="nil"/>
              <w:left w:val="single" w:sz="8" w:space="0" w:color="auto"/>
              <w:bottom w:val="single" w:sz="8" w:space="0" w:color="auto"/>
              <w:right w:val="single" w:sz="8" w:space="0" w:color="auto"/>
            </w:tcBorders>
          </w:tcPr>
          <w:p w14:paraId="72800361" w14:textId="77777777" w:rsidR="004E5AEF" w:rsidRDefault="004E5AEF" w:rsidP="006E5E78">
            <w:r>
              <w:t>674 / 13,098</w:t>
            </w:r>
          </w:p>
        </w:tc>
        <w:tc>
          <w:tcPr>
            <w:tcW w:w="3119" w:type="dxa"/>
            <w:tcBorders>
              <w:top w:val="nil"/>
              <w:left w:val="single" w:sz="8" w:space="0" w:color="auto"/>
              <w:bottom w:val="single" w:sz="8" w:space="0" w:color="auto"/>
              <w:right w:val="single" w:sz="8" w:space="0" w:color="auto"/>
            </w:tcBorders>
          </w:tcPr>
          <w:p w14:paraId="340E8C83" w14:textId="77777777" w:rsidR="004E5AEF" w:rsidRDefault="004E5AEF" w:rsidP="006E5E78">
            <w:r>
              <w:t>EIF</w:t>
            </w:r>
          </w:p>
        </w:tc>
      </w:tr>
      <w:tr w:rsidR="004E5AEF" w14:paraId="7526B667" w14:textId="77777777" w:rsidTr="0062202D">
        <w:tc>
          <w:tcPr>
            <w:tcW w:w="1702" w:type="dxa"/>
            <w:tcBorders>
              <w:top w:val="single" w:sz="8" w:space="0" w:color="auto"/>
              <w:left w:val="single" w:sz="8" w:space="0" w:color="auto"/>
              <w:bottom w:val="single" w:sz="8" w:space="0" w:color="auto"/>
              <w:right w:val="single" w:sz="8" w:space="0" w:color="auto"/>
            </w:tcBorders>
          </w:tcPr>
          <w:p w14:paraId="55EBCB8D" w14:textId="77777777" w:rsidR="004E5AEF" w:rsidRPr="543832D4" w:rsidRDefault="004E5AEF" w:rsidP="006E5E78">
            <w:pPr>
              <w:rPr>
                <w:rFonts w:ascii="Calibri" w:eastAsia="Calibri" w:hAnsi="Calibri" w:cs="Calibri"/>
              </w:rPr>
            </w:pPr>
            <w:r w:rsidRPr="543832D4">
              <w:rPr>
                <w:rFonts w:ascii="Calibri" w:eastAsia="Calibri" w:hAnsi="Calibri" w:cs="Calibri"/>
              </w:rPr>
              <w:t>Alumina</w:t>
            </w:r>
          </w:p>
        </w:tc>
        <w:tc>
          <w:tcPr>
            <w:tcW w:w="992" w:type="dxa"/>
            <w:tcBorders>
              <w:top w:val="nil"/>
              <w:left w:val="single" w:sz="8" w:space="0" w:color="auto"/>
              <w:bottom w:val="single" w:sz="8" w:space="0" w:color="auto"/>
              <w:right w:val="single" w:sz="8" w:space="0" w:color="auto"/>
            </w:tcBorders>
          </w:tcPr>
          <w:p w14:paraId="51ECB9C3" w14:textId="77777777" w:rsidR="004E5AEF" w:rsidRPr="543832D4" w:rsidRDefault="004E5AEF" w:rsidP="006E5E78">
            <w:pPr>
              <w:rPr>
                <w:rFonts w:ascii="Calibri" w:eastAsia="Calibri" w:hAnsi="Calibri" w:cs="Calibri"/>
              </w:rPr>
            </w:pPr>
            <w:r>
              <w:t>28182010</w:t>
            </w:r>
          </w:p>
        </w:tc>
        <w:tc>
          <w:tcPr>
            <w:tcW w:w="992" w:type="dxa"/>
            <w:tcBorders>
              <w:top w:val="nil"/>
              <w:left w:val="single" w:sz="8" w:space="0" w:color="auto"/>
              <w:bottom w:val="single" w:sz="8" w:space="0" w:color="auto"/>
              <w:right w:val="single" w:sz="8" w:space="0" w:color="auto"/>
            </w:tcBorders>
          </w:tcPr>
          <w:p w14:paraId="019F4A01" w14:textId="77777777" w:rsidR="004E5AEF" w:rsidRPr="543832D4" w:rsidRDefault="004E5AEF" w:rsidP="006E5E78">
            <w:pPr>
              <w:rPr>
                <w:rFonts w:ascii="Calibri" w:eastAsia="Calibri" w:hAnsi="Calibri" w:cs="Calibri"/>
              </w:rPr>
            </w:pPr>
            <w:r>
              <w:t>5</w:t>
            </w:r>
          </w:p>
        </w:tc>
        <w:tc>
          <w:tcPr>
            <w:tcW w:w="1276" w:type="dxa"/>
            <w:tcBorders>
              <w:top w:val="nil"/>
              <w:left w:val="single" w:sz="8" w:space="0" w:color="auto"/>
              <w:bottom w:val="single" w:sz="8" w:space="0" w:color="auto"/>
              <w:right w:val="single" w:sz="8" w:space="0" w:color="auto"/>
            </w:tcBorders>
          </w:tcPr>
          <w:p w14:paraId="56E6CBDF" w14:textId="6011693F" w:rsidR="004E5AEF" w:rsidRDefault="00637250" w:rsidP="006E5E78">
            <w:r>
              <w:t>40</w:t>
            </w:r>
          </w:p>
        </w:tc>
        <w:tc>
          <w:tcPr>
            <w:tcW w:w="1701" w:type="dxa"/>
            <w:tcBorders>
              <w:top w:val="nil"/>
              <w:left w:val="single" w:sz="8" w:space="0" w:color="auto"/>
              <w:bottom w:val="single" w:sz="8" w:space="0" w:color="auto"/>
              <w:right w:val="single" w:sz="8" w:space="0" w:color="auto"/>
            </w:tcBorders>
          </w:tcPr>
          <w:p w14:paraId="6F281D1A" w14:textId="77777777" w:rsidR="004E5AEF" w:rsidRPr="543832D4" w:rsidRDefault="004E5AEF" w:rsidP="006E5E78">
            <w:pPr>
              <w:rPr>
                <w:rFonts w:ascii="Calibri" w:eastAsia="Calibri" w:hAnsi="Calibri" w:cs="Calibri"/>
              </w:rPr>
            </w:pPr>
            <w:r>
              <w:t>650 / 1,275</w:t>
            </w:r>
          </w:p>
        </w:tc>
        <w:tc>
          <w:tcPr>
            <w:tcW w:w="3119" w:type="dxa"/>
            <w:tcBorders>
              <w:top w:val="nil"/>
              <w:left w:val="single" w:sz="8" w:space="0" w:color="auto"/>
              <w:bottom w:val="single" w:sz="8" w:space="0" w:color="auto"/>
              <w:right w:val="single" w:sz="8" w:space="0" w:color="auto"/>
            </w:tcBorders>
          </w:tcPr>
          <w:p w14:paraId="70F153BF" w14:textId="77777777" w:rsidR="004E5AEF" w:rsidRPr="543832D4" w:rsidRDefault="004E5AEF" w:rsidP="006E5E78">
            <w:pPr>
              <w:rPr>
                <w:rFonts w:ascii="Calibri" w:eastAsia="Calibri" w:hAnsi="Calibri" w:cs="Calibri"/>
              </w:rPr>
            </w:pPr>
            <w:r>
              <w:t>EIF</w:t>
            </w:r>
          </w:p>
        </w:tc>
      </w:tr>
      <w:tr w:rsidR="004E5AEF" w14:paraId="56282C76" w14:textId="77777777" w:rsidTr="0062202D">
        <w:tc>
          <w:tcPr>
            <w:tcW w:w="1702" w:type="dxa"/>
            <w:tcBorders>
              <w:top w:val="single" w:sz="8" w:space="0" w:color="auto"/>
              <w:left w:val="single" w:sz="8" w:space="0" w:color="auto"/>
              <w:bottom w:val="single" w:sz="8" w:space="0" w:color="auto"/>
              <w:right w:val="single" w:sz="8" w:space="0" w:color="auto"/>
            </w:tcBorders>
          </w:tcPr>
          <w:p w14:paraId="69307C89" w14:textId="77777777" w:rsidR="004E5AEF" w:rsidRPr="543832D4" w:rsidRDefault="004E5AEF" w:rsidP="006E5E78">
            <w:pPr>
              <w:rPr>
                <w:rFonts w:ascii="Calibri" w:eastAsia="Calibri" w:hAnsi="Calibri" w:cs="Calibri"/>
              </w:rPr>
            </w:pPr>
            <w:proofErr w:type="spellStart"/>
            <w:proofErr w:type="gramStart"/>
            <w:r w:rsidRPr="543832D4">
              <w:rPr>
                <w:rFonts w:ascii="Calibri" w:eastAsia="Calibri" w:hAnsi="Calibri" w:cs="Calibri"/>
              </w:rPr>
              <w:t xml:space="preserve">Non </w:t>
            </w:r>
            <w:r>
              <w:rPr>
                <w:rFonts w:ascii="Calibri" w:eastAsia="Calibri" w:hAnsi="Calibri" w:cs="Calibri"/>
              </w:rPr>
              <w:t>m</w:t>
            </w:r>
            <w:r w:rsidRPr="543832D4">
              <w:rPr>
                <w:rFonts w:ascii="Calibri" w:eastAsia="Calibri" w:hAnsi="Calibri" w:cs="Calibri"/>
              </w:rPr>
              <w:t>onetary</w:t>
            </w:r>
            <w:proofErr w:type="spellEnd"/>
            <w:proofErr w:type="gramEnd"/>
            <w:r w:rsidRPr="543832D4">
              <w:rPr>
                <w:rFonts w:ascii="Calibri" w:eastAsia="Calibri" w:hAnsi="Calibri" w:cs="Calibri"/>
              </w:rPr>
              <w:t xml:space="preserve"> Gold</w:t>
            </w:r>
          </w:p>
        </w:tc>
        <w:tc>
          <w:tcPr>
            <w:tcW w:w="992" w:type="dxa"/>
            <w:tcBorders>
              <w:top w:val="nil"/>
              <w:left w:val="single" w:sz="8" w:space="0" w:color="auto"/>
              <w:bottom w:val="single" w:sz="8" w:space="0" w:color="auto"/>
              <w:right w:val="single" w:sz="8" w:space="0" w:color="auto"/>
            </w:tcBorders>
          </w:tcPr>
          <w:p w14:paraId="04267C00" w14:textId="77777777" w:rsidR="004E5AEF" w:rsidRPr="543832D4" w:rsidRDefault="004E5AEF" w:rsidP="006E5E78">
            <w:pPr>
              <w:rPr>
                <w:rFonts w:ascii="Calibri" w:eastAsia="Calibri" w:hAnsi="Calibri" w:cs="Calibri"/>
              </w:rPr>
            </w:pPr>
            <w:r>
              <w:t>710811/12/13</w:t>
            </w:r>
          </w:p>
        </w:tc>
        <w:tc>
          <w:tcPr>
            <w:tcW w:w="992" w:type="dxa"/>
            <w:tcBorders>
              <w:top w:val="nil"/>
              <w:left w:val="single" w:sz="8" w:space="0" w:color="auto"/>
              <w:bottom w:val="single" w:sz="8" w:space="0" w:color="auto"/>
              <w:right w:val="single" w:sz="8" w:space="0" w:color="auto"/>
            </w:tcBorders>
          </w:tcPr>
          <w:p w14:paraId="536FB283" w14:textId="77777777" w:rsidR="004E5AEF" w:rsidRPr="543832D4" w:rsidRDefault="004E5AEF" w:rsidP="006E5E78">
            <w:pPr>
              <w:rPr>
                <w:rFonts w:ascii="Calibri" w:eastAsia="Calibri" w:hAnsi="Calibri" w:cs="Calibri"/>
              </w:rPr>
            </w:pPr>
            <w:r>
              <w:t>7.5</w:t>
            </w:r>
          </w:p>
        </w:tc>
        <w:tc>
          <w:tcPr>
            <w:tcW w:w="1276" w:type="dxa"/>
            <w:tcBorders>
              <w:top w:val="nil"/>
              <w:left w:val="single" w:sz="8" w:space="0" w:color="auto"/>
              <w:bottom w:val="single" w:sz="8" w:space="0" w:color="auto"/>
              <w:right w:val="single" w:sz="8" w:space="0" w:color="auto"/>
            </w:tcBorders>
          </w:tcPr>
          <w:p w14:paraId="7F20335D" w14:textId="389132C8" w:rsidR="004E5AEF" w:rsidRDefault="00637250" w:rsidP="006E5E78">
            <w:r>
              <w:t>40</w:t>
            </w:r>
          </w:p>
        </w:tc>
        <w:tc>
          <w:tcPr>
            <w:tcW w:w="1701" w:type="dxa"/>
            <w:tcBorders>
              <w:top w:val="nil"/>
              <w:left w:val="single" w:sz="8" w:space="0" w:color="auto"/>
              <w:bottom w:val="single" w:sz="8" w:space="0" w:color="auto"/>
              <w:right w:val="single" w:sz="8" w:space="0" w:color="auto"/>
            </w:tcBorders>
          </w:tcPr>
          <w:p w14:paraId="115F6695" w14:textId="77777777" w:rsidR="004E5AEF" w:rsidRPr="543832D4" w:rsidRDefault="004E5AEF" w:rsidP="006E5E78">
            <w:pPr>
              <w:rPr>
                <w:rFonts w:ascii="Calibri" w:eastAsia="Calibri" w:hAnsi="Calibri" w:cs="Calibri"/>
              </w:rPr>
            </w:pPr>
            <w:r>
              <w:t>559 / 39,381</w:t>
            </w:r>
          </w:p>
        </w:tc>
        <w:tc>
          <w:tcPr>
            <w:tcW w:w="3119" w:type="dxa"/>
            <w:tcBorders>
              <w:top w:val="nil"/>
              <w:left w:val="single" w:sz="8" w:space="0" w:color="auto"/>
              <w:bottom w:val="single" w:sz="8" w:space="0" w:color="auto"/>
              <w:right w:val="single" w:sz="8" w:space="0" w:color="auto"/>
            </w:tcBorders>
          </w:tcPr>
          <w:p w14:paraId="13EF15E8" w14:textId="77777777" w:rsidR="004E5AEF" w:rsidRPr="543832D4" w:rsidRDefault="004E5AEF" w:rsidP="006E5E78">
            <w:pPr>
              <w:rPr>
                <w:rFonts w:ascii="Calibri" w:eastAsia="Calibri" w:hAnsi="Calibri" w:cs="Calibri"/>
              </w:rPr>
            </w:pPr>
            <w:r>
              <w:t>Excluded</w:t>
            </w:r>
          </w:p>
        </w:tc>
      </w:tr>
      <w:tr w:rsidR="004E5AEF" w14:paraId="5AF8BA18" w14:textId="77777777" w:rsidTr="0062202D">
        <w:tc>
          <w:tcPr>
            <w:tcW w:w="1702" w:type="dxa"/>
            <w:tcBorders>
              <w:top w:val="single" w:sz="8" w:space="0" w:color="auto"/>
              <w:left w:val="single" w:sz="8" w:space="0" w:color="auto"/>
              <w:bottom w:val="single" w:sz="8" w:space="0" w:color="auto"/>
              <w:right w:val="single" w:sz="8" w:space="0" w:color="auto"/>
            </w:tcBorders>
          </w:tcPr>
          <w:p w14:paraId="5E3E9A22" w14:textId="77777777" w:rsidR="004E5AEF" w:rsidRPr="543832D4" w:rsidRDefault="004E5AEF" w:rsidP="000D1994">
            <w:pPr>
              <w:rPr>
                <w:rFonts w:ascii="Calibri" w:eastAsia="Calibri" w:hAnsi="Calibri" w:cs="Calibri"/>
              </w:rPr>
            </w:pPr>
            <w:r w:rsidRPr="543832D4">
              <w:rPr>
                <w:rFonts w:ascii="Calibri" w:eastAsia="Calibri" w:hAnsi="Calibri" w:cs="Calibri"/>
              </w:rPr>
              <w:t>Copper ores</w:t>
            </w:r>
          </w:p>
        </w:tc>
        <w:tc>
          <w:tcPr>
            <w:tcW w:w="992" w:type="dxa"/>
            <w:tcBorders>
              <w:top w:val="nil"/>
              <w:left w:val="single" w:sz="8" w:space="0" w:color="auto"/>
              <w:bottom w:val="single" w:sz="8" w:space="0" w:color="auto"/>
              <w:right w:val="single" w:sz="8" w:space="0" w:color="auto"/>
            </w:tcBorders>
          </w:tcPr>
          <w:p w14:paraId="22AC0071" w14:textId="77777777" w:rsidR="004E5AEF" w:rsidRPr="543832D4" w:rsidRDefault="004E5AEF" w:rsidP="006E5E78">
            <w:pPr>
              <w:rPr>
                <w:rFonts w:ascii="Calibri" w:eastAsia="Calibri" w:hAnsi="Calibri" w:cs="Calibri"/>
              </w:rPr>
            </w:pPr>
            <w:r>
              <w:t>2603</w:t>
            </w:r>
          </w:p>
        </w:tc>
        <w:tc>
          <w:tcPr>
            <w:tcW w:w="992" w:type="dxa"/>
            <w:tcBorders>
              <w:top w:val="nil"/>
              <w:left w:val="single" w:sz="8" w:space="0" w:color="auto"/>
              <w:bottom w:val="single" w:sz="8" w:space="0" w:color="auto"/>
              <w:right w:val="single" w:sz="8" w:space="0" w:color="auto"/>
            </w:tcBorders>
          </w:tcPr>
          <w:p w14:paraId="3B99ACB8" w14:textId="77777777" w:rsidR="004E5AEF" w:rsidRPr="543832D4" w:rsidRDefault="004E5AEF" w:rsidP="006E5E78">
            <w:pPr>
              <w:rPr>
                <w:rFonts w:ascii="Calibri" w:eastAsia="Calibri" w:hAnsi="Calibri" w:cs="Calibri"/>
              </w:rPr>
            </w:pPr>
            <w:r>
              <w:t>2.5</w:t>
            </w:r>
          </w:p>
        </w:tc>
        <w:tc>
          <w:tcPr>
            <w:tcW w:w="1276" w:type="dxa"/>
            <w:tcBorders>
              <w:top w:val="nil"/>
              <w:left w:val="single" w:sz="8" w:space="0" w:color="auto"/>
              <w:bottom w:val="single" w:sz="8" w:space="0" w:color="auto"/>
              <w:right w:val="single" w:sz="8" w:space="0" w:color="auto"/>
            </w:tcBorders>
          </w:tcPr>
          <w:p w14:paraId="1183D521" w14:textId="3E5A0A98" w:rsidR="004E5AEF" w:rsidRDefault="00637250" w:rsidP="006E5E78">
            <w:r>
              <w:t>40</w:t>
            </w:r>
          </w:p>
        </w:tc>
        <w:tc>
          <w:tcPr>
            <w:tcW w:w="1701" w:type="dxa"/>
            <w:tcBorders>
              <w:top w:val="nil"/>
              <w:left w:val="single" w:sz="8" w:space="0" w:color="auto"/>
              <w:bottom w:val="single" w:sz="8" w:space="0" w:color="auto"/>
              <w:right w:val="single" w:sz="8" w:space="0" w:color="auto"/>
            </w:tcBorders>
          </w:tcPr>
          <w:p w14:paraId="09941501" w14:textId="77777777" w:rsidR="004E5AEF" w:rsidRPr="543832D4" w:rsidRDefault="004E5AEF" w:rsidP="006E5E78">
            <w:pPr>
              <w:rPr>
                <w:rFonts w:ascii="Calibri" w:eastAsia="Calibri" w:hAnsi="Calibri" w:cs="Calibri"/>
              </w:rPr>
            </w:pPr>
            <w:r>
              <w:t>237 / 2,227</w:t>
            </w:r>
          </w:p>
        </w:tc>
        <w:tc>
          <w:tcPr>
            <w:tcW w:w="3119" w:type="dxa"/>
            <w:tcBorders>
              <w:top w:val="nil"/>
              <w:left w:val="single" w:sz="8" w:space="0" w:color="auto"/>
              <w:bottom w:val="single" w:sz="8" w:space="0" w:color="auto"/>
              <w:right w:val="single" w:sz="8" w:space="0" w:color="auto"/>
            </w:tcBorders>
          </w:tcPr>
          <w:p w14:paraId="10F67BD1" w14:textId="77777777" w:rsidR="004E5AEF" w:rsidRPr="543832D4" w:rsidRDefault="004E5AEF" w:rsidP="006E5E78">
            <w:pPr>
              <w:rPr>
                <w:rFonts w:ascii="Calibri" w:eastAsia="Calibri" w:hAnsi="Calibri" w:cs="Calibri"/>
              </w:rPr>
            </w:pPr>
            <w:r>
              <w:t>EIF</w:t>
            </w:r>
          </w:p>
        </w:tc>
      </w:tr>
      <w:tr w:rsidR="004E5AEF" w14:paraId="0B2A1917" w14:textId="77777777" w:rsidTr="0062202D">
        <w:tc>
          <w:tcPr>
            <w:tcW w:w="1702" w:type="dxa"/>
            <w:tcBorders>
              <w:top w:val="single" w:sz="8" w:space="0" w:color="auto"/>
              <w:left w:val="single" w:sz="8" w:space="0" w:color="auto"/>
              <w:bottom w:val="single" w:sz="8" w:space="0" w:color="auto"/>
              <w:right w:val="single" w:sz="8" w:space="0" w:color="auto"/>
            </w:tcBorders>
          </w:tcPr>
          <w:p w14:paraId="13081B44" w14:textId="77777777" w:rsidR="004E5AEF" w:rsidRDefault="004E5AEF" w:rsidP="006E5E78">
            <w:r w:rsidRPr="543832D4">
              <w:rPr>
                <w:rFonts w:ascii="Calibri" w:eastAsia="Calibri" w:hAnsi="Calibri" w:cs="Calibri"/>
              </w:rPr>
              <w:t>Iron ores</w:t>
            </w:r>
          </w:p>
        </w:tc>
        <w:tc>
          <w:tcPr>
            <w:tcW w:w="992" w:type="dxa"/>
            <w:tcBorders>
              <w:top w:val="nil"/>
              <w:left w:val="single" w:sz="8" w:space="0" w:color="auto"/>
              <w:bottom w:val="single" w:sz="8" w:space="0" w:color="auto"/>
              <w:right w:val="single" w:sz="8" w:space="0" w:color="auto"/>
            </w:tcBorders>
          </w:tcPr>
          <w:p w14:paraId="390AAC70" w14:textId="77777777" w:rsidR="004E5AEF" w:rsidRDefault="004E5AEF" w:rsidP="006E5E78">
            <w:r>
              <w:t>2601</w:t>
            </w:r>
          </w:p>
        </w:tc>
        <w:tc>
          <w:tcPr>
            <w:tcW w:w="992" w:type="dxa"/>
            <w:tcBorders>
              <w:top w:val="nil"/>
              <w:left w:val="single" w:sz="8" w:space="0" w:color="auto"/>
              <w:bottom w:val="single" w:sz="8" w:space="0" w:color="auto"/>
              <w:right w:val="single" w:sz="8" w:space="0" w:color="auto"/>
            </w:tcBorders>
          </w:tcPr>
          <w:p w14:paraId="69860905" w14:textId="77777777" w:rsidR="004E5AEF" w:rsidRDefault="004E5AEF" w:rsidP="006E5E78">
            <w:r>
              <w:t>2.5-10</w:t>
            </w:r>
          </w:p>
        </w:tc>
        <w:tc>
          <w:tcPr>
            <w:tcW w:w="1276" w:type="dxa"/>
            <w:tcBorders>
              <w:top w:val="nil"/>
              <w:left w:val="single" w:sz="8" w:space="0" w:color="auto"/>
              <w:bottom w:val="single" w:sz="8" w:space="0" w:color="auto"/>
              <w:right w:val="single" w:sz="8" w:space="0" w:color="auto"/>
            </w:tcBorders>
          </w:tcPr>
          <w:p w14:paraId="5614F7D5" w14:textId="24C3CA95" w:rsidR="004E5AEF" w:rsidRDefault="00637250" w:rsidP="006E5E78">
            <w:r>
              <w:t>25</w:t>
            </w:r>
          </w:p>
        </w:tc>
        <w:tc>
          <w:tcPr>
            <w:tcW w:w="1701" w:type="dxa"/>
            <w:tcBorders>
              <w:top w:val="nil"/>
              <w:left w:val="single" w:sz="8" w:space="0" w:color="auto"/>
              <w:bottom w:val="single" w:sz="8" w:space="0" w:color="auto"/>
              <w:right w:val="single" w:sz="8" w:space="0" w:color="auto"/>
            </w:tcBorders>
          </w:tcPr>
          <w:p w14:paraId="7D74793F" w14:textId="77777777" w:rsidR="004E5AEF" w:rsidRDefault="004E5AEF" w:rsidP="006E5E78">
            <w:r>
              <w:t>196 / 627</w:t>
            </w:r>
          </w:p>
        </w:tc>
        <w:tc>
          <w:tcPr>
            <w:tcW w:w="3119" w:type="dxa"/>
            <w:tcBorders>
              <w:top w:val="nil"/>
              <w:left w:val="single" w:sz="8" w:space="0" w:color="auto"/>
              <w:bottom w:val="single" w:sz="8" w:space="0" w:color="auto"/>
              <w:right w:val="single" w:sz="8" w:space="0" w:color="auto"/>
            </w:tcBorders>
          </w:tcPr>
          <w:p w14:paraId="785C620A" w14:textId="77777777" w:rsidR="004E5AEF" w:rsidRDefault="004E5AEF" w:rsidP="006E5E78">
            <w:r>
              <w:t>Excluded</w:t>
            </w:r>
          </w:p>
        </w:tc>
      </w:tr>
      <w:tr w:rsidR="004E5AEF" w14:paraId="7FD554E1" w14:textId="77777777" w:rsidTr="0062202D">
        <w:tc>
          <w:tcPr>
            <w:tcW w:w="1702" w:type="dxa"/>
            <w:tcBorders>
              <w:top w:val="single" w:sz="8" w:space="0" w:color="auto"/>
              <w:left w:val="single" w:sz="8" w:space="0" w:color="auto"/>
              <w:bottom w:val="single" w:sz="8" w:space="0" w:color="auto"/>
              <w:right w:val="single" w:sz="8" w:space="0" w:color="auto"/>
            </w:tcBorders>
          </w:tcPr>
          <w:p w14:paraId="691139C8" w14:textId="77777777" w:rsidR="004E5AEF" w:rsidRDefault="004E5AEF" w:rsidP="006E5E78">
            <w:r w:rsidRPr="543832D4">
              <w:rPr>
                <w:rFonts w:ascii="Calibri" w:eastAsia="Calibri" w:hAnsi="Calibri" w:cs="Calibri"/>
              </w:rPr>
              <w:t>Manganese ores</w:t>
            </w:r>
          </w:p>
        </w:tc>
        <w:tc>
          <w:tcPr>
            <w:tcW w:w="992" w:type="dxa"/>
            <w:tcBorders>
              <w:top w:val="single" w:sz="8" w:space="0" w:color="auto"/>
              <w:left w:val="single" w:sz="8" w:space="0" w:color="auto"/>
              <w:bottom w:val="single" w:sz="8" w:space="0" w:color="auto"/>
              <w:right w:val="single" w:sz="8" w:space="0" w:color="auto"/>
            </w:tcBorders>
          </w:tcPr>
          <w:p w14:paraId="54E290DC" w14:textId="77777777" w:rsidR="004E5AEF" w:rsidRDefault="004E5AEF" w:rsidP="006E5E78">
            <w:r>
              <w:t>2602</w:t>
            </w:r>
          </w:p>
        </w:tc>
        <w:tc>
          <w:tcPr>
            <w:tcW w:w="992" w:type="dxa"/>
            <w:tcBorders>
              <w:top w:val="single" w:sz="8" w:space="0" w:color="auto"/>
              <w:left w:val="single" w:sz="8" w:space="0" w:color="auto"/>
              <w:bottom w:val="single" w:sz="8" w:space="0" w:color="auto"/>
              <w:right w:val="single" w:sz="8" w:space="0" w:color="auto"/>
            </w:tcBorders>
          </w:tcPr>
          <w:p w14:paraId="12DC34A5" w14:textId="77777777" w:rsidR="004E5AEF" w:rsidRDefault="004E5AEF" w:rsidP="006E5E78">
            <w:r>
              <w:t>2.5</w:t>
            </w:r>
          </w:p>
        </w:tc>
        <w:tc>
          <w:tcPr>
            <w:tcW w:w="1276" w:type="dxa"/>
            <w:tcBorders>
              <w:top w:val="single" w:sz="8" w:space="0" w:color="auto"/>
              <w:left w:val="single" w:sz="8" w:space="0" w:color="auto"/>
              <w:bottom w:val="single" w:sz="8" w:space="0" w:color="auto"/>
              <w:right w:val="single" w:sz="8" w:space="0" w:color="auto"/>
            </w:tcBorders>
          </w:tcPr>
          <w:p w14:paraId="24DC66EC" w14:textId="17F6791A" w:rsidR="004E5AEF" w:rsidRDefault="005A0025" w:rsidP="006E5E78">
            <w:r>
              <w:t>25</w:t>
            </w:r>
          </w:p>
        </w:tc>
        <w:tc>
          <w:tcPr>
            <w:tcW w:w="1701" w:type="dxa"/>
            <w:tcBorders>
              <w:top w:val="single" w:sz="8" w:space="0" w:color="auto"/>
              <w:left w:val="single" w:sz="8" w:space="0" w:color="auto"/>
              <w:bottom w:val="single" w:sz="8" w:space="0" w:color="auto"/>
              <w:right w:val="single" w:sz="8" w:space="0" w:color="auto"/>
            </w:tcBorders>
          </w:tcPr>
          <w:p w14:paraId="3665426D" w14:textId="77777777" w:rsidR="004E5AEF" w:rsidRDefault="004E5AEF" w:rsidP="006E5E78">
            <w:r>
              <w:t>129 / 904</w:t>
            </w:r>
          </w:p>
        </w:tc>
        <w:tc>
          <w:tcPr>
            <w:tcW w:w="3119" w:type="dxa"/>
            <w:tcBorders>
              <w:top w:val="single" w:sz="8" w:space="0" w:color="auto"/>
              <w:left w:val="single" w:sz="8" w:space="0" w:color="auto"/>
              <w:bottom w:val="single" w:sz="8" w:space="0" w:color="auto"/>
              <w:right w:val="single" w:sz="8" w:space="0" w:color="auto"/>
            </w:tcBorders>
          </w:tcPr>
          <w:p w14:paraId="65B22F81" w14:textId="77777777" w:rsidR="004E5AEF" w:rsidRDefault="004E5AEF" w:rsidP="006E5E78">
            <w:r>
              <w:t>EIF</w:t>
            </w:r>
          </w:p>
        </w:tc>
      </w:tr>
      <w:tr w:rsidR="004E5AEF" w14:paraId="7AC72FB3" w14:textId="77777777" w:rsidTr="0062202D">
        <w:tc>
          <w:tcPr>
            <w:tcW w:w="1702" w:type="dxa"/>
            <w:tcBorders>
              <w:top w:val="single" w:sz="8" w:space="0" w:color="auto"/>
              <w:left w:val="single" w:sz="8" w:space="0" w:color="auto"/>
              <w:bottom w:val="single" w:sz="8" w:space="0" w:color="auto"/>
              <w:right w:val="single" w:sz="8" w:space="0" w:color="auto"/>
            </w:tcBorders>
          </w:tcPr>
          <w:p w14:paraId="362646F5" w14:textId="77777777" w:rsidR="004E5AEF" w:rsidRDefault="004E5AEF" w:rsidP="006E5E78">
            <w:r>
              <w:lastRenderedPageBreak/>
              <w:t>Titanium dioxide</w:t>
            </w:r>
          </w:p>
        </w:tc>
        <w:tc>
          <w:tcPr>
            <w:tcW w:w="992" w:type="dxa"/>
            <w:tcBorders>
              <w:top w:val="single" w:sz="8" w:space="0" w:color="auto"/>
              <w:left w:val="single" w:sz="8" w:space="0" w:color="auto"/>
              <w:bottom w:val="single" w:sz="8" w:space="0" w:color="auto"/>
              <w:right w:val="single" w:sz="8" w:space="0" w:color="auto"/>
            </w:tcBorders>
          </w:tcPr>
          <w:p w14:paraId="757CEB5C" w14:textId="77777777" w:rsidR="004E5AEF" w:rsidRDefault="004E5AEF" w:rsidP="006E5E78">
            <w:r>
              <w:t>320611</w:t>
            </w:r>
          </w:p>
        </w:tc>
        <w:tc>
          <w:tcPr>
            <w:tcW w:w="992" w:type="dxa"/>
            <w:tcBorders>
              <w:top w:val="single" w:sz="8" w:space="0" w:color="auto"/>
              <w:left w:val="single" w:sz="8" w:space="0" w:color="auto"/>
              <w:bottom w:val="single" w:sz="8" w:space="0" w:color="auto"/>
              <w:right w:val="single" w:sz="8" w:space="0" w:color="auto"/>
            </w:tcBorders>
          </w:tcPr>
          <w:p w14:paraId="545E17C4" w14:textId="77777777" w:rsidR="004E5AEF" w:rsidRDefault="004E5AEF" w:rsidP="006E5E78">
            <w:r>
              <w:t>10</w:t>
            </w:r>
          </w:p>
        </w:tc>
        <w:tc>
          <w:tcPr>
            <w:tcW w:w="1276" w:type="dxa"/>
            <w:tcBorders>
              <w:top w:val="single" w:sz="8" w:space="0" w:color="auto"/>
              <w:left w:val="single" w:sz="8" w:space="0" w:color="auto"/>
              <w:bottom w:val="single" w:sz="8" w:space="0" w:color="auto"/>
              <w:right w:val="single" w:sz="8" w:space="0" w:color="auto"/>
            </w:tcBorders>
          </w:tcPr>
          <w:p w14:paraId="38C2910C" w14:textId="774DB522" w:rsidR="004E5AEF" w:rsidRDefault="005A0025" w:rsidP="006E5E78">
            <w:r>
              <w:t>40</w:t>
            </w:r>
          </w:p>
        </w:tc>
        <w:tc>
          <w:tcPr>
            <w:tcW w:w="1701" w:type="dxa"/>
            <w:tcBorders>
              <w:top w:val="single" w:sz="8" w:space="0" w:color="auto"/>
              <w:left w:val="single" w:sz="8" w:space="0" w:color="auto"/>
              <w:bottom w:val="single" w:sz="8" w:space="0" w:color="auto"/>
              <w:right w:val="single" w:sz="8" w:space="0" w:color="auto"/>
            </w:tcBorders>
          </w:tcPr>
          <w:p w14:paraId="1B4340D8" w14:textId="77777777" w:rsidR="004E5AEF" w:rsidRDefault="004E5AEF" w:rsidP="006E5E78">
            <w:r>
              <w:t>111 / 905</w:t>
            </w:r>
          </w:p>
        </w:tc>
        <w:tc>
          <w:tcPr>
            <w:tcW w:w="3119" w:type="dxa"/>
            <w:tcBorders>
              <w:top w:val="single" w:sz="8" w:space="0" w:color="auto"/>
              <w:left w:val="single" w:sz="8" w:space="0" w:color="auto"/>
              <w:bottom w:val="single" w:sz="8" w:space="0" w:color="auto"/>
              <w:right w:val="single" w:sz="8" w:space="0" w:color="auto"/>
            </w:tcBorders>
          </w:tcPr>
          <w:p w14:paraId="7E1B5CE1" w14:textId="77777777" w:rsidR="004E5AEF" w:rsidRDefault="004E5AEF" w:rsidP="006E5E78">
            <w:r>
              <w:t>EIF</w:t>
            </w:r>
          </w:p>
        </w:tc>
      </w:tr>
      <w:tr w:rsidR="004E5AEF" w14:paraId="42E0CF02" w14:textId="77777777" w:rsidTr="0062202D">
        <w:tc>
          <w:tcPr>
            <w:tcW w:w="1702" w:type="dxa"/>
            <w:tcBorders>
              <w:top w:val="single" w:sz="8" w:space="0" w:color="auto"/>
              <w:left w:val="single" w:sz="8" w:space="0" w:color="auto"/>
              <w:bottom w:val="single" w:sz="8" w:space="0" w:color="auto"/>
              <w:right w:val="single" w:sz="8" w:space="0" w:color="auto"/>
            </w:tcBorders>
          </w:tcPr>
          <w:p w14:paraId="467DF1EB" w14:textId="77777777" w:rsidR="004E5AEF" w:rsidRPr="543832D4" w:rsidRDefault="004E5AEF" w:rsidP="006E5E78">
            <w:pPr>
              <w:rPr>
                <w:rFonts w:ascii="Calibri" w:eastAsia="Calibri" w:hAnsi="Calibri" w:cs="Calibri"/>
              </w:rPr>
            </w:pPr>
            <w:r w:rsidRPr="543832D4">
              <w:rPr>
                <w:rFonts w:ascii="Calibri" w:eastAsia="Calibri" w:hAnsi="Calibri" w:cs="Calibri"/>
              </w:rPr>
              <w:t>Coke and semi-coke of coal</w:t>
            </w:r>
          </w:p>
        </w:tc>
        <w:tc>
          <w:tcPr>
            <w:tcW w:w="992" w:type="dxa"/>
            <w:tcBorders>
              <w:top w:val="single" w:sz="8" w:space="0" w:color="auto"/>
              <w:left w:val="single" w:sz="8" w:space="0" w:color="auto"/>
              <w:bottom w:val="single" w:sz="8" w:space="0" w:color="auto"/>
              <w:right w:val="single" w:sz="8" w:space="0" w:color="auto"/>
            </w:tcBorders>
          </w:tcPr>
          <w:p w14:paraId="68B6A301" w14:textId="77777777" w:rsidR="004E5AEF" w:rsidRPr="543832D4" w:rsidRDefault="004E5AEF" w:rsidP="006E5E78">
            <w:pPr>
              <w:rPr>
                <w:rFonts w:ascii="Calibri" w:eastAsia="Calibri" w:hAnsi="Calibri" w:cs="Calibri"/>
              </w:rPr>
            </w:pPr>
            <w:r>
              <w:t>270400</w:t>
            </w:r>
          </w:p>
        </w:tc>
        <w:tc>
          <w:tcPr>
            <w:tcW w:w="992" w:type="dxa"/>
            <w:tcBorders>
              <w:top w:val="single" w:sz="8" w:space="0" w:color="auto"/>
              <w:left w:val="single" w:sz="8" w:space="0" w:color="auto"/>
              <w:bottom w:val="single" w:sz="8" w:space="0" w:color="auto"/>
              <w:right w:val="single" w:sz="8" w:space="0" w:color="auto"/>
            </w:tcBorders>
          </w:tcPr>
          <w:p w14:paraId="41984703" w14:textId="77777777" w:rsidR="004E5AEF" w:rsidRPr="543832D4" w:rsidRDefault="004E5AEF" w:rsidP="006E5E78">
            <w:pPr>
              <w:rPr>
                <w:rFonts w:ascii="Calibri" w:eastAsia="Calibri" w:hAnsi="Calibri" w:cs="Calibri"/>
              </w:rPr>
            </w:pPr>
            <w:r>
              <w:t>5</w:t>
            </w:r>
          </w:p>
        </w:tc>
        <w:tc>
          <w:tcPr>
            <w:tcW w:w="1276" w:type="dxa"/>
            <w:tcBorders>
              <w:top w:val="single" w:sz="8" w:space="0" w:color="auto"/>
              <w:left w:val="single" w:sz="8" w:space="0" w:color="auto"/>
              <w:bottom w:val="single" w:sz="8" w:space="0" w:color="auto"/>
              <w:right w:val="single" w:sz="8" w:space="0" w:color="auto"/>
            </w:tcBorders>
          </w:tcPr>
          <w:p w14:paraId="09E91C47" w14:textId="35CF0F93" w:rsidR="004E5AEF" w:rsidRDefault="005A0025" w:rsidP="006E5E78">
            <w:r>
              <w:t>25</w:t>
            </w:r>
          </w:p>
        </w:tc>
        <w:tc>
          <w:tcPr>
            <w:tcW w:w="1701" w:type="dxa"/>
            <w:tcBorders>
              <w:top w:val="single" w:sz="8" w:space="0" w:color="auto"/>
              <w:left w:val="single" w:sz="8" w:space="0" w:color="auto"/>
              <w:bottom w:val="single" w:sz="8" w:space="0" w:color="auto"/>
              <w:right w:val="single" w:sz="8" w:space="0" w:color="auto"/>
            </w:tcBorders>
          </w:tcPr>
          <w:p w14:paraId="4EEE8FA2" w14:textId="77777777" w:rsidR="004E5AEF" w:rsidRPr="543832D4" w:rsidRDefault="004E5AEF" w:rsidP="006E5E78">
            <w:pPr>
              <w:rPr>
                <w:rFonts w:ascii="Calibri" w:eastAsia="Calibri" w:hAnsi="Calibri" w:cs="Calibri"/>
              </w:rPr>
            </w:pPr>
            <w:r>
              <w:t>108 / 1,617</w:t>
            </w:r>
          </w:p>
        </w:tc>
        <w:tc>
          <w:tcPr>
            <w:tcW w:w="3119" w:type="dxa"/>
            <w:tcBorders>
              <w:top w:val="single" w:sz="8" w:space="0" w:color="auto"/>
              <w:left w:val="single" w:sz="8" w:space="0" w:color="auto"/>
              <w:bottom w:val="single" w:sz="8" w:space="0" w:color="auto"/>
              <w:right w:val="single" w:sz="8" w:space="0" w:color="auto"/>
            </w:tcBorders>
          </w:tcPr>
          <w:p w14:paraId="31090A67" w14:textId="77777777" w:rsidR="004E5AEF" w:rsidRPr="543832D4" w:rsidRDefault="004E5AEF" w:rsidP="006E5E78">
            <w:pPr>
              <w:rPr>
                <w:rFonts w:ascii="Calibri" w:eastAsia="Calibri" w:hAnsi="Calibri" w:cs="Calibri"/>
              </w:rPr>
            </w:pPr>
            <w:r>
              <w:t>EIF</w:t>
            </w:r>
          </w:p>
        </w:tc>
      </w:tr>
      <w:tr w:rsidR="004E5AEF" w14:paraId="6A0F16FA" w14:textId="77777777" w:rsidTr="0062202D">
        <w:tc>
          <w:tcPr>
            <w:tcW w:w="1702" w:type="dxa"/>
            <w:tcBorders>
              <w:top w:val="single" w:sz="8" w:space="0" w:color="auto"/>
              <w:left w:val="single" w:sz="8" w:space="0" w:color="auto"/>
              <w:bottom w:val="single" w:sz="8" w:space="0" w:color="auto"/>
              <w:right w:val="single" w:sz="8" w:space="0" w:color="auto"/>
            </w:tcBorders>
          </w:tcPr>
          <w:p w14:paraId="45726567" w14:textId="77777777" w:rsidR="004E5AEF" w:rsidRPr="543832D4" w:rsidRDefault="004E5AEF" w:rsidP="006E5E78">
            <w:pPr>
              <w:rPr>
                <w:rFonts w:ascii="Calibri" w:eastAsia="Calibri" w:hAnsi="Calibri" w:cs="Calibri"/>
              </w:rPr>
            </w:pPr>
            <w:r w:rsidRPr="543832D4">
              <w:rPr>
                <w:rFonts w:ascii="Calibri" w:eastAsia="Calibri" w:hAnsi="Calibri" w:cs="Calibri"/>
              </w:rPr>
              <w:t>Crude petroleum</w:t>
            </w:r>
          </w:p>
        </w:tc>
        <w:tc>
          <w:tcPr>
            <w:tcW w:w="992" w:type="dxa"/>
            <w:tcBorders>
              <w:top w:val="single" w:sz="8" w:space="0" w:color="auto"/>
              <w:left w:val="single" w:sz="8" w:space="0" w:color="auto"/>
              <w:bottom w:val="single" w:sz="8" w:space="0" w:color="auto"/>
              <w:right w:val="single" w:sz="8" w:space="0" w:color="auto"/>
            </w:tcBorders>
          </w:tcPr>
          <w:p w14:paraId="50A90CEA" w14:textId="77777777" w:rsidR="004E5AEF" w:rsidRPr="543832D4" w:rsidRDefault="004E5AEF" w:rsidP="006E5E78">
            <w:pPr>
              <w:rPr>
                <w:rFonts w:ascii="Calibri" w:eastAsia="Calibri" w:hAnsi="Calibri" w:cs="Calibri"/>
              </w:rPr>
            </w:pPr>
            <w:r w:rsidRPr="543832D4">
              <w:rPr>
                <w:rFonts w:ascii="Calibri" w:eastAsia="Calibri" w:hAnsi="Calibri" w:cs="Calibri"/>
              </w:rPr>
              <w:t>2709</w:t>
            </w:r>
          </w:p>
        </w:tc>
        <w:tc>
          <w:tcPr>
            <w:tcW w:w="992" w:type="dxa"/>
            <w:tcBorders>
              <w:top w:val="single" w:sz="8" w:space="0" w:color="auto"/>
              <w:left w:val="single" w:sz="8" w:space="0" w:color="auto"/>
              <w:bottom w:val="single" w:sz="8" w:space="0" w:color="auto"/>
              <w:right w:val="single" w:sz="8" w:space="0" w:color="auto"/>
            </w:tcBorders>
          </w:tcPr>
          <w:p w14:paraId="00614773" w14:textId="77777777" w:rsidR="004E5AEF" w:rsidRPr="543832D4" w:rsidRDefault="004E5AEF" w:rsidP="006E5E78">
            <w:pPr>
              <w:rPr>
                <w:rFonts w:ascii="Calibri" w:eastAsia="Calibri" w:hAnsi="Calibri" w:cs="Calibri"/>
              </w:rPr>
            </w:pPr>
            <w:r w:rsidRPr="543832D4">
              <w:rPr>
                <w:rFonts w:ascii="Calibri" w:eastAsia="Calibri" w:hAnsi="Calibri" w:cs="Calibri"/>
              </w:rPr>
              <w:t>5</w:t>
            </w:r>
          </w:p>
        </w:tc>
        <w:tc>
          <w:tcPr>
            <w:tcW w:w="1276" w:type="dxa"/>
            <w:tcBorders>
              <w:top w:val="single" w:sz="8" w:space="0" w:color="auto"/>
              <w:left w:val="single" w:sz="8" w:space="0" w:color="auto"/>
              <w:bottom w:val="single" w:sz="8" w:space="0" w:color="auto"/>
              <w:right w:val="single" w:sz="8" w:space="0" w:color="auto"/>
            </w:tcBorders>
          </w:tcPr>
          <w:p w14:paraId="2EFEC378" w14:textId="6EE54D33" w:rsidR="004E5AEF" w:rsidRPr="543832D4" w:rsidRDefault="005A0025" w:rsidP="006E5E78">
            <w:pPr>
              <w:rPr>
                <w:rFonts w:ascii="Calibri" w:eastAsia="Calibri" w:hAnsi="Calibri" w:cs="Calibri"/>
              </w:rPr>
            </w:pPr>
            <w:r>
              <w:t>Unbound</w:t>
            </w:r>
          </w:p>
        </w:tc>
        <w:tc>
          <w:tcPr>
            <w:tcW w:w="1701" w:type="dxa"/>
            <w:tcBorders>
              <w:top w:val="single" w:sz="8" w:space="0" w:color="auto"/>
              <w:left w:val="single" w:sz="8" w:space="0" w:color="auto"/>
              <w:bottom w:val="single" w:sz="8" w:space="0" w:color="auto"/>
              <w:right w:val="single" w:sz="8" w:space="0" w:color="auto"/>
            </w:tcBorders>
          </w:tcPr>
          <w:p w14:paraId="7E9DB160" w14:textId="77777777" w:rsidR="004E5AEF" w:rsidRPr="543832D4" w:rsidRDefault="004E5AEF" w:rsidP="006E5E78">
            <w:pPr>
              <w:rPr>
                <w:rFonts w:ascii="Calibri" w:eastAsia="Calibri" w:hAnsi="Calibri" w:cs="Calibri"/>
              </w:rPr>
            </w:pPr>
            <w:r w:rsidRPr="543832D4">
              <w:rPr>
                <w:rFonts w:ascii="Calibri" w:eastAsia="Calibri" w:hAnsi="Calibri" w:cs="Calibri"/>
              </w:rPr>
              <w:t>74 / 130,901</w:t>
            </w:r>
          </w:p>
        </w:tc>
        <w:tc>
          <w:tcPr>
            <w:tcW w:w="3119" w:type="dxa"/>
            <w:tcBorders>
              <w:top w:val="single" w:sz="8" w:space="0" w:color="auto"/>
              <w:left w:val="single" w:sz="8" w:space="0" w:color="auto"/>
              <w:bottom w:val="single" w:sz="8" w:space="0" w:color="auto"/>
              <w:right w:val="single" w:sz="8" w:space="0" w:color="auto"/>
            </w:tcBorders>
          </w:tcPr>
          <w:p w14:paraId="02AAB5DA" w14:textId="77777777" w:rsidR="004E5AEF" w:rsidRPr="543832D4" w:rsidRDefault="004E5AEF" w:rsidP="006E5E78">
            <w:pPr>
              <w:rPr>
                <w:rFonts w:ascii="Calibri" w:eastAsia="Calibri" w:hAnsi="Calibri" w:cs="Calibri"/>
              </w:rPr>
            </w:pPr>
            <w:r w:rsidRPr="543832D4">
              <w:rPr>
                <w:rFonts w:ascii="Calibri" w:eastAsia="Calibri" w:hAnsi="Calibri" w:cs="Calibri"/>
              </w:rPr>
              <w:t>5 years</w:t>
            </w:r>
          </w:p>
        </w:tc>
      </w:tr>
      <w:tr w:rsidR="004E5AEF" w14:paraId="697E9B95" w14:textId="77777777" w:rsidTr="0062202D">
        <w:tc>
          <w:tcPr>
            <w:tcW w:w="1702" w:type="dxa"/>
            <w:tcBorders>
              <w:top w:val="single" w:sz="8" w:space="0" w:color="auto"/>
              <w:left w:val="single" w:sz="8" w:space="0" w:color="auto"/>
              <w:bottom w:val="single" w:sz="8" w:space="0" w:color="auto"/>
              <w:right w:val="single" w:sz="8" w:space="0" w:color="auto"/>
            </w:tcBorders>
          </w:tcPr>
          <w:p w14:paraId="5FF16A29" w14:textId="77777777" w:rsidR="004E5AEF" w:rsidRPr="543832D4" w:rsidRDefault="004E5AEF" w:rsidP="006E5E78">
            <w:pPr>
              <w:rPr>
                <w:rFonts w:ascii="Calibri" w:eastAsia="Calibri" w:hAnsi="Calibri" w:cs="Calibri"/>
              </w:rPr>
            </w:pPr>
            <w:r w:rsidRPr="543832D4">
              <w:rPr>
                <w:rFonts w:ascii="Calibri" w:eastAsia="Calibri" w:hAnsi="Calibri" w:cs="Calibri"/>
              </w:rPr>
              <w:t>Zirconium ores</w:t>
            </w:r>
          </w:p>
        </w:tc>
        <w:tc>
          <w:tcPr>
            <w:tcW w:w="992" w:type="dxa"/>
            <w:tcBorders>
              <w:top w:val="single" w:sz="8" w:space="0" w:color="auto"/>
              <w:left w:val="single" w:sz="8" w:space="0" w:color="auto"/>
              <w:bottom w:val="single" w:sz="8" w:space="0" w:color="auto"/>
              <w:right w:val="single" w:sz="8" w:space="0" w:color="auto"/>
            </w:tcBorders>
          </w:tcPr>
          <w:p w14:paraId="4B82829B" w14:textId="77777777" w:rsidR="004E5AEF" w:rsidRDefault="004E5AEF" w:rsidP="006E5E78">
            <w:r>
              <w:t>261510</w:t>
            </w:r>
          </w:p>
        </w:tc>
        <w:tc>
          <w:tcPr>
            <w:tcW w:w="992" w:type="dxa"/>
            <w:tcBorders>
              <w:top w:val="single" w:sz="8" w:space="0" w:color="auto"/>
              <w:left w:val="single" w:sz="8" w:space="0" w:color="auto"/>
              <w:bottom w:val="single" w:sz="8" w:space="0" w:color="auto"/>
              <w:right w:val="single" w:sz="8" w:space="0" w:color="auto"/>
            </w:tcBorders>
          </w:tcPr>
          <w:p w14:paraId="68D95ABC" w14:textId="77777777" w:rsidR="004E5AEF" w:rsidRDefault="004E5AEF" w:rsidP="006E5E78">
            <w:r>
              <w:t>2.5</w:t>
            </w:r>
          </w:p>
        </w:tc>
        <w:tc>
          <w:tcPr>
            <w:tcW w:w="1276" w:type="dxa"/>
            <w:tcBorders>
              <w:top w:val="single" w:sz="8" w:space="0" w:color="auto"/>
              <w:left w:val="single" w:sz="8" w:space="0" w:color="auto"/>
              <w:bottom w:val="single" w:sz="8" w:space="0" w:color="auto"/>
              <w:right w:val="single" w:sz="8" w:space="0" w:color="auto"/>
            </w:tcBorders>
          </w:tcPr>
          <w:p w14:paraId="757AC3BF" w14:textId="4D454A53" w:rsidR="004E5AEF" w:rsidRDefault="005A0025" w:rsidP="006E5E78">
            <w:r>
              <w:t>25</w:t>
            </w:r>
          </w:p>
        </w:tc>
        <w:tc>
          <w:tcPr>
            <w:tcW w:w="1701" w:type="dxa"/>
            <w:tcBorders>
              <w:top w:val="single" w:sz="8" w:space="0" w:color="auto"/>
              <w:left w:val="single" w:sz="8" w:space="0" w:color="auto"/>
              <w:bottom w:val="single" w:sz="8" w:space="0" w:color="auto"/>
              <w:right w:val="single" w:sz="8" w:space="0" w:color="auto"/>
            </w:tcBorders>
          </w:tcPr>
          <w:p w14:paraId="01B47458" w14:textId="77777777" w:rsidR="004E5AEF" w:rsidRDefault="004E5AEF" w:rsidP="006E5E78">
            <w:r>
              <w:t>52 / 135</w:t>
            </w:r>
          </w:p>
        </w:tc>
        <w:tc>
          <w:tcPr>
            <w:tcW w:w="3119" w:type="dxa"/>
            <w:tcBorders>
              <w:top w:val="single" w:sz="8" w:space="0" w:color="auto"/>
              <w:left w:val="single" w:sz="8" w:space="0" w:color="auto"/>
              <w:bottom w:val="single" w:sz="8" w:space="0" w:color="auto"/>
              <w:right w:val="single" w:sz="8" w:space="0" w:color="auto"/>
            </w:tcBorders>
          </w:tcPr>
          <w:p w14:paraId="02E0147C" w14:textId="77777777" w:rsidR="004E5AEF" w:rsidRDefault="004E5AEF" w:rsidP="006E5E78">
            <w:r>
              <w:t>EIF</w:t>
            </w:r>
          </w:p>
        </w:tc>
      </w:tr>
      <w:tr w:rsidR="004E5AEF" w14:paraId="12C0229F" w14:textId="77777777" w:rsidTr="0062202D">
        <w:tc>
          <w:tcPr>
            <w:tcW w:w="1702" w:type="dxa"/>
            <w:tcBorders>
              <w:top w:val="single" w:sz="8" w:space="0" w:color="auto"/>
              <w:left w:val="single" w:sz="8" w:space="0" w:color="auto"/>
              <w:bottom w:val="single" w:sz="8" w:space="0" w:color="auto"/>
              <w:right w:val="single" w:sz="8" w:space="0" w:color="auto"/>
            </w:tcBorders>
          </w:tcPr>
          <w:p w14:paraId="39239F5B" w14:textId="77777777" w:rsidR="004E5AEF" w:rsidRDefault="004E5AEF" w:rsidP="006E5E78">
            <w:r w:rsidRPr="543832D4">
              <w:rPr>
                <w:rFonts w:ascii="Calibri" w:eastAsia="Calibri" w:hAnsi="Calibri" w:cs="Calibri"/>
              </w:rPr>
              <w:t>Non-</w:t>
            </w:r>
            <w:r>
              <w:rPr>
                <w:rFonts w:ascii="Calibri" w:eastAsia="Calibri" w:hAnsi="Calibri" w:cs="Calibri"/>
              </w:rPr>
              <w:t>f</w:t>
            </w:r>
            <w:r w:rsidRPr="543832D4">
              <w:rPr>
                <w:rFonts w:ascii="Calibri" w:eastAsia="Calibri" w:hAnsi="Calibri" w:cs="Calibri"/>
              </w:rPr>
              <w:t xml:space="preserve">errous </w:t>
            </w:r>
            <w:r>
              <w:rPr>
                <w:rFonts w:ascii="Calibri" w:eastAsia="Calibri" w:hAnsi="Calibri" w:cs="Calibri"/>
              </w:rPr>
              <w:t>m</w:t>
            </w:r>
            <w:r w:rsidRPr="543832D4">
              <w:rPr>
                <w:rFonts w:ascii="Calibri" w:eastAsia="Calibri" w:hAnsi="Calibri" w:cs="Calibri"/>
              </w:rPr>
              <w:t>etals - Nickel</w:t>
            </w:r>
          </w:p>
        </w:tc>
        <w:tc>
          <w:tcPr>
            <w:tcW w:w="992" w:type="dxa"/>
            <w:tcBorders>
              <w:top w:val="single" w:sz="8" w:space="0" w:color="auto"/>
              <w:left w:val="single" w:sz="8" w:space="0" w:color="auto"/>
              <w:bottom w:val="single" w:sz="8" w:space="0" w:color="auto"/>
              <w:right w:val="single" w:sz="8" w:space="0" w:color="auto"/>
            </w:tcBorders>
          </w:tcPr>
          <w:p w14:paraId="26A53E67" w14:textId="77777777" w:rsidR="004E5AEF" w:rsidRDefault="004E5AEF" w:rsidP="006E5E78">
            <w:r>
              <w:t>7501, 7502</w:t>
            </w:r>
          </w:p>
        </w:tc>
        <w:tc>
          <w:tcPr>
            <w:tcW w:w="992" w:type="dxa"/>
            <w:tcBorders>
              <w:top w:val="single" w:sz="8" w:space="0" w:color="auto"/>
              <w:left w:val="single" w:sz="8" w:space="0" w:color="auto"/>
              <w:bottom w:val="single" w:sz="8" w:space="0" w:color="auto"/>
              <w:right w:val="single" w:sz="8" w:space="0" w:color="auto"/>
            </w:tcBorders>
          </w:tcPr>
          <w:p w14:paraId="2C57AED1" w14:textId="77777777" w:rsidR="004E5AEF" w:rsidRDefault="004E5AEF" w:rsidP="006E5E78">
            <w:r>
              <w:t>5</w:t>
            </w:r>
          </w:p>
        </w:tc>
        <w:tc>
          <w:tcPr>
            <w:tcW w:w="1276" w:type="dxa"/>
            <w:tcBorders>
              <w:top w:val="single" w:sz="8" w:space="0" w:color="auto"/>
              <w:left w:val="single" w:sz="8" w:space="0" w:color="auto"/>
              <w:bottom w:val="single" w:sz="8" w:space="0" w:color="auto"/>
              <w:right w:val="single" w:sz="8" w:space="0" w:color="auto"/>
            </w:tcBorders>
          </w:tcPr>
          <w:p w14:paraId="3ADA40A6" w14:textId="30D79EED" w:rsidR="004E5AEF" w:rsidRDefault="005A0025" w:rsidP="006E5E78">
            <w:r>
              <w:t>25/40/Unbound</w:t>
            </w:r>
          </w:p>
        </w:tc>
        <w:tc>
          <w:tcPr>
            <w:tcW w:w="1701" w:type="dxa"/>
            <w:tcBorders>
              <w:top w:val="single" w:sz="8" w:space="0" w:color="auto"/>
              <w:left w:val="single" w:sz="8" w:space="0" w:color="auto"/>
              <w:bottom w:val="single" w:sz="8" w:space="0" w:color="auto"/>
              <w:right w:val="single" w:sz="8" w:space="0" w:color="auto"/>
            </w:tcBorders>
          </w:tcPr>
          <w:p w14:paraId="61EEE709" w14:textId="77777777" w:rsidR="004E5AEF" w:rsidRDefault="004E5AEF" w:rsidP="006E5E78">
            <w:r>
              <w:t>48 / 658</w:t>
            </w:r>
          </w:p>
        </w:tc>
        <w:tc>
          <w:tcPr>
            <w:tcW w:w="3119" w:type="dxa"/>
            <w:tcBorders>
              <w:top w:val="single" w:sz="8" w:space="0" w:color="auto"/>
              <w:left w:val="single" w:sz="8" w:space="0" w:color="auto"/>
              <w:bottom w:val="single" w:sz="8" w:space="0" w:color="auto"/>
              <w:right w:val="single" w:sz="8" w:space="0" w:color="auto"/>
            </w:tcBorders>
          </w:tcPr>
          <w:p w14:paraId="25223018" w14:textId="77777777" w:rsidR="004E5AEF" w:rsidRDefault="004E5AEF" w:rsidP="006E5E78">
            <w:r w:rsidRPr="543832D4">
              <w:rPr>
                <w:rFonts w:ascii="Calibri" w:eastAsia="Calibri" w:hAnsi="Calibri" w:cs="Calibri"/>
              </w:rPr>
              <w:t>EIF nickel, not alloyed</w:t>
            </w:r>
          </w:p>
          <w:p w14:paraId="2B9BCACF" w14:textId="122F3560" w:rsidR="004E5AEF" w:rsidRDefault="004E5AEF" w:rsidP="006E5E78">
            <w:r w:rsidRPr="543832D4">
              <w:rPr>
                <w:rFonts w:ascii="Calibri" w:eastAsia="Calibri" w:hAnsi="Calibri" w:cs="Calibri"/>
              </w:rPr>
              <w:t xml:space="preserve">Otherwise </w:t>
            </w:r>
            <w:r w:rsidR="00375F13">
              <w:rPr>
                <w:rFonts w:ascii="Calibri" w:eastAsia="Calibri" w:hAnsi="Calibri" w:cs="Calibri"/>
              </w:rPr>
              <w:t>e</w:t>
            </w:r>
            <w:r w:rsidRPr="543832D4">
              <w:rPr>
                <w:rFonts w:ascii="Calibri" w:eastAsia="Calibri" w:hAnsi="Calibri" w:cs="Calibri"/>
              </w:rPr>
              <w:t>xcluded</w:t>
            </w:r>
          </w:p>
        </w:tc>
      </w:tr>
      <w:tr w:rsidR="004E5AEF" w14:paraId="528C31D0" w14:textId="77777777" w:rsidTr="0062202D">
        <w:tc>
          <w:tcPr>
            <w:tcW w:w="1702" w:type="dxa"/>
            <w:tcBorders>
              <w:top w:val="single" w:sz="8" w:space="0" w:color="auto"/>
              <w:left w:val="single" w:sz="8" w:space="0" w:color="auto"/>
              <w:bottom w:val="single" w:sz="8" w:space="0" w:color="auto"/>
              <w:right w:val="single" w:sz="8" w:space="0" w:color="auto"/>
            </w:tcBorders>
          </w:tcPr>
          <w:p w14:paraId="6FFCE2CF" w14:textId="77777777" w:rsidR="004E5AEF" w:rsidRDefault="004E5AEF" w:rsidP="006E5E78">
            <w:r w:rsidRPr="543832D4">
              <w:rPr>
                <w:rFonts w:ascii="Calibri" w:eastAsia="Calibri" w:hAnsi="Calibri" w:cs="Calibri"/>
              </w:rPr>
              <w:t>Petroleum oils</w:t>
            </w:r>
          </w:p>
        </w:tc>
        <w:tc>
          <w:tcPr>
            <w:tcW w:w="992" w:type="dxa"/>
            <w:tcBorders>
              <w:top w:val="single" w:sz="8" w:space="0" w:color="auto"/>
              <w:left w:val="single" w:sz="8" w:space="0" w:color="auto"/>
              <w:bottom w:val="single" w:sz="8" w:space="0" w:color="auto"/>
              <w:right w:val="single" w:sz="8" w:space="0" w:color="auto"/>
            </w:tcBorders>
          </w:tcPr>
          <w:p w14:paraId="5396101E" w14:textId="77777777" w:rsidR="004E5AEF" w:rsidRDefault="004E5AEF" w:rsidP="006E5E78">
            <w:r>
              <w:t>2710</w:t>
            </w:r>
          </w:p>
        </w:tc>
        <w:tc>
          <w:tcPr>
            <w:tcW w:w="992" w:type="dxa"/>
            <w:tcBorders>
              <w:top w:val="single" w:sz="8" w:space="0" w:color="auto"/>
              <w:left w:val="single" w:sz="8" w:space="0" w:color="auto"/>
              <w:bottom w:val="single" w:sz="8" w:space="0" w:color="auto"/>
              <w:right w:val="single" w:sz="8" w:space="0" w:color="auto"/>
            </w:tcBorders>
          </w:tcPr>
          <w:p w14:paraId="3EF51E8C" w14:textId="77777777" w:rsidR="004E5AEF" w:rsidRDefault="004E5AEF" w:rsidP="006E5E78">
            <w:r>
              <w:t>0-5</w:t>
            </w:r>
          </w:p>
        </w:tc>
        <w:tc>
          <w:tcPr>
            <w:tcW w:w="1276" w:type="dxa"/>
            <w:tcBorders>
              <w:top w:val="single" w:sz="8" w:space="0" w:color="auto"/>
              <w:left w:val="single" w:sz="8" w:space="0" w:color="auto"/>
              <w:bottom w:val="single" w:sz="8" w:space="0" w:color="auto"/>
              <w:right w:val="single" w:sz="8" w:space="0" w:color="auto"/>
            </w:tcBorders>
          </w:tcPr>
          <w:p w14:paraId="5CA1BDEB" w14:textId="03755B03" w:rsidR="004E5AEF" w:rsidRDefault="00375F13" w:rsidP="006E5E78">
            <w:r>
              <w:t>Unbound</w:t>
            </w:r>
          </w:p>
        </w:tc>
        <w:tc>
          <w:tcPr>
            <w:tcW w:w="1701" w:type="dxa"/>
            <w:tcBorders>
              <w:top w:val="single" w:sz="8" w:space="0" w:color="auto"/>
              <w:left w:val="single" w:sz="8" w:space="0" w:color="auto"/>
              <w:bottom w:val="single" w:sz="8" w:space="0" w:color="auto"/>
              <w:right w:val="single" w:sz="8" w:space="0" w:color="auto"/>
            </w:tcBorders>
          </w:tcPr>
          <w:p w14:paraId="43FFD123" w14:textId="77777777" w:rsidR="004E5AEF" w:rsidRDefault="004E5AEF" w:rsidP="006E5E78">
            <w:r>
              <w:t>9 / 3,639</w:t>
            </w:r>
          </w:p>
        </w:tc>
        <w:tc>
          <w:tcPr>
            <w:tcW w:w="3119" w:type="dxa"/>
            <w:tcBorders>
              <w:top w:val="single" w:sz="8" w:space="0" w:color="auto"/>
              <w:left w:val="single" w:sz="8" w:space="0" w:color="auto"/>
              <w:bottom w:val="single" w:sz="8" w:space="0" w:color="auto"/>
              <w:right w:val="single" w:sz="8" w:space="0" w:color="auto"/>
            </w:tcBorders>
          </w:tcPr>
          <w:p w14:paraId="480713B7" w14:textId="77777777" w:rsidR="004E5AEF" w:rsidRDefault="004E5AEF" w:rsidP="006E5E78">
            <w:r>
              <w:t>5 years</w:t>
            </w:r>
          </w:p>
        </w:tc>
      </w:tr>
      <w:tr w:rsidR="005A0025" w14:paraId="32620448" w14:textId="77777777" w:rsidTr="0062202D">
        <w:tc>
          <w:tcPr>
            <w:tcW w:w="1702" w:type="dxa"/>
            <w:tcBorders>
              <w:top w:val="single" w:sz="8" w:space="0" w:color="auto"/>
              <w:left w:val="single" w:sz="8" w:space="0" w:color="auto"/>
              <w:bottom w:val="single" w:sz="8" w:space="0" w:color="auto"/>
              <w:right w:val="single" w:sz="8" w:space="0" w:color="auto"/>
            </w:tcBorders>
          </w:tcPr>
          <w:p w14:paraId="675FECB3" w14:textId="77777777" w:rsidR="005A0025" w:rsidRDefault="005A0025" w:rsidP="005A0025">
            <w:r w:rsidRPr="543832D4">
              <w:rPr>
                <w:rFonts w:ascii="Calibri" w:eastAsia="Calibri" w:hAnsi="Calibri" w:cs="Calibri"/>
              </w:rPr>
              <w:t>Pharma products</w:t>
            </w:r>
          </w:p>
        </w:tc>
        <w:tc>
          <w:tcPr>
            <w:tcW w:w="992" w:type="dxa"/>
            <w:tcBorders>
              <w:top w:val="single" w:sz="8" w:space="0" w:color="auto"/>
              <w:left w:val="single" w:sz="8" w:space="0" w:color="auto"/>
              <w:bottom w:val="single" w:sz="8" w:space="0" w:color="auto"/>
              <w:right w:val="single" w:sz="8" w:space="0" w:color="auto"/>
            </w:tcBorders>
          </w:tcPr>
          <w:p w14:paraId="66087DB2" w14:textId="77777777" w:rsidR="005A0025" w:rsidRDefault="005A0025" w:rsidP="005A0025">
            <w:r w:rsidRPr="543832D4">
              <w:rPr>
                <w:rFonts w:ascii="Calibri" w:eastAsia="Calibri" w:hAnsi="Calibri" w:cs="Calibri"/>
              </w:rPr>
              <w:t>300212, 3003, 3004</w:t>
            </w:r>
          </w:p>
        </w:tc>
        <w:tc>
          <w:tcPr>
            <w:tcW w:w="992" w:type="dxa"/>
            <w:tcBorders>
              <w:top w:val="single" w:sz="8" w:space="0" w:color="auto"/>
              <w:left w:val="single" w:sz="8" w:space="0" w:color="auto"/>
              <w:bottom w:val="single" w:sz="8" w:space="0" w:color="auto"/>
              <w:right w:val="single" w:sz="8" w:space="0" w:color="auto"/>
            </w:tcBorders>
          </w:tcPr>
          <w:p w14:paraId="6ECAFA5D" w14:textId="77777777" w:rsidR="005A0025" w:rsidRDefault="005A0025" w:rsidP="005A0025">
            <w:r w:rsidRPr="543832D4">
              <w:rPr>
                <w:rFonts w:ascii="Calibri" w:eastAsia="Calibri" w:hAnsi="Calibri" w:cs="Calibri"/>
              </w:rPr>
              <w:t>10</w:t>
            </w:r>
          </w:p>
        </w:tc>
        <w:tc>
          <w:tcPr>
            <w:tcW w:w="1276" w:type="dxa"/>
            <w:tcBorders>
              <w:top w:val="single" w:sz="8" w:space="0" w:color="auto"/>
              <w:left w:val="single" w:sz="8" w:space="0" w:color="auto"/>
              <w:bottom w:val="single" w:sz="8" w:space="0" w:color="auto"/>
              <w:right w:val="single" w:sz="8" w:space="0" w:color="auto"/>
            </w:tcBorders>
          </w:tcPr>
          <w:p w14:paraId="7BF3C6C8" w14:textId="5EC0C85A" w:rsidR="005A0025" w:rsidRPr="543832D4" w:rsidRDefault="005A0025" w:rsidP="005A0025">
            <w:pPr>
              <w:rPr>
                <w:rFonts w:ascii="Calibri" w:eastAsia="Calibri" w:hAnsi="Calibri" w:cs="Calibri"/>
              </w:rPr>
            </w:pPr>
            <w:r>
              <w:t>40/Unbound</w:t>
            </w:r>
          </w:p>
        </w:tc>
        <w:tc>
          <w:tcPr>
            <w:tcW w:w="1701" w:type="dxa"/>
            <w:tcBorders>
              <w:top w:val="single" w:sz="8" w:space="0" w:color="auto"/>
              <w:left w:val="single" w:sz="8" w:space="0" w:color="auto"/>
              <w:bottom w:val="single" w:sz="8" w:space="0" w:color="auto"/>
              <w:right w:val="single" w:sz="8" w:space="0" w:color="auto"/>
            </w:tcBorders>
          </w:tcPr>
          <w:p w14:paraId="521DD061" w14:textId="77777777" w:rsidR="005A0025" w:rsidRDefault="005A0025" w:rsidP="005A0025">
            <w:r>
              <w:rPr>
                <w:rFonts w:ascii="Calibri" w:eastAsia="Calibri" w:hAnsi="Calibri" w:cs="Calibri"/>
              </w:rPr>
              <w:t>7</w:t>
            </w:r>
            <w:r w:rsidRPr="543832D4">
              <w:rPr>
                <w:rFonts w:ascii="Calibri" w:eastAsia="Calibri" w:hAnsi="Calibri" w:cs="Calibri"/>
              </w:rPr>
              <w:t xml:space="preserve"> / 1,889</w:t>
            </w:r>
          </w:p>
        </w:tc>
        <w:tc>
          <w:tcPr>
            <w:tcW w:w="3119" w:type="dxa"/>
            <w:tcBorders>
              <w:top w:val="single" w:sz="8" w:space="0" w:color="auto"/>
              <w:left w:val="single" w:sz="8" w:space="0" w:color="auto"/>
              <w:bottom w:val="single" w:sz="8" w:space="0" w:color="auto"/>
              <w:right w:val="single" w:sz="8" w:space="0" w:color="auto"/>
            </w:tcBorders>
          </w:tcPr>
          <w:p w14:paraId="5CCFFE77" w14:textId="77777777" w:rsidR="005A0025" w:rsidRDefault="005A0025" w:rsidP="005A0025">
            <w:r w:rsidRPr="543832D4">
              <w:rPr>
                <w:rFonts w:ascii="Calibri" w:eastAsia="Calibri" w:hAnsi="Calibri" w:cs="Calibri"/>
              </w:rPr>
              <w:t>5 years</w:t>
            </w:r>
          </w:p>
        </w:tc>
      </w:tr>
      <w:tr w:rsidR="005A0025" w14:paraId="77594DC7" w14:textId="77777777" w:rsidTr="0062202D">
        <w:tc>
          <w:tcPr>
            <w:tcW w:w="1702" w:type="dxa"/>
            <w:tcBorders>
              <w:top w:val="single" w:sz="8" w:space="0" w:color="auto"/>
              <w:left w:val="single" w:sz="8" w:space="0" w:color="auto"/>
              <w:bottom w:val="single" w:sz="8" w:space="0" w:color="auto"/>
              <w:right w:val="single" w:sz="8" w:space="0" w:color="auto"/>
            </w:tcBorders>
          </w:tcPr>
          <w:p w14:paraId="754B0AF4" w14:textId="77777777" w:rsidR="005A0025" w:rsidRPr="543832D4" w:rsidRDefault="005A0025" w:rsidP="005A0025">
            <w:pPr>
              <w:rPr>
                <w:rFonts w:ascii="Calibri" w:eastAsia="Calibri" w:hAnsi="Calibri" w:cs="Calibri"/>
              </w:rPr>
            </w:pPr>
            <w:r>
              <w:rPr>
                <w:rFonts w:ascii="Calibri" w:eastAsia="Calibri" w:hAnsi="Calibri" w:cs="Calibri"/>
              </w:rPr>
              <w:t>Medical devices</w:t>
            </w:r>
          </w:p>
        </w:tc>
        <w:tc>
          <w:tcPr>
            <w:tcW w:w="992" w:type="dxa"/>
            <w:tcBorders>
              <w:top w:val="single" w:sz="8" w:space="0" w:color="auto"/>
              <w:left w:val="single" w:sz="8" w:space="0" w:color="auto"/>
              <w:bottom w:val="single" w:sz="8" w:space="0" w:color="auto"/>
              <w:right w:val="single" w:sz="8" w:space="0" w:color="auto"/>
            </w:tcBorders>
          </w:tcPr>
          <w:p w14:paraId="5AF039CF" w14:textId="77777777" w:rsidR="005A0025" w:rsidRPr="543832D4" w:rsidRDefault="005A0025" w:rsidP="005A0025">
            <w:pPr>
              <w:rPr>
                <w:rFonts w:ascii="Calibri" w:eastAsia="Calibri" w:hAnsi="Calibri" w:cs="Calibri"/>
              </w:rPr>
            </w:pPr>
            <w:r>
              <w:rPr>
                <w:rFonts w:ascii="Calibri" w:eastAsia="Calibri" w:hAnsi="Calibri" w:cs="Calibri"/>
              </w:rPr>
              <w:t>9018 -9023</w:t>
            </w:r>
          </w:p>
        </w:tc>
        <w:tc>
          <w:tcPr>
            <w:tcW w:w="992" w:type="dxa"/>
            <w:tcBorders>
              <w:top w:val="single" w:sz="8" w:space="0" w:color="auto"/>
              <w:left w:val="single" w:sz="8" w:space="0" w:color="auto"/>
              <w:bottom w:val="single" w:sz="8" w:space="0" w:color="auto"/>
              <w:right w:val="single" w:sz="8" w:space="0" w:color="auto"/>
            </w:tcBorders>
          </w:tcPr>
          <w:p w14:paraId="4CE6AE1D" w14:textId="77777777" w:rsidR="005A0025" w:rsidRPr="543832D4" w:rsidRDefault="005A0025" w:rsidP="005A0025">
            <w:pPr>
              <w:rPr>
                <w:rFonts w:ascii="Calibri" w:eastAsia="Calibri" w:hAnsi="Calibri" w:cs="Calibri"/>
              </w:rPr>
            </w:pPr>
            <w:r>
              <w:rPr>
                <w:rFonts w:ascii="Calibri" w:eastAsia="Calibri" w:hAnsi="Calibri" w:cs="Calibri"/>
              </w:rPr>
              <w:t>5-7.5</w:t>
            </w:r>
          </w:p>
        </w:tc>
        <w:tc>
          <w:tcPr>
            <w:tcW w:w="1276" w:type="dxa"/>
            <w:tcBorders>
              <w:top w:val="single" w:sz="8" w:space="0" w:color="auto"/>
              <w:left w:val="single" w:sz="8" w:space="0" w:color="auto"/>
              <w:bottom w:val="single" w:sz="8" w:space="0" w:color="auto"/>
              <w:right w:val="single" w:sz="8" w:space="0" w:color="auto"/>
            </w:tcBorders>
          </w:tcPr>
          <w:p w14:paraId="48B2684D" w14:textId="24758B69" w:rsidR="005A0025" w:rsidRDefault="005A0025" w:rsidP="005A0025">
            <w:r>
              <w:t>40</w:t>
            </w:r>
          </w:p>
        </w:tc>
        <w:tc>
          <w:tcPr>
            <w:tcW w:w="1701" w:type="dxa"/>
            <w:tcBorders>
              <w:top w:val="single" w:sz="8" w:space="0" w:color="auto"/>
              <w:left w:val="single" w:sz="8" w:space="0" w:color="auto"/>
              <w:bottom w:val="single" w:sz="8" w:space="0" w:color="auto"/>
              <w:right w:val="single" w:sz="8" w:space="0" w:color="auto"/>
            </w:tcBorders>
          </w:tcPr>
          <w:p w14:paraId="7F581CAC" w14:textId="77777777" w:rsidR="005A0025" w:rsidRPr="543832D4" w:rsidRDefault="005A0025" w:rsidP="005A0025">
            <w:pPr>
              <w:rPr>
                <w:rFonts w:ascii="Calibri" w:eastAsia="Calibri" w:hAnsi="Calibri" w:cs="Calibri"/>
              </w:rPr>
            </w:pPr>
            <w:r>
              <w:t>45 / 4,281</w:t>
            </w:r>
          </w:p>
        </w:tc>
        <w:tc>
          <w:tcPr>
            <w:tcW w:w="3119" w:type="dxa"/>
            <w:tcBorders>
              <w:top w:val="single" w:sz="8" w:space="0" w:color="auto"/>
              <w:left w:val="single" w:sz="8" w:space="0" w:color="auto"/>
              <w:bottom w:val="single" w:sz="8" w:space="0" w:color="auto"/>
              <w:right w:val="single" w:sz="8" w:space="0" w:color="auto"/>
            </w:tcBorders>
          </w:tcPr>
          <w:p w14:paraId="7250F65B" w14:textId="77777777" w:rsidR="005A0025" w:rsidRDefault="005A0025" w:rsidP="005A0025">
            <w:pPr>
              <w:rPr>
                <w:rFonts w:ascii="Calibri" w:eastAsia="Calibri" w:hAnsi="Calibri" w:cs="Calibri"/>
              </w:rPr>
            </w:pPr>
            <w:r>
              <w:rPr>
                <w:rFonts w:ascii="Calibri" w:eastAsia="Calibri" w:hAnsi="Calibri" w:cs="Calibri"/>
              </w:rPr>
              <w:t>5 and 7 years for cochlear implants</w:t>
            </w:r>
          </w:p>
          <w:p w14:paraId="2707F546" w14:textId="77777777" w:rsidR="005A0025" w:rsidRPr="543832D4" w:rsidRDefault="005A0025" w:rsidP="005A0025">
            <w:pPr>
              <w:rPr>
                <w:rFonts w:ascii="Calibri" w:eastAsia="Calibri" w:hAnsi="Calibri" w:cs="Calibri"/>
              </w:rPr>
            </w:pPr>
            <w:r>
              <w:rPr>
                <w:rFonts w:ascii="Calibri" w:eastAsia="Calibri" w:hAnsi="Calibri" w:cs="Calibri"/>
              </w:rPr>
              <w:t>Otherwise excluded</w:t>
            </w:r>
          </w:p>
        </w:tc>
      </w:tr>
      <w:tr w:rsidR="0062202D" w14:paraId="4C5AB05E" w14:textId="77777777" w:rsidTr="0062202D">
        <w:tc>
          <w:tcPr>
            <w:tcW w:w="9782" w:type="dxa"/>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21C1D61" w14:textId="27FD15BB" w:rsidR="0062202D" w:rsidRDefault="0062202D" w:rsidP="005A0025">
            <w:pPr>
              <w:jc w:val="center"/>
            </w:pPr>
            <w:r w:rsidRPr="543832D4">
              <w:rPr>
                <w:rFonts w:ascii="Calibri" w:eastAsia="Calibri" w:hAnsi="Calibri" w:cs="Calibri"/>
                <w:b/>
                <w:bCs/>
                <w:color w:val="000000" w:themeColor="text1"/>
              </w:rPr>
              <w:t>AGRICULTURAL PRODUCTS</w:t>
            </w:r>
          </w:p>
        </w:tc>
      </w:tr>
      <w:tr w:rsidR="005A0025" w14:paraId="7B93A67B" w14:textId="77777777" w:rsidTr="0062202D">
        <w:tc>
          <w:tcPr>
            <w:tcW w:w="1702" w:type="dxa"/>
            <w:tcBorders>
              <w:top w:val="single" w:sz="8" w:space="0" w:color="auto"/>
              <w:left w:val="single" w:sz="8" w:space="0" w:color="auto"/>
              <w:bottom w:val="single" w:sz="8" w:space="0" w:color="auto"/>
              <w:right w:val="single" w:sz="8" w:space="0" w:color="auto"/>
            </w:tcBorders>
          </w:tcPr>
          <w:p w14:paraId="5300B632" w14:textId="4A974D57" w:rsidR="005A0025" w:rsidRDefault="005A0025" w:rsidP="005A0025">
            <w:pPr>
              <w:rPr>
                <w:rFonts w:ascii="Calibri" w:eastAsia="Calibri" w:hAnsi="Calibri" w:cs="Calibri"/>
              </w:rPr>
            </w:pPr>
            <w:r>
              <w:rPr>
                <w:rFonts w:ascii="Calibri" w:eastAsia="Calibri" w:hAnsi="Calibri" w:cs="Calibri"/>
              </w:rPr>
              <w:t>W</w:t>
            </w:r>
            <w:r w:rsidRPr="543832D4">
              <w:rPr>
                <w:rFonts w:ascii="Calibri" w:eastAsia="Calibri" w:hAnsi="Calibri" w:cs="Calibri"/>
              </w:rPr>
              <w:t>ool</w:t>
            </w:r>
          </w:p>
        </w:tc>
        <w:tc>
          <w:tcPr>
            <w:tcW w:w="992" w:type="dxa"/>
            <w:tcBorders>
              <w:top w:val="single" w:sz="8" w:space="0" w:color="auto"/>
              <w:left w:val="single" w:sz="8" w:space="0" w:color="auto"/>
              <w:bottom w:val="single" w:sz="8" w:space="0" w:color="auto"/>
              <w:right w:val="single" w:sz="8" w:space="0" w:color="auto"/>
            </w:tcBorders>
          </w:tcPr>
          <w:p w14:paraId="0FABEED3" w14:textId="2E6363E6" w:rsidR="005A0025" w:rsidRDefault="005A0025" w:rsidP="005A0025">
            <w:r w:rsidRPr="543832D4">
              <w:rPr>
                <w:rFonts w:ascii="Calibri" w:eastAsia="Calibri" w:hAnsi="Calibri" w:cs="Calibri"/>
              </w:rPr>
              <w:t>5101</w:t>
            </w:r>
          </w:p>
        </w:tc>
        <w:tc>
          <w:tcPr>
            <w:tcW w:w="992" w:type="dxa"/>
            <w:tcBorders>
              <w:top w:val="single" w:sz="8" w:space="0" w:color="auto"/>
              <w:left w:val="single" w:sz="8" w:space="0" w:color="auto"/>
              <w:bottom w:val="single" w:sz="8" w:space="0" w:color="auto"/>
              <w:right w:val="single" w:sz="8" w:space="0" w:color="auto"/>
            </w:tcBorders>
          </w:tcPr>
          <w:p w14:paraId="369C8397" w14:textId="38D98C31" w:rsidR="005A0025" w:rsidRDefault="005A0025" w:rsidP="005A0025">
            <w:r w:rsidRPr="543832D4">
              <w:rPr>
                <w:rFonts w:ascii="Calibri" w:eastAsia="Calibri" w:hAnsi="Calibri" w:cs="Calibri"/>
              </w:rPr>
              <w:t>25</w:t>
            </w:r>
          </w:p>
        </w:tc>
        <w:tc>
          <w:tcPr>
            <w:tcW w:w="1276" w:type="dxa"/>
            <w:tcBorders>
              <w:top w:val="single" w:sz="8" w:space="0" w:color="auto"/>
              <w:left w:val="single" w:sz="8" w:space="0" w:color="auto"/>
              <w:bottom w:val="single" w:sz="8" w:space="0" w:color="auto"/>
              <w:right w:val="single" w:sz="8" w:space="0" w:color="auto"/>
            </w:tcBorders>
          </w:tcPr>
          <w:p w14:paraId="64D29660" w14:textId="7CE77780" w:rsidR="005A0025" w:rsidRPr="543832D4" w:rsidRDefault="005A0025" w:rsidP="005A0025">
            <w:pPr>
              <w:rPr>
                <w:rFonts w:ascii="Calibri" w:eastAsia="Calibri" w:hAnsi="Calibri" w:cs="Calibri"/>
              </w:rPr>
            </w:pPr>
            <w:r>
              <w:rPr>
                <w:rFonts w:ascii="Calibri" w:eastAsia="Calibri" w:hAnsi="Calibri" w:cs="Calibri"/>
              </w:rPr>
              <w:t>25/40/100</w:t>
            </w:r>
          </w:p>
        </w:tc>
        <w:tc>
          <w:tcPr>
            <w:tcW w:w="1701" w:type="dxa"/>
            <w:tcBorders>
              <w:top w:val="single" w:sz="8" w:space="0" w:color="auto"/>
              <w:left w:val="single" w:sz="8" w:space="0" w:color="auto"/>
              <w:bottom w:val="single" w:sz="8" w:space="0" w:color="auto"/>
              <w:right w:val="single" w:sz="8" w:space="0" w:color="auto"/>
            </w:tcBorders>
          </w:tcPr>
          <w:p w14:paraId="240C87D4" w14:textId="11DA10B9" w:rsidR="005A0025" w:rsidRDefault="005A0025" w:rsidP="005A0025">
            <w:proofErr w:type="gramStart"/>
            <w:r w:rsidRPr="543832D4">
              <w:rPr>
                <w:rFonts w:ascii="Calibri" w:eastAsia="Calibri" w:hAnsi="Calibri" w:cs="Calibri"/>
              </w:rPr>
              <w:t xml:space="preserve">184 </w:t>
            </w:r>
            <w:r>
              <w:rPr>
                <w:rFonts w:ascii="Calibri" w:eastAsia="Calibri" w:hAnsi="Calibri" w:cs="Calibri"/>
              </w:rPr>
              <w:t xml:space="preserve"> </w:t>
            </w:r>
            <w:r w:rsidRPr="543832D4">
              <w:rPr>
                <w:rFonts w:ascii="Calibri" w:eastAsia="Calibri" w:hAnsi="Calibri" w:cs="Calibri"/>
              </w:rPr>
              <w:t>/</w:t>
            </w:r>
            <w:proofErr w:type="gramEnd"/>
            <w:r w:rsidRPr="543832D4">
              <w:rPr>
                <w:rFonts w:ascii="Calibri" w:eastAsia="Calibri" w:hAnsi="Calibri" w:cs="Calibri"/>
              </w:rPr>
              <w:t xml:space="preserve"> </w:t>
            </w:r>
            <w:r>
              <w:rPr>
                <w:rFonts w:ascii="Calibri" w:eastAsia="Calibri" w:hAnsi="Calibri" w:cs="Calibri"/>
              </w:rPr>
              <w:t xml:space="preserve"> </w:t>
            </w:r>
            <w:r w:rsidRPr="543832D4">
              <w:rPr>
                <w:rFonts w:ascii="Calibri" w:eastAsia="Calibri" w:hAnsi="Calibri" w:cs="Calibri"/>
              </w:rPr>
              <w:t>321</w:t>
            </w:r>
          </w:p>
        </w:tc>
        <w:tc>
          <w:tcPr>
            <w:tcW w:w="3119" w:type="dxa"/>
            <w:tcBorders>
              <w:top w:val="single" w:sz="8" w:space="0" w:color="auto"/>
              <w:left w:val="single" w:sz="8" w:space="0" w:color="auto"/>
              <w:bottom w:val="single" w:sz="8" w:space="0" w:color="auto"/>
              <w:right w:val="single" w:sz="8" w:space="0" w:color="auto"/>
            </w:tcBorders>
          </w:tcPr>
          <w:p w14:paraId="3F23A289" w14:textId="501EAC5B" w:rsidR="005A0025" w:rsidRDefault="005A0025" w:rsidP="005A0025">
            <w:r>
              <w:rPr>
                <w:rFonts w:ascii="Calibri" w:eastAsia="Calibri" w:hAnsi="Calibri" w:cs="Calibri"/>
              </w:rPr>
              <w:t xml:space="preserve"> </w:t>
            </w:r>
            <w:r w:rsidRPr="543832D4">
              <w:rPr>
                <w:rFonts w:ascii="Calibri" w:eastAsia="Calibri" w:hAnsi="Calibri" w:cs="Calibri"/>
              </w:rPr>
              <w:t>EIF</w:t>
            </w:r>
          </w:p>
        </w:tc>
      </w:tr>
      <w:tr w:rsidR="005A0025" w14:paraId="0FD558A8" w14:textId="77777777" w:rsidTr="0062202D">
        <w:tc>
          <w:tcPr>
            <w:tcW w:w="1702" w:type="dxa"/>
            <w:tcBorders>
              <w:top w:val="single" w:sz="8" w:space="0" w:color="auto"/>
              <w:left w:val="single" w:sz="8" w:space="0" w:color="auto"/>
              <w:bottom w:val="single" w:sz="8" w:space="0" w:color="auto"/>
              <w:right w:val="single" w:sz="8" w:space="0" w:color="auto"/>
            </w:tcBorders>
          </w:tcPr>
          <w:p w14:paraId="2F66F800" w14:textId="07C03EEF" w:rsidR="005A0025" w:rsidRPr="543832D4" w:rsidRDefault="005A0025" w:rsidP="005A0025">
            <w:pPr>
              <w:rPr>
                <w:rFonts w:ascii="Calibri" w:eastAsia="Calibri" w:hAnsi="Calibri" w:cs="Calibri"/>
              </w:rPr>
            </w:pPr>
            <w:r w:rsidRPr="543832D4">
              <w:rPr>
                <w:rFonts w:ascii="Calibri" w:eastAsia="Calibri" w:hAnsi="Calibri" w:cs="Calibri"/>
              </w:rPr>
              <w:t>Almonds</w:t>
            </w:r>
          </w:p>
        </w:tc>
        <w:tc>
          <w:tcPr>
            <w:tcW w:w="992" w:type="dxa"/>
            <w:tcBorders>
              <w:top w:val="single" w:sz="8" w:space="0" w:color="auto"/>
              <w:left w:val="single" w:sz="8" w:space="0" w:color="auto"/>
              <w:bottom w:val="single" w:sz="8" w:space="0" w:color="auto"/>
              <w:right w:val="single" w:sz="8" w:space="0" w:color="auto"/>
            </w:tcBorders>
          </w:tcPr>
          <w:p w14:paraId="1C44F2BE" w14:textId="753B0FD7" w:rsidR="005A0025" w:rsidRDefault="005A0025" w:rsidP="005A0025">
            <w:r>
              <w:t>08021100 (in shell), 08021200 (shelled)</w:t>
            </w:r>
          </w:p>
        </w:tc>
        <w:tc>
          <w:tcPr>
            <w:tcW w:w="992" w:type="dxa"/>
            <w:tcBorders>
              <w:top w:val="single" w:sz="8" w:space="0" w:color="auto"/>
              <w:left w:val="single" w:sz="8" w:space="0" w:color="auto"/>
              <w:bottom w:val="single" w:sz="8" w:space="0" w:color="auto"/>
              <w:right w:val="single" w:sz="8" w:space="0" w:color="auto"/>
            </w:tcBorders>
          </w:tcPr>
          <w:p w14:paraId="1C21153A" w14:textId="6ED5C9DA" w:rsidR="005A0025" w:rsidRDefault="005A0025" w:rsidP="005A0025">
            <w:r>
              <w:t>Rs35kg</w:t>
            </w:r>
          </w:p>
        </w:tc>
        <w:tc>
          <w:tcPr>
            <w:tcW w:w="1276" w:type="dxa"/>
            <w:tcBorders>
              <w:top w:val="single" w:sz="8" w:space="0" w:color="auto"/>
              <w:left w:val="single" w:sz="8" w:space="0" w:color="auto"/>
              <w:bottom w:val="single" w:sz="8" w:space="0" w:color="auto"/>
              <w:right w:val="single" w:sz="8" w:space="0" w:color="auto"/>
            </w:tcBorders>
          </w:tcPr>
          <w:p w14:paraId="0C90A2C9" w14:textId="77777777" w:rsidR="005A0025" w:rsidRDefault="005A0025" w:rsidP="005A0025">
            <w:r>
              <w:t>Rs35/kg (in shell)</w:t>
            </w:r>
          </w:p>
          <w:p w14:paraId="0B894A77" w14:textId="7F5BF0C0" w:rsidR="005A0025" w:rsidRDefault="005A0025" w:rsidP="005A0025">
            <w:r>
              <w:t>Rs100/kg (shelled)</w:t>
            </w:r>
          </w:p>
        </w:tc>
        <w:tc>
          <w:tcPr>
            <w:tcW w:w="1701" w:type="dxa"/>
            <w:tcBorders>
              <w:top w:val="single" w:sz="8" w:space="0" w:color="auto"/>
              <w:left w:val="single" w:sz="8" w:space="0" w:color="auto"/>
              <w:bottom w:val="single" w:sz="8" w:space="0" w:color="auto"/>
              <w:right w:val="single" w:sz="8" w:space="0" w:color="auto"/>
            </w:tcBorders>
          </w:tcPr>
          <w:p w14:paraId="7D9ED38C" w14:textId="1AAD94FA" w:rsidR="005A0025" w:rsidRDefault="005A0025" w:rsidP="005A0025">
            <w:r>
              <w:t>99 / 1,120</w:t>
            </w:r>
          </w:p>
          <w:p w14:paraId="3C38205F" w14:textId="74E0D6D8" w:rsidR="005A0025" w:rsidRDefault="005A0025" w:rsidP="005A0025">
            <w:r>
              <w:t>0.3 / 71</w:t>
            </w:r>
          </w:p>
        </w:tc>
        <w:tc>
          <w:tcPr>
            <w:tcW w:w="3119" w:type="dxa"/>
            <w:tcBorders>
              <w:top w:val="single" w:sz="8" w:space="0" w:color="auto"/>
              <w:left w:val="single" w:sz="8" w:space="0" w:color="auto"/>
              <w:bottom w:val="single" w:sz="8" w:space="0" w:color="auto"/>
              <w:right w:val="single" w:sz="8" w:space="0" w:color="auto"/>
            </w:tcBorders>
          </w:tcPr>
          <w:p w14:paraId="503EAF3B" w14:textId="7FA87430" w:rsidR="005A0025" w:rsidRDefault="005A0025" w:rsidP="005A0025">
            <w:r>
              <w:t>TRQ at 50% of existing MFN duty on 34,000 tonnes annually</w:t>
            </w:r>
          </w:p>
        </w:tc>
      </w:tr>
      <w:tr w:rsidR="005A0025" w14:paraId="0CC16B88" w14:textId="77777777" w:rsidTr="0062202D">
        <w:tc>
          <w:tcPr>
            <w:tcW w:w="1702" w:type="dxa"/>
            <w:tcBorders>
              <w:top w:val="single" w:sz="8" w:space="0" w:color="auto"/>
              <w:left w:val="single" w:sz="8" w:space="0" w:color="auto"/>
              <w:bottom w:val="single" w:sz="8" w:space="0" w:color="auto"/>
              <w:right w:val="single" w:sz="8" w:space="0" w:color="auto"/>
            </w:tcBorders>
          </w:tcPr>
          <w:p w14:paraId="7094C5DD" w14:textId="7C7E6140" w:rsidR="005A0025" w:rsidRPr="543832D4" w:rsidRDefault="005A0025" w:rsidP="005A0025">
            <w:pPr>
              <w:rPr>
                <w:rFonts w:ascii="Calibri" w:eastAsia="Calibri" w:hAnsi="Calibri" w:cs="Calibri"/>
              </w:rPr>
            </w:pPr>
            <w:r w:rsidRPr="543832D4">
              <w:rPr>
                <w:rFonts w:ascii="Calibri" w:eastAsia="Calibri" w:hAnsi="Calibri" w:cs="Calibri"/>
              </w:rPr>
              <w:t>Lentils</w:t>
            </w:r>
          </w:p>
        </w:tc>
        <w:tc>
          <w:tcPr>
            <w:tcW w:w="992" w:type="dxa"/>
            <w:tcBorders>
              <w:top w:val="single" w:sz="8" w:space="0" w:color="auto"/>
              <w:left w:val="single" w:sz="8" w:space="0" w:color="auto"/>
              <w:bottom w:val="single" w:sz="8" w:space="0" w:color="auto"/>
              <w:right w:val="single" w:sz="8" w:space="0" w:color="auto"/>
            </w:tcBorders>
          </w:tcPr>
          <w:p w14:paraId="1677A84C" w14:textId="1765D25B" w:rsidR="005A0025" w:rsidRDefault="005A0025" w:rsidP="005A0025">
            <w:r>
              <w:t>07134000</w:t>
            </w:r>
          </w:p>
        </w:tc>
        <w:tc>
          <w:tcPr>
            <w:tcW w:w="992" w:type="dxa"/>
            <w:tcBorders>
              <w:top w:val="single" w:sz="8" w:space="0" w:color="auto"/>
              <w:left w:val="single" w:sz="8" w:space="0" w:color="auto"/>
              <w:bottom w:val="single" w:sz="8" w:space="0" w:color="auto"/>
              <w:right w:val="single" w:sz="8" w:space="0" w:color="auto"/>
            </w:tcBorders>
          </w:tcPr>
          <w:p w14:paraId="07802C93" w14:textId="709F1D45" w:rsidR="005A0025" w:rsidRDefault="005A0025" w:rsidP="005A0025">
            <w:r>
              <w:t>30</w:t>
            </w:r>
          </w:p>
        </w:tc>
        <w:tc>
          <w:tcPr>
            <w:tcW w:w="1276" w:type="dxa"/>
            <w:tcBorders>
              <w:top w:val="single" w:sz="8" w:space="0" w:color="auto"/>
              <w:left w:val="single" w:sz="8" w:space="0" w:color="auto"/>
              <w:bottom w:val="single" w:sz="8" w:space="0" w:color="auto"/>
              <w:right w:val="single" w:sz="8" w:space="0" w:color="auto"/>
            </w:tcBorders>
          </w:tcPr>
          <w:p w14:paraId="1F6361D7" w14:textId="31DC0C0D" w:rsidR="005A0025" w:rsidRDefault="005A0025" w:rsidP="005A0025">
            <w:r>
              <w:t>100</w:t>
            </w:r>
          </w:p>
        </w:tc>
        <w:tc>
          <w:tcPr>
            <w:tcW w:w="1701" w:type="dxa"/>
            <w:tcBorders>
              <w:top w:val="single" w:sz="8" w:space="0" w:color="auto"/>
              <w:left w:val="single" w:sz="8" w:space="0" w:color="auto"/>
              <w:bottom w:val="single" w:sz="8" w:space="0" w:color="auto"/>
              <w:right w:val="single" w:sz="8" w:space="0" w:color="auto"/>
            </w:tcBorders>
          </w:tcPr>
          <w:p w14:paraId="5B3AC962" w14:textId="6D773AFD" w:rsidR="005A0025" w:rsidRDefault="005A0025" w:rsidP="005A0025">
            <w:r>
              <w:t>56 / 457</w:t>
            </w:r>
          </w:p>
        </w:tc>
        <w:tc>
          <w:tcPr>
            <w:tcW w:w="3119" w:type="dxa"/>
            <w:tcBorders>
              <w:top w:val="single" w:sz="8" w:space="0" w:color="auto"/>
              <w:left w:val="single" w:sz="8" w:space="0" w:color="auto"/>
              <w:bottom w:val="single" w:sz="8" w:space="0" w:color="auto"/>
              <w:right w:val="single" w:sz="8" w:space="0" w:color="auto"/>
            </w:tcBorders>
          </w:tcPr>
          <w:p w14:paraId="794CA777" w14:textId="1991CBF7" w:rsidR="005A0025" w:rsidRDefault="005A0025" w:rsidP="005A0025">
            <w:r>
              <w:rPr>
                <w:rFonts w:ascii="Calibri" w:eastAsia="Calibri" w:hAnsi="Calibri" w:cs="Calibri"/>
              </w:rPr>
              <w:t>TRQ at 50% existing MFN duty on 150,000 tonnes annually</w:t>
            </w:r>
          </w:p>
        </w:tc>
      </w:tr>
      <w:tr w:rsidR="005A0025" w14:paraId="4C1B7BD0" w14:textId="77777777" w:rsidTr="0062202D">
        <w:tc>
          <w:tcPr>
            <w:tcW w:w="1702" w:type="dxa"/>
            <w:tcBorders>
              <w:top w:val="single" w:sz="8" w:space="0" w:color="auto"/>
              <w:left w:val="single" w:sz="8" w:space="0" w:color="auto"/>
              <w:bottom w:val="single" w:sz="8" w:space="0" w:color="auto"/>
              <w:right w:val="single" w:sz="8" w:space="0" w:color="auto"/>
            </w:tcBorders>
          </w:tcPr>
          <w:p w14:paraId="6AE77ECC" w14:textId="61067860" w:rsidR="005A0025" w:rsidRPr="543832D4" w:rsidRDefault="005A0025" w:rsidP="005A0025">
            <w:pPr>
              <w:rPr>
                <w:rFonts w:ascii="Calibri" w:eastAsia="Calibri" w:hAnsi="Calibri" w:cs="Calibri"/>
              </w:rPr>
            </w:pPr>
            <w:r w:rsidRPr="543832D4">
              <w:rPr>
                <w:rFonts w:ascii="Calibri" w:eastAsia="Calibri" w:hAnsi="Calibri" w:cs="Calibri"/>
              </w:rPr>
              <w:t>Cotton</w:t>
            </w:r>
          </w:p>
        </w:tc>
        <w:tc>
          <w:tcPr>
            <w:tcW w:w="992" w:type="dxa"/>
            <w:tcBorders>
              <w:top w:val="single" w:sz="8" w:space="0" w:color="auto"/>
              <w:left w:val="single" w:sz="8" w:space="0" w:color="auto"/>
              <w:bottom w:val="single" w:sz="8" w:space="0" w:color="auto"/>
              <w:right w:val="single" w:sz="8" w:space="0" w:color="auto"/>
            </w:tcBorders>
          </w:tcPr>
          <w:p w14:paraId="4DF836AB" w14:textId="19778E89" w:rsidR="005A0025" w:rsidRPr="543832D4" w:rsidRDefault="005A0025" w:rsidP="005A0025">
            <w:pPr>
              <w:rPr>
                <w:rFonts w:ascii="Calibri" w:eastAsia="Calibri" w:hAnsi="Calibri" w:cs="Calibri"/>
              </w:rPr>
            </w:pPr>
            <w:r>
              <w:t>5201</w:t>
            </w:r>
          </w:p>
        </w:tc>
        <w:tc>
          <w:tcPr>
            <w:tcW w:w="992" w:type="dxa"/>
            <w:tcBorders>
              <w:top w:val="single" w:sz="8" w:space="0" w:color="auto"/>
              <w:left w:val="single" w:sz="8" w:space="0" w:color="auto"/>
              <w:bottom w:val="single" w:sz="8" w:space="0" w:color="auto"/>
              <w:right w:val="single" w:sz="8" w:space="0" w:color="auto"/>
            </w:tcBorders>
          </w:tcPr>
          <w:p w14:paraId="465620F4" w14:textId="121EF659" w:rsidR="005A0025" w:rsidRPr="543832D4" w:rsidRDefault="005A0025" w:rsidP="005A0025">
            <w:pPr>
              <w:rPr>
                <w:rFonts w:ascii="Calibri" w:eastAsia="Calibri" w:hAnsi="Calibri" w:cs="Calibri"/>
              </w:rPr>
            </w:pPr>
            <w:r>
              <w:t>5</w:t>
            </w:r>
          </w:p>
        </w:tc>
        <w:tc>
          <w:tcPr>
            <w:tcW w:w="1276" w:type="dxa"/>
            <w:tcBorders>
              <w:top w:val="single" w:sz="8" w:space="0" w:color="auto"/>
              <w:left w:val="single" w:sz="8" w:space="0" w:color="auto"/>
              <w:bottom w:val="single" w:sz="8" w:space="0" w:color="auto"/>
              <w:right w:val="single" w:sz="8" w:space="0" w:color="auto"/>
            </w:tcBorders>
          </w:tcPr>
          <w:p w14:paraId="0A2854B7" w14:textId="28205B37" w:rsidR="005A0025" w:rsidRDefault="005A0025" w:rsidP="005A0025">
            <w:r>
              <w:t>100</w:t>
            </w:r>
          </w:p>
        </w:tc>
        <w:tc>
          <w:tcPr>
            <w:tcW w:w="1701" w:type="dxa"/>
            <w:tcBorders>
              <w:top w:val="single" w:sz="8" w:space="0" w:color="auto"/>
              <w:left w:val="single" w:sz="8" w:space="0" w:color="auto"/>
              <w:bottom w:val="single" w:sz="8" w:space="0" w:color="auto"/>
              <w:right w:val="single" w:sz="8" w:space="0" w:color="auto"/>
            </w:tcBorders>
          </w:tcPr>
          <w:p w14:paraId="713AFA84" w14:textId="48DD6051" w:rsidR="005A0025" w:rsidRPr="543832D4" w:rsidRDefault="005A0025" w:rsidP="005A0025">
            <w:pPr>
              <w:rPr>
                <w:rFonts w:ascii="Calibri" w:eastAsia="Calibri" w:hAnsi="Calibri" w:cs="Calibri"/>
              </w:rPr>
            </w:pPr>
            <w:r>
              <w:t>46 (52010020) / 1,073.0</w:t>
            </w:r>
          </w:p>
        </w:tc>
        <w:tc>
          <w:tcPr>
            <w:tcW w:w="3119" w:type="dxa"/>
            <w:tcBorders>
              <w:top w:val="single" w:sz="8" w:space="0" w:color="auto"/>
              <w:left w:val="single" w:sz="8" w:space="0" w:color="auto"/>
              <w:bottom w:val="single" w:sz="8" w:space="0" w:color="auto"/>
              <w:right w:val="single" w:sz="8" w:space="0" w:color="auto"/>
            </w:tcBorders>
          </w:tcPr>
          <w:p w14:paraId="7EA99DE6" w14:textId="2C17B19A" w:rsidR="005A0025" w:rsidRPr="543832D4" w:rsidRDefault="005A0025" w:rsidP="005A0025">
            <w:pPr>
              <w:rPr>
                <w:rFonts w:ascii="Calibri" w:eastAsia="Calibri" w:hAnsi="Calibri" w:cs="Calibri"/>
              </w:rPr>
            </w:pPr>
            <w:r>
              <w:t>Duty-free TRQ of 3</w:t>
            </w:r>
            <w:r w:rsidR="00CE549D">
              <w:t xml:space="preserve">00,000 </w:t>
            </w:r>
            <w:r>
              <w:t>bales per annum for ELS cotton of Minimum 28 mm length</w:t>
            </w:r>
          </w:p>
        </w:tc>
      </w:tr>
      <w:tr w:rsidR="005A0025" w14:paraId="7EFCD48F" w14:textId="77777777" w:rsidTr="0062202D">
        <w:tc>
          <w:tcPr>
            <w:tcW w:w="1702" w:type="dxa"/>
            <w:tcBorders>
              <w:top w:val="single" w:sz="8" w:space="0" w:color="auto"/>
              <w:left w:val="single" w:sz="8" w:space="0" w:color="auto"/>
              <w:bottom w:val="single" w:sz="8" w:space="0" w:color="auto"/>
              <w:right w:val="single" w:sz="8" w:space="0" w:color="auto"/>
            </w:tcBorders>
          </w:tcPr>
          <w:p w14:paraId="25F2F3E4" w14:textId="48F1E602" w:rsidR="005A0025" w:rsidRPr="543832D4" w:rsidRDefault="005A0025" w:rsidP="005A0025">
            <w:pPr>
              <w:rPr>
                <w:rFonts w:ascii="Calibri" w:eastAsia="Calibri" w:hAnsi="Calibri" w:cs="Calibri"/>
              </w:rPr>
            </w:pPr>
            <w:r w:rsidRPr="543832D4">
              <w:rPr>
                <w:rFonts w:ascii="Calibri" w:eastAsia="Calibri" w:hAnsi="Calibri" w:cs="Calibri"/>
              </w:rPr>
              <w:t>Oats</w:t>
            </w:r>
          </w:p>
        </w:tc>
        <w:tc>
          <w:tcPr>
            <w:tcW w:w="992" w:type="dxa"/>
            <w:tcBorders>
              <w:top w:val="single" w:sz="8" w:space="0" w:color="auto"/>
              <w:left w:val="single" w:sz="8" w:space="0" w:color="auto"/>
              <w:bottom w:val="single" w:sz="8" w:space="0" w:color="auto"/>
              <w:right w:val="single" w:sz="8" w:space="0" w:color="auto"/>
            </w:tcBorders>
          </w:tcPr>
          <w:p w14:paraId="7483296C" w14:textId="1ADDB05F" w:rsidR="005A0025" w:rsidRPr="543832D4" w:rsidRDefault="005A0025" w:rsidP="005A0025">
            <w:pPr>
              <w:rPr>
                <w:rFonts w:ascii="Calibri" w:eastAsia="Calibri" w:hAnsi="Calibri" w:cs="Calibri"/>
              </w:rPr>
            </w:pPr>
            <w:r>
              <w:t>1004</w:t>
            </w:r>
          </w:p>
        </w:tc>
        <w:tc>
          <w:tcPr>
            <w:tcW w:w="992" w:type="dxa"/>
            <w:tcBorders>
              <w:top w:val="single" w:sz="8" w:space="0" w:color="auto"/>
              <w:left w:val="single" w:sz="8" w:space="0" w:color="auto"/>
              <w:bottom w:val="single" w:sz="8" w:space="0" w:color="auto"/>
              <w:right w:val="single" w:sz="8" w:space="0" w:color="auto"/>
            </w:tcBorders>
          </w:tcPr>
          <w:p w14:paraId="66D90BE5" w14:textId="6DCD061B" w:rsidR="005A0025" w:rsidRPr="543832D4" w:rsidRDefault="005A0025" w:rsidP="005A0025">
            <w:pPr>
              <w:rPr>
                <w:rFonts w:ascii="Calibri" w:eastAsia="Calibri" w:hAnsi="Calibri" w:cs="Calibri"/>
              </w:rPr>
            </w:pPr>
            <w:r>
              <w:t>0</w:t>
            </w:r>
          </w:p>
        </w:tc>
        <w:tc>
          <w:tcPr>
            <w:tcW w:w="1276" w:type="dxa"/>
            <w:tcBorders>
              <w:top w:val="single" w:sz="8" w:space="0" w:color="auto"/>
              <w:left w:val="single" w:sz="8" w:space="0" w:color="auto"/>
              <w:bottom w:val="single" w:sz="8" w:space="0" w:color="auto"/>
              <w:right w:val="single" w:sz="8" w:space="0" w:color="auto"/>
            </w:tcBorders>
          </w:tcPr>
          <w:p w14:paraId="59E735D9" w14:textId="1748F72D" w:rsidR="005A0025" w:rsidRDefault="005A0025" w:rsidP="005A0025">
            <w:r>
              <w:t>100</w:t>
            </w:r>
          </w:p>
        </w:tc>
        <w:tc>
          <w:tcPr>
            <w:tcW w:w="1701" w:type="dxa"/>
            <w:tcBorders>
              <w:top w:val="single" w:sz="8" w:space="0" w:color="auto"/>
              <w:left w:val="single" w:sz="8" w:space="0" w:color="auto"/>
              <w:bottom w:val="single" w:sz="8" w:space="0" w:color="auto"/>
              <w:right w:val="single" w:sz="8" w:space="0" w:color="auto"/>
            </w:tcBorders>
          </w:tcPr>
          <w:p w14:paraId="2FAA2D2E" w14:textId="03940C41" w:rsidR="005A0025" w:rsidRPr="543832D4" w:rsidRDefault="005A0025" w:rsidP="005A0025">
            <w:pPr>
              <w:rPr>
                <w:rFonts w:ascii="Calibri" w:eastAsia="Calibri" w:hAnsi="Calibri" w:cs="Calibri"/>
              </w:rPr>
            </w:pPr>
            <w:r>
              <w:t>10 / 12</w:t>
            </w:r>
          </w:p>
        </w:tc>
        <w:tc>
          <w:tcPr>
            <w:tcW w:w="3119" w:type="dxa"/>
            <w:tcBorders>
              <w:top w:val="single" w:sz="8" w:space="0" w:color="auto"/>
              <w:left w:val="single" w:sz="8" w:space="0" w:color="auto"/>
              <w:bottom w:val="single" w:sz="8" w:space="0" w:color="auto"/>
              <w:right w:val="single" w:sz="8" w:space="0" w:color="auto"/>
            </w:tcBorders>
          </w:tcPr>
          <w:p w14:paraId="2E940126" w14:textId="38F8FC5E" w:rsidR="005A0025" w:rsidRPr="543832D4" w:rsidRDefault="005A0025" w:rsidP="005A0025">
            <w:pPr>
              <w:rPr>
                <w:rFonts w:ascii="Calibri" w:eastAsia="Calibri" w:hAnsi="Calibri" w:cs="Calibri"/>
              </w:rPr>
            </w:pPr>
            <w:r>
              <w:t>EIF</w:t>
            </w:r>
          </w:p>
        </w:tc>
      </w:tr>
      <w:tr w:rsidR="005A0025" w14:paraId="61543730" w14:textId="77777777" w:rsidTr="0062202D">
        <w:tc>
          <w:tcPr>
            <w:tcW w:w="1702" w:type="dxa"/>
            <w:tcBorders>
              <w:top w:val="single" w:sz="8" w:space="0" w:color="auto"/>
              <w:left w:val="single" w:sz="8" w:space="0" w:color="auto"/>
              <w:bottom w:val="single" w:sz="8" w:space="0" w:color="auto"/>
              <w:right w:val="single" w:sz="8" w:space="0" w:color="auto"/>
            </w:tcBorders>
          </w:tcPr>
          <w:p w14:paraId="7CE694EB" w14:textId="42F684AE" w:rsidR="005A0025" w:rsidRPr="543832D4" w:rsidRDefault="005A0025" w:rsidP="005A0025">
            <w:pPr>
              <w:rPr>
                <w:rFonts w:ascii="Calibri" w:eastAsia="Calibri" w:hAnsi="Calibri" w:cs="Calibri"/>
              </w:rPr>
            </w:pPr>
            <w:r w:rsidRPr="543832D4">
              <w:rPr>
                <w:rFonts w:ascii="Calibri" w:eastAsia="Calibri" w:hAnsi="Calibri" w:cs="Calibri"/>
              </w:rPr>
              <w:t>Wine</w:t>
            </w:r>
          </w:p>
        </w:tc>
        <w:tc>
          <w:tcPr>
            <w:tcW w:w="992" w:type="dxa"/>
            <w:tcBorders>
              <w:top w:val="single" w:sz="8" w:space="0" w:color="auto"/>
              <w:left w:val="single" w:sz="8" w:space="0" w:color="auto"/>
              <w:bottom w:val="single" w:sz="8" w:space="0" w:color="auto"/>
              <w:right w:val="single" w:sz="8" w:space="0" w:color="auto"/>
            </w:tcBorders>
          </w:tcPr>
          <w:p w14:paraId="34EBE792" w14:textId="064CF296" w:rsidR="005A0025" w:rsidRDefault="005A0025" w:rsidP="005A0025">
            <w:r>
              <w:t>2204</w:t>
            </w:r>
          </w:p>
        </w:tc>
        <w:tc>
          <w:tcPr>
            <w:tcW w:w="992" w:type="dxa"/>
            <w:tcBorders>
              <w:top w:val="single" w:sz="8" w:space="0" w:color="auto"/>
              <w:left w:val="single" w:sz="8" w:space="0" w:color="auto"/>
              <w:bottom w:val="single" w:sz="8" w:space="0" w:color="auto"/>
              <w:right w:val="single" w:sz="8" w:space="0" w:color="auto"/>
            </w:tcBorders>
          </w:tcPr>
          <w:p w14:paraId="591F8A9A" w14:textId="61A6D016" w:rsidR="005A0025" w:rsidRDefault="005A0025" w:rsidP="005A0025">
            <w:r>
              <w:t>150</w:t>
            </w:r>
          </w:p>
        </w:tc>
        <w:tc>
          <w:tcPr>
            <w:tcW w:w="1276" w:type="dxa"/>
            <w:tcBorders>
              <w:top w:val="single" w:sz="8" w:space="0" w:color="auto"/>
              <w:left w:val="single" w:sz="8" w:space="0" w:color="auto"/>
              <w:bottom w:val="single" w:sz="8" w:space="0" w:color="auto"/>
              <w:right w:val="single" w:sz="8" w:space="0" w:color="auto"/>
            </w:tcBorders>
          </w:tcPr>
          <w:p w14:paraId="093CA6CD" w14:textId="7A8B4321" w:rsidR="005A0025" w:rsidRDefault="005A0025" w:rsidP="005A0025">
            <w:r>
              <w:t>150</w:t>
            </w:r>
          </w:p>
        </w:tc>
        <w:tc>
          <w:tcPr>
            <w:tcW w:w="1701" w:type="dxa"/>
            <w:tcBorders>
              <w:top w:val="single" w:sz="8" w:space="0" w:color="auto"/>
              <w:left w:val="single" w:sz="8" w:space="0" w:color="auto"/>
              <w:bottom w:val="single" w:sz="8" w:space="0" w:color="auto"/>
              <w:right w:val="single" w:sz="8" w:space="0" w:color="auto"/>
            </w:tcBorders>
          </w:tcPr>
          <w:p w14:paraId="2A15297D" w14:textId="595F1A8F" w:rsidR="005A0025" w:rsidRDefault="005A0025" w:rsidP="005A0025">
            <w:r>
              <w:t>7 / 29</w:t>
            </w:r>
          </w:p>
        </w:tc>
        <w:tc>
          <w:tcPr>
            <w:tcW w:w="3119" w:type="dxa"/>
            <w:tcBorders>
              <w:top w:val="single" w:sz="8" w:space="0" w:color="auto"/>
              <w:left w:val="single" w:sz="8" w:space="0" w:color="auto"/>
              <w:bottom w:val="single" w:sz="8" w:space="0" w:color="auto"/>
              <w:right w:val="single" w:sz="8" w:space="0" w:color="auto"/>
            </w:tcBorders>
          </w:tcPr>
          <w:p w14:paraId="08E55756" w14:textId="3CD6DA58" w:rsidR="005A0025" w:rsidRDefault="00525DCE" w:rsidP="005A0025">
            <w:r>
              <w:t>Tariffs reduced from 150 to 50 per cent over 10 years for bottles valued over US$5 and tariffs reduced to 25 per cent over ten years for bottles valued over US$15.</w:t>
            </w:r>
          </w:p>
        </w:tc>
      </w:tr>
      <w:tr w:rsidR="005A0025" w14:paraId="712E528C" w14:textId="77777777" w:rsidTr="0062202D">
        <w:tc>
          <w:tcPr>
            <w:tcW w:w="1702" w:type="dxa"/>
            <w:tcBorders>
              <w:top w:val="single" w:sz="8" w:space="0" w:color="auto"/>
              <w:left w:val="single" w:sz="8" w:space="0" w:color="auto"/>
              <w:bottom w:val="single" w:sz="8" w:space="0" w:color="auto"/>
              <w:right w:val="single" w:sz="8" w:space="0" w:color="auto"/>
            </w:tcBorders>
          </w:tcPr>
          <w:p w14:paraId="47817FDE" w14:textId="191D1089" w:rsidR="005A0025" w:rsidRPr="543832D4" w:rsidRDefault="005A0025" w:rsidP="005A0025">
            <w:pPr>
              <w:rPr>
                <w:rFonts w:ascii="Calibri" w:eastAsia="Calibri" w:hAnsi="Calibri" w:cs="Calibri"/>
              </w:rPr>
            </w:pPr>
            <w:r w:rsidRPr="543832D4">
              <w:rPr>
                <w:rFonts w:ascii="Calibri" w:eastAsia="Calibri" w:hAnsi="Calibri" w:cs="Calibri"/>
              </w:rPr>
              <w:t>Hides and skin</w:t>
            </w:r>
            <w:r>
              <w:rPr>
                <w:rFonts w:ascii="Calibri" w:eastAsia="Calibri" w:hAnsi="Calibri" w:cs="Calibri"/>
              </w:rPr>
              <w:t>s</w:t>
            </w:r>
          </w:p>
        </w:tc>
        <w:tc>
          <w:tcPr>
            <w:tcW w:w="992" w:type="dxa"/>
            <w:tcBorders>
              <w:top w:val="single" w:sz="8" w:space="0" w:color="auto"/>
              <w:left w:val="single" w:sz="8" w:space="0" w:color="auto"/>
              <w:bottom w:val="single" w:sz="8" w:space="0" w:color="auto"/>
              <w:right w:val="single" w:sz="8" w:space="0" w:color="auto"/>
            </w:tcBorders>
          </w:tcPr>
          <w:p w14:paraId="4E135079" w14:textId="0B101DD5" w:rsidR="005A0025" w:rsidRDefault="005A0025" w:rsidP="005A0025">
            <w:r>
              <w:t>41</w:t>
            </w:r>
          </w:p>
        </w:tc>
        <w:tc>
          <w:tcPr>
            <w:tcW w:w="992" w:type="dxa"/>
            <w:tcBorders>
              <w:top w:val="single" w:sz="8" w:space="0" w:color="auto"/>
              <w:left w:val="single" w:sz="8" w:space="0" w:color="auto"/>
              <w:bottom w:val="single" w:sz="8" w:space="0" w:color="auto"/>
              <w:right w:val="single" w:sz="8" w:space="0" w:color="auto"/>
            </w:tcBorders>
          </w:tcPr>
          <w:p w14:paraId="56031037" w14:textId="57F0C5AB" w:rsidR="005A0025" w:rsidRDefault="005A0025" w:rsidP="005A0025">
            <w:r>
              <w:t xml:space="preserve">0-10 </w:t>
            </w:r>
          </w:p>
        </w:tc>
        <w:tc>
          <w:tcPr>
            <w:tcW w:w="1276" w:type="dxa"/>
            <w:tcBorders>
              <w:top w:val="single" w:sz="8" w:space="0" w:color="auto"/>
              <w:left w:val="single" w:sz="8" w:space="0" w:color="auto"/>
              <w:bottom w:val="single" w:sz="8" w:space="0" w:color="auto"/>
              <w:right w:val="single" w:sz="8" w:space="0" w:color="auto"/>
            </w:tcBorders>
          </w:tcPr>
          <w:p w14:paraId="4B0B87B6" w14:textId="3690F2B8" w:rsidR="005A0025" w:rsidRDefault="005A0025" w:rsidP="005A0025">
            <w:r>
              <w:t>25/40/100</w:t>
            </w:r>
          </w:p>
        </w:tc>
        <w:tc>
          <w:tcPr>
            <w:tcW w:w="1701" w:type="dxa"/>
            <w:tcBorders>
              <w:top w:val="single" w:sz="8" w:space="0" w:color="auto"/>
              <w:left w:val="single" w:sz="8" w:space="0" w:color="auto"/>
              <w:bottom w:val="single" w:sz="8" w:space="0" w:color="auto"/>
              <w:right w:val="single" w:sz="8" w:space="0" w:color="auto"/>
            </w:tcBorders>
          </w:tcPr>
          <w:p w14:paraId="4E91FB27" w14:textId="79800FCD" w:rsidR="005A0025" w:rsidRDefault="005A0025" w:rsidP="005A0025">
            <w:r>
              <w:t>6 / 669</w:t>
            </w:r>
          </w:p>
        </w:tc>
        <w:tc>
          <w:tcPr>
            <w:tcW w:w="3119" w:type="dxa"/>
            <w:tcBorders>
              <w:top w:val="single" w:sz="8" w:space="0" w:color="auto"/>
              <w:left w:val="single" w:sz="8" w:space="0" w:color="auto"/>
              <w:bottom w:val="single" w:sz="8" w:space="0" w:color="auto"/>
              <w:right w:val="single" w:sz="8" w:space="0" w:color="auto"/>
            </w:tcBorders>
          </w:tcPr>
          <w:p w14:paraId="515CD398" w14:textId="40EB13EC" w:rsidR="005A0025" w:rsidRDefault="005A0025" w:rsidP="005A0025">
            <w:r>
              <w:t xml:space="preserve">EIF </w:t>
            </w:r>
          </w:p>
        </w:tc>
      </w:tr>
      <w:tr w:rsidR="005A0025" w14:paraId="3B47FFC7" w14:textId="77777777" w:rsidTr="0062202D">
        <w:tc>
          <w:tcPr>
            <w:tcW w:w="1702" w:type="dxa"/>
            <w:tcBorders>
              <w:top w:val="single" w:sz="8" w:space="0" w:color="auto"/>
              <w:left w:val="single" w:sz="8" w:space="0" w:color="auto"/>
              <w:bottom w:val="single" w:sz="8" w:space="0" w:color="auto"/>
              <w:right w:val="single" w:sz="8" w:space="0" w:color="auto"/>
            </w:tcBorders>
          </w:tcPr>
          <w:p w14:paraId="7AA41640" w14:textId="44B33052" w:rsidR="005A0025" w:rsidRPr="543832D4" w:rsidRDefault="005A0025" w:rsidP="005A0025">
            <w:pPr>
              <w:rPr>
                <w:rFonts w:ascii="Calibri" w:eastAsia="Calibri" w:hAnsi="Calibri" w:cs="Calibri"/>
              </w:rPr>
            </w:pPr>
            <w:r w:rsidRPr="543832D4">
              <w:rPr>
                <w:rFonts w:ascii="Calibri" w:eastAsia="Calibri" w:hAnsi="Calibri" w:cs="Calibri"/>
              </w:rPr>
              <w:t>Beans</w:t>
            </w:r>
          </w:p>
        </w:tc>
        <w:tc>
          <w:tcPr>
            <w:tcW w:w="992" w:type="dxa"/>
            <w:tcBorders>
              <w:top w:val="single" w:sz="8" w:space="0" w:color="auto"/>
              <w:left w:val="single" w:sz="8" w:space="0" w:color="auto"/>
              <w:bottom w:val="single" w:sz="8" w:space="0" w:color="auto"/>
              <w:right w:val="single" w:sz="8" w:space="0" w:color="auto"/>
            </w:tcBorders>
          </w:tcPr>
          <w:p w14:paraId="03F68AE4" w14:textId="4DD0C1D0" w:rsidR="005A0025" w:rsidRPr="543832D4" w:rsidRDefault="005A0025" w:rsidP="005A0025">
            <w:pPr>
              <w:rPr>
                <w:rFonts w:ascii="Calibri" w:eastAsia="Calibri" w:hAnsi="Calibri" w:cs="Calibri"/>
              </w:rPr>
            </w:pPr>
            <w:r>
              <w:t>071331 to 071339</w:t>
            </w:r>
          </w:p>
        </w:tc>
        <w:tc>
          <w:tcPr>
            <w:tcW w:w="992" w:type="dxa"/>
            <w:tcBorders>
              <w:top w:val="single" w:sz="8" w:space="0" w:color="auto"/>
              <w:left w:val="single" w:sz="8" w:space="0" w:color="auto"/>
              <w:bottom w:val="single" w:sz="8" w:space="0" w:color="auto"/>
              <w:right w:val="single" w:sz="8" w:space="0" w:color="auto"/>
            </w:tcBorders>
          </w:tcPr>
          <w:p w14:paraId="243B0733" w14:textId="156826AB" w:rsidR="005A0025" w:rsidRPr="543832D4" w:rsidRDefault="005A0025" w:rsidP="005A0025">
            <w:pPr>
              <w:rPr>
                <w:rFonts w:ascii="Calibri" w:eastAsia="Calibri" w:hAnsi="Calibri" w:cs="Calibri"/>
              </w:rPr>
            </w:pPr>
            <w:r>
              <w:t>0/</w:t>
            </w:r>
          </w:p>
        </w:tc>
        <w:tc>
          <w:tcPr>
            <w:tcW w:w="1276" w:type="dxa"/>
            <w:tcBorders>
              <w:top w:val="single" w:sz="8" w:space="0" w:color="auto"/>
              <w:left w:val="single" w:sz="8" w:space="0" w:color="auto"/>
              <w:bottom w:val="single" w:sz="8" w:space="0" w:color="auto"/>
              <w:right w:val="single" w:sz="8" w:space="0" w:color="auto"/>
            </w:tcBorders>
          </w:tcPr>
          <w:p w14:paraId="14815167" w14:textId="546ED78C" w:rsidR="005A0025" w:rsidRDefault="005A0025" w:rsidP="005A0025">
            <w:r>
              <w:t>100</w:t>
            </w:r>
          </w:p>
        </w:tc>
        <w:tc>
          <w:tcPr>
            <w:tcW w:w="1701" w:type="dxa"/>
            <w:tcBorders>
              <w:top w:val="single" w:sz="8" w:space="0" w:color="auto"/>
              <w:left w:val="single" w:sz="8" w:space="0" w:color="auto"/>
              <w:bottom w:val="single" w:sz="8" w:space="0" w:color="auto"/>
              <w:right w:val="single" w:sz="8" w:space="0" w:color="auto"/>
            </w:tcBorders>
          </w:tcPr>
          <w:p w14:paraId="078FF61D" w14:textId="3788C17C" w:rsidR="005A0025" w:rsidRPr="543832D4" w:rsidRDefault="005A0025" w:rsidP="005A0025">
            <w:pPr>
              <w:rPr>
                <w:rFonts w:ascii="Calibri" w:eastAsia="Calibri" w:hAnsi="Calibri" w:cs="Calibri"/>
              </w:rPr>
            </w:pPr>
            <w:r>
              <w:t>5 / 591</w:t>
            </w:r>
          </w:p>
        </w:tc>
        <w:tc>
          <w:tcPr>
            <w:tcW w:w="3119" w:type="dxa"/>
            <w:tcBorders>
              <w:top w:val="single" w:sz="8" w:space="0" w:color="auto"/>
              <w:left w:val="single" w:sz="8" w:space="0" w:color="auto"/>
              <w:bottom w:val="single" w:sz="8" w:space="0" w:color="auto"/>
              <w:right w:val="single" w:sz="8" w:space="0" w:color="auto"/>
            </w:tcBorders>
          </w:tcPr>
          <w:p w14:paraId="7E6C1603" w14:textId="77777777" w:rsidR="005A0025" w:rsidRDefault="005A0025" w:rsidP="005A0025">
            <w:r>
              <w:t>7 years</w:t>
            </w:r>
          </w:p>
          <w:p w14:paraId="38E16E0F" w14:textId="2F6F6120" w:rsidR="005A0025" w:rsidRPr="543832D4" w:rsidRDefault="005A0025" w:rsidP="005A0025">
            <w:pPr>
              <w:rPr>
                <w:rFonts w:ascii="Calibri" w:eastAsia="Calibri" w:hAnsi="Calibri" w:cs="Calibri"/>
              </w:rPr>
            </w:pPr>
            <w:r>
              <w:t xml:space="preserve">Excluded for 071331 - Beans </w:t>
            </w:r>
            <w:proofErr w:type="gramStart"/>
            <w:r>
              <w:t>Of</w:t>
            </w:r>
            <w:proofErr w:type="gramEnd"/>
            <w:r>
              <w:t xml:space="preserve"> The </w:t>
            </w:r>
            <w:proofErr w:type="spellStart"/>
            <w:r>
              <w:t>Spp</w:t>
            </w:r>
            <w:proofErr w:type="spellEnd"/>
            <w:r>
              <w:t xml:space="preserve"> Vigna Mungo and Radiata</w:t>
            </w:r>
          </w:p>
        </w:tc>
      </w:tr>
      <w:tr w:rsidR="005A0025" w14:paraId="65F3467F" w14:textId="77777777" w:rsidTr="0062202D">
        <w:tc>
          <w:tcPr>
            <w:tcW w:w="1702" w:type="dxa"/>
            <w:tcBorders>
              <w:top w:val="single" w:sz="8" w:space="0" w:color="auto"/>
              <w:left w:val="single" w:sz="8" w:space="0" w:color="auto"/>
              <w:bottom w:val="single" w:sz="8" w:space="0" w:color="auto"/>
              <w:right w:val="single" w:sz="8" w:space="0" w:color="auto"/>
            </w:tcBorders>
          </w:tcPr>
          <w:p w14:paraId="542C5653" w14:textId="015C6229" w:rsidR="005A0025" w:rsidRPr="543832D4" w:rsidRDefault="005A0025" w:rsidP="005A0025">
            <w:pPr>
              <w:rPr>
                <w:rFonts w:ascii="Calibri" w:eastAsia="Calibri" w:hAnsi="Calibri" w:cs="Calibri"/>
              </w:rPr>
            </w:pPr>
            <w:r w:rsidRPr="543832D4">
              <w:rPr>
                <w:rFonts w:ascii="Calibri" w:eastAsia="Calibri" w:hAnsi="Calibri" w:cs="Calibri"/>
              </w:rPr>
              <w:t>Wheat</w:t>
            </w:r>
          </w:p>
        </w:tc>
        <w:tc>
          <w:tcPr>
            <w:tcW w:w="992" w:type="dxa"/>
            <w:tcBorders>
              <w:top w:val="single" w:sz="8" w:space="0" w:color="auto"/>
              <w:left w:val="single" w:sz="8" w:space="0" w:color="auto"/>
              <w:bottom w:val="single" w:sz="8" w:space="0" w:color="auto"/>
              <w:right w:val="single" w:sz="8" w:space="0" w:color="auto"/>
            </w:tcBorders>
          </w:tcPr>
          <w:p w14:paraId="43F8909C" w14:textId="502E6A34" w:rsidR="005A0025" w:rsidRPr="543832D4" w:rsidRDefault="005A0025" w:rsidP="005A0025">
            <w:pPr>
              <w:rPr>
                <w:rFonts w:ascii="Calibri" w:eastAsia="Calibri" w:hAnsi="Calibri" w:cs="Calibri"/>
              </w:rPr>
            </w:pPr>
            <w:r w:rsidRPr="543832D4">
              <w:rPr>
                <w:rFonts w:ascii="Calibri" w:eastAsia="Calibri" w:hAnsi="Calibri" w:cs="Calibri"/>
              </w:rPr>
              <w:t>1001</w:t>
            </w:r>
          </w:p>
        </w:tc>
        <w:tc>
          <w:tcPr>
            <w:tcW w:w="992" w:type="dxa"/>
            <w:tcBorders>
              <w:top w:val="single" w:sz="8" w:space="0" w:color="auto"/>
              <w:left w:val="single" w:sz="8" w:space="0" w:color="auto"/>
              <w:bottom w:val="single" w:sz="8" w:space="0" w:color="auto"/>
              <w:right w:val="single" w:sz="8" w:space="0" w:color="auto"/>
            </w:tcBorders>
          </w:tcPr>
          <w:p w14:paraId="31D07E13" w14:textId="1FAD2649" w:rsidR="005A0025" w:rsidRPr="543832D4" w:rsidRDefault="005A0025" w:rsidP="005A0025">
            <w:pPr>
              <w:rPr>
                <w:rFonts w:ascii="Calibri" w:eastAsia="Calibri" w:hAnsi="Calibri" w:cs="Calibri"/>
              </w:rPr>
            </w:pPr>
            <w:r w:rsidRPr="543832D4">
              <w:rPr>
                <w:rFonts w:ascii="Calibri" w:eastAsia="Calibri" w:hAnsi="Calibri" w:cs="Calibri"/>
              </w:rPr>
              <w:t>40-100</w:t>
            </w:r>
          </w:p>
        </w:tc>
        <w:tc>
          <w:tcPr>
            <w:tcW w:w="1276" w:type="dxa"/>
            <w:tcBorders>
              <w:top w:val="single" w:sz="8" w:space="0" w:color="auto"/>
              <w:left w:val="single" w:sz="8" w:space="0" w:color="auto"/>
              <w:bottom w:val="single" w:sz="8" w:space="0" w:color="auto"/>
              <w:right w:val="single" w:sz="8" w:space="0" w:color="auto"/>
            </w:tcBorders>
          </w:tcPr>
          <w:p w14:paraId="26162FD8" w14:textId="6AE73531" w:rsidR="005A0025" w:rsidRPr="543832D4" w:rsidRDefault="008737BC" w:rsidP="005A0025">
            <w:pPr>
              <w:rPr>
                <w:rFonts w:ascii="Calibri" w:eastAsia="Calibri" w:hAnsi="Calibri" w:cs="Calibri"/>
              </w:rPr>
            </w:pPr>
            <w:r>
              <w:rPr>
                <w:rFonts w:ascii="Calibri" w:eastAsia="Calibri" w:hAnsi="Calibri" w:cs="Calibri"/>
              </w:rPr>
              <w:t>80/100</w:t>
            </w:r>
          </w:p>
        </w:tc>
        <w:tc>
          <w:tcPr>
            <w:tcW w:w="1701" w:type="dxa"/>
            <w:tcBorders>
              <w:top w:val="single" w:sz="8" w:space="0" w:color="auto"/>
              <w:left w:val="single" w:sz="8" w:space="0" w:color="auto"/>
              <w:bottom w:val="single" w:sz="8" w:space="0" w:color="auto"/>
              <w:right w:val="single" w:sz="8" w:space="0" w:color="auto"/>
            </w:tcBorders>
          </w:tcPr>
          <w:p w14:paraId="26816ABB" w14:textId="1473825F" w:rsidR="005A0025" w:rsidRPr="543832D4" w:rsidRDefault="005A0025" w:rsidP="005A0025">
            <w:pPr>
              <w:rPr>
                <w:rFonts w:ascii="Calibri" w:eastAsia="Calibri" w:hAnsi="Calibri" w:cs="Calibri"/>
              </w:rPr>
            </w:pPr>
            <w:r w:rsidRPr="543832D4">
              <w:rPr>
                <w:rFonts w:ascii="Calibri" w:eastAsia="Calibri" w:hAnsi="Calibri" w:cs="Calibri"/>
              </w:rPr>
              <w:t xml:space="preserve">4 / </w:t>
            </w:r>
            <w:r>
              <w:rPr>
                <w:rFonts w:ascii="Calibri" w:eastAsia="Calibri" w:hAnsi="Calibri" w:cs="Calibri"/>
              </w:rPr>
              <w:t>10</w:t>
            </w:r>
            <w:r w:rsidRPr="543832D4">
              <w:rPr>
                <w:rFonts w:ascii="Calibri" w:eastAsia="Calibri" w:hAnsi="Calibri" w:cs="Calibri"/>
              </w:rPr>
              <w:t xml:space="preserve"> – mainly Wheat (excl. seed for sowing, and durum wheat)</w:t>
            </w:r>
          </w:p>
        </w:tc>
        <w:tc>
          <w:tcPr>
            <w:tcW w:w="3119" w:type="dxa"/>
            <w:tcBorders>
              <w:top w:val="single" w:sz="8" w:space="0" w:color="auto"/>
              <w:left w:val="single" w:sz="8" w:space="0" w:color="auto"/>
              <w:bottom w:val="single" w:sz="8" w:space="0" w:color="auto"/>
              <w:right w:val="single" w:sz="8" w:space="0" w:color="auto"/>
            </w:tcBorders>
          </w:tcPr>
          <w:p w14:paraId="4DE85AE1" w14:textId="02F65592" w:rsidR="005A0025" w:rsidRPr="543832D4" w:rsidRDefault="005A0025" w:rsidP="005A0025">
            <w:pPr>
              <w:rPr>
                <w:rFonts w:ascii="Calibri" w:eastAsia="Calibri" w:hAnsi="Calibri" w:cs="Calibri"/>
              </w:rPr>
            </w:pPr>
            <w:r w:rsidRPr="543832D4">
              <w:rPr>
                <w:rFonts w:ascii="Calibri" w:eastAsia="Calibri" w:hAnsi="Calibri" w:cs="Calibri"/>
              </w:rPr>
              <w:t>Excluded</w:t>
            </w:r>
          </w:p>
        </w:tc>
      </w:tr>
      <w:tr w:rsidR="005A0025" w14:paraId="138206E2" w14:textId="77777777" w:rsidTr="0062202D">
        <w:tc>
          <w:tcPr>
            <w:tcW w:w="1702" w:type="dxa"/>
            <w:tcBorders>
              <w:top w:val="single" w:sz="8" w:space="0" w:color="auto"/>
              <w:left w:val="single" w:sz="8" w:space="0" w:color="auto"/>
              <w:bottom w:val="single" w:sz="8" w:space="0" w:color="auto"/>
              <w:right w:val="single" w:sz="8" w:space="0" w:color="auto"/>
            </w:tcBorders>
          </w:tcPr>
          <w:p w14:paraId="3AC1A379" w14:textId="66E05011" w:rsidR="005A0025" w:rsidRPr="543832D4" w:rsidRDefault="005A0025" w:rsidP="005A0025">
            <w:pPr>
              <w:rPr>
                <w:rFonts w:ascii="Calibri" w:eastAsia="Calibri" w:hAnsi="Calibri" w:cs="Calibri"/>
              </w:rPr>
            </w:pPr>
            <w:r w:rsidRPr="543832D4">
              <w:rPr>
                <w:rFonts w:ascii="Calibri" w:eastAsia="Calibri" w:hAnsi="Calibri" w:cs="Calibri"/>
              </w:rPr>
              <w:t>Oranges</w:t>
            </w:r>
          </w:p>
        </w:tc>
        <w:tc>
          <w:tcPr>
            <w:tcW w:w="992" w:type="dxa"/>
            <w:tcBorders>
              <w:top w:val="single" w:sz="8" w:space="0" w:color="auto"/>
              <w:left w:val="single" w:sz="8" w:space="0" w:color="auto"/>
              <w:bottom w:val="single" w:sz="8" w:space="0" w:color="auto"/>
              <w:right w:val="single" w:sz="8" w:space="0" w:color="auto"/>
            </w:tcBorders>
          </w:tcPr>
          <w:p w14:paraId="31A91E6B" w14:textId="466C8F91" w:rsidR="005A0025" w:rsidRDefault="005A0025" w:rsidP="005A0025">
            <w:r>
              <w:t>08051000</w:t>
            </w:r>
          </w:p>
        </w:tc>
        <w:tc>
          <w:tcPr>
            <w:tcW w:w="992" w:type="dxa"/>
            <w:tcBorders>
              <w:top w:val="single" w:sz="8" w:space="0" w:color="auto"/>
              <w:left w:val="single" w:sz="8" w:space="0" w:color="auto"/>
              <w:bottom w:val="single" w:sz="8" w:space="0" w:color="auto"/>
              <w:right w:val="single" w:sz="8" w:space="0" w:color="auto"/>
            </w:tcBorders>
          </w:tcPr>
          <w:p w14:paraId="4000B0F5" w14:textId="4B4270FD" w:rsidR="005A0025" w:rsidRDefault="005A0025" w:rsidP="005A0025">
            <w:r>
              <w:t>30</w:t>
            </w:r>
          </w:p>
        </w:tc>
        <w:tc>
          <w:tcPr>
            <w:tcW w:w="1276" w:type="dxa"/>
            <w:tcBorders>
              <w:top w:val="single" w:sz="8" w:space="0" w:color="auto"/>
              <w:left w:val="single" w:sz="8" w:space="0" w:color="auto"/>
              <w:bottom w:val="single" w:sz="8" w:space="0" w:color="auto"/>
              <w:right w:val="single" w:sz="8" w:space="0" w:color="auto"/>
            </w:tcBorders>
          </w:tcPr>
          <w:p w14:paraId="068A0EB1" w14:textId="204AAE38" w:rsidR="005A0025" w:rsidRDefault="008737BC" w:rsidP="005A0025">
            <w:r>
              <w:t>40</w:t>
            </w:r>
          </w:p>
        </w:tc>
        <w:tc>
          <w:tcPr>
            <w:tcW w:w="1701" w:type="dxa"/>
            <w:tcBorders>
              <w:top w:val="single" w:sz="8" w:space="0" w:color="auto"/>
              <w:left w:val="single" w:sz="8" w:space="0" w:color="auto"/>
              <w:bottom w:val="single" w:sz="8" w:space="0" w:color="auto"/>
              <w:right w:val="single" w:sz="8" w:space="0" w:color="auto"/>
            </w:tcBorders>
          </w:tcPr>
          <w:p w14:paraId="759188C8" w14:textId="3C070029" w:rsidR="005A0025" w:rsidRDefault="005A0025" w:rsidP="005A0025">
            <w:r>
              <w:t>4 / 54</w:t>
            </w:r>
          </w:p>
        </w:tc>
        <w:tc>
          <w:tcPr>
            <w:tcW w:w="3119" w:type="dxa"/>
            <w:vMerge w:val="restart"/>
            <w:tcBorders>
              <w:top w:val="single" w:sz="8" w:space="0" w:color="auto"/>
              <w:left w:val="single" w:sz="8" w:space="0" w:color="auto"/>
              <w:right w:val="single" w:sz="8" w:space="0" w:color="auto"/>
            </w:tcBorders>
          </w:tcPr>
          <w:p w14:paraId="4F24A565" w14:textId="0E67CDCD" w:rsidR="005A0025" w:rsidRDefault="005A0025" w:rsidP="005A0025">
            <w:r>
              <w:t>TRQ at 50% of existing MFN duty on combined 13,700 tonnes per annum</w:t>
            </w:r>
          </w:p>
          <w:p w14:paraId="6B39626E" w14:textId="3F4EEAF1" w:rsidR="005A0025" w:rsidRDefault="005A0025" w:rsidP="005A0025"/>
        </w:tc>
      </w:tr>
      <w:tr w:rsidR="005A0025" w14:paraId="138A27BA" w14:textId="77777777" w:rsidTr="0062202D">
        <w:tc>
          <w:tcPr>
            <w:tcW w:w="1702" w:type="dxa"/>
            <w:tcBorders>
              <w:top w:val="single" w:sz="8" w:space="0" w:color="auto"/>
              <w:left w:val="single" w:sz="8" w:space="0" w:color="auto"/>
              <w:bottom w:val="single" w:sz="8" w:space="0" w:color="auto"/>
              <w:right w:val="single" w:sz="8" w:space="0" w:color="auto"/>
            </w:tcBorders>
          </w:tcPr>
          <w:p w14:paraId="40E47165" w14:textId="48F7B115" w:rsidR="005A0025" w:rsidRPr="543832D4" w:rsidRDefault="005A0025" w:rsidP="005A0025">
            <w:pPr>
              <w:rPr>
                <w:rFonts w:ascii="Calibri" w:eastAsia="Calibri" w:hAnsi="Calibri" w:cs="Calibri"/>
              </w:rPr>
            </w:pPr>
            <w:r w:rsidRPr="543832D4">
              <w:rPr>
                <w:rFonts w:ascii="Calibri" w:eastAsia="Calibri" w:hAnsi="Calibri" w:cs="Calibri"/>
              </w:rPr>
              <w:lastRenderedPageBreak/>
              <w:t>Mandarins</w:t>
            </w:r>
          </w:p>
        </w:tc>
        <w:tc>
          <w:tcPr>
            <w:tcW w:w="992" w:type="dxa"/>
            <w:tcBorders>
              <w:top w:val="single" w:sz="8" w:space="0" w:color="auto"/>
              <w:left w:val="single" w:sz="8" w:space="0" w:color="auto"/>
              <w:bottom w:val="single" w:sz="8" w:space="0" w:color="auto"/>
              <w:right w:val="single" w:sz="8" w:space="0" w:color="auto"/>
            </w:tcBorders>
          </w:tcPr>
          <w:p w14:paraId="16DF01D1" w14:textId="61514546" w:rsidR="005A0025" w:rsidRPr="543832D4" w:rsidRDefault="005A0025" w:rsidP="005A0025">
            <w:pPr>
              <w:rPr>
                <w:rFonts w:ascii="Calibri" w:eastAsia="Calibri" w:hAnsi="Calibri" w:cs="Calibri"/>
              </w:rPr>
            </w:pPr>
            <w:r w:rsidRPr="543832D4">
              <w:rPr>
                <w:rFonts w:ascii="Calibri" w:eastAsia="Calibri" w:hAnsi="Calibri" w:cs="Calibri"/>
              </w:rPr>
              <w:t>08052100</w:t>
            </w:r>
          </w:p>
        </w:tc>
        <w:tc>
          <w:tcPr>
            <w:tcW w:w="992" w:type="dxa"/>
            <w:tcBorders>
              <w:top w:val="single" w:sz="8" w:space="0" w:color="auto"/>
              <w:left w:val="single" w:sz="8" w:space="0" w:color="auto"/>
              <w:bottom w:val="single" w:sz="8" w:space="0" w:color="auto"/>
              <w:right w:val="single" w:sz="8" w:space="0" w:color="auto"/>
            </w:tcBorders>
          </w:tcPr>
          <w:p w14:paraId="04556567" w14:textId="05DB75AF" w:rsidR="005A0025" w:rsidRPr="543832D4" w:rsidRDefault="005A0025" w:rsidP="005A0025">
            <w:pPr>
              <w:rPr>
                <w:rFonts w:ascii="Calibri" w:eastAsia="Calibri" w:hAnsi="Calibri" w:cs="Calibri"/>
              </w:rPr>
            </w:pPr>
            <w:r w:rsidRPr="543832D4">
              <w:rPr>
                <w:rFonts w:ascii="Calibri" w:eastAsia="Calibri" w:hAnsi="Calibri" w:cs="Calibri"/>
              </w:rPr>
              <w:t>30</w:t>
            </w:r>
          </w:p>
        </w:tc>
        <w:tc>
          <w:tcPr>
            <w:tcW w:w="1276" w:type="dxa"/>
            <w:tcBorders>
              <w:top w:val="single" w:sz="8" w:space="0" w:color="auto"/>
              <w:left w:val="single" w:sz="8" w:space="0" w:color="auto"/>
              <w:bottom w:val="single" w:sz="8" w:space="0" w:color="auto"/>
              <w:right w:val="single" w:sz="8" w:space="0" w:color="auto"/>
            </w:tcBorders>
          </w:tcPr>
          <w:p w14:paraId="49902E80" w14:textId="2F659155" w:rsidR="005A0025" w:rsidRPr="543832D4" w:rsidRDefault="008737BC" w:rsidP="005A0025">
            <w:pPr>
              <w:rPr>
                <w:rFonts w:ascii="Calibri" w:eastAsia="Calibri" w:hAnsi="Calibri" w:cs="Calibri"/>
              </w:rPr>
            </w:pPr>
            <w:r>
              <w:rPr>
                <w:rFonts w:ascii="Calibri" w:eastAsia="Calibri" w:hAnsi="Calibri" w:cs="Calibri"/>
              </w:rPr>
              <w:t>100</w:t>
            </w:r>
          </w:p>
        </w:tc>
        <w:tc>
          <w:tcPr>
            <w:tcW w:w="1701" w:type="dxa"/>
            <w:tcBorders>
              <w:top w:val="single" w:sz="8" w:space="0" w:color="auto"/>
              <w:left w:val="single" w:sz="8" w:space="0" w:color="auto"/>
              <w:bottom w:val="single" w:sz="8" w:space="0" w:color="auto"/>
              <w:right w:val="single" w:sz="8" w:space="0" w:color="auto"/>
            </w:tcBorders>
          </w:tcPr>
          <w:p w14:paraId="5B1FD5EA" w14:textId="5198059A" w:rsidR="005A0025" w:rsidRPr="543832D4" w:rsidRDefault="005A0025" w:rsidP="005A0025">
            <w:pPr>
              <w:rPr>
                <w:rFonts w:ascii="Calibri" w:eastAsia="Calibri" w:hAnsi="Calibri" w:cs="Calibri"/>
              </w:rPr>
            </w:pPr>
            <w:r w:rsidRPr="543832D4">
              <w:rPr>
                <w:rFonts w:ascii="Calibri" w:eastAsia="Calibri" w:hAnsi="Calibri" w:cs="Calibri"/>
              </w:rPr>
              <w:t xml:space="preserve">1 / </w:t>
            </w:r>
            <w:r>
              <w:rPr>
                <w:rFonts w:ascii="Calibri" w:eastAsia="Calibri" w:hAnsi="Calibri" w:cs="Calibri"/>
              </w:rPr>
              <w:t>3</w:t>
            </w:r>
          </w:p>
        </w:tc>
        <w:tc>
          <w:tcPr>
            <w:tcW w:w="3119" w:type="dxa"/>
            <w:vMerge/>
            <w:tcBorders>
              <w:left w:val="single" w:sz="8" w:space="0" w:color="auto"/>
              <w:bottom w:val="single" w:sz="8" w:space="0" w:color="auto"/>
              <w:right w:val="single" w:sz="8" w:space="0" w:color="auto"/>
            </w:tcBorders>
          </w:tcPr>
          <w:p w14:paraId="6F5E665E" w14:textId="2620B0A0" w:rsidR="005A0025" w:rsidRPr="543832D4" w:rsidRDefault="005A0025" w:rsidP="005A0025">
            <w:pPr>
              <w:rPr>
                <w:rFonts w:ascii="Calibri" w:eastAsia="Calibri" w:hAnsi="Calibri" w:cs="Calibri"/>
              </w:rPr>
            </w:pPr>
          </w:p>
        </w:tc>
      </w:tr>
      <w:tr w:rsidR="005A0025" w14:paraId="7BB33F31" w14:textId="77777777" w:rsidTr="0062202D">
        <w:tc>
          <w:tcPr>
            <w:tcW w:w="1702" w:type="dxa"/>
            <w:tcBorders>
              <w:top w:val="single" w:sz="8" w:space="0" w:color="auto"/>
              <w:left w:val="single" w:sz="8" w:space="0" w:color="auto"/>
              <w:bottom w:val="single" w:sz="8" w:space="0" w:color="auto"/>
              <w:right w:val="single" w:sz="8" w:space="0" w:color="auto"/>
            </w:tcBorders>
          </w:tcPr>
          <w:p w14:paraId="34D8C97E" w14:textId="2015B998" w:rsidR="005A0025" w:rsidRPr="543832D4" w:rsidRDefault="005A0025" w:rsidP="005A0025">
            <w:pPr>
              <w:rPr>
                <w:rFonts w:ascii="Calibri" w:eastAsia="Calibri" w:hAnsi="Calibri" w:cs="Calibri"/>
              </w:rPr>
            </w:pPr>
            <w:r w:rsidRPr="543832D4">
              <w:rPr>
                <w:rFonts w:ascii="Calibri" w:eastAsia="Calibri" w:hAnsi="Calibri" w:cs="Calibri"/>
              </w:rPr>
              <w:t>Chickpeas</w:t>
            </w:r>
          </w:p>
        </w:tc>
        <w:tc>
          <w:tcPr>
            <w:tcW w:w="992" w:type="dxa"/>
            <w:tcBorders>
              <w:top w:val="single" w:sz="8" w:space="0" w:color="auto"/>
              <w:left w:val="single" w:sz="8" w:space="0" w:color="auto"/>
              <w:bottom w:val="single" w:sz="8" w:space="0" w:color="auto"/>
              <w:right w:val="single" w:sz="8" w:space="0" w:color="auto"/>
            </w:tcBorders>
          </w:tcPr>
          <w:p w14:paraId="7BB6AD34" w14:textId="7C7DB430" w:rsidR="005A0025" w:rsidRPr="543832D4" w:rsidRDefault="005A0025" w:rsidP="005A0025">
            <w:pPr>
              <w:rPr>
                <w:rFonts w:ascii="Calibri" w:eastAsia="Calibri" w:hAnsi="Calibri" w:cs="Calibri"/>
              </w:rPr>
            </w:pPr>
            <w:r>
              <w:t>07132020</w:t>
            </w:r>
          </w:p>
        </w:tc>
        <w:tc>
          <w:tcPr>
            <w:tcW w:w="992" w:type="dxa"/>
            <w:tcBorders>
              <w:top w:val="single" w:sz="8" w:space="0" w:color="auto"/>
              <w:left w:val="single" w:sz="8" w:space="0" w:color="auto"/>
              <w:bottom w:val="single" w:sz="8" w:space="0" w:color="auto"/>
              <w:right w:val="single" w:sz="8" w:space="0" w:color="auto"/>
            </w:tcBorders>
          </w:tcPr>
          <w:p w14:paraId="2A1F9A34" w14:textId="501BCDEB" w:rsidR="005A0025" w:rsidRPr="543832D4" w:rsidRDefault="005A0025" w:rsidP="005A0025">
            <w:pPr>
              <w:rPr>
                <w:rFonts w:ascii="Calibri" w:eastAsia="Calibri" w:hAnsi="Calibri" w:cs="Calibri"/>
              </w:rPr>
            </w:pPr>
            <w:r>
              <w:t>60</w:t>
            </w:r>
          </w:p>
        </w:tc>
        <w:tc>
          <w:tcPr>
            <w:tcW w:w="1276" w:type="dxa"/>
            <w:tcBorders>
              <w:top w:val="single" w:sz="8" w:space="0" w:color="auto"/>
              <w:left w:val="single" w:sz="8" w:space="0" w:color="auto"/>
              <w:bottom w:val="single" w:sz="8" w:space="0" w:color="auto"/>
              <w:right w:val="single" w:sz="8" w:space="0" w:color="auto"/>
            </w:tcBorders>
          </w:tcPr>
          <w:p w14:paraId="40303D95" w14:textId="2F182D88" w:rsidR="005A0025" w:rsidRDefault="008737BC" w:rsidP="005A0025">
            <w:r>
              <w:t>100</w:t>
            </w:r>
          </w:p>
        </w:tc>
        <w:tc>
          <w:tcPr>
            <w:tcW w:w="1701" w:type="dxa"/>
            <w:tcBorders>
              <w:top w:val="single" w:sz="8" w:space="0" w:color="auto"/>
              <w:left w:val="single" w:sz="8" w:space="0" w:color="auto"/>
              <w:bottom w:val="single" w:sz="8" w:space="0" w:color="auto"/>
              <w:right w:val="single" w:sz="8" w:space="0" w:color="auto"/>
            </w:tcBorders>
          </w:tcPr>
          <w:p w14:paraId="196B8F8A" w14:textId="7FFE4B9A" w:rsidR="005A0025" w:rsidRPr="543832D4" w:rsidRDefault="005A0025" w:rsidP="005A0025">
            <w:pPr>
              <w:rPr>
                <w:rFonts w:ascii="Calibri" w:eastAsia="Calibri" w:hAnsi="Calibri" w:cs="Calibri"/>
              </w:rPr>
            </w:pPr>
            <w:r>
              <w:t>2 / 120</w:t>
            </w:r>
          </w:p>
        </w:tc>
        <w:tc>
          <w:tcPr>
            <w:tcW w:w="3119" w:type="dxa"/>
            <w:tcBorders>
              <w:top w:val="single" w:sz="8" w:space="0" w:color="auto"/>
              <w:left w:val="single" w:sz="8" w:space="0" w:color="auto"/>
              <w:bottom w:val="single" w:sz="8" w:space="0" w:color="auto"/>
              <w:right w:val="single" w:sz="8" w:space="0" w:color="auto"/>
            </w:tcBorders>
          </w:tcPr>
          <w:p w14:paraId="4E6E6205" w14:textId="6383460F" w:rsidR="005A0025" w:rsidRPr="543832D4" w:rsidRDefault="005A0025" w:rsidP="005A0025">
            <w:pPr>
              <w:rPr>
                <w:rFonts w:ascii="Calibri" w:eastAsia="Calibri" w:hAnsi="Calibri" w:cs="Calibri"/>
              </w:rPr>
            </w:pPr>
            <w:r>
              <w:t>Excluded</w:t>
            </w:r>
          </w:p>
        </w:tc>
      </w:tr>
      <w:tr w:rsidR="005A0025" w14:paraId="779BFF37" w14:textId="77777777" w:rsidTr="0062202D">
        <w:tc>
          <w:tcPr>
            <w:tcW w:w="1702" w:type="dxa"/>
            <w:tcBorders>
              <w:top w:val="single" w:sz="8" w:space="0" w:color="auto"/>
              <w:left w:val="single" w:sz="8" w:space="0" w:color="auto"/>
              <w:bottom w:val="single" w:sz="8" w:space="0" w:color="auto"/>
              <w:right w:val="single" w:sz="8" w:space="0" w:color="auto"/>
            </w:tcBorders>
          </w:tcPr>
          <w:p w14:paraId="268C31CA" w14:textId="1A36AE5D" w:rsidR="005A0025" w:rsidRPr="543832D4" w:rsidRDefault="005A0025" w:rsidP="005A0025">
            <w:pPr>
              <w:rPr>
                <w:rFonts w:ascii="Calibri" w:eastAsia="Calibri" w:hAnsi="Calibri" w:cs="Calibri"/>
              </w:rPr>
            </w:pPr>
            <w:r w:rsidRPr="543832D4">
              <w:rPr>
                <w:rFonts w:ascii="Calibri" w:eastAsia="Calibri" w:hAnsi="Calibri" w:cs="Calibri"/>
              </w:rPr>
              <w:t>Sandalwood chips and dust</w:t>
            </w:r>
          </w:p>
        </w:tc>
        <w:tc>
          <w:tcPr>
            <w:tcW w:w="992" w:type="dxa"/>
            <w:tcBorders>
              <w:top w:val="single" w:sz="8" w:space="0" w:color="auto"/>
              <w:left w:val="single" w:sz="8" w:space="0" w:color="auto"/>
              <w:bottom w:val="single" w:sz="8" w:space="0" w:color="auto"/>
              <w:right w:val="single" w:sz="8" w:space="0" w:color="auto"/>
            </w:tcBorders>
          </w:tcPr>
          <w:p w14:paraId="6B5ED6F1" w14:textId="3ECBD657" w:rsidR="005A0025" w:rsidRPr="543832D4" w:rsidRDefault="005A0025" w:rsidP="005A0025">
            <w:pPr>
              <w:rPr>
                <w:rFonts w:ascii="Calibri" w:eastAsia="Calibri" w:hAnsi="Calibri" w:cs="Calibri"/>
              </w:rPr>
            </w:pPr>
            <w:r w:rsidRPr="543832D4">
              <w:rPr>
                <w:rFonts w:ascii="Calibri" w:eastAsia="Calibri" w:hAnsi="Calibri" w:cs="Calibri"/>
              </w:rPr>
              <w:t>12119050</w:t>
            </w:r>
          </w:p>
        </w:tc>
        <w:tc>
          <w:tcPr>
            <w:tcW w:w="992" w:type="dxa"/>
            <w:tcBorders>
              <w:top w:val="single" w:sz="8" w:space="0" w:color="auto"/>
              <w:left w:val="single" w:sz="8" w:space="0" w:color="auto"/>
              <w:bottom w:val="single" w:sz="8" w:space="0" w:color="auto"/>
              <w:right w:val="single" w:sz="8" w:space="0" w:color="auto"/>
            </w:tcBorders>
          </w:tcPr>
          <w:p w14:paraId="3068BD1C" w14:textId="2CEA960F" w:rsidR="005A0025" w:rsidRPr="543832D4" w:rsidRDefault="005A0025" w:rsidP="005A0025">
            <w:pPr>
              <w:rPr>
                <w:rFonts w:ascii="Calibri" w:eastAsia="Calibri" w:hAnsi="Calibri" w:cs="Calibri"/>
              </w:rPr>
            </w:pPr>
            <w:r w:rsidRPr="543832D4">
              <w:rPr>
                <w:rFonts w:ascii="Calibri" w:eastAsia="Calibri" w:hAnsi="Calibri" w:cs="Calibri"/>
              </w:rPr>
              <w:t>15</w:t>
            </w:r>
          </w:p>
        </w:tc>
        <w:tc>
          <w:tcPr>
            <w:tcW w:w="1276" w:type="dxa"/>
            <w:tcBorders>
              <w:top w:val="single" w:sz="8" w:space="0" w:color="auto"/>
              <w:left w:val="single" w:sz="8" w:space="0" w:color="auto"/>
              <w:bottom w:val="single" w:sz="8" w:space="0" w:color="auto"/>
              <w:right w:val="single" w:sz="8" w:space="0" w:color="auto"/>
            </w:tcBorders>
          </w:tcPr>
          <w:p w14:paraId="37846344" w14:textId="2DBD8A4E" w:rsidR="005A0025" w:rsidRPr="543832D4" w:rsidRDefault="008737BC" w:rsidP="005A0025">
            <w:pPr>
              <w:rPr>
                <w:rFonts w:ascii="Calibri" w:eastAsia="Calibri" w:hAnsi="Calibri" w:cs="Calibri"/>
              </w:rPr>
            </w:pPr>
            <w:r>
              <w:rPr>
                <w:rFonts w:ascii="Calibri" w:eastAsia="Calibri" w:hAnsi="Calibri" w:cs="Calibri"/>
              </w:rPr>
              <w:t>100</w:t>
            </w:r>
          </w:p>
        </w:tc>
        <w:tc>
          <w:tcPr>
            <w:tcW w:w="1701" w:type="dxa"/>
            <w:tcBorders>
              <w:top w:val="single" w:sz="8" w:space="0" w:color="auto"/>
              <w:left w:val="single" w:sz="8" w:space="0" w:color="auto"/>
              <w:bottom w:val="single" w:sz="8" w:space="0" w:color="auto"/>
              <w:right w:val="single" w:sz="8" w:space="0" w:color="auto"/>
            </w:tcBorders>
          </w:tcPr>
          <w:p w14:paraId="3D2BA1D4" w14:textId="59A7467C" w:rsidR="005A0025" w:rsidRPr="543832D4" w:rsidRDefault="005A0025" w:rsidP="005A0025">
            <w:pPr>
              <w:rPr>
                <w:rFonts w:ascii="Calibri" w:eastAsia="Calibri" w:hAnsi="Calibri" w:cs="Calibri"/>
              </w:rPr>
            </w:pPr>
            <w:r w:rsidRPr="543832D4">
              <w:rPr>
                <w:rFonts w:ascii="Calibri" w:eastAsia="Calibri" w:hAnsi="Calibri" w:cs="Calibri"/>
              </w:rPr>
              <w:t>0.8</w:t>
            </w:r>
            <w:r>
              <w:rPr>
                <w:rFonts w:ascii="Calibri" w:eastAsia="Calibri" w:hAnsi="Calibri" w:cs="Calibri"/>
              </w:rPr>
              <w:t xml:space="preserve"> </w:t>
            </w:r>
            <w:r w:rsidRPr="543832D4">
              <w:rPr>
                <w:rFonts w:ascii="Calibri" w:eastAsia="Calibri" w:hAnsi="Calibri" w:cs="Calibri"/>
              </w:rPr>
              <w:t>/</w:t>
            </w:r>
            <w:r>
              <w:rPr>
                <w:rFonts w:ascii="Calibri" w:eastAsia="Calibri" w:hAnsi="Calibri" w:cs="Calibri"/>
              </w:rPr>
              <w:t xml:space="preserve"> 2</w:t>
            </w:r>
          </w:p>
        </w:tc>
        <w:tc>
          <w:tcPr>
            <w:tcW w:w="3119" w:type="dxa"/>
            <w:tcBorders>
              <w:top w:val="single" w:sz="8" w:space="0" w:color="auto"/>
              <w:left w:val="single" w:sz="8" w:space="0" w:color="auto"/>
              <w:bottom w:val="single" w:sz="8" w:space="0" w:color="auto"/>
              <w:right w:val="single" w:sz="8" w:space="0" w:color="auto"/>
            </w:tcBorders>
          </w:tcPr>
          <w:p w14:paraId="4DEC26DE" w14:textId="077D9A01" w:rsidR="005A0025" w:rsidRPr="543832D4" w:rsidRDefault="005A0025" w:rsidP="005A0025">
            <w:pPr>
              <w:rPr>
                <w:rFonts w:ascii="Calibri" w:eastAsia="Calibri" w:hAnsi="Calibri" w:cs="Calibri"/>
              </w:rPr>
            </w:pPr>
            <w:r w:rsidRPr="543832D4">
              <w:rPr>
                <w:rFonts w:ascii="Calibri" w:eastAsia="Calibri" w:hAnsi="Calibri" w:cs="Calibri"/>
              </w:rPr>
              <w:t>7 years</w:t>
            </w:r>
          </w:p>
        </w:tc>
      </w:tr>
      <w:tr w:rsidR="005A0025" w14:paraId="1AFD982D" w14:textId="77777777" w:rsidTr="0062202D">
        <w:tc>
          <w:tcPr>
            <w:tcW w:w="1702" w:type="dxa"/>
            <w:tcBorders>
              <w:top w:val="single" w:sz="8" w:space="0" w:color="auto"/>
              <w:left w:val="single" w:sz="8" w:space="0" w:color="auto"/>
              <w:bottom w:val="single" w:sz="8" w:space="0" w:color="auto"/>
              <w:right w:val="single" w:sz="8" w:space="0" w:color="auto"/>
            </w:tcBorders>
          </w:tcPr>
          <w:p w14:paraId="3EB4D5D9" w14:textId="51FEE0A9" w:rsidR="005A0025" w:rsidRPr="543832D4" w:rsidRDefault="005A0025" w:rsidP="005A0025">
            <w:pPr>
              <w:rPr>
                <w:rFonts w:ascii="Calibri" w:eastAsia="Calibri" w:hAnsi="Calibri" w:cs="Calibri"/>
              </w:rPr>
            </w:pPr>
            <w:r w:rsidRPr="543832D4">
              <w:rPr>
                <w:rFonts w:ascii="Calibri" w:eastAsia="Calibri" w:hAnsi="Calibri" w:cs="Calibri"/>
              </w:rPr>
              <w:t>Pears</w:t>
            </w:r>
          </w:p>
        </w:tc>
        <w:tc>
          <w:tcPr>
            <w:tcW w:w="992" w:type="dxa"/>
            <w:tcBorders>
              <w:top w:val="single" w:sz="8" w:space="0" w:color="auto"/>
              <w:left w:val="single" w:sz="8" w:space="0" w:color="auto"/>
              <w:bottom w:val="single" w:sz="8" w:space="0" w:color="auto"/>
              <w:right w:val="single" w:sz="8" w:space="0" w:color="auto"/>
            </w:tcBorders>
          </w:tcPr>
          <w:p w14:paraId="3A7CB8C7" w14:textId="52769104" w:rsidR="005A0025" w:rsidRPr="543832D4" w:rsidRDefault="005A0025" w:rsidP="005A0025">
            <w:pPr>
              <w:rPr>
                <w:rFonts w:ascii="Calibri" w:eastAsia="Calibri" w:hAnsi="Calibri" w:cs="Calibri"/>
              </w:rPr>
            </w:pPr>
            <w:r>
              <w:t>08083000</w:t>
            </w:r>
          </w:p>
        </w:tc>
        <w:tc>
          <w:tcPr>
            <w:tcW w:w="992" w:type="dxa"/>
            <w:tcBorders>
              <w:top w:val="single" w:sz="8" w:space="0" w:color="auto"/>
              <w:left w:val="single" w:sz="8" w:space="0" w:color="auto"/>
              <w:bottom w:val="single" w:sz="8" w:space="0" w:color="auto"/>
              <w:right w:val="single" w:sz="8" w:space="0" w:color="auto"/>
            </w:tcBorders>
          </w:tcPr>
          <w:p w14:paraId="5DC9870D" w14:textId="3D7BBBEE" w:rsidR="005A0025" w:rsidRPr="543832D4" w:rsidRDefault="005A0025" w:rsidP="005A0025">
            <w:pPr>
              <w:rPr>
                <w:rFonts w:ascii="Calibri" w:eastAsia="Calibri" w:hAnsi="Calibri" w:cs="Calibri"/>
              </w:rPr>
            </w:pPr>
            <w:r>
              <w:t>30</w:t>
            </w:r>
          </w:p>
        </w:tc>
        <w:tc>
          <w:tcPr>
            <w:tcW w:w="1276" w:type="dxa"/>
            <w:tcBorders>
              <w:top w:val="single" w:sz="8" w:space="0" w:color="auto"/>
              <w:left w:val="single" w:sz="8" w:space="0" w:color="auto"/>
              <w:bottom w:val="single" w:sz="8" w:space="0" w:color="auto"/>
              <w:right w:val="single" w:sz="8" w:space="0" w:color="auto"/>
            </w:tcBorders>
          </w:tcPr>
          <w:p w14:paraId="0AFA31BB" w14:textId="6594B2DF" w:rsidR="005A0025" w:rsidRDefault="008737BC" w:rsidP="005A0025">
            <w:r>
              <w:t>35</w:t>
            </w:r>
          </w:p>
        </w:tc>
        <w:tc>
          <w:tcPr>
            <w:tcW w:w="1701" w:type="dxa"/>
            <w:tcBorders>
              <w:top w:val="single" w:sz="8" w:space="0" w:color="auto"/>
              <w:left w:val="single" w:sz="8" w:space="0" w:color="auto"/>
              <w:bottom w:val="single" w:sz="8" w:space="0" w:color="auto"/>
              <w:right w:val="single" w:sz="8" w:space="0" w:color="auto"/>
            </w:tcBorders>
          </w:tcPr>
          <w:p w14:paraId="174EF8FC" w14:textId="4EE56CDB" w:rsidR="005A0025" w:rsidRPr="543832D4" w:rsidRDefault="005A0025" w:rsidP="005A0025">
            <w:pPr>
              <w:rPr>
                <w:rFonts w:ascii="Calibri" w:eastAsia="Calibri" w:hAnsi="Calibri" w:cs="Calibri"/>
              </w:rPr>
            </w:pPr>
            <w:r>
              <w:t>0.5 / 30</w:t>
            </w:r>
          </w:p>
        </w:tc>
        <w:tc>
          <w:tcPr>
            <w:tcW w:w="3119" w:type="dxa"/>
            <w:tcBorders>
              <w:top w:val="single" w:sz="8" w:space="0" w:color="auto"/>
              <w:left w:val="single" w:sz="8" w:space="0" w:color="auto"/>
              <w:bottom w:val="single" w:sz="8" w:space="0" w:color="auto"/>
              <w:right w:val="single" w:sz="8" w:space="0" w:color="auto"/>
            </w:tcBorders>
          </w:tcPr>
          <w:p w14:paraId="4BB2874E" w14:textId="528DF93B" w:rsidR="005A0025" w:rsidRPr="543832D4" w:rsidRDefault="005A0025" w:rsidP="005A0025">
            <w:pPr>
              <w:rPr>
                <w:rFonts w:ascii="Calibri" w:eastAsia="Calibri" w:hAnsi="Calibri" w:cs="Calibri"/>
              </w:rPr>
            </w:pPr>
            <w:r>
              <w:t>TRQ at 50% of existing MFN duty on 3,700 tonnes per annum</w:t>
            </w:r>
          </w:p>
        </w:tc>
      </w:tr>
      <w:tr w:rsidR="005A0025" w14:paraId="010BDAF6" w14:textId="77777777" w:rsidTr="0062202D">
        <w:tc>
          <w:tcPr>
            <w:tcW w:w="1702" w:type="dxa"/>
            <w:tcBorders>
              <w:top w:val="single" w:sz="8" w:space="0" w:color="auto"/>
              <w:left w:val="single" w:sz="8" w:space="0" w:color="auto"/>
              <w:bottom w:val="single" w:sz="8" w:space="0" w:color="auto"/>
              <w:right w:val="single" w:sz="8" w:space="0" w:color="auto"/>
            </w:tcBorders>
          </w:tcPr>
          <w:p w14:paraId="1F7D1243" w14:textId="4DF1B122" w:rsidR="005A0025" w:rsidRPr="543832D4" w:rsidRDefault="005A0025" w:rsidP="005A0025">
            <w:pPr>
              <w:rPr>
                <w:rFonts w:ascii="Calibri" w:eastAsia="Calibri" w:hAnsi="Calibri" w:cs="Calibri"/>
              </w:rPr>
            </w:pPr>
            <w:r w:rsidRPr="543832D4">
              <w:rPr>
                <w:rFonts w:ascii="Calibri" w:eastAsia="Calibri" w:hAnsi="Calibri" w:cs="Calibri"/>
              </w:rPr>
              <w:t>Dairy</w:t>
            </w:r>
          </w:p>
        </w:tc>
        <w:tc>
          <w:tcPr>
            <w:tcW w:w="992" w:type="dxa"/>
            <w:tcBorders>
              <w:top w:val="single" w:sz="8" w:space="0" w:color="auto"/>
              <w:left w:val="single" w:sz="8" w:space="0" w:color="auto"/>
              <w:bottom w:val="single" w:sz="8" w:space="0" w:color="auto"/>
              <w:right w:val="single" w:sz="8" w:space="0" w:color="auto"/>
            </w:tcBorders>
          </w:tcPr>
          <w:p w14:paraId="1C324E0A" w14:textId="4C254569" w:rsidR="005A0025" w:rsidRDefault="005A0025" w:rsidP="005A0025">
            <w:r>
              <w:t>0401 - 0406</w:t>
            </w:r>
          </w:p>
        </w:tc>
        <w:tc>
          <w:tcPr>
            <w:tcW w:w="992" w:type="dxa"/>
            <w:tcBorders>
              <w:top w:val="single" w:sz="8" w:space="0" w:color="auto"/>
              <w:left w:val="single" w:sz="8" w:space="0" w:color="auto"/>
              <w:bottom w:val="single" w:sz="8" w:space="0" w:color="auto"/>
              <w:right w:val="single" w:sz="8" w:space="0" w:color="auto"/>
            </w:tcBorders>
          </w:tcPr>
          <w:p w14:paraId="50E883DD" w14:textId="2B9F26F3" w:rsidR="005A0025" w:rsidRDefault="005A0025" w:rsidP="005A0025">
            <w:r>
              <w:t>30-60</w:t>
            </w:r>
          </w:p>
        </w:tc>
        <w:tc>
          <w:tcPr>
            <w:tcW w:w="1276" w:type="dxa"/>
            <w:tcBorders>
              <w:top w:val="single" w:sz="8" w:space="0" w:color="auto"/>
              <w:left w:val="single" w:sz="8" w:space="0" w:color="auto"/>
              <w:bottom w:val="single" w:sz="8" w:space="0" w:color="auto"/>
              <w:right w:val="single" w:sz="8" w:space="0" w:color="auto"/>
            </w:tcBorders>
          </w:tcPr>
          <w:p w14:paraId="660CD20F" w14:textId="3542F149" w:rsidR="005A0025" w:rsidRDefault="008737BC" w:rsidP="005A0025">
            <w:r>
              <w:t>40/60/150</w:t>
            </w:r>
          </w:p>
        </w:tc>
        <w:tc>
          <w:tcPr>
            <w:tcW w:w="1701" w:type="dxa"/>
            <w:tcBorders>
              <w:top w:val="single" w:sz="8" w:space="0" w:color="auto"/>
              <w:left w:val="single" w:sz="8" w:space="0" w:color="auto"/>
              <w:bottom w:val="single" w:sz="8" w:space="0" w:color="auto"/>
              <w:right w:val="single" w:sz="8" w:space="0" w:color="auto"/>
            </w:tcBorders>
          </w:tcPr>
          <w:p w14:paraId="031791E7" w14:textId="13A5FBF1" w:rsidR="005A0025" w:rsidRDefault="005A0025" w:rsidP="005A0025">
            <w:r>
              <w:t>0.5 / 45</w:t>
            </w:r>
          </w:p>
        </w:tc>
        <w:tc>
          <w:tcPr>
            <w:tcW w:w="3119" w:type="dxa"/>
            <w:tcBorders>
              <w:top w:val="single" w:sz="8" w:space="0" w:color="auto"/>
              <w:left w:val="single" w:sz="8" w:space="0" w:color="auto"/>
              <w:bottom w:val="single" w:sz="8" w:space="0" w:color="auto"/>
              <w:right w:val="single" w:sz="8" w:space="0" w:color="auto"/>
            </w:tcBorders>
          </w:tcPr>
          <w:p w14:paraId="3A44EB83" w14:textId="6757D5F7" w:rsidR="005A0025" w:rsidRDefault="005A0025" w:rsidP="005A0025">
            <w:r>
              <w:t>Excluded</w:t>
            </w:r>
          </w:p>
        </w:tc>
      </w:tr>
      <w:tr w:rsidR="005A0025" w14:paraId="1C1374C2" w14:textId="77777777" w:rsidTr="0062202D">
        <w:tc>
          <w:tcPr>
            <w:tcW w:w="1702" w:type="dxa"/>
            <w:tcBorders>
              <w:top w:val="single" w:sz="8" w:space="0" w:color="auto"/>
              <w:left w:val="single" w:sz="8" w:space="0" w:color="auto"/>
              <w:bottom w:val="single" w:sz="8" w:space="0" w:color="auto"/>
              <w:right w:val="single" w:sz="8" w:space="0" w:color="auto"/>
            </w:tcBorders>
          </w:tcPr>
          <w:p w14:paraId="4BF235ED" w14:textId="770A66D4" w:rsidR="005A0025" w:rsidRPr="543832D4" w:rsidRDefault="005A0025" w:rsidP="005A0025">
            <w:pPr>
              <w:rPr>
                <w:rFonts w:ascii="Calibri" w:eastAsia="Calibri" w:hAnsi="Calibri" w:cs="Calibri"/>
              </w:rPr>
            </w:pPr>
            <w:r w:rsidRPr="543832D4">
              <w:rPr>
                <w:rFonts w:ascii="Calibri" w:eastAsia="Calibri" w:hAnsi="Calibri" w:cs="Calibri"/>
              </w:rPr>
              <w:t>Sheep meat</w:t>
            </w:r>
          </w:p>
        </w:tc>
        <w:tc>
          <w:tcPr>
            <w:tcW w:w="992" w:type="dxa"/>
            <w:tcBorders>
              <w:top w:val="single" w:sz="8" w:space="0" w:color="auto"/>
              <w:left w:val="single" w:sz="8" w:space="0" w:color="auto"/>
              <w:bottom w:val="single" w:sz="8" w:space="0" w:color="auto"/>
              <w:right w:val="single" w:sz="8" w:space="0" w:color="auto"/>
            </w:tcBorders>
          </w:tcPr>
          <w:p w14:paraId="260BAE99" w14:textId="6517CC06" w:rsidR="005A0025" w:rsidRPr="543832D4" w:rsidRDefault="005A0025" w:rsidP="005A0025">
            <w:pPr>
              <w:rPr>
                <w:rFonts w:ascii="Calibri" w:eastAsia="Calibri" w:hAnsi="Calibri" w:cs="Calibri"/>
              </w:rPr>
            </w:pPr>
            <w:r w:rsidRPr="543832D4">
              <w:rPr>
                <w:rFonts w:ascii="Calibri" w:eastAsia="Calibri" w:hAnsi="Calibri" w:cs="Calibri"/>
              </w:rPr>
              <w:t>0204</w:t>
            </w:r>
          </w:p>
        </w:tc>
        <w:tc>
          <w:tcPr>
            <w:tcW w:w="992" w:type="dxa"/>
            <w:tcBorders>
              <w:top w:val="single" w:sz="8" w:space="0" w:color="auto"/>
              <w:left w:val="single" w:sz="8" w:space="0" w:color="auto"/>
              <w:bottom w:val="single" w:sz="8" w:space="0" w:color="auto"/>
              <w:right w:val="single" w:sz="8" w:space="0" w:color="auto"/>
            </w:tcBorders>
          </w:tcPr>
          <w:p w14:paraId="2935F3D5" w14:textId="5CFAE981" w:rsidR="005A0025" w:rsidRPr="543832D4" w:rsidRDefault="005A0025" w:rsidP="005A0025">
            <w:pPr>
              <w:rPr>
                <w:rFonts w:ascii="Calibri" w:eastAsia="Calibri" w:hAnsi="Calibri" w:cs="Calibri"/>
              </w:rPr>
            </w:pPr>
            <w:r w:rsidRPr="543832D4">
              <w:rPr>
                <w:rFonts w:ascii="Calibri" w:eastAsia="Calibri" w:hAnsi="Calibri" w:cs="Calibri"/>
              </w:rPr>
              <w:t>30</w:t>
            </w:r>
          </w:p>
        </w:tc>
        <w:tc>
          <w:tcPr>
            <w:tcW w:w="1276" w:type="dxa"/>
            <w:tcBorders>
              <w:top w:val="single" w:sz="8" w:space="0" w:color="auto"/>
              <w:left w:val="single" w:sz="8" w:space="0" w:color="auto"/>
              <w:bottom w:val="single" w:sz="8" w:space="0" w:color="auto"/>
              <w:right w:val="single" w:sz="8" w:space="0" w:color="auto"/>
            </w:tcBorders>
          </w:tcPr>
          <w:p w14:paraId="751100C6" w14:textId="25E7B6CB" w:rsidR="005A0025" w:rsidRPr="543832D4" w:rsidRDefault="008737BC" w:rsidP="005A0025">
            <w:pPr>
              <w:rPr>
                <w:rFonts w:ascii="Calibri" w:eastAsia="Calibri" w:hAnsi="Calibri" w:cs="Calibri"/>
              </w:rPr>
            </w:pPr>
            <w:r>
              <w:rPr>
                <w:rFonts w:ascii="Calibri" w:eastAsia="Calibri" w:hAnsi="Calibri" w:cs="Calibri"/>
              </w:rPr>
              <w:t>35/100</w:t>
            </w:r>
          </w:p>
        </w:tc>
        <w:tc>
          <w:tcPr>
            <w:tcW w:w="1701" w:type="dxa"/>
            <w:tcBorders>
              <w:top w:val="single" w:sz="8" w:space="0" w:color="auto"/>
              <w:left w:val="single" w:sz="8" w:space="0" w:color="auto"/>
              <w:bottom w:val="single" w:sz="8" w:space="0" w:color="auto"/>
              <w:right w:val="single" w:sz="8" w:space="0" w:color="auto"/>
            </w:tcBorders>
          </w:tcPr>
          <w:p w14:paraId="15D7FA76" w14:textId="77907CCA" w:rsidR="005A0025" w:rsidRPr="543832D4" w:rsidRDefault="005A0025" w:rsidP="005A0025">
            <w:pPr>
              <w:rPr>
                <w:rFonts w:ascii="Calibri" w:eastAsia="Calibri" w:hAnsi="Calibri" w:cs="Calibri"/>
              </w:rPr>
            </w:pPr>
            <w:r w:rsidRPr="543832D4">
              <w:rPr>
                <w:rFonts w:ascii="Calibri" w:eastAsia="Calibri" w:hAnsi="Calibri" w:cs="Calibri"/>
              </w:rPr>
              <w:t xml:space="preserve">0.3 / </w:t>
            </w:r>
            <w:r>
              <w:rPr>
                <w:rFonts w:ascii="Calibri" w:eastAsia="Calibri" w:hAnsi="Calibri" w:cs="Calibri"/>
              </w:rPr>
              <w:t>2</w:t>
            </w:r>
          </w:p>
        </w:tc>
        <w:tc>
          <w:tcPr>
            <w:tcW w:w="3119" w:type="dxa"/>
            <w:tcBorders>
              <w:top w:val="single" w:sz="8" w:space="0" w:color="auto"/>
              <w:left w:val="single" w:sz="8" w:space="0" w:color="auto"/>
              <w:bottom w:val="single" w:sz="8" w:space="0" w:color="auto"/>
              <w:right w:val="single" w:sz="8" w:space="0" w:color="auto"/>
            </w:tcBorders>
          </w:tcPr>
          <w:p w14:paraId="19B050AB" w14:textId="520CC5C8" w:rsidR="005A0025" w:rsidRPr="543832D4" w:rsidRDefault="005A0025" w:rsidP="005A0025">
            <w:pPr>
              <w:rPr>
                <w:rFonts w:ascii="Calibri" w:eastAsia="Calibri" w:hAnsi="Calibri" w:cs="Calibri"/>
              </w:rPr>
            </w:pPr>
            <w:r w:rsidRPr="543832D4">
              <w:rPr>
                <w:rFonts w:ascii="Calibri" w:eastAsia="Calibri" w:hAnsi="Calibri" w:cs="Calibri"/>
              </w:rPr>
              <w:t>EIF</w:t>
            </w:r>
          </w:p>
        </w:tc>
      </w:tr>
      <w:tr w:rsidR="005A0025" w14:paraId="3099F659" w14:textId="77777777" w:rsidTr="0062202D">
        <w:tc>
          <w:tcPr>
            <w:tcW w:w="1702" w:type="dxa"/>
            <w:tcBorders>
              <w:top w:val="single" w:sz="8" w:space="0" w:color="auto"/>
              <w:left w:val="single" w:sz="8" w:space="0" w:color="auto"/>
              <w:bottom w:val="single" w:sz="8" w:space="0" w:color="auto"/>
              <w:right w:val="single" w:sz="8" w:space="0" w:color="auto"/>
            </w:tcBorders>
          </w:tcPr>
          <w:p w14:paraId="199C1C67" w14:textId="6115E4B8" w:rsidR="005A0025" w:rsidRDefault="005A0025" w:rsidP="005A0025">
            <w:r w:rsidRPr="543832D4">
              <w:rPr>
                <w:rFonts w:ascii="Calibri" w:eastAsia="Calibri" w:hAnsi="Calibri" w:cs="Calibri"/>
              </w:rPr>
              <w:t>Cherries</w:t>
            </w:r>
          </w:p>
        </w:tc>
        <w:tc>
          <w:tcPr>
            <w:tcW w:w="992" w:type="dxa"/>
            <w:tcBorders>
              <w:top w:val="single" w:sz="8" w:space="0" w:color="auto"/>
              <w:left w:val="single" w:sz="8" w:space="0" w:color="auto"/>
              <w:bottom w:val="single" w:sz="8" w:space="0" w:color="auto"/>
              <w:right w:val="single" w:sz="8" w:space="0" w:color="auto"/>
            </w:tcBorders>
          </w:tcPr>
          <w:p w14:paraId="39FA8A67" w14:textId="1FF458D0" w:rsidR="005A0025" w:rsidRDefault="005A0025" w:rsidP="005A0025">
            <w:r w:rsidRPr="543832D4">
              <w:rPr>
                <w:rFonts w:ascii="Calibri" w:eastAsia="Calibri" w:hAnsi="Calibri" w:cs="Calibri"/>
              </w:rPr>
              <w:t>08092900</w:t>
            </w:r>
          </w:p>
        </w:tc>
        <w:tc>
          <w:tcPr>
            <w:tcW w:w="992" w:type="dxa"/>
            <w:tcBorders>
              <w:top w:val="single" w:sz="8" w:space="0" w:color="auto"/>
              <w:left w:val="single" w:sz="8" w:space="0" w:color="auto"/>
              <w:bottom w:val="single" w:sz="8" w:space="0" w:color="auto"/>
              <w:right w:val="single" w:sz="8" w:space="0" w:color="auto"/>
            </w:tcBorders>
          </w:tcPr>
          <w:p w14:paraId="46CB74CB" w14:textId="7BFFE19A" w:rsidR="005A0025" w:rsidRDefault="005A0025" w:rsidP="005A0025">
            <w:r w:rsidRPr="543832D4">
              <w:rPr>
                <w:rFonts w:ascii="Calibri" w:eastAsia="Calibri" w:hAnsi="Calibri" w:cs="Calibri"/>
              </w:rPr>
              <w:t>30</w:t>
            </w:r>
          </w:p>
        </w:tc>
        <w:tc>
          <w:tcPr>
            <w:tcW w:w="1276" w:type="dxa"/>
            <w:tcBorders>
              <w:top w:val="single" w:sz="8" w:space="0" w:color="auto"/>
              <w:left w:val="single" w:sz="8" w:space="0" w:color="auto"/>
              <w:bottom w:val="single" w:sz="8" w:space="0" w:color="auto"/>
              <w:right w:val="single" w:sz="8" w:space="0" w:color="auto"/>
            </w:tcBorders>
          </w:tcPr>
          <w:p w14:paraId="43208C61" w14:textId="2EBC796A" w:rsidR="005A0025" w:rsidRPr="543832D4" w:rsidRDefault="008737BC" w:rsidP="005A0025">
            <w:pPr>
              <w:rPr>
                <w:rFonts w:ascii="Calibri" w:eastAsia="Calibri" w:hAnsi="Calibri" w:cs="Calibri"/>
              </w:rPr>
            </w:pPr>
            <w:r>
              <w:rPr>
                <w:rFonts w:ascii="Calibri" w:eastAsia="Calibri" w:hAnsi="Calibri" w:cs="Calibri"/>
              </w:rPr>
              <w:t>100</w:t>
            </w:r>
          </w:p>
        </w:tc>
        <w:tc>
          <w:tcPr>
            <w:tcW w:w="1701" w:type="dxa"/>
            <w:tcBorders>
              <w:top w:val="single" w:sz="8" w:space="0" w:color="auto"/>
              <w:left w:val="single" w:sz="8" w:space="0" w:color="auto"/>
              <w:bottom w:val="single" w:sz="8" w:space="0" w:color="auto"/>
              <w:right w:val="single" w:sz="8" w:space="0" w:color="auto"/>
            </w:tcBorders>
          </w:tcPr>
          <w:p w14:paraId="45C58C1F" w14:textId="7D104A2A" w:rsidR="005A0025" w:rsidRDefault="005A0025" w:rsidP="005A0025">
            <w:r w:rsidRPr="543832D4">
              <w:rPr>
                <w:rFonts w:ascii="Calibri" w:eastAsia="Calibri" w:hAnsi="Calibri" w:cs="Calibri"/>
              </w:rPr>
              <w:t>0.3</w:t>
            </w:r>
            <w:r>
              <w:rPr>
                <w:rFonts w:ascii="Calibri" w:eastAsia="Calibri" w:hAnsi="Calibri" w:cs="Calibri"/>
              </w:rPr>
              <w:t xml:space="preserve"> </w:t>
            </w:r>
            <w:r w:rsidRPr="543832D4">
              <w:rPr>
                <w:rFonts w:ascii="Calibri" w:eastAsia="Calibri" w:hAnsi="Calibri" w:cs="Calibri"/>
              </w:rPr>
              <w:t>/</w:t>
            </w:r>
            <w:r>
              <w:rPr>
                <w:rFonts w:ascii="Calibri" w:eastAsia="Calibri" w:hAnsi="Calibri" w:cs="Calibri"/>
              </w:rPr>
              <w:t xml:space="preserve"> 3</w:t>
            </w:r>
          </w:p>
        </w:tc>
        <w:tc>
          <w:tcPr>
            <w:tcW w:w="3119" w:type="dxa"/>
            <w:tcBorders>
              <w:top w:val="single" w:sz="8" w:space="0" w:color="auto"/>
              <w:left w:val="single" w:sz="8" w:space="0" w:color="auto"/>
              <w:bottom w:val="single" w:sz="8" w:space="0" w:color="auto"/>
              <w:right w:val="single" w:sz="8" w:space="0" w:color="auto"/>
            </w:tcBorders>
          </w:tcPr>
          <w:p w14:paraId="44398EB4" w14:textId="72B51862" w:rsidR="005A0025" w:rsidRDefault="005A0025" w:rsidP="005A0025">
            <w:r w:rsidRPr="543832D4">
              <w:rPr>
                <w:rFonts w:ascii="Calibri" w:eastAsia="Calibri" w:hAnsi="Calibri" w:cs="Calibri"/>
              </w:rPr>
              <w:t>7 years</w:t>
            </w:r>
          </w:p>
        </w:tc>
      </w:tr>
      <w:tr w:rsidR="005A0025" w14:paraId="30307F13" w14:textId="77777777" w:rsidTr="0062202D">
        <w:tc>
          <w:tcPr>
            <w:tcW w:w="1702" w:type="dxa"/>
            <w:tcBorders>
              <w:top w:val="single" w:sz="8" w:space="0" w:color="auto"/>
              <w:left w:val="single" w:sz="8" w:space="0" w:color="auto"/>
              <w:bottom w:val="single" w:sz="8" w:space="0" w:color="auto"/>
              <w:right w:val="single" w:sz="8" w:space="0" w:color="auto"/>
            </w:tcBorders>
          </w:tcPr>
          <w:p w14:paraId="08D5070B" w14:textId="25F34EB2" w:rsidR="005A0025" w:rsidRDefault="005A0025" w:rsidP="005A0025">
            <w:pPr>
              <w:rPr>
                <w:rFonts w:ascii="Calibri" w:eastAsia="Calibri" w:hAnsi="Calibri" w:cs="Calibri"/>
              </w:rPr>
            </w:pPr>
            <w:r>
              <w:rPr>
                <w:rFonts w:ascii="Calibri" w:eastAsia="Calibri" w:hAnsi="Calibri" w:cs="Calibri"/>
              </w:rPr>
              <w:t>Wool grease</w:t>
            </w:r>
          </w:p>
        </w:tc>
        <w:tc>
          <w:tcPr>
            <w:tcW w:w="992" w:type="dxa"/>
            <w:tcBorders>
              <w:top w:val="single" w:sz="8" w:space="0" w:color="auto"/>
              <w:left w:val="single" w:sz="8" w:space="0" w:color="auto"/>
              <w:bottom w:val="single" w:sz="8" w:space="0" w:color="auto"/>
              <w:right w:val="single" w:sz="8" w:space="0" w:color="auto"/>
            </w:tcBorders>
          </w:tcPr>
          <w:p w14:paraId="6F7BD93B" w14:textId="021EB9BE" w:rsidR="005A0025" w:rsidRDefault="005A0025" w:rsidP="005A0025">
            <w:pPr>
              <w:rPr>
                <w:rFonts w:ascii="Calibri" w:eastAsia="Calibri" w:hAnsi="Calibri" w:cs="Calibri"/>
              </w:rPr>
            </w:pPr>
            <w:r>
              <w:rPr>
                <w:rFonts w:ascii="Calibri" w:eastAsia="Calibri" w:hAnsi="Calibri" w:cs="Calibri"/>
              </w:rPr>
              <w:t>1505</w:t>
            </w:r>
          </w:p>
        </w:tc>
        <w:tc>
          <w:tcPr>
            <w:tcW w:w="992" w:type="dxa"/>
            <w:tcBorders>
              <w:top w:val="single" w:sz="8" w:space="0" w:color="auto"/>
              <w:left w:val="single" w:sz="8" w:space="0" w:color="auto"/>
              <w:bottom w:val="single" w:sz="8" w:space="0" w:color="auto"/>
              <w:right w:val="single" w:sz="8" w:space="0" w:color="auto"/>
            </w:tcBorders>
          </w:tcPr>
          <w:p w14:paraId="7D49A687" w14:textId="6FC84E8A" w:rsidR="005A0025" w:rsidRDefault="005A0025" w:rsidP="005A0025">
            <w:pPr>
              <w:rPr>
                <w:rFonts w:ascii="Calibri" w:eastAsia="Calibri" w:hAnsi="Calibri" w:cs="Calibri"/>
              </w:rPr>
            </w:pPr>
            <w:r>
              <w:rPr>
                <w:rFonts w:ascii="Calibri" w:eastAsia="Calibri" w:hAnsi="Calibri" w:cs="Calibri"/>
              </w:rPr>
              <w:t>30</w:t>
            </w:r>
          </w:p>
        </w:tc>
        <w:tc>
          <w:tcPr>
            <w:tcW w:w="1276" w:type="dxa"/>
            <w:tcBorders>
              <w:top w:val="single" w:sz="8" w:space="0" w:color="auto"/>
              <w:left w:val="single" w:sz="8" w:space="0" w:color="auto"/>
              <w:bottom w:val="single" w:sz="8" w:space="0" w:color="auto"/>
              <w:right w:val="single" w:sz="8" w:space="0" w:color="auto"/>
            </w:tcBorders>
          </w:tcPr>
          <w:p w14:paraId="346DD623" w14:textId="566ED412" w:rsidR="005A0025" w:rsidRDefault="008737BC" w:rsidP="005A0025">
            <w:pPr>
              <w:rPr>
                <w:rFonts w:ascii="Calibri" w:eastAsia="Calibri" w:hAnsi="Calibri" w:cs="Calibri"/>
              </w:rPr>
            </w:pPr>
            <w:r>
              <w:rPr>
                <w:rFonts w:ascii="Calibri" w:eastAsia="Calibri" w:hAnsi="Calibri" w:cs="Calibri"/>
              </w:rPr>
              <w:t>25/40/100</w:t>
            </w:r>
          </w:p>
        </w:tc>
        <w:tc>
          <w:tcPr>
            <w:tcW w:w="1701" w:type="dxa"/>
            <w:tcBorders>
              <w:top w:val="single" w:sz="8" w:space="0" w:color="auto"/>
              <w:left w:val="single" w:sz="8" w:space="0" w:color="auto"/>
              <w:bottom w:val="single" w:sz="8" w:space="0" w:color="auto"/>
              <w:right w:val="single" w:sz="8" w:space="0" w:color="auto"/>
            </w:tcBorders>
          </w:tcPr>
          <w:p w14:paraId="0D867578" w14:textId="74FA25F7" w:rsidR="005A0025" w:rsidRDefault="005A0025" w:rsidP="005A0025">
            <w:pPr>
              <w:rPr>
                <w:rFonts w:ascii="Calibri" w:eastAsia="Calibri" w:hAnsi="Calibri" w:cs="Calibri"/>
              </w:rPr>
            </w:pPr>
            <w:r>
              <w:rPr>
                <w:rFonts w:ascii="Calibri" w:eastAsia="Calibri" w:hAnsi="Calibri" w:cs="Calibri"/>
              </w:rPr>
              <w:t>0.2 / 2</w:t>
            </w:r>
          </w:p>
        </w:tc>
        <w:tc>
          <w:tcPr>
            <w:tcW w:w="3119" w:type="dxa"/>
            <w:tcBorders>
              <w:top w:val="single" w:sz="8" w:space="0" w:color="auto"/>
              <w:left w:val="single" w:sz="8" w:space="0" w:color="auto"/>
              <w:bottom w:val="single" w:sz="8" w:space="0" w:color="auto"/>
              <w:right w:val="single" w:sz="8" w:space="0" w:color="auto"/>
            </w:tcBorders>
          </w:tcPr>
          <w:p w14:paraId="7A5529C6" w14:textId="4D0E0B0A" w:rsidR="005A0025" w:rsidRDefault="005A0025" w:rsidP="005A0025">
            <w:pPr>
              <w:rPr>
                <w:rFonts w:ascii="Calibri" w:eastAsia="Calibri" w:hAnsi="Calibri" w:cs="Calibri"/>
              </w:rPr>
            </w:pPr>
            <w:r>
              <w:rPr>
                <w:rFonts w:ascii="Calibri" w:eastAsia="Calibri" w:hAnsi="Calibri" w:cs="Calibri"/>
              </w:rPr>
              <w:t>7 years</w:t>
            </w:r>
          </w:p>
        </w:tc>
      </w:tr>
      <w:tr w:rsidR="005A0025" w14:paraId="0DEA5BFA" w14:textId="77777777" w:rsidTr="0062202D">
        <w:tc>
          <w:tcPr>
            <w:tcW w:w="1702" w:type="dxa"/>
            <w:tcBorders>
              <w:top w:val="single" w:sz="8" w:space="0" w:color="auto"/>
              <w:left w:val="single" w:sz="8" w:space="0" w:color="auto"/>
              <w:bottom w:val="single" w:sz="8" w:space="0" w:color="auto"/>
              <w:right w:val="single" w:sz="8" w:space="0" w:color="auto"/>
            </w:tcBorders>
          </w:tcPr>
          <w:p w14:paraId="1EC0E864" w14:textId="41C43E49" w:rsidR="005A0025" w:rsidRDefault="005A0025" w:rsidP="005A0025">
            <w:r w:rsidRPr="543832D4">
              <w:rPr>
                <w:rFonts w:ascii="Calibri" w:eastAsia="Calibri" w:hAnsi="Calibri" w:cs="Calibri"/>
              </w:rPr>
              <w:t>Seafood</w:t>
            </w:r>
          </w:p>
        </w:tc>
        <w:tc>
          <w:tcPr>
            <w:tcW w:w="992" w:type="dxa"/>
            <w:tcBorders>
              <w:top w:val="single" w:sz="8" w:space="0" w:color="auto"/>
              <w:left w:val="single" w:sz="8" w:space="0" w:color="auto"/>
              <w:bottom w:val="single" w:sz="8" w:space="0" w:color="auto"/>
              <w:right w:val="single" w:sz="8" w:space="0" w:color="auto"/>
            </w:tcBorders>
          </w:tcPr>
          <w:p w14:paraId="3154FD11" w14:textId="2096554E" w:rsidR="005A0025" w:rsidRDefault="005A0025" w:rsidP="005A0025">
            <w:r w:rsidRPr="543832D4">
              <w:rPr>
                <w:rFonts w:ascii="Calibri" w:eastAsia="Calibri" w:hAnsi="Calibri" w:cs="Calibri"/>
              </w:rPr>
              <w:t>03</w:t>
            </w:r>
          </w:p>
        </w:tc>
        <w:tc>
          <w:tcPr>
            <w:tcW w:w="992" w:type="dxa"/>
            <w:tcBorders>
              <w:top w:val="single" w:sz="8" w:space="0" w:color="auto"/>
              <w:left w:val="single" w:sz="8" w:space="0" w:color="auto"/>
              <w:bottom w:val="single" w:sz="8" w:space="0" w:color="auto"/>
              <w:right w:val="single" w:sz="8" w:space="0" w:color="auto"/>
            </w:tcBorders>
          </w:tcPr>
          <w:p w14:paraId="1A04526D" w14:textId="06E27A62" w:rsidR="005A0025" w:rsidRDefault="005A0025" w:rsidP="005A0025">
            <w:r w:rsidRPr="543832D4">
              <w:rPr>
                <w:rFonts w:ascii="Calibri" w:eastAsia="Calibri" w:hAnsi="Calibri" w:cs="Calibri"/>
              </w:rPr>
              <w:t>30</w:t>
            </w:r>
          </w:p>
        </w:tc>
        <w:tc>
          <w:tcPr>
            <w:tcW w:w="1276" w:type="dxa"/>
            <w:tcBorders>
              <w:top w:val="single" w:sz="8" w:space="0" w:color="auto"/>
              <w:left w:val="single" w:sz="8" w:space="0" w:color="auto"/>
              <w:bottom w:val="single" w:sz="8" w:space="0" w:color="auto"/>
              <w:right w:val="single" w:sz="8" w:space="0" w:color="auto"/>
            </w:tcBorders>
          </w:tcPr>
          <w:p w14:paraId="0A6EC38C" w14:textId="0AA9650E" w:rsidR="005A0025" w:rsidRPr="543832D4" w:rsidRDefault="008737BC" w:rsidP="005A0025">
            <w:pPr>
              <w:rPr>
                <w:rFonts w:ascii="Calibri" w:eastAsia="Calibri" w:hAnsi="Calibri" w:cs="Calibri"/>
              </w:rPr>
            </w:pPr>
            <w:r>
              <w:rPr>
                <w:rFonts w:ascii="Calibri" w:eastAsia="Calibri" w:hAnsi="Calibri" w:cs="Calibri"/>
              </w:rPr>
              <w:t>Unbound</w:t>
            </w:r>
          </w:p>
        </w:tc>
        <w:tc>
          <w:tcPr>
            <w:tcW w:w="1701" w:type="dxa"/>
            <w:tcBorders>
              <w:top w:val="single" w:sz="8" w:space="0" w:color="auto"/>
              <w:left w:val="single" w:sz="8" w:space="0" w:color="auto"/>
              <w:bottom w:val="single" w:sz="8" w:space="0" w:color="auto"/>
              <w:right w:val="single" w:sz="8" w:space="0" w:color="auto"/>
            </w:tcBorders>
          </w:tcPr>
          <w:p w14:paraId="2A16D6CD" w14:textId="3B8F668C" w:rsidR="005A0025" w:rsidRDefault="005A0025" w:rsidP="005A0025">
            <w:r w:rsidRPr="543832D4">
              <w:rPr>
                <w:rFonts w:ascii="Calibri" w:eastAsia="Calibri" w:hAnsi="Calibri" w:cs="Calibri"/>
              </w:rPr>
              <w:t>0.05 / 16</w:t>
            </w:r>
            <w:r>
              <w:rPr>
                <w:rFonts w:ascii="Calibri" w:eastAsia="Calibri" w:hAnsi="Calibri" w:cs="Calibri"/>
              </w:rPr>
              <w:t>6</w:t>
            </w:r>
          </w:p>
        </w:tc>
        <w:tc>
          <w:tcPr>
            <w:tcW w:w="3119" w:type="dxa"/>
            <w:tcBorders>
              <w:top w:val="single" w:sz="8" w:space="0" w:color="auto"/>
              <w:left w:val="single" w:sz="8" w:space="0" w:color="auto"/>
              <w:bottom w:val="single" w:sz="8" w:space="0" w:color="auto"/>
              <w:right w:val="single" w:sz="8" w:space="0" w:color="auto"/>
            </w:tcBorders>
          </w:tcPr>
          <w:p w14:paraId="4D655AC7" w14:textId="075DDF68" w:rsidR="005A0025" w:rsidRDefault="005A0025" w:rsidP="005A0025">
            <w:r w:rsidRPr="543832D4">
              <w:rPr>
                <w:rFonts w:ascii="Calibri" w:eastAsia="Calibri" w:hAnsi="Calibri" w:cs="Calibri"/>
              </w:rPr>
              <w:t>Mainly 7 years</w:t>
            </w:r>
          </w:p>
          <w:p w14:paraId="4DC33158" w14:textId="6E5A4A12" w:rsidR="005A0025" w:rsidRDefault="00525DCE" w:rsidP="005A0025">
            <w:r>
              <w:rPr>
                <w:rFonts w:ascii="Calibri" w:eastAsia="Calibri" w:hAnsi="Calibri" w:cs="Calibri"/>
              </w:rPr>
              <w:t>Fresh r</w:t>
            </w:r>
            <w:r w:rsidR="005A0025" w:rsidRPr="543832D4">
              <w:rPr>
                <w:rFonts w:ascii="Calibri" w:eastAsia="Calibri" w:hAnsi="Calibri" w:cs="Calibri"/>
              </w:rPr>
              <w:t>ock lobsters - EIF</w:t>
            </w:r>
          </w:p>
        </w:tc>
      </w:tr>
      <w:tr w:rsidR="005A0025" w14:paraId="5267FCD5" w14:textId="77777777" w:rsidTr="0062202D">
        <w:tc>
          <w:tcPr>
            <w:tcW w:w="1702" w:type="dxa"/>
            <w:tcBorders>
              <w:top w:val="single" w:sz="8" w:space="0" w:color="auto"/>
              <w:left w:val="single" w:sz="8" w:space="0" w:color="auto"/>
              <w:bottom w:val="single" w:sz="8" w:space="0" w:color="auto"/>
              <w:right w:val="single" w:sz="8" w:space="0" w:color="auto"/>
            </w:tcBorders>
          </w:tcPr>
          <w:p w14:paraId="0E4B5DD9" w14:textId="2FB8549A" w:rsidR="005A0025" w:rsidRPr="543832D4" w:rsidRDefault="005A0025" w:rsidP="005A0025">
            <w:pPr>
              <w:rPr>
                <w:rFonts w:ascii="Calibri" w:eastAsia="Calibri" w:hAnsi="Calibri" w:cs="Calibri"/>
              </w:rPr>
            </w:pPr>
            <w:r w:rsidRPr="543832D4">
              <w:rPr>
                <w:rFonts w:ascii="Calibri" w:eastAsia="Calibri" w:hAnsi="Calibri" w:cs="Calibri"/>
              </w:rPr>
              <w:t>Barley</w:t>
            </w:r>
          </w:p>
        </w:tc>
        <w:tc>
          <w:tcPr>
            <w:tcW w:w="992" w:type="dxa"/>
            <w:tcBorders>
              <w:top w:val="single" w:sz="8" w:space="0" w:color="auto"/>
              <w:left w:val="single" w:sz="8" w:space="0" w:color="auto"/>
              <w:bottom w:val="single" w:sz="8" w:space="0" w:color="auto"/>
              <w:right w:val="single" w:sz="8" w:space="0" w:color="auto"/>
            </w:tcBorders>
          </w:tcPr>
          <w:p w14:paraId="7C5BF5EA" w14:textId="4D9252B0" w:rsidR="005A0025" w:rsidRDefault="005A0025" w:rsidP="005A0025">
            <w:r>
              <w:t>1003</w:t>
            </w:r>
          </w:p>
        </w:tc>
        <w:tc>
          <w:tcPr>
            <w:tcW w:w="992" w:type="dxa"/>
            <w:tcBorders>
              <w:top w:val="single" w:sz="8" w:space="0" w:color="auto"/>
              <w:left w:val="single" w:sz="8" w:space="0" w:color="auto"/>
              <w:bottom w:val="single" w:sz="8" w:space="0" w:color="auto"/>
              <w:right w:val="single" w:sz="8" w:space="0" w:color="auto"/>
            </w:tcBorders>
          </w:tcPr>
          <w:p w14:paraId="6EF61907" w14:textId="1D5C7F3B" w:rsidR="005A0025" w:rsidRDefault="005A0025" w:rsidP="005A0025">
            <w:r>
              <w:t>0</w:t>
            </w:r>
          </w:p>
        </w:tc>
        <w:tc>
          <w:tcPr>
            <w:tcW w:w="1276" w:type="dxa"/>
            <w:tcBorders>
              <w:top w:val="single" w:sz="8" w:space="0" w:color="auto"/>
              <w:left w:val="single" w:sz="8" w:space="0" w:color="auto"/>
              <w:bottom w:val="single" w:sz="8" w:space="0" w:color="auto"/>
              <w:right w:val="single" w:sz="8" w:space="0" w:color="auto"/>
            </w:tcBorders>
          </w:tcPr>
          <w:p w14:paraId="6B3778FB" w14:textId="1443ED0F" w:rsidR="005A0025" w:rsidRDefault="008737BC" w:rsidP="005A0025">
            <w:r>
              <w:t>100</w:t>
            </w:r>
          </w:p>
        </w:tc>
        <w:tc>
          <w:tcPr>
            <w:tcW w:w="1701" w:type="dxa"/>
            <w:tcBorders>
              <w:top w:val="single" w:sz="8" w:space="0" w:color="auto"/>
              <w:left w:val="single" w:sz="8" w:space="0" w:color="auto"/>
              <w:bottom w:val="single" w:sz="8" w:space="0" w:color="auto"/>
              <w:right w:val="single" w:sz="8" w:space="0" w:color="auto"/>
            </w:tcBorders>
          </w:tcPr>
          <w:p w14:paraId="722B07AB" w14:textId="0089B82E" w:rsidR="005A0025" w:rsidRDefault="005A0025" w:rsidP="005A0025">
            <w:r>
              <w:t>0.01 / 48</w:t>
            </w:r>
          </w:p>
        </w:tc>
        <w:tc>
          <w:tcPr>
            <w:tcW w:w="3119" w:type="dxa"/>
            <w:tcBorders>
              <w:top w:val="single" w:sz="8" w:space="0" w:color="auto"/>
              <w:left w:val="single" w:sz="8" w:space="0" w:color="auto"/>
              <w:bottom w:val="single" w:sz="8" w:space="0" w:color="auto"/>
              <w:right w:val="single" w:sz="8" w:space="0" w:color="auto"/>
            </w:tcBorders>
          </w:tcPr>
          <w:p w14:paraId="77D21B23" w14:textId="178DFC21" w:rsidR="005A0025" w:rsidRDefault="005A0025" w:rsidP="005A0025">
            <w:r>
              <w:t>EIF</w:t>
            </w:r>
          </w:p>
        </w:tc>
      </w:tr>
      <w:tr w:rsidR="005A0025" w14:paraId="34B5489D" w14:textId="77777777" w:rsidTr="0062202D">
        <w:tc>
          <w:tcPr>
            <w:tcW w:w="1702" w:type="dxa"/>
            <w:tcBorders>
              <w:top w:val="single" w:sz="8" w:space="0" w:color="auto"/>
              <w:left w:val="single" w:sz="8" w:space="0" w:color="auto"/>
              <w:bottom w:val="single" w:sz="8" w:space="0" w:color="auto"/>
              <w:right w:val="single" w:sz="8" w:space="0" w:color="auto"/>
            </w:tcBorders>
          </w:tcPr>
          <w:p w14:paraId="272F54E3" w14:textId="720B51EA" w:rsidR="005A0025" w:rsidRDefault="005A0025" w:rsidP="005A0025">
            <w:r w:rsidRPr="543832D4">
              <w:rPr>
                <w:rFonts w:ascii="Calibri" w:eastAsia="Calibri" w:hAnsi="Calibri" w:cs="Calibri"/>
              </w:rPr>
              <w:t>Berries</w:t>
            </w:r>
          </w:p>
        </w:tc>
        <w:tc>
          <w:tcPr>
            <w:tcW w:w="992" w:type="dxa"/>
            <w:tcBorders>
              <w:top w:val="single" w:sz="8" w:space="0" w:color="auto"/>
              <w:left w:val="single" w:sz="8" w:space="0" w:color="auto"/>
              <w:bottom w:val="single" w:sz="8" w:space="0" w:color="auto"/>
              <w:right w:val="single" w:sz="8" w:space="0" w:color="auto"/>
            </w:tcBorders>
          </w:tcPr>
          <w:p w14:paraId="72070B5C" w14:textId="78F5F7D4" w:rsidR="005A0025" w:rsidRDefault="005A0025" w:rsidP="005A0025">
            <w:r>
              <w:t>081010, 081020, 081030, 081040</w:t>
            </w:r>
          </w:p>
        </w:tc>
        <w:tc>
          <w:tcPr>
            <w:tcW w:w="992" w:type="dxa"/>
            <w:tcBorders>
              <w:top w:val="single" w:sz="8" w:space="0" w:color="auto"/>
              <w:left w:val="single" w:sz="8" w:space="0" w:color="auto"/>
              <w:bottom w:val="single" w:sz="8" w:space="0" w:color="auto"/>
              <w:right w:val="single" w:sz="8" w:space="0" w:color="auto"/>
            </w:tcBorders>
          </w:tcPr>
          <w:p w14:paraId="5B339894" w14:textId="3E6B6399" w:rsidR="005A0025" w:rsidRDefault="005A0025" w:rsidP="005A0025">
            <w:r>
              <w:t>30</w:t>
            </w:r>
          </w:p>
        </w:tc>
        <w:tc>
          <w:tcPr>
            <w:tcW w:w="1276" w:type="dxa"/>
            <w:tcBorders>
              <w:top w:val="single" w:sz="8" w:space="0" w:color="auto"/>
              <w:left w:val="single" w:sz="8" w:space="0" w:color="auto"/>
              <w:bottom w:val="single" w:sz="8" w:space="0" w:color="auto"/>
              <w:right w:val="single" w:sz="8" w:space="0" w:color="auto"/>
            </w:tcBorders>
          </w:tcPr>
          <w:p w14:paraId="259C5AA2" w14:textId="25A09876" w:rsidR="005A0025" w:rsidRDefault="008737BC" w:rsidP="005A0025">
            <w:r>
              <w:t>100</w:t>
            </w:r>
          </w:p>
        </w:tc>
        <w:tc>
          <w:tcPr>
            <w:tcW w:w="1701" w:type="dxa"/>
            <w:tcBorders>
              <w:top w:val="single" w:sz="8" w:space="0" w:color="auto"/>
              <w:left w:val="single" w:sz="8" w:space="0" w:color="auto"/>
              <w:bottom w:val="single" w:sz="8" w:space="0" w:color="auto"/>
              <w:right w:val="single" w:sz="8" w:space="0" w:color="auto"/>
            </w:tcBorders>
          </w:tcPr>
          <w:p w14:paraId="00712B35" w14:textId="4A291877" w:rsidR="005A0025" w:rsidRDefault="005A0025" w:rsidP="005A0025">
            <w:r>
              <w:t>0.01 / 0.5</w:t>
            </w:r>
          </w:p>
        </w:tc>
        <w:tc>
          <w:tcPr>
            <w:tcW w:w="3119" w:type="dxa"/>
            <w:tcBorders>
              <w:top w:val="single" w:sz="8" w:space="0" w:color="auto"/>
              <w:left w:val="single" w:sz="8" w:space="0" w:color="auto"/>
              <w:bottom w:val="single" w:sz="8" w:space="0" w:color="auto"/>
              <w:right w:val="single" w:sz="8" w:space="0" w:color="auto"/>
            </w:tcBorders>
          </w:tcPr>
          <w:p w14:paraId="30358400" w14:textId="77777777" w:rsidR="005A0025" w:rsidRDefault="005A0025" w:rsidP="005A0025">
            <w:r>
              <w:t>7 years</w:t>
            </w:r>
          </w:p>
          <w:p w14:paraId="47CB2FFF" w14:textId="0345DFC3" w:rsidR="005A0025" w:rsidRDefault="005A0025" w:rsidP="005A0025">
            <w:r>
              <w:t>Strawberries (081010) – 7 years with Duty Reduction - Final duty 15%</w:t>
            </w:r>
          </w:p>
        </w:tc>
      </w:tr>
      <w:tr w:rsidR="005A0025" w14:paraId="0708F8B2" w14:textId="77777777" w:rsidTr="0062202D">
        <w:tc>
          <w:tcPr>
            <w:tcW w:w="1702" w:type="dxa"/>
            <w:tcBorders>
              <w:top w:val="single" w:sz="8" w:space="0" w:color="auto"/>
              <w:left w:val="single" w:sz="8" w:space="0" w:color="auto"/>
              <w:bottom w:val="single" w:sz="8" w:space="0" w:color="auto"/>
              <w:right w:val="single" w:sz="8" w:space="0" w:color="auto"/>
            </w:tcBorders>
          </w:tcPr>
          <w:p w14:paraId="2015C671" w14:textId="3D0E3E21" w:rsidR="005A0025" w:rsidRPr="543832D4" w:rsidRDefault="005A0025" w:rsidP="005A0025">
            <w:pPr>
              <w:rPr>
                <w:rFonts w:ascii="Calibri" w:eastAsia="Calibri" w:hAnsi="Calibri" w:cs="Calibri"/>
              </w:rPr>
            </w:pPr>
            <w:r w:rsidRPr="543832D4">
              <w:rPr>
                <w:rFonts w:ascii="Calibri" w:eastAsia="Calibri" w:hAnsi="Calibri" w:cs="Calibri"/>
              </w:rPr>
              <w:t>Canola oil</w:t>
            </w:r>
          </w:p>
        </w:tc>
        <w:tc>
          <w:tcPr>
            <w:tcW w:w="992" w:type="dxa"/>
            <w:tcBorders>
              <w:top w:val="single" w:sz="8" w:space="0" w:color="auto"/>
              <w:left w:val="single" w:sz="8" w:space="0" w:color="auto"/>
              <w:bottom w:val="single" w:sz="8" w:space="0" w:color="auto"/>
              <w:right w:val="single" w:sz="8" w:space="0" w:color="auto"/>
            </w:tcBorders>
          </w:tcPr>
          <w:p w14:paraId="7E6A9EE9" w14:textId="66723E0B" w:rsidR="005A0025" w:rsidRDefault="005A0025" w:rsidP="005A0025">
            <w:r>
              <w:t>15141120, 15141920</w:t>
            </w:r>
          </w:p>
        </w:tc>
        <w:tc>
          <w:tcPr>
            <w:tcW w:w="992" w:type="dxa"/>
            <w:tcBorders>
              <w:top w:val="single" w:sz="8" w:space="0" w:color="auto"/>
              <w:left w:val="single" w:sz="8" w:space="0" w:color="auto"/>
              <w:bottom w:val="single" w:sz="8" w:space="0" w:color="auto"/>
              <w:right w:val="single" w:sz="8" w:space="0" w:color="auto"/>
            </w:tcBorders>
          </w:tcPr>
          <w:p w14:paraId="5B5F43E2" w14:textId="6F9DA064" w:rsidR="005A0025" w:rsidRDefault="005A0025" w:rsidP="005A0025">
            <w:r>
              <w:t>35</w:t>
            </w:r>
          </w:p>
        </w:tc>
        <w:tc>
          <w:tcPr>
            <w:tcW w:w="1276" w:type="dxa"/>
            <w:tcBorders>
              <w:top w:val="single" w:sz="8" w:space="0" w:color="auto"/>
              <w:left w:val="single" w:sz="8" w:space="0" w:color="auto"/>
              <w:bottom w:val="single" w:sz="8" w:space="0" w:color="auto"/>
              <w:right w:val="single" w:sz="8" w:space="0" w:color="auto"/>
            </w:tcBorders>
          </w:tcPr>
          <w:p w14:paraId="147F1A29" w14:textId="7EA5299B" w:rsidR="005A0025" w:rsidRDefault="008737BC" w:rsidP="005A0025">
            <w:r>
              <w:t>75</w:t>
            </w:r>
          </w:p>
        </w:tc>
        <w:tc>
          <w:tcPr>
            <w:tcW w:w="1701" w:type="dxa"/>
            <w:tcBorders>
              <w:top w:val="single" w:sz="8" w:space="0" w:color="auto"/>
              <w:left w:val="single" w:sz="8" w:space="0" w:color="auto"/>
              <w:bottom w:val="single" w:sz="8" w:space="0" w:color="auto"/>
              <w:right w:val="single" w:sz="8" w:space="0" w:color="auto"/>
            </w:tcBorders>
          </w:tcPr>
          <w:p w14:paraId="70BC1D06" w14:textId="0D1F16B1" w:rsidR="005A0025" w:rsidRDefault="005A0025" w:rsidP="005A0025">
            <w:r>
              <w:t>0.1 / 114</w:t>
            </w:r>
          </w:p>
        </w:tc>
        <w:tc>
          <w:tcPr>
            <w:tcW w:w="3119" w:type="dxa"/>
            <w:tcBorders>
              <w:top w:val="single" w:sz="8" w:space="0" w:color="auto"/>
              <w:left w:val="single" w:sz="8" w:space="0" w:color="auto"/>
              <w:bottom w:val="single" w:sz="8" w:space="0" w:color="auto"/>
              <w:right w:val="single" w:sz="8" w:space="0" w:color="auto"/>
            </w:tcBorders>
          </w:tcPr>
          <w:p w14:paraId="7BB26CE8" w14:textId="15371D53" w:rsidR="005A0025" w:rsidRDefault="005A0025" w:rsidP="005A0025">
            <w:r>
              <w:t>7 years</w:t>
            </w:r>
          </w:p>
        </w:tc>
      </w:tr>
      <w:bookmarkEnd w:id="28"/>
    </w:tbl>
    <w:p w14:paraId="5699D163" w14:textId="166E7AD2" w:rsidR="0062202D" w:rsidRDefault="0062202D" w:rsidP="543832D4">
      <w:pPr>
        <w:pStyle w:val="ListParagraph"/>
        <w:spacing w:after="0"/>
        <w:ind w:left="0"/>
        <w:rPr>
          <w:sz w:val="24"/>
          <w:szCs w:val="24"/>
        </w:rPr>
      </w:pPr>
    </w:p>
    <w:p w14:paraId="276A75F9" w14:textId="3A3CA753" w:rsidR="0062202D" w:rsidRDefault="0062202D" w:rsidP="543832D4">
      <w:pPr>
        <w:pStyle w:val="ListParagraph"/>
        <w:spacing w:after="0"/>
        <w:ind w:left="0"/>
        <w:rPr>
          <w:sz w:val="24"/>
          <w:szCs w:val="24"/>
        </w:rPr>
      </w:pPr>
    </w:p>
    <w:p w14:paraId="43EBFB23" w14:textId="64FB2530" w:rsidR="0062202D" w:rsidRDefault="0062202D" w:rsidP="543832D4">
      <w:pPr>
        <w:pStyle w:val="ListParagraph"/>
        <w:spacing w:after="0"/>
        <w:ind w:left="0"/>
        <w:rPr>
          <w:sz w:val="24"/>
          <w:szCs w:val="24"/>
        </w:rPr>
      </w:pPr>
    </w:p>
    <w:p w14:paraId="11CE807A" w14:textId="7B83AC57" w:rsidR="0062202D" w:rsidRDefault="0062202D" w:rsidP="543832D4">
      <w:pPr>
        <w:pStyle w:val="ListParagraph"/>
        <w:spacing w:after="0"/>
        <w:ind w:left="0"/>
        <w:rPr>
          <w:sz w:val="24"/>
          <w:szCs w:val="24"/>
        </w:rPr>
      </w:pPr>
    </w:p>
    <w:p w14:paraId="05777255" w14:textId="646E85D0" w:rsidR="0062202D" w:rsidRDefault="0062202D" w:rsidP="543832D4">
      <w:pPr>
        <w:pStyle w:val="ListParagraph"/>
        <w:spacing w:after="0"/>
        <w:ind w:left="0"/>
        <w:rPr>
          <w:sz w:val="24"/>
          <w:szCs w:val="24"/>
        </w:rPr>
      </w:pPr>
    </w:p>
    <w:p w14:paraId="7F1069F4" w14:textId="7CB50867" w:rsidR="0062202D" w:rsidRDefault="0062202D" w:rsidP="543832D4">
      <w:pPr>
        <w:pStyle w:val="ListParagraph"/>
        <w:spacing w:after="0"/>
        <w:ind w:left="0"/>
        <w:rPr>
          <w:sz w:val="24"/>
          <w:szCs w:val="24"/>
        </w:rPr>
      </w:pPr>
    </w:p>
    <w:p w14:paraId="481046FC" w14:textId="41190695" w:rsidR="0062202D" w:rsidRDefault="0062202D" w:rsidP="543832D4">
      <w:pPr>
        <w:pStyle w:val="ListParagraph"/>
        <w:spacing w:after="0"/>
        <w:ind w:left="0"/>
        <w:rPr>
          <w:sz w:val="24"/>
          <w:szCs w:val="24"/>
        </w:rPr>
      </w:pPr>
    </w:p>
    <w:p w14:paraId="781E5CCA" w14:textId="7851198B" w:rsidR="0062202D" w:rsidRDefault="0062202D" w:rsidP="543832D4">
      <w:pPr>
        <w:pStyle w:val="ListParagraph"/>
        <w:spacing w:after="0"/>
        <w:ind w:left="0"/>
        <w:rPr>
          <w:sz w:val="24"/>
          <w:szCs w:val="24"/>
        </w:rPr>
      </w:pPr>
    </w:p>
    <w:p w14:paraId="5A4DD71D" w14:textId="37285BDA" w:rsidR="0062202D" w:rsidRDefault="0062202D" w:rsidP="543832D4">
      <w:pPr>
        <w:pStyle w:val="ListParagraph"/>
        <w:spacing w:after="0"/>
        <w:ind w:left="0"/>
        <w:rPr>
          <w:sz w:val="24"/>
          <w:szCs w:val="24"/>
        </w:rPr>
      </w:pPr>
    </w:p>
    <w:p w14:paraId="22588B45" w14:textId="2319800E" w:rsidR="0062202D" w:rsidRDefault="0062202D" w:rsidP="543832D4">
      <w:pPr>
        <w:pStyle w:val="ListParagraph"/>
        <w:spacing w:after="0"/>
        <w:ind w:left="0"/>
        <w:rPr>
          <w:sz w:val="24"/>
          <w:szCs w:val="24"/>
        </w:rPr>
      </w:pPr>
    </w:p>
    <w:p w14:paraId="24525AF3" w14:textId="2B856158" w:rsidR="0062202D" w:rsidRDefault="0062202D" w:rsidP="543832D4">
      <w:pPr>
        <w:pStyle w:val="ListParagraph"/>
        <w:spacing w:after="0"/>
        <w:ind w:left="0"/>
        <w:rPr>
          <w:sz w:val="24"/>
          <w:szCs w:val="24"/>
        </w:rPr>
      </w:pPr>
    </w:p>
    <w:p w14:paraId="36F4471C" w14:textId="5E129674" w:rsidR="0062202D" w:rsidRDefault="0062202D" w:rsidP="543832D4">
      <w:pPr>
        <w:pStyle w:val="ListParagraph"/>
        <w:spacing w:after="0"/>
        <w:ind w:left="0"/>
        <w:rPr>
          <w:sz w:val="24"/>
          <w:szCs w:val="24"/>
        </w:rPr>
      </w:pPr>
    </w:p>
    <w:p w14:paraId="0A22C42C" w14:textId="78929127" w:rsidR="0062202D" w:rsidRDefault="0062202D" w:rsidP="543832D4">
      <w:pPr>
        <w:pStyle w:val="ListParagraph"/>
        <w:spacing w:after="0"/>
        <w:ind w:left="0"/>
        <w:rPr>
          <w:sz w:val="24"/>
          <w:szCs w:val="24"/>
        </w:rPr>
      </w:pPr>
    </w:p>
    <w:p w14:paraId="29D76BAC" w14:textId="7DA298E7" w:rsidR="0062202D" w:rsidRDefault="0062202D" w:rsidP="543832D4">
      <w:pPr>
        <w:pStyle w:val="ListParagraph"/>
        <w:spacing w:after="0"/>
        <w:ind w:left="0"/>
        <w:rPr>
          <w:sz w:val="24"/>
          <w:szCs w:val="24"/>
        </w:rPr>
      </w:pPr>
    </w:p>
    <w:p w14:paraId="61D0DAB0" w14:textId="1F45BE94" w:rsidR="0062202D" w:rsidRDefault="0062202D" w:rsidP="543832D4">
      <w:pPr>
        <w:pStyle w:val="ListParagraph"/>
        <w:spacing w:after="0"/>
        <w:ind w:left="0"/>
        <w:rPr>
          <w:sz w:val="24"/>
          <w:szCs w:val="24"/>
        </w:rPr>
      </w:pPr>
    </w:p>
    <w:p w14:paraId="51ACE897" w14:textId="3EADD389" w:rsidR="0062202D" w:rsidRDefault="0062202D" w:rsidP="543832D4">
      <w:pPr>
        <w:pStyle w:val="ListParagraph"/>
        <w:spacing w:after="0"/>
        <w:ind w:left="0"/>
        <w:rPr>
          <w:sz w:val="24"/>
          <w:szCs w:val="24"/>
        </w:rPr>
      </w:pPr>
    </w:p>
    <w:p w14:paraId="2D990ED4" w14:textId="4336477A" w:rsidR="0062202D" w:rsidRDefault="0062202D" w:rsidP="543832D4">
      <w:pPr>
        <w:pStyle w:val="ListParagraph"/>
        <w:spacing w:after="0"/>
        <w:ind w:left="0"/>
        <w:rPr>
          <w:sz w:val="24"/>
          <w:szCs w:val="24"/>
        </w:rPr>
      </w:pPr>
    </w:p>
    <w:p w14:paraId="1460EDB0" w14:textId="713B16D1" w:rsidR="0062202D" w:rsidRDefault="0062202D" w:rsidP="543832D4">
      <w:pPr>
        <w:pStyle w:val="ListParagraph"/>
        <w:spacing w:after="0"/>
        <w:ind w:left="0"/>
        <w:rPr>
          <w:sz w:val="24"/>
          <w:szCs w:val="24"/>
        </w:rPr>
      </w:pPr>
    </w:p>
    <w:p w14:paraId="02E74FC2" w14:textId="7E8DEE16" w:rsidR="0062202D" w:rsidRDefault="0062202D" w:rsidP="543832D4">
      <w:pPr>
        <w:pStyle w:val="ListParagraph"/>
        <w:spacing w:after="0"/>
        <w:ind w:left="0"/>
        <w:rPr>
          <w:sz w:val="24"/>
          <w:szCs w:val="24"/>
        </w:rPr>
      </w:pPr>
    </w:p>
    <w:p w14:paraId="25F3C45F" w14:textId="4A822C75" w:rsidR="0062202D" w:rsidRDefault="0062202D" w:rsidP="543832D4">
      <w:pPr>
        <w:pStyle w:val="ListParagraph"/>
        <w:spacing w:after="0"/>
        <w:ind w:left="0"/>
        <w:rPr>
          <w:sz w:val="24"/>
          <w:szCs w:val="24"/>
        </w:rPr>
      </w:pPr>
    </w:p>
    <w:p w14:paraId="7EF05D4A" w14:textId="77777777" w:rsidR="0062202D" w:rsidRDefault="0062202D" w:rsidP="543832D4">
      <w:pPr>
        <w:pStyle w:val="ListParagraph"/>
        <w:spacing w:after="0"/>
        <w:ind w:left="0"/>
        <w:rPr>
          <w:sz w:val="24"/>
          <w:szCs w:val="24"/>
        </w:rPr>
      </w:pPr>
    </w:p>
    <w:p w14:paraId="7E49DCC2" w14:textId="7CB6293D" w:rsidR="00C41A6A" w:rsidRDefault="00C41A6A" w:rsidP="003C7229">
      <w:pPr>
        <w:spacing w:after="0"/>
        <w:rPr>
          <w:b/>
        </w:rPr>
      </w:pPr>
      <w:bookmarkStart w:id="29" w:name="_Hlk97132933"/>
      <w:r w:rsidRPr="0001716D">
        <w:rPr>
          <w:b/>
          <w:u w:val="single"/>
        </w:rPr>
        <w:t xml:space="preserve">Table </w:t>
      </w:r>
      <w:r w:rsidR="003C7229" w:rsidRPr="0001716D">
        <w:rPr>
          <w:b/>
          <w:u w:val="single"/>
        </w:rPr>
        <w:t>3</w:t>
      </w:r>
      <w:r w:rsidRPr="009138F1">
        <w:rPr>
          <w:b/>
        </w:rPr>
        <w:t xml:space="preserve">: Key </w:t>
      </w:r>
      <w:r w:rsidR="00E24416">
        <w:rPr>
          <w:b/>
        </w:rPr>
        <w:t>Australian exports to India</w:t>
      </w:r>
      <w:r w:rsidRPr="009138F1">
        <w:rPr>
          <w:b/>
        </w:rPr>
        <w:t xml:space="preserve"> to receive tariff preferences</w:t>
      </w:r>
      <w:r w:rsidR="00E24416">
        <w:rPr>
          <w:b/>
        </w:rPr>
        <w:t xml:space="preserve"> under the proposed </w:t>
      </w:r>
      <w:r w:rsidR="006E5E78">
        <w:rPr>
          <w:b/>
        </w:rPr>
        <w:t>AI ECTA</w:t>
      </w:r>
    </w:p>
    <w:tbl>
      <w:tblPr>
        <w:tblW w:w="10437" w:type="dxa"/>
        <w:tblLayout w:type="fixed"/>
        <w:tblLook w:val="04A0" w:firstRow="1" w:lastRow="0" w:firstColumn="1" w:lastColumn="0" w:noHBand="0" w:noVBand="1"/>
      </w:tblPr>
      <w:tblGrid>
        <w:gridCol w:w="607"/>
        <w:gridCol w:w="2654"/>
        <w:gridCol w:w="1352"/>
        <w:gridCol w:w="832"/>
        <w:gridCol w:w="832"/>
        <w:gridCol w:w="832"/>
        <w:gridCol w:w="832"/>
        <w:gridCol w:w="832"/>
        <w:gridCol w:w="832"/>
        <w:gridCol w:w="832"/>
      </w:tblGrid>
      <w:tr w:rsidR="004D46B8" w:rsidRPr="00F72995" w14:paraId="78945CA4" w14:textId="77777777" w:rsidTr="000F69BD">
        <w:trPr>
          <w:trHeight w:val="300"/>
        </w:trPr>
        <w:tc>
          <w:tcPr>
            <w:tcW w:w="607" w:type="dxa"/>
            <w:vMerge w:val="restart"/>
            <w:tcBorders>
              <w:top w:val="single" w:sz="4" w:space="0" w:color="auto"/>
              <w:left w:val="nil"/>
              <w:right w:val="nil"/>
            </w:tcBorders>
            <w:shd w:val="clear" w:color="auto" w:fill="auto"/>
            <w:noWrap/>
            <w:vAlign w:val="bottom"/>
            <w:hideMark/>
          </w:tcPr>
          <w:p w14:paraId="56E58266" w14:textId="77777777" w:rsidR="004D46B8" w:rsidRPr="00BD0B9E" w:rsidRDefault="004D46B8" w:rsidP="000F69BD">
            <w:pPr>
              <w:spacing w:after="0" w:line="240" w:lineRule="auto"/>
              <w:rPr>
                <w:rFonts w:asciiTheme="majorHAnsi" w:eastAsia="Times New Roman" w:hAnsiTheme="majorHAnsi" w:cstheme="majorHAnsi"/>
                <w:b/>
                <w:bCs/>
                <w:sz w:val="18"/>
                <w:szCs w:val="18"/>
                <w:lang w:eastAsia="en-AU"/>
              </w:rPr>
            </w:pPr>
          </w:p>
        </w:tc>
        <w:tc>
          <w:tcPr>
            <w:tcW w:w="2654" w:type="dxa"/>
            <w:vMerge w:val="restart"/>
            <w:tcBorders>
              <w:top w:val="single" w:sz="4" w:space="0" w:color="auto"/>
              <w:left w:val="nil"/>
              <w:right w:val="nil"/>
            </w:tcBorders>
            <w:shd w:val="clear" w:color="auto" w:fill="auto"/>
            <w:noWrap/>
            <w:vAlign w:val="bottom"/>
            <w:hideMark/>
          </w:tcPr>
          <w:p w14:paraId="3DC871CD" w14:textId="77777777" w:rsidR="004D46B8" w:rsidRPr="00BD0B9E" w:rsidRDefault="004D46B8" w:rsidP="000F69BD">
            <w:pPr>
              <w:spacing w:after="0" w:line="240" w:lineRule="auto"/>
              <w:rPr>
                <w:rFonts w:asciiTheme="majorHAnsi" w:eastAsia="Times New Roman" w:hAnsiTheme="majorHAnsi" w:cstheme="majorHAnsi"/>
                <w:b/>
                <w:bCs/>
                <w:sz w:val="18"/>
                <w:szCs w:val="18"/>
                <w:lang w:eastAsia="en-AU"/>
              </w:rPr>
            </w:pPr>
          </w:p>
        </w:tc>
        <w:tc>
          <w:tcPr>
            <w:tcW w:w="1352" w:type="dxa"/>
            <w:vMerge w:val="restart"/>
            <w:tcBorders>
              <w:top w:val="single" w:sz="4" w:space="0" w:color="auto"/>
              <w:left w:val="nil"/>
              <w:right w:val="nil"/>
            </w:tcBorders>
            <w:shd w:val="clear" w:color="auto" w:fill="auto"/>
            <w:noWrap/>
            <w:vAlign w:val="center"/>
            <w:hideMark/>
          </w:tcPr>
          <w:p w14:paraId="4DC28AC8" w14:textId="77777777" w:rsidR="004D46B8" w:rsidRPr="00BD0B9E" w:rsidRDefault="004D46B8" w:rsidP="000F69BD">
            <w:pPr>
              <w:spacing w:after="0" w:line="240" w:lineRule="auto"/>
              <w:jc w:val="center"/>
              <w:rPr>
                <w:rFonts w:asciiTheme="majorHAnsi" w:eastAsia="Times New Roman" w:hAnsiTheme="majorHAnsi" w:cstheme="majorHAnsi"/>
                <w:b/>
                <w:bCs/>
                <w:color w:val="000000"/>
                <w:sz w:val="18"/>
                <w:szCs w:val="18"/>
                <w:lang w:eastAsia="en-AU"/>
              </w:rPr>
            </w:pPr>
            <w:r w:rsidRPr="00BD0B9E">
              <w:rPr>
                <w:rFonts w:asciiTheme="majorHAnsi" w:eastAsia="Times New Roman" w:hAnsiTheme="majorHAnsi" w:cstheme="majorHAnsi"/>
                <w:b/>
                <w:bCs/>
                <w:color w:val="000000"/>
                <w:sz w:val="18"/>
                <w:szCs w:val="18"/>
                <w:lang w:eastAsia="en-AU"/>
              </w:rPr>
              <w:t>Value ($A)</w:t>
            </w:r>
            <w:r w:rsidRPr="00BD0B9E">
              <w:rPr>
                <w:rFonts w:asciiTheme="majorHAnsi" w:eastAsia="Times New Roman" w:hAnsiTheme="majorHAnsi" w:cstheme="majorHAnsi"/>
                <w:b/>
                <w:bCs/>
                <w:color w:val="000000"/>
                <w:sz w:val="18"/>
                <w:szCs w:val="18"/>
                <w:lang w:eastAsia="en-AU"/>
              </w:rPr>
              <w:br/>
              <w:t>(average, 2018-2020)</w:t>
            </w:r>
          </w:p>
        </w:tc>
        <w:tc>
          <w:tcPr>
            <w:tcW w:w="5824" w:type="dxa"/>
            <w:gridSpan w:val="7"/>
            <w:tcBorders>
              <w:top w:val="single" w:sz="4" w:space="0" w:color="auto"/>
              <w:left w:val="nil"/>
              <w:bottom w:val="single" w:sz="4" w:space="0" w:color="auto"/>
              <w:right w:val="nil"/>
            </w:tcBorders>
            <w:shd w:val="clear" w:color="auto" w:fill="auto"/>
            <w:noWrap/>
            <w:vAlign w:val="bottom"/>
            <w:hideMark/>
          </w:tcPr>
          <w:p w14:paraId="3B52F52C" w14:textId="77777777" w:rsidR="004D46B8" w:rsidRPr="00BD0B9E" w:rsidRDefault="004D46B8" w:rsidP="000F69BD">
            <w:pPr>
              <w:spacing w:after="0" w:line="240" w:lineRule="auto"/>
              <w:jc w:val="center"/>
              <w:rPr>
                <w:rFonts w:asciiTheme="majorHAnsi" w:eastAsia="Times New Roman" w:hAnsiTheme="majorHAnsi" w:cstheme="majorHAnsi"/>
                <w:b/>
                <w:bCs/>
                <w:sz w:val="18"/>
                <w:szCs w:val="18"/>
                <w:lang w:eastAsia="en-AU"/>
              </w:rPr>
            </w:pPr>
            <w:r w:rsidRPr="00BD0B9E">
              <w:rPr>
                <w:rFonts w:asciiTheme="majorHAnsi" w:eastAsia="Times New Roman" w:hAnsiTheme="majorHAnsi" w:cstheme="majorHAnsi"/>
                <w:b/>
                <w:bCs/>
                <w:color w:val="000000"/>
                <w:sz w:val="18"/>
                <w:szCs w:val="18"/>
                <w:lang w:eastAsia="en-AU"/>
              </w:rPr>
              <w:t>Tariff outcomes</w:t>
            </w:r>
            <w:r w:rsidRPr="00BD0B9E">
              <w:rPr>
                <w:rFonts w:asciiTheme="majorHAnsi" w:eastAsia="Times New Roman" w:hAnsiTheme="majorHAnsi" w:cstheme="majorHAnsi"/>
                <w:b/>
                <w:bCs/>
                <w:color w:val="000000"/>
                <w:sz w:val="18"/>
                <w:szCs w:val="18"/>
                <w:lang w:eastAsia="en-AU"/>
              </w:rPr>
              <w:br/>
              <w:t>(as % of value)</w:t>
            </w:r>
          </w:p>
        </w:tc>
      </w:tr>
      <w:tr w:rsidR="004D46B8" w:rsidRPr="00F72995" w14:paraId="12E25DB0" w14:textId="77777777" w:rsidTr="000F69BD">
        <w:trPr>
          <w:cantSplit/>
          <w:trHeight w:val="1134"/>
        </w:trPr>
        <w:tc>
          <w:tcPr>
            <w:tcW w:w="607" w:type="dxa"/>
            <w:vMerge/>
            <w:tcBorders>
              <w:left w:val="nil"/>
              <w:bottom w:val="single" w:sz="4" w:space="0" w:color="auto"/>
              <w:right w:val="nil"/>
            </w:tcBorders>
            <w:shd w:val="clear" w:color="auto" w:fill="auto"/>
            <w:noWrap/>
            <w:vAlign w:val="bottom"/>
            <w:hideMark/>
          </w:tcPr>
          <w:p w14:paraId="6EB3009A" w14:textId="77777777" w:rsidR="004D46B8" w:rsidRPr="00BD0B9E" w:rsidRDefault="004D46B8" w:rsidP="000F69BD">
            <w:pPr>
              <w:spacing w:after="0" w:line="240" w:lineRule="auto"/>
              <w:rPr>
                <w:rFonts w:asciiTheme="majorHAnsi" w:eastAsia="Times New Roman" w:hAnsiTheme="majorHAnsi" w:cstheme="majorHAnsi"/>
                <w:sz w:val="18"/>
                <w:szCs w:val="18"/>
                <w:lang w:eastAsia="en-AU"/>
              </w:rPr>
            </w:pPr>
          </w:p>
        </w:tc>
        <w:tc>
          <w:tcPr>
            <w:tcW w:w="2654" w:type="dxa"/>
            <w:vMerge/>
            <w:tcBorders>
              <w:left w:val="nil"/>
              <w:bottom w:val="single" w:sz="4" w:space="0" w:color="auto"/>
              <w:right w:val="nil"/>
            </w:tcBorders>
            <w:shd w:val="clear" w:color="auto" w:fill="auto"/>
            <w:noWrap/>
            <w:vAlign w:val="bottom"/>
            <w:hideMark/>
          </w:tcPr>
          <w:p w14:paraId="642B0C0E" w14:textId="77777777" w:rsidR="004D46B8" w:rsidRPr="00BD0B9E" w:rsidRDefault="004D46B8" w:rsidP="000F69BD">
            <w:pPr>
              <w:spacing w:after="0" w:line="240" w:lineRule="auto"/>
              <w:rPr>
                <w:rFonts w:asciiTheme="majorHAnsi" w:eastAsia="Times New Roman" w:hAnsiTheme="majorHAnsi" w:cstheme="majorHAnsi"/>
                <w:sz w:val="18"/>
                <w:szCs w:val="18"/>
                <w:lang w:eastAsia="en-AU"/>
              </w:rPr>
            </w:pPr>
          </w:p>
        </w:tc>
        <w:tc>
          <w:tcPr>
            <w:tcW w:w="1352" w:type="dxa"/>
            <w:vMerge/>
            <w:tcBorders>
              <w:left w:val="nil"/>
              <w:bottom w:val="single" w:sz="4" w:space="0" w:color="auto"/>
              <w:right w:val="nil"/>
            </w:tcBorders>
            <w:shd w:val="clear" w:color="auto" w:fill="auto"/>
            <w:noWrap/>
            <w:vAlign w:val="bottom"/>
            <w:hideMark/>
          </w:tcPr>
          <w:p w14:paraId="627A5584" w14:textId="77777777" w:rsidR="004D46B8" w:rsidRPr="00BD0B9E" w:rsidRDefault="004D46B8" w:rsidP="000F69BD">
            <w:pPr>
              <w:spacing w:after="0" w:line="240" w:lineRule="auto"/>
              <w:jc w:val="right"/>
              <w:rPr>
                <w:rFonts w:asciiTheme="majorHAnsi" w:eastAsia="Times New Roman" w:hAnsiTheme="majorHAnsi" w:cstheme="majorHAnsi"/>
                <w:sz w:val="18"/>
                <w:szCs w:val="18"/>
                <w:lang w:eastAsia="en-AU"/>
              </w:rPr>
            </w:pPr>
          </w:p>
        </w:tc>
        <w:tc>
          <w:tcPr>
            <w:tcW w:w="832" w:type="dxa"/>
            <w:tcBorders>
              <w:top w:val="single" w:sz="4" w:space="0" w:color="auto"/>
              <w:left w:val="nil"/>
              <w:bottom w:val="single" w:sz="4" w:space="0" w:color="auto"/>
              <w:right w:val="nil"/>
            </w:tcBorders>
            <w:shd w:val="clear" w:color="auto" w:fill="auto"/>
            <w:noWrap/>
            <w:textDirection w:val="btLr"/>
            <w:vAlign w:val="center"/>
            <w:hideMark/>
          </w:tcPr>
          <w:p w14:paraId="0A2FA064" w14:textId="77777777" w:rsidR="004D46B8" w:rsidRPr="00BD0B9E" w:rsidRDefault="004D46B8" w:rsidP="000F69BD">
            <w:pPr>
              <w:spacing w:after="0" w:line="240" w:lineRule="auto"/>
              <w:ind w:left="113" w:right="113"/>
              <w:jc w:val="center"/>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Excluded</w:t>
            </w:r>
          </w:p>
        </w:tc>
        <w:tc>
          <w:tcPr>
            <w:tcW w:w="832" w:type="dxa"/>
            <w:tcBorders>
              <w:top w:val="single" w:sz="4" w:space="0" w:color="auto"/>
              <w:left w:val="nil"/>
              <w:bottom w:val="single" w:sz="4" w:space="0" w:color="auto"/>
              <w:right w:val="nil"/>
            </w:tcBorders>
            <w:shd w:val="clear" w:color="auto" w:fill="auto"/>
            <w:noWrap/>
            <w:textDirection w:val="btLr"/>
            <w:vAlign w:val="center"/>
            <w:hideMark/>
          </w:tcPr>
          <w:p w14:paraId="6028E455" w14:textId="77777777" w:rsidR="004D46B8" w:rsidRPr="00BD0B9E" w:rsidRDefault="004D46B8" w:rsidP="000F69BD">
            <w:pPr>
              <w:spacing w:after="0" w:line="240" w:lineRule="auto"/>
              <w:ind w:left="113" w:right="113"/>
              <w:jc w:val="center"/>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Eliminated with conditions</w:t>
            </w:r>
          </w:p>
        </w:tc>
        <w:tc>
          <w:tcPr>
            <w:tcW w:w="832" w:type="dxa"/>
            <w:tcBorders>
              <w:top w:val="single" w:sz="4" w:space="0" w:color="auto"/>
              <w:left w:val="nil"/>
              <w:bottom w:val="single" w:sz="4" w:space="0" w:color="auto"/>
              <w:right w:val="nil"/>
            </w:tcBorders>
            <w:shd w:val="clear" w:color="auto" w:fill="auto"/>
            <w:noWrap/>
            <w:textDirection w:val="btLr"/>
            <w:vAlign w:val="center"/>
            <w:hideMark/>
          </w:tcPr>
          <w:p w14:paraId="1BCC8013" w14:textId="77777777" w:rsidR="004D46B8" w:rsidRPr="00BD0B9E" w:rsidRDefault="004D46B8" w:rsidP="000F69BD">
            <w:pPr>
              <w:spacing w:after="0" w:line="240" w:lineRule="auto"/>
              <w:ind w:left="113" w:right="113"/>
              <w:jc w:val="center"/>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Eliminated without conditions</w:t>
            </w:r>
          </w:p>
        </w:tc>
        <w:tc>
          <w:tcPr>
            <w:tcW w:w="832" w:type="dxa"/>
            <w:tcBorders>
              <w:top w:val="single" w:sz="4" w:space="0" w:color="auto"/>
              <w:left w:val="nil"/>
              <w:bottom w:val="single" w:sz="4" w:space="0" w:color="auto"/>
              <w:right w:val="nil"/>
            </w:tcBorders>
            <w:shd w:val="clear" w:color="auto" w:fill="auto"/>
            <w:noWrap/>
            <w:textDirection w:val="btLr"/>
            <w:vAlign w:val="center"/>
            <w:hideMark/>
          </w:tcPr>
          <w:p w14:paraId="0F5A21A9" w14:textId="77777777" w:rsidR="004D46B8" w:rsidRPr="00BD0B9E" w:rsidRDefault="004D46B8" w:rsidP="000F69BD">
            <w:pPr>
              <w:spacing w:after="0" w:line="240" w:lineRule="auto"/>
              <w:ind w:left="113" w:right="113"/>
              <w:jc w:val="center"/>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Reduction</w:t>
            </w:r>
          </w:p>
        </w:tc>
        <w:tc>
          <w:tcPr>
            <w:tcW w:w="832" w:type="dxa"/>
            <w:tcBorders>
              <w:top w:val="single" w:sz="4" w:space="0" w:color="auto"/>
              <w:left w:val="nil"/>
              <w:bottom w:val="single" w:sz="4" w:space="0" w:color="auto"/>
              <w:right w:val="nil"/>
            </w:tcBorders>
            <w:shd w:val="clear" w:color="auto" w:fill="auto"/>
            <w:noWrap/>
            <w:textDirection w:val="btLr"/>
            <w:vAlign w:val="center"/>
            <w:hideMark/>
          </w:tcPr>
          <w:p w14:paraId="0FCA122F" w14:textId="77777777" w:rsidR="004D46B8" w:rsidRPr="00BD0B9E" w:rsidRDefault="004D46B8" w:rsidP="000F69BD">
            <w:pPr>
              <w:spacing w:after="0" w:line="240" w:lineRule="auto"/>
              <w:ind w:left="113" w:right="113"/>
              <w:jc w:val="center"/>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Reduction involving quotas</w:t>
            </w:r>
          </w:p>
        </w:tc>
        <w:tc>
          <w:tcPr>
            <w:tcW w:w="832" w:type="dxa"/>
            <w:tcBorders>
              <w:top w:val="single" w:sz="4" w:space="0" w:color="auto"/>
              <w:left w:val="nil"/>
              <w:bottom w:val="single" w:sz="4" w:space="0" w:color="auto"/>
              <w:right w:val="nil"/>
            </w:tcBorders>
            <w:shd w:val="clear" w:color="auto" w:fill="auto"/>
            <w:noWrap/>
            <w:textDirection w:val="btLr"/>
            <w:vAlign w:val="center"/>
            <w:hideMark/>
          </w:tcPr>
          <w:p w14:paraId="56285AFB" w14:textId="77777777" w:rsidR="004D46B8" w:rsidRPr="00BD0B9E" w:rsidRDefault="004D46B8" w:rsidP="000F69BD">
            <w:pPr>
              <w:spacing w:after="0" w:line="240" w:lineRule="auto"/>
              <w:ind w:left="113" w:right="113"/>
              <w:jc w:val="center"/>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Reduction with conditions</w:t>
            </w:r>
          </w:p>
        </w:tc>
        <w:tc>
          <w:tcPr>
            <w:tcW w:w="832" w:type="dxa"/>
            <w:tcBorders>
              <w:top w:val="single" w:sz="4" w:space="0" w:color="auto"/>
              <w:left w:val="nil"/>
              <w:bottom w:val="single" w:sz="4" w:space="0" w:color="auto"/>
              <w:right w:val="nil"/>
            </w:tcBorders>
            <w:shd w:val="clear" w:color="auto" w:fill="auto"/>
            <w:noWrap/>
            <w:textDirection w:val="btLr"/>
            <w:vAlign w:val="center"/>
            <w:hideMark/>
          </w:tcPr>
          <w:p w14:paraId="65373B14" w14:textId="77777777" w:rsidR="004D46B8" w:rsidRPr="00BD0B9E" w:rsidRDefault="004D46B8" w:rsidP="000F69BD">
            <w:pPr>
              <w:spacing w:after="0" w:line="240" w:lineRule="auto"/>
              <w:ind w:left="113" w:right="113"/>
              <w:jc w:val="center"/>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Elimination involving quotas</w:t>
            </w:r>
          </w:p>
        </w:tc>
      </w:tr>
      <w:tr w:rsidR="00236333" w:rsidRPr="00F72995" w14:paraId="3F16CB5E" w14:textId="77777777" w:rsidTr="005976E5">
        <w:trPr>
          <w:trHeight w:val="300"/>
        </w:trPr>
        <w:tc>
          <w:tcPr>
            <w:tcW w:w="607" w:type="dxa"/>
            <w:tcBorders>
              <w:top w:val="single" w:sz="4" w:space="0" w:color="auto"/>
              <w:left w:val="nil"/>
              <w:bottom w:val="nil"/>
              <w:right w:val="nil"/>
            </w:tcBorders>
            <w:shd w:val="clear" w:color="auto" w:fill="auto"/>
            <w:noWrap/>
            <w:vAlign w:val="center"/>
            <w:hideMark/>
          </w:tcPr>
          <w:p w14:paraId="1130E03D" w14:textId="77777777" w:rsidR="00236333" w:rsidRPr="00BD0B9E" w:rsidRDefault="00236333" w:rsidP="005976E5">
            <w:pPr>
              <w:spacing w:after="0" w:line="240" w:lineRule="auto"/>
              <w:jc w:val="right"/>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CH2</w:t>
            </w:r>
          </w:p>
        </w:tc>
        <w:tc>
          <w:tcPr>
            <w:tcW w:w="2654" w:type="dxa"/>
            <w:tcBorders>
              <w:top w:val="single" w:sz="4" w:space="0" w:color="auto"/>
              <w:left w:val="nil"/>
              <w:bottom w:val="nil"/>
              <w:right w:val="nil"/>
            </w:tcBorders>
            <w:shd w:val="clear" w:color="auto" w:fill="auto"/>
            <w:noWrap/>
            <w:vAlign w:val="center"/>
            <w:hideMark/>
          </w:tcPr>
          <w:p w14:paraId="1B173996" w14:textId="77777777" w:rsidR="00236333" w:rsidRPr="00BD0B9E" w:rsidRDefault="00236333">
            <w:pPr>
              <w:spacing w:after="0" w:line="240" w:lineRule="auto"/>
              <w:rPr>
                <w:rFonts w:asciiTheme="majorHAnsi" w:eastAsia="Times New Roman" w:hAnsiTheme="majorHAnsi" w:cstheme="majorHAnsi"/>
                <w:color w:val="000000"/>
                <w:sz w:val="18"/>
                <w:szCs w:val="18"/>
                <w:lang w:eastAsia="en-AU"/>
              </w:rPr>
            </w:pPr>
            <w:proofErr w:type="spellStart"/>
            <w:r w:rsidRPr="00BD0B9E">
              <w:rPr>
                <w:rFonts w:asciiTheme="majorHAnsi" w:eastAsia="Times New Roman" w:hAnsiTheme="majorHAnsi" w:cstheme="majorHAnsi"/>
                <w:color w:val="000000"/>
                <w:sz w:val="18"/>
                <w:szCs w:val="18"/>
                <w:lang w:eastAsia="en-AU"/>
              </w:rPr>
              <w:t>Sheepmeat</w:t>
            </w:r>
            <w:proofErr w:type="spellEnd"/>
          </w:p>
        </w:tc>
        <w:tc>
          <w:tcPr>
            <w:tcW w:w="1352" w:type="dxa"/>
            <w:tcBorders>
              <w:top w:val="single" w:sz="4" w:space="0" w:color="auto"/>
              <w:left w:val="nil"/>
              <w:bottom w:val="nil"/>
              <w:right w:val="nil"/>
            </w:tcBorders>
            <w:shd w:val="clear" w:color="auto" w:fill="auto"/>
            <w:noWrap/>
            <w:vAlign w:val="center"/>
            <w:hideMark/>
          </w:tcPr>
          <w:p w14:paraId="6508F686" w14:textId="77777777" w:rsidR="00236333" w:rsidRPr="00F77799" w:rsidRDefault="00236333">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342,912</w:t>
            </w:r>
          </w:p>
        </w:tc>
        <w:tc>
          <w:tcPr>
            <w:tcW w:w="832" w:type="dxa"/>
            <w:tcBorders>
              <w:top w:val="single" w:sz="4" w:space="0" w:color="auto"/>
              <w:left w:val="nil"/>
              <w:bottom w:val="nil"/>
              <w:right w:val="nil"/>
            </w:tcBorders>
            <w:shd w:val="clear" w:color="auto" w:fill="auto"/>
            <w:noWrap/>
            <w:vAlign w:val="center"/>
            <w:hideMark/>
          </w:tcPr>
          <w:p w14:paraId="23E65403" w14:textId="7358F80D" w:rsidR="00236333" w:rsidRPr="005976E5" w:rsidRDefault="00236333">
            <w:pPr>
              <w:spacing w:after="0" w:line="240" w:lineRule="auto"/>
              <w:jc w:val="right"/>
              <w:rPr>
                <w:rFonts w:asciiTheme="majorHAnsi" w:hAnsiTheme="majorHAnsi" w:cstheme="majorHAnsi"/>
                <w:sz w:val="18"/>
                <w:szCs w:val="18"/>
              </w:rPr>
            </w:pPr>
            <w:r w:rsidRPr="005976E5">
              <w:rPr>
                <w:rFonts w:asciiTheme="majorHAnsi" w:hAnsiTheme="majorHAnsi" w:cstheme="majorHAnsi"/>
                <w:sz w:val="18"/>
                <w:szCs w:val="18"/>
              </w:rPr>
              <w:t>-</w:t>
            </w:r>
          </w:p>
        </w:tc>
        <w:tc>
          <w:tcPr>
            <w:tcW w:w="832" w:type="dxa"/>
            <w:tcBorders>
              <w:top w:val="single" w:sz="4" w:space="0" w:color="auto"/>
              <w:left w:val="nil"/>
              <w:bottom w:val="nil"/>
              <w:right w:val="nil"/>
            </w:tcBorders>
            <w:shd w:val="clear" w:color="auto" w:fill="auto"/>
            <w:noWrap/>
            <w:vAlign w:val="center"/>
            <w:hideMark/>
          </w:tcPr>
          <w:p w14:paraId="5631CF0E" w14:textId="37310455" w:rsidR="00236333" w:rsidRPr="005976E5" w:rsidRDefault="00236333">
            <w:pPr>
              <w:spacing w:after="0" w:line="240" w:lineRule="auto"/>
              <w:jc w:val="right"/>
              <w:rPr>
                <w:rFonts w:asciiTheme="majorHAnsi" w:hAnsiTheme="majorHAnsi" w:cstheme="majorHAnsi"/>
                <w:sz w:val="18"/>
                <w:szCs w:val="18"/>
              </w:rPr>
            </w:pPr>
            <w:r w:rsidRPr="005976E5">
              <w:rPr>
                <w:rFonts w:asciiTheme="majorHAnsi" w:hAnsiTheme="majorHAnsi" w:cstheme="majorHAnsi"/>
                <w:sz w:val="18"/>
                <w:szCs w:val="18"/>
              </w:rPr>
              <w:t>100.0%</w:t>
            </w:r>
          </w:p>
        </w:tc>
        <w:tc>
          <w:tcPr>
            <w:tcW w:w="832" w:type="dxa"/>
            <w:tcBorders>
              <w:top w:val="single" w:sz="4" w:space="0" w:color="auto"/>
              <w:left w:val="nil"/>
              <w:bottom w:val="nil"/>
              <w:right w:val="nil"/>
            </w:tcBorders>
            <w:shd w:val="clear" w:color="auto" w:fill="auto"/>
            <w:noWrap/>
            <w:vAlign w:val="center"/>
            <w:hideMark/>
          </w:tcPr>
          <w:p w14:paraId="4FE12F5E" w14:textId="6E800339" w:rsidR="00236333" w:rsidRPr="005976E5" w:rsidRDefault="00236333">
            <w:pPr>
              <w:spacing w:after="0" w:line="240" w:lineRule="auto"/>
              <w:jc w:val="right"/>
              <w:rPr>
                <w:rFonts w:asciiTheme="majorHAnsi" w:hAnsiTheme="majorHAnsi" w:cstheme="majorHAnsi"/>
                <w:sz w:val="18"/>
                <w:szCs w:val="18"/>
              </w:rPr>
            </w:pPr>
            <w:r w:rsidRPr="005976E5">
              <w:rPr>
                <w:rFonts w:asciiTheme="majorHAnsi" w:hAnsiTheme="majorHAnsi" w:cstheme="majorHAnsi"/>
                <w:sz w:val="18"/>
                <w:szCs w:val="18"/>
              </w:rPr>
              <w:t>-</w:t>
            </w:r>
          </w:p>
        </w:tc>
        <w:tc>
          <w:tcPr>
            <w:tcW w:w="832" w:type="dxa"/>
            <w:tcBorders>
              <w:top w:val="single" w:sz="4" w:space="0" w:color="auto"/>
              <w:left w:val="nil"/>
              <w:bottom w:val="nil"/>
              <w:right w:val="nil"/>
            </w:tcBorders>
            <w:shd w:val="clear" w:color="auto" w:fill="auto"/>
            <w:noWrap/>
            <w:vAlign w:val="center"/>
            <w:hideMark/>
          </w:tcPr>
          <w:p w14:paraId="0CE2F67A" w14:textId="40089373" w:rsidR="00236333" w:rsidRPr="005976E5" w:rsidRDefault="00236333">
            <w:pPr>
              <w:spacing w:after="0" w:line="240" w:lineRule="auto"/>
              <w:jc w:val="right"/>
              <w:rPr>
                <w:rFonts w:asciiTheme="majorHAnsi" w:hAnsiTheme="majorHAnsi" w:cstheme="majorHAnsi"/>
                <w:sz w:val="18"/>
                <w:szCs w:val="18"/>
              </w:rPr>
            </w:pPr>
            <w:r w:rsidRPr="005976E5">
              <w:rPr>
                <w:rFonts w:asciiTheme="majorHAnsi" w:hAnsiTheme="majorHAnsi" w:cstheme="majorHAnsi"/>
                <w:sz w:val="18"/>
                <w:szCs w:val="18"/>
              </w:rPr>
              <w:t>-</w:t>
            </w:r>
          </w:p>
        </w:tc>
        <w:tc>
          <w:tcPr>
            <w:tcW w:w="832" w:type="dxa"/>
            <w:tcBorders>
              <w:top w:val="single" w:sz="4" w:space="0" w:color="auto"/>
              <w:left w:val="nil"/>
              <w:bottom w:val="nil"/>
              <w:right w:val="nil"/>
            </w:tcBorders>
            <w:shd w:val="clear" w:color="auto" w:fill="auto"/>
            <w:noWrap/>
            <w:vAlign w:val="center"/>
            <w:hideMark/>
          </w:tcPr>
          <w:p w14:paraId="7A166B2D" w14:textId="240D726E" w:rsidR="00236333" w:rsidRPr="005976E5" w:rsidRDefault="00236333">
            <w:pPr>
              <w:spacing w:after="0" w:line="240" w:lineRule="auto"/>
              <w:jc w:val="right"/>
              <w:rPr>
                <w:rFonts w:asciiTheme="majorHAnsi" w:hAnsiTheme="majorHAnsi" w:cstheme="majorHAnsi"/>
                <w:sz w:val="18"/>
                <w:szCs w:val="18"/>
              </w:rPr>
            </w:pPr>
            <w:r w:rsidRPr="005976E5">
              <w:rPr>
                <w:rFonts w:asciiTheme="majorHAnsi" w:hAnsiTheme="majorHAnsi" w:cstheme="majorHAnsi"/>
                <w:sz w:val="18"/>
                <w:szCs w:val="18"/>
              </w:rPr>
              <w:t>-</w:t>
            </w:r>
          </w:p>
        </w:tc>
        <w:tc>
          <w:tcPr>
            <w:tcW w:w="832" w:type="dxa"/>
            <w:tcBorders>
              <w:top w:val="single" w:sz="4" w:space="0" w:color="auto"/>
              <w:left w:val="nil"/>
              <w:bottom w:val="nil"/>
              <w:right w:val="nil"/>
            </w:tcBorders>
            <w:shd w:val="clear" w:color="auto" w:fill="auto"/>
            <w:noWrap/>
            <w:vAlign w:val="center"/>
            <w:hideMark/>
          </w:tcPr>
          <w:p w14:paraId="491A9AC7" w14:textId="32EB9CA9" w:rsidR="00236333" w:rsidRPr="005976E5" w:rsidRDefault="00236333">
            <w:pPr>
              <w:spacing w:after="0" w:line="240" w:lineRule="auto"/>
              <w:jc w:val="right"/>
              <w:rPr>
                <w:rFonts w:asciiTheme="majorHAnsi" w:hAnsiTheme="majorHAnsi" w:cstheme="majorHAnsi"/>
                <w:sz w:val="18"/>
                <w:szCs w:val="18"/>
              </w:rPr>
            </w:pPr>
            <w:r w:rsidRPr="005976E5">
              <w:rPr>
                <w:rFonts w:asciiTheme="majorHAnsi" w:hAnsiTheme="majorHAnsi" w:cstheme="majorHAnsi"/>
                <w:sz w:val="18"/>
                <w:szCs w:val="18"/>
              </w:rPr>
              <w:t>-</w:t>
            </w:r>
          </w:p>
        </w:tc>
        <w:tc>
          <w:tcPr>
            <w:tcW w:w="832" w:type="dxa"/>
            <w:tcBorders>
              <w:top w:val="single" w:sz="4" w:space="0" w:color="auto"/>
              <w:left w:val="nil"/>
              <w:bottom w:val="nil"/>
              <w:right w:val="nil"/>
            </w:tcBorders>
            <w:shd w:val="clear" w:color="auto" w:fill="auto"/>
            <w:noWrap/>
            <w:vAlign w:val="center"/>
            <w:hideMark/>
          </w:tcPr>
          <w:p w14:paraId="1CB0A0D5" w14:textId="13E5C9CD" w:rsidR="00236333" w:rsidRPr="005976E5" w:rsidRDefault="00236333">
            <w:pPr>
              <w:spacing w:after="0" w:line="240" w:lineRule="auto"/>
              <w:jc w:val="right"/>
              <w:rPr>
                <w:rFonts w:asciiTheme="majorHAnsi" w:hAnsiTheme="majorHAnsi" w:cstheme="majorHAnsi"/>
                <w:sz w:val="18"/>
                <w:szCs w:val="18"/>
              </w:rPr>
            </w:pPr>
            <w:r w:rsidRPr="005976E5">
              <w:rPr>
                <w:rFonts w:asciiTheme="majorHAnsi" w:hAnsiTheme="majorHAnsi" w:cstheme="majorHAnsi"/>
                <w:sz w:val="18"/>
                <w:szCs w:val="18"/>
              </w:rPr>
              <w:t>-</w:t>
            </w:r>
          </w:p>
        </w:tc>
      </w:tr>
      <w:tr w:rsidR="00236333" w:rsidRPr="00F72995" w14:paraId="353CC8B6" w14:textId="77777777" w:rsidTr="005976E5">
        <w:trPr>
          <w:trHeight w:val="300"/>
        </w:trPr>
        <w:tc>
          <w:tcPr>
            <w:tcW w:w="607" w:type="dxa"/>
            <w:tcBorders>
              <w:top w:val="nil"/>
              <w:left w:val="nil"/>
              <w:bottom w:val="nil"/>
              <w:right w:val="nil"/>
            </w:tcBorders>
            <w:shd w:val="clear" w:color="auto" w:fill="auto"/>
            <w:noWrap/>
            <w:vAlign w:val="center"/>
            <w:hideMark/>
          </w:tcPr>
          <w:p w14:paraId="6884B3A2" w14:textId="77777777" w:rsidR="00236333" w:rsidRPr="00BD0B9E" w:rsidRDefault="00236333" w:rsidP="005976E5">
            <w:pPr>
              <w:spacing w:after="0" w:line="240" w:lineRule="auto"/>
              <w:jc w:val="right"/>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CH3</w:t>
            </w:r>
          </w:p>
        </w:tc>
        <w:tc>
          <w:tcPr>
            <w:tcW w:w="2654" w:type="dxa"/>
            <w:tcBorders>
              <w:top w:val="nil"/>
              <w:left w:val="nil"/>
              <w:bottom w:val="nil"/>
              <w:right w:val="nil"/>
            </w:tcBorders>
            <w:shd w:val="clear" w:color="auto" w:fill="auto"/>
            <w:noWrap/>
            <w:vAlign w:val="center"/>
            <w:hideMark/>
          </w:tcPr>
          <w:p w14:paraId="45EC2990" w14:textId="77777777" w:rsidR="00236333" w:rsidRPr="00BD0B9E" w:rsidRDefault="00236333">
            <w:pPr>
              <w:spacing w:after="0" w:line="240" w:lineRule="auto"/>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Fish</w:t>
            </w:r>
          </w:p>
        </w:tc>
        <w:tc>
          <w:tcPr>
            <w:tcW w:w="1352" w:type="dxa"/>
            <w:tcBorders>
              <w:top w:val="nil"/>
              <w:left w:val="nil"/>
              <w:bottom w:val="nil"/>
              <w:right w:val="nil"/>
            </w:tcBorders>
            <w:shd w:val="clear" w:color="auto" w:fill="auto"/>
            <w:noWrap/>
            <w:vAlign w:val="center"/>
            <w:hideMark/>
          </w:tcPr>
          <w:p w14:paraId="10035FBE" w14:textId="77777777" w:rsidR="00236333" w:rsidRPr="00F77799" w:rsidRDefault="00236333">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58,118</w:t>
            </w:r>
          </w:p>
        </w:tc>
        <w:tc>
          <w:tcPr>
            <w:tcW w:w="832" w:type="dxa"/>
            <w:tcBorders>
              <w:top w:val="nil"/>
              <w:left w:val="nil"/>
              <w:bottom w:val="nil"/>
              <w:right w:val="nil"/>
            </w:tcBorders>
            <w:shd w:val="clear" w:color="auto" w:fill="auto"/>
            <w:noWrap/>
            <w:vAlign w:val="center"/>
            <w:hideMark/>
          </w:tcPr>
          <w:p w14:paraId="6C7CBB1C" w14:textId="717B7F1B" w:rsidR="00236333" w:rsidRPr="005976E5" w:rsidRDefault="00236333">
            <w:pPr>
              <w:spacing w:after="0" w:line="240" w:lineRule="auto"/>
              <w:jc w:val="right"/>
              <w:rPr>
                <w:rFonts w:asciiTheme="majorHAnsi" w:hAnsiTheme="majorHAnsi" w:cstheme="majorHAnsi"/>
                <w:sz w:val="18"/>
                <w:szCs w:val="18"/>
              </w:rPr>
            </w:pPr>
            <w:r w:rsidRPr="005976E5">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08231F21" w14:textId="29C83382" w:rsidR="00236333" w:rsidRPr="005976E5" w:rsidRDefault="00236333">
            <w:pPr>
              <w:spacing w:after="0" w:line="240" w:lineRule="auto"/>
              <w:jc w:val="right"/>
              <w:rPr>
                <w:rFonts w:asciiTheme="majorHAnsi" w:hAnsiTheme="majorHAnsi" w:cstheme="majorHAnsi"/>
                <w:sz w:val="18"/>
                <w:szCs w:val="18"/>
              </w:rPr>
            </w:pPr>
            <w:r w:rsidRPr="005976E5">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466DF580" w14:textId="006CD015" w:rsidR="00236333" w:rsidRPr="005976E5" w:rsidRDefault="00236333">
            <w:pPr>
              <w:spacing w:after="0" w:line="240" w:lineRule="auto"/>
              <w:jc w:val="right"/>
              <w:rPr>
                <w:rFonts w:asciiTheme="majorHAnsi" w:hAnsiTheme="majorHAnsi" w:cstheme="majorHAnsi"/>
                <w:sz w:val="18"/>
                <w:szCs w:val="18"/>
              </w:rPr>
            </w:pPr>
            <w:r w:rsidRPr="005976E5">
              <w:rPr>
                <w:rFonts w:asciiTheme="majorHAnsi" w:hAnsiTheme="majorHAnsi" w:cstheme="majorHAnsi"/>
                <w:sz w:val="18"/>
                <w:szCs w:val="18"/>
              </w:rPr>
              <w:t>100.0%</w:t>
            </w:r>
          </w:p>
        </w:tc>
        <w:tc>
          <w:tcPr>
            <w:tcW w:w="832" w:type="dxa"/>
            <w:tcBorders>
              <w:top w:val="nil"/>
              <w:left w:val="nil"/>
              <w:bottom w:val="nil"/>
              <w:right w:val="nil"/>
            </w:tcBorders>
            <w:shd w:val="clear" w:color="auto" w:fill="auto"/>
            <w:noWrap/>
            <w:vAlign w:val="center"/>
            <w:hideMark/>
          </w:tcPr>
          <w:p w14:paraId="03701867" w14:textId="69775E8A" w:rsidR="00236333" w:rsidRPr="005976E5" w:rsidRDefault="00236333">
            <w:pPr>
              <w:spacing w:after="0" w:line="240" w:lineRule="auto"/>
              <w:jc w:val="right"/>
              <w:rPr>
                <w:rFonts w:asciiTheme="majorHAnsi" w:hAnsiTheme="majorHAnsi" w:cstheme="majorHAnsi"/>
                <w:sz w:val="18"/>
                <w:szCs w:val="18"/>
              </w:rPr>
            </w:pPr>
            <w:r w:rsidRPr="005976E5">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7E64E648" w14:textId="2372B4B8" w:rsidR="00236333" w:rsidRPr="005976E5" w:rsidRDefault="00236333">
            <w:pPr>
              <w:spacing w:after="0" w:line="240" w:lineRule="auto"/>
              <w:jc w:val="right"/>
              <w:rPr>
                <w:rFonts w:asciiTheme="majorHAnsi" w:hAnsiTheme="majorHAnsi" w:cstheme="majorHAnsi"/>
                <w:sz w:val="18"/>
                <w:szCs w:val="18"/>
              </w:rPr>
            </w:pPr>
            <w:r w:rsidRPr="005976E5">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7FE34134" w14:textId="028BBAF5" w:rsidR="00236333" w:rsidRPr="005976E5" w:rsidRDefault="00236333">
            <w:pPr>
              <w:spacing w:after="0" w:line="240" w:lineRule="auto"/>
              <w:jc w:val="right"/>
              <w:rPr>
                <w:rFonts w:asciiTheme="majorHAnsi" w:hAnsiTheme="majorHAnsi" w:cstheme="majorHAnsi"/>
                <w:sz w:val="18"/>
                <w:szCs w:val="18"/>
              </w:rPr>
            </w:pPr>
            <w:r w:rsidRPr="005976E5">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4C495B34" w14:textId="459000C0" w:rsidR="00236333" w:rsidRPr="005976E5" w:rsidRDefault="00236333">
            <w:pPr>
              <w:spacing w:after="0" w:line="240" w:lineRule="auto"/>
              <w:jc w:val="right"/>
              <w:rPr>
                <w:rFonts w:asciiTheme="majorHAnsi" w:hAnsiTheme="majorHAnsi" w:cstheme="majorHAnsi"/>
                <w:sz w:val="18"/>
                <w:szCs w:val="18"/>
              </w:rPr>
            </w:pPr>
            <w:r w:rsidRPr="005976E5">
              <w:rPr>
                <w:rFonts w:asciiTheme="majorHAnsi" w:hAnsiTheme="majorHAnsi" w:cstheme="majorHAnsi"/>
                <w:sz w:val="18"/>
                <w:szCs w:val="18"/>
              </w:rPr>
              <w:t>-</w:t>
            </w:r>
          </w:p>
        </w:tc>
      </w:tr>
      <w:tr w:rsidR="00236333" w:rsidRPr="00F72995" w14:paraId="195783C0" w14:textId="77777777" w:rsidTr="005976E5">
        <w:trPr>
          <w:trHeight w:val="300"/>
        </w:trPr>
        <w:tc>
          <w:tcPr>
            <w:tcW w:w="607" w:type="dxa"/>
            <w:tcBorders>
              <w:top w:val="nil"/>
              <w:left w:val="nil"/>
              <w:bottom w:val="nil"/>
              <w:right w:val="nil"/>
            </w:tcBorders>
            <w:shd w:val="clear" w:color="auto" w:fill="auto"/>
            <w:noWrap/>
            <w:vAlign w:val="center"/>
            <w:hideMark/>
          </w:tcPr>
          <w:p w14:paraId="77ECBA64" w14:textId="77777777" w:rsidR="00236333" w:rsidRPr="00BD0B9E" w:rsidRDefault="00236333" w:rsidP="005976E5">
            <w:pPr>
              <w:spacing w:after="0" w:line="240" w:lineRule="auto"/>
              <w:jc w:val="right"/>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CH4</w:t>
            </w:r>
          </w:p>
        </w:tc>
        <w:tc>
          <w:tcPr>
            <w:tcW w:w="2654" w:type="dxa"/>
            <w:tcBorders>
              <w:top w:val="nil"/>
              <w:left w:val="nil"/>
              <w:bottom w:val="nil"/>
              <w:right w:val="nil"/>
            </w:tcBorders>
            <w:shd w:val="clear" w:color="auto" w:fill="auto"/>
            <w:noWrap/>
            <w:vAlign w:val="center"/>
            <w:hideMark/>
          </w:tcPr>
          <w:p w14:paraId="4FB78B15" w14:textId="77777777" w:rsidR="00236333" w:rsidRPr="00BD0B9E" w:rsidRDefault="00236333">
            <w:pPr>
              <w:spacing w:after="0" w:line="240" w:lineRule="auto"/>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Dairy</w:t>
            </w:r>
          </w:p>
        </w:tc>
        <w:tc>
          <w:tcPr>
            <w:tcW w:w="1352" w:type="dxa"/>
            <w:tcBorders>
              <w:top w:val="nil"/>
              <w:left w:val="nil"/>
              <w:bottom w:val="nil"/>
              <w:right w:val="nil"/>
            </w:tcBorders>
            <w:shd w:val="clear" w:color="auto" w:fill="auto"/>
            <w:noWrap/>
            <w:vAlign w:val="center"/>
            <w:hideMark/>
          </w:tcPr>
          <w:p w14:paraId="4F5F8F1A" w14:textId="77777777" w:rsidR="00236333" w:rsidRPr="00F77799" w:rsidRDefault="00236333">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490,591</w:t>
            </w:r>
          </w:p>
        </w:tc>
        <w:tc>
          <w:tcPr>
            <w:tcW w:w="832" w:type="dxa"/>
            <w:tcBorders>
              <w:top w:val="nil"/>
              <w:left w:val="nil"/>
              <w:bottom w:val="nil"/>
              <w:right w:val="nil"/>
            </w:tcBorders>
            <w:shd w:val="clear" w:color="auto" w:fill="auto"/>
            <w:noWrap/>
            <w:vAlign w:val="center"/>
            <w:hideMark/>
          </w:tcPr>
          <w:p w14:paraId="2001B68F" w14:textId="4079A4FD" w:rsidR="00236333" w:rsidRPr="005976E5" w:rsidRDefault="00236333">
            <w:pPr>
              <w:spacing w:after="0" w:line="240" w:lineRule="auto"/>
              <w:jc w:val="right"/>
              <w:rPr>
                <w:rFonts w:asciiTheme="majorHAnsi" w:hAnsiTheme="majorHAnsi" w:cstheme="majorHAnsi"/>
                <w:sz w:val="18"/>
                <w:szCs w:val="18"/>
              </w:rPr>
            </w:pPr>
            <w:r w:rsidRPr="005976E5">
              <w:rPr>
                <w:rFonts w:asciiTheme="majorHAnsi" w:hAnsiTheme="majorHAnsi" w:cstheme="majorHAnsi"/>
                <w:sz w:val="18"/>
                <w:szCs w:val="18"/>
              </w:rPr>
              <w:t>100.0%</w:t>
            </w:r>
          </w:p>
        </w:tc>
        <w:tc>
          <w:tcPr>
            <w:tcW w:w="832" w:type="dxa"/>
            <w:tcBorders>
              <w:top w:val="nil"/>
              <w:left w:val="nil"/>
              <w:bottom w:val="nil"/>
              <w:right w:val="nil"/>
            </w:tcBorders>
            <w:shd w:val="clear" w:color="auto" w:fill="auto"/>
            <w:noWrap/>
            <w:vAlign w:val="center"/>
            <w:hideMark/>
          </w:tcPr>
          <w:p w14:paraId="7CC544D1" w14:textId="15BB4339" w:rsidR="00236333" w:rsidRPr="005976E5" w:rsidRDefault="00236333">
            <w:pPr>
              <w:spacing w:after="0" w:line="240" w:lineRule="auto"/>
              <w:jc w:val="right"/>
              <w:rPr>
                <w:rFonts w:asciiTheme="majorHAnsi" w:hAnsiTheme="majorHAnsi" w:cstheme="majorHAnsi"/>
                <w:sz w:val="18"/>
                <w:szCs w:val="18"/>
              </w:rPr>
            </w:pPr>
            <w:r w:rsidRPr="005976E5">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36EE00F5" w14:textId="4C0E95DB" w:rsidR="00236333" w:rsidRPr="005976E5" w:rsidRDefault="00236333">
            <w:pPr>
              <w:spacing w:after="0" w:line="240" w:lineRule="auto"/>
              <w:jc w:val="right"/>
              <w:rPr>
                <w:rFonts w:asciiTheme="majorHAnsi" w:hAnsiTheme="majorHAnsi" w:cstheme="majorHAnsi"/>
                <w:sz w:val="18"/>
                <w:szCs w:val="18"/>
              </w:rPr>
            </w:pPr>
            <w:r w:rsidRPr="005976E5">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63A79ABB" w14:textId="6697DC95" w:rsidR="00236333" w:rsidRPr="005976E5" w:rsidRDefault="00236333">
            <w:pPr>
              <w:spacing w:after="0" w:line="240" w:lineRule="auto"/>
              <w:jc w:val="right"/>
              <w:rPr>
                <w:rFonts w:asciiTheme="majorHAnsi" w:hAnsiTheme="majorHAnsi" w:cstheme="majorHAnsi"/>
                <w:sz w:val="18"/>
                <w:szCs w:val="18"/>
              </w:rPr>
            </w:pPr>
            <w:r w:rsidRPr="005976E5">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2FE7EF12" w14:textId="6AF61ACA" w:rsidR="00236333" w:rsidRPr="005976E5" w:rsidRDefault="00236333">
            <w:pPr>
              <w:spacing w:after="0" w:line="240" w:lineRule="auto"/>
              <w:jc w:val="right"/>
              <w:rPr>
                <w:rFonts w:asciiTheme="majorHAnsi" w:hAnsiTheme="majorHAnsi" w:cstheme="majorHAnsi"/>
                <w:sz w:val="18"/>
                <w:szCs w:val="18"/>
              </w:rPr>
            </w:pPr>
            <w:r w:rsidRPr="005976E5">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6FCB5808" w14:textId="7E6EAF57" w:rsidR="00236333" w:rsidRPr="005976E5" w:rsidRDefault="00236333">
            <w:pPr>
              <w:spacing w:after="0" w:line="240" w:lineRule="auto"/>
              <w:jc w:val="right"/>
              <w:rPr>
                <w:rFonts w:asciiTheme="majorHAnsi" w:hAnsiTheme="majorHAnsi" w:cstheme="majorHAnsi"/>
                <w:sz w:val="18"/>
                <w:szCs w:val="18"/>
              </w:rPr>
            </w:pPr>
            <w:r w:rsidRPr="005976E5">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66FD2A95" w14:textId="77499576" w:rsidR="00236333" w:rsidRPr="005976E5" w:rsidRDefault="00236333">
            <w:pPr>
              <w:spacing w:after="0" w:line="240" w:lineRule="auto"/>
              <w:jc w:val="right"/>
              <w:rPr>
                <w:rFonts w:asciiTheme="majorHAnsi" w:hAnsiTheme="majorHAnsi" w:cstheme="majorHAnsi"/>
                <w:sz w:val="18"/>
                <w:szCs w:val="18"/>
              </w:rPr>
            </w:pPr>
            <w:r w:rsidRPr="005976E5">
              <w:rPr>
                <w:rFonts w:asciiTheme="majorHAnsi" w:hAnsiTheme="majorHAnsi" w:cstheme="majorHAnsi"/>
                <w:sz w:val="18"/>
                <w:szCs w:val="18"/>
              </w:rPr>
              <w:t>-</w:t>
            </w:r>
          </w:p>
        </w:tc>
      </w:tr>
      <w:tr w:rsidR="00236333" w:rsidRPr="00F72995" w14:paraId="19708643" w14:textId="77777777" w:rsidTr="005976E5">
        <w:trPr>
          <w:trHeight w:val="300"/>
        </w:trPr>
        <w:tc>
          <w:tcPr>
            <w:tcW w:w="607" w:type="dxa"/>
            <w:tcBorders>
              <w:top w:val="nil"/>
              <w:left w:val="nil"/>
              <w:bottom w:val="nil"/>
              <w:right w:val="nil"/>
            </w:tcBorders>
            <w:shd w:val="clear" w:color="auto" w:fill="auto"/>
            <w:noWrap/>
            <w:vAlign w:val="center"/>
            <w:hideMark/>
          </w:tcPr>
          <w:p w14:paraId="4D662CA0" w14:textId="77777777" w:rsidR="00236333" w:rsidRPr="00BD0B9E" w:rsidRDefault="00236333" w:rsidP="005976E5">
            <w:pPr>
              <w:spacing w:after="0" w:line="240" w:lineRule="auto"/>
              <w:jc w:val="right"/>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CH7</w:t>
            </w:r>
          </w:p>
        </w:tc>
        <w:tc>
          <w:tcPr>
            <w:tcW w:w="2654" w:type="dxa"/>
            <w:tcBorders>
              <w:top w:val="nil"/>
              <w:left w:val="nil"/>
              <w:bottom w:val="nil"/>
              <w:right w:val="nil"/>
            </w:tcBorders>
            <w:shd w:val="clear" w:color="auto" w:fill="auto"/>
            <w:noWrap/>
            <w:vAlign w:val="center"/>
            <w:hideMark/>
          </w:tcPr>
          <w:p w14:paraId="63CAC1BA" w14:textId="77777777" w:rsidR="00236333" w:rsidRPr="00BD0B9E" w:rsidRDefault="00236333">
            <w:pPr>
              <w:spacing w:after="0" w:line="240" w:lineRule="auto"/>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Dried leguminous veg.</w:t>
            </w:r>
          </w:p>
        </w:tc>
        <w:tc>
          <w:tcPr>
            <w:tcW w:w="1352" w:type="dxa"/>
            <w:tcBorders>
              <w:top w:val="nil"/>
              <w:left w:val="nil"/>
              <w:bottom w:val="nil"/>
              <w:right w:val="nil"/>
            </w:tcBorders>
            <w:shd w:val="clear" w:color="auto" w:fill="auto"/>
            <w:noWrap/>
            <w:vAlign w:val="center"/>
            <w:hideMark/>
          </w:tcPr>
          <w:p w14:paraId="7476E0F9" w14:textId="77777777" w:rsidR="00236333" w:rsidRPr="00F77799" w:rsidRDefault="00236333">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68,894,783</w:t>
            </w:r>
          </w:p>
        </w:tc>
        <w:tc>
          <w:tcPr>
            <w:tcW w:w="832" w:type="dxa"/>
            <w:tcBorders>
              <w:top w:val="nil"/>
              <w:left w:val="nil"/>
              <w:bottom w:val="nil"/>
              <w:right w:val="nil"/>
            </w:tcBorders>
            <w:shd w:val="clear" w:color="auto" w:fill="auto"/>
            <w:noWrap/>
            <w:vAlign w:val="center"/>
            <w:hideMark/>
          </w:tcPr>
          <w:p w14:paraId="0FA19996" w14:textId="5CF7CF9E" w:rsidR="00236333" w:rsidRPr="005976E5" w:rsidRDefault="00236333">
            <w:pPr>
              <w:spacing w:after="0" w:line="240" w:lineRule="auto"/>
              <w:jc w:val="right"/>
              <w:rPr>
                <w:rFonts w:asciiTheme="majorHAnsi" w:hAnsiTheme="majorHAnsi" w:cstheme="majorHAnsi"/>
                <w:sz w:val="18"/>
                <w:szCs w:val="18"/>
              </w:rPr>
            </w:pPr>
            <w:r w:rsidRPr="005976E5">
              <w:rPr>
                <w:rFonts w:asciiTheme="majorHAnsi" w:hAnsiTheme="majorHAnsi" w:cstheme="majorHAnsi"/>
                <w:sz w:val="18"/>
                <w:szCs w:val="18"/>
              </w:rPr>
              <w:t>12.6%</w:t>
            </w:r>
          </w:p>
        </w:tc>
        <w:tc>
          <w:tcPr>
            <w:tcW w:w="832" w:type="dxa"/>
            <w:tcBorders>
              <w:top w:val="nil"/>
              <w:left w:val="nil"/>
              <w:bottom w:val="nil"/>
              <w:right w:val="nil"/>
            </w:tcBorders>
            <w:shd w:val="clear" w:color="auto" w:fill="auto"/>
            <w:noWrap/>
            <w:vAlign w:val="center"/>
            <w:hideMark/>
          </w:tcPr>
          <w:p w14:paraId="458DBCF9" w14:textId="29E4D510" w:rsidR="00236333" w:rsidRPr="006D5638" w:rsidRDefault="00236333">
            <w:pPr>
              <w:spacing w:after="0" w:line="240" w:lineRule="auto"/>
              <w:jc w:val="right"/>
              <w:rPr>
                <w:rFonts w:asciiTheme="majorHAnsi" w:hAnsiTheme="majorHAnsi" w:cstheme="majorHAnsi"/>
                <w:sz w:val="18"/>
                <w:szCs w:val="18"/>
              </w:rPr>
            </w:pPr>
            <w:r w:rsidRPr="005976E5">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6997801C" w14:textId="4ACE9988" w:rsidR="00236333" w:rsidRPr="006D5638" w:rsidRDefault="00236333">
            <w:pPr>
              <w:spacing w:after="0" w:line="240" w:lineRule="auto"/>
              <w:jc w:val="right"/>
              <w:rPr>
                <w:rFonts w:asciiTheme="majorHAnsi" w:hAnsiTheme="majorHAnsi" w:cstheme="majorHAnsi"/>
                <w:sz w:val="18"/>
                <w:szCs w:val="18"/>
              </w:rPr>
            </w:pPr>
            <w:r w:rsidRPr="006D5638">
              <w:rPr>
                <w:rFonts w:asciiTheme="majorHAnsi" w:hAnsiTheme="majorHAnsi" w:cstheme="majorHAnsi"/>
                <w:sz w:val="18"/>
                <w:szCs w:val="18"/>
              </w:rPr>
              <w:t>2.7%</w:t>
            </w:r>
          </w:p>
        </w:tc>
        <w:tc>
          <w:tcPr>
            <w:tcW w:w="832" w:type="dxa"/>
            <w:tcBorders>
              <w:top w:val="nil"/>
              <w:left w:val="nil"/>
              <w:bottom w:val="nil"/>
              <w:right w:val="nil"/>
            </w:tcBorders>
            <w:shd w:val="clear" w:color="auto" w:fill="auto"/>
            <w:noWrap/>
            <w:vAlign w:val="center"/>
            <w:hideMark/>
          </w:tcPr>
          <w:p w14:paraId="741AA256" w14:textId="72E4E49F" w:rsidR="00236333" w:rsidRPr="006D5638" w:rsidRDefault="00236333">
            <w:pPr>
              <w:spacing w:after="0" w:line="240" w:lineRule="auto"/>
              <w:jc w:val="right"/>
              <w:rPr>
                <w:rFonts w:asciiTheme="majorHAnsi" w:hAnsiTheme="majorHAnsi" w:cstheme="majorHAnsi"/>
                <w:sz w:val="18"/>
                <w:szCs w:val="18"/>
              </w:rPr>
            </w:pPr>
            <w:r w:rsidRPr="006D5638">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3CD2BA39" w14:textId="5223AF62" w:rsidR="00236333" w:rsidRPr="006D5638" w:rsidRDefault="00236333">
            <w:pPr>
              <w:spacing w:after="0" w:line="240" w:lineRule="auto"/>
              <w:jc w:val="right"/>
              <w:rPr>
                <w:rFonts w:asciiTheme="majorHAnsi" w:hAnsiTheme="majorHAnsi" w:cstheme="majorHAnsi"/>
                <w:sz w:val="18"/>
                <w:szCs w:val="18"/>
              </w:rPr>
            </w:pPr>
            <w:r w:rsidRPr="006D5638">
              <w:rPr>
                <w:rFonts w:asciiTheme="majorHAnsi" w:hAnsiTheme="majorHAnsi" w:cstheme="majorHAnsi"/>
                <w:sz w:val="18"/>
                <w:szCs w:val="18"/>
              </w:rPr>
              <w:t>84.6%</w:t>
            </w:r>
          </w:p>
        </w:tc>
        <w:tc>
          <w:tcPr>
            <w:tcW w:w="832" w:type="dxa"/>
            <w:tcBorders>
              <w:top w:val="nil"/>
              <w:left w:val="nil"/>
              <w:bottom w:val="nil"/>
              <w:right w:val="nil"/>
            </w:tcBorders>
            <w:shd w:val="clear" w:color="auto" w:fill="auto"/>
            <w:noWrap/>
            <w:vAlign w:val="center"/>
            <w:hideMark/>
          </w:tcPr>
          <w:p w14:paraId="7B3EF5A5" w14:textId="3E0C13C0" w:rsidR="00236333" w:rsidRPr="005130E7" w:rsidRDefault="00236333">
            <w:pPr>
              <w:spacing w:after="0" w:line="240" w:lineRule="auto"/>
              <w:jc w:val="right"/>
              <w:rPr>
                <w:rFonts w:asciiTheme="majorHAnsi" w:hAnsiTheme="majorHAnsi" w:cstheme="majorHAnsi"/>
                <w:sz w:val="18"/>
                <w:szCs w:val="18"/>
              </w:rPr>
            </w:pPr>
            <w:r w:rsidRPr="005130E7">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3962AC15" w14:textId="705E7BB9" w:rsidR="00236333" w:rsidRPr="006D5638" w:rsidRDefault="00236333">
            <w:pPr>
              <w:spacing w:after="0" w:line="240" w:lineRule="auto"/>
              <w:jc w:val="right"/>
              <w:rPr>
                <w:rFonts w:asciiTheme="majorHAnsi" w:hAnsiTheme="majorHAnsi" w:cstheme="majorHAnsi"/>
                <w:sz w:val="18"/>
                <w:szCs w:val="18"/>
              </w:rPr>
            </w:pPr>
            <w:r w:rsidRPr="005130E7">
              <w:rPr>
                <w:rFonts w:asciiTheme="majorHAnsi" w:hAnsiTheme="majorHAnsi" w:cstheme="majorHAnsi"/>
                <w:sz w:val="18"/>
                <w:szCs w:val="18"/>
              </w:rPr>
              <w:t>-</w:t>
            </w:r>
          </w:p>
        </w:tc>
      </w:tr>
      <w:tr w:rsidR="00236333" w:rsidRPr="00F72995" w14:paraId="5F55A889" w14:textId="77777777" w:rsidTr="005976E5">
        <w:trPr>
          <w:trHeight w:val="300"/>
        </w:trPr>
        <w:tc>
          <w:tcPr>
            <w:tcW w:w="607" w:type="dxa"/>
            <w:tcBorders>
              <w:top w:val="nil"/>
              <w:left w:val="nil"/>
              <w:bottom w:val="nil"/>
              <w:right w:val="nil"/>
            </w:tcBorders>
            <w:shd w:val="clear" w:color="auto" w:fill="auto"/>
            <w:noWrap/>
            <w:vAlign w:val="center"/>
            <w:hideMark/>
          </w:tcPr>
          <w:p w14:paraId="0CDB69A5" w14:textId="77777777" w:rsidR="00236333" w:rsidRPr="00BD0B9E" w:rsidRDefault="00236333" w:rsidP="006D5638">
            <w:pPr>
              <w:spacing w:after="0" w:line="240" w:lineRule="auto"/>
              <w:jc w:val="right"/>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CH8</w:t>
            </w:r>
          </w:p>
        </w:tc>
        <w:tc>
          <w:tcPr>
            <w:tcW w:w="2654" w:type="dxa"/>
            <w:tcBorders>
              <w:top w:val="nil"/>
              <w:left w:val="nil"/>
              <w:bottom w:val="nil"/>
              <w:right w:val="nil"/>
            </w:tcBorders>
            <w:shd w:val="clear" w:color="auto" w:fill="auto"/>
            <w:noWrap/>
            <w:vAlign w:val="center"/>
            <w:hideMark/>
          </w:tcPr>
          <w:p w14:paraId="5870A659" w14:textId="77777777" w:rsidR="00236333" w:rsidRPr="00BD0B9E" w:rsidRDefault="00236333">
            <w:pPr>
              <w:spacing w:after="0" w:line="240" w:lineRule="auto"/>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Veg., fruit, nuts etc.</w:t>
            </w:r>
          </w:p>
        </w:tc>
        <w:tc>
          <w:tcPr>
            <w:tcW w:w="1352" w:type="dxa"/>
            <w:tcBorders>
              <w:top w:val="nil"/>
              <w:left w:val="nil"/>
              <w:bottom w:val="nil"/>
              <w:right w:val="nil"/>
            </w:tcBorders>
            <w:shd w:val="clear" w:color="auto" w:fill="auto"/>
            <w:noWrap/>
            <w:vAlign w:val="center"/>
            <w:hideMark/>
          </w:tcPr>
          <w:p w14:paraId="74AA8224" w14:textId="77777777" w:rsidR="00236333" w:rsidRPr="00F77799" w:rsidRDefault="00236333">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107,710,561</w:t>
            </w:r>
          </w:p>
        </w:tc>
        <w:tc>
          <w:tcPr>
            <w:tcW w:w="832" w:type="dxa"/>
            <w:tcBorders>
              <w:top w:val="nil"/>
              <w:left w:val="nil"/>
              <w:bottom w:val="nil"/>
              <w:right w:val="nil"/>
            </w:tcBorders>
            <w:shd w:val="clear" w:color="auto" w:fill="auto"/>
            <w:noWrap/>
            <w:vAlign w:val="center"/>
            <w:hideMark/>
          </w:tcPr>
          <w:p w14:paraId="4C4F88CD" w14:textId="73BD5347" w:rsidR="00236333" w:rsidRPr="006D5638" w:rsidRDefault="00236333">
            <w:pPr>
              <w:spacing w:after="0" w:line="240" w:lineRule="auto"/>
              <w:jc w:val="right"/>
              <w:rPr>
                <w:rFonts w:asciiTheme="majorHAnsi" w:hAnsiTheme="majorHAnsi" w:cstheme="majorHAnsi"/>
                <w:sz w:val="18"/>
                <w:szCs w:val="18"/>
              </w:rPr>
            </w:pPr>
            <w:r w:rsidRPr="006D5638">
              <w:rPr>
                <w:rFonts w:asciiTheme="majorHAnsi" w:hAnsiTheme="majorHAnsi" w:cstheme="majorHAnsi"/>
                <w:sz w:val="18"/>
                <w:szCs w:val="18"/>
              </w:rPr>
              <w:t>3.1%</w:t>
            </w:r>
          </w:p>
        </w:tc>
        <w:tc>
          <w:tcPr>
            <w:tcW w:w="832" w:type="dxa"/>
            <w:tcBorders>
              <w:top w:val="nil"/>
              <w:left w:val="nil"/>
              <w:bottom w:val="nil"/>
              <w:right w:val="nil"/>
            </w:tcBorders>
            <w:shd w:val="clear" w:color="auto" w:fill="auto"/>
            <w:noWrap/>
            <w:vAlign w:val="center"/>
            <w:hideMark/>
          </w:tcPr>
          <w:p w14:paraId="224005B4" w14:textId="4130BA5D" w:rsidR="00236333" w:rsidRPr="006D5638" w:rsidRDefault="00236333">
            <w:pPr>
              <w:spacing w:after="0" w:line="240" w:lineRule="auto"/>
              <w:jc w:val="right"/>
              <w:rPr>
                <w:rFonts w:asciiTheme="majorHAnsi" w:hAnsiTheme="majorHAnsi" w:cstheme="majorHAnsi"/>
                <w:sz w:val="18"/>
                <w:szCs w:val="18"/>
              </w:rPr>
            </w:pPr>
            <w:r w:rsidRPr="005130E7">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0D278D15" w14:textId="056A4719" w:rsidR="00236333" w:rsidRPr="006D5638" w:rsidRDefault="00236333">
            <w:pPr>
              <w:spacing w:after="0" w:line="240" w:lineRule="auto"/>
              <w:jc w:val="right"/>
              <w:rPr>
                <w:rFonts w:asciiTheme="majorHAnsi" w:hAnsiTheme="majorHAnsi" w:cstheme="majorHAnsi"/>
                <w:sz w:val="18"/>
                <w:szCs w:val="18"/>
              </w:rPr>
            </w:pPr>
            <w:r w:rsidRPr="006D5638">
              <w:rPr>
                <w:rFonts w:asciiTheme="majorHAnsi" w:hAnsiTheme="majorHAnsi" w:cstheme="majorHAnsi"/>
                <w:sz w:val="18"/>
                <w:szCs w:val="18"/>
              </w:rPr>
              <w:t>0.2%</w:t>
            </w:r>
          </w:p>
        </w:tc>
        <w:tc>
          <w:tcPr>
            <w:tcW w:w="832" w:type="dxa"/>
            <w:tcBorders>
              <w:top w:val="nil"/>
              <w:left w:val="nil"/>
              <w:bottom w:val="nil"/>
              <w:right w:val="nil"/>
            </w:tcBorders>
            <w:shd w:val="clear" w:color="auto" w:fill="auto"/>
            <w:noWrap/>
            <w:vAlign w:val="center"/>
            <w:hideMark/>
          </w:tcPr>
          <w:p w14:paraId="415C0511" w14:textId="59363E3B" w:rsidR="00236333" w:rsidRPr="005130E7" w:rsidRDefault="00236333">
            <w:pPr>
              <w:spacing w:after="0" w:line="240" w:lineRule="auto"/>
              <w:jc w:val="right"/>
              <w:rPr>
                <w:rFonts w:asciiTheme="majorHAnsi" w:hAnsiTheme="majorHAnsi" w:cstheme="majorHAnsi"/>
                <w:sz w:val="18"/>
                <w:szCs w:val="18"/>
              </w:rPr>
            </w:pPr>
            <w:r w:rsidRPr="005130E7">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023B3DFD" w14:textId="10FE4776" w:rsidR="00236333" w:rsidRPr="006D5638" w:rsidRDefault="00236333">
            <w:pPr>
              <w:spacing w:after="0" w:line="240" w:lineRule="auto"/>
              <w:jc w:val="right"/>
              <w:rPr>
                <w:rFonts w:asciiTheme="majorHAnsi" w:hAnsiTheme="majorHAnsi" w:cstheme="majorHAnsi"/>
                <w:sz w:val="18"/>
                <w:szCs w:val="18"/>
              </w:rPr>
            </w:pPr>
            <w:r w:rsidRPr="006D5638">
              <w:rPr>
                <w:rFonts w:asciiTheme="majorHAnsi" w:hAnsiTheme="majorHAnsi" w:cstheme="majorHAnsi"/>
                <w:sz w:val="18"/>
                <w:szCs w:val="18"/>
              </w:rPr>
              <w:t>96.7%</w:t>
            </w:r>
          </w:p>
        </w:tc>
        <w:tc>
          <w:tcPr>
            <w:tcW w:w="832" w:type="dxa"/>
            <w:tcBorders>
              <w:top w:val="nil"/>
              <w:left w:val="nil"/>
              <w:bottom w:val="nil"/>
              <w:right w:val="nil"/>
            </w:tcBorders>
            <w:shd w:val="clear" w:color="auto" w:fill="auto"/>
            <w:noWrap/>
            <w:vAlign w:val="center"/>
            <w:hideMark/>
          </w:tcPr>
          <w:p w14:paraId="35C5BA19" w14:textId="06082E2C" w:rsidR="00236333" w:rsidRPr="005130E7" w:rsidRDefault="00236333">
            <w:pPr>
              <w:spacing w:after="0" w:line="240" w:lineRule="auto"/>
              <w:jc w:val="right"/>
              <w:rPr>
                <w:rFonts w:asciiTheme="majorHAnsi" w:hAnsiTheme="majorHAnsi" w:cstheme="majorHAnsi"/>
                <w:sz w:val="18"/>
                <w:szCs w:val="18"/>
              </w:rPr>
            </w:pPr>
            <w:r w:rsidRPr="005130E7">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7D812AD8" w14:textId="02DFF939" w:rsidR="00236333" w:rsidRPr="005130E7"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r>
      <w:tr w:rsidR="00236333" w:rsidRPr="00F72995" w14:paraId="525AA52A" w14:textId="77777777" w:rsidTr="005976E5">
        <w:trPr>
          <w:trHeight w:val="300"/>
        </w:trPr>
        <w:tc>
          <w:tcPr>
            <w:tcW w:w="607" w:type="dxa"/>
            <w:tcBorders>
              <w:top w:val="nil"/>
              <w:left w:val="nil"/>
              <w:bottom w:val="nil"/>
              <w:right w:val="nil"/>
            </w:tcBorders>
            <w:shd w:val="clear" w:color="auto" w:fill="auto"/>
            <w:noWrap/>
            <w:vAlign w:val="center"/>
            <w:hideMark/>
          </w:tcPr>
          <w:p w14:paraId="742F8A93" w14:textId="77777777" w:rsidR="00236333" w:rsidRPr="00BD0B9E" w:rsidRDefault="00236333" w:rsidP="006873C3">
            <w:pPr>
              <w:spacing w:after="0" w:line="240" w:lineRule="auto"/>
              <w:jc w:val="right"/>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CH10</w:t>
            </w:r>
          </w:p>
        </w:tc>
        <w:tc>
          <w:tcPr>
            <w:tcW w:w="2654" w:type="dxa"/>
            <w:tcBorders>
              <w:top w:val="nil"/>
              <w:left w:val="nil"/>
              <w:bottom w:val="nil"/>
              <w:right w:val="nil"/>
            </w:tcBorders>
            <w:shd w:val="clear" w:color="auto" w:fill="auto"/>
            <w:noWrap/>
            <w:vAlign w:val="center"/>
            <w:hideMark/>
          </w:tcPr>
          <w:p w14:paraId="5EE41E70" w14:textId="77777777" w:rsidR="00236333" w:rsidRPr="00BD0B9E" w:rsidRDefault="00236333">
            <w:pPr>
              <w:spacing w:after="0" w:line="240" w:lineRule="auto"/>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Cereals</w:t>
            </w:r>
          </w:p>
        </w:tc>
        <w:tc>
          <w:tcPr>
            <w:tcW w:w="1352" w:type="dxa"/>
            <w:tcBorders>
              <w:top w:val="nil"/>
              <w:left w:val="nil"/>
              <w:bottom w:val="nil"/>
              <w:right w:val="nil"/>
            </w:tcBorders>
            <w:shd w:val="clear" w:color="auto" w:fill="auto"/>
            <w:noWrap/>
            <w:vAlign w:val="center"/>
            <w:hideMark/>
          </w:tcPr>
          <w:p w14:paraId="7070A466" w14:textId="77777777" w:rsidR="00236333" w:rsidRPr="00F77799" w:rsidRDefault="00236333">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14,133,329</w:t>
            </w:r>
          </w:p>
        </w:tc>
        <w:tc>
          <w:tcPr>
            <w:tcW w:w="832" w:type="dxa"/>
            <w:tcBorders>
              <w:top w:val="nil"/>
              <w:left w:val="nil"/>
              <w:bottom w:val="nil"/>
              <w:right w:val="nil"/>
            </w:tcBorders>
            <w:shd w:val="clear" w:color="auto" w:fill="auto"/>
            <w:noWrap/>
            <w:vAlign w:val="center"/>
            <w:hideMark/>
          </w:tcPr>
          <w:p w14:paraId="2C5FC49B" w14:textId="6568ABC3"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26.0%</w:t>
            </w:r>
          </w:p>
        </w:tc>
        <w:tc>
          <w:tcPr>
            <w:tcW w:w="832" w:type="dxa"/>
            <w:tcBorders>
              <w:top w:val="nil"/>
              <w:left w:val="nil"/>
              <w:bottom w:val="nil"/>
              <w:right w:val="nil"/>
            </w:tcBorders>
            <w:shd w:val="clear" w:color="auto" w:fill="auto"/>
            <w:noWrap/>
            <w:vAlign w:val="center"/>
            <w:hideMark/>
          </w:tcPr>
          <w:p w14:paraId="71064958" w14:textId="7B92508C"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1938A969" w14:textId="3729139B" w:rsidR="00236333" w:rsidRPr="006D5638"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74.0%</w:t>
            </w:r>
          </w:p>
        </w:tc>
        <w:tc>
          <w:tcPr>
            <w:tcW w:w="832" w:type="dxa"/>
            <w:tcBorders>
              <w:top w:val="nil"/>
              <w:left w:val="nil"/>
              <w:bottom w:val="nil"/>
              <w:right w:val="nil"/>
            </w:tcBorders>
            <w:shd w:val="clear" w:color="auto" w:fill="auto"/>
            <w:noWrap/>
            <w:vAlign w:val="center"/>
            <w:hideMark/>
          </w:tcPr>
          <w:p w14:paraId="2DC7DF1D" w14:textId="3DE1E7D1"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67C71753" w14:textId="1E8713D8"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5BD6C968" w14:textId="3F1113EB"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59F97717" w14:textId="0D35FF08"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r>
      <w:tr w:rsidR="00236333" w:rsidRPr="00F72995" w14:paraId="4ECFFF18" w14:textId="77777777" w:rsidTr="005976E5">
        <w:trPr>
          <w:trHeight w:val="300"/>
        </w:trPr>
        <w:tc>
          <w:tcPr>
            <w:tcW w:w="607" w:type="dxa"/>
            <w:tcBorders>
              <w:top w:val="nil"/>
              <w:left w:val="nil"/>
              <w:bottom w:val="nil"/>
              <w:right w:val="nil"/>
            </w:tcBorders>
            <w:shd w:val="clear" w:color="auto" w:fill="auto"/>
            <w:noWrap/>
            <w:vAlign w:val="center"/>
            <w:hideMark/>
          </w:tcPr>
          <w:p w14:paraId="7A7F271A" w14:textId="77777777" w:rsidR="00236333" w:rsidRPr="00BD0B9E" w:rsidRDefault="00236333" w:rsidP="006873C3">
            <w:pPr>
              <w:spacing w:after="0" w:line="240" w:lineRule="auto"/>
              <w:jc w:val="right"/>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CH11</w:t>
            </w:r>
          </w:p>
        </w:tc>
        <w:tc>
          <w:tcPr>
            <w:tcW w:w="2654" w:type="dxa"/>
            <w:tcBorders>
              <w:top w:val="nil"/>
              <w:left w:val="nil"/>
              <w:bottom w:val="nil"/>
              <w:right w:val="nil"/>
            </w:tcBorders>
            <w:shd w:val="clear" w:color="auto" w:fill="auto"/>
            <w:noWrap/>
            <w:vAlign w:val="center"/>
            <w:hideMark/>
          </w:tcPr>
          <w:p w14:paraId="7B0C1165" w14:textId="77777777" w:rsidR="00236333" w:rsidRPr="00BD0B9E" w:rsidRDefault="00236333">
            <w:pPr>
              <w:spacing w:after="0" w:line="240" w:lineRule="auto"/>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Products milling industry</w:t>
            </w:r>
          </w:p>
        </w:tc>
        <w:tc>
          <w:tcPr>
            <w:tcW w:w="1352" w:type="dxa"/>
            <w:tcBorders>
              <w:top w:val="nil"/>
              <w:left w:val="nil"/>
              <w:bottom w:val="nil"/>
              <w:right w:val="nil"/>
            </w:tcBorders>
            <w:shd w:val="clear" w:color="auto" w:fill="auto"/>
            <w:noWrap/>
            <w:vAlign w:val="center"/>
            <w:hideMark/>
          </w:tcPr>
          <w:p w14:paraId="190440C3" w14:textId="77777777" w:rsidR="00236333" w:rsidRPr="00F77799" w:rsidRDefault="00236333">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15,788,622</w:t>
            </w:r>
          </w:p>
        </w:tc>
        <w:tc>
          <w:tcPr>
            <w:tcW w:w="832" w:type="dxa"/>
            <w:tcBorders>
              <w:top w:val="nil"/>
              <w:left w:val="nil"/>
              <w:bottom w:val="nil"/>
              <w:right w:val="nil"/>
            </w:tcBorders>
            <w:shd w:val="clear" w:color="auto" w:fill="auto"/>
            <w:noWrap/>
            <w:vAlign w:val="center"/>
            <w:hideMark/>
          </w:tcPr>
          <w:p w14:paraId="53353010" w14:textId="6B859585"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100.0%</w:t>
            </w:r>
          </w:p>
        </w:tc>
        <w:tc>
          <w:tcPr>
            <w:tcW w:w="832" w:type="dxa"/>
            <w:tcBorders>
              <w:top w:val="nil"/>
              <w:left w:val="nil"/>
              <w:bottom w:val="nil"/>
              <w:right w:val="nil"/>
            </w:tcBorders>
            <w:shd w:val="clear" w:color="auto" w:fill="auto"/>
            <w:noWrap/>
            <w:vAlign w:val="center"/>
            <w:hideMark/>
          </w:tcPr>
          <w:p w14:paraId="3A81AAA2" w14:textId="7EC5F152"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1B7BD402" w14:textId="0AC7C71C"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78810B51" w14:textId="2D2E3B70"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099C2448" w14:textId="61AB0F5A"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46288964" w14:textId="7A78DD76"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1C2B93C0" w14:textId="09D4FC0B"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r>
      <w:tr w:rsidR="00236333" w:rsidRPr="00F72995" w14:paraId="4C10C873" w14:textId="77777777" w:rsidTr="005976E5">
        <w:trPr>
          <w:trHeight w:val="300"/>
        </w:trPr>
        <w:tc>
          <w:tcPr>
            <w:tcW w:w="607" w:type="dxa"/>
            <w:tcBorders>
              <w:top w:val="nil"/>
              <w:left w:val="nil"/>
              <w:bottom w:val="nil"/>
              <w:right w:val="nil"/>
            </w:tcBorders>
            <w:shd w:val="clear" w:color="auto" w:fill="auto"/>
            <w:noWrap/>
            <w:vAlign w:val="center"/>
            <w:hideMark/>
          </w:tcPr>
          <w:p w14:paraId="1C7A2D76" w14:textId="77777777" w:rsidR="00236333" w:rsidRPr="00BD0B9E" w:rsidRDefault="00236333" w:rsidP="006873C3">
            <w:pPr>
              <w:spacing w:after="0" w:line="240" w:lineRule="auto"/>
              <w:jc w:val="right"/>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CH12</w:t>
            </w:r>
          </w:p>
        </w:tc>
        <w:tc>
          <w:tcPr>
            <w:tcW w:w="2654" w:type="dxa"/>
            <w:tcBorders>
              <w:top w:val="nil"/>
              <w:left w:val="nil"/>
              <w:bottom w:val="nil"/>
              <w:right w:val="nil"/>
            </w:tcBorders>
            <w:shd w:val="clear" w:color="auto" w:fill="auto"/>
            <w:noWrap/>
            <w:vAlign w:val="center"/>
            <w:hideMark/>
          </w:tcPr>
          <w:p w14:paraId="162ED75E" w14:textId="77777777" w:rsidR="00236333" w:rsidRPr="00BD0B9E" w:rsidRDefault="00236333">
            <w:pPr>
              <w:spacing w:after="0" w:line="240" w:lineRule="auto"/>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Rape or colza seed</w:t>
            </w:r>
          </w:p>
        </w:tc>
        <w:tc>
          <w:tcPr>
            <w:tcW w:w="1352" w:type="dxa"/>
            <w:tcBorders>
              <w:top w:val="nil"/>
              <w:left w:val="nil"/>
              <w:bottom w:val="nil"/>
              <w:right w:val="nil"/>
            </w:tcBorders>
            <w:shd w:val="clear" w:color="auto" w:fill="auto"/>
            <w:noWrap/>
            <w:vAlign w:val="center"/>
            <w:hideMark/>
          </w:tcPr>
          <w:p w14:paraId="1E090046" w14:textId="77777777" w:rsidR="00236333" w:rsidRPr="00F77799" w:rsidRDefault="00236333">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0</w:t>
            </w:r>
          </w:p>
        </w:tc>
        <w:tc>
          <w:tcPr>
            <w:tcW w:w="832" w:type="dxa"/>
            <w:tcBorders>
              <w:top w:val="nil"/>
              <w:left w:val="nil"/>
              <w:bottom w:val="nil"/>
              <w:right w:val="nil"/>
            </w:tcBorders>
            <w:shd w:val="clear" w:color="auto" w:fill="auto"/>
            <w:noWrap/>
            <w:vAlign w:val="center"/>
            <w:hideMark/>
          </w:tcPr>
          <w:p w14:paraId="5A5C5013" w14:textId="4AD5F55B"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2278D028" w14:textId="0D328937"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0FD64D8D" w14:textId="66C6BEB2"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2B69C47C" w14:textId="718EA9F2"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13A38D9C" w14:textId="091AAFB7"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047C54DF" w14:textId="5FD3AA43"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30D08F28" w14:textId="5637C1AD"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r>
      <w:tr w:rsidR="00236333" w:rsidRPr="00F72995" w14:paraId="1B9E4BFC" w14:textId="77777777" w:rsidTr="005976E5">
        <w:trPr>
          <w:trHeight w:val="300"/>
        </w:trPr>
        <w:tc>
          <w:tcPr>
            <w:tcW w:w="607" w:type="dxa"/>
            <w:tcBorders>
              <w:top w:val="nil"/>
              <w:left w:val="nil"/>
              <w:bottom w:val="nil"/>
              <w:right w:val="nil"/>
            </w:tcBorders>
            <w:shd w:val="clear" w:color="auto" w:fill="auto"/>
            <w:noWrap/>
            <w:vAlign w:val="center"/>
            <w:hideMark/>
          </w:tcPr>
          <w:p w14:paraId="3AE6B23A" w14:textId="77777777" w:rsidR="00236333" w:rsidRPr="00BD0B9E" w:rsidRDefault="00236333" w:rsidP="006873C3">
            <w:pPr>
              <w:spacing w:after="0" w:line="240" w:lineRule="auto"/>
              <w:jc w:val="right"/>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CH15</w:t>
            </w:r>
          </w:p>
        </w:tc>
        <w:tc>
          <w:tcPr>
            <w:tcW w:w="2654" w:type="dxa"/>
            <w:tcBorders>
              <w:top w:val="nil"/>
              <w:left w:val="nil"/>
              <w:bottom w:val="nil"/>
              <w:right w:val="nil"/>
            </w:tcBorders>
            <w:shd w:val="clear" w:color="auto" w:fill="auto"/>
            <w:noWrap/>
            <w:vAlign w:val="center"/>
            <w:hideMark/>
          </w:tcPr>
          <w:p w14:paraId="3F503BBA" w14:textId="77777777" w:rsidR="00236333" w:rsidRPr="00BD0B9E" w:rsidRDefault="00236333">
            <w:pPr>
              <w:spacing w:after="0" w:line="240" w:lineRule="auto"/>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Animal or vegetable fats</w:t>
            </w:r>
          </w:p>
        </w:tc>
        <w:tc>
          <w:tcPr>
            <w:tcW w:w="1352" w:type="dxa"/>
            <w:tcBorders>
              <w:top w:val="nil"/>
              <w:left w:val="nil"/>
              <w:bottom w:val="nil"/>
              <w:right w:val="nil"/>
            </w:tcBorders>
            <w:shd w:val="clear" w:color="auto" w:fill="auto"/>
            <w:noWrap/>
            <w:vAlign w:val="center"/>
            <w:hideMark/>
          </w:tcPr>
          <w:p w14:paraId="0410348D" w14:textId="77777777" w:rsidR="00236333" w:rsidRPr="00F77799" w:rsidRDefault="00236333">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373,561</w:t>
            </w:r>
          </w:p>
        </w:tc>
        <w:tc>
          <w:tcPr>
            <w:tcW w:w="832" w:type="dxa"/>
            <w:tcBorders>
              <w:top w:val="nil"/>
              <w:left w:val="nil"/>
              <w:bottom w:val="nil"/>
              <w:right w:val="nil"/>
            </w:tcBorders>
            <w:shd w:val="clear" w:color="auto" w:fill="auto"/>
            <w:noWrap/>
            <w:vAlign w:val="center"/>
            <w:hideMark/>
          </w:tcPr>
          <w:p w14:paraId="7CBCC0DD" w14:textId="340DF4EC"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9.9%</w:t>
            </w:r>
          </w:p>
        </w:tc>
        <w:tc>
          <w:tcPr>
            <w:tcW w:w="832" w:type="dxa"/>
            <w:tcBorders>
              <w:top w:val="nil"/>
              <w:left w:val="nil"/>
              <w:bottom w:val="nil"/>
              <w:right w:val="nil"/>
            </w:tcBorders>
            <w:shd w:val="clear" w:color="auto" w:fill="auto"/>
            <w:noWrap/>
            <w:vAlign w:val="center"/>
            <w:hideMark/>
          </w:tcPr>
          <w:p w14:paraId="703FCE9A" w14:textId="1679CADE"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5AE5CE93" w14:textId="596864EA"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90.1%</w:t>
            </w:r>
          </w:p>
        </w:tc>
        <w:tc>
          <w:tcPr>
            <w:tcW w:w="832" w:type="dxa"/>
            <w:tcBorders>
              <w:top w:val="nil"/>
              <w:left w:val="nil"/>
              <w:bottom w:val="nil"/>
              <w:right w:val="nil"/>
            </w:tcBorders>
            <w:shd w:val="clear" w:color="auto" w:fill="auto"/>
            <w:noWrap/>
            <w:vAlign w:val="center"/>
            <w:hideMark/>
          </w:tcPr>
          <w:p w14:paraId="3D32B525" w14:textId="14F43CAD"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5D5C1AD1" w14:textId="78C88040"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317D9D9E" w14:textId="3EED1B6D"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3B147A22" w14:textId="2941E7F6"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r>
      <w:tr w:rsidR="00236333" w:rsidRPr="00F72995" w14:paraId="023C4A6F" w14:textId="77777777" w:rsidTr="005976E5">
        <w:trPr>
          <w:trHeight w:val="300"/>
        </w:trPr>
        <w:tc>
          <w:tcPr>
            <w:tcW w:w="607" w:type="dxa"/>
            <w:tcBorders>
              <w:top w:val="nil"/>
              <w:left w:val="nil"/>
              <w:bottom w:val="nil"/>
              <w:right w:val="nil"/>
            </w:tcBorders>
            <w:shd w:val="clear" w:color="auto" w:fill="auto"/>
            <w:noWrap/>
            <w:vAlign w:val="center"/>
            <w:hideMark/>
          </w:tcPr>
          <w:p w14:paraId="22D5D006" w14:textId="77777777" w:rsidR="00236333" w:rsidRPr="00BD0B9E" w:rsidRDefault="00236333" w:rsidP="006873C3">
            <w:pPr>
              <w:spacing w:after="0" w:line="240" w:lineRule="auto"/>
              <w:jc w:val="right"/>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CH19</w:t>
            </w:r>
          </w:p>
        </w:tc>
        <w:tc>
          <w:tcPr>
            <w:tcW w:w="2654" w:type="dxa"/>
            <w:tcBorders>
              <w:top w:val="nil"/>
              <w:left w:val="nil"/>
              <w:bottom w:val="nil"/>
              <w:right w:val="nil"/>
            </w:tcBorders>
            <w:shd w:val="clear" w:color="auto" w:fill="auto"/>
            <w:noWrap/>
            <w:vAlign w:val="center"/>
            <w:hideMark/>
          </w:tcPr>
          <w:p w14:paraId="7F9A48F9" w14:textId="77777777" w:rsidR="00236333" w:rsidRPr="00BD0B9E" w:rsidRDefault="00236333">
            <w:pPr>
              <w:spacing w:after="0" w:line="240" w:lineRule="auto"/>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Food prep.</w:t>
            </w:r>
          </w:p>
        </w:tc>
        <w:tc>
          <w:tcPr>
            <w:tcW w:w="1352" w:type="dxa"/>
            <w:tcBorders>
              <w:top w:val="nil"/>
              <w:left w:val="nil"/>
              <w:bottom w:val="nil"/>
              <w:right w:val="nil"/>
            </w:tcBorders>
            <w:shd w:val="clear" w:color="auto" w:fill="auto"/>
            <w:noWrap/>
            <w:vAlign w:val="center"/>
            <w:hideMark/>
          </w:tcPr>
          <w:p w14:paraId="5CEE6DA5" w14:textId="77777777" w:rsidR="00236333" w:rsidRPr="00F77799" w:rsidRDefault="00236333">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369,707</w:t>
            </w:r>
          </w:p>
        </w:tc>
        <w:tc>
          <w:tcPr>
            <w:tcW w:w="832" w:type="dxa"/>
            <w:tcBorders>
              <w:top w:val="nil"/>
              <w:left w:val="nil"/>
              <w:bottom w:val="nil"/>
              <w:right w:val="nil"/>
            </w:tcBorders>
            <w:shd w:val="clear" w:color="auto" w:fill="auto"/>
            <w:noWrap/>
            <w:vAlign w:val="center"/>
            <w:hideMark/>
          </w:tcPr>
          <w:p w14:paraId="41F13014" w14:textId="606C8728"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20.1%</w:t>
            </w:r>
          </w:p>
        </w:tc>
        <w:tc>
          <w:tcPr>
            <w:tcW w:w="832" w:type="dxa"/>
            <w:tcBorders>
              <w:top w:val="nil"/>
              <w:left w:val="nil"/>
              <w:bottom w:val="nil"/>
              <w:right w:val="nil"/>
            </w:tcBorders>
            <w:shd w:val="clear" w:color="auto" w:fill="auto"/>
            <w:noWrap/>
            <w:vAlign w:val="center"/>
            <w:hideMark/>
          </w:tcPr>
          <w:p w14:paraId="5CCE40A3" w14:textId="3E89EB9D"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6F929117" w14:textId="4C20B6F5"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79.9%</w:t>
            </w:r>
          </w:p>
        </w:tc>
        <w:tc>
          <w:tcPr>
            <w:tcW w:w="832" w:type="dxa"/>
            <w:tcBorders>
              <w:top w:val="nil"/>
              <w:left w:val="nil"/>
              <w:bottom w:val="nil"/>
              <w:right w:val="nil"/>
            </w:tcBorders>
            <w:shd w:val="clear" w:color="auto" w:fill="auto"/>
            <w:noWrap/>
            <w:vAlign w:val="center"/>
            <w:hideMark/>
          </w:tcPr>
          <w:p w14:paraId="64D5246D" w14:textId="1E17B570"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5FE35A37" w14:textId="0E985AC3"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3008CA0C" w14:textId="05DEB2DA"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5C3BEE92" w14:textId="4B7FF7A9"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r>
      <w:tr w:rsidR="00236333" w:rsidRPr="00F72995" w14:paraId="13BCABFF" w14:textId="77777777" w:rsidTr="005976E5">
        <w:trPr>
          <w:trHeight w:val="300"/>
        </w:trPr>
        <w:tc>
          <w:tcPr>
            <w:tcW w:w="607" w:type="dxa"/>
            <w:tcBorders>
              <w:top w:val="nil"/>
              <w:left w:val="nil"/>
              <w:bottom w:val="nil"/>
              <w:right w:val="nil"/>
            </w:tcBorders>
            <w:shd w:val="clear" w:color="auto" w:fill="auto"/>
            <w:noWrap/>
            <w:vAlign w:val="center"/>
            <w:hideMark/>
          </w:tcPr>
          <w:p w14:paraId="5E002D4F" w14:textId="77777777" w:rsidR="00236333" w:rsidRPr="00BD0B9E" w:rsidRDefault="00236333" w:rsidP="006873C3">
            <w:pPr>
              <w:spacing w:after="0" w:line="240" w:lineRule="auto"/>
              <w:jc w:val="right"/>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CH20</w:t>
            </w:r>
          </w:p>
        </w:tc>
        <w:tc>
          <w:tcPr>
            <w:tcW w:w="2654" w:type="dxa"/>
            <w:tcBorders>
              <w:top w:val="nil"/>
              <w:left w:val="nil"/>
              <w:bottom w:val="nil"/>
              <w:right w:val="nil"/>
            </w:tcBorders>
            <w:shd w:val="clear" w:color="auto" w:fill="auto"/>
            <w:noWrap/>
            <w:vAlign w:val="center"/>
            <w:hideMark/>
          </w:tcPr>
          <w:p w14:paraId="47D71741" w14:textId="77777777" w:rsidR="00236333" w:rsidRPr="00BD0B9E" w:rsidRDefault="00236333">
            <w:pPr>
              <w:spacing w:after="0" w:line="240" w:lineRule="auto"/>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Prep. veg., fruit, nuts, etc.</w:t>
            </w:r>
          </w:p>
        </w:tc>
        <w:tc>
          <w:tcPr>
            <w:tcW w:w="1352" w:type="dxa"/>
            <w:tcBorders>
              <w:top w:val="nil"/>
              <w:left w:val="nil"/>
              <w:bottom w:val="nil"/>
              <w:right w:val="nil"/>
            </w:tcBorders>
            <w:shd w:val="clear" w:color="auto" w:fill="auto"/>
            <w:noWrap/>
            <w:vAlign w:val="center"/>
            <w:hideMark/>
          </w:tcPr>
          <w:p w14:paraId="21A3E425" w14:textId="77777777" w:rsidR="00236333" w:rsidRPr="00F77799" w:rsidRDefault="00236333">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2,153,446</w:t>
            </w:r>
          </w:p>
        </w:tc>
        <w:tc>
          <w:tcPr>
            <w:tcW w:w="832" w:type="dxa"/>
            <w:tcBorders>
              <w:top w:val="nil"/>
              <w:left w:val="nil"/>
              <w:bottom w:val="nil"/>
              <w:right w:val="nil"/>
            </w:tcBorders>
            <w:shd w:val="clear" w:color="auto" w:fill="auto"/>
            <w:noWrap/>
            <w:vAlign w:val="center"/>
            <w:hideMark/>
          </w:tcPr>
          <w:p w14:paraId="27741684" w14:textId="074CFD84"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4.3%</w:t>
            </w:r>
          </w:p>
        </w:tc>
        <w:tc>
          <w:tcPr>
            <w:tcW w:w="832" w:type="dxa"/>
            <w:tcBorders>
              <w:top w:val="nil"/>
              <w:left w:val="nil"/>
              <w:bottom w:val="nil"/>
              <w:right w:val="nil"/>
            </w:tcBorders>
            <w:shd w:val="clear" w:color="auto" w:fill="auto"/>
            <w:noWrap/>
            <w:vAlign w:val="center"/>
            <w:hideMark/>
          </w:tcPr>
          <w:p w14:paraId="2B908CD6" w14:textId="2FA672BE"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6377C123" w14:textId="1F8CA8EF"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95.7%</w:t>
            </w:r>
          </w:p>
        </w:tc>
        <w:tc>
          <w:tcPr>
            <w:tcW w:w="832" w:type="dxa"/>
            <w:tcBorders>
              <w:top w:val="nil"/>
              <w:left w:val="nil"/>
              <w:bottom w:val="nil"/>
              <w:right w:val="nil"/>
            </w:tcBorders>
            <w:shd w:val="clear" w:color="auto" w:fill="auto"/>
            <w:noWrap/>
            <w:vAlign w:val="center"/>
            <w:hideMark/>
          </w:tcPr>
          <w:p w14:paraId="04393BED" w14:textId="72399E5B"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22BCAF44" w14:textId="277CF87B"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3B9C9813" w14:textId="00553E0F"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0182D89D" w14:textId="613A81D7"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r>
      <w:tr w:rsidR="00236333" w:rsidRPr="00F72995" w14:paraId="05BE6EC3" w14:textId="77777777" w:rsidTr="005976E5">
        <w:trPr>
          <w:trHeight w:val="300"/>
        </w:trPr>
        <w:tc>
          <w:tcPr>
            <w:tcW w:w="607" w:type="dxa"/>
            <w:tcBorders>
              <w:top w:val="nil"/>
              <w:left w:val="nil"/>
              <w:bottom w:val="nil"/>
              <w:right w:val="nil"/>
            </w:tcBorders>
            <w:shd w:val="clear" w:color="auto" w:fill="auto"/>
            <w:noWrap/>
            <w:vAlign w:val="center"/>
            <w:hideMark/>
          </w:tcPr>
          <w:p w14:paraId="481F0884" w14:textId="77777777" w:rsidR="00236333" w:rsidRPr="00BD0B9E" w:rsidRDefault="00236333" w:rsidP="006873C3">
            <w:pPr>
              <w:spacing w:after="0" w:line="240" w:lineRule="auto"/>
              <w:jc w:val="right"/>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CH21</w:t>
            </w:r>
          </w:p>
        </w:tc>
        <w:tc>
          <w:tcPr>
            <w:tcW w:w="2654" w:type="dxa"/>
            <w:tcBorders>
              <w:top w:val="nil"/>
              <w:left w:val="nil"/>
              <w:bottom w:val="nil"/>
              <w:right w:val="nil"/>
            </w:tcBorders>
            <w:shd w:val="clear" w:color="auto" w:fill="auto"/>
            <w:noWrap/>
            <w:vAlign w:val="center"/>
            <w:hideMark/>
          </w:tcPr>
          <w:p w14:paraId="69967BBE" w14:textId="77777777" w:rsidR="00236333" w:rsidRPr="00BD0B9E" w:rsidRDefault="00236333">
            <w:pPr>
              <w:spacing w:after="0" w:line="240" w:lineRule="auto"/>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Misc. edible prep.</w:t>
            </w:r>
          </w:p>
        </w:tc>
        <w:tc>
          <w:tcPr>
            <w:tcW w:w="1352" w:type="dxa"/>
            <w:tcBorders>
              <w:top w:val="nil"/>
              <w:left w:val="nil"/>
              <w:bottom w:val="nil"/>
              <w:right w:val="nil"/>
            </w:tcBorders>
            <w:shd w:val="clear" w:color="auto" w:fill="auto"/>
            <w:noWrap/>
            <w:vAlign w:val="center"/>
            <w:hideMark/>
          </w:tcPr>
          <w:p w14:paraId="4D160AA1" w14:textId="77777777" w:rsidR="00236333" w:rsidRPr="00F77799" w:rsidRDefault="00236333">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1,126,186</w:t>
            </w:r>
          </w:p>
        </w:tc>
        <w:tc>
          <w:tcPr>
            <w:tcW w:w="832" w:type="dxa"/>
            <w:tcBorders>
              <w:top w:val="nil"/>
              <w:left w:val="nil"/>
              <w:bottom w:val="nil"/>
              <w:right w:val="nil"/>
            </w:tcBorders>
            <w:shd w:val="clear" w:color="auto" w:fill="auto"/>
            <w:noWrap/>
            <w:vAlign w:val="center"/>
            <w:hideMark/>
          </w:tcPr>
          <w:p w14:paraId="61A29DD3" w14:textId="1C93FE62"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73.3%</w:t>
            </w:r>
          </w:p>
        </w:tc>
        <w:tc>
          <w:tcPr>
            <w:tcW w:w="832" w:type="dxa"/>
            <w:tcBorders>
              <w:top w:val="nil"/>
              <w:left w:val="nil"/>
              <w:bottom w:val="nil"/>
              <w:right w:val="nil"/>
            </w:tcBorders>
            <w:shd w:val="clear" w:color="auto" w:fill="auto"/>
            <w:noWrap/>
            <w:vAlign w:val="center"/>
            <w:hideMark/>
          </w:tcPr>
          <w:p w14:paraId="368D919A" w14:textId="7492BF54"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701794A3" w14:textId="3CC2EF87"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26.7%</w:t>
            </w:r>
          </w:p>
        </w:tc>
        <w:tc>
          <w:tcPr>
            <w:tcW w:w="832" w:type="dxa"/>
            <w:tcBorders>
              <w:top w:val="nil"/>
              <w:left w:val="nil"/>
              <w:bottom w:val="nil"/>
              <w:right w:val="nil"/>
            </w:tcBorders>
            <w:shd w:val="clear" w:color="auto" w:fill="auto"/>
            <w:noWrap/>
            <w:vAlign w:val="center"/>
            <w:hideMark/>
          </w:tcPr>
          <w:p w14:paraId="53AE2D4C" w14:textId="1D6BEB2E"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5C0C8EA8" w14:textId="502A1515"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68C998E6" w14:textId="7977AA81"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18FB8F8A" w14:textId="7ED51BEF"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r>
      <w:tr w:rsidR="00236333" w:rsidRPr="00F72995" w14:paraId="1EA20C21" w14:textId="77777777" w:rsidTr="005976E5">
        <w:trPr>
          <w:trHeight w:val="300"/>
        </w:trPr>
        <w:tc>
          <w:tcPr>
            <w:tcW w:w="607" w:type="dxa"/>
            <w:tcBorders>
              <w:top w:val="nil"/>
              <w:left w:val="nil"/>
              <w:bottom w:val="nil"/>
              <w:right w:val="nil"/>
            </w:tcBorders>
            <w:shd w:val="clear" w:color="auto" w:fill="auto"/>
            <w:noWrap/>
            <w:vAlign w:val="center"/>
            <w:hideMark/>
          </w:tcPr>
          <w:p w14:paraId="75ABE935" w14:textId="77777777" w:rsidR="00236333" w:rsidRPr="00BD0B9E" w:rsidRDefault="00236333" w:rsidP="006873C3">
            <w:pPr>
              <w:spacing w:after="0" w:line="240" w:lineRule="auto"/>
              <w:jc w:val="right"/>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CH22</w:t>
            </w:r>
          </w:p>
        </w:tc>
        <w:tc>
          <w:tcPr>
            <w:tcW w:w="2654" w:type="dxa"/>
            <w:tcBorders>
              <w:top w:val="nil"/>
              <w:left w:val="nil"/>
              <w:bottom w:val="nil"/>
              <w:right w:val="nil"/>
            </w:tcBorders>
            <w:shd w:val="clear" w:color="auto" w:fill="auto"/>
            <w:noWrap/>
            <w:vAlign w:val="center"/>
            <w:hideMark/>
          </w:tcPr>
          <w:p w14:paraId="5F1E8333" w14:textId="77777777" w:rsidR="00236333" w:rsidRPr="00BD0B9E" w:rsidRDefault="00236333">
            <w:pPr>
              <w:spacing w:after="0" w:line="240" w:lineRule="auto"/>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Wine</w:t>
            </w:r>
          </w:p>
        </w:tc>
        <w:tc>
          <w:tcPr>
            <w:tcW w:w="1352" w:type="dxa"/>
            <w:tcBorders>
              <w:top w:val="nil"/>
              <w:left w:val="nil"/>
              <w:bottom w:val="nil"/>
              <w:right w:val="nil"/>
            </w:tcBorders>
            <w:shd w:val="clear" w:color="auto" w:fill="auto"/>
            <w:noWrap/>
            <w:vAlign w:val="center"/>
            <w:hideMark/>
          </w:tcPr>
          <w:p w14:paraId="309C1990" w14:textId="77777777" w:rsidR="00236333" w:rsidRPr="00F77799" w:rsidRDefault="00236333">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7,343,450</w:t>
            </w:r>
          </w:p>
        </w:tc>
        <w:tc>
          <w:tcPr>
            <w:tcW w:w="832" w:type="dxa"/>
            <w:tcBorders>
              <w:top w:val="nil"/>
              <w:left w:val="nil"/>
              <w:bottom w:val="nil"/>
              <w:right w:val="nil"/>
            </w:tcBorders>
            <w:shd w:val="clear" w:color="auto" w:fill="auto"/>
            <w:noWrap/>
            <w:vAlign w:val="center"/>
            <w:hideMark/>
          </w:tcPr>
          <w:p w14:paraId="6F8D8193" w14:textId="509D9071"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22B0E38F" w14:textId="47BB1930"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7716A1DD" w14:textId="6FC233FB" w:rsidR="00236333" w:rsidRPr="005976E5"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3A4C8EFA" w14:textId="08511375" w:rsidR="00236333" w:rsidRPr="006873C3" w:rsidRDefault="00236333">
            <w:pPr>
              <w:spacing w:after="0" w:line="240" w:lineRule="auto"/>
              <w:jc w:val="right"/>
              <w:rPr>
                <w:rFonts w:asciiTheme="majorHAnsi" w:hAnsiTheme="majorHAnsi" w:cstheme="majorHAnsi"/>
                <w:sz w:val="18"/>
                <w:szCs w:val="18"/>
              </w:rPr>
            </w:pPr>
            <w:r w:rsidRPr="005976E5">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2615D1AE" w14:textId="296418F1" w:rsidR="00236333" w:rsidRPr="006873C3" w:rsidRDefault="00236333">
            <w:pPr>
              <w:spacing w:after="0" w:line="240" w:lineRule="auto"/>
              <w:jc w:val="right"/>
              <w:rPr>
                <w:rFonts w:asciiTheme="majorHAnsi" w:hAnsiTheme="majorHAnsi" w:cstheme="majorHAnsi"/>
                <w:sz w:val="18"/>
                <w:szCs w:val="18"/>
              </w:rPr>
            </w:pPr>
            <w:r w:rsidRPr="005976E5">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2E19D747" w14:textId="001D9A30"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100.0%</w:t>
            </w:r>
          </w:p>
        </w:tc>
        <w:tc>
          <w:tcPr>
            <w:tcW w:w="832" w:type="dxa"/>
            <w:tcBorders>
              <w:top w:val="nil"/>
              <w:left w:val="nil"/>
              <w:bottom w:val="nil"/>
              <w:right w:val="nil"/>
            </w:tcBorders>
            <w:shd w:val="clear" w:color="auto" w:fill="auto"/>
            <w:noWrap/>
            <w:vAlign w:val="center"/>
            <w:hideMark/>
          </w:tcPr>
          <w:p w14:paraId="30649B2E" w14:textId="0AB0E59A"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r>
      <w:tr w:rsidR="00236333" w:rsidRPr="00F72995" w14:paraId="08A7A6B5" w14:textId="77777777" w:rsidTr="005976E5">
        <w:trPr>
          <w:trHeight w:val="300"/>
        </w:trPr>
        <w:tc>
          <w:tcPr>
            <w:tcW w:w="607" w:type="dxa"/>
            <w:tcBorders>
              <w:top w:val="nil"/>
              <w:left w:val="nil"/>
              <w:bottom w:val="nil"/>
              <w:right w:val="nil"/>
            </w:tcBorders>
            <w:shd w:val="clear" w:color="auto" w:fill="auto"/>
            <w:noWrap/>
            <w:vAlign w:val="center"/>
            <w:hideMark/>
          </w:tcPr>
          <w:p w14:paraId="49B80E5A" w14:textId="77777777" w:rsidR="00236333" w:rsidRPr="00BD0B9E" w:rsidRDefault="00236333" w:rsidP="006873C3">
            <w:pPr>
              <w:spacing w:after="0" w:line="240" w:lineRule="auto"/>
              <w:jc w:val="right"/>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CH26</w:t>
            </w:r>
          </w:p>
        </w:tc>
        <w:tc>
          <w:tcPr>
            <w:tcW w:w="2654" w:type="dxa"/>
            <w:tcBorders>
              <w:top w:val="nil"/>
              <w:left w:val="nil"/>
              <w:bottom w:val="nil"/>
              <w:right w:val="nil"/>
            </w:tcBorders>
            <w:shd w:val="clear" w:color="auto" w:fill="auto"/>
            <w:noWrap/>
            <w:vAlign w:val="center"/>
            <w:hideMark/>
          </w:tcPr>
          <w:p w14:paraId="350B6DA9" w14:textId="77777777" w:rsidR="00236333" w:rsidRPr="00BD0B9E" w:rsidRDefault="00236333">
            <w:pPr>
              <w:spacing w:after="0" w:line="240" w:lineRule="auto"/>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Metallic ores</w:t>
            </w:r>
          </w:p>
        </w:tc>
        <w:tc>
          <w:tcPr>
            <w:tcW w:w="1352" w:type="dxa"/>
            <w:tcBorders>
              <w:top w:val="nil"/>
              <w:left w:val="nil"/>
              <w:bottom w:val="nil"/>
              <w:right w:val="nil"/>
            </w:tcBorders>
            <w:shd w:val="clear" w:color="auto" w:fill="auto"/>
            <w:noWrap/>
            <w:vAlign w:val="center"/>
            <w:hideMark/>
          </w:tcPr>
          <w:p w14:paraId="127AB381" w14:textId="77777777" w:rsidR="00236333" w:rsidRPr="00F77799" w:rsidRDefault="00236333">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601,298,647</w:t>
            </w:r>
          </w:p>
        </w:tc>
        <w:tc>
          <w:tcPr>
            <w:tcW w:w="832" w:type="dxa"/>
            <w:tcBorders>
              <w:top w:val="nil"/>
              <w:left w:val="nil"/>
              <w:bottom w:val="nil"/>
              <w:right w:val="nil"/>
            </w:tcBorders>
            <w:shd w:val="clear" w:color="auto" w:fill="auto"/>
            <w:noWrap/>
            <w:vAlign w:val="center"/>
            <w:hideMark/>
          </w:tcPr>
          <w:p w14:paraId="08451DCE" w14:textId="3F650755"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30.8%</w:t>
            </w:r>
          </w:p>
        </w:tc>
        <w:tc>
          <w:tcPr>
            <w:tcW w:w="832" w:type="dxa"/>
            <w:tcBorders>
              <w:top w:val="nil"/>
              <w:left w:val="nil"/>
              <w:bottom w:val="nil"/>
              <w:right w:val="nil"/>
            </w:tcBorders>
            <w:shd w:val="clear" w:color="auto" w:fill="auto"/>
            <w:noWrap/>
            <w:vAlign w:val="center"/>
            <w:hideMark/>
          </w:tcPr>
          <w:p w14:paraId="5E951551" w14:textId="21D72D8D"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185FA815" w14:textId="56FB3112"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69.2%</w:t>
            </w:r>
          </w:p>
        </w:tc>
        <w:tc>
          <w:tcPr>
            <w:tcW w:w="832" w:type="dxa"/>
            <w:tcBorders>
              <w:top w:val="nil"/>
              <w:left w:val="nil"/>
              <w:bottom w:val="nil"/>
              <w:right w:val="nil"/>
            </w:tcBorders>
            <w:shd w:val="clear" w:color="auto" w:fill="auto"/>
            <w:noWrap/>
            <w:vAlign w:val="center"/>
            <w:hideMark/>
          </w:tcPr>
          <w:p w14:paraId="28BFF76F" w14:textId="7D9657E0"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678433F0" w14:textId="0BB63280"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55C97D7D" w14:textId="67BC115E"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2DE0158E" w14:textId="34F33E2F"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r>
      <w:tr w:rsidR="00236333" w:rsidRPr="00F72995" w14:paraId="1C8F3B1B" w14:textId="77777777" w:rsidTr="005976E5">
        <w:trPr>
          <w:trHeight w:val="300"/>
        </w:trPr>
        <w:tc>
          <w:tcPr>
            <w:tcW w:w="607" w:type="dxa"/>
            <w:tcBorders>
              <w:top w:val="nil"/>
              <w:left w:val="nil"/>
              <w:bottom w:val="nil"/>
              <w:right w:val="nil"/>
            </w:tcBorders>
            <w:shd w:val="clear" w:color="auto" w:fill="auto"/>
            <w:noWrap/>
            <w:vAlign w:val="center"/>
            <w:hideMark/>
          </w:tcPr>
          <w:p w14:paraId="22B3111F" w14:textId="77777777" w:rsidR="00236333" w:rsidRPr="00BD0B9E" w:rsidRDefault="00236333" w:rsidP="006873C3">
            <w:pPr>
              <w:spacing w:after="0" w:line="240" w:lineRule="auto"/>
              <w:jc w:val="right"/>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CH27</w:t>
            </w:r>
          </w:p>
        </w:tc>
        <w:tc>
          <w:tcPr>
            <w:tcW w:w="2654" w:type="dxa"/>
            <w:tcBorders>
              <w:top w:val="nil"/>
              <w:left w:val="nil"/>
              <w:bottom w:val="nil"/>
              <w:right w:val="nil"/>
            </w:tcBorders>
            <w:shd w:val="clear" w:color="auto" w:fill="auto"/>
            <w:noWrap/>
            <w:vAlign w:val="center"/>
            <w:hideMark/>
          </w:tcPr>
          <w:p w14:paraId="4AA4A1E9" w14:textId="77777777" w:rsidR="00236333" w:rsidRPr="00BD0B9E" w:rsidRDefault="00236333">
            <w:pPr>
              <w:spacing w:after="0" w:line="240" w:lineRule="auto"/>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 xml:space="preserve">Coal, </w:t>
            </w:r>
            <w:proofErr w:type="gramStart"/>
            <w:r w:rsidRPr="00BD0B9E">
              <w:rPr>
                <w:rFonts w:asciiTheme="majorHAnsi" w:eastAsia="Times New Roman" w:hAnsiTheme="majorHAnsi" w:cstheme="majorHAnsi"/>
                <w:color w:val="000000"/>
                <w:sz w:val="18"/>
                <w:szCs w:val="18"/>
                <w:lang w:eastAsia="en-AU"/>
              </w:rPr>
              <w:t>oil</w:t>
            </w:r>
            <w:proofErr w:type="gramEnd"/>
            <w:r w:rsidRPr="00BD0B9E">
              <w:rPr>
                <w:rFonts w:asciiTheme="majorHAnsi" w:eastAsia="Times New Roman" w:hAnsiTheme="majorHAnsi" w:cstheme="majorHAnsi"/>
                <w:color w:val="000000"/>
                <w:sz w:val="18"/>
                <w:szCs w:val="18"/>
                <w:lang w:eastAsia="en-AU"/>
              </w:rPr>
              <w:t xml:space="preserve"> and gas</w:t>
            </w:r>
          </w:p>
        </w:tc>
        <w:tc>
          <w:tcPr>
            <w:tcW w:w="1352" w:type="dxa"/>
            <w:tcBorders>
              <w:top w:val="nil"/>
              <w:left w:val="nil"/>
              <w:bottom w:val="nil"/>
              <w:right w:val="nil"/>
            </w:tcBorders>
            <w:shd w:val="clear" w:color="auto" w:fill="auto"/>
            <w:noWrap/>
            <w:vAlign w:val="center"/>
            <w:hideMark/>
          </w:tcPr>
          <w:p w14:paraId="28E444B5" w14:textId="77777777" w:rsidR="00236333" w:rsidRPr="00F77799" w:rsidRDefault="00236333">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11,221,538,893</w:t>
            </w:r>
          </w:p>
        </w:tc>
        <w:tc>
          <w:tcPr>
            <w:tcW w:w="832" w:type="dxa"/>
            <w:tcBorders>
              <w:top w:val="nil"/>
              <w:left w:val="nil"/>
              <w:bottom w:val="nil"/>
              <w:right w:val="nil"/>
            </w:tcBorders>
            <w:shd w:val="clear" w:color="auto" w:fill="auto"/>
            <w:noWrap/>
            <w:vAlign w:val="center"/>
            <w:hideMark/>
          </w:tcPr>
          <w:p w14:paraId="582C9E28" w14:textId="72A54E4A"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42BC4C88" w14:textId="4AB95615"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4CD0DBBE" w14:textId="43283E5E"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100.0%</w:t>
            </w:r>
          </w:p>
        </w:tc>
        <w:tc>
          <w:tcPr>
            <w:tcW w:w="832" w:type="dxa"/>
            <w:tcBorders>
              <w:top w:val="nil"/>
              <w:left w:val="nil"/>
              <w:bottom w:val="nil"/>
              <w:right w:val="nil"/>
            </w:tcBorders>
            <w:shd w:val="clear" w:color="auto" w:fill="auto"/>
            <w:noWrap/>
            <w:vAlign w:val="center"/>
            <w:hideMark/>
          </w:tcPr>
          <w:p w14:paraId="038AD5CE" w14:textId="79ED74B6"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0038E1C8" w14:textId="25A35EC8"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213A7400" w14:textId="0777F175"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5A80DC45" w14:textId="1F76BDF8"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r>
      <w:tr w:rsidR="00236333" w:rsidRPr="00F72995" w14:paraId="079C7BBF" w14:textId="77777777" w:rsidTr="005976E5">
        <w:trPr>
          <w:trHeight w:val="300"/>
        </w:trPr>
        <w:tc>
          <w:tcPr>
            <w:tcW w:w="607" w:type="dxa"/>
            <w:tcBorders>
              <w:top w:val="nil"/>
              <w:left w:val="nil"/>
              <w:bottom w:val="nil"/>
              <w:right w:val="nil"/>
            </w:tcBorders>
            <w:shd w:val="clear" w:color="auto" w:fill="auto"/>
            <w:noWrap/>
            <w:vAlign w:val="center"/>
            <w:hideMark/>
          </w:tcPr>
          <w:p w14:paraId="3DDB2DD6" w14:textId="77777777" w:rsidR="00236333" w:rsidRPr="00BD0B9E" w:rsidRDefault="00236333" w:rsidP="006873C3">
            <w:pPr>
              <w:spacing w:after="0" w:line="240" w:lineRule="auto"/>
              <w:jc w:val="right"/>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CH28</w:t>
            </w:r>
          </w:p>
        </w:tc>
        <w:tc>
          <w:tcPr>
            <w:tcW w:w="2654" w:type="dxa"/>
            <w:tcBorders>
              <w:top w:val="nil"/>
              <w:left w:val="nil"/>
              <w:bottom w:val="nil"/>
              <w:right w:val="nil"/>
            </w:tcBorders>
            <w:shd w:val="clear" w:color="auto" w:fill="auto"/>
            <w:noWrap/>
            <w:vAlign w:val="center"/>
            <w:hideMark/>
          </w:tcPr>
          <w:p w14:paraId="1C7A38F8" w14:textId="77777777" w:rsidR="00236333" w:rsidRPr="00BD0B9E" w:rsidRDefault="00236333">
            <w:pPr>
              <w:spacing w:after="0" w:line="240" w:lineRule="auto"/>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Alumina</w:t>
            </w:r>
          </w:p>
        </w:tc>
        <w:tc>
          <w:tcPr>
            <w:tcW w:w="1352" w:type="dxa"/>
            <w:tcBorders>
              <w:top w:val="nil"/>
              <w:left w:val="nil"/>
              <w:bottom w:val="nil"/>
              <w:right w:val="nil"/>
            </w:tcBorders>
            <w:shd w:val="clear" w:color="auto" w:fill="auto"/>
            <w:noWrap/>
            <w:vAlign w:val="center"/>
            <w:hideMark/>
          </w:tcPr>
          <w:p w14:paraId="17E84DD9" w14:textId="77777777" w:rsidR="00236333" w:rsidRPr="00F77799" w:rsidRDefault="00236333">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643,978,201</w:t>
            </w:r>
          </w:p>
        </w:tc>
        <w:tc>
          <w:tcPr>
            <w:tcW w:w="832" w:type="dxa"/>
            <w:tcBorders>
              <w:top w:val="nil"/>
              <w:left w:val="nil"/>
              <w:bottom w:val="nil"/>
              <w:right w:val="nil"/>
            </w:tcBorders>
            <w:shd w:val="clear" w:color="auto" w:fill="auto"/>
            <w:noWrap/>
            <w:vAlign w:val="center"/>
            <w:hideMark/>
          </w:tcPr>
          <w:p w14:paraId="45FF49CF" w14:textId="296289DE"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6DBF6B14" w14:textId="444FDB05"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637BD925" w14:textId="469232B2"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100.0%</w:t>
            </w:r>
          </w:p>
        </w:tc>
        <w:tc>
          <w:tcPr>
            <w:tcW w:w="832" w:type="dxa"/>
            <w:tcBorders>
              <w:top w:val="nil"/>
              <w:left w:val="nil"/>
              <w:bottom w:val="nil"/>
              <w:right w:val="nil"/>
            </w:tcBorders>
            <w:shd w:val="clear" w:color="auto" w:fill="auto"/>
            <w:noWrap/>
            <w:vAlign w:val="center"/>
            <w:hideMark/>
          </w:tcPr>
          <w:p w14:paraId="21465C73" w14:textId="71AFB55F"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235572DC" w14:textId="7CCDEE20"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2024158D" w14:textId="03354222"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235B7B78" w14:textId="2D36B33F"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r>
      <w:tr w:rsidR="00236333" w:rsidRPr="00F72995" w14:paraId="3A3BF167" w14:textId="77777777" w:rsidTr="005976E5">
        <w:trPr>
          <w:trHeight w:val="300"/>
        </w:trPr>
        <w:tc>
          <w:tcPr>
            <w:tcW w:w="607" w:type="dxa"/>
            <w:tcBorders>
              <w:top w:val="nil"/>
              <w:left w:val="nil"/>
              <w:bottom w:val="nil"/>
              <w:right w:val="nil"/>
            </w:tcBorders>
            <w:shd w:val="clear" w:color="auto" w:fill="auto"/>
            <w:noWrap/>
            <w:vAlign w:val="center"/>
            <w:hideMark/>
          </w:tcPr>
          <w:p w14:paraId="1943F700" w14:textId="77777777" w:rsidR="00236333" w:rsidRPr="00BD0B9E" w:rsidRDefault="00236333" w:rsidP="006873C3">
            <w:pPr>
              <w:spacing w:after="0" w:line="240" w:lineRule="auto"/>
              <w:jc w:val="right"/>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CH30</w:t>
            </w:r>
          </w:p>
        </w:tc>
        <w:tc>
          <w:tcPr>
            <w:tcW w:w="2654" w:type="dxa"/>
            <w:tcBorders>
              <w:top w:val="nil"/>
              <w:left w:val="nil"/>
              <w:bottom w:val="nil"/>
              <w:right w:val="nil"/>
            </w:tcBorders>
            <w:shd w:val="clear" w:color="auto" w:fill="auto"/>
            <w:noWrap/>
            <w:vAlign w:val="center"/>
            <w:hideMark/>
          </w:tcPr>
          <w:p w14:paraId="5F677FB5" w14:textId="77777777" w:rsidR="00236333" w:rsidRPr="00BD0B9E" w:rsidRDefault="00236333">
            <w:pPr>
              <w:spacing w:after="0" w:line="240" w:lineRule="auto"/>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Pharma products</w:t>
            </w:r>
          </w:p>
        </w:tc>
        <w:tc>
          <w:tcPr>
            <w:tcW w:w="1352" w:type="dxa"/>
            <w:tcBorders>
              <w:top w:val="nil"/>
              <w:left w:val="nil"/>
              <w:bottom w:val="nil"/>
              <w:right w:val="nil"/>
            </w:tcBorders>
            <w:shd w:val="clear" w:color="auto" w:fill="auto"/>
            <w:noWrap/>
            <w:vAlign w:val="center"/>
            <w:hideMark/>
          </w:tcPr>
          <w:p w14:paraId="209B3240" w14:textId="77777777" w:rsidR="00236333" w:rsidRPr="00F77799" w:rsidRDefault="00236333">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6,366,542</w:t>
            </w:r>
          </w:p>
        </w:tc>
        <w:tc>
          <w:tcPr>
            <w:tcW w:w="832" w:type="dxa"/>
            <w:tcBorders>
              <w:top w:val="nil"/>
              <w:left w:val="nil"/>
              <w:bottom w:val="nil"/>
              <w:right w:val="nil"/>
            </w:tcBorders>
            <w:shd w:val="clear" w:color="auto" w:fill="auto"/>
            <w:noWrap/>
            <w:vAlign w:val="center"/>
            <w:hideMark/>
          </w:tcPr>
          <w:p w14:paraId="7CE37F83" w14:textId="268747C4"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3E9FC29F" w14:textId="2ED8E672"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11FA1552" w14:textId="520D7EC0"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100.0%</w:t>
            </w:r>
          </w:p>
        </w:tc>
        <w:tc>
          <w:tcPr>
            <w:tcW w:w="832" w:type="dxa"/>
            <w:tcBorders>
              <w:top w:val="nil"/>
              <w:left w:val="nil"/>
              <w:bottom w:val="nil"/>
              <w:right w:val="nil"/>
            </w:tcBorders>
            <w:shd w:val="clear" w:color="auto" w:fill="auto"/>
            <w:noWrap/>
            <w:vAlign w:val="center"/>
            <w:hideMark/>
          </w:tcPr>
          <w:p w14:paraId="4210B02C" w14:textId="6AC475B2"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15436978" w14:textId="0DE427BA"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5631E022" w14:textId="04D4BA01"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52705363" w14:textId="6FF06B03"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r>
      <w:tr w:rsidR="00236333" w:rsidRPr="00F72995" w14:paraId="12EAA08E" w14:textId="77777777" w:rsidTr="005976E5">
        <w:trPr>
          <w:trHeight w:val="300"/>
        </w:trPr>
        <w:tc>
          <w:tcPr>
            <w:tcW w:w="607" w:type="dxa"/>
            <w:tcBorders>
              <w:top w:val="nil"/>
              <w:left w:val="nil"/>
              <w:bottom w:val="nil"/>
              <w:right w:val="nil"/>
            </w:tcBorders>
            <w:shd w:val="clear" w:color="auto" w:fill="auto"/>
            <w:noWrap/>
            <w:vAlign w:val="center"/>
            <w:hideMark/>
          </w:tcPr>
          <w:p w14:paraId="28A8E099" w14:textId="77777777" w:rsidR="00236333" w:rsidRPr="00BD0B9E" w:rsidRDefault="00236333" w:rsidP="006873C3">
            <w:pPr>
              <w:spacing w:after="0" w:line="240" w:lineRule="auto"/>
              <w:jc w:val="right"/>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CH32</w:t>
            </w:r>
          </w:p>
        </w:tc>
        <w:tc>
          <w:tcPr>
            <w:tcW w:w="2654" w:type="dxa"/>
            <w:tcBorders>
              <w:top w:val="nil"/>
              <w:left w:val="nil"/>
              <w:bottom w:val="nil"/>
              <w:right w:val="nil"/>
            </w:tcBorders>
            <w:shd w:val="clear" w:color="auto" w:fill="auto"/>
            <w:noWrap/>
            <w:vAlign w:val="center"/>
            <w:hideMark/>
          </w:tcPr>
          <w:p w14:paraId="71BD21CC" w14:textId="77777777" w:rsidR="00236333" w:rsidRPr="00BD0B9E" w:rsidRDefault="00236333">
            <w:pPr>
              <w:spacing w:after="0" w:line="240" w:lineRule="auto"/>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 xml:space="preserve">Titanium </w:t>
            </w:r>
            <w:proofErr w:type="spellStart"/>
            <w:r w:rsidRPr="00BD0B9E">
              <w:rPr>
                <w:rFonts w:asciiTheme="majorHAnsi" w:eastAsia="Times New Roman" w:hAnsiTheme="majorHAnsi" w:cstheme="majorHAnsi"/>
                <w:color w:val="000000"/>
                <w:sz w:val="18"/>
                <w:szCs w:val="18"/>
                <w:lang w:eastAsia="en-AU"/>
              </w:rPr>
              <w:t>dioxyde</w:t>
            </w:r>
            <w:proofErr w:type="spellEnd"/>
          </w:p>
        </w:tc>
        <w:tc>
          <w:tcPr>
            <w:tcW w:w="1352" w:type="dxa"/>
            <w:tcBorders>
              <w:top w:val="nil"/>
              <w:left w:val="nil"/>
              <w:bottom w:val="nil"/>
              <w:right w:val="nil"/>
            </w:tcBorders>
            <w:shd w:val="clear" w:color="auto" w:fill="auto"/>
            <w:noWrap/>
            <w:vAlign w:val="center"/>
            <w:hideMark/>
          </w:tcPr>
          <w:p w14:paraId="7FC6959A" w14:textId="77777777" w:rsidR="00236333" w:rsidRPr="00F77799" w:rsidRDefault="00236333">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111,718,265</w:t>
            </w:r>
          </w:p>
        </w:tc>
        <w:tc>
          <w:tcPr>
            <w:tcW w:w="832" w:type="dxa"/>
            <w:tcBorders>
              <w:top w:val="nil"/>
              <w:left w:val="nil"/>
              <w:bottom w:val="nil"/>
              <w:right w:val="nil"/>
            </w:tcBorders>
            <w:shd w:val="clear" w:color="auto" w:fill="auto"/>
            <w:noWrap/>
            <w:vAlign w:val="center"/>
            <w:hideMark/>
          </w:tcPr>
          <w:p w14:paraId="006636F3" w14:textId="75464A32"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6C56C172" w14:textId="249966F6"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574822F5" w14:textId="2C0FBC84"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100.0%</w:t>
            </w:r>
          </w:p>
        </w:tc>
        <w:tc>
          <w:tcPr>
            <w:tcW w:w="832" w:type="dxa"/>
            <w:tcBorders>
              <w:top w:val="nil"/>
              <w:left w:val="nil"/>
              <w:bottom w:val="nil"/>
              <w:right w:val="nil"/>
            </w:tcBorders>
            <w:shd w:val="clear" w:color="auto" w:fill="auto"/>
            <w:noWrap/>
            <w:vAlign w:val="center"/>
            <w:hideMark/>
          </w:tcPr>
          <w:p w14:paraId="0571F27D" w14:textId="72BFE2ED"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7F7064F2" w14:textId="4671892C"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15DD9951" w14:textId="0CA82631"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714F8693" w14:textId="29CDEB09"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r>
      <w:tr w:rsidR="00236333" w:rsidRPr="00F72995" w14:paraId="342860F1" w14:textId="77777777" w:rsidTr="005976E5">
        <w:trPr>
          <w:trHeight w:val="300"/>
        </w:trPr>
        <w:tc>
          <w:tcPr>
            <w:tcW w:w="607" w:type="dxa"/>
            <w:tcBorders>
              <w:top w:val="nil"/>
              <w:left w:val="nil"/>
              <w:bottom w:val="nil"/>
              <w:right w:val="nil"/>
            </w:tcBorders>
            <w:shd w:val="clear" w:color="auto" w:fill="auto"/>
            <w:noWrap/>
            <w:vAlign w:val="center"/>
            <w:hideMark/>
          </w:tcPr>
          <w:p w14:paraId="4E1E1178" w14:textId="77777777" w:rsidR="00236333" w:rsidRPr="00BD0B9E" w:rsidRDefault="00236333" w:rsidP="006D5638">
            <w:pPr>
              <w:spacing w:after="0" w:line="240" w:lineRule="auto"/>
              <w:jc w:val="right"/>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CH41</w:t>
            </w:r>
          </w:p>
        </w:tc>
        <w:tc>
          <w:tcPr>
            <w:tcW w:w="2654" w:type="dxa"/>
            <w:tcBorders>
              <w:top w:val="nil"/>
              <w:left w:val="nil"/>
              <w:bottom w:val="nil"/>
              <w:right w:val="nil"/>
            </w:tcBorders>
            <w:shd w:val="clear" w:color="auto" w:fill="auto"/>
            <w:noWrap/>
            <w:vAlign w:val="center"/>
            <w:hideMark/>
          </w:tcPr>
          <w:p w14:paraId="72911709" w14:textId="77777777" w:rsidR="00236333" w:rsidRPr="00BD0B9E" w:rsidRDefault="00236333">
            <w:pPr>
              <w:spacing w:after="0" w:line="240" w:lineRule="auto"/>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Hides and skins</w:t>
            </w:r>
          </w:p>
        </w:tc>
        <w:tc>
          <w:tcPr>
            <w:tcW w:w="1352" w:type="dxa"/>
            <w:tcBorders>
              <w:top w:val="nil"/>
              <w:left w:val="nil"/>
              <w:bottom w:val="nil"/>
              <w:right w:val="nil"/>
            </w:tcBorders>
            <w:shd w:val="clear" w:color="auto" w:fill="auto"/>
            <w:noWrap/>
            <w:vAlign w:val="center"/>
            <w:hideMark/>
          </w:tcPr>
          <w:p w14:paraId="432DAA6E" w14:textId="77777777" w:rsidR="00236333" w:rsidRPr="00F77799" w:rsidRDefault="00236333">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5,734,585</w:t>
            </w:r>
          </w:p>
        </w:tc>
        <w:tc>
          <w:tcPr>
            <w:tcW w:w="832" w:type="dxa"/>
            <w:tcBorders>
              <w:top w:val="nil"/>
              <w:left w:val="nil"/>
              <w:bottom w:val="nil"/>
              <w:right w:val="nil"/>
            </w:tcBorders>
            <w:shd w:val="clear" w:color="auto" w:fill="auto"/>
            <w:noWrap/>
            <w:vAlign w:val="center"/>
            <w:hideMark/>
          </w:tcPr>
          <w:p w14:paraId="49F02908" w14:textId="5BBE8BD0"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1D630767" w14:textId="380698B5"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7B1FB8AE" w14:textId="701D320A" w:rsidR="00236333" w:rsidRPr="006D5638" w:rsidRDefault="00236333">
            <w:pPr>
              <w:spacing w:after="0" w:line="240" w:lineRule="auto"/>
              <w:jc w:val="right"/>
              <w:rPr>
                <w:rFonts w:asciiTheme="majorHAnsi" w:hAnsiTheme="majorHAnsi" w:cstheme="majorHAnsi"/>
                <w:sz w:val="18"/>
                <w:szCs w:val="18"/>
              </w:rPr>
            </w:pPr>
            <w:r w:rsidRPr="006D5638">
              <w:rPr>
                <w:rFonts w:asciiTheme="majorHAnsi" w:hAnsiTheme="majorHAnsi" w:cstheme="majorHAnsi"/>
                <w:sz w:val="18"/>
                <w:szCs w:val="18"/>
              </w:rPr>
              <w:t>100.0%</w:t>
            </w:r>
          </w:p>
        </w:tc>
        <w:tc>
          <w:tcPr>
            <w:tcW w:w="832" w:type="dxa"/>
            <w:tcBorders>
              <w:top w:val="nil"/>
              <w:left w:val="nil"/>
              <w:bottom w:val="nil"/>
              <w:right w:val="nil"/>
            </w:tcBorders>
            <w:shd w:val="clear" w:color="auto" w:fill="auto"/>
            <w:noWrap/>
            <w:vAlign w:val="center"/>
            <w:hideMark/>
          </w:tcPr>
          <w:p w14:paraId="0AFCE93E" w14:textId="2B15A51E" w:rsidR="00236333" w:rsidRPr="006D5638"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238CB715" w14:textId="786C308F"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68586603" w14:textId="698FD4C9"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224E6293" w14:textId="4DE30028"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r>
      <w:tr w:rsidR="00236333" w:rsidRPr="00F72995" w14:paraId="14181EF4" w14:textId="77777777" w:rsidTr="005976E5">
        <w:trPr>
          <w:trHeight w:val="300"/>
        </w:trPr>
        <w:tc>
          <w:tcPr>
            <w:tcW w:w="607" w:type="dxa"/>
            <w:tcBorders>
              <w:top w:val="nil"/>
              <w:left w:val="nil"/>
              <w:bottom w:val="nil"/>
              <w:right w:val="nil"/>
            </w:tcBorders>
            <w:shd w:val="clear" w:color="auto" w:fill="auto"/>
            <w:noWrap/>
            <w:vAlign w:val="center"/>
            <w:hideMark/>
          </w:tcPr>
          <w:p w14:paraId="0C1BD898" w14:textId="77777777" w:rsidR="00236333" w:rsidRPr="00BD0B9E" w:rsidRDefault="00236333" w:rsidP="006873C3">
            <w:pPr>
              <w:spacing w:after="0" w:line="240" w:lineRule="auto"/>
              <w:jc w:val="right"/>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CH51</w:t>
            </w:r>
          </w:p>
        </w:tc>
        <w:tc>
          <w:tcPr>
            <w:tcW w:w="2654" w:type="dxa"/>
            <w:tcBorders>
              <w:top w:val="nil"/>
              <w:left w:val="nil"/>
              <w:bottom w:val="nil"/>
              <w:right w:val="nil"/>
            </w:tcBorders>
            <w:shd w:val="clear" w:color="auto" w:fill="auto"/>
            <w:noWrap/>
            <w:vAlign w:val="center"/>
            <w:hideMark/>
          </w:tcPr>
          <w:p w14:paraId="2350E6EF" w14:textId="77777777" w:rsidR="00236333" w:rsidRPr="00BD0B9E" w:rsidRDefault="00236333">
            <w:pPr>
              <w:spacing w:after="0" w:line="240" w:lineRule="auto"/>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Greasy wool</w:t>
            </w:r>
          </w:p>
        </w:tc>
        <w:tc>
          <w:tcPr>
            <w:tcW w:w="1352" w:type="dxa"/>
            <w:tcBorders>
              <w:top w:val="nil"/>
              <w:left w:val="nil"/>
              <w:bottom w:val="nil"/>
              <w:right w:val="nil"/>
            </w:tcBorders>
            <w:shd w:val="clear" w:color="auto" w:fill="auto"/>
            <w:noWrap/>
            <w:vAlign w:val="center"/>
            <w:hideMark/>
          </w:tcPr>
          <w:p w14:paraId="71B81CA3" w14:textId="77777777" w:rsidR="00236333" w:rsidRPr="00F77799" w:rsidRDefault="00236333">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183,844,203</w:t>
            </w:r>
          </w:p>
        </w:tc>
        <w:tc>
          <w:tcPr>
            <w:tcW w:w="832" w:type="dxa"/>
            <w:tcBorders>
              <w:top w:val="nil"/>
              <w:left w:val="nil"/>
              <w:bottom w:val="nil"/>
              <w:right w:val="nil"/>
            </w:tcBorders>
            <w:shd w:val="clear" w:color="auto" w:fill="auto"/>
            <w:noWrap/>
            <w:vAlign w:val="center"/>
            <w:hideMark/>
          </w:tcPr>
          <w:p w14:paraId="3F2F93CC" w14:textId="1889CFE8" w:rsidR="00236333" w:rsidRPr="006D5638"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1F45D93F" w14:textId="79F9B4CB" w:rsidR="00236333" w:rsidRPr="006D5638" w:rsidRDefault="00236333">
            <w:pPr>
              <w:spacing w:after="0" w:line="240" w:lineRule="auto"/>
              <w:jc w:val="right"/>
              <w:rPr>
                <w:rFonts w:asciiTheme="majorHAnsi" w:hAnsiTheme="majorHAnsi" w:cstheme="majorHAnsi"/>
                <w:sz w:val="18"/>
                <w:szCs w:val="18"/>
              </w:rPr>
            </w:pPr>
            <w:r w:rsidRPr="006D5638">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55ABFB16" w14:textId="7B99D4D1" w:rsidR="00236333" w:rsidRPr="006D5638"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100.0%</w:t>
            </w:r>
          </w:p>
        </w:tc>
        <w:tc>
          <w:tcPr>
            <w:tcW w:w="832" w:type="dxa"/>
            <w:tcBorders>
              <w:top w:val="nil"/>
              <w:left w:val="nil"/>
              <w:bottom w:val="nil"/>
              <w:right w:val="nil"/>
            </w:tcBorders>
            <w:shd w:val="clear" w:color="auto" w:fill="auto"/>
            <w:noWrap/>
            <w:vAlign w:val="center"/>
            <w:hideMark/>
          </w:tcPr>
          <w:p w14:paraId="41CC537C" w14:textId="5786468B" w:rsidR="00236333" w:rsidRPr="006D5638"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56AB8361" w14:textId="554D1CA2" w:rsidR="00236333" w:rsidRPr="006D5638"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0CDBF715" w14:textId="0A506066"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6DA2A81C" w14:textId="488EF1F6" w:rsidR="00236333" w:rsidRPr="006D5638"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r>
      <w:tr w:rsidR="00236333" w:rsidRPr="00F72995" w14:paraId="624DCAB2" w14:textId="77777777" w:rsidTr="005976E5">
        <w:trPr>
          <w:trHeight w:val="300"/>
        </w:trPr>
        <w:tc>
          <w:tcPr>
            <w:tcW w:w="607" w:type="dxa"/>
            <w:tcBorders>
              <w:top w:val="nil"/>
              <w:left w:val="nil"/>
              <w:bottom w:val="nil"/>
              <w:right w:val="nil"/>
            </w:tcBorders>
            <w:shd w:val="clear" w:color="auto" w:fill="auto"/>
            <w:noWrap/>
            <w:vAlign w:val="center"/>
            <w:hideMark/>
          </w:tcPr>
          <w:p w14:paraId="7C6835F4" w14:textId="77777777" w:rsidR="00236333" w:rsidRPr="00BD0B9E" w:rsidRDefault="00236333" w:rsidP="006873C3">
            <w:pPr>
              <w:spacing w:after="0" w:line="240" w:lineRule="auto"/>
              <w:jc w:val="right"/>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CH52</w:t>
            </w:r>
          </w:p>
        </w:tc>
        <w:tc>
          <w:tcPr>
            <w:tcW w:w="2654" w:type="dxa"/>
            <w:tcBorders>
              <w:top w:val="nil"/>
              <w:left w:val="nil"/>
              <w:bottom w:val="nil"/>
              <w:right w:val="nil"/>
            </w:tcBorders>
            <w:shd w:val="clear" w:color="auto" w:fill="auto"/>
            <w:noWrap/>
            <w:vAlign w:val="center"/>
            <w:hideMark/>
          </w:tcPr>
          <w:p w14:paraId="44EABE23" w14:textId="77777777" w:rsidR="00236333" w:rsidRPr="00BD0B9E" w:rsidRDefault="00236333">
            <w:pPr>
              <w:spacing w:after="0" w:line="240" w:lineRule="auto"/>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Cotton</w:t>
            </w:r>
          </w:p>
        </w:tc>
        <w:tc>
          <w:tcPr>
            <w:tcW w:w="1352" w:type="dxa"/>
            <w:tcBorders>
              <w:top w:val="nil"/>
              <w:left w:val="nil"/>
              <w:bottom w:val="nil"/>
              <w:right w:val="nil"/>
            </w:tcBorders>
            <w:shd w:val="clear" w:color="auto" w:fill="auto"/>
            <w:noWrap/>
            <w:vAlign w:val="center"/>
            <w:hideMark/>
          </w:tcPr>
          <w:p w14:paraId="7C8D1F26" w14:textId="77777777" w:rsidR="00236333" w:rsidRPr="00F77799" w:rsidRDefault="00236333">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45,132,342</w:t>
            </w:r>
          </w:p>
        </w:tc>
        <w:tc>
          <w:tcPr>
            <w:tcW w:w="832" w:type="dxa"/>
            <w:tcBorders>
              <w:top w:val="nil"/>
              <w:left w:val="nil"/>
              <w:bottom w:val="nil"/>
              <w:right w:val="nil"/>
            </w:tcBorders>
            <w:shd w:val="clear" w:color="auto" w:fill="auto"/>
            <w:noWrap/>
            <w:vAlign w:val="center"/>
            <w:hideMark/>
          </w:tcPr>
          <w:p w14:paraId="4CF0FE39" w14:textId="2EE53A18"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5455AFA4" w14:textId="2AF26863"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764005BC" w14:textId="309B6440"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1128F15D" w14:textId="5461AD43"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6AC03E32" w14:textId="4240BE27"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6C1EF3F4" w14:textId="48CBBDB4"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7A81D824" w14:textId="4B396C92"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100.0%</w:t>
            </w:r>
          </w:p>
        </w:tc>
      </w:tr>
      <w:tr w:rsidR="00236333" w:rsidRPr="00F72995" w14:paraId="5E3E8948" w14:textId="77777777" w:rsidTr="005976E5">
        <w:trPr>
          <w:trHeight w:val="300"/>
        </w:trPr>
        <w:tc>
          <w:tcPr>
            <w:tcW w:w="607" w:type="dxa"/>
            <w:tcBorders>
              <w:top w:val="nil"/>
              <w:left w:val="nil"/>
              <w:bottom w:val="nil"/>
              <w:right w:val="nil"/>
            </w:tcBorders>
            <w:shd w:val="clear" w:color="auto" w:fill="auto"/>
            <w:noWrap/>
            <w:vAlign w:val="center"/>
            <w:hideMark/>
          </w:tcPr>
          <w:p w14:paraId="5D6604F9" w14:textId="77777777" w:rsidR="00236333" w:rsidRPr="00BD0B9E" w:rsidRDefault="00236333" w:rsidP="006873C3">
            <w:pPr>
              <w:spacing w:after="0" w:line="240" w:lineRule="auto"/>
              <w:jc w:val="right"/>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CH71</w:t>
            </w:r>
          </w:p>
        </w:tc>
        <w:tc>
          <w:tcPr>
            <w:tcW w:w="2654" w:type="dxa"/>
            <w:tcBorders>
              <w:top w:val="nil"/>
              <w:left w:val="nil"/>
              <w:bottom w:val="nil"/>
              <w:right w:val="nil"/>
            </w:tcBorders>
            <w:shd w:val="clear" w:color="auto" w:fill="auto"/>
            <w:noWrap/>
            <w:vAlign w:val="center"/>
            <w:hideMark/>
          </w:tcPr>
          <w:p w14:paraId="2DD9BD65" w14:textId="77777777" w:rsidR="00236333" w:rsidRPr="00BD0B9E" w:rsidRDefault="00236333">
            <w:pPr>
              <w:spacing w:after="0" w:line="240" w:lineRule="auto"/>
              <w:rPr>
                <w:rFonts w:asciiTheme="majorHAnsi" w:eastAsia="Times New Roman" w:hAnsiTheme="majorHAnsi" w:cstheme="majorHAnsi"/>
                <w:color w:val="000000"/>
                <w:sz w:val="18"/>
                <w:szCs w:val="18"/>
                <w:lang w:eastAsia="en-AU"/>
              </w:rPr>
            </w:pPr>
            <w:proofErr w:type="spellStart"/>
            <w:proofErr w:type="gramStart"/>
            <w:r w:rsidRPr="00BD0B9E">
              <w:rPr>
                <w:rFonts w:asciiTheme="majorHAnsi" w:eastAsia="Times New Roman" w:hAnsiTheme="majorHAnsi" w:cstheme="majorHAnsi"/>
                <w:color w:val="000000"/>
                <w:sz w:val="18"/>
                <w:szCs w:val="18"/>
                <w:lang w:eastAsia="en-AU"/>
              </w:rPr>
              <w:t>Non Monetary</w:t>
            </w:r>
            <w:proofErr w:type="spellEnd"/>
            <w:proofErr w:type="gramEnd"/>
            <w:r w:rsidRPr="00BD0B9E">
              <w:rPr>
                <w:rFonts w:asciiTheme="majorHAnsi" w:eastAsia="Times New Roman" w:hAnsiTheme="majorHAnsi" w:cstheme="majorHAnsi"/>
                <w:color w:val="000000"/>
                <w:sz w:val="18"/>
                <w:szCs w:val="18"/>
                <w:lang w:eastAsia="en-AU"/>
              </w:rPr>
              <w:t xml:space="preserve"> Gold</w:t>
            </w:r>
          </w:p>
        </w:tc>
        <w:tc>
          <w:tcPr>
            <w:tcW w:w="1352" w:type="dxa"/>
            <w:tcBorders>
              <w:top w:val="nil"/>
              <w:left w:val="nil"/>
              <w:bottom w:val="nil"/>
              <w:right w:val="nil"/>
            </w:tcBorders>
            <w:shd w:val="clear" w:color="auto" w:fill="auto"/>
            <w:noWrap/>
            <w:vAlign w:val="center"/>
            <w:hideMark/>
          </w:tcPr>
          <w:p w14:paraId="1543859D" w14:textId="77777777" w:rsidR="00236333" w:rsidRPr="00F77799" w:rsidRDefault="00236333">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554,656,042</w:t>
            </w:r>
          </w:p>
        </w:tc>
        <w:tc>
          <w:tcPr>
            <w:tcW w:w="832" w:type="dxa"/>
            <w:tcBorders>
              <w:top w:val="nil"/>
              <w:left w:val="nil"/>
              <w:bottom w:val="nil"/>
              <w:right w:val="nil"/>
            </w:tcBorders>
            <w:shd w:val="clear" w:color="auto" w:fill="auto"/>
            <w:noWrap/>
            <w:vAlign w:val="center"/>
            <w:hideMark/>
          </w:tcPr>
          <w:p w14:paraId="5A699B2B" w14:textId="7506F022"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100.0%</w:t>
            </w:r>
          </w:p>
        </w:tc>
        <w:tc>
          <w:tcPr>
            <w:tcW w:w="832" w:type="dxa"/>
            <w:tcBorders>
              <w:top w:val="nil"/>
              <w:left w:val="nil"/>
              <w:bottom w:val="nil"/>
              <w:right w:val="nil"/>
            </w:tcBorders>
            <w:shd w:val="clear" w:color="auto" w:fill="auto"/>
            <w:noWrap/>
            <w:vAlign w:val="center"/>
            <w:hideMark/>
          </w:tcPr>
          <w:p w14:paraId="2072B73C" w14:textId="2637330D"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6BEC40E0" w14:textId="2EAE4660"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6181C789" w14:textId="6ECEA3BE"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4AD0BDD7" w14:textId="086CAC2F"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450FD099" w14:textId="4C1639CD"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0AC26237" w14:textId="0BB44631"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r>
      <w:tr w:rsidR="00236333" w:rsidRPr="00F72995" w14:paraId="6DB43443" w14:textId="77777777" w:rsidTr="005976E5">
        <w:trPr>
          <w:trHeight w:val="300"/>
        </w:trPr>
        <w:tc>
          <w:tcPr>
            <w:tcW w:w="607" w:type="dxa"/>
            <w:tcBorders>
              <w:top w:val="nil"/>
              <w:left w:val="nil"/>
              <w:bottom w:val="nil"/>
              <w:right w:val="nil"/>
            </w:tcBorders>
            <w:shd w:val="clear" w:color="auto" w:fill="auto"/>
            <w:noWrap/>
            <w:vAlign w:val="center"/>
            <w:hideMark/>
          </w:tcPr>
          <w:p w14:paraId="20257CEE" w14:textId="77777777" w:rsidR="00236333" w:rsidRPr="00BD0B9E" w:rsidRDefault="00236333" w:rsidP="006873C3">
            <w:pPr>
              <w:spacing w:after="0" w:line="240" w:lineRule="auto"/>
              <w:jc w:val="right"/>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CH74</w:t>
            </w:r>
          </w:p>
        </w:tc>
        <w:tc>
          <w:tcPr>
            <w:tcW w:w="2654" w:type="dxa"/>
            <w:tcBorders>
              <w:top w:val="nil"/>
              <w:left w:val="nil"/>
              <w:bottom w:val="nil"/>
              <w:right w:val="nil"/>
            </w:tcBorders>
            <w:shd w:val="clear" w:color="auto" w:fill="auto"/>
            <w:noWrap/>
            <w:vAlign w:val="center"/>
            <w:hideMark/>
          </w:tcPr>
          <w:p w14:paraId="59366DE8" w14:textId="77777777" w:rsidR="00236333" w:rsidRPr="00BD0B9E" w:rsidRDefault="00236333">
            <w:pPr>
              <w:spacing w:after="0" w:line="240" w:lineRule="auto"/>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Non-Ferrous Metals - Copper</w:t>
            </w:r>
          </w:p>
        </w:tc>
        <w:tc>
          <w:tcPr>
            <w:tcW w:w="1352" w:type="dxa"/>
            <w:tcBorders>
              <w:top w:val="nil"/>
              <w:left w:val="nil"/>
              <w:bottom w:val="nil"/>
              <w:right w:val="nil"/>
            </w:tcBorders>
            <w:shd w:val="clear" w:color="auto" w:fill="auto"/>
            <w:noWrap/>
            <w:vAlign w:val="center"/>
            <w:hideMark/>
          </w:tcPr>
          <w:p w14:paraId="18234702" w14:textId="77777777" w:rsidR="00236333" w:rsidRPr="00F77799" w:rsidRDefault="00236333">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4,276</w:t>
            </w:r>
          </w:p>
        </w:tc>
        <w:tc>
          <w:tcPr>
            <w:tcW w:w="832" w:type="dxa"/>
            <w:tcBorders>
              <w:top w:val="nil"/>
              <w:left w:val="nil"/>
              <w:bottom w:val="nil"/>
              <w:right w:val="nil"/>
            </w:tcBorders>
            <w:shd w:val="clear" w:color="auto" w:fill="auto"/>
            <w:noWrap/>
            <w:vAlign w:val="center"/>
            <w:hideMark/>
          </w:tcPr>
          <w:p w14:paraId="1C67D685" w14:textId="1DF57BAD"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100.0%</w:t>
            </w:r>
          </w:p>
        </w:tc>
        <w:tc>
          <w:tcPr>
            <w:tcW w:w="832" w:type="dxa"/>
            <w:tcBorders>
              <w:top w:val="nil"/>
              <w:left w:val="nil"/>
              <w:bottom w:val="nil"/>
              <w:right w:val="nil"/>
            </w:tcBorders>
            <w:shd w:val="clear" w:color="auto" w:fill="auto"/>
            <w:noWrap/>
            <w:vAlign w:val="center"/>
            <w:hideMark/>
          </w:tcPr>
          <w:p w14:paraId="569D6809" w14:textId="6D966653"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6FACF231" w14:textId="3DE06D1F"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58D4223B" w14:textId="65C7188C" w:rsidR="00236333" w:rsidRPr="006D5638"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5D3228F1" w14:textId="2205AE58"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68599AE3" w14:textId="4EFE26A2"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5097E189" w14:textId="071CE554"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r>
      <w:tr w:rsidR="00236333" w:rsidRPr="00F72995" w14:paraId="5FBABD3C" w14:textId="77777777" w:rsidTr="005976E5">
        <w:trPr>
          <w:trHeight w:val="300"/>
        </w:trPr>
        <w:tc>
          <w:tcPr>
            <w:tcW w:w="607" w:type="dxa"/>
            <w:tcBorders>
              <w:top w:val="nil"/>
              <w:left w:val="nil"/>
              <w:bottom w:val="nil"/>
              <w:right w:val="nil"/>
            </w:tcBorders>
            <w:shd w:val="clear" w:color="auto" w:fill="auto"/>
            <w:noWrap/>
            <w:vAlign w:val="center"/>
            <w:hideMark/>
          </w:tcPr>
          <w:p w14:paraId="3545D2F8" w14:textId="77777777" w:rsidR="00236333" w:rsidRPr="00BD0B9E" w:rsidRDefault="00236333" w:rsidP="006873C3">
            <w:pPr>
              <w:spacing w:after="0" w:line="240" w:lineRule="auto"/>
              <w:jc w:val="right"/>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CH75</w:t>
            </w:r>
          </w:p>
        </w:tc>
        <w:tc>
          <w:tcPr>
            <w:tcW w:w="2654" w:type="dxa"/>
            <w:tcBorders>
              <w:top w:val="nil"/>
              <w:left w:val="nil"/>
              <w:bottom w:val="nil"/>
              <w:right w:val="nil"/>
            </w:tcBorders>
            <w:shd w:val="clear" w:color="auto" w:fill="auto"/>
            <w:noWrap/>
            <w:vAlign w:val="center"/>
            <w:hideMark/>
          </w:tcPr>
          <w:p w14:paraId="52BB4BD5" w14:textId="77777777" w:rsidR="00236333" w:rsidRPr="00BD0B9E" w:rsidRDefault="00236333">
            <w:pPr>
              <w:spacing w:after="0" w:line="240" w:lineRule="auto"/>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Non-Ferrous Metals - Nickel</w:t>
            </w:r>
          </w:p>
        </w:tc>
        <w:tc>
          <w:tcPr>
            <w:tcW w:w="1352" w:type="dxa"/>
            <w:tcBorders>
              <w:top w:val="nil"/>
              <w:left w:val="nil"/>
              <w:bottom w:val="nil"/>
              <w:right w:val="nil"/>
            </w:tcBorders>
            <w:shd w:val="clear" w:color="auto" w:fill="auto"/>
            <w:noWrap/>
            <w:vAlign w:val="center"/>
            <w:hideMark/>
          </w:tcPr>
          <w:p w14:paraId="76591F1D" w14:textId="77777777" w:rsidR="00236333" w:rsidRPr="00F77799" w:rsidRDefault="00236333">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46,805,483</w:t>
            </w:r>
          </w:p>
        </w:tc>
        <w:tc>
          <w:tcPr>
            <w:tcW w:w="832" w:type="dxa"/>
            <w:tcBorders>
              <w:top w:val="nil"/>
              <w:left w:val="nil"/>
              <w:bottom w:val="nil"/>
              <w:right w:val="nil"/>
            </w:tcBorders>
            <w:shd w:val="clear" w:color="auto" w:fill="auto"/>
            <w:noWrap/>
            <w:vAlign w:val="center"/>
            <w:hideMark/>
          </w:tcPr>
          <w:p w14:paraId="540B9B96" w14:textId="7A967E23"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5C5CB3AA" w14:textId="7A71EE83"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6B65695B" w14:textId="7FD803B5"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100.0%</w:t>
            </w:r>
          </w:p>
        </w:tc>
        <w:tc>
          <w:tcPr>
            <w:tcW w:w="832" w:type="dxa"/>
            <w:tcBorders>
              <w:top w:val="nil"/>
              <w:left w:val="nil"/>
              <w:bottom w:val="nil"/>
              <w:right w:val="nil"/>
            </w:tcBorders>
            <w:shd w:val="clear" w:color="auto" w:fill="auto"/>
            <w:noWrap/>
            <w:vAlign w:val="center"/>
            <w:hideMark/>
          </w:tcPr>
          <w:p w14:paraId="2C87B7C7" w14:textId="1D133B28"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6DA22089" w14:textId="05D11F83"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7FC72067" w14:textId="42B29DFC"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1532FA58" w14:textId="5963ABA1"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r>
      <w:tr w:rsidR="00236333" w:rsidRPr="00F72995" w14:paraId="54E42B90" w14:textId="77777777" w:rsidTr="005976E5">
        <w:trPr>
          <w:trHeight w:val="300"/>
        </w:trPr>
        <w:tc>
          <w:tcPr>
            <w:tcW w:w="607" w:type="dxa"/>
            <w:tcBorders>
              <w:top w:val="nil"/>
              <w:left w:val="nil"/>
              <w:bottom w:val="nil"/>
              <w:right w:val="nil"/>
            </w:tcBorders>
            <w:shd w:val="clear" w:color="auto" w:fill="auto"/>
            <w:noWrap/>
            <w:vAlign w:val="center"/>
            <w:hideMark/>
          </w:tcPr>
          <w:p w14:paraId="19FA9AA3" w14:textId="77777777" w:rsidR="00236333" w:rsidRPr="00BD0B9E" w:rsidRDefault="00236333" w:rsidP="006873C3">
            <w:pPr>
              <w:spacing w:after="0" w:line="240" w:lineRule="auto"/>
              <w:jc w:val="right"/>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CH76</w:t>
            </w:r>
          </w:p>
        </w:tc>
        <w:tc>
          <w:tcPr>
            <w:tcW w:w="2654" w:type="dxa"/>
            <w:tcBorders>
              <w:top w:val="nil"/>
              <w:left w:val="nil"/>
              <w:bottom w:val="nil"/>
              <w:right w:val="nil"/>
            </w:tcBorders>
            <w:shd w:val="clear" w:color="auto" w:fill="auto"/>
            <w:noWrap/>
            <w:vAlign w:val="center"/>
            <w:hideMark/>
          </w:tcPr>
          <w:p w14:paraId="3E0B3203" w14:textId="77777777" w:rsidR="00236333" w:rsidRPr="00BD0B9E" w:rsidRDefault="00236333">
            <w:pPr>
              <w:spacing w:after="0" w:line="240" w:lineRule="auto"/>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Non-Ferrous Metals - Aluminium</w:t>
            </w:r>
          </w:p>
        </w:tc>
        <w:tc>
          <w:tcPr>
            <w:tcW w:w="1352" w:type="dxa"/>
            <w:tcBorders>
              <w:top w:val="nil"/>
              <w:left w:val="nil"/>
              <w:bottom w:val="nil"/>
              <w:right w:val="nil"/>
            </w:tcBorders>
            <w:shd w:val="clear" w:color="auto" w:fill="auto"/>
            <w:noWrap/>
            <w:vAlign w:val="center"/>
            <w:hideMark/>
          </w:tcPr>
          <w:p w14:paraId="4E8A6BEA" w14:textId="77777777" w:rsidR="00236333" w:rsidRPr="00F77799" w:rsidRDefault="00236333">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14,061,631</w:t>
            </w:r>
          </w:p>
        </w:tc>
        <w:tc>
          <w:tcPr>
            <w:tcW w:w="832" w:type="dxa"/>
            <w:tcBorders>
              <w:top w:val="nil"/>
              <w:left w:val="nil"/>
              <w:bottom w:val="nil"/>
              <w:right w:val="nil"/>
            </w:tcBorders>
            <w:shd w:val="clear" w:color="auto" w:fill="auto"/>
            <w:noWrap/>
            <w:vAlign w:val="center"/>
            <w:hideMark/>
          </w:tcPr>
          <w:p w14:paraId="2F5ACD25" w14:textId="5FBC2C95"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100.0%</w:t>
            </w:r>
          </w:p>
        </w:tc>
        <w:tc>
          <w:tcPr>
            <w:tcW w:w="832" w:type="dxa"/>
            <w:tcBorders>
              <w:top w:val="nil"/>
              <w:left w:val="nil"/>
              <w:bottom w:val="nil"/>
              <w:right w:val="nil"/>
            </w:tcBorders>
            <w:shd w:val="clear" w:color="auto" w:fill="auto"/>
            <w:noWrap/>
            <w:vAlign w:val="center"/>
            <w:hideMark/>
          </w:tcPr>
          <w:p w14:paraId="497CD5D0" w14:textId="51073BF3"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55237071" w14:textId="1D93C1BB"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4B9D7DC2" w14:textId="487BDE5A"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73EE6C17" w14:textId="530DFE1B"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1CB5AEC9" w14:textId="5ADA42B9"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00FF1563" w14:textId="023EA926"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r>
      <w:tr w:rsidR="00236333" w:rsidRPr="00F72995" w14:paraId="58DF012E" w14:textId="77777777" w:rsidTr="005976E5">
        <w:trPr>
          <w:trHeight w:val="300"/>
        </w:trPr>
        <w:tc>
          <w:tcPr>
            <w:tcW w:w="607" w:type="dxa"/>
            <w:tcBorders>
              <w:top w:val="nil"/>
              <w:left w:val="nil"/>
              <w:bottom w:val="nil"/>
              <w:right w:val="nil"/>
            </w:tcBorders>
            <w:shd w:val="clear" w:color="auto" w:fill="auto"/>
            <w:noWrap/>
            <w:vAlign w:val="center"/>
            <w:hideMark/>
          </w:tcPr>
          <w:p w14:paraId="506820C9" w14:textId="77777777" w:rsidR="00236333" w:rsidRPr="00BD0B9E" w:rsidRDefault="00236333" w:rsidP="006873C3">
            <w:pPr>
              <w:spacing w:after="0" w:line="240" w:lineRule="auto"/>
              <w:jc w:val="right"/>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CH78</w:t>
            </w:r>
          </w:p>
        </w:tc>
        <w:tc>
          <w:tcPr>
            <w:tcW w:w="2654" w:type="dxa"/>
            <w:tcBorders>
              <w:top w:val="nil"/>
              <w:left w:val="nil"/>
              <w:bottom w:val="nil"/>
              <w:right w:val="nil"/>
            </w:tcBorders>
            <w:shd w:val="clear" w:color="auto" w:fill="auto"/>
            <w:noWrap/>
            <w:vAlign w:val="center"/>
            <w:hideMark/>
          </w:tcPr>
          <w:p w14:paraId="45BE8C6C" w14:textId="77777777" w:rsidR="00236333" w:rsidRPr="00BD0B9E" w:rsidRDefault="00236333">
            <w:pPr>
              <w:spacing w:after="0" w:line="240" w:lineRule="auto"/>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Non-Ferrous Metals - Lead</w:t>
            </w:r>
          </w:p>
        </w:tc>
        <w:tc>
          <w:tcPr>
            <w:tcW w:w="1352" w:type="dxa"/>
            <w:tcBorders>
              <w:top w:val="nil"/>
              <w:left w:val="nil"/>
              <w:bottom w:val="nil"/>
              <w:right w:val="nil"/>
            </w:tcBorders>
            <w:shd w:val="clear" w:color="auto" w:fill="auto"/>
            <w:noWrap/>
            <w:vAlign w:val="center"/>
            <w:hideMark/>
          </w:tcPr>
          <w:p w14:paraId="3A1DD710" w14:textId="77777777" w:rsidR="00236333" w:rsidRPr="00F77799" w:rsidRDefault="00236333">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87,690,364</w:t>
            </w:r>
          </w:p>
        </w:tc>
        <w:tc>
          <w:tcPr>
            <w:tcW w:w="832" w:type="dxa"/>
            <w:tcBorders>
              <w:top w:val="nil"/>
              <w:left w:val="nil"/>
              <w:bottom w:val="nil"/>
              <w:right w:val="nil"/>
            </w:tcBorders>
            <w:shd w:val="clear" w:color="auto" w:fill="auto"/>
            <w:noWrap/>
            <w:vAlign w:val="center"/>
            <w:hideMark/>
          </w:tcPr>
          <w:p w14:paraId="25D053C3" w14:textId="38EBC689"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100.0%</w:t>
            </w:r>
          </w:p>
        </w:tc>
        <w:tc>
          <w:tcPr>
            <w:tcW w:w="832" w:type="dxa"/>
            <w:tcBorders>
              <w:top w:val="nil"/>
              <w:left w:val="nil"/>
              <w:bottom w:val="nil"/>
              <w:right w:val="nil"/>
            </w:tcBorders>
            <w:shd w:val="clear" w:color="auto" w:fill="auto"/>
            <w:noWrap/>
            <w:vAlign w:val="center"/>
            <w:hideMark/>
          </w:tcPr>
          <w:p w14:paraId="442A163D" w14:textId="482C444C"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1DA3F70E" w14:textId="6544EFDF"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3649A635" w14:textId="20B33D2B"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427A1C17" w14:textId="173E5777"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61947A37" w14:textId="4DAE3696"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18218459" w14:textId="2F7107D6"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r>
      <w:tr w:rsidR="00236333" w:rsidRPr="00F72995" w14:paraId="545E8F69" w14:textId="77777777" w:rsidTr="005976E5">
        <w:trPr>
          <w:trHeight w:val="300"/>
        </w:trPr>
        <w:tc>
          <w:tcPr>
            <w:tcW w:w="607" w:type="dxa"/>
            <w:tcBorders>
              <w:top w:val="nil"/>
              <w:left w:val="nil"/>
              <w:bottom w:val="nil"/>
              <w:right w:val="nil"/>
            </w:tcBorders>
            <w:shd w:val="clear" w:color="auto" w:fill="auto"/>
            <w:noWrap/>
            <w:vAlign w:val="center"/>
            <w:hideMark/>
          </w:tcPr>
          <w:p w14:paraId="7E3D1A0C" w14:textId="77777777" w:rsidR="00236333" w:rsidRPr="00BD0B9E" w:rsidRDefault="00236333" w:rsidP="006873C3">
            <w:pPr>
              <w:spacing w:after="0" w:line="240" w:lineRule="auto"/>
              <w:jc w:val="right"/>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CH79</w:t>
            </w:r>
          </w:p>
        </w:tc>
        <w:tc>
          <w:tcPr>
            <w:tcW w:w="2654" w:type="dxa"/>
            <w:tcBorders>
              <w:top w:val="nil"/>
              <w:left w:val="nil"/>
              <w:bottom w:val="nil"/>
              <w:right w:val="nil"/>
            </w:tcBorders>
            <w:shd w:val="clear" w:color="auto" w:fill="auto"/>
            <w:noWrap/>
            <w:vAlign w:val="center"/>
            <w:hideMark/>
          </w:tcPr>
          <w:p w14:paraId="091D447C" w14:textId="77777777" w:rsidR="00236333" w:rsidRPr="00BD0B9E" w:rsidRDefault="00236333">
            <w:pPr>
              <w:spacing w:after="0" w:line="240" w:lineRule="auto"/>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Non-Ferrous Metals - Zinc</w:t>
            </w:r>
          </w:p>
        </w:tc>
        <w:tc>
          <w:tcPr>
            <w:tcW w:w="1352" w:type="dxa"/>
            <w:tcBorders>
              <w:top w:val="nil"/>
              <w:left w:val="nil"/>
              <w:bottom w:val="nil"/>
              <w:right w:val="nil"/>
            </w:tcBorders>
            <w:shd w:val="clear" w:color="auto" w:fill="auto"/>
            <w:noWrap/>
            <w:vAlign w:val="center"/>
            <w:hideMark/>
          </w:tcPr>
          <w:p w14:paraId="42D901EB" w14:textId="77777777" w:rsidR="00236333" w:rsidRPr="00F77799" w:rsidRDefault="00236333">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28,672,359</w:t>
            </w:r>
          </w:p>
        </w:tc>
        <w:tc>
          <w:tcPr>
            <w:tcW w:w="832" w:type="dxa"/>
            <w:tcBorders>
              <w:top w:val="nil"/>
              <w:left w:val="nil"/>
              <w:bottom w:val="nil"/>
              <w:right w:val="nil"/>
            </w:tcBorders>
            <w:shd w:val="clear" w:color="auto" w:fill="auto"/>
            <w:noWrap/>
            <w:vAlign w:val="center"/>
            <w:hideMark/>
          </w:tcPr>
          <w:p w14:paraId="1A2B690B" w14:textId="1E467370"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100.0%</w:t>
            </w:r>
          </w:p>
        </w:tc>
        <w:tc>
          <w:tcPr>
            <w:tcW w:w="832" w:type="dxa"/>
            <w:tcBorders>
              <w:top w:val="nil"/>
              <w:left w:val="nil"/>
              <w:bottom w:val="nil"/>
              <w:right w:val="nil"/>
            </w:tcBorders>
            <w:shd w:val="clear" w:color="auto" w:fill="auto"/>
            <w:noWrap/>
            <w:vAlign w:val="center"/>
            <w:hideMark/>
          </w:tcPr>
          <w:p w14:paraId="0E698837" w14:textId="0FC7493C"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019B68D2" w14:textId="6B514974"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4210F4AA" w14:textId="287BCBFF"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1F86F654" w14:textId="304DBBFF"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17A4A7EB" w14:textId="3131EE9E"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nil"/>
              <w:right w:val="nil"/>
            </w:tcBorders>
            <w:shd w:val="clear" w:color="auto" w:fill="auto"/>
            <w:noWrap/>
            <w:vAlign w:val="center"/>
            <w:hideMark/>
          </w:tcPr>
          <w:p w14:paraId="22CAAD14" w14:textId="639BFA17"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r>
      <w:tr w:rsidR="00236333" w:rsidRPr="00F72995" w14:paraId="42FD94A6" w14:textId="77777777" w:rsidTr="005976E5">
        <w:trPr>
          <w:trHeight w:val="300"/>
        </w:trPr>
        <w:tc>
          <w:tcPr>
            <w:tcW w:w="607" w:type="dxa"/>
            <w:tcBorders>
              <w:top w:val="nil"/>
              <w:left w:val="nil"/>
              <w:right w:val="nil"/>
            </w:tcBorders>
            <w:shd w:val="clear" w:color="auto" w:fill="auto"/>
            <w:noWrap/>
            <w:vAlign w:val="center"/>
            <w:hideMark/>
          </w:tcPr>
          <w:p w14:paraId="4AB0A35C" w14:textId="77777777" w:rsidR="00236333" w:rsidRPr="00BD0B9E" w:rsidRDefault="00236333" w:rsidP="006873C3">
            <w:pPr>
              <w:spacing w:after="0" w:line="240" w:lineRule="auto"/>
              <w:jc w:val="right"/>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CH90</w:t>
            </w:r>
          </w:p>
        </w:tc>
        <w:tc>
          <w:tcPr>
            <w:tcW w:w="2654" w:type="dxa"/>
            <w:tcBorders>
              <w:top w:val="nil"/>
              <w:left w:val="nil"/>
              <w:right w:val="nil"/>
            </w:tcBorders>
            <w:shd w:val="clear" w:color="auto" w:fill="auto"/>
            <w:noWrap/>
            <w:vAlign w:val="center"/>
            <w:hideMark/>
          </w:tcPr>
          <w:p w14:paraId="7577CFB1" w14:textId="77777777" w:rsidR="00236333" w:rsidRPr="00BD0B9E" w:rsidRDefault="00236333">
            <w:pPr>
              <w:spacing w:after="0" w:line="240" w:lineRule="auto"/>
              <w:rPr>
                <w:rFonts w:asciiTheme="majorHAnsi" w:eastAsia="Times New Roman" w:hAnsiTheme="majorHAnsi" w:cstheme="majorHAnsi"/>
                <w:color w:val="000000"/>
                <w:sz w:val="18"/>
                <w:szCs w:val="18"/>
                <w:lang w:eastAsia="en-AU"/>
              </w:rPr>
            </w:pPr>
            <w:r w:rsidRPr="00BD0B9E">
              <w:rPr>
                <w:rFonts w:asciiTheme="majorHAnsi" w:eastAsia="Times New Roman" w:hAnsiTheme="majorHAnsi" w:cstheme="majorHAnsi"/>
                <w:color w:val="000000"/>
                <w:sz w:val="18"/>
                <w:szCs w:val="18"/>
                <w:lang w:eastAsia="en-AU"/>
              </w:rPr>
              <w:t>Medical devices</w:t>
            </w:r>
          </w:p>
        </w:tc>
        <w:tc>
          <w:tcPr>
            <w:tcW w:w="1352" w:type="dxa"/>
            <w:tcBorders>
              <w:top w:val="nil"/>
              <w:left w:val="nil"/>
              <w:right w:val="nil"/>
            </w:tcBorders>
            <w:shd w:val="clear" w:color="auto" w:fill="auto"/>
            <w:noWrap/>
            <w:vAlign w:val="center"/>
            <w:hideMark/>
          </w:tcPr>
          <w:p w14:paraId="1067C040" w14:textId="77777777" w:rsidR="00236333" w:rsidRPr="00F77799" w:rsidRDefault="00236333">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45,598,916</w:t>
            </w:r>
          </w:p>
        </w:tc>
        <w:tc>
          <w:tcPr>
            <w:tcW w:w="832" w:type="dxa"/>
            <w:tcBorders>
              <w:top w:val="nil"/>
              <w:left w:val="nil"/>
              <w:right w:val="nil"/>
            </w:tcBorders>
            <w:shd w:val="clear" w:color="auto" w:fill="auto"/>
            <w:noWrap/>
            <w:vAlign w:val="center"/>
            <w:hideMark/>
          </w:tcPr>
          <w:p w14:paraId="77470FF8" w14:textId="71D62443"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45.9%</w:t>
            </w:r>
          </w:p>
        </w:tc>
        <w:tc>
          <w:tcPr>
            <w:tcW w:w="832" w:type="dxa"/>
            <w:tcBorders>
              <w:top w:val="nil"/>
              <w:left w:val="nil"/>
              <w:right w:val="nil"/>
            </w:tcBorders>
            <w:shd w:val="clear" w:color="auto" w:fill="auto"/>
            <w:noWrap/>
            <w:vAlign w:val="center"/>
            <w:hideMark/>
          </w:tcPr>
          <w:p w14:paraId="7C3C8A30" w14:textId="3F3A0B5C"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right w:val="nil"/>
            </w:tcBorders>
            <w:shd w:val="clear" w:color="auto" w:fill="auto"/>
            <w:noWrap/>
            <w:vAlign w:val="center"/>
            <w:hideMark/>
          </w:tcPr>
          <w:p w14:paraId="398E3F43" w14:textId="30D2AD5A"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54.1%</w:t>
            </w:r>
          </w:p>
        </w:tc>
        <w:tc>
          <w:tcPr>
            <w:tcW w:w="832" w:type="dxa"/>
            <w:tcBorders>
              <w:top w:val="nil"/>
              <w:left w:val="nil"/>
              <w:right w:val="nil"/>
            </w:tcBorders>
            <w:shd w:val="clear" w:color="auto" w:fill="auto"/>
            <w:noWrap/>
            <w:vAlign w:val="center"/>
            <w:hideMark/>
          </w:tcPr>
          <w:p w14:paraId="211DAF81" w14:textId="1D5122E0"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right w:val="nil"/>
            </w:tcBorders>
            <w:shd w:val="clear" w:color="auto" w:fill="auto"/>
            <w:noWrap/>
            <w:vAlign w:val="center"/>
            <w:hideMark/>
          </w:tcPr>
          <w:p w14:paraId="0AE2AA41" w14:textId="4CB3A24C"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right w:val="nil"/>
            </w:tcBorders>
            <w:shd w:val="clear" w:color="auto" w:fill="auto"/>
            <w:noWrap/>
            <w:vAlign w:val="center"/>
            <w:hideMark/>
          </w:tcPr>
          <w:p w14:paraId="34AA308B" w14:textId="22661CEC"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right w:val="nil"/>
            </w:tcBorders>
            <w:shd w:val="clear" w:color="auto" w:fill="auto"/>
            <w:noWrap/>
            <w:vAlign w:val="center"/>
            <w:hideMark/>
          </w:tcPr>
          <w:p w14:paraId="00150F6E" w14:textId="42703F02"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r>
      <w:tr w:rsidR="00236333" w:rsidRPr="00F72995" w14:paraId="77ED89AF" w14:textId="77777777" w:rsidTr="005976E5">
        <w:trPr>
          <w:trHeight w:val="300"/>
        </w:trPr>
        <w:tc>
          <w:tcPr>
            <w:tcW w:w="607" w:type="dxa"/>
            <w:tcBorders>
              <w:top w:val="nil"/>
              <w:left w:val="nil"/>
              <w:bottom w:val="single" w:sz="4" w:space="0" w:color="auto"/>
              <w:right w:val="nil"/>
            </w:tcBorders>
            <w:shd w:val="clear" w:color="auto" w:fill="auto"/>
            <w:noWrap/>
            <w:vAlign w:val="center"/>
          </w:tcPr>
          <w:p w14:paraId="153C8C29" w14:textId="77777777" w:rsidR="00236333" w:rsidRPr="00BD0B9E" w:rsidRDefault="00236333" w:rsidP="006873C3">
            <w:pPr>
              <w:spacing w:after="0" w:line="240" w:lineRule="auto"/>
              <w:jc w:val="right"/>
              <w:rPr>
                <w:rFonts w:asciiTheme="majorHAnsi" w:eastAsia="Times New Roman" w:hAnsiTheme="majorHAnsi" w:cstheme="majorHAnsi"/>
                <w:color w:val="000000"/>
                <w:sz w:val="18"/>
                <w:szCs w:val="18"/>
                <w:lang w:eastAsia="en-AU"/>
              </w:rPr>
            </w:pPr>
          </w:p>
        </w:tc>
        <w:tc>
          <w:tcPr>
            <w:tcW w:w="2654" w:type="dxa"/>
            <w:tcBorders>
              <w:top w:val="nil"/>
              <w:left w:val="nil"/>
              <w:bottom w:val="single" w:sz="4" w:space="0" w:color="auto"/>
              <w:right w:val="nil"/>
            </w:tcBorders>
            <w:shd w:val="clear" w:color="auto" w:fill="auto"/>
            <w:noWrap/>
            <w:vAlign w:val="center"/>
          </w:tcPr>
          <w:p w14:paraId="4ED9B891" w14:textId="77777777" w:rsidR="00236333" w:rsidRPr="00BD0B9E" w:rsidRDefault="00236333">
            <w:pPr>
              <w:spacing w:after="0" w:line="240" w:lineRule="auto"/>
              <w:rPr>
                <w:rFonts w:asciiTheme="majorHAnsi" w:eastAsia="Times New Roman" w:hAnsiTheme="majorHAnsi" w:cstheme="majorHAnsi"/>
                <w:color w:val="000000"/>
                <w:sz w:val="18"/>
                <w:szCs w:val="18"/>
                <w:lang w:eastAsia="en-AU"/>
              </w:rPr>
            </w:pPr>
            <w:r w:rsidRPr="00BD0B9E">
              <w:rPr>
                <w:rFonts w:asciiTheme="majorHAnsi" w:hAnsiTheme="majorHAnsi" w:cstheme="majorHAnsi"/>
                <w:sz w:val="18"/>
                <w:szCs w:val="18"/>
              </w:rPr>
              <w:t xml:space="preserve">Tariffed commodities </w:t>
            </w:r>
            <w:proofErr w:type="spellStart"/>
            <w:r w:rsidRPr="00BD0B9E">
              <w:rPr>
                <w:rFonts w:asciiTheme="majorHAnsi" w:hAnsiTheme="majorHAnsi" w:cstheme="majorHAnsi"/>
                <w:sz w:val="18"/>
                <w:szCs w:val="18"/>
              </w:rPr>
              <w:t>n.e.c</w:t>
            </w:r>
            <w:proofErr w:type="spellEnd"/>
          </w:p>
        </w:tc>
        <w:tc>
          <w:tcPr>
            <w:tcW w:w="1352" w:type="dxa"/>
            <w:tcBorders>
              <w:top w:val="nil"/>
              <w:left w:val="nil"/>
              <w:bottom w:val="single" w:sz="4" w:space="0" w:color="auto"/>
              <w:right w:val="nil"/>
            </w:tcBorders>
            <w:shd w:val="clear" w:color="auto" w:fill="auto"/>
            <w:noWrap/>
            <w:vAlign w:val="center"/>
          </w:tcPr>
          <w:p w14:paraId="118A6AF2" w14:textId="77777777" w:rsidR="00236333" w:rsidRPr="00F77799" w:rsidRDefault="00236333">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975,442,370</w:t>
            </w:r>
          </w:p>
        </w:tc>
        <w:tc>
          <w:tcPr>
            <w:tcW w:w="832" w:type="dxa"/>
            <w:tcBorders>
              <w:top w:val="nil"/>
              <w:left w:val="nil"/>
              <w:bottom w:val="single" w:sz="4" w:space="0" w:color="auto"/>
              <w:right w:val="nil"/>
            </w:tcBorders>
            <w:shd w:val="clear" w:color="auto" w:fill="auto"/>
            <w:noWrap/>
            <w:vAlign w:val="center"/>
          </w:tcPr>
          <w:p w14:paraId="06357858" w14:textId="672E0F2F"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47.0%</w:t>
            </w:r>
          </w:p>
        </w:tc>
        <w:tc>
          <w:tcPr>
            <w:tcW w:w="832" w:type="dxa"/>
            <w:tcBorders>
              <w:top w:val="nil"/>
              <w:left w:val="nil"/>
              <w:bottom w:val="single" w:sz="4" w:space="0" w:color="auto"/>
              <w:right w:val="nil"/>
            </w:tcBorders>
            <w:shd w:val="clear" w:color="auto" w:fill="auto"/>
            <w:noWrap/>
            <w:vAlign w:val="center"/>
          </w:tcPr>
          <w:p w14:paraId="4C5684CF" w14:textId="6D0967A5"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single" w:sz="4" w:space="0" w:color="auto"/>
              <w:right w:val="nil"/>
            </w:tcBorders>
            <w:shd w:val="clear" w:color="auto" w:fill="auto"/>
            <w:noWrap/>
            <w:vAlign w:val="center"/>
          </w:tcPr>
          <w:p w14:paraId="2E31E5EC" w14:textId="1CDA2286"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52.1%</w:t>
            </w:r>
          </w:p>
        </w:tc>
        <w:tc>
          <w:tcPr>
            <w:tcW w:w="832" w:type="dxa"/>
            <w:tcBorders>
              <w:top w:val="nil"/>
              <w:left w:val="nil"/>
              <w:bottom w:val="single" w:sz="4" w:space="0" w:color="auto"/>
              <w:right w:val="nil"/>
            </w:tcBorders>
            <w:shd w:val="clear" w:color="auto" w:fill="auto"/>
            <w:noWrap/>
            <w:vAlign w:val="center"/>
          </w:tcPr>
          <w:p w14:paraId="4B4E57B7" w14:textId="776B32A3"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0.8%</w:t>
            </w:r>
          </w:p>
        </w:tc>
        <w:tc>
          <w:tcPr>
            <w:tcW w:w="832" w:type="dxa"/>
            <w:tcBorders>
              <w:top w:val="nil"/>
              <w:left w:val="nil"/>
              <w:bottom w:val="single" w:sz="4" w:space="0" w:color="auto"/>
              <w:right w:val="nil"/>
            </w:tcBorders>
            <w:shd w:val="clear" w:color="auto" w:fill="auto"/>
            <w:noWrap/>
            <w:vAlign w:val="center"/>
          </w:tcPr>
          <w:p w14:paraId="1787DE2D" w14:textId="66828DC0"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0.1%</w:t>
            </w:r>
          </w:p>
        </w:tc>
        <w:tc>
          <w:tcPr>
            <w:tcW w:w="832" w:type="dxa"/>
            <w:tcBorders>
              <w:top w:val="nil"/>
              <w:left w:val="nil"/>
              <w:bottom w:val="single" w:sz="4" w:space="0" w:color="auto"/>
              <w:right w:val="nil"/>
            </w:tcBorders>
            <w:shd w:val="clear" w:color="auto" w:fill="auto"/>
            <w:noWrap/>
            <w:vAlign w:val="center"/>
          </w:tcPr>
          <w:p w14:paraId="52631DE4" w14:textId="3984E660"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832" w:type="dxa"/>
            <w:tcBorders>
              <w:top w:val="nil"/>
              <w:left w:val="nil"/>
              <w:bottom w:val="single" w:sz="4" w:space="0" w:color="auto"/>
              <w:right w:val="nil"/>
            </w:tcBorders>
            <w:shd w:val="clear" w:color="auto" w:fill="auto"/>
            <w:noWrap/>
            <w:vAlign w:val="center"/>
          </w:tcPr>
          <w:p w14:paraId="3F7EA0D9" w14:textId="3A86D2BB"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r>
      <w:tr w:rsidR="00236333" w:rsidRPr="00FC2C7B" w14:paraId="4BA19A53" w14:textId="77777777" w:rsidTr="005976E5">
        <w:trPr>
          <w:trHeight w:val="300"/>
        </w:trPr>
        <w:tc>
          <w:tcPr>
            <w:tcW w:w="607" w:type="dxa"/>
            <w:tcBorders>
              <w:top w:val="single" w:sz="4" w:space="0" w:color="auto"/>
              <w:left w:val="nil"/>
              <w:bottom w:val="single" w:sz="4" w:space="0" w:color="auto"/>
              <w:right w:val="nil"/>
            </w:tcBorders>
            <w:shd w:val="clear" w:color="auto" w:fill="auto"/>
            <w:noWrap/>
            <w:vAlign w:val="center"/>
          </w:tcPr>
          <w:p w14:paraId="6EC7EB25" w14:textId="77777777" w:rsidR="00236333" w:rsidRPr="00BD0B9E" w:rsidRDefault="00236333" w:rsidP="006873C3">
            <w:pPr>
              <w:spacing w:after="0" w:line="240" w:lineRule="auto"/>
              <w:jc w:val="right"/>
              <w:rPr>
                <w:rFonts w:asciiTheme="majorHAnsi" w:eastAsia="Times New Roman" w:hAnsiTheme="majorHAnsi" w:cstheme="majorHAnsi"/>
                <w:color w:val="000000"/>
                <w:sz w:val="18"/>
                <w:szCs w:val="18"/>
                <w:lang w:eastAsia="en-AU"/>
              </w:rPr>
            </w:pPr>
          </w:p>
        </w:tc>
        <w:tc>
          <w:tcPr>
            <w:tcW w:w="2654" w:type="dxa"/>
            <w:tcBorders>
              <w:top w:val="single" w:sz="4" w:space="0" w:color="auto"/>
              <w:left w:val="nil"/>
              <w:bottom w:val="single" w:sz="4" w:space="0" w:color="auto"/>
              <w:right w:val="nil"/>
            </w:tcBorders>
            <w:shd w:val="clear" w:color="auto" w:fill="auto"/>
            <w:noWrap/>
            <w:vAlign w:val="center"/>
          </w:tcPr>
          <w:p w14:paraId="0694CBED" w14:textId="77777777" w:rsidR="00236333" w:rsidRPr="00BD0B9E" w:rsidRDefault="00236333">
            <w:pPr>
              <w:spacing w:after="0" w:line="240" w:lineRule="auto"/>
              <w:rPr>
                <w:rFonts w:asciiTheme="majorHAnsi" w:eastAsia="Times New Roman" w:hAnsiTheme="majorHAnsi" w:cstheme="majorHAnsi"/>
                <w:color w:val="000000"/>
                <w:sz w:val="18"/>
                <w:szCs w:val="18"/>
                <w:lang w:eastAsia="en-AU"/>
              </w:rPr>
            </w:pPr>
            <w:r w:rsidRPr="00BD0B9E">
              <w:rPr>
                <w:rFonts w:asciiTheme="majorHAnsi" w:hAnsiTheme="majorHAnsi" w:cstheme="majorHAnsi"/>
                <w:sz w:val="18"/>
                <w:szCs w:val="18"/>
              </w:rPr>
              <w:t>Total</w:t>
            </w:r>
          </w:p>
        </w:tc>
        <w:tc>
          <w:tcPr>
            <w:tcW w:w="1352" w:type="dxa"/>
            <w:tcBorders>
              <w:top w:val="single" w:sz="4" w:space="0" w:color="auto"/>
              <w:left w:val="nil"/>
              <w:bottom w:val="single" w:sz="4" w:space="0" w:color="auto"/>
              <w:right w:val="nil"/>
            </w:tcBorders>
            <w:shd w:val="clear" w:color="auto" w:fill="auto"/>
            <w:noWrap/>
            <w:vAlign w:val="center"/>
          </w:tcPr>
          <w:p w14:paraId="156002B7" w14:textId="77777777" w:rsidR="00236333" w:rsidRPr="00F77799" w:rsidRDefault="00236333">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14,791,328,384</w:t>
            </w:r>
          </w:p>
        </w:tc>
        <w:tc>
          <w:tcPr>
            <w:tcW w:w="832" w:type="dxa"/>
            <w:tcBorders>
              <w:top w:val="single" w:sz="4" w:space="0" w:color="auto"/>
              <w:left w:val="nil"/>
              <w:bottom w:val="single" w:sz="4" w:space="0" w:color="auto"/>
              <w:right w:val="nil"/>
            </w:tcBorders>
            <w:shd w:val="clear" w:color="auto" w:fill="auto"/>
            <w:noWrap/>
            <w:vAlign w:val="center"/>
          </w:tcPr>
          <w:p w14:paraId="1F54E220" w14:textId="614F3250"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9.3%</w:t>
            </w:r>
          </w:p>
        </w:tc>
        <w:tc>
          <w:tcPr>
            <w:tcW w:w="832" w:type="dxa"/>
            <w:tcBorders>
              <w:top w:val="single" w:sz="4" w:space="0" w:color="auto"/>
              <w:left w:val="nil"/>
              <w:bottom w:val="single" w:sz="4" w:space="0" w:color="auto"/>
              <w:right w:val="nil"/>
            </w:tcBorders>
            <w:shd w:val="clear" w:color="auto" w:fill="auto"/>
            <w:noWrap/>
            <w:vAlign w:val="center"/>
          </w:tcPr>
          <w:p w14:paraId="1673AF95" w14:textId="364A13DC"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0.0%</w:t>
            </w:r>
          </w:p>
        </w:tc>
        <w:tc>
          <w:tcPr>
            <w:tcW w:w="832" w:type="dxa"/>
            <w:tcBorders>
              <w:top w:val="single" w:sz="4" w:space="0" w:color="auto"/>
              <w:left w:val="nil"/>
              <w:bottom w:val="single" w:sz="4" w:space="0" w:color="auto"/>
              <w:right w:val="nil"/>
            </w:tcBorders>
            <w:shd w:val="clear" w:color="auto" w:fill="auto"/>
            <w:noWrap/>
            <w:vAlign w:val="center"/>
          </w:tcPr>
          <w:p w14:paraId="6F23A551" w14:textId="52E8AEDF"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89.1%</w:t>
            </w:r>
          </w:p>
        </w:tc>
        <w:tc>
          <w:tcPr>
            <w:tcW w:w="832" w:type="dxa"/>
            <w:tcBorders>
              <w:top w:val="single" w:sz="4" w:space="0" w:color="auto"/>
              <w:left w:val="nil"/>
              <w:bottom w:val="single" w:sz="4" w:space="0" w:color="auto"/>
              <w:right w:val="nil"/>
            </w:tcBorders>
            <w:shd w:val="clear" w:color="auto" w:fill="auto"/>
            <w:noWrap/>
            <w:vAlign w:val="center"/>
          </w:tcPr>
          <w:p w14:paraId="458A0B7D" w14:textId="43897395"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0.1%</w:t>
            </w:r>
          </w:p>
        </w:tc>
        <w:tc>
          <w:tcPr>
            <w:tcW w:w="832" w:type="dxa"/>
            <w:tcBorders>
              <w:top w:val="single" w:sz="4" w:space="0" w:color="auto"/>
              <w:left w:val="nil"/>
              <w:bottom w:val="single" w:sz="4" w:space="0" w:color="auto"/>
              <w:right w:val="nil"/>
            </w:tcBorders>
            <w:shd w:val="clear" w:color="auto" w:fill="auto"/>
            <w:noWrap/>
            <w:vAlign w:val="center"/>
          </w:tcPr>
          <w:p w14:paraId="5BE78603" w14:textId="0B23FB6A"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1.1%</w:t>
            </w:r>
          </w:p>
        </w:tc>
        <w:tc>
          <w:tcPr>
            <w:tcW w:w="832" w:type="dxa"/>
            <w:tcBorders>
              <w:top w:val="single" w:sz="4" w:space="0" w:color="auto"/>
              <w:left w:val="nil"/>
              <w:bottom w:val="single" w:sz="4" w:space="0" w:color="auto"/>
              <w:right w:val="nil"/>
            </w:tcBorders>
            <w:shd w:val="clear" w:color="auto" w:fill="auto"/>
            <w:noWrap/>
            <w:vAlign w:val="center"/>
          </w:tcPr>
          <w:p w14:paraId="5C0D057E" w14:textId="7E70D4A4"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0.0%</w:t>
            </w:r>
          </w:p>
        </w:tc>
        <w:tc>
          <w:tcPr>
            <w:tcW w:w="832" w:type="dxa"/>
            <w:tcBorders>
              <w:top w:val="single" w:sz="4" w:space="0" w:color="auto"/>
              <w:left w:val="nil"/>
              <w:bottom w:val="single" w:sz="4" w:space="0" w:color="auto"/>
              <w:right w:val="nil"/>
            </w:tcBorders>
            <w:shd w:val="clear" w:color="auto" w:fill="auto"/>
            <w:noWrap/>
            <w:vAlign w:val="center"/>
          </w:tcPr>
          <w:p w14:paraId="7A989BE5" w14:textId="499A8E30" w:rsidR="00236333" w:rsidRPr="006873C3" w:rsidRDefault="0023633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0.3%</w:t>
            </w:r>
          </w:p>
        </w:tc>
      </w:tr>
    </w:tbl>
    <w:p w14:paraId="32DDD461" w14:textId="63679E56" w:rsidR="004D46B8" w:rsidRDefault="004D46B8" w:rsidP="003C7229">
      <w:pPr>
        <w:spacing w:after="0"/>
        <w:rPr>
          <w:b/>
        </w:rPr>
      </w:pPr>
    </w:p>
    <w:p w14:paraId="305C0FAC" w14:textId="716705E1" w:rsidR="004D46B8" w:rsidRDefault="004D46B8" w:rsidP="003C7229">
      <w:pPr>
        <w:spacing w:after="0"/>
        <w:rPr>
          <w:b/>
        </w:rPr>
      </w:pPr>
      <w:r w:rsidRPr="00D8564D">
        <w:rPr>
          <w:sz w:val="20"/>
          <w:szCs w:val="20"/>
        </w:rPr>
        <w:t>Source: Trade Data Monitor</w:t>
      </w:r>
      <w:r>
        <w:rPr>
          <w:sz w:val="20"/>
          <w:szCs w:val="20"/>
        </w:rPr>
        <w:t>s, DFAT</w:t>
      </w:r>
      <w:r w:rsidRPr="00D8564D">
        <w:rPr>
          <w:sz w:val="20"/>
          <w:szCs w:val="20"/>
        </w:rPr>
        <w:br/>
        <w:t xml:space="preserve">Notes: Value of trade </w:t>
      </w:r>
      <w:r>
        <w:rPr>
          <w:sz w:val="20"/>
          <w:szCs w:val="20"/>
        </w:rPr>
        <w:t>estimates use</w:t>
      </w:r>
      <w:r w:rsidRPr="00D8564D">
        <w:rPr>
          <w:sz w:val="20"/>
          <w:szCs w:val="20"/>
        </w:rPr>
        <w:t xml:space="preserve"> annual average </w:t>
      </w:r>
      <w:r>
        <w:rPr>
          <w:sz w:val="20"/>
          <w:szCs w:val="20"/>
        </w:rPr>
        <w:t>data of</w:t>
      </w:r>
      <w:r w:rsidRPr="00D8564D">
        <w:rPr>
          <w:sz w:val="20"/>
          <w:szCs w:val="20"/>
        </w:rPr>
        <w:t xml:space="preserve"> Indian imports of merchandise goods from Australia between 2018 and 2020</w:t>
      </w:r>
      <w:r>
        <w:rPr>
          <w:sz w:val="20"/>
          <w:szCs w:val="20"/>
        </w:rPr>
        <w:t>, at the Indian HS 2017 8-digit commodity code level</w:t>
      </w:r>
      <w:r w:rsidRPr="00D8564D">
        <w:rPr>
          <w:sz w:val="20"/>
          <w:szCs w:val="20"/>
        </w:rPr>
        <w:t>.</w:t>
      </w:r>
      <w:r>
        <w:rPr>
          <w:sz w:val="20"/>
          <w:szCs w:val="20"/>
        </w:rPr>
        <w:t xml:space="preserve"> Aggregation of data into broad categories is estimated by DFAT based on Australia’s ‘exports of interest’</w:t>
      </w:r>
    </w:p>
    <w:bookmarkEnd w:id="29"/>
    <w:p w14:paraId="4015DD02" w14:textId="77777777" w:rsidR="00C41A6A" w:rsidRPr="0001716D" w:rsidRDefault="00C41A6A" w:rsidP="0001716D">
      <w:pPr>
        <w:spacing w:after="0"/>
        <w:rPr>
          <w:sz w:val="24"/>
          <w:szCs w:val="24"/>
        </w:rPr>
      </w:pPr>
    </w:p>
    <w:p w14:paraId="30E4DAD5" w14:textId="494DB5F5" w:rsidR="008F3719" w:rsidRPr="008F3719" w:rsidRDefault="00A96E01">
      <w:pPr>
        <w:pStyle w:val="ListParagraph"/>
        <w:numPr>
          <w:ilvl w:val="0"/>
          <w:numId w:val="1"/>
        </w:numPr>
        <w:spacing w:after="0"/>
        <w:ind w:left="567" w:hanging="567"/>
        <w:rPr>
          <w:sz w:val="24"/>
          <w:szCs w:val="24"/>
        </w:rPr>
      </w:pPr>
      <w:r>
        <w:rPr>
          <w:sz w:val="24"/>
          <w:szCs w:val="24"/>
        </w:rPr>
        <w:t>Locking in the elimination and reduction of customs duties</w:t>
      </w:r>
      <w:r w:rsidR="002573C6">
        <w:rPr>
          <w:sz w:val="24"/>
          <w:szCs w:val="24"/>
        </w:rPr>
        <w:t>, as well as tariff rate quotas</w:t>
      </w:r>
      <w:r>
        <w:rPr>
          <w:sz w:val="24"/>
          <w:szCs w:val="24"/>
        </w:rPr>
        <w:t xml:space="preserve"> for Australian products on signing of the proposed </w:t>
      </w:r>
      <w:r w:rsidR="008524F0">
        <w:rPr>
          <w:sz w:val="24"/>
          <w:szCs w:val="24"/>
        </w:rPr>
        <w:t>AI</w:t>
      </w:r>
      <w:r w:rsidR="00217C26">
        <w:rPr>
          <w:sz w:val="24"/>
          <w:szCs w:val="24"/>
        </w:rPr>
        <w:t xml:space="preserve"> ECTA</w:t>
      </w:r>
      <w:r>
        <w:rPr>
          <w:sz w:val="24"/>
          <w:szCs w:val="24"/>
        </w:rPr>
        <w:t xml:space="preserve"> will provide certainty for Australian </w:t>
      </w:r>
      <w:r>
        <w:rPr>
          <w:sz w:val="24"/>
          <w:szCs w:val="24"/>
        </w:rPr>
        <w:lastRenderedPageBreak/>
        <w:t xml:space="preserve">exporters looking to expand or enter the Indian market. This is important, as stakeholders have indicated that one of the </w:t>
      </w:r>
      <w:proofErr w:type="gramStart"/>
      <w:r>
        <w:rPr>
          <w:sz w:val="24"/>
          <w:szCs w:val="24"/>
        </w:rPr>
        <w:t>risks</w:t>
      </w:r>
      <w:proofErr w:type="gramEnd"/>
      <w:r>
        <w:rPr>
          <w:sz w:val="24"/>
          <w:szCs w:val="24"/>
        </w:rPr>
        <w:t xml:space="preserve"> they manage is the unpredictable </w:t>
      </w:r>
      <w:r w:rsidR="008A1A6F">
        <w:rPr>
          <w:sz w:val="24"/>
          <w:szCs w:val="24"/>
        </w:rPr>
        <w:t xml:space="preserve">way in which </w:t>
      </w:r>
      <w:r>
        <w:rPr>
          <w:sz w:val="24"/>
          <w:szCs w:val="24"/>
        </w:rPr>
        <w:t>India imposes and lifts tariffs.</w:t>
      </w:r>
      <w:r>
        <w:rPr>
          <w:rStyle w:val="FootnoteReference"/>
          <w:sz w:val="24"/>
          <w:szCs w:val="24"/>
        </w:rPr>
        <w:footnoteReference w:id="38"/>
      </w:r>
      <w:r>
        <w:rPr>
          <w:sz w:val="24"/>
          <w:szCs w:val="24"/>
        </w:rPr>
        <w:t xml:space="preserve"> Therefore, having clear rules around when and how customs duties w</w:t>
      </w:r>
      <w:r w:rsidR="002573C6">
        <w:rPr>
          <w:sz w:val="24"/>
          <w:szCs w:val="24"/>
        </w:rPr>
        <w:t>ill</w:t>
      </w:r>
      <w:r>
        <w:rPr>
          <w:sz w:val="24"/>
          <w:szCs w:val="24"/>
        </w:rPr>
        <w:t xml:space="preserve"> be eliminated or reduced would better support businesses to manage this risk and improve market confidence. </w:t>
      </w:r>
    </w:p>
    <w:p w14:paraId="209D6471" w14:textId="77777777" w:rsidR="00EB5EF4" w:rsidRDefault="00EB5EF4" w:rsidP="00F03F07"/>
    <w:p w14:paraId="5122F853" w14:textId="77777777" w:rsidR="00EB5EF4" w:rsidRPr="00A30498" w:rsidRDefault="00EB5EF4" w:rsidP="00EB5EF4">
      <w:pPr>
        <w:pStyle w:val="Heading3"/>
        <w:spacing w:before="0"/>
      </w:pPr>
      <w:bookmarkStart w:id="30" w:name="_Toc99370655"/>
      <w:r>
        <w:t>Industrial products</w:t>
      </w:r>
      <w:bookmarkEnd w:id="30"/>
    </w:p>
    <w:p w14:paraId="459D679C" w14:textId="77777777" w:rsidR="00EB5EF4" w:rsidRDefault="00EB5EF4" w:rsidP="00F03F07"/>
    <w:p w14:paraId="429CB53F" w14:textId="77777777" w:rsidR="00EB5EF4" w:rsidRPr="00A5588B" w:rsidRDefault="00EB5EF4" w:rsidP="00EB5EF4">
      <w:pPr>
        <w:spacing w:after="0"/>
        <w:rPr>
          <w:b/>
          <w:bCs/>
          <w:i/>
          <w:iCs/>
        </w:rPr>
      </w:pPr>
      <w:r w:rsidRPr="00A5588B">
        <w:rPr>
          <w:b/>
          <w:bCs/>
          <w:i/>
          <w:iCs/>
        </w:rPr>
        <w:t>Mining and heavy industry products</w:t>
      </w:r>
    </w:p>
    <w:p w14:paraId="10E2091B" w14:textId="77777777" w:rsidR="00EB5EF4" w:rsidRDefault="00EB5EF4" w:rsidP="00EB5EF4">
      <w:pPr>
        <w:pStyle w:val="ListParagraph"/>
        <w:spacing w:after="0"/>
        <w:ind w:left="567"/>
        <w:rPr>
          <w:sz w:val="24"/>
          <w:szCs w:val="24"/>
        </w:rPr>
      </w:pPr>
    </w:p>
    <w:p w14:paraId="4A8414C5" w14:textId="0B450BA7" w:rsidR="00EB5EF4" w:rsidRPr="00633AC4" w:rsidRDefault="00EB5EF4" w:rsidP="00EB5EF4">
      <w:pPr>
        <w:pStyle w:val="ListParagraph"/>
        <w:numPr>
          <w:ilvl w:val="0"/>
          <w:numId w:val="1"/>
        </w:numPr>
        <w:spacing w:after="0"/>
        <w:ind w:left="567" w:hanging="567"/>
        <w:rPr>
          <w:sz w:val="24"/>
          <w:szCs w:val="24"/>
        </w:rPr>
      </w:pPr>
      <w:r w:rsidRPr="00633AC4">
        <w:rPr>
          <w:sz w:val="24"/>
          <w:szCs w:val="24"/>
        </w:rPr>
        <w:t xml:space="preserve">Coal is Australia’s largest goods export to India representing </w:t>
      </w:r>
      <w:r w:rsidR="00C66773">
        <w:rPr>
          <w:sz w:val="24"/>
          <w:szCs w:val="24"/>
        </w:rPr>
        <w:t>around</w:t>
      </w:r>
      <w:r w:rsidR="00C66773" w:rsidRPr="00633AC4">
        <w:rPr>
          <w:sz w:val="24"/>
          <w:szCs w:val="24"/>
        </w:rPr>
        <w:t xml:space="preserve"> </w:t>
      </w:r>
      <w:r w:rsidRPr="00633AC4">
        <w:rPr>
          <w:sz w:val="24"/>
          <w:szCs w:val="24"/>
        </w:rPr>
        <w:t>7</w:t>
      </w:r>
      <w:r w:rsidR="007C1FF5" w:rsidRPr="00633AC4">
        <w:rPr>
          <w:sz w:val="24"/>
          <w:szCs w:val="24"/>
        </w:rPr>
        <w:t>0</w:t>
      </w:r>
      <w:r w:rsidRPr="00633AC4">
        <w:rPr>
          <w:sz w:val="24"/>
          <w:szCs w:val="24"/>
        </w:rPr>
        <w:t xml:space="preserve"> per cent of our exports to India over the period 2018-2020. The current </w:t>
      </w:r>
      <w:r w:rsidR="007C1FF5" w:rsidRPr="00633AC4">
        <w:rPr>
          <w:sz w:val="24"/>
          <w:szCs w:val="24"/>
        </w:rPr>
        <w:t>2.5</w:t>
      </w:r>
      <w:r w:rsidRPr="00633AC4">
        <w:rPr>
          <w:sz w:val="24"/>
          <w:szCs w:val="24"/>
        </w:rPr>
        <w:t xml:space="preserve"> per cent tariff (effective customs rate of 1 per cent plus 1.5 per cent coming from CESS) applied to Australia’s coal exports to India will be </w:t>
      </w:r>
      <w:r w:rsidR="007C1FF5" w:rsidRPr="00633AC4">
        <w:rPr>
          <w:sz w:val="24"/>
          <w:szCs w:val="24"/>
        </w:rPr>
        <w:t>eliminated</w:t>
      </w:r>
      <w:r w:rsidRPr="00633AC4">
        <w:rPr>
          <w:sz w:val="24"/>
          <w:szCs w:val="24"/>
        </w:rPr>
        <w:t xml:space="preserve"> on implementation</w:t>
      </w:r>
      <w:r w:rsidR="0088282D" w:rsidRPr="00633AC4">
        <w:rPr>
          <w:sz w:val="24"/>
          <w:szCs w:val="24"/>
        </w:rPr>
        <w:t xml:space="preserve">, or after 5 years in the case of bituminous coal. This will </w:t>
      </w:r>
      <w:r w:rsidRPr="00633AC4">
        <w:rPr>
          <w:sz w:val="24"/>
          <w:szCs w:val="24"/>
        </w:rPr>
        <w:t>improv</w:t>
      </w:r>
      <w:r w:rsidR="0088282D" w:rsidRPr="00633AC4">
        <w:rPr>
          <w:sz w:val="24"/>
          <w:szCs w:val="24"/>
        </w:rPr>
        <w:t xml:space="preserve">e </w:t>
      </w:r>
      <w:r w:rsidRPr="00633AC4">
        <w:rPr>
          <w:sz w:val="24"/>
          <w:szCs w:val="24"/>
        </w:rPr>
        <w:t xml:space="preserve">the competitiveness of Australia’s coal exports and allow greater access to a diversified market. India is the world’s second largest import market for metallurgical and thermal coal imports after China, and India’s imports are forecast to grow with ongoing urbanisation and higher energy demand. </w:t>
      </w:r>
      <w:r w:rsidR="0088282D" w:rsidRPr="00633AC4">
        <w:rPr>
          <w:sz w:val="24"/>
          <w:szCs w:val="24"/>
        </w:rPr>
        <w:t xml:space="preserve">India’s </w:t>
      </w:r>
      <w:r w:rsidRPr="00633AC4">
        <w:rPr>
          <w:sz w:val="24"/>
          <w:szCs w:val="24"/>
        </w:rPr>
        <w:t xml:space="preserve">coal </w:t>
      </w:r>
      <w:r w:rsidR="0088282D" w:rsidRPr="00633AC4">
        <w:rPr>
          <w:sz w:val="24"/>
          <w:szCs w:val="24"/>
        </w:rPr>
        <w:t>import</w:t>
      </w:r>
      <w:r w:rsidR="00E7054A" w:rsidRPr="00633AC4">
        <w:rPr>
          <w:sz w:val="24"/>
          <w:szCs w:val="24"/>
        </w:rPr>
        <w:t>s</w:t>
      </w:r>
      <w:r w:rsidR="0088282D" w:rsidRPr="00633AC4">
        <w:rPr>
          <w:sz w:val="24"/>
          <w:szCs w:val="24"/>
        </w:rPr>
        <w:t xml:space="preserve"> from Australia </w:t>
      </w:r>
      <w:r w:rsidRPr="00633AC4">
        <w:rPr>
          <w:sz w:val="24"/>
          <w:szCs w:val="24"/>
        </w:rPr>
        <w:t>averaged almost AU$10</w:t>
      </w:r>
      <w:r w:rsidR="0088282D" w:rsidRPr="00633AC4">
        <w:rPr>
          <w:sz w:val="24"/>
          <w:szCs w:val="24"/>
        </w:rPr>
        <w:t>.4</w:t>
      </w:r>
      <w:r w:rsidRPr="00633AC4">
        <w:rPr>
          <w:sz w:val="24"/>
          <w:szCs w:val="24"/>
        </w:rPr>
        <w:t xml:space="preserve"> billion per annum over 2018-2020, mostly comprising metallurgical coal exports. This represented </w:t>
      </w:r>
      <w:r w:rsidR="00B864E6">
        <w:rPr>
          <w:sz w:val="24"/>
          <w:szCs w:val="24"/>
        </w:rPr>
        <w:t>almost 36</w:t>
      </w:r>
      <w:r w:rsidRPr="00633AC4">
        <w:rPr>
          <w:sz w:val="24"/>
          <w:szCs w:val="24"/>
        </w:rPr>
        <w:t xml:space="preserve"> per cent of India’s total coal imports and </w:t>
      </w:r>
      <w:r w:rsidR="00E81631">
        <w:rPr>
          <w:sz w:val="24"/>
          <w:szCs w:val="24"/>
        </w:rPr>
        <w:t>almost</w:t>
      </w:r>
      <w:r w:rsidR="00E81631" w:rsidRPr="00633AC4">
        <w:rPr>
          <w:sz w:val="24"/>
          <w:szCs w:val="24"/>
        </w:rPr>
        <w:t xml:space="preserve"> </w:t>
      </w:r>
      <w:r w:rsidRPr="00633AC4">
        <w:rPr>
          <w:sz w:val="24"/>
          <w:szCs w:val="24"/>
        </w:rPr>
        <w:t xml:space="preserve">18 per cent of Australia’s total coal exports. </w:t>
      </w:r>
    </w:p>
    <w:p w14:paraId="481D99BD" w14:textId="77777777" w:rsidR="00EB5EF4" w:rsidRDefault="00EB5EF4" w:rsidP="00EB5EF4">
      <w:pPr>
        <w:pStyle w:val="ListParagraph"/>
        <w:spacing w:after="0"/>
        <w:ind w:left="567"/>
        <w:rPr>
          <w:sz w:val="24"/>
          <w:szCs w:val="24"/>
        </w:rPr>
      </w:pPr>
    </w:p>
    <w:p w14:paraId="068B30AA" w14:textId="77777777" w:rsidR="00EB5EF4" w:rsidRDefault="00EB5EF4" w:rsidP="00EB5EF4">
      <w:pPr>
        <w:pStyle w:val="Heading3"/>
        <w:spacing w:before="0"/>
      </w:pPr>
      <w:bookmarkStart w:id="31" w:name="_Toc99370656"/>
      <w:r>
        <w:t>Liquified natural gas</w:t>
      </w:r>
      <w:bookmarkEnd w:id="31"/>
      <w:r>
        <w:t xml:space="preserve"> </w:t>
      </w:r>
    </w:p>
    <w:p w14:paraId="24D6A9C0" w14:textId="77777777" w:rsidR="00EB5EF4" w:rsidRPr="0066322F" w:rsidRDefault="00EB5EF4" w:rsidP="00EB5EF4">
      <w:pPr>
        <w:spacing w:after="0"/>
      </w:pPr>
    </w:p>
    <w:p w14:paraId="5A3AE2DF" w14:textId="246B9932" w:rsidR="00EB5EF4" w:rsidRPr="009138F1" w:rsidRDefault="00EB5EF4" w:rsidP="00EB5EF4">
      <w:pPr>
        <w:pStyle w:val="ListParagraph"/>
        <w:numPr>
          <w:ilvl w:val="0"/>
          <w:numId w:val="1"/>
        </w:numPr>
        <w:spacing w:after="0"/>
        <w:ind w:left="567" w:hanging="567"/>
        <w:rPr>
          <w:rFonts w:eastAsia="Times New Roman"/>
        </w:rPr>
      </w:pPr>
      <w:r w:rsidRPr="009138F1">
        <w:rPr>
          <w:rFonts w:eastAsia="Times New Roman"/>
          <w:sz w:val="24"/>
          <w:szCs w:val="24"/>
        </w:rPr>
        <w:t xml:space="preserve">Liquified natural gas (LNG) was one of Australia’s largest exports to India over the period 2018-2020, averaging </w:t>
      </w:r>
      <w:r>
        <w:rPr>
          <w:rFonts w:eastAsia="Times New Roman"/>
          <w:sz w:val="24"/>
          <w:szCs w:val="24"/>
        </w:rPr>
        <w:t>AU</w:t>
      </w:r>
      <w:r w:rsidRPr="009138F1">
        <w:rPr>
          <w:rFonts w:eastAsia="Times New Roman"/>
          <w:sz w:val="24"/>
          <w:szCs w:val="24"/>
        </w:rPr>
        <w:t xml:space="preserve">$674 million annually over that period.  The 2.5 per cent will be locked in to zero on implementation, improving the competitiveness of Australia’s exports and allowing greater access to the Indian market. India imported more than </w:t>
      </w:r>
      <w:r>
        <w:rPr>
          <w:rFonts w:eastAsia="Times New Roman"/>
          <w:sz w:val="24"/>
          <w:szCs w:val="24"/>
        </w:rPr>
        <w:t>AU</w:t>
      </w:r>
      <w:r w:rsidRPr="009138F1">
        <w:rPr>
          <w:rFonts w:eastAsia="Times New Roman"/>
          <w:sz w:val="24"/>
          <w:szCs w:val="24"/>
        </w:rPr>
        <w:t>$13 billion (annual average, 2018-2020) worth of LNG over the same period.  This demonstrates the considerable opportunity for Australian exporters.</w:t>
      </w:r>
    </w:p>
    <w:p w14:paraId="108147C0" w14:textId="2E5EA54A" w:rsidR="00EB5EF4" w:rsidRDefault="00EB5EF4" w:rsidP="00EC172A">
      <w:pPr>
        <w:pStyle w:val="ListParagraph"/>
        <w:spacing w:after="0"/>
        <w:ind w:left="567"/>
        <w:rPr>
          <w:sz w:val="24"/>
          <w:szCs w:val="24"/>
        </w:rPr>
      </w:pPr>
    </w:p>
    <w:p w14:paraId="3790B9A3" w14:textId="44213F7B" w:rsidR="001523D6" w:rsidRDefault="001523D6" w:rsidP="001523D6">
      <w:pPr>
        <w:pStyle w:val="ListParagraph"/>
        <w:numPr>
          <w:ilvl w:val="0"/>
          <w:numId w:val="1"/>
        </w:numPr>
        <w:spacing w:after="0"/>
        <w:ind w:left="567" w:hanging="567"/>
        <w:rPr>
          <w:sz w:val="24"/>
          <w:szCs w:val="24"/>
        </w:rPr>
      </w:pPr>
      <w:r w:rsidRPr="543832D4">
        <w:rPr>
          <w:sz w:val="24"/>
          <w:szCs w:val="24"/>
        </w:rPr>
        <w:t xml:space="preserve">Alumina exports will have the 5 per cent tariff </w:t>
      </w:r>
      <w:r>
        <w:rPr>
          <w:sz w:val="24"/>
          <w:szCs w:val="24"/>
        </w:rPr>
        <w:t>eliminated</w:t>
      </w:r>
      <w:r w:rsidRPr="543832D4">
        <w:rPr>
          <w:sz w:val="24"/>
          <w:szCs w:val="24"/>
        </w:rPr>
        <w:t xml:space="preserve"> </w:t>
      </w:r>
      <w:r>
        <w:rPr>
          <w:sz w:val="24"/>
          <w:szCs w:val="24"/>
        </w:rPr>
        <w:t>o</w:t>
      </w:r>
      <w:r w:rsidRPr="543832D4">
        <w:rPr>
          <w:sz w:val="24"/>
          <w:szCs w:val="24"/>
        </w:rPr>
        <w:t xml:space="preserve">n </w:t>
      </w:r>
      <w:r>
        <w:rPr>
          <w:sz w:val="24"/>
          <w:szCs w:val="24"/>
        </w:rPr>
        <w:t>entry into force</w:t>
      </w:r>
      <w:r w:rsidRPr="543832D4">
        <w:rPr>
          <w:sz w:val="24"/>
          <w:szCs w:val="24"/>
        </w:rPr>
        <w:t xml:space="preserve">. Australia is India’s largest import partner, accounting for </w:t>
      </w:r>
      <w:r w:rsidR="00633AC4">
        <w:rPr>
          <w:sz w:val="24"/>
          <w:szCs w:val="24"/>
        </w:rPr>
        <w:t>51</w:t>
      </w:r>
      <w:r w:rsidRPr="543832D4">
        <w:rPr>
          <w:sz w:val="24"/>
          <w:szCs w:val="24"/>
        </w:rPr>
        <w:t xml:space="preserve"> per cent of India’s imports (averaging </w:t>
      </w:r>
      <w:r>
        <w:rPr>
          <w:sz w:val="24"/>
          <w:szCs w:val="24"/>
        </w:rPr>
        <w:t>AU</w:t>
      </w:r>
      <w:r w:rsidRPr="543832D4">
        <w:rPr>
          <w:sz w:val="24"/>
          <w:szCs w:val="24"/>
        </w:rPr>
        <w:t>$6</w:t>
      </w:r>
      <w:r w:rsidR="00CB4210">
        <w:rPr>
          <w:sz w:val="24"/>
          <w:szCs w:val="24"/>
        </w:rPr>
        <w:t>50</w:t>
      </w:r>
      <w:r w:rsidRPr="543832D4">
        <w:rPr>
          <w:sz w:val="24"/>
          <w:szCs w:val="24"/>
        </w:rPr>
        <w:t xml:space="preserve"> million </w:t>
      </w:r>
      <w:r>
        <w:rPr>
          <w:sz w:val="24"/>
          <w:szCs w:val="24"/>
        </w:rPr>
        <w:t xml:space="preserve">per annum </w:t>
      </w:r>
      <w:r w:rsidRPr="543832D4">
        <w:rPr>
          <w:sz w:val="24"/>
          <w:szCs w:val="24"/>
        </w:rPr>
        <w:t>over 2018-2020)</w:t>
      </w:r>
      <w:r>
        <w:rPr>
          <w:sz w:val="24"/>
          <w:szCs w:val="24"/>
        </w:rPr>
        <w:t>, while alumina exports to India accounted for almost 8 per cent of Australia’s global alumina exports</w:t>
      </w:r>
      <w:r w:rsidRPr="543832D4">
        <w:rPr>
          <w:sz w:val="24"/>
          <w:szCs w:val="24"/>
        </w:rPr>
        <w:t>. The tariff reduction will be important to maintain Australia’s competitiveness in the Indian market, as India’s domestic alumina production is expected to increase over the next five years.</w:t>
      </w:r>
    </w:p>
    <w:p w14:paraId="014B6BE6" w14:textId="77777777" w:rsidR="001523D6" w:rsidRDefault="001523D6" w:rsidP="00F03F07"/>
    <w:p w14:paraId="7FF7C0AD" w14:textId="462E8259" w:rsidR="00521898" w:rsidRPr="00010B29" w:rsidRDefault="006A686D" w:rsidP="00FF3A36">
      <w:pPr>
        <w:pStyle w:val="Heading3"/>
        <w:spacing w:before="0"/>
      </w:pPr>
      <w:bookmarkStart w:id="32" w:name="_Toc99370657"/>
      <w:r w:rsidRPr="00010B29">
        <w:t>Metallic ores and non-ferrous metals</w:t>
      </w:r>
      <w:bookmarkEnd w:id="32"/>
    </w:p>
    <w:p w14:paraId="4AAA450D" w14:textId="77777777" w:rsidR="00EB5EF4" w:rsidRPr="00EC172A" w:rsidRDefault="00EB5EF4" w:rsidP="00EC172A">
      <w:pPr>
        <w:pStyle w:val="ListParagraph"/>
        <w:rPr>
          <w:sz w:val="24"/>
          <w:szCs w:val="24"/>
        </w:rPr>
      </w:pPr>
    </w:p>
    <w:p w14:paraId="329FCF23" w14:textId="008F215B" w:rsidR="00EB5EF4" w:rsidRDefault="00EB5EF4" w:rsidP="00EB5EF4">
      <w:pPr>
        <w:pStyle w:val="ListParagraph"/>
        <w:numPr>
          <w:ilvl w:val="0"/>
          <w:numId w:val="1"/>
        </w:numPr>
        <w:spacing w:after="0"/>
        <w:ind w:left="567" w:hanging="567"/>
        <w:rPr>
          <w:sz w:val="24"/>
          <w:szCs w:val="24"/>
        </w:rPr>
      </w:pPr>
      <w:r w:rsidRPr="543832D4">
        <w:rPr>
          <w:sz w:val="24"/>
          <w:szCs w:val="24"/>
        </w:rPr>
        <w:t>M</w:t>
      </w:r>
      <w:r w:rsidR="00440CCB">
        <w:rPr>
          <w:sz w:val="24"/>
          <w:szCs w:val="24"/>
        </w:rPr>
        <w:t>ost of m</w:t>
      </w:r>
      <w:r w:rsidRPr="543832D4">
        <w:rPr>
          <w:sz w:val="24"/>
          <w:szCs w:val="24"/>
        </w:rPr>
        <w:t xml:space="preserve">etallic ores and </w:t>
      </w:r>
      <w:r w:rsidR="00440CCB">
        <w:rPr>
          <w:sz w:val="24"/>
          <w:szCs w:val="24"/>
        </w:rPr>
        <w:t xml:space="preserve">certain </w:t>
      </w:r>
      <w:r w:rsidRPr="543832D4">
        <w:rPr>
          <w:sz w:val="24"/>
          <w:szCs w:val="24"/>
        </w:rPr>
        <w:t>non-ferrous metals including copper</w:t>
      </w:r>
      <w:r w:rsidR="00440CCB">
        <w:rPr>
          <w:sz w:val="24"/>
          <w:szCs w:val="24"/>
        </w:rPr>
        <w:t xml:space="preserve"> and</w:t>
      </w:r>
      <w:r w:rsidRPr="543832D4">
        <w:rPr>
          <w:sz w:val="24"/>
          <w:szCs w:val="24"/>
        </w:rPr>
        <w:t xml:space="preserve"> nickel</w:t>
      </w:r>
      <w:r>
        <w:rPr>
          <w:sz w:val="24"/>
          <w:szCs w:val="24"/>
        </w:rPr>
        <w:t xml:space="preserve">, </w:t>
      </w:r>
      <w:r w:rsidRPr="543832D4">
        <w:rPr>
          <w:sz w:val="24"/>
          <w:szCs w:val="24"/>
        </w:rPr>
        <w:t xml:space="preserve">will have the 2.5 per cent </w:t>
      </w:r>
      <w:r w:rsidR="000F5776">
        <w:rPr>
          <w:sz w:val="24"/>
          <w:szCs w:val="24"/>
        </w:rPr>
        <w:t>tariff</w:t>
      </w:r>
      <w:r w:rsidR="00440CCB">
        <w:rPr>
          <w:sz w:val="24"/>
          <w:szCs w:val="24"/>
        </w:rPr>
        <w:t xml:space="preserve"> </w:t>
      </w:r>
      <w:r w:rsidRPr="543832D4">
        <w:rPr>
          <w:sz w:val="24"/>
          <w:szCs w:val="24"/>
        </w:rPr>
        <w:t xml:space="preserve">reduced to zero on implementation. This will improve the competitiveness of Australia’s exports and provide greater access to a growing and </w:t>
      </w:r>
      <w:r w:rsidRPr="543832D4">
        <w:rPr>
          <w:sz w:val="24"/>
          <w:szCs w:val="24"/>
        </w:rPr>
        <w:lastRenderedPageBreak/>
        <w:t xml:space="preserve">diversified market. </w:t>
      </w:r>
      <w:r>
        <w:rPr>
          <w:sz w:val="24"/>
          <w:szCs w:val="24"/>
        </w:rPr>
        <w:t xml:space="preserve">Australian </w:t>
      </w:r>
      <w:r w:rsidRPr="002C622B">
        <w:rPr>
          <w:sz w:val="24"/>
          <w:szCs w:val="24"/>
        </w:rPr>
        <w:t xml:space="preserve">exports of these ores and metals to India between 2018-2020 averaged </w:t>
      </w:r>
      <w:r>
        <w:rPr>
          <w:sz w:val="24"/>
          <w:szCs w:val="24"/>
        </w:rPr>
        <w:t>AU</w:t>
      </w:r>
      <w:r w:rsidRPr="002C622B">
        <w:rPr>
          <w:sz w:val="24"/>
          <w:szCs w:val="24"/>
        </w:rPr>
        <w:t>$742 million per year, accounting f</w:t>
      </w:r>
      <w:r w:rsidR="00633AC4">
        <w:rPr>
          <w:sz w:val="24"/>
          <w:szCs w:val="24"/>
        </w:rPr>
        <w:t>or</w:t>
      </w:r>
      <w:r w:rsidRPr="002C622B">
        <w:rPr>
          <w:sz w:val="24"/>
          <w:szCs w:val="24"/>
        </w:rPr>
        <w:t xml:space="preserve"> 8 per cent of India’s total imports of these commodities and 5 per cent of Australia’s total exports to India.</w:t>
      </w:r>
      <w:r>
        <w:rPr>
          <w:sz w:val="24"/>
          <w:szCs w:val="24"/>
        </w:rPr>
        <w:t xml:space="preserve"> </w:t>
      </w:r>
      <w:r w:rsidRPr="543832D4">
        <w:rPr>
          <w:sz w:val="24"/>
          <w:szCs w:val="24"/>
        </w:rPr>
        <w:t xml:space="preserve">Copper ores and concentrates are the largest commodity in this category, averaging </w:t>
      </w:r>
      <w:r>
        <w:rPr>
          <w:sz w:val="24"/>
          <w:szCs w:val="24"/>
        </w:rPr>
        <w:t>AU</w:t>
      </w:r>
      <w:r w:rsidRPr="543832D4">
        <w:rPr>
          <w:sz w:val="24"/>
          <w:szCs w:val="24"/>
        </w:rPr>
        <w:t>$226</w:t>
      </w:r>
      <w:r>
        <w:rPr>
          <w:sz w:val="24"/>
          <w:szCs w:val="24"/>
        </w:rPr>
        <w:t> </w:t>
      </w:r>
      <w:r w:rsidRPr="543832D4">
        <w:rPr>
          <w:sz w:val="24"/>
          <w:szCs w:val="24"/>
        </w:rPr>
        <w:t xml:space="preserve">million </w:t>
      </w:r>
      <w:r>
        <w:rPr>
          <w:sz w:val="24"/>
          <w:szCs w:val="24"/>
        </w:rPr>
        <w:t xml:space="preserve">per annum </w:t>
      </w:r>
      <w:r w:rsidRPr="543832D4">
        <w:rPr>
          <w:sz w:val="24"/>
          <w:szCs w:val="24"/>
        </w:rPr>
        <w:t xml:space="preserve">over 2018-2020. India is heavily dependent on imported copper concentrates and import demand is forecast to grow. Iron ore remains excluded from India’s offer. </w:t>
      </w:r>
    </w:p>
    <w:p w14:paraId="37DA45A3" w14:textId="77777777" w:rsidR="00EB5EF4" w:rsidRDefault="00EB5EF4" w:rsidP="00EB5EF4">
      <w:pPr>
        <w:pStyle w:val="ListParagraph"/>
        <w:spacing w:after="0"/>
        <w:ind w:left="567"/>
        <w:rPr>
          <w:sz w:val="24"/>
          <w:szCs w:val="24"/>
        </w:rPr>
      </w:pPr>
    </w:p>
    <w:p w14:paraId="4BAE4279" w14:textId="5EE8E97A" w:rsidR="00EB5EF4" w:rsidRDefault="00EB5EF4" w:rsidP="00EB5EF4">
      <w:pPr>
        <w:pStyle w:val="ListParagraph"/>
        <w:numPr>
          <w:ilvl w:val="0"/>
          <w:numId w:val="1"/>
        </w:numPr>
        <w:spacing w:after="0"/>
        <w:ind w:left="567" w:hanging="567"/>
        <w:rPr>
          <w:sz w:val="24"/>
          <w:szCs w:val="24"/>
        </w:rPr>
      </w:pPr>
      <w:r w:rsidRPr="543832D4">
        <w:rPr>
          <w:sz w:val="24"/>
          <w:szCs w:val="24"/>
        </w:rPr>
        <w:t xml:space="preserve">Critical minerals including manganese ores, tungsten ores and concentrates, rare earth oxides and zirconium concentrates will have the 2.5 per cent </w:t>
      </w:r>
      <w:r w:rsidR="00AD60E7">
        <w:rPr>
          <w:sz w:val="24"/>
          <w:szCs w:val="24"/>
        </w:rPr>
        <w:t xml:space="preserve">tariff </w:t>
      </w:r>
      <w:r w:rsidRPr="543832D4">
        <w:rPr>
          <w:sz w:val="24"/>
          <w:szCs w:val="24"/>
        </w:rPr>
        <w:t xml:space="preserve">reduced to zero on implementation. India’s growing role in the energy transition (battery and EV manufacturing) are expected to see import demand increase, particularly for lithium and cobalt exports. India provides a diversified export market that can assist in the development of Australia’s critical mineral industry. Greater integration also aligns with the Australia India MOU on Cooperation in the Field of Mining and Processing of Critical and Strategic Minerals. </w:t>
      </w:r>
    </w:p>
    <w:p w14:paraId="77390800" w14:textId="77777777" w:rsidR="00EB5EF4" w:rsidRDefault="00EB5EF4" w:rsidP="00EB5EF4">
      <w:pPr>
        <w:pStyle w:val="ListParagraph"/>
        <w:spacing w:after="0"/>
        <w:ind w:left="567"/>
        <w:rPr>
          <w:sz w:val="24"/>
          <w:szCs w:val="24"/>
        </w:rPr>
      </w:pPr>
    </w:p>
    <w:p w14:paraId="61F4E55A" w14:textId="26C92983" w:rsidR="00EB5EF4" w:rsidRDefault="00EB5EF4" w:rsidP="00EB5EF4">
      <w:pPr>
        <w:pStyle w:val="ListParagraph"/>
        <w:numPr>
          <w:ilvl w:val="0"/>
          <w:numId w:val="1"/>
        </w:numPr>
        <w:spacing w:after="0"/>
        <w:ind w:left="567" w:hanging="567"/>
        <w:rPr>
          <w:sz w:val="24"/>
          <w:szCs w:val="24"/>
        </w:rPr>
      </w:pPr>
      <w:r w:rsidRPr="543832D4">
        <w:rPr>
          <w:sz w:val="24"/>
          <w:szCs w:val="24"/>
        </w:rPr>
        <w:t>Removal or reductions in applied tariffs benefit several industrial products, including cement copper, which will see a tariff reduction from 5 per cent to 2.5 per cent</w:t>
      </w:r>
      <w:r w:rsidR="00AD60E7">
        <w:rPr>
          <w:sz w:val="24"/>
          <w:szCs w:val="24"/>
        </w:rPr>
        <w:t xml:space="preserve"> over 7 years</w:t>
      </w:r>
      <w:r w:rsidRPr="543832D4">
        <w:rPr>
          <w:sz w:val="24"/>
          <w:szCs w:val="24"/>
        </w:rPr>
        <w:t xml:space="preserve">. Australia is India’s primary import partner for this product and exports were worth </w:t>
      </w:r>
      <w:r>
        <w:rPr>
          <w:sz w:val="24"/>
          <w:szCs w:val="24"/>
        </w:rPr>
        <w:t>AU</w:t>
      </w:r>
      <w:r w:rsidRPr="543832D4">
        <w:rPr>
          <w:sz w:val="24"/>
          <w:szCs w:val="24"/>
        </w:rPr>
        <w:t>$</w:t>
      </w:r>
      <w:r>
        <w:rPr>
          <w:sz w:val="24"/>
          <w:szCs w:val="24"/>
        </w:rPr>
        <w:t>0.</w:t>
      </w:r>
      <w:r w:rsidRPr="543832D4">
        <w:rPr>
          <w:sz w:val="24"/>
          <w:szCs w:val="24"/>
        </w:rPr>
        <w:t>21</w:t>
      </w:r>
      <w:r>
        <w:rPr>
          <w:sz w:val="24"/>
          <w:szCs w:val="24"/>
        </w:rPr>
        <w:t xml:space="preserve"> million </w:t>
      </w:r>
      <w:r w:rsidRPr="543832D4">
        <w:rPr>
          <w:sz w:val="24"/>
          <w:szCs w:val="24"/>
        </w:rPr>
        <w:t xml:space="preserve">in 2021 (with no exports prior to 2021). </w:t>
      </w:r>
    </w:p>
    <w:p w14:paraId="592CE6CD" w14:textId="77777777" w:rsidR="00EB5EF4" w:rsidRPr="0001716D" w:rsidRDefault="00EB5EF4" w:rsidP="00EB5EF4">
      <w:pPr>
        <w:pStyle w:val="ListParagraph"/>
        <w:rPr>
          <w:sz w:val="24"/>
          <w:szCs w:val="24"/>
        </w:rPr>
      </w:pPr>
    </w:p>
    <w:p w14:paraId="66F7151A" w14:textId="1D09DE80" w:rsidR="00EB5EF4" w:rsidRDefault="00EB5EF4" w:rsidP="0062202D">
      <w:pPr>
        <w:pStyle w:val="ListParagraph"/>
        <w:spacing w:after="0"/>
        <w:ind w:left="567"/>
        <w:rPr>
          <w:sz w:val="24"/>
          <w:szCs w:val="24"/>
        </w:rPr>
      </w:pPr>
      <w:r w:rsidRPr="002612A4">
        <w:rPr>
          <w:b/>
          <w:bCs/>
          <w:sz w:val="24"/>
          <w:szCs w:val="24"/>
        </w:rPr>
        <w:t xml:space="preserve">Table </w:t>
      </w:r>
      <w:r w:rsidR="00AA64EE">
        <w:rPr>
          <w:b/>
          <w:bCs/>
          <w:sz w:val="24"/>
          <w:szCs w:val="24"/>
        </w:rPr>
        <w:t>4</w:t>
      </w:r>
      <w:r>
        <w:rPr>
          <w:sz w:val="24"/>
          <w:szCs w:val="24"/>
        </w:rPr>
        <w:t xml:space="preserve"> provides a summary of Australia’s mining, oil, gas and related heavy industry products trade with India and the tariff outcomes from the proposed </w:t>
      </w:r>
      <w:r w:rsidR="006E5E78">
        <w:rPr>
          <w:sz w:val="24"/>
          <w:szCs w:val="24"/>
        </w:rPr>
        <w:t>AI ECTA</w:t>
      </w:r>
      <w:r>
        <w:rPr>
          <w:sz w:val="24"/>
          <w:szCs w:val="24"/>
        </w:rPr>
        <w:t>.</w:t>
      </w:r>
    </w:p>
    <w:p w14:paraId="1EA9A0EE" w14:textId="3FA22E56" w:rsidR="0062202D" w:rsidRDefault="0062202D" w:rsidP="0062202D">
      <w:pPr>
        <w:pStyle w:val="ListParagraph"/>
        <w:spacing w:after="0"/>
        <w:ind w:left="567"/>
        <w:rPr>
          <w:sz w:val="24"/>
          <w:szCs w:val="24"/>
        </w:rPr>
      </w:pPr>
    </w:p>
    <w:p w14:paraId="4BD8636C" w14:textId="476AF954" w:rsidR="00062118" w:rsidRDefault="00062118" w:rsidP="0062202D">
      <w:pPr>
        <w:pStyle w:val="ListParagraph"/>
        <w:spacing w:after="0"/>
        <w:ind w:left="567"/>
        <w:rPr>
          <w:sz w:val="24"/>
          <w:szCs w:val="24"/>
        </w:rPr>
      </w:pPr>
    </w:p>
    <w:p w14:paraId="6DEBF636" w14:textId="105168A3" w:rsidR="00062118" w:rsidRDefault="00062118" w:rsidP="0062202D">
      <w:pPr>
        <w:pStyle w:val="ListParagraph"/>
        <w:spacing w:after="0"/>
        <w:ind w:left="567"/>
        <w:rPr>
          <w:sz w:val="24"/>
          <w:szCs w:val="24"/>
        </w:rPr>
      </w:pPr>
    </w:p>
    <w:p w14:paraId="1E27E1CD" w14:textId="7B0E2BDE" w:rsidR="00062118" w:rsidRDefault="00062118" w:rsidP="0062202D">
      <w:pPr>
        <w:pStyle w:val="ListParagraph"/>
        <w:spacing w:after="0"/>
        <w:ind w:left="567"/>
        <w:rPr>
          <w:sz w:val="24"/>
          <w:szCs w:val="24"/>
        </w:rPr>
      </w:pPr>
    </w:p>
    <w:p w14:paraId="69B5DEE7" w14:textId="01353C7B" w:rsidR="00062118" w:rsidRDefault="00062118" w:rsidP="0062202D">
      <w:pPr>
        <w:pStyle w:val="ListParagraph"/>
        <w:spacing w:after="0"/>
        <w:ind w:left="567"/>
        <w:rPr>
          <w:sz w:val="24"/>
          <w:szCs w:val="24"/>
        </w:rPr>
      </w:pPr>
    </w:p>
    <w:p w14:paraId="725DF81F" w14:textId="1A04BB5F" w:rsidR="00062118" w:rsidRDefault="00062118" w:rsidP="0062202D">
      <w:pPr>
        <w:pStyle w:val="ListParagraph"/>
        <w:spacing w:after="0"/>
        <w:ind w:left="567"/>
        <w:rPr>
          <w:sz w:val="24"/>
          <w:szCs w:val="24"/>
        </w:rPr>
      </w:pPr>
    </w:p>
    <w:p w14:paraId="4294DF23" w14:textId="64412152" w:rsidR="00062118" w:rsidRDefault="00062118" w:rsidP="0062202D">
      <w:pPr>
        <w:pStyle w:val="ListParagraph"/>
        <w:spacing w:after="0"/>
        <w:ind w:left="567"/>
        <w:rPr>
          <w:sz w:val="24"/>
          <w:szCs w:val="24"/>
        </w:rPr>
      </w:pPr>
    </w:p>
    <w:p w14:paraId="31A83E4D" w14:textId="1E6ADEF3" w:rsidR="00062118" w:rsidRDefault="00062118" w:rsidP="0062202D">
      <w:pPr>
        <w:pStyle w:val="ListParagraph"/>
        <w:spacing w:after="0"/>
        <w:ind w:left="567"/>
        <w:rPr>
          <w:sz w:val="24"/>
          <w:szCs w:val="24"/>
        </w:rPr>
      </w:pPr>
    </w:p>
    <w:p w14:paraId="04F7D4FE" w14:textId="32B2B70B" w:rsidR="00062118" w:rsidRDefault="00062118" w:rsidP="0062202D">
      <w:pPr>
        <w:pStyle w:val="ListParagraph"/>
        <w:spacing w:after="0"/>
        <w:ind w:left="567"/>
        <w:rPr>
          <w:sz w:val="24"/>
          <w:szCs w:val="24"/>
        </w:rPr>
      </w:pPr>
    </w:p>
    <w:p w14:paraId="0D24DF44" w14:textId="5A95E501" w:rsidR="00062118" w:rsidRDefault="00062118" w:rsidP="0062202D">
      <w:pPr>
        <w:pStyle w:val="ListParagraph"/>
        <w:spacing w:after="0"/>
        <w:ind w:left="567"/>
        <w:rPr>
          <w:sz w:val="24"/>
          <w:szCs w:val="24"/>
        </w:rPr>
      </w:pPr>
    </w:p>
    <w:p w14:paraId="437F4522" w14:textId="048C072A" w:rsidR="00062118" w:rsidRDefault="00062118" w:rsidP="0062202D">
      <w:pPr>
        <w:pStyle w:val="ListParagraph"/>
        <w:spacing w:after="0"/>
        <w:ind w:left="567"/>
        <w:rPr>
          <w:sz w:val="24"/>
          <w:szCs w:val="24"/>
        </w:rPr>
      </w:pPr>
    </w:p>
    <w:p w14:paraId="0AFB999F" w14:textId="7141278D" w:rsidR="00062118" w:rsidRDefault="00062118" w:rsidP="0062202D">
      <w:pPr>
        <w:pStyle w:val="ListParagraph"/>
        <w:spacing w:after="0"/>
        <w:ind w:left="567"/>
        <w:rPr>
          <w:sz w:val="24"/>
          <w:szCs w:val="24"/>
        </w:rPr>
      </w:pPr>
    </w:p>
    <w:p w14:paraId="6B972E4D" w14:textId="21D83756" w:rsidR="00062118" w:rsidRDefault="00062118" w:rsidP="0062202D">
      <w:pPr>
        <w:pStyle w:val="ListParagraph"/>
        <w:spacing w:after="0"/>
        <w:ind w:left="567"/>
        <w:rPr>
          <w:sz w:val="24"/>
          <w:szCs w:val="24"/>
        </w:rPr>
      </w:pPr>
    </w:p>
    <w:p w14:paraId="7ECF9F5A" w14:textId="7E2139FA" w:rsidR="00062118" w:rsidRDefault="00062118" w:rsidP="0062202D">
      <w:pPr>
        <w:pStyle w:val="ListParagraph"/>
        <w:spacing w:after="0"/>
        <w:ind w:left="567"/>
        <w:rPr>
          <w:sz w:val="24"/>
          <w:szCs w:val="24"/>
        </w:rPr>
      </w:pPr>
    </w:p>
    <w:p w14:paraId="5BBA1671" w14:textId="0CFBD92D" w:rsidR="00062118" w:rsidRDefault="00062118" w:rsidP="0062202D">
      <w:pPr>
        <w:pStyle w:val="ListParagraph"/>
        <w:spacing w:after="0"/>
        <w:ind w:left="567"/>
        <w:rPr>
          <w:sz w:val="24"/>
          <w:szCs w:val="24"/>
        </w:rPr>
      </w:pPr>
    </w:p>
    <w:p w14:paraId="34C74AF2" w14:textId="5C92F736" w:rsidR="00062118" w:rsidRDefault="00062118" w:rsidP="0062202D">
      <w:pPr>
        <w:pStyle w:val="ListParagraph"/>
        <w:spacing w:after="0"/>
        <w:ind w:left="567"/>
        <w:rPr>
          <w:sz w:val="24"/>
          <w:szCs w:val="24"/>
        </w:rPr>
      </w:pPr>
    </w:p>
    <w:p w14:paraId="0D22AF88" w14:textId="06B4B0E1" w:rsidR="00062118" w:rsidRDefault="00062118" w:rsidP="0062202D">
      <w:pPr>
        <w:pStyle w:val="ListParagraph"/>
        <w:spacing w:after="0"/>
        <w:ind w:left="567"/>
        <w:rPr>
          <w:sz w:val="24"/>
          <w:szCs w:val="24"/>
        </w:rPr>
      </w:pPr>
    </w:p>
    <w:p w14:paraId="5CF24B41" w14:textId="563DDA33" w:rsidR="00062118" w:rsidRDefault="00062118" w:rsidP="0062202D">
      <w:pPr>
        <w:pStyle w:val="ListParagraph"/>
        <w:spacing w:after="0"/>
        <w:ind w:left="567"/>
        <w:rPr>
          <w:sz w:val="24"/>
          <w:szCs w:val="24"/>
        </w:rPr>
      </w:pPr>
    </w:p>
    <w:p w14:paraId="1DE8AB59" w14:textId="0202407D" w:rsidR="00062118" w:rsidRDefault="00062118" w:rsidP="0062202D">
      <w:pPr>
        <w:pStyle w:val="ListParagraph"/>
        <w:spacing w:after="0"/>
        <w:ind w:left="567"/>
        <w:rPr>
          <w:sz w:val="24"/>
          <w:szCs w:val="24"/>
        </w:rPr>
      </w:pPr>
    </w:p>
    <w:p w14:paraId="2B70B601" w14:textId="1E031FDB" w:rsidR="00062118" w:rsidRDefault="00062118" w:rsidP="0062202D">
      <w:pPr>
        <w:pStyle w:val="ListParagraph"/>
        <w:spacing w:after="0"/>
        <w:ind w:left="567"/>
        <w:rPr>
          <w:sz w:val="24"/>
          <w:szCs w:val="24"/>
        </w:rPr>
      </w:pPr>
    </w:p>
    <w:p w14:paraId="78E9D6B8" w14:textId="3DDF3998" w:rsidR="00062118" w:rsidRDefault="00062118" w:rsidP="0062202D">
      <w:pPr>
        <w:pStyle w:val="ListParagraph"/>
        <w:spacing w:after="0"/>
        <w:ind w:left="567"/>
        <w:rPr>
          <w:sz w:val="24"/>
          <w:szCs w:val="24"/>
        </w:rPr>
      </w:pPr>
    </w:p>
    <w:p w14:paraId="37B153A9" w14:textId="28E35343" w:rsidR="00062118" w:rsidRDefault="00062118" w:rsidP="0062202D">
      <w:pPr>
        <w:pStyle w:val="ListParagraph"/>
        <w:spacing w:after="0"/>
        <w:ind w:left="567"/>
        <w:rPr>
          <w:sz w:val="24"/>
          <w:szCs w:val="24"/>
        </w:rPr>
      </w:pPr>
    </w:p>
    <w:p w14:paraId="33FDF527" w14:textId="30B29B68" w:rsidR="00062118" w:rsidRDefault="00062118" w:rsidP="0062202D">
      <w:pPr>
        <w:pStyle w:val="ListParagraph"/>
        <w:spacing w:after="0"/>
        <w:ind w:left="567"/>
        <w:rPr>
          <w:sz w:val="24"/>
          <w:szCs w:val="24"/>
        </w:rPr>
      </w:pPr>
    </w:p>
    <w:p w14:paraId="4F00AE23" w14:textId="682547E2" w:rsidR="00062118" w:rsidRDefault="00062118" w:rsidP="0062202D">
      <w:pPr>
        <w:pStyle w:val="ListParagraph"/>
        <w:spacing w:after="0"/>
        <w:ind w:left="567"/>
        <w:rPr>
          <w:sz w:val="24"/>
          <w:szCs w:val="24"/>
        </w:rPr>
      </w:pPr>
    </w:p>
    <w:p w14:paraId="45C8D254" w14:textId="77777777" w:rsidR="00062118" w:rsidRPr="0062202D" w:rsidRDefault="00062118" w:rsidP="0062202D">
      <w:pPr>
        <w:pStyle w:val="ListParagraph"/>
        <w:spacing w:after="0"/>
        <w:ind w:left="567"/>
        <w:rPr>
          <w:sz w:val="24"/>
          <w:szCs w:val="24"/>
        </w:rPr>
      </w:pPr>
    </w:p>
    <w:p w14:paraId="2FF164B5" w14:textId="1E245E06" w:rsidR="00EB5EF4" w:rsidRDefault="00EB5EF4" w:rsidP="00EB5EF4">
      <w:pPr>
        <w:spacing w:after="0"/>
        <w:rPr>
          <w:b/>
          <w:bCs/>
        </w:rPr>
      </w:pPr>
      <w:r w:rsidRPr="0001716D">
        <w:rPr>
          <w:b/>
          <w:bCs/>
          <w:u w:val="single"/>
        </w:rPr>
        <w:t xml:space="preserve">Table </w:t>
      </w:r>
      <w:r w:rsidR="00633AC4">
        <w:rPr>
          <w:b/>
          <w:bCs/>
          <w:u w:val="single"/>
        </w:rPr>
        <w:t>4</w:t>
      </w:r>
      <w:r w:rsidRPr="0001716D">
        <w:rPr>
          <w:b/>
          <w:bCs/>
          <w:u w:val="single"/>
        </w:rPr>
        <w:t>:</w:t>
      </w:r>
      <w:r w:rsidRPr="00894292">
        <w:rPr>
          <w:b/>
          <w:bCs/>
        </w:rPr>
        <w:t xml:space="preserve"> Summary of mining, oil, gas and related heavy industry products trade and </w:t>
      </w:r>
      <w:r>
        <w:rPr>
          <w:b/>
          <w:bCs/>
        </w:rPr>
        <w:t xml:space="preserve">proposed </w:t>
      </w:r>
      <w:r w:rsidR="00421A8C">
        <w:rPr>
          <w:b/>
          <w:bCs/>
        </w:rPr>
        <w:t>AI</w:t>
      </w:r>
      <w:r w:rsidR="00217C26">
        <w:rPr>
          <w:b/>
          <w:bCs/>
        </w:rPr>
        <w:t xml:space="preserve"> ECTA</w:t>
      </w:r>
      <w:r w:rsidRPr="00894292">
        <w:rPr>
          <w:b/>
          <w:bCs/>
        </w:rPr>
        <w:t xml:space="preserve"> tariff outcomes </w:t>
      </w:r>
    </w:p>
    <w:tbl>
      <w:tblPr>
        <w:tblW w:w="10415" w:type="dxa"/>
        <w:tblLayout w:type="fixed"/>
        <w:tblLook w:val="04A0" w:firstRow="1" w:lastRow="0" w:firstColumn="1" w:lastColumn="0" w:noHBand="0" w:noVBand="1"/>
      </w:tblPr>
      <w:tblGrid>
        <w:gridCol w:w="705"/>
        <w:gridCol w:w="706"/>
        <w:gridCol w:w="2676"/>
        <w:gridCol w:w="1410"/>
        <w:gridCol w:w="1027"/>
        <w:gridCol w:w="706"/>
        <w:gridCol w:w="1844"/>
        <w:gridCol w:w="1334"/>
        <w:gridCol w:w="7"/>
      </w:tblGrid>
      <w:tr w:rsidR="004D46B8" w:rsidRPr="00894292" w14:paraId="51782E1B" w14:textId="77777777" w:rsidTr="005976E5">
        <w:trPr>
          <w:gridAfter w:val="1"/>
          <w:wAfter w:w="7" w:type="dxa"/>
        </w:trPr>
        <w:tc>
          <w:tcPr>
            <w:tcW w:w="705" w:type="dxa"/>
            <w:tcBorders>
              <w:top w:val="single" w:sz="4" w:space="0" w:color="auto"/>
              <w:left w:val="nil"/>
              <w:bottom w:val="nil"/>
              <w:right w:val="nil"/>
            </w:tcBorders>
            <w:shd w:val="clear" w:color="auto" w:fill="auto"/>
            <w:noWrap/>
            <w:vAlign w:val="bottom"/>
            <w:hideMark/>
          </w:tcPr>
          <w:p w14:paraId="435DD374" w14:textId="77777777" w:rsidR="004D46B8" w:rsidRPr="00894292" w:rsidRDefault="004D46B8" w:rsidP="000F69BD">
            <w:pPr>
              <w:spacing w:after="0" w:line="240" w:lineRule="auto"/>
              <w:rPr>
                <w:rFonts w:asciiTheme="majorHAnsi" w:eastAsia="Times New Roman" w:hAnsiTheme="majorHAnsi" w:cstheme="majorHAnsi"/>
                <w:b/>
                <w:sz w:val="18"/>
                <w:szCs w:val="18"/>
                <w:lang w:eastAsia="en-AU"/>
              </w:rPr>
            </w:pPr>
          </w:p>
        </w:tc>
        <w:tc>
          <w:tcPr>
            <w:tcW w:w="3382" w:type="dxa"/>
            <w:gridSpan w:val="2"/>
            <w:tcBorders>
              <w:top w:val="single" w:sz="4" w:space="0" w:color="auto"/>
              <w:left w:val="nil"/>
              <w:bottom w:val="nil"/>
              <w:right w:val="nil"/>
            </w:tcBorders>
            <w:shd w:val="clear" w:color="auto" w:fill="auto"/>
            <w:noWrap/>
            <w:hideMark/>
          </w:tcPr>
          <w:p w14:paraId="0185DCEA" w14:textId="77777777" w:rsidR="004D46B8" w:rsidRPr="00894292" w:rsidRDefault="004D46B8" w:rsidP="000F69BD">
            <w:pPr>
              <w:spacing w:after="0" w:line="240" w:lineRule="auto"/>
              <w:rPr>
                <w:rFonts w:asciiTheme="majorHAnsi" w:eastAsia="Times New Roman" w:hAnsiTheme="majorHAnsi" w:cstheme="majorHAnsi"/>
                <w:b/>
                <w:color w:val="000000"/>
                <w:sz w:val="18"/>
                <w:szCs w:val="18"/>
                <w:lang w:eastAsia="en-AU"/>
              </w:rPr>
            </w:pPr>
            <w:r w:rsidRPr="00894292">
              <w:rPr>
                <w:rFonts w:asciiTheme="majorHAnsi" w:eastAsia="Times New Roman" w:hAnsiTheme="majorHAnsi" w:cstheme="majorHAnsi"/>
                <w:b/>
                <w:color w:val="000000"/>
                <w:sz w:val="18"/>
                <w:szCs w:val="18"/>
                <w:lang w:eastAsia="en-AU"/>
              </w:rPr>
              <w:t>Commodity items (aggregated)</w:t>
            </w:r>
          </w:p>
        </w:tc>
        <w:tc>
          <w:tcPr>
            <w:tcW w:w="2437" w:type="dxa"/>
            <w:gridSpan w:val="2"/>
            <w:tcBorders>
              <w:top w:val="single" w:sz="4" w:space="0" w:color="auto"/>
              <w:left w:val="nil"/>
              <w:bottom w:val="nil"/>
              <w:right w:val="nil"/>
            </w:tcBorders>
            <w:shd w:val="clear" w:color="auto" w:fill="auto"/>
            <w:noWrap/>
            <w:vAlign w:val="bottom"/>
            <w:hideMark/>
          </w:tcPr>
          <w:p w14:paraId="0778B356" w14:textId="77777777" w:rsidR="004D46B8" w:rsidRPr="00894292" w:rsidRDefault="004D46B8" w:rsidP="000F69BD">
            <w:pPr>
              <w:spacing w:after="0" w:line="240" w:lineRule="auto"/>
              <w:jc w:val="center"/>
              <w:rPr>
                <w:rFonts w:asciiTheme="majorHAnsi" w:eastAsia="Times New Roman" w:hAnsiTheme="majorHAnsi" w:cstheme="majorHAnsi"/>
                <w:b/>
                <w:color w:val="000000"/>
                <w:sz w:val="18"/>
                <w:szCs w:val="18"/>
                <w:lang w:eastAsia="en-AU"/>
              </w:rPr>
            </w:pPr>
            <w:r w:rsidRPr="00894292">
              <w:rPr>
                <w:rFonts w:asciiTheme="majorHAnsi" w:eastAsia="Times New Roman" w:hAnsiTheme="majorHAnsi" w:cstheme="majorHAnsi"/>
                <w:b/>
                <w:color w:val="000000"/>
                <w:sz w:val="18"/>
                <w:szCs w:val="18"/>
                <w:lang w:eastAsia="en-AU"/>
              </w:rPr>
              <w:t>India's imports of Australian goods</w:t>
            </w:r>
            <w:r w:rsidRPr="00894292">
              <w:rPr>
                <w:rFonts w:asciiTheme="majorHAnsi" w:eastAsia="Times New Roman" w:hAnsiTheme="majorHAnsi" w:cstheme="majorHAnsi"/>
                <w:b/>
                <w:color w:val="000000"/>
                <w:sz w:val="18"/>
                <w:szCs w:val="18"/>
                <w:lang w:eastAsia="en-AU"/>
              </w:rPr>
              <w:br/>
              <w:t>(average, 2018-2020)</w:t>
            </w:r>
          </w:p>
        </w:tc>
        <w:tc>
          <w:tcPr>
            <w:tcW w:w="706" w:type="dxa"/>
            <w:vMerge w:val="restart"/>
            <w:tcBorders>
              <w:top w:val="single" w:sz="4" w:space="0" w:color="auto"/>
              <w:left w:val="nil"/>
              <w:right w:val="nil"/>
            </w:tcBorders>
            <w:shd w:val="clear" w:color="auto" w:fill="auto"/>
            <w:noWrap/>
            <w:hideMark/>
          </w:tcPr>
          <w:p w14:paraId="3C8491CE" w14:textId="77777777" w:rsidR="004D46B8" w:rsidRPr="00894292" w:rsidRDefault="004D46B8" w:rsidP="000F69BD">
            <w:pPr>
              <w:spacing w:after="0" w:line="240" w:lineRule="auto"/>
              <w:jc w:val="center"/>
              <w:rPr>
                <w:rFonts w:asciiTheme="majorHAnsi" w:eastAsia="Times New Roman" w:hAnsiTheme="majorHAnsi" w:cstheme="majorHAnsi"/>
                <w:b/>
                <w:color w:val="000000"/>
                <w:sz w:val="18"/>
                <w:szCs w:val="18"/>
                <w:lang w:eastAsia="en-AU"/>
              </w:rPr>
            </w:pPr>
            <w:r w:rsidRPr="00894292">
              <w:rPr>
                <w:rFonts w:asciiTheme="majorHAnsi" w:eastAsia="Times New Roman" w:hAnsiTheme="majorHAnsi" w:cstheme="majorHAnsi"/>
                <w:b/>
                <w:color w:val="000000"/>
                <w:sz w:val="18"/>
                <w:szCs w:val="18"/>
                <w:lang w:eastAsia="en-AU"/>
              </w:rPr>
              <w:t>Base rate (%)</w:t>
            </w:r>
          </w:p>
        </w:tc>
        <w:tc>
          <w:tcPr>
            <w:tcW w:w="1844" w:type="dxa"/>
            <w:vMerge w:val="restart"/>
            <w:tcBorders>
              <w:top w:val="single" w:sz="4" w:space="0" w:color="auto"/>
              <w:left w:val="nil"/>
              <w:right w:val="nil"/>
            </w:tcBorders>
            <w:shd w:val="clear" w:color="auto" w:fill="auto"/>
            <w:noWrap/>
            <w:hideMark/>
          </w:tcPr>
          <w:p w14:paraId="44DA6D94" w14:textId="77777777" w:rsidR="004D46B8" w:rsidRPr="00894292" w:rsidRDefault="004D46B8" w:rsidP="000F69BD">
            <w:pPr>
              <w:spacing w:after="0" w:line="240" w:lineRule="auto"/>
              <w:rPr>
                <w:rFonts w:asciiTheme="majorHAnsi" w:eastAsia="Times New Roman" w:hAnsiTheme="majorHAnsi" w:cstheme="majorHAnsi"/>
                <w:b/>
                <w:color w:val="000000"/>
                <w:sz w:val="18"/>
                <w:szCs w:val="18"/>
                <w:lang w:eastAsia="en-AU"/>
              </w:rPr>
            </w:pPr>
            <w:r w:rsidRPr="00894292">
              <w:rPr>
                <w:rFonts w:asciiTheme="majorHAnsi" w:eastAsia="Times New Roman" w:hAnsiTheme="majorHAnsi" w:cstheme="majorHAnsi"/>
                <w:b/>
                <w:color w:val="000000"/>
                <w:sz w:val="18"/>
                <w:szCs w:val="18"/>
                <w:lang w:eastAsia="en-AU"/>
              </w:rPr>
              <w:t>Tariff reduction outcome</w:t>
            </w:r>
          </w:p>
        </w:tc>
        <w:tc>
          <w:tcPr>
            <w:tcW w:w="1334" w:type="dxa"/>
            <w:vMerge w:val="restart"/>
            <w:tcBorders>
              <w:top w:val="single" w:sz="4" w:space="0" w:color="auto"/>
              <w:left w:val="nil"/>
              <w:right w:val="nil"/>
            </w:tcBorders>
            <w:shd w:val="clear" w:color="auto" w:fill="auto"/>
            <w:noWrap/>
            <w:hideMark/>
          </w:tcPr>
          <w:p w14:paraId="0AAAB1EB" w14:textId="77777777" w:rsidR="004D46B8" w:rsidRPr="00894292" w:rsidRDefault="004D46B8" w:rsidP="000F69BD">
            <w:pPr>
              <w:spacing w:after="0" w:line="240" w:lineRule="auto"/>
              <w:jc w:val="right"/>
              <w:rPr>
                <w:rFonts w:asciiTheme="majorHAnsi" w:eastAsia="Times New Roman" w:hAnsiTheme="majorHAnsi" w:cstheme="majorHAnsi"/>
                <w:b/>
                <w:color w:val="000000"/>
                <w:sz w:val="18"/>
                <w:szCs w:val="18"/>
                <w:lang w:eastAsia="en-AU"/>
              </w:rPr>
            </w:pPr>
            <w:r>
              <w:rPr>
                <w:rFonts w:asciiTheme="majorHAnsi" w:eastAsia="Times New Roman" w:hAnsiTheme="majorHAnsi" w:cstheme="majorHAnsi"/>
                <w:b/>
                <w:color w:val="000000"/>
                <w:sz w:val="18"/>
                <w:szCs w:val="18"/>
                <w:lang w:eastAsia="en-AU"/>
              </w:rPr>
              <w:t>Tariff amount (average, 2018-</w:t>
            </w:r>
            <w:proofErr w:type="gramStart"/>
            <w:r>
              <w:rPr>
                <w:rFonts w:asciiTheme="majorHAnsi" w:eastAsia="Times New Roman" w:hAnsiTheme="majorHAnsi" w:cstheme="majorHAnsi"/>
                <w:b/>
                <w:color w:val="000000"/>
                <w:sz w:val="18"/>
                <w:szCs w:val="18"/>
                <w:lang w:eastAsia="en-AU"/>
              </w:rPr>
              <w:t>2020)</w:t>
            </w:r>
            <w:r w:rsidRPr="00894292">
              <w:rPr>
                <w:rFonts w:asciiTheme="majorHAnsi" w:eastAsia="Times New Roman" w:hAnsiTheme="majorHAnsi" w:cstheme="majorHAnsi"/>
                <w:b/>
                <w:color w:val="000000"/>
                <w:sz w:val="18"/>
                <w:szCs w:val="18"/>
                <w:lang w:eastAsia="en-AU"/>
              </w:rPr>
              <w:t>*</w:t>
            </w:r>
            <w:proofErr w:type="gramEnd"/>
            <w:r w:rsidRPr="00894292">
              <w:rPr>
                <w:rFonts w:asciiTheme="majorHAnsi" w:eastAsia="Times New Roman" w:hAnsiTheme="majorHAnsi" w:cstheme="majorHAnsi"/>
                <w:b/>
                <w:color w:val="000000"/>
                <w:sz w:val="18"/>
                <w:szCs w:val="18"/>
                <w:lang w:eastAsia="en-AU"/>
              </w:rPr>
              <w:br/>
            </w:r>
            <w:r w:rsidRPr="00284549">
              <w:rPr>
                <w:rFonts w:asciiTheme="majorHAnsi" w:eastAsia="Times New Roman" w:hAnsiTheme="majorHAnsi" w:cstheme="majorHAnsi"/>
                <w:bCs/>
                <w:color w:val="000000"/>
                <w:sz w:val="18"/>
                <w:szCs w:val="18"/>
                <w:lang w:eastAsia="en-AU"/>
              </w:rPr>
              <w:t>($A)</w:t>
            </w:r>
          </w:p>
        </w:tc>
      </w:tr>
      <w:tr w:rsidR="004D46B8" w:rsidRPr="00894292" w14:paraId="4C3C21A4" w14:textId="77777777" w:rsidTr="005976E5">
        <w:trPr>
          <w:gridAfter w:val="1"/>
          <w:wAfter w:w="7" w:type="dxa"/>
        </w:trPr>
        <w:tc>
          <w:tcPr>
            <w:tcW w:w="705" w:type="dxa"/>
            <w:tcBorders>
              <w:top w:val="nil"/>
              <w:left w:val="nil"/>
              <w:bottom w:val="single" w:sz="4" w:space="0" w:color="auto"/>
              <w:right w:val="nil"/>
            </w:tcBorders>
            <w:shd w:val="clear" w:color="auto" w:fill="auto"/>
            <w:noWrap/>
            <w:vAlign w:val="bottom"/>
            <w:hideMark/>
          </w:tcPr>
          <w:p w14:paraId="0A8DA252" w14:textId="77777777" w:rsidR="004D46B8" w:rsidRPr="00894292" w:rsidRDefault="004D46B8" w:rsidP="000F69BD">
            <w:pPr>
              <w:spacing w:after="0" w:line="240" w:lineRule="auto"/>
              <w:rPr>
                <w:rFonts w:asciiTheme="majorHAnsi" w:eastAsia="Times New Roman" w:hAnsiTheme="majorHAnsi" w:cstheme="majorHAnsi"/>
                <w:color w:val="000000"/>
                <w:sz w:val="18"/>
                <w:szCs w:val="18"/>
                <w:lang w:eastAsia="en-AU"/>
              </w:rPr>
            </w:pPr>
          </w:p>
        </w:tc>
        <w:tc>
          <w:tcPr>
            <w:tcW w:w="706" w:type="dxa"/>
            <w:tcBorders>
              <w:top w:val="nil"/>
              <w:left w:val="nil"/>
              <w:bottom w:val="single" w:sz="4" w:space="0" w:color="auto"/>
              <w:right w:val="nil"/>
            </w:tcBorders>
            <w:shd w:val="clear" w:color="auto" w:fill="auto"/>
            <w:noWrap/>
            <w:vAlign w:val="bottom"/>
            <w:hideMark/>
          </w:tcPr>
          <w:p w14:paraId="7698D577" w14:textId="77777777" w:rsidR="004D46B8" w:rsidRPr="00894292" w:rsidRDefault="004D46B8" w:rsidP="000F69BD">
            <w:pPr>
              <w:spacing w:after="0" w:line="240" w:lineRule="auto"/>
              <w:rPr>
                <w:rFonts w:asciiTheme="majorHAnsi" w:eastAsia="Times New Roman" w:hAnsiTheme="majorHAnsi" w:cstheme="majorHAnsi"/>
                <w:color w:val="000000"/>
                <w:sz w:val="18"/>
                <w:szCs w:val="18"/>
                <w:lang w:eastAsia="en-AU"/>
              </w:rPr>
            </w:pPr>
          </w:p>
        </w:tc>
        <w:tc>
          <w:tcPr>
            <w:tcW w:w="2676" w:type="dxa"/>
            <w:tcBorders>
              <w:top w:val="nil"/>
              <w:left w:val="nil"/>
              <w:bottom w:val="single" w:sz="4" w:space="0" w:color="auto"/>
              <w:right w:val="nil"/>
            </w:tcBorders>
            <w:shd w:val="clear" w:color="auto" w:fill="auto"/>
            <w:noWrap/>
            <w:vAlign w:val="bottom"/>
            <w:hideMark/>
          </w:tcPr>
          <w:p w14:paraId="6042207A" w14:textId="77777777" w:rsidR="004D46B8" w:rsidRPr="00894292" w:rsidRDefault="004D46B8" w:rsidP="000F69BD">
            <w:pPr>
              <w:spacing w:after="0" w:line="240" w:lineRule="auto"/>
              <w:rPr>
                <w:rFonts w:asciiTheme="majorHAnsi" w:eastAsia="Times New Roman" w:hAnsiTheme="majorHAnsi" w:cstheme="majorHAnsi"/>
                <w:color w:val="000000"/>
                <w:sz w:val="18"/>
                <w:szCs w:val="18"/>
                <w:lang w:eastAsia="en-AU"/>
              </w:rPr>
            </w:pPr>
            <w:r w:rsidRPr="00894292">
              <w:rPr>
                <w:rFonts w:asciiTheme="majorHAnsi" w:eastAsia="Times New Roman" w:hAnsiTheme="majorHAnsi" w:cstheme="majorHAnsi"/>
                <w:color w:val="000000"/>
                <w:sz w:val="18"/>
                <w:szCs w:val="18"/>
                <w:lang w:eastAsia="en-AU"/>
              </w:rPr>
              <w:t>Description</w:t>
            </w:r>
          </w:p>
        </w:tc>
        <w:tc>
          <w:tcPr>
            <w:tcW w:w="1410" w:type="dxa"/>
            <w:tcBorders>
              <w:top w:val="nil"/>
              <w:left w:val="nil"/>
              <w:bottom w:val="single" w:sz="4" w:space="0" w:color="auto"/>
              <w:right w:val="nil"/>
            </w:tcBorders>
            <w:shd w:val="clear" w:color="auto" w:fill="auto"/>
            <w:noWrap/>
            <w:vAlign w:val="bottom"/>
            <w:hideMark/>
          </w:tcPr>
          <w:p w14:paraId="63E4D809" w14:textId="77777777" w:rsidR="004D46B8" w:rsidRPr="00894292" w:rsidRDefault="004D46B8" w:rsidP="000F69BD">
            <w:pPr>
              <w:spacing w:after="0" w:line="240" w:lineRule="auto"/>
              <w:rPr>
                <w:rFonts w:asciiTheme="majorHAnsi" w:eastAsia="Times New Roman" w:hAnsiTheme="majorHAnsi" w:cstheme="majorHAnsi"/>
                <w:sz w:val="18"/>
                <w:szCs w:val="18"/>
                <w:lang w:eastAsia="en-AU"/>
              </w:rPr>
            </w:pPr>
            <w:r w:rsidRPr="00894292">
              <w:rPr>
                <w:rFonts w:asciiTheme="majorHAnsi" w:eastAsia="Times New Roman" w:hAnsiTheme="majorHAnsi" w:cstheme="majorHAnsi"/>
                <w:sz w:val="18"/>
                <w:szCs w:val="18"/>
                <w:lang w:eastAsia="en-AU"/>
              </w:rPr>
              <w:t>Value ($A)</w:t>
            </w:r>
          </w:p>
        </w:tc>
        <w:tc>
          <w:tcPr>
            <w:tcW w:w="1027" w:type="dxa"/>
            <w:tcBorders>
              <w:top w:val="nil"/>
              <w:left w:val="nil"/>
              <w:bottom w:val="single" w:sz="4" w:space="0" w:color="auto"/>
              <w:right w:val="nil"/>
            </w:tcBorders>
            <w:shd w:val="clear" w:color="auto" w:fill="auto"/>
            <w:noWrap/>
            <w:vAlign w:val="bottom"/>
            <w:hideMark/>
          </w:tcPr>
          <w:p w14:paraId="5D40CACD" w14:textId="77777777" w:rsidR="004D46B8" w:rsidRPr="00894292" w:rsidRDefault="004D46B8" w:rsidP="000F69BD">
            <w:pPr>
              <w:spacing w:after="0" w:line="240" w:lineRule="auto"/>
              <w:rPr>
                <w:rFonts w:asciiTheme="majorHAnsi" w:eastAsia="Times New Roman" w:hAnsiTheme="majorHAnsi" w:cstheme="majorHAnsi"/>
                <w:sz w:val="18"/>
                <w:szCs w:val="18"/>
                <w:lang w:eastAsia="en-AU"/>
              </w:rPr>
            </w:pPr>
            <w:r w:rsidRPr="00894292">
              <w:rPr>
                <w:rFonts w:asciiTheme="majorHAnsi" w:eastAsia="Times New Roman" w:hAnsiTheme="majorHAnsi" w:cstheme="majorHAnsi"/>
                <w:color w:val="000000"/>
                <w:sz w:val="18"/>
                <w:szCs w:val="18"/>
                <w:lang w:eastAsia="en-AU"/>
              </w:rPr>
              <w:t xml:space="preserve">% </w:t>
            </w:r>
            <w:proofErr w:type="gramStart"/>
            <w:r w:rsidRPr="00894292">
              <w:rPr>
                <w:rFonts w:asciiTheme="majorHAnsi" w:eastAsia="Times New Roman" w:hAnsiTheme="majorHAnsi" w:cstheme="majorHAnsi"/>
                <w:color w:val="000000"/>
                <w:sz w:val="18"/>
                <w:szCs w:val="18"/>
                <w:lang w:eastAsia="en-AU"/>
              </w:rPr>
              <w:t>of</w:t>
            </w:r>
            <w:proofErr w:type="gramEnd"/>
            <w:r w:rsidRPr="00894292">
              <w:rPr>
                <w:rFonts w:asciiTheme="majorHAnsi" w:eastAsia="Times New Roman" w:hAnsiTheme="majorHAnsi" w:cstheme="majorHAnsi"/>
                <w:color w:val="000000"/>
                <w:sz w:val="18"/>
                <w:szCs w:val="18"/>
                <w:lang w:eastAsia="en-AU"/>
              </w:rPr>
              <w:t xml:space="preserve"> </w:t>
            </w:r>
            <w:r>
              <w:rPr>
                <w:rFonts w:asciiTheme="majorHAnsi" w:eastAsia="Times New Roman" w:hAnsiTheme="majorHAnsi" w:cstheme="majorHAnsi"/>
                <w:color w:val="000000"/>
                <w:sz w:val="18"/>
                <w:szCs w:val="18"/>
                <w:lang w:eastAsia="en-AU"/>
              </w:rPr>
              <w:t>India’s global</w:t>
            </w:r>
            <w:r w:rsidRPr="00894292">
              <w:rPr>
                <w:rFonts w:asciiTheme="majorHAnsi" w:eastAsia="Times New Roman" w:hAnsiTheme="majorHAnsi" w:cstheme="majorHAnsi"/>
                <w:color w:val="000000"/>
                <w:sz w:val="18"/>
                <w:szCs w:val="18"/>
                <w:lang w:eastAsia="en-AU"/>
              </w:rPr>
              <w:t xml:space="preserve"> imports</w:t>
            </w:r>
          </w:p>
        </w:tc>
        <w:tc>
          <w:tcPr>
            <w:tcW w:w="706" w:type="dxa"/>
            <w:vMerge/>
            <w:tcBorders>
              <w:left w:val="nil"/>
              <w:bottom w:val="single" w:sz="4" w:space="0" w:color="auto"/>
              <w:right w:val="nil"/>
            </w:tcBorders>
            <w:shd w:val="clear" w:color="auto" w:fill="auto"/>
            <w:noWrap/>
            <w:vAlign w:val="bottom"/>
            <w:hideMark/>
          </w:tcPr>
          <w:p w14:paraId="19B10C24" w14:textId="77777777" w:rsidR="004D46B8" w:rsidRPr="00894292" w:rsidRDefault="004D46B8" w:rsidP="000F69BD">
            <w:pPr>
              <w:spacing w:after="0" w:line="240" w:lineRule="auto"/>
              <w:rPr>
                <w:rFonts w:asciiTheme="majorHAnsi" w:eastAsia="Times New Roman" w:hAnsiTheme="majorHAnsi" w:cstheme="majorHAnsi"/>
                <w:sz w:val="18"/>
                <w:szCs w:val="18"/>
                <w:lang w:eastAsia="en-AU"/>
              </w:rPr>
            </w:pPr>
          </w:p>
        </w:tc>
        <w:tc>
          <w:tcPr>
            <w:tcW w:w="1844" w:type="dxa"/>
            <w:vMerge/>
            <w:tcBorders>
              <w:left w:val="nil"/>
              <w:bottom w:val="single" w:sz="4" w:space="0" w:color="auto"/>
              <w:right w:val="nil"/>
            </w:tcBorders>
            <w:shd w:val="clear" w:color="auto" w:fill="auto"/>
            <w:noWrap/>
            <w:vAlign w:val="bottom"/>
            <w:hideMark/>
          </w:tcPr>
          <w:p w14:paraId="382B899C" w14:textId="77777777" w:rsidR="004D46B8" w:rsidRPr="00894292" w:rsidRDefault="004D46B8" w:rsidP="000F69BD">
            <w:pPr>
              <w:spacing w:after="0" w:line="240" w:lineRule="auto"/>
              <w:rPr>
                <w:rFonts w:asciiTheme="majorHAnsi" w:eastAsia="Times New Roman" w:hAnsiTheme="majorHAnsi" w:cstheme="majorHAnsi"/>
                <w:sz w:val="18"/>
                <w:szCs w:val="18"/>
                <w:lang w:eastAsia="en-AU"/>
              </w:rPr>
            </w:pPr>
          </w:p>
        </w:tc>
        <w:tc>
          <w:tcPr>
            <w:tcW w:w="1334" w:type="dxa"/>
            <w:vMerge/>
            <w:tcBorders>
              <w:left w:val="nil"/>
              <w:bottom w:val="single" w:sz="4" w:space="0" w:color="auto"/>
              <w:right w:val="nil"/>
            </w:tcBorders>
            <w:shd w:val="clear" w:color="auto" w:fill="auto"/>
            <w:noWrap/>
            <w:vAlign w:val="bottom"/>
            <w:hideMark/>
          </w:tcPr>
          <w:p w14:paraId="794AF8EA" w14:textId="77777777" w:rsidR="004D46B8" w:rsidRPr="00894292" w:rsidRDefault="004D46B8" w:rsidP="000F69BD">
            <w:pPr>
              <w:spacing w:after="0" w:line="240" w:lineRule="auto"/>
              <w:rPr>
                <w:rFonts w:asciiTheme="majorHAnsi" w:eastAsia="Times New Roman" w:hAnsiTheme="majorHAnsi" w:cstheme="majorHAnsi"/>
                <w:sz w:val="18"/>
                <w:szCs w:val="18"/>
                <w:lang w:eastAsia="en-AU"/>
              </w:rPr>
            </w:pPr>
          </w:p>
        </w:tc>
      </w:tr>
      <w:tr w:rsidR="004D46B8" w:rsidRPr="00894292" w14:paraId="6705BF0E" w14:textId="77777777" w:rsidTr="005976E5">
        <w:trPr>
          <w:gridAfter w:val="1"/>
          <w:wAfter w:w="7" w:type="dxa"/>
        </w:trPr>
        <w:tc>
          <w:tcPr>
            <w:tcW w:w="10408" w:type="dxa"/>
            <w:gridSpan w:val="8"/>
            <w:tcBorders>
              <w:top w:val="single" w:sz="4" w:space="0" w:color="auto"/>
              <w:left w:val="nil"/>
              <w:bottom w:val="single" w:sz="4" w:space="0" w:color="auto"/>
              <w:right w:val="nil"/>
            </w:tcBorders>
            <w:shd w:val="clear" w:color="auto" w:fill="auto"/>
            <w:noWrap/>
            <w:vAlign w:val="bottom"/>
            <w:hideMark/>
          </w:tcPr>
          <w:p w14:paraId="39E37B80" w14:textId="77777777" w:rsidR="004D46B8" w:rsidRPr="00894292" w:rsidRDefault="004D46B8" w:rsidP="000F69BD">
            <w:pPr>
              <w:spacing w:after="0" w:line="240" w:lineRule="auto"/>
              <w:rPr>
                <w:rFonts w:asciiTheme="majorHAnsi" w:eastAsia="Times New Roman" w:hAnsiTheme="majorHAnsi" w:cstheme="majorHAnsi"/>
                <w:b/>
                <w:sz w:val="18"/>
                <w:szCs w:val="18"/>
                <w:lang w:eastAsia="en-AU"/>
              </w:rPr>
            </w:pPr>
            <w:r w:rsidRPr="00894292">
              <w:rPr>
                <w:rFonts w:asciiTheme="majorHAnsi" w:eastAsia="Times New Roman" w:hAnsiTheme="majorHAnsi" w:cstheme="majorHAnsi"/>
                <w:b/>
                <w:color w:val="000000"/>
                <w:sz w:val="18"/>
                <w:szCs w:val="18"/>
                <w:lang w:eastAsia="en-AU"/>
              </w:rPr>
              <w:t xml:space="preserve">Mineral ore, metal, oil, gas products </w:t>
            </w:r>
          </w:p>
        </w:tc>
      </w:tr>
      <w:tr w:rsidR="004D46B8" w:rsidRPr="00894292" w14:paraId="127D1754" w14:textId="77777777" w:rsidTr="005976E5">
        <w:trPr>
          <w:gridAfter w:val="1"/>
          <w:wAfter w:w="7" w:type="dxa"/>
        </w:trPr>
        <w:tc>
          <w:tcPr>
            <w:tcW w:w="705" w:type="dxa"/>
            <w:tcBorders>
              <w:top w:val="single" w:sz="4" w:space="0" w:color="auto"/>
              <w:left w:val="nil"/>
              <w:bottom w:val="nil"/>
              <w:right w:val="nil"/>
            </w:tcBorders>
            <w:shd w:val="clear" w:color="auto" w:fill="auto"/>
            <w:noWrap/>
            <w:vAlign w:val="center"/>
            <w:hideMark/>
          </w:tcPr>
          <w:p w14:paraId="627F68F4" w14:textId="77777777" w:rsidR="004D46B8" w:rsidRPr="00894292" w:rsidRDefault="004D46B8" w:rsidP="000F69BD">
            <w:pPr>
              <w:spacing w:after="0" w:line="240" w:lineRule="auto"/>
              <w:rPr>
                <w:rFonts w:asciiTheme="majorHAnsi" w:eastAsia="Times New Roman" w:hAnsiTheme="majorHAnsi" w:cstheme="majorHAnsi"/>
                <w:color w:val="000000"/>
                <w:sz w:val="18"/>
                <w:szCs w:val="18"/>
                <w:lang w:eastAsia="en-AU"/>
              </w:rPr>
            </w:pPr>
            <w:r w:rsidRPr="00894292">
              <w:rPr>
                <w:rFonts w:asciiTheme="majorHAnsi" w:eastAsia="Times New Roman" w:hAnsiTheme="majorHAnsi" w:cstheme="majorHAnsi"/>
                <w:color w:val="000000"/>
                <w:sz w:val="18"/>
                <w:szCs w:val="18"/>
                <w:lang w:eastAsia="en-AU"/>
              </w:rPr>
              <w:t>CH26</w:t>
            </w:r>
          </w:p>
        </w:tc>
        <w:tc>
          <w:tcPr>
            <w:tcW w:w="706" w:type="dxa"/>
            <w:tcBorders>
              <w:top w:val="single" w:sz="4" w:space="0" w:color="auto"/>
              <w:left w:val="nil"/>
              <w:bottom w:val="nil"/>
              <w:right w:val="nil"/>
            </w:tcBorders>
            <w:shd w:val="clear" w:color="auto" w:fill="auto"/>
            <w:noWrap/>
            <w:vAlign w:val="center"/>
            <w:hideMark/>
          </w:tcPr>
          <w:p w14:paraId="4CEA55EC" w14:textId="77777777" w:rsidR="004D46B8" w:rsidRPr="00894292" w:rsidRDefault="004D46B8" w:rsidP="000F69BD">
            <w:pPr>
              <w:spacing w:after="0" w:line="240" w:lineRule="auto"/>
              <w:rPr>
                <w:rFonts w:asciiTheme="majorHAnsi" w:eastAsia="Times New Roman" w:hAnsiTheme="majorHAnsi" w:cstheme="majorHAnsi"/>
                <w:color w:val="000000"/>
                <w:sz w:val="18"/>
                <w:szCs w:val="18"/>
                <w:lang w:eastAsia="en-AU"/>
              </w:rPr>
            </w:pPr>
          </w:p>
        </w:tc>
        <w:tc>
          <w:tcPr>
            <w:tcW w:w="2676" w:type="dxa"/>
            <w:tcBorders>
              <w:top w:val="single" w:sz="4" w:space="0" w:color="auto"/>
              <w:left w:val="nil"/>
              <w:bottom w:val="nil"/>
              <w:right w:val="nil"/>
            </w:tcBorders>
            <w:shd w:val="clear" w:color="auto" w:fill="auto"/>
            <w:noWrap/>
            <w:vAlign w:val="center"/>
            <w:hideMark/>
          </w:tcPr>
          <w:p w14:paraId="54EF0D2F" w14:textId="77777777" w:rsidR="004D46B8" w:rsidRPr="00894292" w:rsidRDefault="004D46B8" w:rsidP="000F69BD">
            <w:pPr>
              <w:spacing w:after="0" w:line="240" w:lineRule="auto"/>
              <w:rPr>
                <w:rFonts w:asciiTheme="majorHAnsi" w:eastAsia="Times New Roman" w:hAnsiTheme="majorHAnsi" w:cstheme="majorHAnsi"/>
                <w:color w:val="000000"/>
                <w:sz w:val="18"/>
                <w:szCs w:val="18"/>
                <w:lang w:eastAsia="en-AU"/>
              </w:rPr>
            </w:pPr>
            <w:r w:rsidRPr="00894292">
              <w:rPr>
                <w:rFonts w:asciiTheme="majorHAnsi" w:eastAsia="Times New Roman" w:hAnsiTheme="majorHAnsi" w:cstheme="majorHAnsi"/>
                <w:color w:val="000000"/>
                <w:sz w:val="18"/>
                <w:szCs w:val="18"/>
                <w:lang w:eastAsia="en-AU"/>
              </w:rPr>
              <w:t>Metallic ores</w:t>
            </w:r>
          </w:p>
        </w:tc>
        <w:tc>
          <w:tcPr>
            <w:tcW w:w="1410" w:type="dxa"/>
            <w:tcBorders>
              <w:top w:val="single" w:sz="4" w:space="0" w:color="auto"/>
              <w:left w:val="nil"/>
              <w:bottom w:val="nil"/>
              <w:right w:val="nil"/>
            </w:tcBorders>
            <w:shd w:val="clear" w:color="auto" w:fill="auto"/>
            <w:noWrap/>
            <w:hideMark/>
          </w:tcPr>
          <w:p w14:paraId="71D9A4BB" w14:textId="77777777" w:rsidR="004D46B8" w:rsidRPr="00284549"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601,298,647</w:t>
            </w:r>
          </w:p>
        </w:tc>
        <w:tc>
          <w:tcPr>
            <w:tcW w:w="1027" w:type="dxa"/>
            <w:tcBorders>
              <w:top w:val="single" w:sz="4" w:space="0" w:color="auto"/>
              <w:left w:val="nil"/>
              <w:bottom w:val="nil"/>
              <w:right w:val="nil"/>
            </w:tcBorders>
            <w:shd w:val="clear" w:color="auto" w:fill="auto"/>
            <w:noWrap/>
            <w:hideMark/>
          </w:tcPr>
          <w:p w14:paraId="45917FE9" w14:textId="77777777" w:rsidR="004D46B8" w:rsidRPr="00894292"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12.7%</w:t>
            </w:r>
          </w:p>
        </w:tc>
        <w:tc>
          <w:tcPr>
            <w:tcW w:w="706" w:type="dxa"/>
            <w:tcBorders>
              <w:top w:val="single" w:sz="4" w:space="0" w:color="auto"/>
              <w:left w:val="nil"/>
              <w:bottom w:val="nil"/>
              <w:right w:val="nil"/>
            </w:tcBorders>
            <w:shd w:val="clear" w:color="auto" w:fill="auto"/>
            <w:noWrap/>
            <w:hideMark/>
          </w:tcPr>
          <w:p w14:paraId="79E4EFB9" w14:textId="77777777" w:rsidR="004D46B8" w:rsidRPr="00894292" w:rsidRDefault="004D46B8" w:rsidP="000F69BD">
            <w:pPr>
              <w:tabs>
                <w:tab w:val="center" w:pos="198"/>
              </w:tabs>
              <w:spacing w:after="0" w:line="240" w:lineRule="auto"/>
              <w:jc w:val="center"/>
              <w:rPr>
                <w:rFonts w:asciiTheme="majorHAnsi" w:eastAsia="Times New Roman" w:hAnsiTheme="majorHAnsi" w:cstheme="majorHAnsi"/>
                <w:color w:val="000000"/>
                <w:sz w:val="18"/>
                <w:szCs w:val="18"/>
                <w:lang w:eastAsia="en-AU"/>
              </w:rPr>
            </w:pPr>
            <w:r w:rsidRPr="00894292">
              <w:rPr>
                <w:rFonts w:asciiTheme="majorHAnsi" w:eastAsia="Times New Roman" w:hAnsiTheme="majorHAnsi" w:cstheme="majorHAnsi"/>
                <w:color w:val="000000"/>
                <w:sz w:val="18"/>
                <w:szCs w:val="18"/>
                <w:lang w:eastAsia="en-AU"/>
              </w:rPr>
              <w:t>-</w:t>
            </w:r>
          </w:p>
        </w:tc>
        <w:tc>
          <w:tcPr>
            <w:tcW w:w="1844" w:type="dxa"/>
            <w:tcBorders>
              <w:top w:val="single" w:sz="4" w:space="0" w:color="auto"/>
              <w:left w:val="nil"/>
              <w:bottom w:val="nil"/>
              <w:right w:val="nil"/>
            </w:tcBorders>
            <w:shd w:val="clear" w:color="auto" w:fill="auto"/>
            <w:noWrap/>
            <w:hideMark/>
          </w:tcPr>
          <w:p w14:paraId="5ECD837E" w14:textId="77777777" w:rsidR="004D46B8" w:rsidRPr="00894292" w:rsidRDefault="004D46B8" w:rsidP="000F69BD">
            <w:pPr>
              <w:spacing w:after="0" w:line="240" w:lineRule="auto"/>
              <w:jc w:val="center"/>
              <w:rPr>
                <w:rFonts w:asciiTheme="majorHAnsi" w:eastAsia="Times New Roman" w:hAnsiTheme="majorHAnsi" w:cstheme="majorHAnsi"/>
                <w:color w:val="000000"/>
                <w:sz w:val="18"/>
                <w:szCs w:val="18"/>
                <w:lang w:eastAsia="en-AU"/>
              </w:rPr>
            </w:pPr>
            <w:r w:rsidRPr="00894292">
              <w:rPr>
                <w:rFonts w:asciiTheme="majorHAnsi" w:eastAsia="Times New Roman" w:hAnsiTheme="majorHAnsi" w:cstheme="majorHAnsi"/>
                <w:color w:val="000000"/>
                <w:sz w:val="18"/>
                <w:szCs w:val="18"/>
                <w:lang w:eastAsia="en-AU"/>
              </w:rPr>
              <w:t>-</w:t>
            </w:r>
          </w:p>
        </w:tc>
        <w:tc>
          <w:tcPr>
            <w:tcW w:w="1334" w:type="dxa"/>
            <w:tcBorders>
              <w:top w:val="single" w:sz="4" w:space="0" w:color="auto"/>
              <w:left w:val="nil"/>
              <w:bottom w:val="nil"/>
              <w:right w:val="nil"/>
            </w:tcBorders>
            <w:shd w:val="clear" w:color="auto" w:fill="auto"/>
            <w:noWrap/>
            <w:hideMark/>
          </w:tcPr>
          <w:p w14:paraId="0D3A5936" w14:textId="77777777" w:rsidR="004D46B8" w:rsidRPr="00284549"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39,335,411</w:t>
            </w:r>
          </w:p>
        </w:tc>
      </w:tr>
      <w:tr w:rsidR="004D46B8" w:rsidRPr="00894292" w14:paraId="67D8CCC5" w14:textId="77777777" w:rsidTr="005976E5">
        <w:trPr>
          <w:gridAfter w:val="1"/>
          <w:wAfter w:w="7" w:type="dxa"/>
        </w:trPr>
        <w:tc>
          <w:tcPr>
            <w:tcW w:w="705" w:type="dxa"/>
            <w:tcBorders>
              <w:top w:val="nil"/>
              <w:left w:val="nil"/>
              <w:bottom w:val="nil"/>
              <w:right w:val="nil"/>
            </w:tcBorders>
            <w:shd w:val="clear" w:color="auto" w:fill="auto"/>
            <w:noWrap/>
            <w:vAlign w:val="center"/>
            <w:hideMark/>
          </w:tcPr>
          <w:p w14:paraId="63F4B985" w14:textId="77777777" w:rsidR="004D46B8" w:rsidRPr="00894292" w:rsidRDefault="004D46B8" w:rsidP="000F69BD">
            <w:pPr>
              <w:spacing w:after="0" w:line="240" w:lineRule="auto"/>
              <w:rPr>
                <w:rFonts w:asciiTheme="majorHAnsi" w:eastAsia="Times New Roman" w:hAnsiTheme="majorHAnsi" w:cstheme="majorHAnsi"/>
                <w:color w:val="000000"/>
                <w:sz w:val="18"/>
                <w:szCs w:val="18"/>
                <w:lang w:eastAsia="en-AU"/>
              </w:rPr>
            </w:pPr>
            <w:r w:rsidRPr="00894292">
              <w:rPr>
                <w:rFonts w:asciiTheme="majorHAnsi" w:eastAsia="Times New Roman" w:hAnsiTheme="majorHAnsi" w:cstheme="majorHAnsi"/>
                <w:color w:val="000000"/>
                <w:sz w:val="18"/>
                <w:szCs w:val="18"/>
                <w:lang w:eastAsia="en-AU"/>
              </w:rPr>
              <w:t>CH27</w:t>
            </w:r>
          </w:p>
        </w:tc>
        <w:tc>
          <w:tcPr>
            <w:tcW w:w="706" w:type="dxa"/>
            <w:tcBorders>
              <w:top w:val="nil"/>
              <w:left w:val="nil"/>
              <w:bottom w:val="nil"/>
              <w:right w:val="nil"/>
            </w:tcBorders>
            <w:shd w:val="clear" w:color="auto" w:fill="auto"/>
            <w:noWrap/>
            <w:vAlign w:val="center"/>
            <w:hideMark/>
          </w:tcPr>
          <w:p w14:paraId="3E7E1283" w14:textId="77777777" w:rsidR="004D46B8" w:rsidRPr="00894292" w:rsidRDefault="004D46B8" w:rsidP="000F69BD">
            <w:pPr>
              <w:spacing w:after="0" w:line="240" w:lineRule="auto"/>
              <w:rPr>
                <w:rFonts w:asciiTheme="majorHAnsi" w:eastAsia="Times New Roman" w:hAnsiTheme="majorHAnsi" w:cstheme="majorHAnsi"/>
                <w:color w:val="000000"/>
                <w:sz w:val="18"/>
                <w:szCs w:val="18"/>
                <w:lang w:eastAsia="en-AU"/>
              </w:rPr>
            </w:pPr>
          </w:p>
        </w:tc>
        <w:tc>
          <w:tcPr>
            <w:tcW w:w="2676" w:type="dxa"/>
            <w:tcBorders>
              <w:top w:val="nil"/>
              <w:left w:val="nil"/>
              <w:bottom w:val="nil"/>
              <w:right w:val="nil"/>
            </w:tcBorders>
            <w:shd w:val="clear" w:color="auto" w:fill="auto"/>
            <w:noWrap/>
            <w:vAlign w:val="center"/>
            <w:hideMark/>
          </w:tcPr>
          <w:p w14:paraId="0598F459" w14:textId="77777777" w:rsidR="004D46B8" w:rsidRPr="00894292" w:rsidRDefault="004D46B8" w:rsidP="000F69BD">
            <w:pPr>
              <w:spacing w:after="0" w:line="240" w:lineRule="auto"/>
              <w:rPr>
                <w:rFonts w:asciiTheme="majorHAnsi" w:eastAsia="Times New Roman" w:hAnsiTheme="majorHAnsi" w:cstheme="majorHAnsi"/>
                <w:color w:val="000000"/>
                <w:sz w:val="18"/>
                <w:szCs w:val="18"/>
                <w:lang w:eastAsia="en-AU"/>
              </w:rPr>
            </w:pPr>
            <w:r w:rsidRPr="00894292">
              <w:rPr>
                <w:rFonts w:asciiTheme="majorHAnsi" w:eastAsia="Times New Roman" w:hAnsiTheme="majorHAnsi" w:cstheme="majorHAnsi"/>
                <w:color w:val="000000"/>
                <w:sz w:val="18"/>
                <w:szCs w:val="18"/>
                <w:lang w:eastAsia="en-AU"/>
              </w:rPr>
              <w:t>Coal</w:t>
            </w:r>
          </w:p>
        </w:tc>
        <w:tc>
          <w:tcPr>
            <w:tcW w:w="1410" w:type="dxa"/>
            <w:tcBorders>
              <w:top w:val="nil"/>
              <w:left w:val="nil"/>
              <w:bottom w:val="nil"/>
              <w:right w:val="nil"/>
            </w:tcBorders>
            <w:shd w:val="clear" w:color="auto" w:fill="auto"/>
            <w:noWrap/>
            <w:hideMark/>
          </w:tcPr>
          <w:p w14:paraId="57E2BC1E" w14:textId="77777777" w:rsidR="004D46B8" w:rsidRPr="00284549"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10,364,406,670</w:t>
            </w:r>
          </w:p>
        </w:tc>
        <w:tc>
          <w:tcPr>
            <w:tcW w:w="1027" w:type="dxa"/>
            <w:tcBorders>
              <w:top w:val="nil"/>
              <w:left w:val="nil"/>
              <w:bottom w:val="nil"/>
              <w:right w:val="nil"/>
            </w:tcBorders>
            <w:shd w:val="clear" w:color="auto" w:fill="auto"/>
            <w:noWrap/>
            <w:hideMark/>
          </w:tcPr>
          <w:p w14:paraId="3057B72C" w14:textId="77777777" w:rsidR="004D46B8" w:rsidRPr="00894292"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35.6%</w:t>
            </w:r>
          </w:p>
        </w:tc>
        <w:tc>
          <w:tcPr>
            <w:tcW w:w="706" w:type="dxa"/>
            <w:tcBorders>
              <w:top w:val="nil"/>
              <w:left w:val="nil"/>
              <w:bottom w:val="nil"/>
              <w:right w:val="nil"/>
            </w:tcBorders>
            <w:shd w:val="clear" w:color="auto" w:fill="auto"/>
            <w:noWrap/>
            <w:hideMark/>
          </w:tcPr>
          <w:p w14:paraId="301AD885" w14:textId="77777777" w:rsidR="004D46B8" w:rsidRPr="00894292" w:rsidRDefault="004D46B8" w:rsidP="000F69BD">
            <w:pPr>
              <w:spacing w:after="0" w:line="240" w:lineRule="auto"/>
              <w:jc w:val="center"/>
              <w:rPr>
                <w:rFonts w:asciiTheme="majorHAnsi" w:eastAsia="Times New Roman" w:hAnsiTheme="majorHAnsi" w:cstheme="majorHAnsi"/>
                <w:color w:val="000000"/>
                <w:sz w:val="18"/>
                <w:szCs w:val="18"/>
                <w:lang w:eastAsia="en-AU"/>
              </w:rPr>
            </w:pPr>
            <w:r w:rsidRPr="00894292">
              <w:rPr>
                <w:rFonts w:asciiTheme="majorHAnsi" w:eastAsia="Times New Roman" w:hAnsiTheme="majorHAnsi" w:cstheme="majorHAnsi"/>
                <w:color w:val="000000"/>
                <w:sz w:val="18"/>
                <w:szCs w:val="18"/>
                <w:lang w:eastAsia="en-AU"/>
              </w:rPr>
              <w:t>-</w:t>
            </w:r>
          </w:p>
        </w:tc>
        <w:tc>
          <w:tcPr>
            <w:tcW w:w="1844" w:type="dxa"/>
            <w:tcBorders>
              <w:top w:val="nil"/>
              <w:left w:val="nil"/>
              <w:bottom w:val="nil"/>
              <w:right w:val="nil"/>
            </w:tcBorders>
            <w:shd w:val="clear" w:color="auto" w:fill="auto"/>
            <w:noWrap/>
            <w:hideMark/>
          </w:tcPr>
          <w:p w14:paraId="10F12F60" w14:textId="77777777" w:rsidR="004D46B8" w:rsidRPr="00894292" w:rsidRDefault="004D46B8" w:rsidP="000F69BD">
            <w:pPr>
              <w:spacing w:after="0" w:line="240" w:lineRule="auto"/>
              <w:jc w:val="center"/>
              <w:rPr>
                <w:rFonts w:asciiTheme="majorHAnsi" w:eastAsia="Times New Roman" w:hAnsiTheme="majorHAnsi" w:cstheme="majorHAnsi"/>
                <w:color w:val="000000"/>
                <w:sz w:val="18"/>
                <w:szCs w:val="18"/>
                <w:lang w:eastAsia="en-AU"/>
              </w:rPr>
            </w:pPr>
            <w:r w:rsidRPr="00894292">
              <w:rPr>
                <w:rFonts w:asciiTheme="majorHAnsi" w:eastAsia="Times New Roman" w:hAnsiTheme="majorHAnsi" w:cstheme="majorHAnsi"/>
                <w:color w:val="000000"/>
                <w:sz w:val="18"/>
                <w:szCs w:val="18"/>
                <w:lang w:eastAsia="en-AU"/>
              </w:rPr>
              <w:t>-</w:t>
            </w:r>
          </w:p>
        </w:tc>
        <w:tc>
          <w:tcPr>
            <w:tcW w:w="1334" w:type="dxa"/>
            <w:tcBorders>
              <w:top w:val="nil"/>
              <w:left w:val="nil"/>
              <w:bottom w:val="nil"/>
              <w:right w:val="nil"/>
            </w:tcBorders>
            <w:shd w:val="clear" w:color="auto" w:fill="auto"/>
            <w:noWrap/>
            <w:hideMark/>
          </w:tcPr>
          <w:p w14:paraId="0FB32D2D" w14:textId="77777777" w:rsidR="004D46B8" w:rsidRPr="00284549"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1,036,440,667</w:t>
            </w:r>
          </w:p>
        </w:tc>
      </w:tr>
      <w:tr w:rsidR="004D46B8" w:rsidRPr="00894292" w14:paraId="661F1EA3" w14:textId="77777777" w:rsidTr="005976E5">
        <w:trPr>
          <w:gridAfter w:val="1"/>
          <w:wAfter w:w="7" w:type="dxa"/>
        </w:trPr>
        <w:tc>
          <w:tcPr>
            <w:tcW w:w="705" w:type="dxa"/>
            <w:tcBorders>
              <w:top w:val="nil"/>
              <w:left w:val="nil"/>
              <w:bottom w:val="nil"/>
              <w:right w:val="nil"/>
            </w:tcBorders>
            <w:shd w:val="clear" w:color="auto" w:fill="auto"/>
            <w:noWrap/>
            <w:vAlign w:val="center"/>
            <w:hideMark/>
          </w:tcPr>
          <w:p w14:paraId="03348EF7" w14:textId="77777777" w:rsidR="004D46B8" w:rsidRPr="00894292" w:rsidRDefault="004D46B8" w:rsidP="000F69BD">
            <w:pPr>
              <w:spacing w:after="0" w:line="240" w:lineRule="auto"/>
              <w:rPr>
                <w:rFonts w:asciiTheme="majorHAnsi" w:eastAsia="Times New Roman" w:hAnsiTheme="majorHAnsi" w:cstheme="majorHAnsi"/>
                <w:color w:val="000000"/>
                <w:sz w:val="18"/>
                <w:szCs w:val="18"/>
                <w:lang w:eastAsia="en-AU"/>
              </w:rPr>
            </w:pPr>
            <w:r w:rsidRPr="00894292">
              <w:rPr>
                <w:rFonts w:asciiTheme="majorHAnsi" w:eastAsia="Times New Roman" w:hAnsiTheme="majorHAnsi" w:cstheme="majorHAnsi"/>
                <w:color w:val="000000"/>
                <w:sz w:val="18"/>
                <w:szCs w:val="18"/>
                <w:lang w:eastAsia="en-AU"/>
              </w:rPr>
              <w:t>CH27</w:t>
            </w:r>
          </w:p>
        </w:tc>
        <w:tc>
          <w:tcPr>
            <w:tcW w:w="706" w:type="dxa"/>
            <w:tcBorders>
              <w:top w:val="nil"/>
              <w:left w:val="nil"/>
              <w:bottom w:val="nil"/>
              <w:right w:val="nil"/>
            </w:tcBorders>
            <w:shd w:val="clear" w:color="auto" w:fill="auto"/>
            <w:noWrap/>
            <w:vAlign w:val="center"/>
            <w:hideMark/>
          </w:tcPr>
          <w:p w14:paraId="125D54B4" w14:textId="77777777" w:rsidR="004D46B8" w:rsidRPr="00894292" w:rsidRDefault="004D46B8" w:rsidP="000F69BD">
            <w:pPr>
              <w:spacing w:after="0" w:line="240" w:lineRule="auto"/>
              <w:rPr>
                <w:rFonts w:asciiTheme="majorHAnsi" w:eastAsia="Times New Roman" w:hAnsiTheme="majorHAnsi" w:cstheme="majorHAnsi"/>
                <w:color w:val="000000"/>
                <w:sz w:val="18"/>
                <w:szCs w:val="18"/>
                <w:lang w:eastAsia="en-AU"/>
              </w:rPr>
            </w:pPr>
          </w:p>
        </w:tc>
        <w:tc>
          <w:tcPr>
            <w:tcW w:w="2676" w:type="dxa"/>
            <w:tcBorders>
              <w:top w:val="nil"/>
              <w:left w:val="nil"/>
              <w:bottom w:val="nil"/>
              <w:right w:val="nil"/>
            </w:tcBorders>
            <w:shd w:val="clear" w:color="auto" w:fill="auto"/>
            <w:noWrap/>
            <w:vAlign w:val="center"/>
            <w:hideMark/>
          </w:tcPr>
          <w:p w14:paraId="21872EFF" w14:textId="77777777" w:rsidR="004D46B8" w:rsidRPr="00894292" w:rsidRDefault="004D46B8" w:rsidP="000F69BD">
            <w:pPr>
              <w:spacing w:after="0" w:line="240" w:lineRule="auto"/>
              <w:rPr>
                <w:rFonts w:asciiTheme="majorHAnsi" w:eastAsia="Times New Roman" w:hAnsiTheme="majorHAnsi" w:cstheme="majorHAnsi"/>
                <w:color w:val="000000"/>
                <w:sz w:val="18"/>
                <w:szCs w:val="18"/>
                <w:lang w:eastAsia="en-AU"/>
              </w:rPr>
            </w:pPr>
            <w:r w:rsidRPr="00894292">
              <w:rPr>
                <w:rFonts w:asciiTheme="majorHAnsi" w:eastAsia="Times New Roman" w:hAnsiTheme="majorHAnsi" w:cstheme="majorHAnsi"/>
                <w:color w:val="000000"/>
                <w:sz w:val="18"/>
                <w:szCs w:val="18"/>
                <w:lang w:eastAsia="en-AU"/>
              </w:rPr>
              <w:t>Coke and semi-coke of coal</w:t>
            </w:r>
          </w:p>
        </w:tc>
        <w:tc>
          <w:tcPr>
            <w:tcW w:w="1410" w:type="dxa"/>
            <w:tcBorders>
              <w:top w:val="nil"/>
              <w:left w:val="nil"/>
              <w:bottom w:val="nil"/>
              <w:right w:val="nil"/>
            </w:tcBorders>
            <w:shd w:val="clear" w:color="auto" w:fill="auto"/>
            <w:noWrap/>
            <w:hideMark/>
          </w:tcPr>
          <w:p w14:paraId="5A22C08E" w14:textId="77777777" w:rsidR="004D46B8" w:rsidRPr="00284549"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104,866,605</w:t>
            </w:r>
          </w:p>
        </w:tc>
        <w:tc>
          <w:tcPr>
            <w:tcW w:w="1027" w:type="dxa"/>
            <w:tcBorders>
              <w:top w:val="nil"/>
              <w:left w:val="nil"/>
              <w:bottom w:val="nil"/>
              <w:right w:val="nil"/>
            </w:tcBorders>
            <w:shd w:val="clear" w:color="auto" w:fill="auto"/>
            <w:noWrap/>
            <w:hideMark/>
          </w:tcPr>
          <w:p w14:paraId="0241F237" w14:textId="77777777" w:rsidR="004D46B8" w:rsidRPr="00894292"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6.5%</w:t>
            </w:r>
          </w:p>
        </w:tc>
        <w:tc>
          <w:tcPr>
            <w:tcW w:w="706" w:type="dxa"/>
            <w:tcBorders>
              <w:top w:val="nil"/>
              <w:left w:val="nil"/>
              <w:bottom w:val="nil"/>
              <w:right w:val="nil"/>
            </w:tcBorders>
            <w:shd w:val="clear" w:color="auto" w:fill="auto"/>
            <w:noWrap/>
            <w:hideMark/>
          </w:tcPr>
          <w:p w14:paraId="36F5C74D" w14:textId="77777777" w:rsidR="004D46B8" w:rsidRPr="00894292" w:rsidRDefault="004D46B8" w:rsidP="000F69BD">
            <w:pPr>
              <w:spacing w:after="0" w:line="240" w:lineRule="auto"/>
              <w:jc w:val="center"/>
              <w:rPr>
                <w:rFonts w:asciiTheme="majorHAnsi" w:eastAsia="Times New Roman" w:hAnsiTheme="majorHAnsi" w:cstheme="majorHAnsi"/>
                <w:color w:val="000000"/>
                <w:sz w:val="18"/>
                <w:szCs w:val="18"/>
                <w:lang w:eastAsia="en-AU"/>
              </w:rPr>
            </w:pPr>
            <w:r w:rsidRPr="00894292">
              <w:rPr>
                <w:rFonts w:asciiTheme="majorHAnsi" w:eastAsia="Times New Roman" w:hAnsiTheme="majorHAnsi" w:cstheme="majorHAnsi"/>
                <w:color w:val="000000"/>
                <w:sz w:val="18"/>
                <w:szCs w:val="18"/>
                <w:lang w:eastAsia="en-AU"/>
              </w:rPr>
              <w:t>-</w:t>
            </w:r>
          </w:p>
        </w:tc>
        <w:tc>
          <w:tcPr>
            <w:tcW w:w="1844" w:type="dxa"/>
            <w:tcBorders>
              <w:top w:val="nil"/>
              <w:left w:val="nil"/>
              <w:bottom w:val="nil"/>
              <w:right w:val="nil"/>
            </w:tcBorders>
            <w:shd w:val="clear" w:color="auto" w:fill="auto"/>
            <w:noWrap/>
            <w:hideMark/>
          </w:tcPr>
          <w:p w14:paraId="0DEBABF8" w14:textId="77777777" w:rsidR="004D46B8" w:rsidRPr="00894292" w:rsidRDefault="004D46B8" w:rsidP="000F69BD">
            <w:pPr>
              <w:spacing w:after="0" w:line="240" w:lineRule="auto"/>
              <w:jc w:val="center"/>
              <w:rPr>
                <w:rFonts w:asciiTheme="majorHAnsi" w:eastAsia="Times New Roman" w:hAnsiTheme="majorHAnsi" w:cstheme="majorHAnsi"/>
                <w:color w:val="000000"/>
                <w:sz w:val="18"/>
                <w:szCs w:val="18"/>
                <w:lang w:eastAsia="en-AU"/>
              </w:rPr>
            </w:pPr>
            <w:r w:rsidRPr="00894292">
              <w:rPr>
                <w:rFonts w:asciiTheme="majorHAnsi" w:eastAsia="Times New Roman" w:hAnsiTheme="majorHAnsi" w:cstheme="majorHAnsi"/>
                <w:color w:val="000000"/>
                <w:sz w:val="18"/>
                <w:szCs w:val="18"/>
                <w:lang w:eastAsia="en-AU"/>
              </w:rPr>
              <w:t>-</w:t>
            </w:r>
          </w:p>
        </w:tc>
        <w:tc>
          <w:tcPr>
            <w:tcW w:w="1334" w:type="dxa"/>
            <w:tcBorders>
              <w:top w:val="nil"/>
              <w:left w:val="nil"/>
              <w:bottom w:val="nil"/>
              <w:right w:val="nil"/>
            </w:tcBorders>
            <w:shd w:val="clear" w:color="auto" w:fill="auto"/>
            <w:noWrap/>
            <w:hideMark/>
          </w:tcPr>
          <w:p w14:paraId="25310F27" w14:textId="77777777" w:rsidR="004D46B8" w:rsidRPr="00284549"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10,486,661</w:t>
            </w:r>
          </w:p>
        </w:tc>
      </w:tr>
      <w:tr w:rsidR="004D46B8" w:rsidRPr="00894292" w14:paraId="6BE7B23D" w14:textId="77777777" w:rsidTr="005976E5">
        <w:trPr>
          <w:gridAfter w:val="1"/>
          <w:wAfter w:w="7" w:type="dxa"/>
        </w:trPr>
        <w:tc>
          <w:tcPr>
            <w:tcW w:w="705" w:type="dxa"/>
            <w:tcBorders>
              <w:top w:val="nil"/>
              <w:left w:val="nil"/>
              <w:bottom w:val="nil"/>
              <w:right w:val="nil"/>
            </w:tcBorders>
            <w:shd w:val="clear" w:color="auto" w:fill="auto"/>
            <w:noWrap/>
            <w:vAlign w:val="center"/>
            <w:hideMark/>
          </w:tcPr>
          <w:p w14:paraId="52E73A64" w14:textId="77777777" w:rsidR="004D46B8" w:rsidRPr="00894292" w:rsidRDefault="004D46B8" w:rsidP="000F69BD">
            <w:pPr>
              <w:spacing w:after="0" w:line="240" w:lineRule="auto"/>
              <w:rPr>
                <w:rFonts w:asciiTheme="majorHAnsi" w:eastAsia="Times New Roman" w:hAnsiTheme="majorHAnsi" w:cstheme="majorHAnsi"/>
                <w:color w:val="000000"/>
                <w:sz w:val="18"/>
                <w:szCs w:val="18"/>
                <w:lang w:eastAsia="en-AU"/>
              </w:rPr>
            </w:pPr>
            <w:r w:rsidRPr="00894292">
              <w:rPr>
                <w:rFonts w:asciiTheme="majorHAnsi" w:eastAsia="Times New Roman" w:hAnsiTheme="majorHAnsi" w:cstheme="majorHAnsi"/>
                <w:color w:val="000000"/>
                <w:sz w:val="18"/>
                <w:szCs w:val="18"/>
                <w:lang w:eastAsia="en-AU"/>
              </w:rPr>
              <w:t>CH27</w:t>
            </w:r>
          </w:p>
        </w:tc>
        <w:tc>
          <w:tcPr>
            <w:tcW w:w="706" w:type="dxa"/>
            <w:tcBorders>
              <w:top w:val="nil"/>
              <w:left w:val="nil"/>
              <w:bottom w:val="nil"/>
              <w:right w:val="nil"/>
            </w:tcBorders>
            <w:shd w:val="clear" w:color="auto" w:fill="auto"/>
            <w:noWrap/>
            <w:vAlign w:val="center"/>
            <w:hideMark/>
          </w:tcPr>
          <w:p w14:paraId="0BB7ECBE" w14:textId="77777777" w:rsidR="004D46B8" w:rsidRPr="00894292" w:rsidRDefault="004D46B8" w:rsidP="000F69BD">
            <w:pPr>
              <w:spacing w:after="0" w:line="240" w:lineRule="auto"/>
              <w:rPr>
                <w:rFonts w:asciiTheme="majorHAnsi" w:eastAsia="Times New Roman" w:hAnsiTheme="majorHAnsi" w:cstheme="majorHAnsi"/>
                <w:color w:val="000000"/>
                <w:sz w:val="18"/>
                <w:szCs w:val="18"/>
                <w:lang w:eastAsia="en-AU"/>
              </w:rPr>
            </w:pPr>
          </w:p>
        </w:tc>
        <w:tc>
          <w:tcPr>
            <w:tcW w:w="2676" w:type="dxa"/>
            <w:tcBorders>
              <w:top w:val="nil"/>
              <w:left w:val="nil"/>
              <w:bottom w:val="nil"/>
              <w:right w:val="nil"/>
            </w:tcBorders>
            <w:shd w:val="clear" w:color="auto" w:fill="auto"/>
            <w:noWrap/>
            <w:vAlign w:val="center"/>
            <w:hideMark/>
          </w:tcPr>
          <w:p w14:paraId="2A01E368" w14:textId="77777777" w:rsidR="004D46B8" w:rsidRPr="00894292" w:rsidRDefault="004D46B8" w:rsidP="000F69BD">
            <w:pPr>
              <w:spacing w:after="0" w:line="240" w:lineRule="auto"/>
              <w:rPr>
                <w:rFonts w:asciiTheme="majorHAnsi" w:eastAsia="Times New Roman" w:hAnsiTheme="majorHAnsi" w:cstheme="majorHAnsi"/>
                <w:color w:val="000000"/>
                <w:sz w:val="18"/>
                <w:szCs w:val="18"/>
                <w:lang w:eastAsia="en-AU"/>
              </w:rPr>
            </w:pPr>
            <w:r w:rsidRPr="00894292">
              <w:rPr>
                <w:rFonts w:asciiTheme="majorHAnsi" w:eastAsia="Times New Roman" w:hAnsiTheme="majorHAnsi" w:cstheme="majorHAnsi"/>
                <w:color w:val="000000"/>
                <w:sz w:val="18"/>
                <w:szCs w:val="18"/>
                <w:lang w:eastAsia="en-AU"/>
              </w:rPr>
              <w:t>Petroleum oils</w:t>
            </w:r>
          </w:p>
        </w:tc>
        <w:tc>
          <w:tcPr>
            <w:tcW w:w="1410" w:type="dxa"/>
            <w:tcBorders>
              <w:top w:val="nil"/>
              <w:left w:val="nil"/>
              <w:bottom w:val="nil"/>
              <w:right w:val="nil"/>
            </w:tcBorders>
            <w:shd w:val="clear" w:color="auto" w:fill="auto"/>
            <w:noWrap/>
            <w:hideMark/>
          </w:tcPr>
          <w:p w14:paraId="257DD0F8" w14:textId="77777777" w:rsidR="004D46B8" w:rsidRPr="00284549"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80,282,360</w:t>
            </w:r>
          </w:p>
        </w:tc>
        <w:tc>
          <w:tcPr>
            <w:tcW w:w="1027" w:type="dxa"/>
            <w:tcBorders>
              <w:top w:val="nil"/>
              <w:left w:val="nil"/>
              <w:bottom w:val="nil"/>
              <w:right w:val="nil"/>
            </w:tcBorders>
            <w:shd w:val="clear" w:color="auto" w:fill="auto"/>
            <w:noWrap/>
            <w:hideMark/>
          </w:tcPr>
          <w:p w14:paraId="66C678CF" w14:textId="77777777" w:rsidR="004D46B8" w:rsidRPr="00894292"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0.1%</w:t>
            </w:r>
          </w:p>
        </w:tc>
        <w:tc>
          <w:tcPr>
            <w:tcW w:w="706" w:type="dxa"/>
            <w:tcBorders>
              <w:top w:val="nil"/>
              <w:left w:val="nil"/>
              <w:bottom w:val="nil"/>
              <w:right w:val="nil"/>
            </w:tcBorders>
            <w:shd w:val="clear" w:color="auto" w:fill="auto"/>
            <w:noWrap/>
            <w:hideMark/>
          </w:tcPr>
          <w:p w14:paraId="6715784F" w14:textId="77777777" w:rsidR="004D46B8" w:rsidRPr="00894292" w:rsidRDefault="004D46B8" w:rsidP="000F69BD">
            <w:pPr>
              <w:spacing w:after="0" w:line="240" w:lineRule="auto"/>
              <w:jc w:val="center"/>
              <w:rPr>
                <w:rFonts w:asciiTheme="majorHAnsi" w:eastAsia="Times New Roman" w:hAnsiTheme="majorHAnsi" w:cstheme="majorHAnsi"/>
                <w:color w:val="000000"/>
                <w:sz w:val="18"/>
                <w:szCs w:val="18"/>
                <w:lang w:eastAsia="en-AU"/>
              </w:rPr>
            </w:pPr>
            <w:r w:rsidRPr="00894292">
              <w:rPr>
                <w:rFonts w:asciiTheme="majorHAnsi" w:eastAsia="Times New Roman" w:hAnsiTheme="majorHAnsi" w:cstheme="majorHAnsi"/>
                <w:color w:val="000000"/>
                <w:sz w:val="18"/>
                <w:szCs w:val="18"/>
                <w:lang w:eastAsia="en-AU"/>
              </w:rPr>
              <w:t>-</w:t>
            </w:r>
          </w:p>
        </w:tc>
        <w:tc>
          <w:tcPr>
            <w:tcW w:w="1844" w:type="dxa"/>
            <w:tcBorders>
              <w:top w:val="nil"/>
              <w:left w:val="nil"/>
              <w:bottom w:val="nil"/>
              <w:right w:val="nil"/>
            </w:tcBorders>
            <w:shd w:val="clear" w:color="auto" w:fill="auto"/>
            <w:noWrap/>
            <w:hideMark/>
          </w:tcPr>
          <w:p w14:paraId="3DB56A1B" w14:textId="77777777" w:rsidR="004D46B8" w:rsidRPr="00894292" w:rsidRDefault="004D46B8" w:rsidP="000F69BD">
            <w:pPr>
              <w:spacing w:after="0" w:line="240" w:lineRule="auto"/>
              <w:jc w:val="center"/>
              <w:rPr>
                <w:rFonts w:asciiTheme="majorHAnsi" w:eastAsia="Times New Roman" w:hAnsiTheme="majorHAnsi" w:cstheme="majorHAnsi"/>
                <w:color w:val="000000"/>
                <w:sz w:val="18"/>
                <w:szCs w:val="18"/>
                <w:lang w:eastAsia="en-AU"/>
              </w:rPr>
            </w:pPr>
            <w:r w:rsidRPr="00894292">
              <w:rPr>
                <w:rFonts w:asciiTheme="majorHAnsi" w:eastAsia="Times New Roman" w:hAnsiTheme="majorHAnsi" w:cstheme="majorHAnsi"/>
                <w:color w:val="000000"/>
                <w:sz w:val="18"/>
                <w:szCs w:val="18"/>
                <w:lang w:eastAsia="en-AU"/>
              </w:rPr>
              <w:t>-</w:t>
            </w:r>
          </w:p>
        </w:tc>
        <w:tc>
          <w:tcPr>
            <w:tcW w:w="1334" w:type="dxa"/>
            <w:tcBorders>
              <w:top w:val="nil"/>
              <w:left w:val="nil"/>
              <w:bottom w:val="nil"/>
              <w:right w:val="nil"/>
            </w:tcBorders>
            <w:shd w:val="clear" w:color="auto" w:fill="auto"/>
            <w:noWrap/>
            <w:hideMark/>
          </w:tcPr>
          <w:p w14:paraId="73B46DDD" w14:textId="77777777" w:rsidR="004D46B8" w:rsidRPr="00284549"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4,490,919</w:t>
            </w:r>
          </w:p>
        </w:tc>
      </w:tr>
      <w:tr w:rsidR="004D46B8" w:rsidRPr="00894292" w14:paraId="643F6E8F" w14:textId="77777777" w:rsidTr="005976E5">
        <w:trPr>
          <w:gridAfter w:val="1"/>
          <w:wAfter w:w="7" w:type="dxa"/>
        </w:trPr>
        <w:tc>
          <w:tcPr>
            <w:tcW w:w="705" w:type="dxa"/>
            <w:tcBorders>
              <w:top w:val="nil"/>
              <w:left w:val="nil"/>
              <w:bottom w:val="nil"/>
              <w:right w:val="nil"/>
            </w:tcBorders>
            <w:shd w:val="clear" w:color="auto" w:fill="auto"/>
            <w:noWrap/>
            <w:vAlign w:val="center"/>
            <w:hideMark/>
          </w:tcPr>
          <w:p w14:paraId="32ADD136" w14:textId="77777777" w:rsidR="004D46B8" w:rsidRPr="00894292" w:rsidRDefault="004D46B8" w:rsidP="000F69BD">
            <w:pPr>
              <w:spacing w:after="0" w:line="240" w:lineRule="auto"/>
              <w:rPr>
                <w:rFonts w:asciiTheme="majorHAnsi" w:eastAsia="Times New Roman" w:hAnsiTheme="majorHAnsi" w:cstheme="majorHAnsi"/>
                <w:color w:val="000000"/>
                <w:sz w:val="18"/>
                <w:szCs w:val="18"/>
                <w:lang w:eastAsia="en-AU"/>
              </w:rPr>
            </w:pPr>
            <w:r w:rsidRPr="00894292">
              <w:rPr>
                <w:rFonts w:asciiTheme="majorHAnsi" w:eastAsia="Times New Roman" w:hAnsiTheme="majorHAnsi" w:cstheme="majorHAnsi"/>
                <w:color w:val="000000"/>
                <w:sz w:val="18"/>
                <w:szCs w:val="18"/>
                <w:lang w:eastAsia="en-AU"/>
              </w:rPr>
              <w:t>CH27</w:t>
            </w:r>
          </w:p>
        </w:tc>
        <w:tc>
          <w:tcPr>
            <w:tcW w:w="706" w:type="dxa"/>
            <w:tcBorders>
              <w:top w:val="nil"/>
              <w:left w:val="nil"/>
              <w:bottom w:val="nil"/>
              <w:right w:val="nil"/>
            </w:tcBorders>
            <w:shd w:val="clear" w:color="auto" w:fill="auto"/>
            <w:noWrap/>
            <w:vAlign w:val="center"/>
            <w:hideMark/>
          </w:tcPr>
          <w:p w14:paraId="513FD29E" w14:textId="77777777" w:rsidR="004D46B8" w:rsidRPr="00894292" w:rsidRDefault="004D46B8" w:rsidP="000F69BD">
            <w:pPr>
              <w:spacing w:after="0" w:line="240" w:lineRule="auto"/>
              <w:rPr>
                <w:rFonts w:asciiTheme="majorHAnsi" w:eastAsia="Times New Roman" w:hAnsiTheme="majorHAnsi" w:cstheme="majorHAnsi"/>
                <w:color w:val="000000"/>
                <w:sz w:val="18"/>
                <w:szCs w:val="18"/>
                <w:lang w:eastAsia="en-AU"/>
              </w:rPr>
            </w:pPr>
          </w:p>
        </w:tc>
        <w:tc>
          <w:tcPr>
            <w:tcW w:w="2676" w:type="dxa"/>
            <w:tcBorders>
              <w:top w:val="nil"/>
              <w:left w:val="nil"/>
              <w:bottom w:val="nil"/>
              <w:right w:val="nil"/>
            </w:tcBorders>
            <w:shd w:val="clear" w:color="auto" w:fill="auto"/>
            <w:noWrap/>
            <w:vAlign w:val="center"/>
            <w:hideMark/>
          </w:tcPr>
          <w:p w14:paraId="187FD49D" w14:textId="77777777" w:rsidR="004D46B8" w:rsidRPr="0001716D" w:rsidRDefault="004D46B8" w:rsidP="000F69BD">
            <w:pPr>
              <w:spacing w:after="0" w:line="240" w:lineRule="auto"/>
              <w:rPr>
                <w:rFonts w:asciiTheme="majorHAnsi" w:eastAsia="Times New Roman" w:hAnsiTheme="majorHAnsi" w:cstheme="majorHAnsi"/>
                <w:color w:val="000000"/>
                <w:sz w:val="18"/>
                <w:szCs w:val="18"/>
                <w:lang w:eastAsia="en-AU"/>
              </w:rPr>
            </w:pPr>
            <w:r w:rsidRPr="0001716D">
              <w:rPr>
                <w:rFonts w:asciiTheme="majorHAnsi" w:eastAsia="Times New Roman" w:hAnsiTheme="majorHAnsi" w:cstheme="majorHAnsi"/>
                <w:color w:val="000000"/>
                <w:sz w:val="18"/>
                <w:szCs w:val="18"/>
                <w:lang w:eastAsia="en-AU"/>
              </w:rPr>
              <w:t>LNG</w:t>
            </w:r>
          </w:p>
        </w:tc>
        <w:tc>
          <w:tcPr>
            <w:tcW w:w="1410" w:type="dxa"/>
            <w:tcBorders>
              <w:top w:val="nil"/>
              <w:left w:val="nil"/>
              <w:bottom w:val="nil"/>
              <w:right w:val="nil"/>
            </w:tcBorders>
            <w:shd w:val="clear" w:color="auto" w:fill="auto"/>
            <w:noWrap/>
            <w:hideMark/>
          </w:tcPr>
          <w:p w14:paraId="7B0C3D02" w14:textId="77777777" w:rsidR="004D46B8" w:rsidRPr="00284549"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671,983,258</w:t>
            </w:r>
          </w:p>
        </w:tc>
        <w:tc>
          <w:tcPr>
            <w:tcW w:w="1027" w:type="dxa"/>
            <w:tcBorders>
              <w:top w:val="nil"/>
              <w:left w:val="nil"/>
              <w:bottom w:val="nil"/>
              <w:right w:val="nil"/>
            </w:tcBorders>
            <w:shd w:val="clear" w:color="auto" w:fill="auto"/>
            <w:noWrap/>
            <w:hideMark/>
          </w:tcPr>
          <w:p w14:paraId="1F8D7BDA" w14:textId="77777777" w:rsidR="004D46B8" w:rsidRPr="0001716D"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5.1%</w:t>
            </w:r>
          </w:p>
        </w:tc>
        <w:tc>
          <w:tcPr>
            <w:tcW w:w="706" w:type="dxa"/>
            <w:tcBorders>
              <w:top w:val="nil"/>
              <w:left w:val="nil"/>
              <w:bottom w:val="nil"/>
              <w:right w:val="nil"/>
            </w:tcBorders>
            <w:shd w:val="clear" w:color="auto" w:fill="auto"/>
            <w:noWrap/>
            <w:hideMark/>
          </w:tcPr>
          <w:p w14:paraId="11D51312" w14:textId="77777777" w:rsidR="004D46B8" w:rsidRPr="0001716D" w:rsidRDefault="004D46B8" w:rsidP="000F69BD">
            <w:pPr>
              <w:spacing w:after="0" w:line="240" w:lineRule="auto"/>
              <w:jc w:val="center"/>
              <w:rPr>
                <w:rFonts w:asciiTheme="majorHAnsi" w:eastAsia="Times New Roman" w:hAnsiTheme="majorHAnsi" w:cstheme="majorHAnsi"/>
                <w:color w:val="000000"/>
                <w:sz w:val="18"/>
                <w:szCs w:val="18"/>
                <w:lang w:eastAsia="en-AU"/>
              </w:rPr>
            </w:pPr>
            <w:r w:rsidRPr="00894292">
              <w:rPr>
                <w:rFonts w:asciiTheme="majorHAnsi" w:eastAsia="Times New Roman" w:hAnsiTheme="majorHAnsi" w:cstheme="majorHAnsi"/>
                <w:color w:val="000000"/>
                <w:sz w:val="18"/>
                <w:szCs w:val="18"/>
                <w:lang w:eastAsia="en-AU"/>
              </w:rPr>
              <w:t>-</w:t>
            </w:r>
          </w:p>
        </w:tc>
        <w:tc>
          <w:tcPr>
            <w:tcW w:w="1844" w:type="dxa"/>
            <w:tcBorders>
              <w:top w:val="nil"/>
              <w:left w:val="nil"/>
              <w:bottom w:val="nil"/>
              <w:right w:val="nil"/>
            </w:tcBorders>
            <w:shd w:val="clear" w:color="auto" w:fill="auto"/>
            <w:noWrap/>
            <w:hideMark/>
          </w:tcPr>
          <w:p w14:paraId="364947D8" w14:textId="77777777" w:rsidR="004D46B8" w:rsidRPr="0001716D" w:rsidRDefault="004D46B8" w:rsidP="000F69BD">
            <w:pPr>
              <w:spacing w:after="0" w:line="240" w:lineRule="auto"/>
              <w:jc w:val="center"/>
              <w:rPr>
                <w:rFonts w:asciiTheme="majorHAnsi" w:eastAsia="Times New Roman" w:hAnsiTheme="majorHAnsi" w:cstheme="majorHAnsi"/>
                <w:color w:val="000000"/>
                <w:sz w:val="18"/>
                <w:szCs w:val="18"/>
                <w:lang w:eastAsia="en-AU"/>
              </w:rPr>
            </w:pPr>
            <w:r w:rsidRPr="00894292">
              <w:rPr>
                <w:rFonts w:asciiTheme="majorHAnsi" w:eastAsia="Times New Roman" w:hAnsiTheme="majorHAnsi" w:cstheme="majorHAnsi"/>
                <w:color w:val="000000"/>
                <w:sz w:val="18"/>
                <w:szCs w:val="18"/>
                <w:lang w:eastAsia="en-AU"/>
              </w:rPr>
              <w:t>-</w:t>
            </w:r>
          </w:p>
        </w:tc>
        <w:tc>
          <w:tcPr>
            <w:tcW w:w="1334" w:type="dxa"/>
            <w:tcBorders>
              <w:top w:val="nil"/>
              <w:left w:val="nil"/>
              <w:bottom w:val="nil"/>
              <w:right w:val="nil"/>
            </w:tcBorders>
            <w:shd w:val="clear" w:color="auto" w:fill="auto"/>
            <w:noWrap/>
            <w:hideMark/>
          </w:tcPr>
          <w:p w14:paraId="34560D0D" w14:textId="77777777" w:rsidR="004D46B8" w:rsidRPr="00284549"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67,198,326</w:t>
            </w:r>
          </w:p>
        </w:tc>
      </w:tr>
      <w:tr w:rsidR="004D46B8" w:rsidRPr="00894292" w14:paraId="47335659" w14:textId="77777777" w:rsidTr="005976E5">
        <w:trPr>
          <w:gridAfter w:val="1"/>
          <w:wAfter w:w="7" w:type="dxa"/>
        </w:trPr>
        <w:tc>
          <w:tcPr>
            <w:tcW w:w="705" w:type="dxa"/>
            <w:tcBorders>
              <w:top w:val="nil"/>
              <w:left w:val="nil"/>
              <w:bottom w:val="nil"/>
              <w:right w:val="nil"/>
            </w:tcBorders>
            <w:shd w:val="clear" w:color="auto" w:fill="auto"/>
            <w:noWrap/>
            <w:vAlign w:val="center"/>
            <w:hideMark/>
          </w:tcPr>
          <w:p w14:paraId="70813EAF" w14:textId="77777777" w:rsidR="004D46B8" w:rsidRPr="00894292" w:rsidRDefault="004D46B8" w:rsidP="000F69BD">
            <w:pPr>
              <w:spacing w:after="0" w:line="240" w:lineRule="auto"/>
              <w:rPr>
                <w:rFonts w:asciiTheme="majorHAnsi" w:eastAsia="Times New Roman" w:hAnsiTheme="majorHAnsi" w:cstheme="majorHAnsi"/>
                <w:color w:val="000000"/>
                <w:sz w:val="18"/>
                <w:szCs w:val="18"/>
                <w:lang w:eastAsia="en-AU"/>
              </w:rPr>
            </w:pPr>
            <w:r w:rsidRPr="00894292">
              <w:rPr>
                <w:rFonts w:asciiTheme="majorHAnsi" w:eastAsia="Times New Roman" w:hAnsiTheme="majorHAnsi" w:cstheme="majorHAnsi"/>
                <w:color w:val="000000"/>
                <w:sz w:val="18"/>
                <w:szCs w:val="18"/>
                <w:lang w:eastAsia="en-AU"/>
              </w:rPr>
              <w:t>CH28</w:t>
            </w:r>
          </w:p>
        </w:tc>
        <w:tc>
          <w:tcPr>
            <w:tcW w:w="706" w:type="dxa"/>
            <w:tcBorders>
              <w:top w:val="nil"/>
              <w:left w:val="nil"/>
              <w:bottom w:val="nil"/>
              <w:right w:val="nil"/>
            </w:tcBorders>
            <w:shd w:val="clear" w:color="auto" w:fill="auto"/>
            <w:noWrap/>
            <w:vAlign w:val="center"/>
            <w:hideMark/>
          </w:tcPr>
          <w:p w14:paraId="294EBE81" w14:textId="77777777" w:rsidR="004D46B8" w:rsidRPr="00894292" w:rsidRDefault="004D46B8" w:rsidP="000F69BD">
            <w:pPr>
              <w:spacing w:after="0" w:line="240" w:lineRule="auto"/>
              <w:rPr>
                <w:rFonts w:asciiTheme="majorHAnsi" w:eastAsia="Times New Roman" w:hAnsiTheme="majorHAnsi" w:cstheme="majorHAnsi"/>
                <w:color w:val="000000"/>
                <w:sz w:val="18"/>
                <w:szCs w:val="18"/>
                <w:lang w:eastAsia="en-AU"/>
              </w:rPr>
            </w:pPr>
          </w:p>
        </w:tc>
        <w:tc>
          <w:tcPr>
            <w:tcW w:w="2676" w:type="dxa"/>
            <w:tcBorders>
              <w:top w:val="nil"/>
              <w:left w:val="nil"/>
              <w:bottom w:val="nil"/>
              <w:right w:val="nil"/>
            </w:tcBorders>
            <w:shd w:val="clear" w:color="auto" w:fill="auto"/>
            <w:noWrap/>
            <w:vAlign w:val="center"/>
            <w:hideMark/>
          </w:tcPr>
          <w:p w14:paraId="4CEF2950" w14:textId="77777777" w:rsidR="004D46B8" w:rsidRPr="00894292" w:rsidRDefault="004D46B8" w:rsidP="000F69BD">
            <w:pPr>
              <w:spacing w:after="0" w:line="240" w:lineRule="auto"/>
              <w:rPr>
                <w:rFonts w:asciiTheme="majorHAnsi" w:eastAsia="Times New Roman" w:hAnsiTheme="majorHAnsi" w:cstheme="majorHAnsi"/>
                <w:color w:val="000000"/>
                <w:sz w:val="18"/>
                <w:szCs w:val="18"/>
                <w:lang w:eastAsia="en-AU"/>
              </w:rPr>
            </w:pPr>
            <w:r w:rsidRPr="00894292">
              <w:rPr>
                <w:rFonts w:asciiTheme="majorHAnsi" w:eastAsia="Times New Roman" w:hAnsiTheme="majorHAnsi" w:cstheme="majorHAnsi"/>
                <w:color w:val="000000"/>
                <w:sz w:val="18"/>
                <w:szCs w:val="18"/>
                <w:lang w:eastAsia="en-AU"/>
              </w:rPr>
              <w:t>Alumina</w:t>
            </w:r>
          </w:p>
        </w:tc>
        <w:tc>
          <w:tcPr>
            <w:tcW w:w="1410" w:type="dxa"/>
            <w:tcBorders>
              <w:top w:val="nil"/>
              <w:left w:val="nil"/>
              <w:bottom w:val="nil"/>
              <w:right w:val="nil"/>
            </w:tcBorders>
            <w:shd w:val="clear" w:color="auto" w:fill="auto"/>
            <w:noWrap/>
            <w:hideMark/>
          </w:tcPr>
          <w:p w14:paraId="0E10C2B9" w14:textId="77777777" w:rsidR="004D46B8" w:rsidRPr="00284549"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643,998,769</w:t>
            </w:r>
          </w:p>
        </w:tc>
        <w:tc>
          <w:tcPr>
            <w:tcW w:w="1027" w:type="dxa"/>
            <w:tcBorders>
              <w:top w:val="nil"/>
              <w:left w:val="nil"/>
              <w:bottom w:val="nil"/>
              <w:right w:val="nil"/>
            </w:tcBorders>
            <w:shd w:val="clear" w:color="auto" w:fill="auto"/>
            <w:noWrap/>
            <w:hideMark/>
          </w:tcPr>
          <w:p w14:paraId="340AF2D2" w14:textId="77777777" w:rsidR="004D46B8" w:rsidRPr="00894292"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46.0%</w:t>
            </w:r>
          </w:p>
        </w:tc>
        <w:tc>
          <w:tcPr>
            <w:tcW w:w="706" w:type="dxa"/>
            <w:tcBorders>
              <w:top w:val="nil"/>
              <w:left w:val="nil"/>
              <w:bottom w:val="nil"/>
              <w:right w:val="nil"/>
            </w:tcBorders>
            <w:shd w:val="clear" w:color="auto" w:fill="auto"/>
            <w:noWrap/>
            <w:hideMark/>
          </w:tcPr>
          <w:p w14:paraId="2312444C" w14:textId="77777777" w:rsidR="004D46B8" w:rsidRPr="00894292" w:rsidRDefault="004D46B8" w:rsidP="000F69BD">
            <w:pPr>
              <w:spacing w:after="0" w:line="240" w:lineRule="auto"/>
              <w:jc w:val="center"/>
              <w:rPr>
                <w:rFonts w:asciiTheme="majorHAnsi" w:eastAsia="Times New Roman" w:hAnsiTheme="majorHAnsi" w:cstheme="majorHAnsi"/>
                <w:color w:val="000000"/>
                <w:sz w:val="18"/>
                <w:szCs w:val="18"/>
                <w:lang w:eastAsia="en-AU"/>
              </w:rPr>
            </w:pPr>
            <w:r w:rsidRPr="00894292">
              <w:rPr>
                <w:rFonts w:asciiTheme="majorHAnsi" w:eastAsia="Times New Roman" w:hAnsiTheme="majorHAnsi" w:cstheme="majorHAnsi"/>
                <w:color w:val="000000"/>
                <w:sz w:val="18"/>
                <w:szCs w:val="18"/>
                <w:lang w:eastAsia="en-AU"/>
              </w:rPr>
              <w:t>-</w:t>
            </w:r>
          </w:p>
        </w:tc>
        <w:tc>
          <w:tcPr>
            <w:tcW w:w="1844" w:type="dxa"/>
            <w:tcBorders>
              <w:top w:val="nil"/>
              <w:left w:val="nil"/>
              <w:bottom w:val="nil"/>
              <w:right w:val="nil"/>
            </w:tcBorders>
            <w:shd w:val="clear" w:color="auto" w:fill="auto"/>
            <w:noWrap/>
            <w:hideMark/>
          </w:tcPr>
          <w:p w14:paraId="0ED2E191" w14:textId="77777777" w:rsidR="004D46B8" w:rsidRPr="00894292" w:rsidRDefault="004D46B8" w:rsidP="000F69BD">
            <w:pPr>
              <w:spacing w:after="0" w:line="240" w:lineRule="auto"/>
              <w:jc w:val="center"/>
              <w:rPr>
                <w:rFonts w:asciiTheme="majorHAnsi" w:eastAsia="Times New Roman" w:hAnsiTheme="majorHAnsi" w:cstheme="majorHAnsi"/>
                <w:color w:val="000000"/>
                <w:sz w:val="18"/>
                <w:szCs w:val="18"/>
                <w:lang w:eastAsia="en-AU"/>
              </w:rPr>
            </w:pPr>
            <w:r w:rsidRPr="00894292">
              <w:rPr>
                <w:rFonts w:asciiTheme="majorHAnsi" w:eastAsia="Times New Roman" w:hAnsiTheme="majorHAnsi" w:cstheme="majorHAnsi"/>
                <w:color w:val="000000"/>
                <w:sz w:val="18"/>
                <w:szCs w:val="18"/>
                <w:lang w:eastAsia="en-AU"/>
              </w:rPr>
              <w:t>-</w:t>
            </w:r>
          </w:p>
        </w:tc>
        <w:tc>
          <w:tcPr>
            <w:tcW w:w="1334" w:type="dxa"/>
            <w:tcBorders>
              <w:top w:val="nil"/>
              <w:left w:val="nil"/>
              <w:bottom w:val="nil"/>
              <w:right w:val="nil"/>
            </w:tcBorders>
            <w:shd w:val="clear" w:color="auto" w:fill="auto"/>
            <w:noWrap/>
            <w:hideMark/>
          </w:tcPr>
          <w:p w14:paraId="4B2435DE" w14:textId="77777777" w:rsidR="004D46B8" w:rsidRPr="00284549"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64,399,877</w:t>
            </w:r>
          </w:p>
        </w:tc>
      </w:tr>
      <w:tr w:rsidR="004D46B8" w:rsidRPr="00894292" w14:paraId="694B7A73" w14:textId="77777777" w:rsidTr="005976E5">
        <w:trPr>
          <w:gridAfter w:val="1"/>
          <w:wAfter w:w="7" w:type="dxa"/>
        </w:trPr>
        <w:tc>
          <w:tcPr>
            <w:tcW w:w="705" w:type="dxa"/>
            <w:tcBorders>
              <w:top w:val="nil"/>
              <w:left w:val="nil"/>
              <w:bottom w:val="nil"/>
              <w:right w:val="nil"/>
            </w:tcBorders>
            <w:shd w:val="clear" w:color="auto" w:fill="auto"/>
            <w:noWrap/>
            <w:vAlign w:val="center"/>
          </w:tcPr>
          <w:p w14:paraId="17845FDD" w14:textId="77777777" w:rsidR="004D46B8" w:rsidRPr="00894292" w:rsidRDefault="004D46B8" w:rsidP="000F69BD">
            <w:pPr>
              <w:spacing w:after="0" w:line="240" w:lineRule="auto"/>
              <w:rPr>
                <w:rFonts w:asciiTheme="majorHAnsi" w:eastAsia="Times New Roman" w:hAnsiTheme="majorHAnsi" w:cstheme="majorHAnsi"/>
                <w:color w:val="000000"/>
                <w:sz w:val="18"/>
                <w:szCs w:val="18"/>
                <w:lang w:eastAsia="en-AU"/>
              </w:rPr>
            </w:pPr>
            <w:r w:rsidRPr="00894292">
              <w:rPr>
                <w:rFonts w:asciiTheme="majorHAnsi" w:eastAsia="Times New Roman" w:hAnsiTheme="majorHAnsi" w:cstheme="majorHAnsi"/>
                <w:color w:val="000000"/>
                <w:sz w:val="18"/>
                <w:szCs w:val="18"/>
                <w:lang w:eastAsia="en-AU"/>
              </w:rPr>
              <w:t>CH71</w:t>
            </w:r>
          </w:p>
        </w:tc>
        <w:tc>
          <w:tcPr>
            <w:tcW w:w="706" w:type="dxa"/>
            <w:tcBorders>
              <w:top w:val="nil"/>
              <w:left w:val="nil"/>
              <w:bottom w:val="nil"/>
              <w:right w:val="nil"/>
            </w:tcBorders>
            <w:shd w:val="clear" w:color="auto" w:fill="auto"/>
            <w:noWrap/>
            <w:vAlign w:val="center"/>
          </w:tcPr>
          <w:p w14:paraId="4C5E585B" w14:textId="77777777" w:rsidR="004D46B8" w:rsidRPr="00894292" w:rsidRDefault="004D46B8" w:rsidP="000F69BD">
            <w:pPr>
              <w:spacing w:after="0" w:line="240" w:lineRule="auto"/>
              <w:rPr>
                <w:rFonts w:asciiTheme="majorHAnsi" w:eastAsia="Times New Roman" w:hAnsiTheme="majorHAnsi" w:cstheme="majorHAnsi"/>
                <w:color w:val="000000"/>
                <w:sz w:val="18"/>
                <w:szCs w:val="18"/>
                <w:lang w:eastAsia="en-AU"/>
              </w:rPr>
            </w:pPr>
          </w:p>
        </w:tc>
        <w:tc>
          <w:tcPr>
            <w:tcW w:w="2676" w:type="dxa"/>
            <w:tcBorders>
              <w:top w:val="nil"/>
              <w:left w:val="nil"/>
              <w:bottom w:val="nil"/>
              <w:right w:val="nil"/>
            </w:tcBorders>
            <w:shd w:val="clear" w:color="auto" w:fill="auto"/>
            <w:noWrap/>
            <w:vAlign w:val="center"/>
          </w:tcPr>
          <w:p w14:paraId="5A70884E" w14:textId="77777777" w:rsidR="004D46B8" w:rsidRPr="00894292" w:rsidRDefault="004D46B8" w:rsidP="000F69BD">
            <w:pPr>
              <w:spacing w:after="0" w:line="240" w:lineRule="auto"/>
              <w:rPr>
                <w:rFonts w:asciiTheme="majorHAnsi" w:eastAsia="Times New Roman" w:hAnsiTheme="majorHAnsi" w:cstheme="majorHAnsi"/>
                <w:color w:val="000000"/>
                <w:sz w:val="18"/>
                <w:szCs w:val="18"/>
                <w:lang w:eastAsia="en-AU"/>
              </w:rPr>
            </w:pPr>
            <w:proofErr w:type="spellStart"/>
            <w:proofErr w:type="gramStart"/>
            <w:r w:rsidRPr="00894292">
              <w:rPr>
                <w:rFonts w:asciiTheme="majorHAnsi" w:eastAsia="Times New Roman" w:hAnsiTheme="majorHAnsi" w:cstheme="majorHAnsi"/>
                <w:color w:val="000000"/>
                <w:sz w:val="18"/>
                <w:szCs w:val="18"/>
                <w:lang w:eastAsia="en-AU"/>
              </w:rPr>
              <w:t>Non Monetary</w:t>
            </w:r>
            <w:proofErr w:type="spellEnd"/>
            <w:proofErr w:type="gramEnd"/>
            <w:r w:rsidRPr="00894292">
              <w:rPr>
                <w:rFonts w:asciiTheme="majorHAnsi" w:eastAsia="Times New Roman" w:hAnsiTheme="majorHAnsi" w:cstheme="majorHAnsi"/>
                <w:color w:val="000000"/>
                <w:sz w:val="18"/>
                <w:szCs w:val="18"/>
                <w:lang w:eastAsia="en-AU"/>
              </w:rPr>
              <w:t xml:space="preserve"> Gold</w:t>
            </w:r>
          </w:p>
        </w:tc>
        <w:tc>
          <w:tcPr>
            <w:tcW w:w="1410" w:type="dxa"/>
            <w:tcBorders>
              <w:top w:val="nil"/>
              <w:left w:val="nil"/>
              <w:bottom w:val="nil"/>
              <w:right w:val="nil"/>
            </w:tcBorders>
            <w:shd w:val="clear" w:color="auto" w:fill="auto"/>
            <w:noWrap/>
          </w:tcPr>
          <w:p w14:paraId="2A29EBBC" w14:textId="77777777" w:rsidR="004D46B8" w:rsidRPr="00894292"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554,656,042</w:t>
            </w:r>
          </w:p>
        </w:tc>
        <w:tc>
          <w:tcPr>
            <w:tcW w:w="1027" w:type="dxa"/>
            <w:tcBorders>
              <w:top w:val="nil"/>
              <w:left w:val="nil"/>
              <w:bottom w:val="nil"/>
              <w:right w:val="nil"/>
            </w:tcBorders>
            <w:shd w:val="clear" w:color="auto" w:fill="auto"/>
            <w:noWrap/>
          </w:tcPr>
          <w:p w14:paraId="25454525" w14:textId="77777777" w:rsidR="004D46B8" w:rsidRPr="00894292"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1.4%</w:t>
            </w:r>
          </w:p>
        </w:tc>
        <w:tc>
          <w:tcPr>
            <w:tcW w:w="706" w:type="dxa"/>
            <w:tcBorders>
              <w:top w:val="nil"/>
              <w:left w:val="nil"/>
              <w:bottom w:val="nil"/>
              <w:right w:val="nil"/>
            </w:tcBorders>
            <w:shd w:val="clear" w:color="auto" w:fill="auto"/>
            <w:noWrap/>
          </w:tcPr>
          <w:p w14:paraId="6D7A589B" w14:textId="77777777" w:rsidR="004D46B8" w:rsidRPr="00894292" w:rsidRDefault="004D46B8" w:rsidP="000F69BD">
            <w:pPr>
              <w:spacing w:after="0" w:line="240" w:lineRule="auto"/>
              <w:jc w:val="center"/>
              <w:rPr>
                <w:rFonts w:asciiTheme="majorHAnsi" w:eastAsia="Times New Roman" w:hAnsiTheme="majorHAnsi" w:cstheme="majorHAnsi"/>
                <w:color w:val="000000"/>
                <w:sz w:val="18"/>
                <w:szCs w:val="18"/>
                <w:lang w:eastAsia="en-AU"/>
              </w:rPr>
            </w:pPr>
            <w:r w:rsidRPr="00894292">
              <w:rPr>
                <w:rFonts w:asciiTheme="majorHAnsi" w:eastAsia="Times New Roman" w:hAnsiTheme="majorHAnsi" w:cstheme="majorHAnsi"/>
                <w:color w:val="000000"/>
                <w:sz w:val="18"/>
                <w:szCs w:val="18"/>
                <w:lang w:eastAsia="en-AU"/>
              </w:rPr>
              <w:t>-</w:t>
            </w:r>
          </w:p>
        </w:tc>
        <w:tc>
          <w:tcPr>
            <w:tcW w:w="1844" w:type="dxa"/>
            <w:tcBorders>
              <w:top w:val="nil"/>
              <w:left w:val="nil"/>
              <w:bottom w:val="nil"/>
              <w:right w:val="nil"/>
            </w:tcBorders>
            <w:shd w:val="clear" w:color="auto" w:fill="auto"/>
            <w:noWrap/>
          </w:tcPr>
          <w:p w14:paraId="09A62D0B" w14:textId="77777777" w:rsidR="004D46B8" w:rsidRPr="00894292" w:rsidRDefault="004D46B8" w:rsidP="000F69BD">
            <w:pPr>
              <w:spacing w:after="0" w:line="240" w:lineRule="auto"/>
              <w:jc w:val="center"/>
              <w:rPr>
                <w:rFonts w:asciiTheme="majorHAnsi" w:eastAsia="Times New Roman" w:hAnsiTheme="majorHAnsi" w:cstheme="majorHAnsi"/>
                <w:color w:val="000000"/>
                <w:sz w:val="18"/>
                <w:szCs w:val="18"/>
                <w:lang w:eastAsia="en-AU"/>
              </w:rPr>
            </w:pPr>
            <w:r w:rsidRPr="00894292">
              <w:rPr>
                <w:rFonts w:asciiTheme="majorHAnsi" w:eastAsia="Times New Roman" w:hAnsiTheme="majorHAnsi" w:cstheme="majorHAnsi"/>
                <w:color w:val="000000"/>
                <w:sz w:val="18"/>
                <w:szCs w:val="18"/>
                <w:lang w:eastAsia="en-AU"/>
              </w:rPr>
              <w:t>-</w:t>
            </w:r>
          </w:p>
        </w:tc>
        <w:tc>
          <w:tcPr>
            <w:tcW w:w="1334" w:type="dxa"/>
            <w:tcBorders>
              <w:top w:val="nil"/>
              <w:left w:val="nil"/>
              <w:bottom w:val="nil"/>
              <w:right w:val="nil"/>
            </w:tcBorders>
            <w:shd w:val="clear" w:color="auto" w:fill="auto"/>
            <w:noWrap/>
          </w:tcPr>
          <w:p w14:paraId="471AC6DA" w14:textId="77777777" w:rsidR="004D46B8" w:rsidRPr="00894292"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69,332,005</w:t>
            </w:r>
          </w:p>
        </w:tc>
      </w:tr>
      <w:tr w:rsidR="004D46B8" w:rsidRPr="00894292" w14:paraId="7B65EB22" w14:textId="77777777" w:rsidTr="005976E5">
        <w:trPr>
          <w:gridAfter w:val="1"/>
          <w:wAfter w:w="7" w:type="dxa"/>
        </w:trPr>
        <w:tc>
          <w:tcPr>
            <w:tcW w:w="705" w:type="dxa"/>
            <w:tcBorders>
              <w:top w:val="nil"/>
              <w:left w:val="nil"/>
              <w:bottom w:val="nil"/>
              <w:right w:val="nil"/>
            </w:tcBorders>
            <w:shd w:val="clear" w:color="auto" w:fill="auto"/>
            <w:noWrap/>
            <w:vAlign w:val="center"/>
          </w:tcPr>
          <w:p w14:paraId="0FA58524" w14:textId="77777777" w:rsidR="004D46B8" w:rsidRPr="00894292" w:rsidRDefault="004D46B8" w:rsidP="000F69BD">
            <w:pPr>
              <w:spacing w:after="0" w:line="240" w:lineRule="auto"/>
              <w:rPr>
                <w:rFonts w:asciiTheme="majorHAnsi" w:eastAsia="Times New Roman" w:hAnsiTheme="majorHAnsi" w:cstheme="majorHAnsi"/>
                <w:color w:val="000000"/>
                <w:sz w:val="18"/>
                <w:szCs w:val="18"/>
                <w:lang w:eastAsia="en-AU"/>
              </w:rPr>
            </w:pPr>
            <w:r w:rsidRPr="00894292">
              <w:rPr>
                <w:rFonts w:asciiTheme="majorHAnsi" w:eastAsia="Times New Roman" w:hAnsiTheme="majorHAnsi" w:cstheme="majorHAnsi"/>
                <w:color w:val="000000"/>
                <w:sz w:val="18"/>
                <w:szCs w:val="18"/>
                <w:lang w:eastAsia="en-AU"/>
              </w:rPr>
              <w:t>CH74</w:t>
            </w:r>
          </w:p>
        </w:tc>
        <w:tc>
          <w:tcPr>
            <w:tcW w:w="706" w:type="dxa"/>
            <w:tcBorders>
              <w:top w:val="nil"/>
              <w:left w:val="nil"/>
              <w:bottom w:val="nil"/>
              <w:right w:val="nil"/>
            </w:tcBorders>
            <w:shd w:val="clear" w:color="auto" w:fill="auto"/>
            <w:noWrap/>
            <w:vAlign w:val="center"/>
          </w:tcPr>
          <w:p w14:paraId="5BF1771D" w14:textId="77777777" w:rsidR="004D46B8" w:rsidRPr="00894292" w:rsidRDefault="004D46B8" w:rsidP="000F69BD">
            <w:pPr>
              <w:spacing w:after="0" w:line="240" w:lineRule="auto"/>
              <w:rPr>
                <w:rFonts w:asciiTheme="majorHAnsi" w:eastAsia="Times New Roman" w:hAnsiTheme="majorHAnsi" w:cstheme="majorHAnsi"/>
                <w:color w:val="000000"/>
                <w:sz w:val="18"/>
                <w:szCs w:val="18"/>
                <w:lang w:eastAsia="en-AU"/>
              </w:rPr>
            </w:pPr>
          </w:p>
        </w:tc>
        <w:tc>
          <w:tcPr>
            <w:tcW w:w="2676" w:type="dxa"/>
            <w:tcBorders>
              <w:top w:val="nil"/>
              <w:left w:val="nil"/>
              <w:bottom w:val="nil"/>
              <w:right w:val="nil"/>
            </w:tcBorders>
            <w:shd w:val="clear" w:color="auto" w:fill="auto"/>
            <w:noWrap/>
            <w:vAlign w:val="center"/>
          </w:tcPr>
          <w:p w14:paraId="597386D9" w14:textId="77777777" w:rsidR="004D46B8" w:rsidRPr="00894292" w:rsidRDefault="004D46B8" w:rsidP="000F69BD">
            <w:pPr>
              <w:spacing w:after="0" w:line="240" w:lineRule="auto"/>
              <w:rPr>
                <w:rFonts w:asciiTheme="majorHAnsi" w:eastAsia="Times New Roman" w:hAnsiTheme="majorHAnsi" w:cstheme="majorHAnsi"/>
                <w:color w:val="000000"/>
                <w:sz w:val="18"/>
                <w:szCs w:val="18"/>
                <w:lang w:eastAsia="en-AU"/>
              </w:rPr>
            </w:pPr>
            <w:r w:rsidRPr="00894292">
              <w:rPr>
                <w:rFonts w:asciiTheme="majorHAnsi" w:eastAsia="Times New Roman" w:hAnsiTheme="majorHAnsi" w:cstheme="majorHAnsi"/>
                <w:color w:val="000000"/>
                <w:sz w:val="18"/>
                <w:szCs w:val="18"/>
                <w:lang w:eastAsia="en-AU"/>
              </w:rPr>
              <w:t>Non-Ferrous Metals - Copper</w:t>
            </w:r>
          </w:p>
        </w:tc>
        <w:tc>
          <w:tcPr>
            <w:tcW w:w="1410" w:type="dxa"/>
            <w:tcBorders>
              <w:top w:val="nil"/>
              <w:left w:val="nil"/>
              <w:bottom w:val="nil"/>
              <w:right w:val="nil"/>
            </w:tcBorders>
            <w:shd w:val="clear" w:color="auto" w:fill="auto"/>
            <w:noWrap/>
          </w:tcPr>
          <w:p w14:paraId="40092194" w14:textId="77777777" w:rsidR="004D46B8" w:rsidRPr="00894292"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4,276</w:t>
            </w:r>
          </w:p>
        </w:tc>
        <w:tc>
          <w:tcPr>
            <w:tcW w:w="1027" w:type="dxa"/>
            <w:tcBorders>
              <w:top w:val="nil"/>
              <w:left w:val="nil"/>
              <w:bottom w:val="nil"/>
              <w:right w:val="nil"/>
            </w:tcBorders>
            <w:shd w:val="clear" w:color="auto" w:fill="auto"/>
            <w:noWrap/>
          </w:tcPr>
          <w:p w14:paraId="3959F013" w14:textId="77777777" w:rsidR="004D46B8" w:rsidRPr="00894292"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0.0%</w:t>
            </w:r>
          </w:p>
        </w:tc>
        <w:tc>
          <w:tcPr>
            <w:tcW w:w="706" w:type="dxa"/>
            <w:tcBorders>
              <w:top w:val="nil"/>
              <w:left w:val="nil"/>
              <w:bottom w:val="nil"/>
              <w:right w:val="nil"/>
            </w:tcBorders>
            <w:shd w:val="clear" w:color="auto" w:fill="auto"/>
            <w:noWrap/>
          </w:tcPr>
          <w:p w14:paraId="4A5BE36A" w14:textId="77777777" w:rsidR="004D46B8" w:rsidRPr="00894292" w:rsidRDefault="004D46B8" w:rsidP="000F69BD">
            <w:pPr>
              <w:spacing w:after="0" w:line="240" w:lineRule="auto"/>
              <w:jc w:val="center"/>
              <w:rPr>
                <w:rFonts w:asciiTheme="majorHAnsi" w:eastAsia="Times New Roman" w:hAnsiTheme="majorHAnsi" w:cstheme="majorHAnsi"/>
                <w:color w:val="000000"/>
                <w:sz w:val="18"/>
                <w:szCs w:val="18"/>
                <w:lang w:eastAsia="en-AU"/>
              </w:rPr>
            </w:pPr>
            <w:r w:rsidRPr="00894292">
              <w:rPr>
                <w:rFonts w:asciiTheme="majorHAnsi" w:eastAsia="Times New Roman" w:hAnsiTheme="majorHAnsi" w:cstheme="majorHAnsi"/>
                <w:color w:val="000000"/>
                <w:sz w:val="18"/>
                <w:szCs w:val="18"/>
                <w:lang w:eastAsia="en-AU"/>
              </w:rPr>
              <w:t>-</w:t>
            </w:r>
          </w:p>
        </w:tc>
        <w:tc>
          <w:tcPr>
            <w:tcW w:w="1844" w:type="dxa"/>
            <w:tcBorders>
              <w:top w:val="nil"/>
              <w:left w:val="nil"/>
              <w:bottom w:val="nil"/>
              <w:right w:val="nil"/>
            </w:tcBorders>
            <w:shd w:val="clear" w:color="auto" w:fill="auto"/>
            <w:noWrap/>
          </w:tcPr>
          <w:p w14:paraId="42304388" w14:textId="77777777" w:rsidR="004D46B8" w:rsidRPr="00894292" w:rsidRDefault="004D46B8" w:rsidP="000F69BD">
            <w:pPr>
              <w:spacing w:after="0" w:line="240" w:lineRule="auto"/>
              <w:jc w:val="center"/>
              <w:rPr>
                <w:rFonts w:asciiTheme="majorHAnsi" w:eastAsia="Times New Roman" w:hAnsiTheme="majorHAnsi" w:cstheme="majorHAnsi"/>
                <w:color w:val="000000"/>
                <w:sz w:val="18"/>
                <w:szCs w:val="18"/>
                <w:lang w:eastAsia="en-AU"/>
              </w:rPr>
            </w:pPr>
            <w:r w:rsidRPr="00894292">
              <w:rPr>
                <w:rFonts w:asciiTheme="majorHAnsi" w:eastAsia="Times New Roman" w:hAnsiTheme="majorHAnsi" w:cstheme="majorHAnsi"/>
                <w:color w:val="000000"/>
                <w:sz w:val="18"/>
                <w:szCs w:val="18"/>
                <w:lang w:eastAsia="en-AU"/>
              </w:rPr>
              <w:t>-</w:t>
            </w:r>
          </w:p>
        </w:tc>
        <w:tc>
          <w:tcPr>
            <w:tcW w:w="1334" w:type="dxa"/>
            <w:tcBorders>
              <w:top w:val="nil"/>
              <w:left w:val="nil"/>
              <w:bottom w:val="nil"/>
              <w:right w:val="nil"/>
            </w:tcBorders>
            <w:shd w:val="clear" w:color="auto" w:fill="auto"/>
            <w:noWrap/>
          </w:tcPr>
          <w:p w14:paraId="509B9312" w14:textId="77777777" w:rsidR="004D46B8" w:rsidRPr="00894292"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214</w:t>
            </w:r>
          </w:p>
        </w:tc>
      </w:tr>
      <w:tr w:rsidR="004D46B8" w:rsidRPr="00894292" w14:paraId="25E0E6BF" w14:textId="77777777" w:rsidTr="005976E5">
        <w:trPr>
          <w:gridAfter w:val="1"/>
          <w:wAfter w:w="7" w:type="dxa"/>
        </w:trPr>
        <w:tc>
          <w:tcPr>
            <w:tcW w:w="705" w:type="dxa"/>
            <w:tcBorders>
              <w:top w:val="nil"/>
              <w:left w:val="nil"/>
              <w:bottom w:val="nil"/>
              <w:right w:val="nil"/>
            </w:tcBorders>
            <w:shd w:val="clear" w:color="auto" w:fill="auto"/>
            <w:noWrap/>
            <w:vAlign w:val="center"/>
          </w:tcPr>
          <w:p w14:paraId="0FFA7024" w14:textId="77777777" w:rsidR="004D46B8" w:rsidRPr="00894292" w:rsidRDefault="004D46B8" w:rsidP="000F69BD">
            <w:pPr>
              <w:spacing w:after="0" w:line="240" w:lineRule="auto"/>
              <w:rPr>
                <w:rFonts w:asciiTheme="majorHAnsi" w:eastAsia="Times New Roman" w:hAnsiTheme="majorHAnsi" w:cstheme="majorHAnsi"/>
                <w:color w:val="000000"/>
                <w:sz w:val="18"/>
                <w:szCs w:val="18"/>
                <w:lang w:eastAsia="en-AU"/>
              </w:rPr>
            </w:pPr>
            <w:r w:rsidRPr="00894292">
              <w:rPr>
                <w:rFonts w:asciiTheme="majorHAnsi" w:eastAsia="Times New Roman" w:hAnsiTheme="majorHAnsi" w:cstheme="majorHAnsi"/>
                <w:color w:val="000000"/>
                <w:sz w:val="18"/>
                <w:szCs w:val="18"/>
                <w:lang w:eastAsia="en-AU"/>
              </w:rPr>
              <w:t>CH75</w:t>
            </w:r>
          </w:p>
        </w:tc>
        <w:tc>
          <w:tcPr>
            <w:tcW w:w="706" w:type="dxa"/>
            <w:tcBorders>
              <w:top w:val="nil"/>
              <w:left w:val="nil"/>
              <w:bottom w:val="nil"/>
              <w:right w:val="nil"/>
            </w:tcBorders>
            <w:shd w:val="clear" w:color="auto" w:fill="auto"/>
            <w:noWrap/>
            <w:vAlign w:val="center"/>
          </w:tcPr>
          <w:p w14:paraId="15ACC110" w14:textId="77777777" w:rsidR="004D46B8" w:rsidRPr="00894292" w:rsidRDefault="004D46B8" w:rsidP="000F69BD">
            <w:pPr>
              <w:spacing w:after="0" w:line="240" w:lineRule="auto"/>
              <w:rPr>
                <w:rFonts w:asciiTheme="majorHAnsi" w:eastAsia="Times New Roman" w:hAnsiTheme="majorHAnsi" w:cstheme="majorHAnsi"/>
                <w:color w:val="000000"/>
                <w:sz w:val="18"/>
                <w:szCs w:val="18"/>
                <w:lang w:eastAsia="en-AU"/>
              </w:rPr>
            </w:pPr>
          </w:p>
        </w:tc>
        <w:tc>
          <w:tcPr>
            <w:tcW w:w="2676" w:type="dxa"/>
            <w:tcBorders>
              <w:top w:val="nil"/>
              <w:left w:val="nil"/>
              <w:bottom w:val="nil"/>
              <w:right w:val="nil"/>
            </w:tcBorders>
            <w:shd w:val="clear" w:color="auto" w:fill="auto"/>
            <w:noWrap/>
            <w:vAlign w:val="center"/>
          </w:tcPr>
          <w:p w14:paraId="1F774E31" w14:textId="77777777" w:rsidR="004D46B8" w:rsidRPr="00894292" w:rsidRDefault="004D46B8" w:rsidP="000F69BD">
            <w:pPr>
              <w:spacing w:after="0" w:line="240" w:lineRule="auto"/>
              <w:rPr>
                <w:rFonts w:asciiTheme="majorHAnsi" w:eastAsia="Times New Roman" w:hAnsiTheme="majorHAnsi" w:cstheme="majorHAnsi"/>
                <w:color w:val="000000"/>
                <w:sz w:val="18"/>
                <w:szCs w:val="18"/>
                <w:lang w:eastAsia="en-AU"/>
              </w:rPr>
            </w:pPr>
            <w:r w:rsidRPr="00894292">
              <w:rPr>
                <w:rFonts w:asciiTheme="majorHAnsi" w:eastAsia="Times New Roman" w:hAnsiTheme="majorHAnsi" w:cstheme="majorHAnsi"/>
                <w:color w:val="000000"/>
                <w:sz w:val="18"/>
                <w:szCs w:val="18"/>
                <w:lang w:eastAsia="en-AU"/>
              </w:rPr>
              <w:t>Non-Ferrous Metals - Nickel</w:t>
            </w:r>
          </w:p>
        </w:tc>
        <w:tc>
          <w:tcPr>
            <w:tcW w:w="1410" w:type="dxa"/>
            <w:tcBorders>
              <w:top w:val="nil"/>
              <w:left w:val="nil"/>
              <w:bottom w:val="nil"/>
              <w:right w:val="nil"/>
            </w:tcBorders>
            <w:shd w:val="clear" w:color="auto" w:fill="auto"/>
            <w:noWrap/>
          </w:tcPr>
          <w:p w14:paraId="3EFF7D4D" w14:textId="77777777" w:rsidR="004D46B8" w:rsidRPr="00894292"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46,805,483</w:t>
            </w:r>
          </w:p>
        </w:tc>
        <w:tc>
          <w:tcPr>
            <w:tcW w:w="1027" w:type="dxa"/>
            <w:tcBorders>
              <w:top w:val="nil"/>
              <w:left w:val="nil"/>
              <w:bottom w:val="nil"/>
              <w:right w:val="nil"/>
            </w:tcBorders>
            <w:shd w:val="clear" w:color="auto" w:fill="auto"/>
            <w:noWrap/>
          </w:tcPr>
          <w:p w14:paraId="6A76C218" w14:textId="77777777" w:rsidR="004D46B8" w:rsidRPr="00894292"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7.0%</w:t>
            </w:r>
          </w:p>
        </w:tc>
        <w:tc>
          <w:tcPr>
            <w:tcW w:w="706" w:type="dxa"/>
            <w:tcBorders>
              <w:top w:val="nil"/>
              <w:left w:val="nil"/>
              <w:bottom w:val="nil"/>
              <w:right w:val="nil"/>
            </w:tcBorders>
            <w:shd w:val="clear" w:color="auto" w:fill="auto"/>
            <w:noWrap/>
          </w:tcPr>
          <w:p w14:paraId="69010BBA" w14:textId="77777777" w:rsidR="004D46B8" w:rsidRPr="00894292" w:rsidRDefault="004D46B8" w:rsidP="000F69BD">
            <w:pPr>
              <w:spacing w:after="0" w:line="240" w:lineRule="auto"/>
              <w:jc w:val="center"/>
              <w:rPr>
                <w:rFonts w:asciiTheme="majorHAnsi" w:eastAsia="Times New Roman" w:hAnsiTheme="majorHAnsi" w:cstheme="majorHAnsi"/>
                <w:color w:val="000000"/>
                <w:sz w:val="18"/>
                <w:szCs w:val="18"/>
                <w:lang w:eastAsia="en-AU"/>
              </w:rPr>
            </w:pPr>
            <w:r w:rsidRPr="00894292">
              <w:rPr>
                <w:rFonts w:asciiTheme="majorHAnsi" w:eastAsia="Times New Roman" w:hAnsiTheme="majorHAnsi" w:cstheme="majorHAnsi"/>
                <w:color w:val="000000"/>
                <w:sz w:val="18"/>
                <w:szCs w:val="18"/>
                <w:lang w:eastAsia="en-AU"/>
              </w:rPr>
              <w:t>-</w:t>
            </w:r>
          </w:p>
        </w:tc>
        <w:tc>
          <w:tcPr>
            <w:tcW w:w="1844" w:type="dxa"/>
            <w:tcBorders>
              <w:top w:val="nil"/>
              <w:left w:val="nil"/>
              <w:bottom w:val="nil"/>
              <w:right w:val="nil"/>
            </w:tcBorders>
            <w:shd w:val="clear" w:color="auto" w:fill="auto"/>
            <w:noWrap/>
          </w:tcPr>
          <w:p w14:paraId="682BC5D2" w14:textId="77777777" w:rsidR="004D46B8" w:rsidRPr="00894292" w:rsidRDefault="004D46B8" w:rsidP="000F69BD">
            <w:pPr>
              <w:spacing w:after="0" w:line="240" w:lineRule="auto"/>
              <w:jc w:val="center"/>
              <w:rPr>
                <w:rFonts w:asciiTheme="majorHAnsi" w:eastAsia="Times New Roman" w:hAnsiTheme="majorHAnsi" w:cstheme="majorHAnsi"/>
                <w:color w:val="000000"/>
                <w:sz w:val="18"/>
                <w:szCs w:val="18"/>
                <w:lang w:eastAsia="en-AU"/>
              </w:rPr>
            </w:pPr>
            <w:r w:rsidRPr="00894292">
              <w:rPr>
                <w:rFonts w:asciiTheme="majorHAnsi" w:eastAsia="Times New Roman" w:hAnsiTheme="majorHAnsi" w:cstheme="majorHAnsi"/>
                <w:color w:val="000000"/>
                <w:sz w:val="18"/>
                <w:szCs w:val="18"/>
                <w:lang w:eastAsia="en-AU"/>
              </w:rPr>
              <w:t>-</w:t>
            </w:r>
          </w:p>
        </w:tc>
        <w:tc>
          <w:tcPr>
            <w:tcW w:w="1334" w:type="dxa"/>
            <w:tcBorders>
              <w:top w:val="nil"/>
              <w:left w:val="nil"/>
              <w:bottom w:val="nil"/>
              <w:right w:val="nil"/>
            </w:tcBorders>
            <w:shd w:val="clear" w:color="auto" w:fill="auto"/>
            <w:noWrap/>
          </w:tcPr>
          <w:p w14:paraId="7250EEAA" w14:textId="77777777" w:rsidR="004D46B8" w:rsidRPr="00894292"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2,340,274</w:t>
            </w:r>
          </w:p>
        </w:tc>
      </w:tr>
      <w:tr w:rsidR="004D46B8" w:rsidRPr="00894292" w14:paraId="574A9439" w14:textId="77777777" w:rsidTr="005976E5">
        <w:trPr>
          <w:gridAfter w:val="1"/>
          <w:wAfter w:w="7" w:type="dxa"/>
        </w:trPr>
        <w:tc>
          <w:tcPr>
            <w:tcW w:w="705" w:type="dxa"/>
            <w:tcBorders>
              <w:top w:val="nil"/>
              <w:left w:val="nil"/>
              <w:bottom w:val="nil"/>
              <w:right w:val="nil"/>
            </w:tcBorders>
            <w:shd w:val="clear" w:color="auto" w:fill="auto"/>
            <w:noWrap/>
            <w:vAlign w:val="center"/>
          </w:tcPr>
          <w:p w14:paraId="4000F1F2" w14:textId="77777777" w:rsidR="004D46B8" w:rsidRPr="00894292" w:rsidRDefault="004D46B8" w:rsidP="000F69BD">
            <w:pPr>
              <w:spacing w:after="0" w:line="240" w:lineRule="auto"/>
              <w:rPr>
                <w:rFonts w:asciiTheme="majorHAnsi" w:eastAsia="Times New Roman" w:hAnsiTheme="majorHAnsi" w:cstheme="majorHAnsi"/>
                <w:color w:val="000000"/>
                <w:sz w:val="18"/>
                <w:szCs w:val="18"/>
                <w:lang w:eastAsia="en-AU"/>
              </w:rPr>
            </w:pPr>
            <w:r w:rsidRPr="00894292">
              <w:rPr>
                <w:rFonts w:asciiTheme="majorHAnsi" w:eastAsia="Times New Roman" w:hAnsiTheme="majorHAnsi" w:cstheme="majorHAnsi"/>
                <w:color w:val="000000"/>
                <w:sz w:val="18"/>
                <w:szCs w:val="18"/>
                <w:lang w:eastAsia="en-AU"/>
              </w:rPr>
              <w:t>CH76</w:t>
            </w:r>
          </w:p>
        </w:tc>
        <w:tc>
          <w:tcPr>
            <w:tcW w:w="706" w:type="dxa"/>
            <w:tcBorders>
              <w:top w:val="nil"/>
              <w:left w:val="nil"/>
              <w:bottom w:val="nil"/>
              <w:right w:val="nil"/>
            </w:tcBorders>
            <w:shd w:val="clear" w:color="auto" w:fill="auto"/>
            <w:noWrap/>
            <w:vAlign w:val="center"/>
          </w:tcPr>
          <w:p w14:paraId="7F4EB278" w14:textId="77777777" w:rsidR="004D46B8" w:rsidRPr="00894292" w:rsidRDefault="004D46B8" w:rsidP="000F69BD">
            <w:pPr>
              <w:spacing w:after="0" w:line="240" w:lineRule="auto"/>
              <w:rPr>
                <w:rFonts w:asciiTheme="majorHAnsi" w:eastAsia="Times New Roman" w:hAnsiTheme="majorHAnsi" w:cstheme="majorHAnsi"/>
                <w:color w:val="000000"/>
                <w:sz w:val="18"/>
                <w:szCs w:val="18"/>
                <w:lang w:eastAsia="en-AU"/>
              </w:rPr>
            </w:pPr>
          </w:p>
        </w:tc>
        <w:tc>
          <w:tcPr>
            <w:tcW w:w="2676" w:type="dxa"/>
            <w:tcBorders>
              <w:top w:val="nil"/>
              <w:left w:val="nil"/>
              <w:bottom w:val="nil"/>
              <w:right w:val="nil"/>
            </w:tcBorders>
            <w:shd w:val="clear" w:color="auto" w:fill="auto"/>
            <w:noWrap/>
            <w:vAlign w:val="center"/>
          </w:tcPr>
          <w:p w14:paraId="09219278" w14:textId="77777777" w:rsidR="004D46B8" w:rsidRPr="00894292" w:rsidRDefault="004D46B8" w:rsidP="000F69BD">
            <w:pPr>
              <w:spacing w:after="0" w:line="240" w:lineRule="auto"/>
              <w:rPr>
                <w:rFonts w:asciiTheme="majorHAnsi" w:eastAsia="Times New Roman" w:hAnsiTheme="majorHAnsi" w:cstheme="majorHAnsi"/>
                <w:color w:val="000000"/>
                <w:sz w:val="18"/>
                <w:szCs w:val="18"/>
                <w:lang w:eastAsia="en-AU"/>
              </w:rPr>
            </w:pPr>
            <w:r w:rsidRPr="00894292">
              <w:rPr>
                <w:rFonts w:asciiTheme="majorHAnsi" w:eastAsia="Times New Roman" w:hAnsiTheme="majorHAnsi" w:cstheme="majorHAnsi"/>
                <w:color w:val="000000"/>
                <w:sz w:val="18"/>
                <w:szCs w:val="18"/>
                <w:lang w:eastAsia="en-AU"/>
              </w:rPr>
              <w:t>Non-Ferrous Metals - Aluminium</w:t>
            </w:r>
          </w:p>
        </w:tc>
        <w:tc>
          <w:tcPr>
            <w:tcW w:w="1410" w:type="dxa"/>
            <w:tcBorders>
              <w:top w:val="nil"/>
              <w:left w:val="nil"/>
              <w:bottom w:val="nil"/>
              <w:right w:val="nil"/>
            </w:tcBorders>
            <w:shd w:val="clear" w:color="auto" w:fill="auto"/>
            <w:noWrap/>
          </w:tcPr>
          <w:p w14:paraId="67FCB638" w14:textId="77777777" w:rsidR="004D46B8" w:rsidRPr="00894292"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14,061,631</w:t>
            </w:r>
          </w:p>
        </w:tc>
        <w:tc>
          <w:tcPr>
            <w:tcW w:w="1027" w:type="dxa"/>
            <w:tcBorders>
              <w:top w:val="nil"/>
              <w:left w:val="nil"/>
              <w:bottom w:val="nil"/>
              <w:right w:val="nil"/>
            </w:tcBorders>
            <w:shd w:val="clear" w:color="auto" w:fill="auto"/>
            <w:noWrap/>
          </w:tcPr>
          <w:p w14:paraId="64E77E20" w14:textId="77777777" w:rsidR="004D46B8" w:rsidRPr="00894292"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1.7%</w:t>
            </w:r>
          </w:p>
        </w:tc>
        <w:tc>
          <w:tcPr>
            <w:tcW w:w="706" w:type="dxa"/>
            <w:tcBorders>
              <w:top w:val="nil"/>
              <w:left w:val="nil"/>
              <w:bottom w:val="nil"/>
              <w:right w:val="nil"/>
            </w:tcBorders>
            <w:shd w:val="clear" w:color="auto" w:fill="auto"/>
            <w:noWrap/>
          </w:tcPr>
          <w:p w14:paraId="1FDE6E2A" w14:textId="77777777" w:rsidR="004D46B8" w:rsidRPr="00894292" w:rsidRDefault="004D46B8" w:rsidP="000F69BD">
            <w:pPr>
              <w:spacing w:after="0" w:line="240" w:lineRule="auto"/>
              <w:jc w:val="center"/>
              <w:rPr>
                <w:rFonts w:asciiTheme="majorHAnsi" w:eastAsia="Times New Roman" w:hAnsiTheme="majorHAnsi" w:cstheme="majorHAnsi"/>
                <w:color w:val="000000"/>
                <w:sz w:val="18"/>
                <w:szCs w:val="18"/>
                <w:lang w:eastAsia="en-AU"/>
              </w:rPr>
            </w:pPr>
            <w:r w:rsidRPr="00894292">
              <w:rPr>
                <w:rFonts w:asciiTheme="majorHAnsi" w:eastAsia="Times New Roman" w:hAnsiTheme="majorHAnsi" w:cstheme="majorHAnsi"/>
                <w:color w:val="000000"/>
                <w:sz w:val="18"/>
                <w:szCs w:val="18"/>
                <w:lang w:eastAsia="en-AU"/>
              </w:rPr>
              <w:t>-</w:t>
            </w:r>
          </w:p>
        </w:tc>
        <w:tc>
          <w:tcPr>
            <w:tcW w:w="1844" w:type="dxa"/>
            <w:tcBorders>
              <w:top w:val="nil"/>
              <w:left w:val="nil"/>
              <w:bottom w:val="nil"/>
              <w:right w:val="nil"/>
            </w:tcBorders>
            <w:shd w:val="clear" w:color="auto" w:fill="auto"/>
            <w:noWrap/>
          </w:tcPr>
          <w:p w14:paraId="3335013F" w14:textId="77777777" w:rsidR="004D46B8" w:rsidRPr="00894292" w:rsidRDefault="004D46B8" w:rsidP="000F69BD">
            <w:pPr>
              <w:spacing w:after="0" w:line="240" w:lineRule="auto"/>
              <w:jc w:val="center"/>
              <w:rPr>
                <w:rFonts w:asciiTheme="majorHAnsi" w:eastAsia="Times New Roman" w:hAnsiTheme="majorHAnsi" w:cstheme="majorHAnsi"/>
                <w:color w:val="000000"/>
                <w:sz w:val="18"/>
                <w:szCs w:val="18"/>
                <w:lang w:eastAsia="en-AU"/>
              </w:rPr>
            </w:pPr>
            <w:r w:rsidRPr="00894292">
              <w:rPr>
                <w:rFonts w:asciiTheme="majorHAnsi" w:eastAsia="Times New Roman" w:hAnsiTheme="majorHAnsi" w:cstheme="majorHAnsi"/>
                <w:color w:val="000000"/>
                <w:sz w:val="18"/>
                <w:szCs w:val="18"/>
                <w:lang w:eastAsia="en-AU"/>
              </w:rPr>
              <w:t>-</w:t>
            </w:r>
          </w:p>
        </w:tc>
        <w:tc>
          <w:tcPr>
            <w:tcW w:w="1334" w:type="dxa"/>
            <w:tcBorders>
              <w:top w:val="nil"/>
              <w:left w:val="nil"/>
              <w:bottom w:val="nil"/>
              <w:right w:val="nil"/>
            </w:tcBorders>
            <w:shd w:val="clear" w:color="auto" w:fill="auto"/>
            <w:noWrap/>
          </w:tcPr>
          <w:p w14:paraId="137DAC60" w14:textId="77777777" w:rsidR="004D46B8" w:rsidRPr="00894292"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1,054,622</w:t>
            </w:r>
          </w:p>
        </w:tc>
      </w:tr>
      <w:tr w:rsidR="004D46B8" w:rsidRPr="00894292" w14:paraId="2F8E82C9" w14:textId="77777777" w:rsidTr="005976E5">
        <w:trPr>
          <w:gridAfter w:val="1"/>
          <w:wAfter w:w="7" w:type="dxa"/>
        </w:trPr>
        <w:tc>
          <w:tcPr>
            <w:tcW w:w="705" w:type="dxa"/>
            <w:tcBorders>
              <w:top w:val="nil"/>
              <w:left w:val="nil"/>
              <w:bottom w:val="nil"/>
              <w:right w:val="nil"/>
            </w:tcBorders>
            <w:shd w:val="clear" w:color="auto" w:fill="auto"/>
            <w:noWrap/>
            <w:vAlign w:val="center"/>
          </w:tcPr>
          <w:p w14:paraId="63253522" w14:textId="77777777" w:rsidR="004D46B8" w:rsidRPr="00894292" w:rsidRDefault="004D46B8" w:rsidP="000F69BD">
            <w:pPr>
              <w:spacing w:after="0" w:line="240" w:lineRule="auto"/>
              <w:rPr>
                <w:rFonts w:asciiTheme="majorHAnsi" w:eastAsia="Times New Roman" w:hAnsiTheme="majorHAnsi" w:cstheme="majorHAnsi"/>
                <w:color w:val="000000"/>
                <w:sz w:val="18"/>
                <w:szCs w:val="18"/>
                <w:lang w:eastAsia="en-AU"/>
              </w:rPr>
            </w:pPr>
            <w:r w:rsidRPr="00894292">
              <w:rPr>
                <w:rFonts w:asciiTheme="majorHAnsi" w:eastAsia="Times New Roman" w:hAnsiTheme="majorHAnsi" w:cstheme="majorHAnsi"/>
                <w:color w:val="000000"/>
                <w:sz w:val="18"/>
                <w:szCs w:val="18"/>
                <w:lang w:eastAsia="en-AU"/>
              </w:rPr>
              <w:t>CH78</w:t>
            </w:r>
          </w:p>
        </w:tc>
        <w:tc>
          <w:tcPr>
            <w:tcW w:w="706" w:type="dxa"/>
            <w:tcBorders>
              <w:top w:val="nil"/>
              <w:left w:val="nil"/>
              <w:bottom w:val="nil"/>
              <w:right w:val="nil"/>
            </w:tcBorders>
            <w:shd w:val="clear" w:color="auto" w:fill="auto"/>
            <w:noWrap/>
            <w:vAlign w:val="center"/>
          </w:tcPr>
          <w:p w14:paraId="25743ECE" w14:textId="77777777" w:rsidR="004D46B8" w:rsidRPr="00894292" w:rsidRDefault="004D46B8" w:rsidP="000F69BD">
            <w:pPr>
              <w:spacing w:after="0" w:line="240" w:lineRule="auto"/>
              <w:rPr>
                <w:rFonts w:asciiTheme="majorHAnsi" w:eastAsia="Times New Roman" w:hAnsiTheme="majorHAnsi" w:cstheme="majorHAnsi"/>
                <w:color w:val="000000"/>
                <w:sz w:val="18"/>
                <w:szCs w:val="18"/>
                <w:lang w:eastAsia="en-AU"/>
              </w:rPr>
            </w:pPr>
          </w:p>
        </w:tc>
        <w:tc>
          <w:tcPr>
            <w:tcW w:w="2676" w:type="dxa"/>
            <w:tcBorders>
              <w:top w:val="nil"/>
              <w:left w:val="nil"/>
              <w:bottom w:val="nil"/>
              <w:right w:val="nil"/>
            </w:tcBorders>
            <w:shd w:val="clear" w:color="auto" w:fill="auto"/>
            <w:noWrap/>
            <w:vAlign w:val="center"/>
          </w:tcPr>
          <w:p w14:paraId="779A3C6D" w14:textId="77777777" w:rsidR="004D46B8" w:rsidRPr="00894292" w:rsidRDefault="004D46B8" w:rsidP="000F69BD">
            <w:pPr>
              <w:spacing w:after="0" w:line="240" w:lineRule="auto"/>
              <w:rPr>
                <w:rFonts w:asciiTheme="majorHAnsi" w:eastAsia="Times New Roman" w:hAnsiTheme="majorHAnsi" w:cstheme="majorHAnsi"/>
                <w:color w:val="000000"/>
                <w:sz w:val="18"/>
                <w:szCs w:val="18"/>
                <w:lang w:eastAsia="en-AU"/>
              </w:rPr>
            </w:pPr>
            <w:r w:rsidRPr="00894292">
              <w:rPr>
                <w:rFonts w:asciiTheme="majorHAnsi" w:eastAsia="Times New Roman" w:hAnsiTheme="majorHAnsi" w:cstheme="majorHAnsi"/>
                <w:color w:val="000000"/>
                <w:sz w:val="18"/>
                <w:szCs w:val="18"/>
                <w:lang w:eastAsia="en-AU"/>
              </w:rPr>
              <w:t>Non-Ferrous Metals - Lead</w:t>
            </w:r>
          </w:p>
        </w:tc>
        <w:tc>
          <w:tcPr>
            <w:tcW w:w="1410" w:type="dxa"/>
            <w:tcBorders>
              <w:top w:val="nil"/>
              <w:left w:val="nil"/>
              <w:bottom w:val="nil"/>
              <w:right w:val="nil"/>
            </w:tcBorders>
            <w:shd w:val="clear" w:color="auto" w:fill="auto"/>
            <w:noWrap/>
          </w:tcPr>
          <w:p w14:paraId="730D0865" w14:textId="77777777" w:rsidR="004D46B8" w:rsidRPr="00894292"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87,690,364</w:t>
            </w:r>
          </w:p>
        </w:tc>
        <w:tc>
          <w:tcPr>
            <w:tcW w:w="1027" w:type="dxa"/>
            <w:tcBorders>
              <w:top w:val="nil"/>
              <w:left w:val="nil"/>
              <w:bottom w:val="nil"/>
              <w:right w:val="nil"/>
            </w:tcBorders>
            <w:shd w:val="clear" w:color="auto" w:fill="auto"/>
            <w:noWrap/>
          </w:tcPr>
          <w:p w14:paraId="560812FC" w14:textId="77777777" w:rsidR="004D46B8" w:rsidRPr="00894292"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11.5%</w:t>
            </w:r>
          </w:p>
        </w:tc>
        <w:tc>
          <w:tcPr>
            <w:tcW w:w="706" w:type="dxa"/>
            <w:tcBorders>
              <w:top w:val="nil"/>
              <w:left w:val="nil"/>
              <w:bottom w:val="nil"/>
              <w:right w:val="nil"/>
            </w:tcBorders>
            <w:shd w:val="clear" w:color="auto" w:fill="auto"/>
            <w:noWrap/>
          </w:tcPr>
          <w:p w14:paraId="0ECD36F9" w14:textId="77777777" w:rsidR="004D46B8" w:rsidRPr="00894292" w:rsidRDefault="004D46B8" w:rsidP="000F69BD">
            <w:pPr>
              <w:spacing w:after="0" w:line="240" w:lineRule="auto"/>
              <w:jc w:val="center"/>
              <w:rPr>
                <w:rFonts w:asciiTheme="majorHAnsi" w:eastAsia="Times New Roman" w:hAnsiTheme="majorHAnsi" w:cstheme="majorHAnsi"/>
                <w:color w:val="000000"/>
                <w:sz w:val="18"/>
                <w:szCs w:val="18"/>
                <w:lang w:eastAsia="en-AU"/>
              </w:rPr>
            </w:pPr>
            <w:r w:rsidRPr="00894292">
              <w:rPr>
                <w:rFonts w:asciiTheme="majorHAnsi" w:eastAsia="Times New Roman" w:hAnsiTheme="majorHAnsi" w:cstheme="majorHAnsi"/>
                <w:color w:val="000000"/>
                <w:sz w:val="18"/>
                <w:szCs w:val="18"/>
                <w:lang w:eastAsia="en-AU"/>
              </w:rPr>
              <w:t>-</w:t>
            </w:r>
          </w:p>
        </w:tc>
        <w:tc>
          <w:tcPr>
            <w:tcW w:w="1844" w:type="dxa"/>
            <w:tcBorders>
              <w:top w:val="nil"/>
              <w:left w:val="nil"/>
              <w:bottom w:val="nil"/>
              <w:right w:val="nil"/>
            </w:tcBorders>
            <w:shd w:val="clear" w:color="auto" w:fill="auto"/>
            <w:noWrap/>
          </w:tcPr>
          <w:p w14:paraId="71C2B7BC" w14:textId="77777777" w:rsidR="004D46B8" w:rsidRPr="00894292" w:rsidRDefault="004D46B8" w:rsidP="000F69BD">
            <w:pPr>
              <w:spacing w:after="0" w:line="240" w:lineRule="auto"/>
              <w:jc w:val="center"/>
              <w:rPr>
                <w:rFonts w:asciiTheme="majorHAnsi" w:eastAsia="Times New Roman" w:hAnsiTheme="majorHAnsi" w:cstheme="majorHAnsi"/>
                <w:color w:val="000000"/>
                <w:sz w:val="18"/>
                <w:szCs w:val="18"/>
                <w:lang w:eastAsia="en-AU"/>
              </w:rPr>
            </w:pPr>
            <w:r w:rsidRPr="00894292">
              <w:rPr>
                <w:rFonts w:asciiTheme="majorHAnsi" w:eastAsia="Times New Roman" w:hAnsiTheme="majorHAnsi" w:cstheme="majorHAnsi"/>
                <w:color w:val="000000"/>
                <w:sz w:val="18"/>
                <w:szCs w:val="18"/>
                <w:lang w:eastAsia="en-AU"/>
              </w:rPr>
              <w:t>-</w:t>
            </w:r>
          </w:p>
        </w:tc>
        <w:tc>
          <w:tcPr>
            <w:tcW w:w="1334" w:type="dxa"/>
            <w:tcBorders>
              <w:top w:val="nil"/>
              <w:left w:val="nil"/>
              <w:bottom w:val="nil"/>
              <w:right w:val="nil"/>
            </w:tcBorders>
            <w:shd w:val="clear" w:color="auto" w:fill="auto"/>
            <w:noWrap/>
          </w:tcPr>
          <w:p w14:paraId="560F99DC" w14:textId="77777777" w:rsidR="004D46B8" w:rsidRPr="00894292"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4,384,518</w:t>
            </w:r>
          </w:p>
        </w:tc>
      </w:tr>
      <w:tr w:rsidR="004D46B8" w:rsidRPr="00894292" w14:paraId="3E6803C5" w14:textId="77777777" w:rsidTr="005976E5">
        <w:trPr>
          <w:gridAfter w:val="1"/>
          <w:wAfter w:w="7" w:type="dxa"/>
        </w:trPr>
        <w:tc>
          <w:tcPr>
            <w:tcW w:w="705" w:type="dxa"/>
            <w:tcBorders>
              <w:top w:val="nil"/>
              <w:left w:val="nil"/>
              <w:bottom w:val="nil"/>
              <w:right w:val="nil"/>
            </w:tcBorders>
            <w:shd w:val="clear" w:color="auto" w:fill="auto"/>
            <w:noWrap/>
            <w:vAlign w:val="center"/>
          </w:tcPr>
          <w:p w14:paraId="093C2826" w14:textId="77777777" w:rsidR="004D46B8" w:rsidRPr="00894292" w:rsidRDefault="004D46B8" w:rsidP="000F69BD">
            <w:pPr>
              <w:spacing w:after="0" w:line="240" w:lineRule="auto"/>
              <w:rPr>
                <w:rFonts w:asciiTheme="majorHAnsi" w:eastAsia="Times New Roman" w:hAnsiTheme="majorHAnsi" w:cstheme="majorHAnsi"/>
                <w:color w:val="000000"/>
                <w:sz w:val="18"/>
                <w:szCs w:val="18"/>
                <w:lang w:eastAsia="en-AU"/>
              </w:rPr>
            </w:pPr>
            <w:r w:rsidRPr="00894292">
              <w:rPr>
                <w:rFonts w:asciiTheme="majorHAnsi" w:eastAsia="Times New Roman" w:hAnsiTheme="majorHAnsi" w:cstheme="majorHAnsi"/>
                <w:color w:val="000000"/>
                <w:sz w:val="18"/>
                <w:szCs w:val="18"/>
                <w:lang w:eastAsia="en-AU"/>
              </w:rPr>
              <w:t>CH79</w:t>
            </w:r>
          </w:p>
        </w:tc>
        <w:tc>
          <w:tcPr>
            <w:tcW w:w="706" w:type="dxa"/>
            <w:tcBorders>
              <w:top w:val="nil"/>
              <w:left w:val="nil"/>
              <w:bottom w:val="nil"/>
              <w:right w:val="nil"/>
            </w:tcBorders>
            <w:shd w:val="clear" w:color="auto" w:fill="auto"/>
            <w:noWrap/>
            <w:vAlign w:val="center"/>
          </w:tcPr>
          <w:p w14:paraId="63DCE616" w14:textId="77777777" w:rsidR="004D46B8" w:rsidRPr="00894292" w:rsidRDefault="004D46B8" w:rsidP="000F69BD">
            <w:pPr>
              <w:spacing w:after="0" w:line="240" w:lineRule="auto"/>
              <w:rPr>
                <w:rFonts w:asciiTheme="majorHAnsi" w:eastAsia="Times New Roman" w:hAnsiTheme="majorHAnsi" w:cstheme="majorHAnsi"/>
                <w:color w:val="000000"/>
                <w:sz w:val="18"/>
                <w:szCs w:val="18"/>
                <w:lang w:eastAsia="en-AU"/>
              </w:rPr>
            </w:pPr>
          </w:p>
        </w:tc>
        <w:tc>
          <w:tcPr>
            <w:tcW w:w="2676" w:type="dxa"/>
            <w:tcBorders>
              <w:top w:val="nil"/>
              <w:left w:val="nil"/>
              <w:bottom w:val="nil"/>
              <w:right w:val="nil"/>
            </w:tcBorders>
            <w:shd w:val="clear" w:color="auto" w:fill="auto"/>
            <w:noWrap/>
            <w:vAlign w:val="center"/>
          </w:tcPr>
          <w:p w14:paraId="2C73C13F" w14:textId="77777777" w:rsidR="004D46B8" w:rsidRPr="00894292" w:rsidRDefault="004D46B8" w:rsidP="000F69BD">
            <w:pPr>
              <w:spacing w:after="0" w:line="240" w:lineRule="auto"/>
              <w:rPr>
                <w:rFonts w:asciiTheme="majorHAnsi" w:eastAsia="Times New Roman" w:hAnsiTheme="majorHAnsi" w:cstheme="majorHAnsi"/>
                <w:color w:val="000000"/>
                <w:sz w:val="18"/>
                <w:szCs w:val="18"/>
                <w:lang w:eastAsia="en-AU"/>
              </w:rPr>
            </w:pPr>
            <w:r w:rsidRPr="00894292">
              <w:rPr>
                <w:rFonts w:asciiTheme="majorHAnsi" w:eastAsia="Times New Roman" w:hAnsiTheme="majorHAnsi" w:cstheme="majorHAnsi"/>
                <w:color w:val="000000"/>
                <w:sz w:val="18"/>
                <w:szCs w:val="18"/>
                <w:lang w:eastAsia="en-AU"/>
              </w:rPr>
              <w:t>Non-Ferrous Metals - Zinc</w:t>
            </w:r>
          </w:p>
        </w:tc>
        <w:tc>
          <w:tcPr>
            <w:tcW w:w="1410" w:type="dxa"/>
            <w:tcBorders>
              <w:top w:val="nil"/>
              <w:left w:val="nil"/>
              <w:bottom w:val="nil"/>
              <w:right w:val="nil"/>
            </w:tcBorders>
            <w:shd w:val="clear" w:color="auto" w:fill="auto"/>
            <w:noWrap/>
          </w:tcPr>
          <w:p w14:paraId="6FC94CE6" w14:textId="77777777" w:rsidR="004D46B8" w:rsidRPr="00284549"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28,672,359</w:t>
            </w:r>
          </w:p>
        </w:tc>
        <w:tc>
          <w:tcPr>
            <w:tcW w:w="1027" w:type="dxa"/>
            <w:tcBorders>
              <w:top w:val="nil"/>
              <w:left w:val="nil"/>
              <w:bottom w:val="nil"/>
              <w:right w:val="nil"/>
            </w:tcBorders>
            <w:shd w:val="clear" w:color="auto" w:fill="auto"/>
            <w:noWrap/>
          </w:tcPr>
          <w:p w14:paraId="18980A8B" w14:textId="77777777" w:rsidR="004D46B8" w:rsidRPr="00894292"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4.4%</w:t>
            </w:r>
          </w:p>
        </w:tc>
        <w:tc>
          <w:tcPr>
            <w:tcW w:w="706" w:type="dxa"/>
            <w:tcBorders>
              <w:top w:val="nil"/>
              <w:left w:val="nil"/>
              <w:bottom w:val="nil"/>
              <w:right w:val="nil"/>
            </w:tcBorders>
            <w:shd w:val="clear" w:color="auto" w:fill="auto"/>
            <w:noWrap/>
          </w:tcPr>
          <w:p w14:paraId="1BD93B0F" w14:textId="77777777" w:rsidR="004D46B8" w:rsidRPr="00894292" w:rsidRDefault="004D46B8" w:rsidP="000F69BD">
            <w:pPr>
              <w:spacing w:after="0" w:line="240" w:lineRule="auto"/>
              <w:jc w:val="center"/>
              <w:rPr>
                <w:rFonts w:asciiTheme="majorHAnsi" w:eastAsia="Times New Roman" w:hAnsiTheme="majorHAnsi" w:cstheme="majorHAnsi"/>
                <w:color w:val="000000"/>
                <w:sz w:val="18"/>
                <w:szCs w:val="18"/>
                <w:lang w:eastAsia="en-AU"/>
              </w:rPr>
            </w:pPr>
            <w:r w:rsidRPr="00894292">
              <w:rPr>
                <w:rFonts w:asciiTheme="majorHAnsi" w:eastAsia="Times New Roman" w:hAnsiTheme="majorHAnsi" w:cstheme="majorHAnsi"/>
                <w:color w:val="000000"/>
                <w:sz w:val="18"/>
                <w:szCs w:val="18"/>
                <w:lang w:eastAsia="en-AU"/>
              </w:rPr>
              <w:t>-</w:t>
            </w:r>
          </w:p>
        </w:tc>
        <w:tc>
          <w:tcPr>
            <w:tcW w:w="1844" w:type="dxa"/>
            <w:tcBorders>
              <w:top w:val="nil"/>
              <w:left w:val="nil"/>
              <w:bottom w:val="nil"/>
              <w:right w:val="nil"/>
            </w:tcBorders>
            <w:shd w:val="clear" w:color="auto" w:fill="auto"/>
            <w:noWrap/>
          </w:tcPr>
          <w:p w14:paraId="77BB69A4" w14:textId="77777777" w:rsidR="004D46B8" w:rsidRPr="00894292" w:rsidRDefault="004D46B8" w:rsidP="000F69BD">
            <w:pPr>
              <w:spacing w:after="0" w:line="240" w:lineRule="auto"/>
              <w:jc w:val="center"/>
              <w:rPr>
                <w:rFonts w:asciiTheme="majorHAnsi" w:eastAsia="Times New Roman" w:hAnsiTheme="majorHAnsi" w:cstheme="majorHAnsi"/>
                <w:color w:val="000000"/>
                <w:sz w:val="18"/>
                <w:szCs w:val="18"/>
                <w:lang w:eastAsia="en-AU"/>
              </w:rPr>
            </w:pPr>
            <w:r w:rsidRPr="00894292">
              <w:rPr>
                <w:rFonts w:asciiTheme="majorHAnsi" w:eastAsia="Times New Roman" w:hAnsiTheme="majorHAnsi" w:cstheme="majorHAnsi"/>
                <w:color w:val="000000"/>
                <w:sz w:val="18"/>
                <w:szCs w:val="18"/>
                <w:lang w:eastAsia="en-AU"/>
              </w:rPr>
              <w:t>-</w:t>
            </w:r>
          </w:p>
        </w:tc>
        <w:tc>
          <w:tcPr>
            <w:tcW w:w="1334" w:type="dxa"/>
            <w:tcBorders>
              <w:top w:val="nil"/>
              <w:left w:val="nil"/>
              <w:bottom w:val="nil"/>
              <w:right w:val="nil"/>
            </w:tcBorders>
            <w:shd w:val="clear" w:color="auto" w:fill="auto"/>
            <w:noWrap/>
          </w:tcPr>
          <w:p w14:paraId="6BD0A572" w14:textId="77777777" w:rsidR="004D46B8" w:rsidRPr="00284549"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1,585,883</w:t>
            </w:r>
          </w:p>
        </w:tc>
      </w:tr>
      <w:tr w:rsidR="004D46B8" w:rsidRPr="00894292" w14:paraId="1DDDEB8F" w14:textId="77777777" w:rsidTr="005976E5">
        <w:trPr>
          <w:gridAfter w:val="1"/>
          <w:wAfter w:w="7" w:type="dxa"/>
        </w:trPr>
        <w:tc>
          <w:tcPr>
            <w:tcW w:w="705" w:type="dxa"/>
            <w:tcBorders>
              <w:top w:val="nil"/>
              <w:left w:val="nil"/>
              <w:bottom w:val="single" w:sz="4" w:space="0" w:color="auto"/>
              <w:right w:val="nil"/>
            </w:tcBorders>
            <w:shd w:val="clear" w:color="auto" w:fill="auto"/>
            <w:noWrap/>
            <w:hideMark/>
          </w:tcPr>
          <w:p w14:paraId="3765720F" w14:textId="77777777" w:rsidR="004D46B8" w:rsidRPr="00894292" w:rsidRDefault="004D46B8" w:rsidP="000F69BD">
            <w:pPr>
              <w:spacing w:after="0" w:line="240" w:lineRule="auto"/>
              <w:rPr>
                <w:rFonts w:asciiTheme="majorHAnsi" w:eastAsia="Times New Roman" w:hAnsiTheme="majorHAnsi" w:cstheme="majorHAnsi"/>
                <w:color w:val="000000"/>
                <w:sz w:val="18"/>
                <w:szCs w:val="18"/>
                <w:lang w:eastAsia="en-AU"/>
              </w:rPr>
            </w:pPr>
          </w:p>
        </w:tc>
        <w:tc>
          <w:tcPr>
            <w:tcW w:w="706" w:type="dxa"/>
            <w:tcBorders>
              <w:top w:val="nil"/>
              <w:left w:val="nil"/>
              <w:bottom w:val="single" w:sz="4" w:space="0" w:color="auto"/>
              <w:right w:val="nil"/>
            </w:tcBorders>
            <w:shd w:val="clear" w:color="auto" w:fill="auto"/>
            <w:noWrap/>
            <w:hideMark/>
          </w:tcPr>
          <w:p w14:paraId="49D58CF4" w14:textId="77777777" w:rsidR="004D46B8" w:rsidRPr="00894292" w:rsidRDefault="004D46B8" w:rsidP="000F69BD">
            <w:pPr>
              <w:spacing w:after="0" w:line="240" w:lineRule="auto"/>
              <w:rPr>
                <w:rFonts w:asciiTheme="majorHAnsi" w:eastAsia="Times New Roman" w:hAnsiTheme="majorHAnsi" w:cstheme="majorHAnsi"/>
                <w:color w:val="000000"/>
                <w:sz w:val="18"/>
                <w:szCs w:val="18"/>
                <w:lang w:eastAsia="en-AU"/>
              </w:rPr>
            </w:pPr>
          </w:p>
        </w:tc>
        <w:tc>
          <w:tcPr>
            <w:tcW w:w="2676" w:type="dxa"/>
            <w:tcBorders>
              <w:top w:val="nil"/>
              <w:left w:val="nil"/>
              <w:bottom w:val="single" w:sz="4" w:space="0" w:color="auto"/>
              <w:right w:val="nil"/>
            </w:tcBorders>
            <w:shd w:val="clear" w:color="auto" w:fill="auto"/>
            <w:noWrap/>
            <w:hideMark/>
          </w:tcPr>
          <w:p w14:paraId="208D4EE0" w14:textId="77777777" w:rsidR="004D46B8" w:rsidRPr="00894292" w:rsidRDefault="004D46B8" w:rsidP="000F69BD">
            <w:pPr>
              <w:spacing w:after="0" w:line="240" w:lineRule="auto"/>
              <w:rPr>
                <w:rFonts w:asciiTheme="majorHAnsi" w:eastAsia="Times New Roman" w:hAnsiTheme="majorHAnsi" w:cstheme="majorHAnsi"/>
                <w:color w:val="000000"/>
                <w:sz w:val="18"/>
                <w:szCs w:val="18"/>
                <w:lang w:eastAsia="en-AU"/>
              </w:rPr>
            </w:pPr>
            <w:r w:rsidRPr="00894292">
              <w:rPr>
                <w:rFonts w:asciiTheme="majorHAnsi" w:eastAsia="Times New Roman" w:hAnsiTheme="majorHAnsi" w:cstheme="majorHAnsi"/>
                <w:color w:val="000000"/>
                <w:sz w:val="18"/>
                <w:szCs w:val="18"/>
                <w:lang w:eastAsia="en-AU"/>
              </w:rPr>
              <w:t xml:space="preserve">Remaining industry </w:t>
            </w:r>
            <w:proofErr w:type="spellStart"/>
            <w:r w:rsidRPr="00894292">
              <w:rPr>
                <w:rFonts w:asciiTheme="majorHAnsi" w:eastAsia="Times New Roman" w:hAnsiTheme="majorHAnsi" w:cstheme="majorHAnsi"/>
                <w:color w:val="000000"/>
                <w:sz w:val="18"/>
                <w:szCs w:val="18"/>
                <w:lang w:eastAsia="en-AU"/>
              </w:rPr>
              <w:t>n.e.c</w:t>
            </w:r>
            <w:proofErr w:type="spellEnd"/>
          </w:p>
        </w:tc>
        <w:tc>
          <w:tcPr>
            <w:tcW w:w="1410" w:type="dxa"/>
            <w:tcBorders>
              <w:top w:val="nil"/>
              <w:left w:val="nil"/>
              <w:bottom w:val="single" w:sz="4" w:space="0" w:color="auto"/>
              <w:right w:val="nil"/>
            </w:tcBorders>
            <w:shd w:val="clear" w:color="auto" w:fill="auto"/>
            <w:noWrap/>
            <w:hideMark/>
          </w:tcPr>
          <w:p w14:paraId="68179FDE" w14:textId="77777777" w:rsidR="004D46B8" w:rsidRPr="00284549"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503,027,937</w:t>
            </w:r>
          </w:p>
        </w:tc>
        <w:tc>
          <w:tcPr>
            <w:tcW w:w="1027" w:type="dxa"/>
            <w:tcBorders>
              <w:top w:val="nil"/>
              <w:left w:val="nil"/>
              <w:bottom w:val="single" w:sz="4" w:space="0" w:color="auto"/>
              <w:right w:val="nil"/>
            </w:tcBorders>
            <w:shd w:val="clear" w:color="auto" w:fill="auto"/>
            <w:noWrap/>
            <w:hideMark/>
          </w:tcPr>
          <w:p w14:paraId="6D5D0633" w14:textId="77777777" w:rsidR="004D46B8" w:rsidRPr="00894292"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0.7%</w:t>
            </w:r>
          </w:p>
        </w:tc>
        <w:tc>
          <w:tcPr>
            <w:tcW w:w="706" w:type="dxa"/>
            <w:tcBorders>
              <w:top w:val="nil"/>
              <w:left w:val="nil"/>
              <w:bottom w:val="single" w:sz="4" w:space="0" w:color="auto"/>
              <w:right w:val="nil"/>
            </w:tcBorders>
            <w:shd w:val="clear" w:color="auto" w:fill="auto"/>
            <w:noWrap/>
            <w:hideMark/>
          </w:tcPr>
          <w:p w14:paraId="24C3CAB7" w14:textId="77777777" w:rsidR="004D46B8" w:rsidRPr="00894292" w:rsidRDefault="004D46B8" w:rsidP="000F69BD">
            <w:pPr>
              <w:spacing w:after="0" w:line="240" w:lineRule="auto"/>
              <w:jc w:val="center"/>
              <w:rPr>
                <w:rFonts w:asciiTheme="majorHAnsi" w:eastAsia="Times New Roman" w:hAnsiTheme="majorHAnsi" w:cstheme="majorHAnsi"/>
                <w:color w:val="000000"/>
                <w:sz w:val="18"/>
                <w:szCs w:val="18"/>
                <w:lang w:eastAsia="en-AU"/>
              </w:rPr>
            </w:pPr>
            <w:r w:rsidRPr="00894292">
              <w:rPr>
                <w:rFonts w:asciiTheme="majorHAnsi" w:eastAsia="Times New Roman" w:hAnsiTheme="majorHAnsi" w:cstheme="majorHAnsi"/>
                <w:color w:val="000000"/>
                <w:sz w:val="18"/>
                <w:szCs w:val="18"/>
                <w:lang w:eastAsia="en-AU"/>
              </w:rPr>
              <w:t>-</w:t>
            </w:r>
          </w:p>
        </w:tc>
        <w:tc>
          <w:tcPr>
            <w:tcW w:w="1844" w:type="dxa"/>
            <w:tcBorders>
              <w:top w:val="nil"/>
              <w:left w:val="nil"/>
              <w:bottom w:val="single" w:sz="4" w:space="0" w:color="auto"/>
              <w:right w:val="nil"/>
            </w:tcBorders>
            <w:shd w:val="clear" w:color="auto" w:fill="auto"/>
            <w:noWrap/>
            <w:hideMark/>
          </w:tcPr>
          <w:p w14:paraId="06448F72" w14:textId="77777777" w:rsidR="004D46B8" w:rsidRPr="00894292" w:rsidRDefault="004D46B8" w:rsidP="000F69BD">
            <w:pPr>
              <w:spacing w:after="0" w:line="240" w:lineRule="auto"/>
              <w:jc w:val="center"/>
              <w:rPr>
                <w:rFonts w:asciiTheme="majorHAnsi" w:eastAsia="Times New Roman" w:hAnsiTheme="majorHAnsi" w:cstheme="majorHAnsi"/>
                <w:color w:val="000000"/>
                <w:sz w:val="18"/>
                <w:szCs w:val="18"/>
                <w:lang w:eastAsia="en-AU"/>
              </w:rPr>
            </w:pPr>
            <w:r w:rsidRPr="00894292">
              <w:rPr>
                <w:rFonts w:asciiTheme="majorHAnsi" w:eastAsia="Times New Roman" w:hAnsiTheme="majorHAnsi" w:cstheme="majorHAnsi"/>
                <w:color w:val="000000"/>
                <w:sz w:val="18"/>
                <w:szCs w:val="18"/>
                <w:lang w:eastAsia="en-AU"/>
              </w:rPr>
              <w:t>-</w:t>
            </w:r>
          </w:p>
        </w:tc>
        <w:tc>
          <w:tcPr>
            <w:tcW w:w="1334" w:type="dxa"/>
            <w:tcBorders>
              <w:top w:val="nil"/>
              <w:left w:val="nil"/>
              <w:bottom w:val="single" w:sz="4" w:space="0" w:color="auto"/>
              <w:right w:val="nil"/>
            </w:tcBorders>
            <w:shd w:val="clear" w:color="auto" w:fill="auto"/>
            <w:noWrap/>
            <w:hideMark/>
          </w:tcPr>
          <w:p w14:paraId="0F3FCE67" w14:textId="77777777" w:rsidR="004D46B8" w:rsidRPr="00284549"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47,171,179</w:t>
            </w:r>
          </w:p>
        </w:tc>
      </w:tr>
      <w:tr w:rsidR="004D46B8" w:rsidRPr="00894292" w14:paraId="28C36923" w14:textId="77777777" w:rsidTr="005976E5">
        <w:tc>
          <w:tcPr>
            <w:tcW w:w="10415" w:type="dxa"/>
            <w:gridSpan w:val="9"/>
            <w:tcBorders>
              <w:top w:val="single" w:sz="4" w:space="0" w:color="auto"/>
              <w:left w:val="nil"/>
              <w:right w:val="nil"/>
            </w:tcBorders>
            <w:shd w:val="clear" w:color="auto" w:fill="auto"/>
            <w:noWrap/>
          </w:tcPr>
          <w:p w14:paraId="65A291E2" w14:textId="77777777" w:rsidR="004D46B8" w:rsidRPr="00894292" w:rsidRDefault="004D46B8" w:rsidP="000F69BD">
            <w:pPr>
              <w:spacing w:after="0" w:line="240" w:lineRule="auto"/>
              <w:rPr>
                <w:rFonts w:asciiTheme="majorHAnsi" w:hAnsiTheme="majorHAnsi" w:cstheme="majorHAnsi"/>
                <w:b/>
                <w:sz w:val="18"/>
                <w:szCs w:val="18"/>
              </w:rPr>
            </w:pPr>
            <w:r w:rsidRPr="00894292">
              <w:rPr>
                <w:rFonts w:asciiTheme="majorHAnsi" w:eastAsia="Times New Roman" w:hAnsiTheme="majorHAnsi" w:cstheme="majorHAnsi"/>
                <w:b/>
                <w:color w:val="000000"/>
                <w:sz w:val="18"/>
                <w:szCs w:val="18"/>
                <w:lang w:eastAsia="en-AU"/>
              </w:rPr>
              <w:t>All commodities</w:t>
            </w:r>
          </w:p>
        </w:tc>
      </w:tr>
      <w:tr w:rsidR="004D46B8" w:rsidRPr="00894292" w14:paraId="19F65810" w14:textId="77777777" w:rsidTr="005976E5">
        <w:trPr>
          <w:gridAfter w:val="1"/>
          <w:wAfter w:w="7" w:type="dxa"/>
        </w:trPr>
        <w:tc>
          <w:tcPr>
            <w:tcW w:w="705" w:type="dxa"/>
            <w:tcBorders>
              <w:top w:val="single" w:sz="4" w:space="0" w:color="auto"/>
              <w:left w:val="nil"/>
              <w:right w:val="nil"/>
            </w:tcBorders>
            <w:shd w:val="clear" w:color="auto" w:fill="auto"/>
            <w:noWrap/>
            <w:vAlign w:val="center"/>
          </w:tcPr>
          <w:p w14:paraId="6BA53BFA" w14:textId="77777777" w:rsidR="004D46B8" w:rsidRPr="00894292" w:rsidRDefault="004D46B8" w:rsidP="000F69BD">
            <w:pPr>
              <w:spacing w:after="0" w:line="240" w:lineRule="auto"/>
              <w:rPr>
                <w:rFonts w:asciiTheme="majorHAnsi" w:eastAsia="Times New Roman" w:hAnsiTheme="majorHAnsi" w:cstheme="majorHAnsi"/>
                <w:bCs/>
                <w:color w:val="000000"/>
                <w:sz w:val="18"/>
                <w:szCs w:val="18"/>
                <w:lang w:eastAsia="en-AU"/>
              </w:rPr>
            </w:pPr>
          </w:p>
        </w:tc>
        <w:tc>
          <w:tcPr>
            <w:tcW w:w="706" w:type="dxa"/>
            <w:tcBorders>
              <w:top w:val="single" w:sz="4" w:space="0" w:color="auto"/>
              <w:left w:val="nil"/>
              <w:right w:val="nil"/>
            </w:tcBorders>
            <w:shd w:val="clear" w:color="auto" w:fill="auto"/>
            <w:noWrap/>
            <w:vAlign w:val="center"/>
          </w:tcPr>
          <w:p w14:paraId="3CFAE4F9" w14:textId="77777777" w:rsidR="004D46B8" w:rsidRPr="00894292" w:rsidRDefault="004D46B8" w:rsidP="000F69BD">
            <w:pPr>
              <w:spacing w:after="0" w:line="240" w:lineRule="auto"/>
              <w:rPr>
                <w:rFonts w:asciiTheme="majorHAnsi" w:eastAsia="Times New Roman" w:hAnsiTheme="majorHAnsi" w:cstheme="majorHAnsi"/>
                <w:bCs/>
                <w:color w:val="000000"/>
                <w:sz w:val="18"/>
                <w:szCs w:val="18"/>
                <w:lang w:eastAsia="en-AU"/>
              </w:rPr>
            </w:pPr>
          </w:p>
        </w:tc>
        <w:tc>
          <w:tcPr>
            <w:tcW w:w="2676" w:type="dxa"/>
            <w:tcBorders>
              <w:top w:val="single" w:sz="4" w:space="0" w:color="auto"/>
              <w:left w:val="nil"/>
              <w:right w:val="nil"/>
            </w:tcBorders>
            <w:shd w:val="clear" w:color="auto" w:fill="auto"/>
            <w:noWrap/>
            <w:vAlign w:val="center"/>
          </w:tcPr>
          <w:p w14:paraId="002F07BE" w14:textId="77777777" w:rsidR="004D46B8" w:rsidRPr="00894292" w:rsidRDefault="004D46B8" w:rsidP="000F69BD">
            <w:pPr>
              <w:spacing w:after="0" w:line="240" w:lineRule="auto"/>
              <w:rPr>
                <w:rFonts w:asciiTheme="majorHAnsi" w:eastAsia="Times New Roman" w:hAnsiTheme="majorHAnsi" w:cstheme="majorHAnsi"/>
                <w:bCs/>
                <w:color w:val="000000"/>
                <w:sz w:val="18"/>
                <w:szCs w:val="18"/>
                <w:lang w:eastAsia="en-AU"/>
              </w:rPr>
            </w:pPr>
          </w:p>
        </w:tc>
        <w:tc>
          <w:tcPr>
            <w:tcW w:w="1410" w:type="dxa"/>
            <w:tcBorders>
              <w:top w:val="single" w:sz="4" w:space="0" w:color="auto"/>
              <w:left w:val="nil"/>
              <w:right w:val="nil"/>
            </w:tcBorders>
            <w:shd w:val="clear" w:color="auto" w:fill="auto"/>
            <w:noWrap/>
            <w:vAlign w:val="center"/>
          </w:tcPr>
          <w:p w14:paraId="2748AAFD" w14:textId="77777777" w:rsidR="004D46B8" w:rsidRPr="00284549"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12,042,969,406</w:t>
            </w:r>
          </w:p>
        </w:tc>
        <w:tc>
          <w:tcPr>
            <w:tcW w:w="1027" w:type="dxa"/>
            <w:tcBorders>
              <w:top w:val="single" w:sz="4" w:space="0" w:color="auto"/>
              <w:left w:val="nil"/>
              <w:right w:val="nil"/>
            </w:tcBorders>
            <w:shd w:val="clear" w:color="auto" w:fill="auto"/>
            <w:noWrap/>
            <w:vAlign w:val="center"/>
          </w:tcPr>
          <w:p w14:paraId="29D470C6" w14:textId="77777777" w:rsidR="004D46B8" w:rsidRPr="00894292"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15.6%</w:t>
            </w:r>
          </w:p>
        </w:tc>
        <w:tc>
          <w:tcPr>
            <w:tcW w:w="706" w:type="dxa"/>
            <w:tcBorders>
              <w:top w:val="single" w:sz="4" w:space="0" w:color="auto"/>
              <w:left w:val="nil"/>
              <w:right w:val="nil"/>
            </w:tcBorders>
            <w:shd w:val="clear" w:color="auto" w:fill="auto"/>
            <w:noWrap/>
            <w:vAlign w:val="center"/>
          </w:tcPr>
          <w:p w14:paraId="55F71B05" w14:textId="77777777" w:rsidR="004D46B8" w:rsidRPr="00894292" w:rsidRDefault="004D46B8" w:rsidP="000F69BD">
            <w:pPr>
              <w:spacing w:after="0" w:line="240" w:lineRule="auto"/>
              <w:jc w:val="center"/>
              <w:rPr>
                <w:rFonts w:asciiTheme="majorHAnsi" w:eastAsia="Times New Roman" w:hAnsiTheme="majorHAnsi" w:cstheme="majorHAnsi"/>
                <w:b/>
                <w:color w:val="000000"/>
                <w:sz w:val="18"/>
                <w:szCs w:val="18"/>
                <w:lang w:eastAsia="en-AU"/>
              </w:rPr>
            </w:pPr>
            <w:r w:rsidRPr="00894292">
              <w:rPr>
                <w:rFonts w:asciiTheme="majorHAnsi" w:hAnsiTheme="majorHAnsi" w:cstheme="majorHAnsi"/>
                <w:sz w:val="18"/>
                <w:szCs w:val="18"/>
              </w:rPr>
              <w:t>5-40</w:t>
            </w:r>
          </w:p>
        </w:tc>
        <w:tc>
          <w:tcPr>
            <w:tcW w:w="1844" w:type="dxa"/>
            <w:tcBorders>
              <w:top w:val="single" w:sz="4" w:space="0" w:color="auto"/>
              <w:left w:val="nil"/>
              <w:right w:val="nil"/>
            </w:tcBorders>
            <w:shd w:val="clear" w:color="auto" w:fill="auto"/>
            <w:noWrap/>
            <w:vAlign w:val="center"/>
          </w:tcPr>
          <w:p w14:paraId="03D46669" w14:textId="77777777" w:rsidR="004D46B8" w:rsidRPr="00894292" w:rsidRDefault="004D46B8" w:rsidP="000F69BD">
            <w:pPr>
              <w:spacing w:after="0" w:line="240" w:lineRule="auto"/>
              <w:rPr>
                <w:rFonts w:asciiTheme="majorHAnsi" w:eastAsia="Times New Roman" w:hAnsiTheme="majorHAnsi" w:cstheme="majorHAnsi"/>
                <w:b/>
                <w:sz w:val="16"/>
                <w:szCs w:val="16"/>
                <w:lang w:eastAsia="en-AU"/>
              </w:rPr>
            </w:pPr>
            <w:r w:rsidRPr="00894292">
              <w:rPr>
                <w:rFonts w:asciiTheme="majorHAnsi" w:hAnsiTheme="majorHAnsi" w:cstheme="majorHAnsi"/>
                <w:sz w:val="16"/>
                <w:szCs w:val="16"/>
              </w:rPr>
              <w:t>Eliminated on entry-into-force without conditions</w:t>
            </w:r>
          </w:p>
        </w:tc>
        <w:tc>
          <w:tcPr>
            <w:tcW w:w="1334" w:type="dxa"/>
            <w:tcBorders>
              <w:top w:val="single" w:sz="4" w:space="0" w:color="auto"/>
              <w:left w:val="nil"/>
              <w:right w:val="nil"/>
            </w:tcBorders>
            <w:shd w:val="clear" w:color="auto" w:fill="auto"/>
            <w:noWrap/>
            <w:vAlign w:val="center"/>
          </w:tcPr>
          <w:p w14:paraId="06698A96" w14:textId="77777777" w:rsidR="004D46B8" w:rsidRPr="00284549" w:rsidRDefault="004D46B8" w:rsidP="000F69BD">
            <w:pPr>
              <w:spacing w:after="0" w:line="240" w:lineRule="auto"/>
              <w:jc w:val="right"/>
              <w:rPr>
                <w:rFonts w:asciiTheme="majorHAnsi" w:hAnsiTheme="majorHAnsi" w:cstheme="majorHAnsi"/>
                <w:sz w:val="18"/>
                <w:szCs w:val="18"/>
              </w:rPr>
            </w:pPr>
            <w:r w:rsidRPr="006B19E4">
              <w:rPr>
                <w:rFonts w:asciiTheme="majorHAnsi" w:hAnsiTheme="majorHAnsi" w:cstheme="majorHAnsi"/>
                <w:sz w:val="18"/>
                <w:szCs w:val="18"/>
              </w:rPr>
              <w:t>1,181,789,662</w:t>
            </w:r>
          </w:p>
        </w:tc>
      </w:tr>
      <w:tr w:rsidR="004D46B8" w:rsidRPr="00894292" w14:paraId="63DF4442" w14:textId="77777777" w:rsidTr="005976E5">
        <w:trPr>
          <w:gridAfter w:val="1"/>
          <w:wAfter w:w="7" w:type="dxa"/>
        </w:trPr>
        <w:tc>
          <w:tcPr>
            <w:tcW w:w="705" w:type="dxa"/>
            <w:tcBorders>
              <w:left w:val="nil"/>
              <w:right w:val="nil"/>
            </w:tcBorders>
            <w:shd w:val="clear" w:color="auto" w:fill="auto"/>
            <w:noWrap/>
            <w:vAlign w:val="center"/>
          </w:tcPr>
          <w:p w14:paraId="1A9D20CD" w14:textId="77777777" w:rsidR="004D46B8" w:rsidRPr="00894292" w:rsidRDefault="004D46B8" w:rsidP="000F69BD">
            <w:pPr>
              <w:spacing w:after="0" w:line="240" w:lineRule="auto"/>
              <w:rPr>
                <w:rFonts w:asciiTheme="majorHAnsi" w:eastAsia="Times New Roman" w:hAnsiTheme="majorHAnsi" w:cstheme="majorHAnsi"/>
                <w:bCs/>
                <w:color w:val="000000"/>
                <w:sz w:val="18"/>
                <w:szCs w:val="18"/>
                <w:lang w:eastAsia="en-AU"/>
              </w:rPr>
            </w:pPr>
          </w:p>
        </w:tc>
        <w:tc>
          <w:tcPr>
            <w:tcW w:w="706" w:type="dxa"/>
            <w:tcBorders>
              <w:left w:val="nil"/>
              <w:right w:val="nil"/>
            </w:tcBorders>
            <w:shd w:val="clear" w:color="auto" w:fill="auto"/>
            <w:noWrap/>
            <w:vAlign w:val="center"/>
          </w:tcPr>
          <w:p w14:paraId="19001AC9" w14:textId="77777777" w:rsidR="004D46B8" w:rsidRPr="00894292" w:rsidRDefault="004D46B8" w:rsidP="000F69BD">
            <w:pPr>
              <w:spacing w:after="0" w:line="240" w:lineRule="auto"/>
              <w:rPr>
                <w:rFonts w:asciiTheme="majorHAnsi" w:eastAsia="Times New Roman" w:hAnsiTheme="majorHAnsi" w:cstheme="majorHAnsi"/>
                <w:bCs/>
                <w:color w:val="000000"/>
                <w:sz w:val="18"/>
                <w:szCs w:val="18"/>
                <w:lang w:eastAsia="en-AU"/>
              </w:rPr>
            </w:pPr>
          </w:p>
        </w:tc>
        <w:tc>
          <w:tcPr>
            <w:tcW w:w="2676" w:type="dxa"/>
            <w:tcBorders>
              <w:left w:val="nil"/>
              <w:right w:val="nil"/>
            </w:tcBorders>
            <w:shd w:val="clear" w:color="auto" w:fill="auto"/>
            <w:noWrap/>
            <w:vAlign w:val="center"/>
          </w:tcPr>
          <w:p w14:paraId="34106158" w14:textId="77777777" w:rsidR="004D46B8" w:rsidRPr="00894292" w:rsidRDefault="004D46B8" w:rsidP="000F69BD">
            <w:pPr>
              <w:spacing w:after="0" w:line="240" w:lineRule="auto"/>
              <w:rPr>
                <w:rFonts w:asciiTheme="majorHAnsi" w:eastAsia="Times New Roman" w:hAnsiTheme="majorHAnsi" w:cstheme="majorHAnsi"/>
                <w:bCs/>
                <w:color w:val="000000"/>
                <w:sz w:val="18"/>
                <w:szCs w:val="18"/>
                <w:lang w:eastAsia="en-AU"/>
              </w:rPr>
            </w:pPr>
          </w:p>
        </w:tc>
        <w:tc>
          <w:tcPr>
            <w:tcW w:w="1410" w:type="dxa"/>
            <w:tcBorders>
              <w:left w:val="nil"/>
              <w:right w:val="nil"/>
            </w:tcBorders>
            <w:shd w:val="clear" w:color="auto" w:fill="auto"/>
            <w:noWrap/>
            <w:vAlign w:val="center"/>
          </w:tcPr>
          <w:p w14:paraId="73733C04" w14:textId="77777777" w:rsidR="004D46B8" w:rsidRPr="00284549"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404,757</w:t>
            </w:r>
          </w:p>
        </w:tc>
        <w:tc>
          <w:tcPr>
            <w:tcW w:w="1027" w:type="dxa"/>
            <w:tcBorders>
              <w:left w:val="nil"/>
              <w:right w:val="nil"/>
            </w:tcBorders>
            <w:shd w:val="clear" w:color="auto" w:fill="auto"/>
            <w:noWrap/>
            <w:vAlign w:val="center"/>
          </w:tcPr>
          <w:p w14:paraId="26D2577F" w14:textId="77777777" w:rsidR="004D46B8" w:rsidRPr="00284549"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0.1%</w:t>
            </w:r>
          </w:p>
        </w:tc>
        <w:tc>
          <w:tcPr>
            <w:tcW w:w="706" w:type="dxa"/>
            <w:tcBorders>
              <w:left w:val="nil"/>
              <w:right w:val="nil"/>
            </w:tcBorders>
            <w:shd w:val="clear" w:color="auto" w:fill="auto"/>
            <w:noWrap/>
            <w:vAlign w:val="center"/>
          </w:tcPr>
          <w:p w14:paraId="6E73684B" w14:textId="77777777" w:rsidR="004D46B8" w:rsidRPr="00894292" w:rsidRDefault="004D46B8" w:rsidP="000F69BD">
            <w:pPr>
              <w:spacing w:after="0" w:line="240" w:lineRule="auto"/>
              <w:jc w:val="center"/>
              <w:rPr>
                <w:rFonts w:asciiTheme="majorHAnsi" w:hAnsiTheme="majorHAnsi" w:cstheme="majorHAnsi"/>
                <w:sz w:val="18"/>
                <w:szCs w:val="18"/>
              </w:rPr>
            </w:pPr>
            <w:r w:rsidRPr="00284549">
              <w:rPr>
                <w:rFonts w:asciiTheme="majorHAnsi" w:hAnsiTheme="majorHAnsi" w:cstheme="majorHAnsi"/>
                <w:sz w:val="18"/>
                <w:szCs w:val="18"/>
              </w:rPr>
              <w:t>10</w:t>
            </w:r>
          </w:p>
        </w:tc>
        <w:tc>
          <w:tcPr>
            <w:tcW w:w="1844" w:type="dxa"/>
            <w:tcBorders>
              <w:left w:val="nil"/>
              <w:right w:val="nil"/>
            </w:tcBorders>
            <w:shd w:val="clear" w:color="auto" w:fill="auto"/>
            <w:noWrap/>
            <w:vAlign w:val="center"/>
          </w:tcPr>
          <w:p w14:paraId="5C74F82F" w14:textId="77777777" w:rsidR="004D46B8" w:rsidRPr="00894292" w:rsidRDefault="004D46B8" w:rsidP="000F69BD">
            <w:pPr>
              <w:spacing w:after="0" w:line="240" w:lineRule="auto"/>
              <w:rPr>
                <w:rFonts w:asciiTheme="majorHAnsi" w:hAnsiTheme="majorHAnsi" w:cstheme="majorHAnsi"/>
                <w:sz w:val="16"/>
                <w:szCs w:val="16"/>
              </w:rPr>
            </w:pPr>
            <w:r w:rsidRPr="00284549">
              <w:rPr>
                <w:rFonts w:asciiTheme="majorHAnsi" w:hAnsiTheme="majorHAnsi" w:cstheme="majorHAnsi"/>
                <w:sz w:val="16"/>
                <w:szCs w:val="16"/>
              </w:rPr>
              <w:t>Eliminated by the 3rd year without conditions</w:t>
            </w:r>
          </w:p>
        </w:tc>
        <w:tc>
          <w:tcPr>
            <w:tcW w:w="1334" w:type="dxa"/>
            <w:tcBorders>
              <w:left w:val="nil"/>
              <w:right w:val="nil"/>
            </w:tcBorders>
            <w:shd w:val="clear" w:color="auto" w:fill="auto"/>
            <w:noWrap/>
            <w:vAlign w:val="center"/>
          </w:tcPr>
          <w:p w14:paraId="0E62157E" w14:textId="77777777" w:rsidR="004D46B8" w:rsidRPr="00503FE8"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40,476</w:t>
            </w:r>
          </w:p>
        </w:tc>
      </w:tr>
      <w:tr w:rsidR="004D46B8" w:rsidRPr="00894292" w14:paraId="70A02ED3" w14:textId="77777777" w:rsidTr="005976E5">
        <w:trPr>
          <w:gridAfter w:val="1"/>
          <w:wAfter w:w="7" w:type="dxa"/>
        </w:trPr>
        <w:tc>
          <w:tcPr>
            <w:tcW w:w="705" w:type="dxa"/>
            <w:tcBorders>
              <w:left w:val="nil"/>
              <w:right w:val="nil"/>
            </w:tcBorders>
            <w:shd w:val="clear" w:color="auto" w:fill="auto"/>
            <w:noWrap/>
            <w:vAlign w:val="center"/>
          </w:tcPr>
          <w:p w14:paraId="074A8EBE" w14:textId="77777777" w:rsidR="004D46B8" w:rsidRPr="00894292" w:rsidRDefault="004D46B8" w:rsidP="000F69BD">
            <w:pPr>
              <w:spacing w:after="0" w:line="240" w:lineRule="auto"/>
              <w:rPr>
                <w:rFonts w:asciiTheme="majorHAnsi" w:eastAsia="Times New Roman" w:hAnsiTheme="majorHAnsi" w:cstheme="majorHAnsi"/>
                <w:bCs/>
                <w:color w:val="000000"/>
                <w:sz w:val="18"/>
                <w:szCs w:val="18"/>
                <w:lang w:eastAsia="en-AU"/>
              </w:rPr>
            </w:pPr>
          </w:p>
        </w:tc>
        <w:tc>
          <w:tcPr>
            <w:tcW w:w="706" w:type="dxa"/>
            <w:tcBorders>
              <w:left w:val="nil"/>
              <w:right w:val="nil"/>
            </w:tcBorders>
            <w:shd w:val="clear" w:color="auto" w:fill="auto"/>
            <w:noWrap/>
            <w:vAlign w:val="center"/>
          </w:tcPr>
          <w:p w14:paraId="5252BEAD" w14:textId="77777777" w:rsidR="004D46B8" w:rsidRPr="00894292" w:rsidRDefault="004D46B8" w:rsidP="000F69BD">
            <w:pPr>
              <w:spacing w:after="0" w:line="240" w:lineRule="auto"/>
              <w:rPr>
                <w:rFonts w:asciiTheme="majorHAnsi" w:eastAsia="Times New Roman" w:hAnsiTheme="majorHAnsi" w:cstheme="majorHAnsi"/>
                <w:bCs/>
                <w:color w:val="000000"/>
                <w:sz w:val="18"/>
                <w:szCs w:val="18"/>
                <w:lang w:eastAsia="en-AU"/>
              </w:rPr>
            </w:pPr>
          </w:p>
        </w:tc>
        <w:tc>
          <w:tcPr>
            <w:tcW w:w="2676" w:type="dxa"/>
            <w:tcBorders>
              <w:left w:val="nil"/>
              <w:right w:val="nil"/>
            </w:tcBorders>
            <w:shd w:val="clear" w:color="auto" w:fill="auto"/>
            <w:noWrap/>
            <w:vAlign w:val="center"/>
          </w:tcPr>
          <w:p w14:paraId="4B69E0C4" w14:textId="77777777" w:rsidR="004D46B8" w:rsidRPr="00894292" w:rsidRDefault="004D46B8" w:rsidP="000F69BD">
            <w:pPr>
              <w:spacing w:after="0" w:line="240" w:lineRule="auto"/>
              <w:rPr>
                <w:rFonts w:asciiTheme="majorHAnsi" w:eastAsia="Times New Roman" w:hAnsiTheme="majorHAnsi" w:cstheme="majorHAnsi"/>
                <w:bCs/>
                <w:color w:val="000000"/>
                <w:sz w:val="18"/>
                <w:szCs w:val="18"/>
                <w:lang w:eastAsia="en-AU"/>
              </w:rPr>
            </w:pPr>
          </w:p>
        </w:tc>
        <w:tc>
          <w:tcPr>
            <w:tcW w:w="1410" w:type="dxa"/>
            <w:tcBorders>
              <w:left w:val="nil"/>
              <w:right w:val="nil"/>
            </w:tcBorders>
            <w:shd w:val="clear" w:color="auto" w:fill="auto"/>
            <w:noWrap/>
            <w:vAlign w:val="center"/>
          </w:tcPr>
          <w:p w14:paraId="37E0AAF3" w14:textId="77777777" w:rsidR="004D46B8" w:rsidRPr="00284549"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476,822,971</w:t>
            </w:r>
          </w:p>
        </w:tc>
        <w:tc>
          <w:tcPr>
            <w:tcW w:w="1027" w:type="dxa"/>
            <w:tcBorders>
              <w:left w:val="nil"/>
              <w:right w:val="nil"/>
            </w:tcBorders>
            <w:shd w:val="clear" w:color="auto" w:fill="auto"/>
            <w:noWrap/>
            <w:vAlign w:val="center"/>
          </w:tcPr>
          <w:p w14:paraId="410B0DC2" w14:textId="77777777" w:rsidR="004D46B8" w:rsidRPr="00894292"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0.3%</w:t>
            </w:r>
          </w:p>
        </w:tc>
        <w:tc>
          <w:tcPr>
            <w:tcW w:w="706" w:type="dxa"/>
            <w:tcBorders>
              <w:left w:val="nil"/>
              <w:right w:val="nil"/>
            </w:tcBorders>
            <w:shd w:val="clear" w:color="auto" w:fill="auto"/>
            <w:noWrap/>
            <w:vAlign w:val="center"/>
          </w:tcPr>
          <w:p w14:paraId="601BB161" w14:textId="77777777" w:rsidR="004D46B8" w:rsidRPr="00284549" w:rsidRDefault="004D46B8" w:rsidP="000F69BD">
            <w:pPr>
              <w:spacing w:after="0" w:line="240" w:lineRule="auto"/>
              <w:jc w:val="center"/>
              <w:rPr>
                <w:rFonts w:asciiTheme="majorHAnsi" w:hAnsiTheme="majorHAnsi" w:cstheme="majorHAnsi"/>
                <w:sz w:val="18"/>
                <w:szCs w:val="18"/>
              </w:rPr>
            </w:pPr>
            <w:r w:rsidRPr="00894292">
              <w:rPr>
                <w:rFonts w:asciiTheme="majorHAnsi" w:hAnsiTheme="majorHAnsi" w:cstheme="majorHAnsi"/>
                <w:sz w:val="18"/>
                <w:szCs w:val="18"/>
              </w:rPr>
              <w:t>5-15</w:t>
            </w:r>
          </w:p>
        </w:tc>
        <w:tc>
          <w:tcPr>
            <w:tcW w:w="1844" w:type="dxa"/>
            <w:tcBorders>
              <w:left w:val="nil"/>
              <w:right w:val="nil"/>
            </w:tcBorders>
            <w:shd w:val="clear" w:color="auto" w:fill="auto"/>
            <w:noWrap/>
            <w:vAlign w:val="center"/>
          </w:tcPr>
          <w:p w14:paraId="2170B147" w14:textId="77777777" w:rsidR="004D46B8" w:rsidRPr="00284549" w:rsidRDefault="004D46B8" w:rsidP="000F69BD">
            <w:pPr>
              <w:spacing w:after="0" w:line="240" w:lineRule="auto"/>
              <w:rPr>
                <w:rFonts w:asciiTheme="majorHAnsi" w:hAnsiTheme="majorHAnsi" w:cstheme="majorHAnsi"/>
                <w:sz w:val="16"/>
                <w:szCs w:val="16"/>
              </w:rPr>
            </w:pPr>
            <w:r w:rsidRPr="00894292">
              <w:rPr>
                <w:rFonts w:asciiTheme="majorHAnsi" w:hAnsiTheme="majorHAnsi" w:cstheme="majorHAnsi"/>
                <w:sz w:val="16"/>
                <w:szCs w:val="16"/>
              </w:rPr>
              <w:t>Eliminated by the 5th year without conditions</w:t>
            </w:r>
          </w:p>
        </w:tc>
        <w:tc>
          <w:tcPr>
            <w:tcW w:w="1334" w:type="dxa"/>
            <w:tcBorders>
              <w:left w:val="nil"/>
              <w:right w:val="nil"/>
            </w:tcBorders>
            <w:shd w:val="clear" w:color="auto" w:fill="auto"/>
            <w:noWrap/>
            <w:vAlign w:val="center"/>
          </w:tcPr>
          <w:p w14:paraId="7B4DBEDD" w14:textId="77777777" w:rsidR="004D46B8" w:rsidRPr="00284549" w:rsidRDefault="004D46B8" w:rsidP="000F69BD">
            <w:pPr>
              <w:spacing w:after="0" w:line="240" w:lineRule="auto"/>
              <w:jc w:val="right"/>
              <w:rPr>
                <w:rFonts w:asciiTheme="majorHAnsi" w:hAnsiTheme="majorHAnsi" w:cstheme="majorHAnsi"/>
                <w:sz w:val="18"/>
                <w:szCs w:val="18"/>
              </w:rPr>
            </w:pPr>
            <w:r w:rsidRPr="00503FE8">
              <w:rPr>
                <w:rFonts w:asciiTheme="majorHAnsi" w:hAnsiTheme="majorHAnsi" w:cstheme="majorHAnsi"/>
                <w:sz w:val="18"/>
                <w:szCs w:val="18"/>
              </w:rPr>
              <w:t>48,231,207</w:t>
            </w:r>
          </w:p>
        </w:tc>
      </w:tr>
      <w:tr w:rsidR="004D46B8" w:rsidRPr="00894292" w14:paraId="3E02410B" w14:textId="77777777" w:rsidTr="005976E5">
        <w:trPr>
          <w:gridAfter w:val="1"/>
          <w:wAfter w:w="7" w:type="dxa"/>
        </w:trPr>
        <w:tc>
          <w:tcPr>
            <w:tcW w:w="705" w:type="dxa"/>
            <w:tcBorders>
              <w:left w:val="nil"/>
              <w:right w:val="nil"/>
            </w:tcBorders>
            <w:shd w:val="clear" w:color="auto" w:fill="auto"/>
            <w:noWrap/>
            <w:vAlign w:val="center"/>
          </w:tcPr>
          <w:p w14:paraId="4C314F4F" w14:textId="77777777" w:rsidR="004D46B8" w:rsidRPr="00894292" w:rsidRDefault="004D46B8" w:rsidP="000F69BD">
            <w:pPr>
              <w:spacing w:after="0" w:line="240" w:lineRule="auto"/>
              <w:rPr>
                <w:rFonts w:asciiTheme="majorHAnsi" w:eastAsia="Times New Roman" w:hAnsiTheme="majorHAnsi" w:cstheme="majorHAnsi"/>
                <w:bCs/>
                <w:color w:val="000000"/>
                <w:sz w:val="18"/>
                <w:szCs w:val="18"/>
                <w:lang w:eastAsia="en-AU"/>
              </w:rPr>
            </w:pPr>
          </w:p>
        </w:tc>
        <w:tc>
          <w:tcPr>
            <w:tcW w:w="706" w:type="dxa"/>
            <w:tcBorders>
              <w:left w:val="nil"/>
              <w:right w:val="nil"/>
            </w:tcBorders>
            <w:shd w:val="clear" w:color="auto" w:fill="auto"/>
            <w:noWrap/>
            <w:vAlign w:val="center"/>
          </w:tcPr>
          <w:p w14:paraId="1ABC70E1" w14:textId="77777777" w:rsidR="004D46B8" w:rsidRPr="00894292" w:rsidRDefault="004D46B8" w:rsidP="000F69BD">
            <w:pPr>
              <w:spacing w:after="0" w:line="240" w:lineRule="auto"/>
              <w:rPr>
                <w:rFonts w:asciiTheme="majorHAnsi" w:eastAsia="Times New Roman" w:hAnsiTheme="majorHAnsi" w:cstheme="majorHAnsi"/>
                <w:bCs/>
                <w:color w:val="000000"/>
                <w:sz w:val="18"/>
                <w:szCs w:val="18"/>
                <w:lang w:eastAsia="en-AU"/>
              </w:rPr>
            </w:pPr>
          </w:p>
        </w:tc>
        <w:tc>
          <w:tcPr>
            <w:tcW w:w="2676" w:type="dxa"/>
            <w:tcBorders>
              <w:left w:val="nil"/>
              <w:right w:val="nil"/>
            </w:tcBorders>
            <w:shd w:val="clear" w:color="auto" w:fill="auto"/>
            <w:noWrap/>
            <w:vAlign w:val="center"/>
          </w:tcPr>
          <w:p w14:paraId="4A431FC9" w14:textId="77777777" w:rsidR="004D46B8" w:rsidRPr="00894292" w:rsidRDefault="004D46B8" w:rsidP="000F69BD">
            <w:pPr>
              <w:spacing w:after="0" w:line="240" w:lineRule="auto"/>
              <w:rPr>
                <w:rFonts w:asciiTheme="majorHAnsi" w:eastAsia="Times New Roman" w:hAnsiTheme="majorHAnsi" w:cstheme="majorHAnsi"/>
                <w:bCs/>
                <w:color w:val="000000"/>
                <w:sz w:val="18"/>
                <w:szCs w:val="18"/>
                <w:lang w:eastAsia="en-AU"/>
              </w:rPr>
            </w:pPr>
          </w:p>
        </w:tc>
        <w:tc>
          <w:tcPr>
            <w:tcW w:w="1410" w:type="dxa"/>
            <w:tcBorders>
              <w:left w:val="nil"/>
              <w:right w:val="nil"/>
            </w:tcBorders>
            <w:shd w:val="clear" w:color="auto" w:fill="auto"/>
            <w:noWrap/>
            <w:vAlign w:val="center"/>
          </w:tcPr>
          <w:p w14:paraId="0C2736C4" w14:textId="77777777" w:rsidR="004D46B8" w:rsidRPr="00284549"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1,203,019</w:t>
            </w:r>
          </w:p>
        </w:tc>
        <w:tc>
          <w:tcPr>
            <w:tcW w:w="1027" w:type="dxa"/>
            <w:tcBorders>
              <w:left w:val="nil"/>
              <w:right w:val="nil"/>
            </w:tcBorders>
            <w:shd w:val="clear" w:color="auto" w:fill="auto"/>
            <w:noWrap/>
            <w:vAlign w:val="center"/>
          </w:tcPr>
          <w:p w14:paraId="576CC163" w14:textId="77777777" w:rsidR="004D46B8" w:rsidRPr="00894292"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0.2%</w:t>
            </w:r>
          </w:p>
        </w:tc>
        <w:tc>
          <w:tcPr>
            <w:tcW w:w="706" w:type="dxa"/>
            <w:tcBorders>
              <w:left w:val="nil"/>
              <w:right w:val="nil"/>
            </w:tcBorders>
            <w:shd w:val="clear" w:color="auto" w:fill="auto"/>
            <w:noWrap/>
            <w:vAlign w:val="center"/>
          </w:tcPr>
          <w:p w14:paraId="0243D80C" w14:textId="77777777" w:rsidR="004D46B8" w:rsidRPr="00284549" w:rsidRDefault="004D46B8" w:rsidP="000F69BD">
            <w:pPr>
              <w:spacing w:after="0" w:line="240" w:lineRule="auto"/>
              <w:jc w:val="center"/>
              <w:rPr>
                <w:rFonts w:asciiTheme="majorHAnsi" w:hAnsiTheme="majorHAnsi" w:cstheme="majorHAnsi"/>
                <w:sz w:val="18"/>
                <w:szCs w:val="18"/>
              </w:rPr>
            </w:pPr>
            <w:r w:rsidRPr="00284549">
              <w:rPr>
                <w:rFonts w:asciiTheme="majorHAnsi" w:hAnsiTheme="majorHAnsi" w:cstheme="majorHAnsi"/>
                <w:sz w:val="18"/>
                <w:szCs w:val="18"/>
              </w:rPr>
              <w:t>10-40</w:t>
            </w:r>
          </w:p>
        </w:tc>
        <w:tc>
          <w:tcPr>
            <w:tcW w:w="1844" w:type="dxa"/>
            <w:tcBorders>
              <w:left w:val="nil"/>
              <w:right w:val="nil"/>
            </w:tcBorders>
            <w:shd w:val="clear" w:color="auto" w:fill="auto"/>
            <w:noWrap/>
            <w:vAlign w:val="center"/>
          </w:tcPr>
          <w:p w14:paraId="7FC3F91B" w14:textId="77777777" w:rsidR="004D46B8" w:rsidRPr="00284549" w:rsidRDefault="004D46B8" w:rsidP="000F69BD">
            <w:pPr>
              <w:spacing w:after="0" w:line="240" w:lineRule="auto"/>
              <w:rPr>
                <w:rFonts w:asciiTheme="majorHAnsi" w:hAnsiTheme="majorHAnsi" w:cstheme="majorHAnsi"/>
                <w:sz w:val="16"/>
                <w:szCs w:val="16"/>
              </w:rPr>
            </w:pPr>
            <w:r w:rsidRPr="00284549">
              <w:rPr>
                <w:rFonts w:asciiTheme="majorHAnsi" w:hAnsiTheme="majorHAnsi" w:cstheme="majorHAnsi"/>
                <w:sz w:val="16"/>
                <w:szCs w:val="16"/>
              </w:rPr>
              <w:t>Eliminated by the 7th year without conditions</w:t>
            </w:r>
          </w:p>
        </w:tc>
        <w:tc>
          <w:tcPr>
            <w:tcW w:w="1334" w:type="dxa"/>
            <w:tcBorders>
              <w:left w:val="nil"/>
              <w:right w:val="nil"/>
            </w:tcBorders>
            <w:shd w:val="clear" w:color="auto" w:fill="auto"/>
            <w:noWrap/>
            <w:vAlign w:val="center"/>
          </w:tcPr>
          <w:p w14:paraId="1C387C38" w14:textId="77777777" w:rsidR="004D46B8" w:rsidRPr="00284549"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184,060</w:t>
            </w:r>
          </w:p>
        </w:tc>
      </w:tr>
      <w:tr w:rsidR="004D46B8" w:rsidRPr="00894292" w14:paraId="484906B0" w14:textId="77777777" w:rsidTr="005976E5">
        <w:trPr>
          <w:gridAfter w:val="1"/>
          <w:wAfter w:w="7" w:type="dxa"/>
        </w:trPr>
        <w:tc>
          <w:tcPr>
            <w:tcW w:w="705" w:type="dxa"/>
            <w:tcBorders>
              <w:left w:val="nil"/>
              <w:right w:val="nil"/>
            </w:tcBorders>
            <w:shd w:val="clear" w:color="auto" w:fill="auto"/>
            <w:noWrap/>
            <w:vAlign w:val="center"/>
          </w:tcPr>
          <w:p w14:paraId="77860E85" w14:textId="77777777" w:rsidR="004D46B8" w:rsidRPr="00894292" w:rsidRDefault="004D46B8" w:rsidP="000F69BD">
            <w:pPr>
              <w:spacing w:after="0" w:line="240" w:lineRule="auto"/>
              <w:rPr>
                <w:rFonts w:asciiTheme="majorHAnsi" w:eastAsia="Times New Roman" w:hAnsiTheme="majorHAnsi" w:cstheme="majorHAnsi"/>
                <w:bCs/>
                <w:color w:val="000000"/>
                <w:sz w:val="18"/>
                <w:szCs w:val="18"/>
                <w:lang w:eastAsia="en-AU"/>
              </w:rPr>
            </w:pPr>
          </w:p>
        </w:tc>
        <w:tc>
          <w:tcPr>
            <w:tcW w:w="706" w:type="dxa"/>
            <w:tcBorders>
              <w:left w:val="nil"/>
              <w:right w:val="nil"/>
            </w:tcBorders>
            <w:shd w:val="clear" w:color="auto" w:fill="auto"/>
            <w:noWrap/>
            <w:vAlign w:val="center"/>
          </w:tcPr>
          <w:p w14:paraId="6CE8081D" w14:textId="77777777" w:rsidR="004D46B8" w:rsidRPr="00894292" w:rsidRDefault="004D46B8" w:rsidP="000F69BD">
            <w:pPr>
              <w:spacing w:after="0" w:line="240" w:lineRule="auto"/>
              <w:rPr>
                <w:rFonts w:asciiTheme="majorHAnsi" w:eastAsia="Times New Roman" w:hAnsiTheme="majorHAnsi" w:cstheme="majorHAnsi"/>
                <w:bCs/>
                <w:color w:val="000000"/>
                <w:sz w:val="18"/>
                <w:szCs w:val="18"/>
                <w:lang w:eastAsia="en-AU"/>
              </w:rPr>
            </w:pPr>
          </w:p>
        </w:tc>
        <w:tc>
          <w:tcPr>
            <w:tcW w:w="2676" w:type="dxa"/>
            <w:tcBorders>
              <w:left w:val="nil"/>
              <w:right w:val="nil"/>
            </w:tcBorders>
            <w:shd w:val="clear" w:color="auto" w:fill="auto"/>
            <w:noWrap/>
            <w:vAlign w:val="center"/>
          </w:tcPr>
          <w:p w14:paraId="1C8C2DDC" w14:textId="77777777" w:rsidR="004D46B8" w:rsidRPr="00894292" w:rsidRDefault="004D46B8" w:rsidP="000F69BD">
            <w:pPr>
              <w:spacing w:after="0" w:line="240" w:lineRule="auto"/>
              <w:rPr>
                <w:rFonts w:asciiTheme="majorHAnsi" w:eastAsia="Times New Roman" w:hAnsiTheme="majorHAnsi" w:cstheme="majorHAnsi"/>
                <w:bCs/>
                <w:color w:val="000000"/>
                <w:sz w:val="18"/>
                <w:szCs w:val="18"/>
                <w:lang w:eastAsia="en-AU"/>
              </w:rPr>
            </w:pPr>
          </w:p>
        </w:tc>
        <w:tc>
          <w:tcPr>
            <w:tcW w:w="1410" w:type="dxa"/>
            <w:tcBorders>
              <w:left w:val="nil"/>
              <w:right w:val="nil"/>
            </w:tcBorders>
            <w:shd w:val="clear" w:color="auto" w:fill="auto"/>
            <w:noWrap/>
            <w:vAlign w:val="center"/>
          </w:tcPr>
          <w:p w14:paraId="48C804FF" w14:textId="77777777" w:rsidR="004D46B8" w:rsidRPr="00894292"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27,319</w:t>
            </w:r>
          </w:p>
        </w:tc>
        <w:tc>
          <w:tcPr>
            <w:tcW w:w="1027" w:type="dxa"/>
            <w:tcBorders>
              <w:left w:val="nil"/>
              <w:right w:val="nil"/>
            </w:tcBorders>
            <w:shd w:val="clear" w:color="auto" w:fill="auto"/>
            <w:noWrap/>
            <w:vAlign w:val="center"/>
          </w:tcPr>
          <w:p w14:paraId="3C748DB1" w14:textId="77777777" w:rsidR="004D46B8" w:rsidRPr="00894292"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0.0%</w:t>
            </w:r>
          </w:p>
        </w:tc>
        <w:tc>
          <w:tcPr>
            <w:tcW w:w="706" w:type="dxa"/>
            <w:tcBorders>
              <w:left w:val="nil"/>
              <w:right w:val="nil"/>
            </w:tcBorders>
            <w:shd w:val="clear" w:color="auto" w:fill="auto"/>
            <w:noWrap/>
            <w:vAlign w:val="center"/>
          </w:tcPr>
          <w:p w14:paraId="5E6C9E15" w14:textId="77777777" w:rsidR="004D46B8" w:rsidRPr="00894292" w:rsidRDefault="004D46B8" w:rsidP="000F69BD">
            <w:pPr>
              <w:spacing w:after="0" w:line="240" w:lineRule="auto"/>
              <w:jc w:val="center"/>
              <w:rPr>
                <w:rFonts w:asciiTheme="majorHAnsi" w:hAnsiTheme="majorHAnsi" w:cstheme="majorHAnsi"/>
                <w:sz w:val="18"/>
                <w:szCs w:val="18"/>
              </w:rPr>
            </w:pPr>
            <w:r w:rsidRPr="00284549">
              <w:rPr>
                <w:rFonts w:asciiTheme="majorHAnsi" w:hAnsiTheme="majorHAnsi" w:cstheme="majorHAnsi"/>
                <w:sz w:val="18"/>
                <w:szCs w:val="18"/>
              </w:rPr>
              <w:t>7.5-10</w:t>
            </w:r>
          </w:p>
        </w:tc>
        <w:tc>
          <w:tcPr>
            <w:tcW w:w="1844" w:type="dxa"/>
            <w:tcBorders>
              <w:left w:val="nil"/>
              <w:right w:val="nil"/>
            </w:tcBorders>
            <w:shd w:val="clear" w:color="auto" w:fill="auto"/>
            <w:noWrap/>
            <w:vAlign w:val="center"/>
          </w:tcPr>
          <w:p w14:paraId="07F98338" w14:textId="77777777" w:rsidR="004D46B8" w:rsidRPr="00894292" w:rsidRDefault="004D46B8" w:rsidP="000F69BD">
            <w:pPr>
              <w:spacing w:after="0" w:line="240" w:lineRule="auto"/>
              <w:rPr>
                <w:rFonts w:asciiTheme="majorHAnsi" w:hAnsiTheme="majorHAnsi" w:cstheme="majorHAnsi"/>
                <w:sz w:val="16"/>
                <w:szCs w:val="16"/>
              </w:rPr>
            </w:pPr>
            <w:r w:rsidRPr="00284549">
              <w:rPr>
                <w:rFonts w:asciiTheme="majorHAnsi" w:hAnsiTheme="majorHAnsi" w:cstheme="majorHAnsi"/>
                <w:sz w:val="16"/>
                <w:szCs w:val="16"/>
              </w:rPr>
              <w:t>Reduction by 5th year without conditions</w:t>
            </w:r>
          </w:p>
        </w:tc>
        <w:tc>
          <w:tcPr>
            <w:tcW w:w="1334" w:type="dxa"/>
            <w:tcBorders>
              <w:left w:val="nil"/>
              <w:right w:val="nil"/>
            </w:tcBorders>
            <w:shd w:val="clear" w:color="auto" w:fill="auto"/>
            <w:noWrap/>
            <w:vAlign w:val="center"/>
          </w:tcPr>
          <w:p w14:paraId="0A2BAAED" w14:textId="77777777" w:rsidR="004D46B8" w:rsidRPr="00894292"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2,049</w:t>
            </w:r>
          </w:p>
        </w:tc>
      </w:tr>
      <w:tr w:rsidR="004D46B8" w:rsidRPr="00894292" w14:paraId="3C2783A2" w14:textId="77777777" w:rsidTr="005976E5">
        <w:trPr>
          <w:gridAfter w:val="1"/>
          <w:wAfter w:w="7" w:type="dxa"/>
        </w:trPr>
        <w:tc>
          <w:tcPr>
            <w:tcW w:w="705" w:type="dxa"/>
            <w:tcBorders>
              <w:left w:val="nil"/>
              <w:right w:val="nil"/>
            </w:tcBorders>
            <w:shd w:val="clear" w:color="auto" w:fill="auto"/>
            <w:noWrap/>
            <w:vAlign w:val="center"/>
          </w:tcPr>
          <w:p w14:paraId="34925771" w14:textId="77777777" w:rsidR="004D46B8" w:rsidRPr="00894292" w:rsidRDefault="004D46B8" w:rsidP="000F69BD">
            <w:pPr>
              <w:spacing w:after="0" w:line="240" w:lineRule="auto"/>
              <w:rPr>
                <w:rFonts w:asciiTheme="majorHAnsi" w:eastAsia="Times New Roman" w:hAnsiTheme="majorHAnsi" w:cstheme="majorHAnsi"/>
                <w:bCs/>
                <w:color w:val="000000"/>
                <w:sz w:val="18"/>
                <w:szCs w:val="18"/>
                <w:lang w:eastAsia="en-AU"/>
              </w:rPr>
            </w:pPr>
          </w:p>
        </w:tc>
        <w:tc>
          <w:tcPr>
            <w:tcW w:w="706" w:type="dxa"/>
            <w:tcBorders>
              <w:left w:val="nil"/>
              <w:right w:val="nil"/>
            </w:tcBorders>
            <w:shd w:val="clear" w:color="auto" w:fill="auto"/>
            <w:noWrap/>
            <w:vAlign w:val="center"/>
          </w:tcPr>
          <w:p w14:paraId="6D316B28" w14:textId="77777777" w:rsidR="004D46B8" w:rsidRPr="00894292" w:rsidRDefault="004D46B8" w:rsidP="000F69BD">
            <w:pPr>
              <w:spacing w:after="0" w:line="240" w:lineRule="auto"/>
              <w:rPr>
                <w:rFonts w:asciiTheme="majorHAnsi" w:eastAsia="Times New Roman" w:hAnsiTheme="majorHAnsi" w:cstheme="majorHAnsi"/>
                <w:bCs/>
                <w:color w:val="000000"/>
                <w:sz w:val="18"/>
                <w:szCs w:val="18"/>
                <w:lang w:eastAsia="en-AU"/>
              </w:rPr>
            </w:pPr>
          </w:p>
        </w:tc>
        <w:tc>
          <w:tcPr>
            <w:tcW w:w="2676" w:type="dxa"/>
            <w:tcBorders>
              <w:left w:val="nil"/>
              <w:right w:val="nil"/>
            </w:tcBorders>
            <w:shd w:val="clear" w:color="auto" w:fill="auto"/>
            <w:noWrap/>
            <w:vAlign w:val="center"/>
          </w:tcPr>
          <w:p w14:paraId="1BE8C6F5" w14:textId="77777777" w:rsidR="004D46B8" w:rsidRPr="00894292" w:rsidRDefault="004D46B8" w:rsidP="000F69BD">
            <w:pPr>
              <w:spacing w:after="0" w:line="240" w:lineRule="auto"/>
              <w:rPr>
                <w:rFonts w:asciiTheme="majorHAnsi" w:eastAsia="Times New Roman" w:hAnsiTheme="majorHAnsi" w:cstheme="majorHAnsi"/>
                <w:bCs/>
                <w:color w:val="000000"/>
                <w:sz w:val="18"/>
                <w:szCs w:val="18"/>
                <w:lang w:eastAsia="en-AU"/>
              </w:rPr>
            </w:pPr>
          </w:p>
        </w:tc>
        <w:tc>
          <w:tcPr>
            <w:tcW w:w="1410" w:type="dxa"/>
            <w:tcBorders>
              <w:left w:val="nil"/>
              <w:right w:val="nil"/>
            </w:tcBorders>
            <w:shd w:val="clear" w:color="auto" w:fill="auto"/>
            <w:noWrap/>
            <w:vAlign w:val="center"/>
          </w:tcPr>
          <w:p w14:paraId="4C256E5C" w14:textId="77777777" w:rsidR="004D46B8" w:rsidRPr="00894292"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16,054,726</w:t>
            </w:r>
          </w:p>
        </w:tc>
        <w:tc>
          <w:tcPr>
            <w:tcW w:w="1027" w:type="dxa"/>
            <w:tcBorders>
              <w:left w:val="nil"/>
              <w:right w:val="nil"/>
            </w:tcBorders>
            <w:shd w:val="clear" w:color="auto" w:fill="auto"/>
            <w:noWrap/>
            <w:vAlign w:val="center"/>
          </w:tcPr>
          <w:p w14:paraId="53079297" w14:textId="77777777" w:rsidR="004D46B8" w:rsidRPr="00894292"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3.4%</w:t>
            </w:r>
          </w:p>
        </w:tc>
        <w:tc>
          <w:tcPr>
            <w:tcW w:w="706" w:type="dxa"/>
            <w:tcBorders>
              <w:left w:val="nil"/>
              <w:right w:val="nil"/>
            </w:tcBorders>
            <w:shd w:val="clear" w:color="auto" w:fill="auto"/>
            <w:noWrap/>
            <w:vAlign w:val="center"/>
          </w:tcPr>
          <w:p w14:paraId="648F9C85" w14:textId="77777777" w:rsidR="004D46B8" w:rsidRPr="00894292" w:rsidRDefault="004D46B8" w:rsidP="000F69BD">
            <w:pPr>
              <w:spacing w:after="0" w:line="240" w:lineRule="auto"/>
              <w:jc w:val="center"/>
              <w:rPr>
                <w:rFonts w:asciiTheme="majorHAnsi" w:hAnsiTheme="majorHAnsi" w:cstheme="majorHAnsi"/>
                <w:sz w:val="18"/>
                <w:szCs w:val="18"/>
              </w:rPr>
            </w:pPr>
            <w:r w:rsidRPr="00284549">
              <w:rPr>
                <w:rFonts w:asciiTheme="majorHAnsi" w:hAnsiTheme="majorHAnsi" w:cstheme="majorHAnsi"/>
                <w:sz w:val="18"/>
                <w:szCs w:val="18"/>
              </w:rPr>
              <w:t>5-10</w:t>
            </w:r>
          </w:p>
        </w:tc>
        <w:tc>
          <w:tcPr>
            <w:tcW w:w="1844" w:type="dxa"/>
            <w:tcBorders>
              <w:left w:val="nil"/>
              <w:right w:val="nil"/>
            </w:tcBorders>
            <w:shd w:val="clear" w:color="auto" w:fill="auto"/>
            <w:noWrap/>
            <w:vAlign w:val="center"/>
          </w:tcPr>
          <w:p w14:paraId="74748935" w14:textId="77777777" w:rsidR="004D46B8" w:rsidRPr="00894292" w:rsidRDefault="004D46B8" w:rsidP="000F69BD">
            <w:pPr>
              <w:spacing w:after="0" w:line="240" w:lineRule="auto"/>
              <w:rPr>
                <w:rFonts w:asciiTheme="majorHAnsi" w:hAnsiTheme="majorHAnsi" w:cstheme="majorHAnsi"/>
                <w:sz w:val="16"/>
                <w:szCs w:val="16"/>
              </w:rPr>
            </w:pPr>
            <w:r w:rsidRPr="00284549">
              <w:rPr>
                <w:rFonts w:asciiTheme="majorHAnsi" w:hAnsiTheme="majorHAnsi" w:cstheme="majorHAnsi"/>
                <w:sz w:val="16"/>
                <w:szCs w:val="16"/>
              </w:rPr>
              <w:t>Reduction by 7th year without conditions</w:t>
            </w:r>
          </w:p>
        </w:tc>
        <w:tc>
          <w:tcPr>
            <w:tcW w:w="1334" w:type="dxa"/>
            <w:tcBorders>
              <w:left w:val="nil"/>
              <w:right w:val="nil"/>
            </w:tcBorders>
            <w:shd w:val="clear" w:color="auto" w:fill="auto"/>
            <w:noWrap/>
            <w:vAlign w:val="center"/>
          </w:tcPr>
          <w:p w14:paraId="35C0AFDD" w14:textId="77777777" w:rsidR="004D46B8" w:rsidRPr="00894292"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1,213,284</w:t>
            </w:r>
          </w:p>
        </w:tc>
      </w:tr>
      <w:tr w:rsidR="004D46B8" w:rsidRPr="00894292" w14:paraId="36FD6032" w14:textId="77777777" w:rsidTr="005976E5">
        <w:trPr>
          <w:gridAfter w:val="1"/>
          <w:wAfter w:w="7" w:type="dxa"/>
        </w:trPr>
        <w:tc>
          <w:tcPr>
            <w:tcW w:w="705" w:type="dxa"/>
            <w:tcBorders>
              <w:left w:val="nil"/>
              <w:bottom w:val="single" w:sz="4" w:space="0" w:color="auto"/>
              <w:right w:val="nil"/>
            </w:tcBorders>
            <w:shd w:val="clear" w:color="auto" w:fill="auto"/>
            <w:noWrap/>
            <w:vAlign w:val="center"/>
          </w:tcPr>
          <w:p w14:paraId="52F1A93B" w14:textId="77777777" w:rsidR="004D46B8" w:rsidRPr="00894292" w:rsidRDefault="004D46B8" w:rsidP="000F69BD">
            <w:pPr>
              <w:spacing w:after="0" w:line="240" w:lineRule="auto"/>
              <w:rPr>
                <w:rFonts w:asciiTheme="majorHAnsi" w:eastAsia="Times New Roman" w:hAnsiTheme="majorHAnsi" w:cstheme="majorHAnsi"/>
                <w:bCs/>
                <w:color w:val="000000"/>
                <w:sz w:val="18"/>
                <w:szCs w:val="18"/>
                <w:lang w:eastAsia="en-AU"/>
              </w:rPr>
            </w:pPr>
          </w:p>
        </w:tc>
        <w:tc>
          <w:tcPr>
            <w:tcW w:w="706" w:type="dxa"/>
            <w:tcBorders>
              <w:left w:val="nil"/>
              <w:bottom w:val="single" w:sz="4" w:space="0" w:color="auto"/>
              <w:right w:val="nil"/>
            </w:tcBorders>
            <w:shd w:val="clear" w:color="auto" w:fill="auto"/>
            <w:noWrap/>
            <w:vAlign w:val="center"/>
          </w:tcPr>
          <w:p w14:paraId="1BF60BEF" w14:textId="77777777" w:rsidR="004D46B8" w:rsidRPr="00894292" w:rsidRDefault="004D46B8" w:rsidP="000F69BD">
            <w:pPr>
              <w:spacing w:after="0" w:line="240" w:lineRule="auto"/>
              <w:rPr>
                <w:rFonts w:asciiTheme="majorHAnsi" w:eastAsia="Times New Roman" w:hAnsiTheme="majorHAnsi" w:cstheme="majorHAnsi"/>
                <w:bCs/>
                <w:color w:val="000000"/>
                <w:sz w:val="18"/>
                <w:szCs w:val="18"/>
                <w:lang w:eastAsia="en-AU"/>
              </w:rPr>
            </w:pPr>
          </w:p>
        </w:tc>
        <w:tc>
          <w:tcPr>
            <w:tcW w:w="2676" w:type="dxa"/>
            <w:tcBorders>
              <w:left w:val="nil"/>
              <w:bottom w:val="single" w:sz="4" w:space="0" w:color="auto"/>
              <w:right w:val="nil"/>
            </w:tcBorders>
            <w:shd w:val="clear" w:color="auto" w:fill="auto"/>
            <w:noWrap/>
            <w:vAlign w:val="center"/>
          </w:tcPr>
          <w:p w14:paraId="49349EF3" w14:textId="77777777" w:rsidR="004D46B8" w:rsidRPr="00894292" w:rsidRDefault="004D46B8" w:rsidP="000F69BD">
            <w:pPr>
              <w:spacing w:after="0" w:line="240" w:lineRule="auto"/>
              <w:rPr>
                <w:rFonts w:asciiTheme="majorHAnsi" w:eastAsia="Times New Roman" w:hAnsiTheme="majorHAnsi" w:cstheme="majorHAnsi"/>
                <w:bCs/>
                <w:color w:val="000000"/>
                <w:sz w:val="18"/>
                <w:szCs w:val="18"/>
                <w:lang w:eastAsia="en-AU"/>
              </w:rPr>
            </w:pPr>
          </w:p>
        </w:tc>
        <w:tc>
          <w:tcPr>
            <w:tcW w:w="1410" w:type="dxa"/>
            <w:tcBorders>
              <w:left w:val="nil"/>
              <w:bottom w:val="single" w:sz="4" w:space="0" w:color="auto"/>
              <w:right w:val="nil"/>
            </w:tcBorders>
            <w:shd w:val="clear" w:color="auto" w:fill="auto"/>
            <w:noWrap/>
            <w:vAlign w:val="center"/>
          </w:tcPr>
          <w:p w14:paraId="02C2A2ED" w14:textId="77777777" w:rsidR="004D46B8" w:rsidRPr="00284549"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1,164,272,203</w:t>
            </w:r>
          </w:p>
        </w:tc>
        <w:tc>
          <w:tcPr>
            <w:tcW w:w="1027" w:type="dxa"/>
            <w:tcBorders>
              <w:left w:val="nil"/>
              <w:bottom w:val="single" w:sz="4" w:space="0" w:color="auto"/>
              <w:right w:val="nil"/>
            </w:tcBorders>
            <w:shd w:val="clear" w:color="auto" w:fill="auto"/>
            <w:noWrap/>
            <w:vAlign w:val="center"/>
          </w:tcPr>
          <w:p w14:paraId="7FF11EFB" w14:textId="77777777" w:rsidR="004D46B8" w:rsidRPr="00894292"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2.0%</w:t>
            </w:r>
          </w:p>
        </w:tc>
        <w:tc>
          <w:tcPr>
            <w:tcW w:w="706" w:type="dxa"/>
            <w:tcBorders>
              <w:left w:val="nil"/>
              <w:bottom w:val="single" w:sz="4" w:space="0" w:color="auto"/>
              <w:right w:val="nil"/>
            </w:tcBorders>
            <w:shd w:val="clear" w:color="auto" w:fill="auto"/>
            <w:noWrap/>
            <w:vAlign w:val="center"/>
          </w:tcPr>
          <w:p w14:paraId="603E8EED" w14:textId="77777777" w:rsidR="004D46B8" w:rsidRPr="00284549" w:rsidRDefault="004D46B8" w:rsidP="000F69BD">
            <w:pPr>
              <w:spacing w:after="0" w:line="240" w:lineRule="auto"/>
              <w:jc w:val="center"/>
              <w:rPr>
                <w:rFonts w:asciiTheme="majorHAnsi" w:hAnsiTheme="majorHAnsi" w:cstheme="majorHAnsi"/>
                <w:sz w:val="18"/>
                <w:szCs w:val="18"/>
              </w:rPr>
            </w:pPr>
            <w:r w:rsidRPr="00284549">
              <w:rPr>
                <w:rFonts w:asciiTheme="majorHAnsi" w:hAnsiTheme="majorHAnsi" w:cstheme="majorHAnsi"/>
                <w:sz w:val="18"/>
                <w:szCs w:val="18"/>
              </w:rPr>
              <w:t>5-40</w:t>
            </w:r>
          </w:p>
        </w:tc>
        <w:tc>
          <w:tcPr>
            <w:tcW w:w="1844" w:type="dxa"/>
            <w:tcBorders>
              <w:left w:val="nil"/>
              <w:bottom w:val="single" w:sz="4" w:space="0" w:color="auto"/>
              <w:right w:val="nil"/>
            </w:tcBorders>
            <w:shd w:val="clear" w:color="auto" w:fill="auto"/>
            <w:noWrap/>
            <w:vAlign w:val="center"/>
          </w:tcPr>
          <w:p w14:paraId="5AFE01B9" w14:textId="77777777" w:rsidR="004D46B8" w:rsidRPr="00284549" w:rsidRDefault="004D46B8" w:rsidP="000F69BD">
            <w:pPr>
              <w:spacing w:after="0" w:line="240" w:lineRule="auto"/>
              <w:rPr>
                <w:rFonts w:asciiTheme="majorHAnsi" w:hAnsiTheme="majorHAnsi" w:cstheme="majorHAnsi"/>
                <w:sz w:val="16"/>
                <w:szCs w:val="16"/>
              </w:rPr>
            </w:pPr>
            <w:r w:rsidRPr="00284549">
              <w:rPr>
                <w:rFonts w:asciiTheme="majorHAnsi" w:hAnsiTheme="majorHAnsi" w:cstheme="majorHAnsi"/>
                <w:sz w:val="16"/>
                <w:szCs w:val="16"/>
              </w:rPr>
              <w:t>Excluded</w:t>
            </w:r>
          </w:p>
        </w:tc>
        <w:tc>
          <w:tcPr>
            <w:tcW w:w="1334" w:type="dxa"/>
            <w:tcBorders>
              <w:left w:val="nil"/>
              <w:bottom w:val="single" w:sz="4" w:space="0" w:color="auto"/>
              <w:right w:val="nil"/>
            </w:tcBorders>
            <w:shd w:val="clear" w:color="auto" w:fill="auto"/>
            <w:noWrap/>
            <w:vAlign w:val="center"/>
          </w:tcPr>
          <w:p w14:paraId="5D94F810" w14:textId="77777777" w:rsidR="004D46B8" w:rsidRPr="00284549" w:rsidRDefault="004D46B8"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116,759,818</w:t>
            </w:r>
          </w:p>
        </w:tc>
      </w:tr>
      <w:tr w:rsidR="004D46B8" w:rsidRPr="00223087" w14:paraId="1C2B576B" w14:textId="77777777" w:rsidTr="005976E5">
        <w:trPr>
          <w:gridAfter w:val="1"/>
          <w:wAfter w:w="7" w:type="dxa"/>
        </w:trPr>
        <w:tc>
          <w:tcPr>
            <w:tcW w:w="705" w:type="dxa"/>
            <w:tcBorders>
              <w:top w:val="single" w:sz="4" w:space="0" w:color="auto"/>
              <w:left w:val="nil"/>
              <w:bottom w:val="single" w:sz="4" w:space="0" w:color="auto"/>
              <w:right w:val="nil"/>
            </w:tcBorders>
            <w:shd w:val="clear" w:color="auto" w:fill="auto"/>
            <w:noWrap/>
          </w:tcPr>
          <w:p w14:paraId="31602499" w14:textId="77777777" w:rsidR="004D46B8" w:rsidRPr="00894292" w:rsidRDefault="004D46B8" w:rsidP="000F69BD">
            <w:pPr>
              <w:spacing w:after="0" w:line="240" w:lineRule="auto"/>
              <w:rPr>
                <w:rFonts w:asciiTheme="majorHAnsi" w:eastAsia="Times New Roman" w:hAnsiTheme="majorHAnsi" w:cstheme="majorHAnsi"/>
                <w:b/>
                <w:color w:val="000000"/>
                <w:sz w:val="18"/>
                <w:szCs w:val="18"/>
                <w:lang w:eastAsia="en-AU"/>
              </w:rPr>
            </w:pPr>
          </w:p>
        </w:tc>
        <w:tc>
          <w:tcPr>
            <w:tcW w:w="706" w:type="dxa"/>
            <w:tcBorders>
              <w:top w:val="single" w:sz="4" w:space="0" w:color="auto"/>
              <w:left w:val="nil"/>
              <w:bottom w:val="single" w:sz="4" w:space="0" w:color="auto"/>
              <w:right w:val="nil"/>
            </w:tcBorders>
            <w:shd w:val="clear" w:color="auto" w:fill="auto"/>
            <w:noWrap/>
          </w:tcPr>
          <w:p w14:paraId="5068D188" w14:textId="77777777" w:rsidR="004D46B8" w:rsidRPr="00894292" w:rsidRDefault="004D46B8" w:rsidP="000F69BD">
            <w:pPr>
              <w:spacing w:after="0" w:line="240" w:lineRule="auto"/>
              <w:rPr>
                <w:rFonts w:asciiTheme="majorHAnsi" w:eastAsia="Times New Roman" w:hAnsiTheme="majorHAnsi" w:cstheme="majorHAnsi"/>
                <w:b/>
                <w:bCs/>
                <w:color w:val="000000"/>
                <w:sz w:val="18"/>
                <w:szCs w:val="18"/>
                <w:lang w:eastAsia="en-AU"/>
              </w:rPr>
            </w:pPr>
          </w:p>
        </w:tc>
        <w:tc>
          <w:tcPr>
            <w:tcW w:w="2676" w:type="dxa"/>
            <w:tcBorders>
              <w:top w:val="single" w:sz="4" w:space="0" w:color="auto"/>
              <w:left w:val="nil"/>
              <w:bottom w:val="single" w:sz="4" w:space="0" w:color="auto"/>
              <w:right w:val="nil"/>
            </w:tcBorders>
            <w:shd w:val="clear" w:color="auto" w:fill="auto"/>
            <w:noWrap/>
          </w:tcPr>
          <w:p w14:paraId="603B20FA" w14:textId="77777777" w:rsidR="004D46B8" w:rsidRPr="00894292" w:rsidRDefault="004D46B8" w:rsidP="000F69BD">
            <w:pPr>
              <w:spacing w:after="0" w:line="240" w:lineRule="auto"/>
              <w:rPr>
                <w:rFonts w:asciiTheme="majorHAnsi" w:eastAsia="Times New Roman" w:hAnsiTheme="majorHAnsi" w:cstheme="majorHAnsi"/>
                <w:b/>
                <w:color w:val="000000"/>
                <w:sz w:val="18"/>
                <w:szCs w:val="18"/>
                <w:lang w:eastAsia="en-AU"/>
              </w:rPr>
            </w:pPr>
            <w:r w:rsidRPr="00894292">
              <w:rPr>
                <w:rFonts w:asciiTheme="majorHAnsi" w:eastAsia="Times New Roman" w:hAnsiTheme="majorHAnsi" w:cstheme="majorHAnsi"/>
                <w:b/>
                <w:bCs/>
                <w:color w:val="000000"/>
                <w:sz w:val="18"/>
                <w:szCs w:val="18"/>
                <w:lang w:eastAsia="en-AU"/>
              </w:rPr>
              <w:t>Total</w:t>
            </w:r>
          </w:p>
        </w:tc>
        <w:tc>
          <w:tcPr>
            <w:tcW w:w="1410" w:type="dxa"/>
            <w:tcBorders>
              <w:top w:val="single" w:sz="4" w:space="0" w:color="auto"/>
              <w:left w:val="nil"/>
              <w:bottom w:val="single" w:sz="4" w:space="0" w:color="auto"/>
              <w:right w:val="nil"/>
            </w:tcBorders>
            <w:shd w:val="clear" w:color="auto" w:fill="auto"/>
            <w:noWrap/>
            <w:vAlign w:val="center"/>
          </w:tcPr>
          <w:p w14:paraId="576CF71A" w14:textId="77777777" w:rsidR="004D46B8" w:rsidRPr="00284549" w:rsidRDefault="004D46B8" w:rsidP="000F69BD">
            <w:pPr>
              <w:spacing w:after="0" w:line="240" w:lineRule="auto"/>
              <w:jc w:val="right"/>
              <w:rPr>
                <w:rFonts w:asciiTheme="majorHAnsi" w:hAnsiTheme="majorHAnsi" w:cstheme="majorHAnsi"/>
                <w:b/>
                <w:bCs/>
                <w:sz w:val="18"/>
                <w:szCs w:val="18"/>
              </w:rPr>
            </w:pPr>
            <w:r w:rsidRPr="00284549">
              <w:rPr>
                <w:rFonts w:asciiTheme="majorHAnsi" w:hAnsiTheme="majorHAnsi" w:cstheme="majorHAnsi"/>
                <w:b/>
                <w:bCs/>
                <w:sz w:val="18"/>
                <w:szCs w:val="18"/>
              </w:rPr>
              <w:t>13,701,754,401</w:t>
            </w:r>
          </w:p>
        </w:tc>
        <w:tc>
          <w:tcPr>
            <w:tcW w:w="1027" w:type="dxa"/>
            <w:tcBorders>
              <w:top w:val="single" w:sz="4" w:space="0" w:color="auto"/>
              <w:left w:val="nil"/>
              <w:bottom w:val="single" w:sz="4" w:space="0" w:color="auto"/>
              <w:right w:val="nil"/>
            </w:tcBorders>
            <w:shd w:val="clear" w:color="auto" w:fill="auto"/>
            <w:noWrap/>
            <w:vAlign w:val="center"/>
          </w:tcPr>
          <w:p w14:paraId="0A5089F3" w14:textId="77777777" w:rsidR="004D46B8" w:rsidRPr="00284549" w:rsidRDefault="004D46B8" w:rsidP="000F69BD">
            <w:pPr>
              <w:spacing w:after="0" w:line="240" w:lineRule="auto"/>
              <w:jc w:val="right"/>
              <w:rPr>
                <w:rFonts w:asciiTheme="majorHAnsi" w:hAnsiTheme="majorHAnsi" w:cstheme="majorHAnsi"/>
                <w:b/>
                <w:bCs/>
                <w:sz w:val="18"/>
                <w:szCs w:val="18"/>
              </w:rPr>
            </w:pPr>
            <w:r w:rsidRPr="00284549">
              <w:rPr>
                <w:rFonts w:asciiTheme="majorHAnsi" w:hAnsiTheme="majorHAnsi" w:cstheme="majorHAnsi"/>
                <w:b/>
                <w:bCs/>
                <w:sz w:val="18"/>
                <w:szCs w:val="18"/>
              </w:rPr>
              <w:t>4.5%</w:t>
            </w:r>
          </w:p>
        </w:tc>
        <w:tc>
          <w:tcPr>
            <w:tcW w:w="706" w:type="dxa"/>
            <w:tcBorders>
              <w:top w:val="single" w:sz="4" w:space="0" w:color="auto"/>
              <w:left w:val="nil"/>
              <w:bottom w:val="single" w:sz="4" w:space="0" w:color="auto"/>
              <w:right w:val="nil"/>
            </w:tcBorders>
            <w:shd w:val="clear" w:color="auto" w:fill="auto"/>
            <w:noWrap/>
            <w:vAlign w:val="center"/>
          </w:tcPr>
          <w:p w14:paraId="4EC8D929" w14:textId="77777777" w:rsidR="004D46B8" w:rsidRPr="00284549" w:rsidRDefault="004D46B8" w:rsidP="000F69BD">
            <w:pPr>
              <w:spacing w:after="0" w:line="240" w:lineRule="auto"/>
              <w:jc w:val="center"/>
              <w:rPr>
                <w:rFonts w:asciiTheme="majorHAnsi" w:eastAsia="Times New Roman" w:hAnsiTheme="majorHAnsi" w:cstheme="majorHAnsi"/>
                <w:b/>
                <w:bCs/>
                <w:color w:val="000000"/>
                <w:sz w:val="18"/>
                <w:szCs w:val="18"/>
                <w:lang w:eastAsia="en-AU"/>
              </w:rPr>
            </w:pPr>
            <w:r w:rsidRPr="000B5F7C">
              <w:rPr>
                <w:rFonts w:asciiTheme="majorHAnsi" w:eastAsia="Times New Roman" w:hAnsiTheme="majorHAnsi" w:cstheme="majorHAnsi"/>
                <w:b/>
                <w:bCs/>
                <w:color w:val="000000"/>
                <w:sz w:val="18"/>
                <w:szCs w:val="18"/>
                <w:lang w:eastAsia="en-AU"/>
              </w:rPr>
              <w:t>-</w:t>
            </w:r>
          </w:p>
        </w:tc>
        <w:tc>
          <w:tcPr>
            <w:tcW w:w="1844" w:type="dxa"/>
            <w:tcBorders>
              <w:top w:val="single" w:sz="4" w:space="0" w:color="auto"/>
              <w:left w:val="nil"/>
              <w:bottom w:val="single" w:sz="4" w:space="0" w:color="auto"/>
              <w:right w:val="nil"/>
            </w:tcBorders>
            <w:shd w:val="clear" w:color="auto" w:fill="auto"/>
            <w:noWrap/>
            <w:vAlign w:val="center"/>
          </w:tcPr>
          <w:p w14:paraId="0A3FE858" w14:textId="77777777" w:rsidR="004D46B8" w:rsidRPr="00284549" w:rsidRDefault="004D46B8" w:rsidP="000F69BD">
            <w:pPr>
              <w:spacing w:after="0" w:line="240" w:lineRule="auto"/>
              <w:rPr>
                <w:rFonts w:asciiTheme="majorHAnsi" w:eastAsia="Times New Roman" w:hAnsiTheme="majorHAnsi" w:cstheme="majorHAnsi"/>
                <w:b/>
                <w:bCs/>
                <w:sz w:val="18"/>
                <w:szCs w:val="18"/>
                <w:lang w:eastAsia="en-AU"/>
              </w:rPr>
            </w:pPr>
            <w:r w:rsidRPr="000B5F7C">
              <w:rPr>
                <w:rFonts w:asciiTheme="majorHAnsi" w:eastAsia="Times New Roman" w:hAnsiTheme="majorHAnsi" w:cstheme="majorHAnsi"/>
                <w:b/>
                <w:bCs/>
                <w:color w:val="000000"/>
                <w:sz w:val="18"/>
                <w:szCs w:val="18"/>
                <w:lang w:eastAsia="en-AU"/>
              </w:rPr>
              <w:t>-</w:t>
            </w:r>
          </w:p>
        </w:tc>
        <w:tc>
          <w:tcPr>
            <w:tcW w:w="1334" w:type="dxa"/>
            <w:tcBorders>
              <w:top w:val="single" w:sz="4" w:space="0" w:color="auto"/>
              <w:left w:val="nil"/>
              <w:bottom w:val="single" w:sz="4" w:space="0" w:color="auto"/>
              <w:right w:val="nil"/>
            </w:tcBorders>
            <w:shd w:val="clear" w:color="auto" w:fill="auto"/>
            <w:noWrap/>
            <w:vAlign w:val="center"/>
          </w:tcPr>
          <w:p w14:paraId="50C12167" w14:textId="77777777" w:rsidR="004D46B8" w:rsidRPr="00284549" w:rsidRDefault="004D46B8" w:rsidP="000F69BD">
            <w:pPr>
              <w:spacing w:after="0" w:line="240" w:lineRule="auto"/>
              <w:jc w:val="right"/>
              <w:rPr>
                <w:rFonts w:asciiTheme="majorHAnsi" w:eastAsia="Times New Roman" w:hAnsiTheme="majorHAnsi" w:cstheme="majorHAnsi"/>
                <w:b/>
                <w:bCs/>
                <w:color w:val="000000"/>
                <w:sz w:val="18"/>
                <w:szCs w:val="18"/>
                <w:lang w:eastAsia="en-AU"/>
              </w:rPr>
            </w:pPr>
            <w:r w:rsidRPr="000B5F7C">
              <w:rPr>
                <w:rFonts w:asciiTheme="majorHAnsi" w:hAnsiTheme="majorHAnsi" w:cstheme="majorHAnsi"/>
                <w:b/>
                <w:bCs/>
                <w:sz w:val="18"/>
                <w:szCs w:val="18"/>
              </w:rPr>
              <w:t>1,348,220,556</w:t>
            </w:r>
          </w:p>
        </w:tc>
      </w:tr>
    </w:tbl>
    <w:p w14:paraId="79778F8D" w14:textId="77777777" w:rsidR="004D46B8" w:rsidRDefault="004D46B8" w:rsidP="004D46B8">
      <w:pPr>
        <w:spacing w:after="0"/>
        <w:rPr>
          <w:sz w:val="20"/>
          <w:szCs w:val="20"/>
        </w:rPr>
      </w:pPr>
      <w:r w:rsidRPr="00D8564D">
        <w:rPr>
          <w:sz w:val="20"/>
          <w:szCs w:val="20"/>
        </w:rPr>
        <w:t>Source: Trade Data Monitor</w:t>
      </w:r>
      <w:r>
        <w:rPr>
          <w:sz w:val="20"/>
          <w:szCs w:val="20"/>
        </w:rPr>
        <w:t>s, DFAT</w:t>
      </w:r>
    </w:p>
    <w:p w14:paraId="6B53BE9D" w14:textId="3BFFFDA4" w:rsidR="004D46B8" w:rsidRDefault="004D46B8" w:rsidP="004D46B8">
      <w:pPr>
        <w:spacing w:after="0"/>
        <w:rPr>
          <w:b/>
          <w:bCs/>
        </w:rPr>
      </w:pPr>
      <w:r w:rsidRPr="00EE62A5">
        <w:rPr>
          <w:sz w:val="20"/>
          <w:szCs w:val="20"/>
        </w:rPr>
        <w:t>Notes: Value of trade estimates use annual average data of</w:t>
      </w:r>
      <w:r w:rsidRPr="0025188F">
        <w:rPr>
          <w:sz w:val="20"/>
          <w:szCs w:val="20"/>
        </w:rPr>
        <w:t xml:space="preserve"> Indian imports of merchandise between 2018 and 2020. Tariff estimates are based on the value of average annual trade between 2018 and 2020 and the tariff rates </w:t>
      </w:r>
      <w:r>
        <w:rPr>
          <w:sz w:val="20"/>
          <w:szCs w:val="20"/>
        </w:rPr>
        <w:t>paid</w:t>
      </w:r>
      <w:r w:rsidRPr="0025188F">
        <w:rPr>
          <w:sz w:val="20"/>
          <w:szCs w:val="20"/>
        </w:rPr>
        <w:t>. Aggregate commodity groupings were determined by DFAT. Rem</w:t>
      </w:r>
      <w:r w:rsidR="007214E8">
        <w:rPr>
          <w:sz w:val="20"/>
          <w:szCs w:val="20"/>
        </w:rPr>
        <w:t>a</w:t>
      </w:r>
      <w:r w:rsidRPr="0025188F">
        <w:rPr>
          <w:sz w:val="20"/>
          <w:szCs w:val="20"/>
        </w:rPr>
        <w:t>ining industry not-elsewhere-categorised (</w:t>
      </w:r>
      <w:proofErr w:type="spellStart"/>
      <w:r w:rsidRPr="0025188F">
        <w:rPr>
          <w:sz w:val="20"/>
          <w:szCs w:val="20"/>
        </w:rPr>
        <w:t>n.e.c</w:t>
      </w:r>
      <w:proofErr w:type="spellEnd"/>
      <w:r w:rsidRPr="0025188F">
        <w:rPr>
          <w:sz w:val="20"/>
          <w:szCs w:val="20"/>
        </w:rPr>
        <w:t>) captures the remaining export activity for ‘</w:t>
      </w:r>
      <w:r w:rsidRPr="00CA1F09">
        <w:rPr>
          <w:sz w:val="20"/>
          <w:szCs w:val="20"/>
        </w:rPr>
        <w:t>Coal Mining</w:t>
      </w:r>
      <w:r w:rsidRPr="0025188F">
        <w:rPr>
          <w:sz w:val="20"/>
          <w:szCs w:val="20"/>
        </w:rPr>
        <w:t>’, ‘</w:t>
      </w:r>
      <w:r w:rsidRPr="008D6D52">
        <w:rPr>
          <w:sz w:val="20"/>
          <w:szCs w:val="20"/>
        </w:rPr>
        <w:t>Oil and Gas Extraction</w:t>
      </w:r>
      <w:r w:rsidRPr="0025188F">
        <w:rPr>
          <w:sz w:val="20"/>
          <w:szCs w:val="20"/>
        </w:rPr>
        <w:t>’, ‘</w:t>
      </w:r>
      <w:r w:rsidRPr="000279C4">
        <w:rPr>
          <w:sz w:val="20"/>
          <w:szCs w:val="20"/>
        </w:rPr>
        <w:t>Metal Ore Mining</w:t>
      </w:r>
      <w:r w:rsidRPr="0025188F">
        <w:rPr>
          <w:sz w:val="20"/>
          <w:szCs w:val="20"/>
        </w:rPr>
        <w:t>’, ‘</w:t>
      </w:r>
      <w:r w:rsidRPr="00AE20E4">
        <w:rPr>
          <w:sz w:val="20"/>
          <w:szCs w:val="20"/>
        </w:rPr>
        <w:t>Non-Metallic Mineral Mining and Quarrying</w:t>
      </w:r>
      <w:r w:rsidRPr="0025188F">
        <w:rPr>
          <w:sz w:val="20"/>
          <w:szCs w:val="20"/>
        </w:rPr>
        <w:t>’</w:t>
      </w:r>
      <w:r>
        <w:rPr>
          <w:sz w:val="20"/>
          <w:szCs w:val="20"/>
        </w:rPr>
        <w:t>, ‘</w:t>
      </w:r>
      <w:r w:rsidRPr="00F5447A">
        <w:rPr>
          <w:sz w:val="20"/>
          <w:szCs w:val="20"/>
        </w:rPr>
        <w:t>Exploration</w:t>
      </w:r>
      <w:r>
        <w:rPr>
          <w:sz w:val="20"/>
          <w:szCs w:val="20"/>
        </w:rPr>
        <w:t>’, ‘</w:t>
      </w:r>
      <w:r w:rsidRPr="00C20369">
        <w:rPr>
          <w:sz w:val="20"/>
          <w:szCs w:val="20"/>
        </w:rPr>
        <w:t>Petroleum and Coal Product Manufacturing</w:t>
      </w:r>
      <w:r>
        <w:rPr>
          <w:sz w:val="20"/>
          <w:szCs w:val="20"/>
        </w:rPr>
        <w:t>’, ‘</w:t>
      </w:r>
      <w:r w:rsidRPr="006A4AE3">
        <w:rPr>
          <w:sz w:val="20"/>
          <w:szCs w:val="20"/>
        </w:rPr>
        <w:t>Industrial Gas Manufacturing</w:t>
      </w:r>
      <w:r>
        <w:rPr>
          <w:sz w:val="20"/>
          <w:szCs w:val="20"/>
        </w:rPr>
        <w:t>’, ‘</w:t>
      </w:r>
      <w:r w:rsidRPr="00C12127">
        <w:rPr>
          <w:sz w:val="20"/>
          <w:szCs w:val="20"/>
        </w:rPr>
        <w:t>Non-Metallic Mineral Product Manufacturing</w:t>
      </w:r>
      <w:r>
        <w:rPr>
          <w:sz w:val="20"/>
          <w:szCs w:val="20"/>
        </w:rPr>
        <w:t>’, ‘</w:t>
      </w:r>
      <w:r w:rsidRPr="005D3ECC">
        <w:rPr>
          <w:sz w:val="20"/>
          <w:szCs w:val="20"/>
        </w:rPr>
        <w:t>Primary Metal and Metal Product Manufacturing</w:t>
      </w:r>
      <w:r>
        <w:rPr>
          <w:sz w:val="20"/>
          <w:szCs w:val="20"/>
        </w:rPr>
        <w:t>’, ‘</w:t>
      </w:r>
      <w:r w:rsidRPr="00671A24">
        <w:rPr>
          <w:sz w:val="20"/>
          <w:szCs w:val="20"/>
        </w:rPr>
        <w:t>Iron and Steel Forging</w:t>
      </w:r>
      <w:r>
        <w:rPr>
          <w:sz w:val="20"/>
          <w:szCs w:val="20"/>
        </w:rPr>
        <w:t>’, and the ‘</w:t>
      </w:r>
      <w:r w:rsidRPr="005A507C">
        <w:rPr>
          <w:sz w:val="20"/>
          <w:szCs w:val="20"/>
        </w:rPr>
        <w:t>Structural Metal Product Manufacturing</w:t>
      </w:r>
      <w:r>
        <w:rPr>
          <w:sz w:val="20"/>
          <w:szCs w:val="20"/>
        </w:rPr>
        <w:t xml:space="preserve">’ </w:t>
      </w:r>
      <w:r w:rsidRPr="0025188F">
        <w:rPr>
          <w:sz w:val="20"/>
          <w:szCs w:val="20"/>
        </w:rPr>
        <w:t xml:space="preserve">industry sectors (ABS ANZSIC codes </w:t>
      </w:r>
      <w:r>
        <w:rPr>
          <w:sz w:val="20"/>
          <w:szCs w:val="20"/>
        </w:rPr>
        <w:t>06</w:t>
      </w:r>
      <w:r w:rsidRPr="0025188F">
        <w:rPr>
          <w:sz w:val="20"/>
          <w:szCs w:val="20"/>
        </w:rPr>
        <w:t>,</w:t>
      </w:r>
      <w:r>
        <w:rPr>
          <w:sz w:val="20"/>
          <w:szCs w:val="20"/>
        </w:rPr>
        <w:t xml:space="preserve"> 07, 08, 09, 101, 17, 1811, 20, 21, 2210, and 222 </w:t>
      </w:r>
      <w:r w:rsidRPr="0025188F">
        <w:rPr>
          <w:sz w:val="20"/>
          <w:szCs w:val="20"/>
        </w:rPr>
        <w:t>respectively)</w:t>
      </w:r>
    </w:p>
    <w:p w14:paraId="68B6F1BA" w14:textId="77777777" w:rsidR="00671735" w:rsidRPr="00ED089F" w:rsidRDefault="00671735" w:rsidP="00ED089F">
      <w:pPr>
        <w:pStyle w:val="ListParagraph"/>
        <w:spacing w:after="0"/>
        <w:ind w:left="567"/>
        <w:rPr>
          <w:sz w:val="24"/>
          <w:szCs w:val="24"/>
        </w:rPr>
      </w:pPr>
    </w:p>
    <w:p w14:paraId="0E1E6CEC" w14:textId="7C721E3C" w:rsidR="005F7E67" w:rsidRPr="00A30498" w:rsidRDefault="005F7E67" w:rsidP="0001716D">
      <w:pPr>
        <w:pStyle w:val="Heading3"/>
        <w:spacing w:before="0"/>
        <w:rPr>
          <w:highlight w:val="yellow"/>
        </w:rPr>
      </w:pPr>
      <w:bookmarkStart w:id="33" w:name="_Toc99370658"/>
      <w:r w:rsidRPr="00A30498">
        <w:t>Wine</w:t>
      </w:r>
      <w:bookmarkEnd w:id="33"/>
    </w:p>
    <w:p w14:paraId="72202B92" w14:textId="77777777" w:rsidR="00F25478" w:rsidRDefault="00F25478">
      <w:pPr>
        <w:pStyle w:val="ListParagraph"/>
        <w:spacing w:after="0"/>
        <w:ind w:left="567"/>
        <w:rPr>
          <w:sz w:val="24"/>
          <w:szCs w:val="24"/>
        </w:rPr>
      </w:pPr>
    </w:p>
    <w:p w14:paraId="5BCFA127" w14:textId="395F97F8" w:rsidR="005F7E67" w:rsidRDefault="005F7E67">
      <w:pPr>
        <w:pStyle w:val="ListParagraph"/>
        <w:numPr>
          <w:ilvl w:val="0"/>
          <w:numId w:val="1"/>
        </w:numPr>
        <w:spacing w:after="0"/>
        <w:ind w:left="567" w:hanging="567"/>
        <w:rPr>
          <w:sz w:val="24"/>
          <w:szCs w:val="24"/>
        </w:rPr>
      </w:pPr>
      <w:r w:rsidRPr="543832D4">
        <w:rPr>
          <w:sz w:val="24"/>
          <w:szCs w:val="24"/>
        </w:rPr>
        <w:t>Despite Australia being one the world’s leading exporters of wine products – exporting an average of A</w:t>
      </w:r>
      <w:r w:rsidR="00D67171">
        <w:rPr>
          <w:sz w:val="24"/>
          <w:szCs w:val="24"/>
        </w:rPr>
        <w:t>U</w:t>
      </w:r>
      <w:r w:rsidRPr="543832D4">
        <w:rPr>
          <w:sz w:val="24"/>
          <w:szCs w:val="24"/>
        </w:rPr>
        <w:t>$</w:t>
      </w:r>
      <w:r w:rsidR="000F6253">
        <w:rPr>
          <w:sz w:val="24"/>
          <w:szCs w:val="24"/>
        </w:rPr>
        <w:t>2.9</w:t>
      </w:r>
      <w:r w:rsidR="009701BA">
        <w:rPr>
          <w:sz w:val="24"/>
          <w:szCs w:val="24"/>
        </w:rPr>
        <w:t xml:space="preserve"> </w:t>
      </w:r>
      <w:r w:rsidRPr="543832D4">
        <w:rPr>
          <w:sz w:val="24"/>
          <w:szCs w:val="24"/>
        </w:rPr>
        <w:t>billion per annum between 2018-2020</w:t>
      </w:r>
      <w:r w:rsidR="009701BA">
        <w:rPr>
          <w:sz w:val="24"/>
          <w:szCs w:val="24"/>
        </w:rPr>
        <w:t xml:space="preserve"> globally – </w:t>
      </w:r>
      <w:r w:rsidRPr="543832D4">
        <w:rPr>
          <w:sz w:val="24"/>
          <w:szCs w:val="24"/>
        </w:rPr>
        <w:t>exports to India only accounted for some 0.</w:t>
      </w:r>
      <w:r w:rsidR="009701BA">
        <w:rPr>
          <w:sz w:val="24"/>
          <w:szCs w:val="24"/>
        </w:rPr>
        <w:t>2</w:t>
      </w:r>
      <w:r w:rsidRPr="543832D4">
        <w:rPr>
          <w:sz w:val="24"/>
          <w:szCs w:val="24"/>
        </w:rPr>
        <w:t> per cent of that trade, worth an average of A</w:t>
      </w:r>
      <w:r w:rsidR="00D67171">
        <w:rPr>
          <w:sz w:val="24"/>
          <w:szCs w:val="24"/>
        </w:rPr>
        <w:t>U</w:t>
      </w:r>
      <w:r w:rsidRPr="543832D4">
        <w:rPr>
          <w:sz w:val="24"/>
          <w:szCs w:val="24"/>
        </w:rPr>
        <w:t>$</w:t>
      </w:r>
      <w:r w:rsidR="009701BA">
        <w:rPr>
          <w:sz w:val="24"/>
          <w:szCs w:val="24"/>
        </w:rPr>
        <w:t>7</w:t>
      </w:r>
      <w:r w:rsidRPr="543832D4">
        <w:rPr>
          <w:sz w:val="24"/>
          <w:szCs w:val="24"/>
        </w:rPr>
        <w:t>.4 million during this period.</w:t>
      </w:r>
    </w:p>
    <w:p w14:paraId="47662A83" w14:textId="77777777" w:rsidR="005F7E67" w:rsidRPr="005F7E67" w:rsidRDefault="005F7E67">
      <w:pPr>
        <w:pStyle w:val="ListParagraph"/>
        <w:spacing w:after="0"/>
        <w:rPr>
          <w:sz w:val="24"/>
          <w:szCs w:val="24"/>
        </w:rPr>
      </w:pPr>
    </w:p>
    <w:p w14:paraId="257885AE" w14:textId="602CE740" w:rsidR="005F7E67" w:rsidRDefault="009701BA">
      <w:pPr>
        <w:pStyle w:val="ListParagraph"/>
        <w:numPr>
          <w:ilvl w:val="0"/>
          <w:numId w:val="1"/>
        </w:numPr>
        <w:spacing w:after="0"/>
        <w:ind w:left="567" w:hanging="567"/>
        <w:rPr>
          <w:sz w:val="24"/>
          <w:szCs w:val="24"/>
        </w:rPr>
      </w:pPr>
      <w:r>
        <w:rPr>
          <w:sz w:val="24"/>
          <w:szCs w:val="24"/>
        </w:rPr>
        <w:lastRenderedPageBreak/>
        <w:t xml:space="preserve">Most </w:t>
      </w:r>
      <w:r w:rsidR="005F7E67" w:rsidRPr="005F7E67">
        <w:rPr>
          <w:sz w:val="24"/>
          <w:szCs w:val="24"/>
        </w:rPr>
        <w:t xml:space="preserve">Indian imports of wine attract an effective customs duty of some 150 per cent. As a result, India imports very little wine from overseas. Between 2018 and 2020, for example, India’s total wine imports averaged </w:t>
      </w:r>
      <w:r w:rsidR="00D67171">
        <w:rPr>
          <w:sz w:val="24"/>
          <w:szCs w:val="24"/>
        </w:rPr>
        <w:t>AU$</w:t>
      </w:r>
      <w:r w:rsidR="005F7E67" w:rsidRPr="005F7E67">
        <w:rPr>
          <w:sz w:val="24"/>
          <w:szCs w:val="24"/>
        </w:rPr>
        <w:t>29 million per annum (or around 1.7 million litres). Instead, India relies heavily on domestic production, which, according to Wine Australia, accounted for 85 per cent of India’s wine market by volume in 2010.</w:t>
      </w:r>
      <w:r w:rsidR="005F7E67" w:rsidRPr="007D5868">
        <w:rPr>
          <w:rStyle w:val="FootnoteReference"/>
          <w:sz w:val="24"/>
          <w:szCs w:val="24"/>
        </w:rPr>
        <w:footnoteReference w:id="39"/>
      </w:r>
    </w:p>
    <w:p w14:paraId="0A7B763D" w14:textId="33881BA2" w:rsidR="543832D4" w:rsidRDefault="543832D4">
      <w:pPr>
        <w:spacing w:after="0"/>
        <w:rPr>
          <w:sz w:val="24"/>
          <w:szCs w:val="24"/>
        </w:rPr>
      </w:pPr>
    </w:p>
    <w:p w14:paraId="19FD8A21" w14:textId="7865B772" w:rsidR="543832D4" w:rsidRDefault="543832D4">
      <w:pPr>
        <w:pStyle w:val="ListParagraph"/>
        <w:numPr>
          <w:ilvl w:val="0"/>
          <w:numId w:val="1"/>
        </w:numPr>
        <w:spacing w:after="0"/>
        <w:ind w:left="567" w:hanging="567"/>
        <w:rPr>
          <w:sz w:val="24"/>
          <w:szCs w:val="24"/>
        </w:rPr>
      </w:pPr>
      <w:r w:rsidRPr="543832D4">
        <w:rPr>
          <w:rFonts w:ascii="Calibri" w:eastAsia="Calibri" w:hAnsi="Calibri" w:cs="Calibri"/>
          <w:sz w:val="24"/>
          <w:szCs w:val="24"/>
        </w:rPr>
        <w:t xml:space="preserve">The implementation of the </w:t>
      </w:r>
      <w:r w:rsidR="0025442D">
        <w:rPr>
          <w:rFonts w:ascii="Calibri" w:eastAsia="Calibri" w:hAnsi="Calibri" w:cs="Calibri"/>
          <w:sz w:val="24"/>
          <w:szCs w:val="24"/>
        </w:rPr>
        <w:t>AI</w:t>
      </w:r>
      <w:r w:rsidR="00217C26">
        <w:rPr>
          <w:rFonts w:ascii="Calibri" w:eastAsia="Calibri" w:hAnsi="Calibri" w:cs="Calibri"/>
          <w:sz w:val="24"/>
          <w:szCs w:val="24"/>
        </w:rPr>
        <w:t xml:space="preserve"> ECTA</w:t>
      </w:r>
      <w:r w:rsidRPr="543832D4">
        <w:rPr>
          <w:rFonts w:ascii="Calibri" w:eastAsia="Calibri" w:hAnsi="Calibri" w:cs="Calibri"/>
          <w:sz w:val="24"/>
          <w:szCs w:val="24"/>
        </w:rPr>
        <w:t xml:space="preserve"> will reduce India’s effective import duties on Australian wine from the current 150 per cen</w:t>
      </w:r>
      <w:r w:rsidR="007F4240">
        <w:rPr>
          <w:rFonts w:ascii="Calibri" w:eastAsia="Calibri" w:hAnsi="Calibri" w:cs="Calibri"/>
          <w:sz w:val="24"/>
          <w:szCs w:val="24"/>
        </w:rPr>
        <w:t>t</w:t>
      </w:r>
      <w:r w:rsidR="002C1B29">
        <w:rPr>
          <w:rFonts w:ascii="Calibri" w:eastAsia="Calibri" w:hAnsi="Calibri" w:cs="Calibri"/>
          <w:sz w:val="24"/>
          <w:szCs w:val="24"/>
        </w:rPr>
        <w:t>: for 750ml bottles at a minimum import price of US $5</w:t>
      </w:r>
      <w:r w:rsidR="007F4240">
        <w:rPr>
          <w:rFonts w:ascii="Calibri" w:eastAsia="Calibri" w:hAnsi="Calibri" w:cs="Calibri"/>
          <w:sz w:val="24"/>
          <w:szCs w:val="24"/>
        </w:rPr>
        <w:t xml:space="preserve"> </w:t>
      </w:r>
      <w:r w:rsidR="00F03167">
        <w:rPr>
          <w:rFonts w:ascii="Calibri" w:eastAsia="Calibri" w:hAnsi="Calibri" w:cs="Calibri"/>
          <w:sz w:val="24"/>
          <w:szCs w:val="24"/>
        </w:rPr>
        <w:t xml:space="preserve">to </w:t>
      </w:r>
      <w:r w:rsidRPr="543832D4">
        <w:rPr>
          <w:rFonts w:ascii="Calibri" w:eastAsia="Calibri" w:hAnsi="Calibri" w:cs="Calibri"/>
          <w:sz w:val="24"/>
          <w:szCs w:val="24"/>
        </w:rPr>
        <w:t>100 per cent on entry into force and subsequently to 50 per cent over a ten‑year period</w:t>
      </w:r>
      <w:r w:rsidR="0009253C">
        <w:rPr>
          <w:rFonts w:ascii="Calibri" w:eastAsia="Calibri" w:hAnsi="Calibri" w:cs="Calibri"/>
          <w:sz w:val="24"/>
          <w:szCs w:val="24"/>
        </w:rPr>
        <w:t xml:space="preserve">; and </w:t>
      </w:r>
      <w:r w:rsidRPr="543832D4">
        <w:rPr>
          <w:rFonts w:ascii="Calibri" w:eastAsia="Calibri" w:hAnsi="Calibri" w:cs="Calibri"/>
          <w:sz w:val="24"/>
          <w:szCs w:val="24"/>
        </w:rPr>
        <w:t xml:space="preserve">for </w:t>
      </w:r>
      <w:r w:rsidR="00282215">
        <w:rPr>
          <w:rFonts w:ascii="Calibri" w:eastAsia="Calibri" w:hAnsi="Calibri" w:cs="Calibri"/>
          <w:sz w:val="24"/>
          <w:szCs w:val="24"/>
        </w:rPr>
        <w:t xml:space="preserve">750ml </w:t>
      </w:r>
      <w:r w:rsidRPr="543832D4">
        <w:rPr>
          <w:rFonts w:ascii="Calibri" w:eastAsia="Calibri" w:hAnsi="Calibri" w:cs="Calibri"/>
          <w:sz w:val="24"/>
          <w:szCs w:val="24"/>
        </w:rPr>
        <w:t>bottle</w:t>
      </w:r>
      <w:r w:rsidR="007214E8">
        <w:rPr>
          <w:rFonts w:ascii="Calibri" w:eastAsia="Calibri" w:hAnsi="Calibri" w:cs="Calibri"/>
          <w:sz w:val="24"/>
          <w:szCs w:val="24"/>
        </w:rPr>
        <w:t xml:space="preserve"> equivalent</w:t>
      </w:r>
      <w:r w:rsidRPr="543832D4">
        <w:rPr>
          <w:rFonts w:ascii="Calibri" w:eastAsia="Calibri" w:hAnsi="Calibri" w:cs="Calibri"/>
          <w:sz w:val="24"/>
          <w:szCs w:val="24"/>
        </w:rPr>
        <w:t xml:space="preserve">s at a minimum import price of </w:t>
      </w:r>
      <w:r w:rsidR="00D67171">
        <w:rPr>
          <w:rFonts w:ascii="Calibri" w:eastAsia="Calibri" w:hAnsi="Calibri" w:cs="Calibri"/>
          <w:sz w:val="24"/>
          <w:szCs w:val="24"/>
        </w:rPr>
        <w:t>AU</w:t>
      </w:r>
      <w:r w:rsidRPr="543832D4">
        <w:rPr>
          <w:rFonts w:ascii="Calibri" w:eastAsia="Calibri" w:hAnsi="Calibri" w:cs="Calibri"/>
          <w:sz w:val="24"/>
          <w:szCs w:val="24"/>
        </w:rPr>
        <w:t>$</w:t>
      </w:r>
      <w:r w:rsidR="0009253C">
        <w:rPr>
          <w:rFonts w:ascii="Calibri" w:eastAsia="Calibri" w:hAnsi="Calibri" w:cs="Calibri"/>
          <w:sz w:val="24"/>
          <w:szCs w:val="24"/>
        </w:rPr>
        <w:t>15,</w:t>
      </w:r>
      <w:r w:rsidRPr="543832D4">
        <w:rPr>
          <w:rFonts w:ascii="Calibri" w:eastAsia="Calibri" w:hAnsi="Calibri" w:cs="Calibri"/>
          <w:sz w:val="24"/>
          <w:szCs w:val="24"/>
        </w:rPr>
        <w:t xml:space="preserve"> </w:t>
      </w:r>
      <w:r w:rsidR="00282215">
        <w:rPr>
          <w:rFonts w:ascii="Calibri" w:eastAsia="Calibri" w:hAnsi="Calibri" w:cs="Calibri"/>
          <w:sz w:val="24"/>
          <w:szCs w:val="24"/>
        </w:rPr>
        <w:t xml:space="preserve">to </w:t>
      </w:r>
      <w:r w:rsidRPr="543832D4">
        <w:rPr>
          <w:rFonts w:ascii="Calibri" w:eastAsia="Calibri" w:hAnsi="Calibri" w:cs="Calibri"/>
          <w:sz w:val="24"/>
          <w:szCs w:val="24"/>
        </w:rPr>
        <w:t>75 per cent on entry into force and subsequently to 25 per cent over a ten-year period</w:t>
      </w:r>
      <w:r w:rsidR="00B643FB">
        <w:rPr>
          <w:rFonts w:ascii="Calibri" w:eastAsia="Calibri" w:hAnsi="Calibri" w:cs="Calibri"/>
          <w:sz w:val="24"/>
          <w:szCs w:val="24"/>
        </w:rPr>
        <w:t xml:space="preserve">. </w:t>
      </w:r>
      <w:r w:rsidR="002B6F68">
        <w:rPr>
          <w:rFonts w:ascii="Segoe UI" w:hAnsi="Segoe UI" w:cs="Segoe UI"/>
          <w:lang w:eastAsia="en-AU"/>
        </w:rPr>
        <w:t>The minimum import</w:t>
      </w:r>
      <w:r w:rsidR="00E73A64">
        <w:rPr>
          <w:rFonts w:ascii="Segoe UI" w:hAnsi="Segoe UI" w:cs="Segoe UI"/>
          <w:lang w:eastAsia="en-AU"/>
        </w:rPr>
        <w:t xml:space="preserve"> price will be indexed every 10 years based on the Indian wholesale price index for wine. India has also offered to provide Australia MFN treatment on wine, such that if India provides more favourable market access to another future FTA partner it must provide the same to Australia.</w:t>
      </w:r>
    </w:p>
    <w:p w14:paraId="1BAD2F97" w14:textId="77777777" w:rsidR="005F7E67" w:rsidRPr="005F7E67" w:rsidRDefault="005F7E67">
      <w:pPr>
        <w:pStyle w:val="ListParagraph"/>
        <w:spacing w:after="0"/>
        <w:rPr>
          <w:sz w:val="24"/>
          <w:szCs w:val="24"/>
        </w:rPr>
      </w:pPr>
    </w:p>
    <w:p w14:paraId="07DC8DC3" w14:textId="713B9735" w:rsidR="005F7E67" w:rsidRPr="005F7E67" w:rsidRDefault="005F7E67">
      <w:pPr>
        <w:pStyle w:val="ListParagraph"/>
        <w:numPr>
          <w:ilvl w:val="0"/>
          <w:numId w:val="1"/>
        </w:numPr>
        <w:spacing w:after="0"/>
        <w:ind w:left="567" w:hanging="567"/>
        <w:rPr>
          <w:sz w:val="24"/>
          <w:szCs w:val="24"/>
        </w:rPr>
      </w:pPr>
      <w:r w:rsidRPr="543832D4">
        <w:rPr>
          <w:sz w:val="24"/>
          <w:szCs w:val="24"/>
        </w:rPr>
        <w:t xml:space="preserve">The significant reduction of import tariffs on Australian wine under the </w:t>
      </w:r>
      <w:r w:rsidR="0025442D">
        <w:rPr>
          <w:sz w:val="24"/>
          <w:szCs w:val="24"/>
        </w:rPr>
        <w:t>AI</w:t>
      </w:r>
      <w:r w:rsidR="00217C26">
        <w:rPr>
          <w:sz w:val="24"/>
          <w:szCs w:val="24"/>
        </w:rPr>
        <w:t xml:space="preserve"> ECTA</w:t>
      </w:r>
      <w:r w:rsidRPr="543832D4">
        <w:rPr>
          <w:sz w:val="24"/>
          <w:szCs w:val="24"/>
        </w:rPr>
        <w:t xml:space="preserve"> provides Australian wine producers with a substantial advantage over their global competitors in the Indian market and provide</w:t>
      </w:r>
      <w:r w:rsidR="00A67849">
        <w:rPr>
          <w:sz w:val="24"/>
          <w:szCs w:val="24"/>
        </w:rPr>
        <w:t>s</w:t>
      </w:r>
      <w:r w:rsidRPr="543832D4">
        <w:rPr>
          <w:sz w:val="24"/>
          <w:szCs w:val="24"/>
        </w:rPr>
        <w:t xml:space="preserve"> unparalleled opportunities for expansion and diversification in one of the world’s most populous and growth economies. With reduced demand from China and other disruptions to the wine industry from the 2020 bushfires (smoke taint) and the global pandemic, the Indian market offers potential long-term growth for the Australian wine industry.</w:t>
      </w:r>
      <w:r w:rsidR="00331DF7" w:rsidRPr="543832D4">
        <w:rPr>
          <w:sz w:val="24"/>
          <w:szCs w:val="24"/>
        </w:rPr>
        <w:t xml:space="preserve"> </w:t>
      </w:r>
    </w:p>
    <w:p w14:paraId="031A9524" w14:textId="77777777" w:rsidR="00035876" w:rsidRDefault="00035876">
      <w:pPr>
        <w:spacing w:after="0"/>
        <w:rPr>
          <w:b/>
          <w:bCs/>
          <w:i/>
          <w:iCs/>
          <w:sz w:val="24"/>
          <w:szCs w:val="24"/>
          <w:highlight w:val="yellow"/>
        </w:rPr>
      </w:pPr>
    </w:p>
    <w:p w14:paraId="4247D4E9" w14:textId="0BA99089" w:rsidR="00073BE3" w:rsidRPr="00A30498" w:rsidRDefault="00073BE3" w:rsidP="0001716D">
      <w:pPr>
        <w:pStyle w:val="Heading3"/>
        <w:spacing w:before="0"/>
      </w:pPr>
      <w:bookmarkStart w:id="34" w:name="_Toc99370659"/>
      <w:r w:rsidRPr="00A30498">
        <w:t>Sheep meat</w:t>
      </w:r>
      <w:r w:rsidRPr="00A30498">
        <w:rPr>
          <w:iCs/>
        </w:rPr>
        <w:t xml:space="preserve"> and wool</w:t>
      </w:r>
      <w:bookmarkEnd w:id="34"/>
    </w:p>
    <w:p w14:paraId="65DB4F22" w14:textId="77777777" w:rsidR="00F25478" w:rsidRDefault="00F25478">
      <w:pPr>
        <w:pStyle w:val="ListParagraph"/>
        <w:spacing w:after="0"/>
        <w:ind w:left="567"/>
        <w:rPr>
          <w:sz w:val="24"/>
          <w:szCs w:val="24"/>
        </w:rPr>
      </w:pPr>
    </w:p>
    <w:p w14:paraId="36CC0539" w14:textId="53E60F33" w:rsidR="00D02CE4" w:rsidRPr="00D02CE4" w:rsidRDefault="543832D4">
      <w:pPr>
        <w:pStyle w:val="ListParagraph"/>
        <w:numPr>
          <w:ilvl w:val="0"/>
          <w:numId w:val="1"/>
        </w:numPr>
        <w:spacing w:after="0"/>
        <w:ind w:left="567" w:hanging="567"/>
        <w:rPr>
          <w:sz w:val="24"/>
          <w:szCs w:val="24"/>
        </w:rPr>
      </w:pPr>
      <w:r w:rsidRPr="543832D4">
        <w:rPr>
          <w:rFonts w:ascii="Calibri" w:eastAsia="Calibri" w:hAnsi="Calibri" w:cs="Calibri"/>
          <w:sz w:val="24"/>
          <w:szCs w:val="24"/>
        </w:rPr>
        <w:t>Tariffs on</w:t>
      </w:r>
      <w:r w:rsidR="00282215">
        <w:rPr>
          <w:rFonts w:ascii="Calibri" w:eastAsia="Calibri" w:hAnsi="Calibri" w:cs="Calibri"/>
          <w:sz w:val="24"/>
          <w:szCs w:val="24"/>
        </w:rPr>
        <w:t xml:space="preserve"> </w:t>
      </w:r>
      <w:r w:rsidRPr="543832D4">
        <w:rPr>
          <w:rFonts w:ascii="Calibri" w:eastAsia="Calibri" w:hAnsi="Calibri" w:cs="Calibri"/>
          <w:sz w:val="24"/>
          <w:szCs w:val="24"/>
        </w:rPr>
        <w:t xml:space="preserve">Australian </w:t>
      </w:r>
      <w:r w:rsidR="00282215">
        <w:rPr>
          <w:rFonts w:ascii="Calibri" w:eastAsia="Calibri" w:hAnsi="Calibri" w:cs="Calibri"/>
          <w:sz w:val="24"/>
          <w:szCs w:val="24"/>
        </w:rPr>
        <w:t xml:space="preserve">wool, </w:t>
      </w:r>
      <w:r w:rsidRPr="543832D4">
        <w:rPr>
          <w:rFonts w:ascii="Calibri" w:eastAsia="Calibri" w:hAnsi="Calibri" w:cs="Calibri"/>
          <w:sz w:val="24"/>
          <w:szCs w:val="24"/>
        </w:rPr>
        <w:t>sheep meat</w:t>
      </w:r>
      <w:r w:rsidR="00282215">
        <w:rPr>
          <w:rFonts w:ascii="Calibri" w:eastAsia="Calibri" w:hAnsi="Calibri" w:cs="Calibri"/>
          <w:sz w:val="24"/>
          <w:szCs w:val="24"/>
        </w:rPr>
        <w:t>,</w:t>
      </w:r>
      <w:r w:rsidRPr="543832D4">
        <w:rPr>
          <w:rFonts w:ascii="Calibri" w:eastAsia="Calibri" w:hAnsi="Calibri" w:cs="Calibri"/>
          <w:sz w:val="24"/>
          <w:szCs w:val="24"/>
        </w:rPr>
        <w:t xml:space="preserve"> </w:t>
      </w:r>
      <w:r w:rsidR="00282215">
        <w:rPr>
          <w:rFonts w:ascii="Calibri" w:eastAsia="Calibri" w:hAnsi="Calibri" w:cs="Calibri"/>
          <w:sz w:val="24"/>
          <w:szCs w:val="24"/>
        </w:rPr>
        <w:t xml:space="preserve">and sheepskin </w:t>
      </w:r>
      <w:r w:rsidRPr="543832D4">
        <w:rPr>
          <w:rFonts w:ascii="Calibri" w:eastAsia="Calibri" w:hAnsi="Calibri" w:cs="Calibri"/>
          <w:sz w:val="24"/>
          <w:szCs w:val="24"/>
        </w:rPr>
        <w:t xml:space="preserve">exports to India will be eliminated </w:t>
      </w:r>
      <w:r w:rsidR="00282215">
        <w:rPr>
          <w:rFonts w:ascii="Calibri" w:eastAsia="Calibri" w:hAnsi="Calibri" w:cs="Calibri"/>
          <w:sz w:val="24"/>
          <w:szCs w:val="24"/>
        </w:rPr>
        <w:t xml:space="preserve">and bound at zero </w:t>
      </w:r>
      <w:r w:rsidRPr="543832D4">
        <w:rPr>
          <w:rFonts w:ascii="Calibri" w:eastAsia="Calibri" w:hAnsi="Calibri" w:cs="Calibri"/>
          <w:sz w:val="24"/>
          <w:szCs w:val="24"/>
        </w:rPr>
        <w:t xml:space="preserve">upon entry into force, equivalent to around </w:t>
      </w:r>
      <w:r w:rsidR="00282215" w:rsidRPr="543832D4">
        <w:rPr>
          <w:rFonts w:ascii="Calibri" w:eastAsia="Calibri" w:hAnsi="Calibri" w:cs="Calibri"/>
          <w:sz w:val="24"/>
          <w:szCs w:val="24"/>
        </w:rPr>
        <w:t>A</w:t>
      </w:r>
      <w:r w:rsidR="00282215">
        <w:rPr>
          <w:rFonts w:ascii="Calibri" w:eastAsia="Calibri" w:hAnsi="Calibri" w:cs="Calibri"/>
          <w:sz w:val="24"/>
          <w:szCs w:val="24"/>
        </w:rPr>
        <w:t>U</w:t>
      </w:r>
      <w:r w:rsidR="00282215" w:rsidRPr="543832D4">
        <w:rPr>
          <w:rFonts w:ascii="Calibri" w:eastAsia="Calibri" w:hAnsi="Calibri" w:cs="Calibri"/>
          <w:sz w:val="24"/>
          <w:szCs w:val="24"/>
        </w:rPr>
        <w:t>$</w:t>
      </w:r>
      <w:r w:rsidR="00282215">
        <w:rPr>
          <w:rFonts w:ascii="Calibri" w:eastAsia="Calibri" w:hAnsi="Calibri" w:cs="Calibri"/>
          <w:sz w:val="24"/>
          <w:szCs w:val="24"/>
        </w:rPr>
        <w:t>184</w:t>
      </w:r>
      <w:r w:rsidR="00282215" w:rsidRPr="543832D4">
        <w:rPr>
          <w:rFonts w:ascii="Calibri" w:eastAsia="Calibri" w:hAnsi="Calibri" w:cs="Calibri"/>
          <w:sz w:val="24"/>
          <w:szCs w:val="24"/>
        </w:rPr>
        <w:t xml:space="preserve"> million </w:t>
      </w:r>
      <w:r w:rsidR="001523D6">
        <w:rPr>
          <w:rFonts w:ascii="Calibri" w:eastAsia="Calibri" w:hAnsi="Calibri" w:cs="Calibri"/>
          <w:sz w:val="24"/>
          <w:szCs w:val="24"/>
        </w:rPr>
        <w:t xml:space="preserve">per annum </w:t>
      </w:r>
      <w:r w:rsidR="00282215" w:rsidRPr="543832D4">
        <w:rPr>
          <w:rFonts w:ascii="Calibri" w:eastAsia="Calibri" w:hAnsi="Calibri" w:cs="Calibri"/>
          <w:sz w:val="24"/>
          <w:szCs w:val="24"/>
        </w:rPr>
        <w:t xml:space="preserve">worth of </w:t>
      </w:r>
      <w:r w:rsidR="001523D6">
        <w:rPr>
          <w:rFonts w:ascii="Calibri" w:eastAsia="Calibri" w:hAnsi="Calibri" w:cs="Calibri"/>
          <w:sz w:val="24"/>
          <w:szCs w:val="24"/>
        </w:rPr>
        <w:t xml:space="preserve">wool and </w:t>
      </w:r>
      <w:r w:rsidR="00282215">
        <w:rPr>
          <w:rFonts w:ascii="Calibri" w:eastAsia="Calibri" w:hAnsi="Calibri" w:cs="Calibri"/>
          <w:sz w:val="24"/>
          <w:szCs w:val="24"/>
        </w:rPr>
        <w:t xml:space="preserve">sheep skin </w:t>
      </w:r>
      <w:r w:rsidR="001523D6">
        <w:rPr>
          <w:rFonts w:ascii="Calibri" w:eastAsia="Calibri" w:hAnsi="Calibri" w:cs="Calibri"/>
          <w:sz w:val="24"/>
          <w:szCs w:val="24"/>
        </w:rPr>
        <w:t xml:space="preserve">products </w:t>
      </w:r>
      <w:r w:rsidR="00282215">
        <w:rPr>
          <w:rFonts w:ascii="Calibri" w:eastAsia="Calibri" w:hAnsi="Calibri" w:cs="Calibri"/>
          <w:sz w:val="24"/>
          <w:szCs w:val="24"/>
        </w:rPr>
        <w:t xml:space="preserve">and </w:t>
      </w:r>
      <w:r w:rsidRPr="543832D4">
        <w:rPr>
          <w:rFonts w:ascii="Calibri" w:eastAsia="Calibri" w:hAnsi="Calibri" w:cs="Calibri"/>
          <w:sz w:val="24"/>
          <w:szCs w:val="24"/>
        </w:rPr>
        <w:t>A</w:t>
      </w:r>
      <w:r w:rsidR="00A4189C">
        <w:rPr>
          <w:rFonts w:ascii="Calibri" w:eastAsia="Calibri" w:hAnsi="Calibri" w:cs="Calibri"/>
          <w:sz w:val="24"/>
          <w:szCs w:val="24"/>
        </w:rPr>
        <w:t>U</w:t>
      </w:r>
      <w:r w:rsidRPr="543832D4">
        <w:rPr>
          <w:rFonts w:ascii="Calibri" w:eastAsia="Calibri" w:hAnsi="Calibri" w:cs="Calibri"/>
          <w:sz w:val="24"/>
          <w:szCs w:val="24"/>
        </w:rPr>
        <w:t>$</w:t>
      </w:r>
      <w:r w:rsidR="00A67849">
        <w:rPr>
          <w:rFonts w:ascii="Calibri" w:eastAsia="Calibri" w:hAnsi="Calibri" w:cs="Calibri"/>
          <w:sz w:val="24"/>
          <w:szCs w:val="24"/>
        </w:rPr>
        <w:t>1.96 </w:t>
      </w:r>
      <w:r w:rsidRPr="543832D4">
        <w:rPr>
          <w:rFonts w:ascii="Calibri" w:eastAsia="Calibri" w:hAnsi="Calibri" w:cs="Calibri"/>
          <w:sz w:val="24"/>
          <w:szCs w:val="24"/>
        </w:rPr>
        <w:t xml:space="preserve">million worth of sheep meat </w:t>
      </w:r>
      <w:r w:rsidR="00914FF6">
        <w:rPr>
          <w:rFonts w:ascii="Calibri" w:eastAsia="Calibri" w:hAnsi="Calibri" w:cs="Calibri"/>
          <w:sz w:val="24"/>
          <w:szCs w:val="24"/>
        </w:rPr>
        <w:t xml:space="preserve">per annum, </w:t>
      </w:r>
      <w:r w:rsidRPr="543832D4">
        <w:rPr>
          <w:rFonts w:ascii="Calibri" w:eastAsia="Calibri" w:hAnsi="Calibri" w:cs="Calibri"/>
          <w:sz w:val="24"/>
          <w:szCs w:val="24"/>
        </w:rPr>
        <w:t xml:space="preserve">based on 2018‑2020 average </w:t>
      </w:r>
      <w:r w:rsidR="00914FF6">
        <w:rPr>
          <w:rFonts w:ascii="Calibri" w:eastAsia="Calibri" w:hAnsi="Calibri" w:cs="Calibri"/>
          <w:sz w:val="24"/>
          <w:szCs w:val="24"/>
        </w:rPr>
        <w:t>Indian imports of Australian goods</w:t>
      </w:r>
      <w:r w:rsidRPr="543832D4">
        <w:rPr>
          <w:rFonts w:ascii="Calibri" w:eastAsia="Calibri" w:hAnsi="Calibri" w:cs="Calibri"/>
          <w:sz w:val="24"/>
          <w:szCs w:val="24"/>
        </w:rPr>
        <w:t>.</w:t>
      </w:r>
      <w:r w:rsidR="00914FF6">
        <w:rPr>
          <w:rStyle w:val="FootnoteReference"/>
          <w:rFonts w:ascii="Calibri" w:eastAsia="Calibri" w:hAnsi="Calibri" w:cs="Calibri"/>
          <w:sz w:val="24"/>
          <w:szCs w:val="24"/>
        </w:rPr>
        <w:footnoteReference w:id="40"/>
      </w:r>
    </w:p>
    <w:p w14:paraId="5F5C8F9F" w14:textId="6DC711FA" w:rsidR="00D02CE4" w:rsidRPr="00D02CE4" w:rsidRDefault="00D02CE4">
      <w:pPr>
        <w:spacing w:after="0"/>
        <w:rPr>
          <w:rFonts w:ascii="Calibri" w:eastAsia="Calibri" w:hAnsi="Calibri" w:cs="Calibri"/>
          <w:sz w:val="24"/>
          <w:szCs w:val="24"/>
        </w:rPr>
      </w:pPr>
    </w:p>
    <w:p w14:paraId="45AF9104" w14:textId="68569E61" w:rsidR="00D02CE4" w:rsidRPr="00D02CE4" w:rsidRDefault="001F30A4">
      <w:pPr>
        <w:pStyle w:val="ListParagraph"/>
        <w:numPr>
          <w:ilvl w:val="0"/>
          <w:numId w:val="1"/>
        </w:numPr>
        <w:spacing w:after="0"/>
        <w:ind w:left="567" w:hanging="567"/>
        <w:rPr>
          <w:sz w:val="24"/>
          <w:szCs w:val="24"/>
        </w:rPr>
      </w:pPr>
      <w:r>
        <w:rPr>
          <w:sz w:val="24"/>
          <w:szCs w:val="24"/>
        </w:rPr>
        <w:t xml:space="preserve">Between </w:t>
      </w:r>
      <w:r w:rsidR="543832D4" w:rsidRPr="543832D4">
        <w:rPr>
          <w:sz w:val="24"/>
          <w:szCs w:val="24"/>
        </w:rPr>
        <w:t xml:space="preserve">2018-2020, India </w:t>
      </w:r>
      <w:r w:rsidR="00363920">
        <w:rPr>
          <w:sz w:val="24"/>
          <w:szCs w:val="24"/>
        </w:rPr>
        <w:t>imports</w:t>
      </w:r>
      <w:r w:rsidR="543832D4" w:rsidRPr="543832D4">
        <w:rPr>
          <w:sz w:val="24"/>
          <w:szCs w:val="24"/>
        </w:rPr>
        <w:t xml:space="preserve"> from Australia, </w:t>
      </w:r>
      <w:r w:rsidR="001F7EC6">
        <w:rPr>
          <w:sz w:val="24"/>
          <w:szCs w:val="24"/>
        </w:rPr>
        <w:t>represent</w:t>
      </w:r>
      <w:r w:rsidR="00363920">
        <w:rPr>
          <w:sz w:val="24"/>
          <w:szCs w:val="24"/>
        </w:rPr>
        <w:t>ed</w:t>
      </w:r>
      <w:r w:rsidR="001F7EC6">
        <w:rPr>
          <w:sz w:val="24"/>
          <w:szCs w:val="24"/>
        </w:rPr>
        <w:t xml:space="preserve"> 56 </w:t>
      </w:r>
      <w:r w:rsidR="543832D4" w:rsidRPr="543832D4">
        <w:rPr>
          <w:sz w:val="24"/>
          <w:szCs w:val="24"/>
        </w:rPr>
        <w:t>per cent of their average global sheep meat imports over this period. Although India represents only a small proportion of our global sheep meat exports (</w:t>
      </w:r>
      <w:r w:rsidR="00131062">
        <w:rPr>
          <w:sz w:val="24"/>
          <w:szCs w:val="24"/>
        </w:rPr>
        <w:t xml:space="preserve">less than </w:t>
      </w:r>
      <w:r w:rsidR="543832D4" w:rsidRPr="543832D4">
        <w:rPr>
          <w:sz w:val="24"/>
          <w:szCs w:val="24"/>
        </w:rPr>
        <w:t xml:space="preserve">0.05 per cent on average between 2018‑2020), our position as one of the </w:t>
      </w:r>
      <w:r w:rsidR="00131062">
        <w:rPr>
          <w:sz w:val="24"/>
          <w:szCs w:val="24"/>
        </w:rPr>
        <w:t xml:space="preserve">world’s leading exporters of sheep meat and one of the </w:t>
      </w:r>
      <w:r w:rsidR="543832D4" w:rsidRPr="543832D4">
        <w:rPr>
          <w:sz w:val="24"/>
          <w:szCs w:val="24"/>
        </w:rPr>
        <w:t xml:space="preserve">few countries </w:t>
      </w:r>
      <w:r w:rsidR="00131062">
        <w:rPr>
          <w:sz w:val="24"/>
          <w:szCs w:val="24"/>
        </w:rPr>
        <w:t xml:space="preserve">servicing </w:t>
      </w:r>
      <w:r w:rsidR="543832D4" w:rsidRPr="543832D4">
        <w:rPr>
          <w:sz w:val="24"/>
          <w:szCs w:val="24"/>
        </w:rPr>
        <w:t>India</w:t>
      </w:r>
      <w:r w:rsidR="00B615C9">
        <w:rPr>
          <w:sz w:val="24"/>
          <w:szCs w:val="24"/>
        </w:rPr>
        <w:t>,</w:t>
      </w:r>
      <w:r w:rsidR="543832D4" w:rsidRPr="543832D4">
        <w:rPr>
          <w:sz w:val="24"/>
          <w:szCs w:val="24"/>
        </w:rPr>
        <w:t xml:space="preserve"> means further exporting opportunities under the </w:t>
      </w:r>
      <w:r w:rsidR="0025442D">
        <w:rPr>
          <w:sz w:val="24"/>
          <w:szCs w:val="24"/>
        </w:rPr>
        <w:t>AI</w:t>
      </w:r>
      <w:r w:rsidR="00217C26">
        <w:rPr>
          <w:sz w:val="24"/>
          <w:szCs w:val="24"/>
        </w:rPr>
        <w:t xml:space="preserve"> ECTA</w:t>
      </w:r>
      <w:r w:rsidR="543832D4" w:rsidRPr="543832D4">
        <w:rPr>
          <w:sz w:val="24"/>
          <w:szCs w:val="24"/>
        </w:rPr>
        <w:t xml:space="preserve"> could lead to stronger relationship</w:t>
      </w:r>
      <w:r w:rsidR="00B615C9">
        <w:rPr>
          <w:sz w:val="24"/>
          <w:szCs w:val="24"/>
        </w:rPr>
        <w:t>s</w:t>
      </w:r>
      <w:r w:rsidR="543832D4" w:rsidRPr="543832D4">
        <w:rPr>
          <w:sz w:val="24"/>
          <w:szCs w:val="24"/>
        </w:rPr>
        <w:t xml:space="preserve"> between Australian sheep meat producers and Indian consumers.</w:t>
      </w:r>
    </w:p>
    <w:p w14:paraId="78247962" w14:textId="695F9D39" w:rsidR="00D02CE4" w:rsidRPr="00D02CE4" w:rsidRDefault="00D02CE4" w:rsidP="543832D4">
      <w:pPr>
        <w:spacing w:after="0"/>
        <w:rPr>
          <w:sz w:val="24"/>
          <w:szCs w:val="24"/>
        </w:rPr>
      </w:pPr>
    </w:p>
    <w:p w14:paraId="2A7806D9" w14:textId="2EBE7E10" w:rsidR="00416031" w:rsidRPr="000F5776" w:rsidRDefault="00F75B8B" w:rsidP="00F673EC">
      <w:pPr>
        <w:pStyle w:val="ListParagraph"/>
        <w:numPr>
          <w:ilvl w:val="0"/>
          <w:numId w:val="1"/>
        </w:numPr>
        <w:spacing w:after="0"/>
        <w:ind w:left="567" w:hanging="567"/>
        <w:rPr>
          <w:b/>
          <w:bCs/>
          <w:u w:val="single"/>
        </w:rPr>
      </w:pPr>
      <w:r>
        <w:rPr>
          <w:sz w:val="24"/>
          <w:szCs w:val="24"/>
        </w:rPr>
        <w:t xml:space="preserve">Between </w:t>
      </w:r>
      <w:r w:rsidR="543832D4" w:rsidRPr="543832D4">
        <w:rPr>
          <w:sz w:val="24"/>
          <w:szCs w:val="24"/>
        </w:rPr>
        <w:t xml:space="preserve">2018-2020, </w:t>
      </w:r>
      <w:r>
        <w:rPr>
          <w:sz w:val="24"/>
          <w:szCs w:val="24"/>
        </w:rPr>
        <w:t xml:space="preserve">India imported an annual average of </w:t>
      </w:r>
      <w:r w:rsidR="543832D4" w:rsidRPr="543832D4">
        <w:rPr>
          <w:sz w:val="24"/>
          <w:szCs w:val="24"/>
        </w:rPr>
        <w:t xml:space="preserve">around </w:t>
      </w:r>
      <w:r w:rsidR="009B7C35">
        <w:rPr>
          <w:sz w:val="24"/>
          <w:szCs w:val="24"/>
        </w:rPr>
        <w:t>A</w:t>
      </w:r>
      <w:r w:rsidR="008C7AFC">
        <w:rPr>
          <w:sz w:val="24"/>
          <w:szCs w:val="24"/>
        </w:rPr>
        <w:t>U</w:t>
      </w:r>
      <w:r w:rsidR="543832D4" w:rsidRPr="543832D4">
        <w:rPr>
          <w:sz w:val="24"/>
          <w:szCs w:val="24"/>
        </w:rPr>
        <w:t>$18</w:t>
      </w:r>
      <w:r>
        <w:rPr>
          <w:sz w:val="24"/>
          <w:szCs w:val="24"/>
        </w:rPr>
        <w:t>4</w:t>
      </w:r>
      <w:r w:rsidR="543832D4" w:rsidRPr="543832D4">
        <w:rPr>
          <w:sz w:val="24"/>
          <w:szCs w:val="24"/>
        </w:rPr>
        <w:t xml:space="preserve"> million worth of wool </w:t>
      </w:r>
      <w:r>
        <w:rPr>
          <w:sz w:val="24"/>
          <w:szCs w:val="24"/>
        </w:rPr>
        <w:t>from Australia</w:t>
      </w:r>
      <w:r w:rsidR="543832D4" w:rsidRPr="543832D4">
        <w:rPr>
          <w:sz w:val="24"/>
          <w:szCs w:val="24"/>
        </w:rPr>
        <w:t xml:space="preserve">, worth </w:t>
      </w:r>
      <w:r>
        <w:rPr>
          <w:sz w:val="24"/>
          <w:szCs w:val="24"/>
        </w:rPr>
        <w:t xml:space="preserve">almost </w:t>
      </w:r>
      <w:r w:rsidR="543832D4" w:rsidRPr="543832D4">
        <w:rPr>
          <w:sz w:val="24"/>
          <w:szCs w:val="24"/>
        </w:rPr>
        <w:t xml:space="preserve">6 per cent of our average global wool exports over this period. This makes India our second-largest export market for wool behind China, which takes </w:t>
      </w:r>
      <w:proofErr w:type="gramStart"/>
      <w:r w:rsidR="543832D4" w:rsidRPr="543832D4">
        <w:rPr>
          <w:sz w:val="24"/>
          <w:szCs w:val="24"/>
        </w:rPr>
        <w:t>the vast majority of</w:t>
      </w:r>
      <w:proofErr w:type="gramEnd"/>
      <w:r w:rsidR="543832D4" w:rsidRPr="543832D4">
        <w:rPr>
          <w:sz w:val="24"/>
          <w:szCs w:val="24"/>
        </w:rPr>
        <w:t xml:space="preserve"> our exports (worth around </w:t>
      </w:r>
      <w:r w:rsidR="009B7C35">
        <w:rPr>
          <w:sz w:val="24"/>
          <w:szCs w:val="24"/>
        </w:rPr>
        <w:t>A</w:t>
      </w:r>
      <w:r w:rsidR="008C7AFC">
        <w:rPr>
          <w:sz w:val="24"/>
          <w:szCs w:val="24"/>
        </w:rPr>
        <w:t>U</w:t>
      </w:r>
      <w:r w:rsidR="543832D4" w:rsidRPr="543832D4">
        <w:rPr>
          <w:sz w:val="24"/>
          <w:szCs w:val="24"/>
        </w:rPr>
        <w:t>$2</w:t>
      </w:r>
      <w:r w:rsidR="00782A9F">
        <w:rPr>
          <w:sz w:val="24"/>
          <w:szCs w:val="24"/>
        </w:rPr>
        <w:t>.7</w:t>
      </w:r>
      <w:r w:rsidR="543832D4" w:rsidRPr="543832D4">
        <w:rPr>
          <w:sz w:val="24"/>
          <w:szCs w:val="24"/>
        </w:rPr>
        <w:t xml:space="preserve"> </w:t>
      </w:r>
      <w:r w:rsidR="00782A9F">
        <w:rPr>
          <w:sz w:val="24"/>
          <w:szCs w:val="24"/>
        </w:rPr>
        <w:t>b</w:t>
      </w:r>
      <w:r w:rsidR="543832D4" w:rsidRPr="543832D4">
        <w:rPr>
          <w:sz w:val="24"/>
          <w:szCs w:val="24"/>
        </w:rPr>
        <w:t xml:space="preserve">illion or </w:t>
      </w:r>
      <w:r w:rsidR="00815CA2" w:rsidRPr="543832D4">
        <w:rPr>
          <w:sz w:val="24"/>
          <w:szCs w:val="24"/>
        </w:rPr>
        <w:t>78</w:t>
      </w:r>
      <w:r w:rsidR="00815CA2">
        <w:rPr>
          <w:sz w:val="24"/>
          <w:szCs w:val="24"/>
        </w:rPr>
        <w:t> </w:t>
      </w:r>
      <w:r w:rsidR="543832D4" w:rsidRPr="543832D4">
        <w:rPr>
          <w:sz w:val="24"/>
          <w:szCs w:val="24"/>
        </w:rPr>
        <w:t xml:space="preserve">per cent of our </w:t>
      </w:r>
      <w:r w:rsidR="543832D4" w:rsidRPr="543832D4">
        <w:rPr>
          <w:sz w:val="24"/>
          <w:szCs w:val="24"/>
        </w:rPr>
        <w:lastRenderedPageBreak/>
        <w:t xml:space="preserve">total wool exports on average from 2018-2020). Australia is India’s largest import source for wool, accounting for </w:t>
      </w:r>
      <w:r w:rsidR="00815CA2">
        <w:rPr>
          <w:sz w:val="24"/>
          <w:szCs w:val="24"/>
        </w:rPr>
        <w:t xml:space="preserve">almost 50 </w:t>
      </w:r>
      <w:r w:rsidR="543832D4" w:rsidRPr="543832D4">
        <w:rPr>
          <w:sz w:val="24"/>
          <w:szCs w:val="24"/>
        </w:rPr>
        <w:t xml:space="preserve">per cent of total imports, far exceeding imports from their second-largest import market, New Zealand. </w:t>
      </w:r>
      <w:r w:rsidR="543832D4" w:rsidRPr="543832D4">
        <w:rPr>
          <w:rFonts w:ascii="Calibri" w:eastAsia="Calibri" w:hAnsi="Calibri" w:cs="Calibri"/>
          <w:b/>
          <w:bCs/>
          <w:sz w:val="24"/>
          <w:szCs w:val="24"/>
          <w:u w:val="single"/>
        </w:rPr>
        <w:t xml:space="preserve">Table </w:t>
      </w:r>
      <w:r w:rsidR="00AA64EE">
        <w:rPr>
          <w:rFonts w:ascii="Calibri" w:eastAsia="Calibri" w:hAnsi="Calibri" w:cs="Calibri"/>
          <w:b/>
          <w:bCs/>
          <w:sz w:val="24"/>
          <w:szCs w:val="24"/>
          <w:u w:val="single"/>
        </w:rPr>
        <w:t>5</w:t>
      </w:r>
      <w:r w:rsidR="543832D4" w:rsidRPr="543832D4">
        <w:rPr>
          <w:rFonts w:ascii="Calibri" w:eastAsia="Calibri" w:hAnsi="Calibri" w:cs="Calibri"/>
          <w:sz w:val="24"/>
          <w:szCs w:val="24"/>
        </w:rPr>
        <w:t xml:space="preserve"> outlines the value of Australia’s export of wool and sheep meat to India and the outcomes negotiated in the proposed </w:t>
      </w:r>
      <w:r w:rsidR="0025442D">
        <w:rPr>
          <w:rFonts w:ascii="Calibri" w:eastAsia="Calibri" w:hAnsi="Calibri" w:cs="Calibri"/>
          <w:sz w:val="24"/>
          <w:szCs w:val="24"/>
        </w:rPr>
        <w:t>AI</w:t>
      </w:r>
      <w:r w:rsidR="00217C26">
        <w:rPr>
          <w:rFonts w:ascii="Calibri" w:eastAsia="Calibri" w:hAnsi="Calibri" w:cs="Calibri"/>
          <w:sz w:val="24"/>
          <w:szCs w:val="24"/>
        </w:rPr>
        <w:t xml:space="preserve"> ECTA</w:t>
      </w:r>
      <w:r w:rsidR="543832D4" w:rsidRPr="543832D4">
        <w:rPr>
          <w:rFonts w:ascii="Calibri" w:eastAsia="Calibri" w:hAnsi="Calibri" w:cs="Calibri"/>
          <w:sz w:val="24"/>
          <w:szCs w:val="24"/>
        </w:rPr>
        <w:t xml:space="preserve">. </w:t>
      </w:r>
      <w:r w:rsidR="543832D4" w:rsidRPr="543832D4">
        <w:rPr>
          <w:sz w:val="24"/>
          <w:szCs w:val="24"/>
        </w:rPr>
        <w:t xml:space="preserve">With trade diversification an important aim for Australia, the </w:t>
      </w:r>
      <w:r w:rsidR="0025442D">
        <w:rPr>
          <w:sz w:val="24"/>
          <w:szCs w:val="24"/>
        </w:rPr>
        <w:t>AI</w:t>
      </w:r>
      <w:r w:rsidR="00217C26">
        <w:rPr>
          <w:sz w:val="24"/>
          <w:szCs w:val="24"/>
        </w:rPr>
        <w:t xml:space="preserve"> ECTA</w:t>
      </w:r>
      <w:r w:rsidR="543832D4" w:rsidRPr="543832D4">
        <w:rPr>
          <w:sz w:val="24"/>
          <w:szCs w:val="24"/>
        </w:rPr>
        <w:t xml:space="preserve"> with India provides further opportunities for our wool producers to build on their existing trade with India</w:t>
      </w:r>
    </w:p>
    <w:p w14:paraId="5CF6FADC" w14:textId="77777777" w:rsidR="000F5776" w:rsidRPr="000F5776" w:rsidRDefault="000F5776" w:rsidP="000F5776">
      <w:pPr>
        <w:spacing w:after="0"/>
        <w:rPr>
          <w:b/>
          <w:bCs/>
          <w:u w:val="single"/>
        </w:rPr>
      </w:pPr>
    </w:p>
    <w:p w14:paraId="16871E20" w14:textId="398F97C5" w:rsidR="008E24DC" w:rsidRDefault="00E45EA2" w:rsidP="00BD0B9E">
      <w:pPr>
        <w:spacing w:after="0"/>
        <w:rPr>
          <w:b/>
          <w:bCs/>
        </w:rPr>
      </w:pPr>
      <w:r w:rsidRPr="0001716D">
        <w:rPr>
          <w:b/>
          <w:bCs/>
          <w:u w:val="single"/>
        </w:rPr>
        <w:t xml:space="preserve">Table </w:t>
      </w:r>
      <w:r w:rsidR="00310AB4">
        <w:rPr>
          <w:b/>
          <w:bCs/>
          <w:u w:val="single"/>
        </w:rPr>
        <w:t>5</w:t>
      </w:r>
      <w:r w:rsidRPr="009138F1">
        <w:rPr>
          <w:b/>
          <w:bCs/>
        </w:rPr>
        <w:t>: Summary of</w:t>
      </w:r>
      <w:r w:rsidR="00282215">
        <w:rPr>
          <w:b/>
          <w:bCs/>
        </w:rPr>
        <w:t xml:space="preserve"> </w:t>
      </w:r>
      <w:r w:rsidRPr="009138F1">
        <w:rPr>
          <w:b/>
          <w:bCs/>
        </w:rPr>
        <w:t xml:space="preserve">sheep meat, </w:t>
      </w:r>
      <w:proofErr w:type="gramStart"/>
      <w:r w:rsidRPr="009138F1">
        <w:rPr>
          <w:b/>
          <w:bCs/>
        </w:rPr>
        <w:t>wool</w:t>
      </w:r>
      <w:r w:rsidR="00282215">
        <w:rPr>
          <w:b/>
          <w:bCs/>
        </w:rPr>
        <w:t xml:space="preserve">, </w:t>
      </w:r>
      <w:r w:rsidRPr="009138F1">
        <w:rPr>
          <w:b/>
          <w:bCs/>
        </w:rPr>
        <w:t xml:space="preserve"> and</w:t>
      </w:r>
      <w:proofErr w:type="gramEnd"/>
      <w:r w:rsidRPr="009138F1">
        <w:rPr>
          <w:b/>
          <w:bCs/>
        </w:rPr>
        <w:t xml:space="preserve"> </w:t>
      </w:r>
      <w:r w:rsidR="00282215">
        <w:rPr>
          <w:b/>
          <w:bCs/>
        </w:rPr>
        <w:t>sheep</w:t>
      </w:r>
      <w:r w:rsidRPr="009138F1">
        <w:rPr>
          <w:b/>
          <w:bCs/>
        </w:rPr>
        <w:t xml:space="preserve">skin trade and </w:t>
      </w:r>
      <w:r w:rsidR="001275D3">
        <w:rPr>
          <w:b/>
          <w:bCs/>
        </w:rPr>
        <w:t xml:space="preserve">proposed </w:t>
      </w:r>
      <w:r w:rsidR="0025442D">
        <w:rPr>
          <w:b/>
          <w:bCs/>
        </w:rPr>
        <w:t>AI</w:t>
      </w:r>
      <w:r w:rsidR="00217C26">
        <w:rPr>
          <w:b/>
          <w:bCs/>
        </w:rPr>
        <w:t xml:space="preserve"> ECTA</w:t>
      </w:r>
      <w:r w:rsidRPr="009138F1">
        <w:rPr>
          <w:b/>
          <w:bCs/>
        </w:rPr>
        <w:t xml:space="preserve"> tariff outcomes</w:t>
      </w:r>
    </w:p>
    <w:tbl>
      <w:tblPr>
        <w:tblW w:w="10350" w:type="dxa"/>
        <w:tblLayout w:type="fixed"/>
        <w:tblLook w:val="04A0" w:firstRow="1" w:lastRow="0" w:firstColumn="1" w:lastColumn="0" w:noHBand="0" w:noVBand="1"/>
      </w:tblPr>
      <w:tblGrid>
        <w:gridCol w:w="706"/>
        <w:gridCol w:w="847"/>
        <w:gridCol w:w="2762"/>
        <w:gridCol w:w="1182"/>
        <w:gridCol w:w="1027"/>
        <w:gridCol w:w="665"/>
        <w:gridCol w:w="2013"/>
        <w:gridCol w:w="1148"/>
      </w:tblGrid>
      <w:tr w:rsidR="00335CF7" w:rsidRPr="00F81F50" w14:paraId="31FFFCF7" w14:textId="77777777" w:rsidTr="000F69BD">
        <w:tc>
          <w:tcPr>
            <w:tcW w:w="706" w:type="dxa"/>
            <w:tcBorders>
              <w:top w:val="single" w:sz="4" w:space="0" w:color="auto"/>
              <w:left w:val="nil"/>
              <w:bottom w:val="nil"/>
              <w:right w:val="nil"/>
            </w:tcBorders>
            <w:shd w:val="clear" w:color="auto" w:fill="auto"/>
            <w:noWrap/>
            <w:vAlign w:val="bottom"/>
            <w:hideMark/>
          </w:tcPr>
          <w:p w14:paraId="4D54F23D" w14:textId="77777777" w:rsidR="00335CF7" w:rsidRPr="00530D75" w:rsidRDefault="00335CF7" w:rsidP="000F69BD">
            <w:pPr>
              <w:spacing w:after="0" w:line="240" w:lineRule="auto"/>
              <w:rPr>
                <w:rFonts w:asciiTheme="majorHAnsi" w:eastAsia="Times New Roman" w:hAnsiTheme="majorHAnsi" w:cstheme="majorHAnsi"/>
                <w:b/>
                <w:bCs/>
                <w:sz w:val="18"/>
                <w:szCs w:val="18"/>
                <w:lang w:eastAsia="en-AU"/>
              </w:rPr>
            </w:pPr>
          </w:p>
        </w:tc>
        <w:tc>
          <w:tcPr>
            <w:tcW w:w="3609" w:type="dxa"/>
            <w:gridSpan w:val="2"/>
            <w:tcBorders>
              <w:top w:val="single" w:sz="4" w:space="0" w:color="auto"/>
              <w:left w:val="nil"/>
              <w:bottom w:val="nil"/>
              <w:right w:val="nil"/>
            </w:tcBorders>
            <w:shd w:val="clear" w:color="auto" w:fill="auto"/>
            <w:noWrap/>
            <w:hideMark/>
          </w:tcPr>
          <w:p w14:paraId="4EDDE587" w14:textId="77777777" w:rsidR="00335CF7" w:rsidRPr="00530D75" w:rsidRDefault="00335CF7" w:rsidP="000F69BD">
            <w:pPr>
              <w:spacing w:after="0" w:line="240" w:lineRule="auto"/>
              <w:rPr>
                <w:rFonts w:asciiTheme="majorHAnsi" w:eastAsia="Times New Roman" w:hAnsiTheme="majorHAnsi" w:cstheme="majorHAnsi"/>
                <w:b/>
                <w:color w:val="000000"/>
                <w:sz w:val="18"/>
                <w:szCs w:val="18"/>
                <w:lang w:eastAsia="en-AU"/>
              </w:rPr>
            </w:pPr>
            <w:r w:rsidRPr="00530D75">
              <w:rPr>
                <w:rFonts w:asciiTheme="majorHAnsi" w:eastAsia="Times New Roman" w:hAnsiTheme="majorHAnsi" w:cstheme="majorHAnsi"/>
                <w:b/>
                <w:color w:val="000000"/>
                <w:sz w:val="18"/>
                <w:szCs w:val="18"/>
                <w:lang w:eastAsia="en-AU"/>
              </w:rPr>
              <w:t>Commodity items (HS 6-digit)</w:t>
            </w:r>
          </w:p>
        </w:tc>
        <w:tc>
          <w:tcPr>
            <w:tcW w:w="2209" w:type="dxa"/>
            <w:gridSpan w:val="2"/>
            <w:tcBorders>
              <w:top w:val="single" w:sz="4" w:space="0" w:color="auto"/>
              <w:left w:val="nil"/>
              <w:bottom w:val="nil"/>
              <w:right w:val="nil"/>
            </w:tcBorders>
            <w:shd w:val="clear" w:color="auto" w:fill="auto"/>
            <w:noWrap/>
            <w:vAlign w:val="bottom"/>
            <w:hideMark/>
          </w:tcPr>
          <w:p w14:paraId="31BB3DF1" w14:textId="77777777" w:rsidR="00335CF7" w:rsidRPr="00530D75" w:rsidRDefault="00335CF7" w:rsidP="000F69BD">
            <w:pPr>
              <w:spacing w:after="0" w:line="240" w:lineRule="auto"/>
              <w:jc w:val="center"/>
              <w:rPr>
                <w:rFonts w:asciiTheme="majorHAnsi" w:eastAsia="Times New Roman" w:hAnsiTheme="majorHAnsi" w:cstheme="majorHAnsi"/>
                <w:b/>
                <w:color w:val="000000"/>
                <w:sz w:val="18"/>
                <w:szCs w:val="18"/>
                <w:lang w:eastAsia="en-AU"/>
              </w:rPr>
            </w:pPr>
            <w:r w:rsidRPr="00530D75">
              <w:rPr>
                <w:rFonts w:asciiTheme="majorHAnsi" w:eastAsia="Times New Roman" w:hAnsiTheme="majorHAnsi" w:cstheme="majorHAnsi"/>
                <w:b/>
                <w:color w:val="000000"/>
                <w:sz w:val="18"/>
                <w:szCs w:val="18"/>
                <w:lang w:eastAsia="en-AU"/>
              </w:rPr>
              <w:t>India's imports of Australian goods</w:t>
            </w:r>
            <w:r w:rsidRPr="00530D75">
              <w:rPr>
                <w:rFonts w:asciiTheme="majorHAnsi" w:eastAsia="Times New Roman" w:hAnsiTheme="majorHAnsi" w:cstheme="majorHAnsi"/>
                <w:b/>
                <w:color w:val="000000"/>
                <w:sz w:val="18"/>
                <w:szCs w:val="18"/>
                <w:lang w:eastAsia="en-AU"/>
              </w:rPr>
              <w:br/>
              <w:t>(average, 2018-2020)</w:t>
            </w:r>
          </w:p>
        </w:tc>
        <w:tc>
          <w:tcPr>
            <w:tcW w:w="665" w:type="dxa"/>
            <w:vMerge w:val="restart"/>
            <w:tcBorders>
              <w:top w:val="single" w:sz="4" w:space="0" w:color="auto"/>
              <w:left w:val="nil"/>
              <w:right w:val="nil"/>
            </w:tcBorders>
            <w:shd w:val="clear" w:color="auto" w:fill="auto"/>
            <w:noWrap/>
            <w:hideMark/>
          </w:tcPr>
          <w:p w14:paraId="77440E7B" w14:textId="77777777" w:rsidR="00335CF7" w:rsidRPr="00530D75" w:rsidRDefault="00335CF7" w:rsidP="000F69BD">
            <w:pPr>
              <w:spacing w:after="0" w:line="240" w:lineRule="auto"/>
              <w:jc w:val="center"/>
              <w:rPr>
                <w:rFonts w:asciiTheme="majorHAnsi" w:eastAsia="Times New Roman" w:hAnsiTheme="majorHAnsi" w:cstheme="majorHAnsi"/>
                <w:b/>
                <w:color w:val="000000"/>
                <w:sz w:val="18"/>
                <w:szCs w:val="18"/>
                <w:lang w:eastAsia="en-AU"/>
              </w:rPr>
            </w:pPr>
            <w:r w:rsidRPr="00530D75">
              <w:rPr>
                <w:rFonts w:asciiTheme="majorHAnsi" w:eastAsia="Times New Roman" w:hAnsiTheme="majorHAnsi" w:cstheme="majorHAnsi"/>
                <w:b/>
                <w:color w:val="000000"/>
                <w:sz w:val="18"/>
                <w:szCs w:val="18"/>
                <w:lang w:eastAsia="en-AU"/>
              </w:rPr>
              <w:t>Base rate</w:t>
            </w:r>
            <w:r>
              <w:rPr>
                <w:rFonts w:asciiTheme="majorHAnsi" w:eastAsia="Times New Roman" w:hAnsiTheme="majorHAnsi" w:cstheme="majorHAnsi"/>
                <w:b/>
                <w:color w:val="000000"/>
                <w:sz w:val="18"/>
                <w:szCs w:val="18"/>
                <w:lang w:eastAsia="en-AU"/>
              </w:rPr>
              <w:t xml:space="preserve"> tariff</w:t>
            </w:r>
            <w:r w:rsidRPr="00530D75">
              <w:rPr>
                <w:rFonts w:asciiTheme="majorHAnsi" w:eastAsia="Times New Roman" w:hAnsiTheme="majorHAnsi" w:cstheme="majorHAnsi"/>
                <w:b/>
                <w:color w:val="000000"/>
                <w:sz w:val="18"/>
                <w:szCs w:val="18"/>
                <w:lang w:eastAsia="en-AU"/>
              </w:rPr>
              <w:t xml:space="preserve"> (%)</w:t>
            </w:r>
          </w:p>
        </w:tc>
        <w:tc>
          <w:tcPr>
            <w:tcW w:w="2013" w:type="dxa"/>
            <w:vMerge w:val="restart"/>
            <w:tcBorders>
              <w:top w:val="single" w:sz="4" w:space="0" w:color="auto"/>
              <w:left w:val="nil"/>
              <w:right w:val="nil"/>
            </w:tcBorders>
            <w:shd w:val="clear" w:color="auto" w:fill="auto"/>
            <w:noWrap/>
            <w:hideMark/>
          </w:tcPr>
          <w:p w14:paraId="08EC6CEA" w14:textId="77777777" w:rsidR="00335CF7" w:rsidRPr="00530D75" w:rsidRDefault="00335CF7" w:rsidP="000F69BD">
            <w:pPr>
              <w:spacing w:after="0" w:line="240" w:lineRule="auto"/>
              <w:rPr>
                <w:rFonts w:asciiTheme="majorHAnsi" w:eastAsia="Times New Roman" w:hAnsiTheme="majorHAnsi" w:cstheme="majorHAnsi"/>
                <w:b/>
                <w:color w:val="000000"/>
                <w:sz w:val="18"/>
                <w:szCs w:val="18"/>
                <w:lang w:eastAsia="en-AU"/>
              </w:rPr>
            </w:pPr>
            <w:r w:rsidRPr="00530D75">
              <w:rPr>
                <w:rFonts w:asciiTheme="majorHAnsi" w:eastAsia="Times New Roman" w:hAnsiTheme="majorHAnsi" w:cstheme="majorHAnsi"/>
                <w:b/>
                <w:color w:val="000000"/>
                <w:sz w:val="18"/>
                <w:szCs w:val="18"/>
                <w:lang w:eastAsia="en-AU"/>
              </w:rPr>
              <w:t>Tariff reduction outcome</w:t>
            </w:r>
          </w:p>
        </w:tc>
        <w:tc>
          <w:tcPr>
            <w:tcW w:w="1148" w:type="dxa"/>
            <w:vMerge w:val="restart"/>
            <w:tcBorders>
              <w:top w:val="single" w:sz="4" w:space="0" w:color="auto"/>
              <w:left w:val="nil"/>
              <w:right w:val="nil"/>
            </w:tcBorders>
            <w:shd w:val="clear" w:color="auto" w:fill="auto"/>
            <w:noWrap/>
            <w:hideMark/>
          </w:tcPr>
          <w:p w14:paraId="711AF398" w14:textId="77777777" w:rsidR="00335CF7" w:rsidRPr="00530D75" w:rsidRDefault="00335CF7" w:rsidP="000F69BD">
            <w:pPr>
              <w:spacing w:after="0" w:line="240" w:lineRule="auto"/>
              <w:jc w:val="right"/>
              <w:rPr>
                <w:rFonts w:asciiTheme="majorHAnsi" w:eastAsia="Times New Roman" w:hAnsiTheme="majorHAnsi" w:cstheme="majorHAnsi"/>
                <w:b/>
                <w:color w:val="000000"/>
                <w:sz w:val="18"/>
                <w:szCs w:val="18"/>
                <w:lang w:eastAsia="en-AU"/>
              </w:rPr>
            </w:pPr>
            <w:r>
              <w:rPr>
                <w:rFonts w:asciiTheme="majorHAnsi" w:eastAsia="Times New Roman" w:hAnsiTheme="majorHAnsi" w:cstheme="majorHAnsi"/>
                <w:b/>
                <w:color w:val="000000"/>
                <w:sz w:val="18"/>
                <w:szCs w:val="18"/>
                <w:lang w:eastAsia="en-AU"/>
              </w:rPr>
              <w:t>Tariff amount (average, 2018-</w:t>
            </w:r>
            <w:proofErr w:type="gramStart"/>
            <w:r>
              <w:rPr>
                <w:rFonts w:asciiTheme="majorHAnsi" w:eastAsia="Times New Roman" w:hAnsiTheme="majorHAnsi" w:cstheme="majorHAnsi"/>
                <w:b/>
                <w:color w:val="000000"/>
                <w:sz w:val="18"/>
                <w:szCs w:val="18"/>
                <w:lang w:eastAsia="en-AU"/>
              </w:rPr>
              <w:t>2020)</w:t>
            </w:r>
            <w:r w:rsidRPr="00894292">
              <w:rPr>
                <w:rFonts w:asciiTheme="majorHAnsi" w:eastAsia="Times New Roman" w:hAnsiTheme="majorHAnsi" w:cstheme="majorHAnsi"/>
                <w:b/>
                <w:color w:val="000000"/>
                <w:sz w:val="18"/>
                <w:szCs w:val="18"/>
                <w:lang w:eastAsia="en-AU"/>
              </w:rPr>
              <w:t>*</w:t>
            </w:r>
            <w:proofErr w:type="gramEnd"/>
            <w:r w:rsidRPr="00894292">
              <w:rPr>
                <w:rFonts w:asciiTheme="majorHAnsi" w:eastAsia="Times New Roman" w:hAnsiTheme="majorHAnsi" w:cstheme="majorHAnsi"/>
                <w:b/>
                <w:color w:val="000000"/>
                <w:sz w:val="18"/>
                <w:szCs w:val="18"/>
                <w:lang w:eastAsia="en-AU"/>
              </w:rPr>
              <w:br/>
            </w:r>
            <w:r w:rsidRPr="004C7621">
              <w:rPr>
                <w:rFonts w:asciiTheme="majorHAnsi" w:eastAsia="Times New Roman" w:hAnsiTheme="majorHAnsi" w:cstheme="majorHAnsi"/>
                <w:bCs/>
                <w:color w:val="000000"/>
                <w:sz w:val="18"/>
                <w:szCs w:val="18"/>
                <w:lang w:eastAsia="en-AU"/>
              </w:rPr>
              <w:t>($A)</w:t>
            </w:r>
          </w:p>
        </w:tc>
      </w:tr>
      <w:tr w:rsidR="007C01E6" w:rsidRPr="00F81F50" w14:paraId="2A06303D" w14:textId="77777777" w:rsidTr="000F69BD">
        <w:tc>
          <w:tcPr>
            <w:tcW w:w="706" w:type="dxa"/>
            <w:tcBorders>
              <w:top w:val="nil"/>
              <w:left w:val="nil"/>
              <w:bottom w:val="single" w:sz="4" w:space="0" w:color="auto"/>
              <w:right w:val="nil"/>
            </w:tcBorders>
            <w:shd w:val="clear" w:color="auto" w:fill="auto"/>
            <w:noWrap/>
            <w:vAlign w:val="bottom"/>
            <w:hideMark/>
          </w:tcPr>
          <w:p w14:paraId="44985530" w14:textId="77777777" w:rsidR="007C01E6" w:rsidRPr="00530D75" w:rsidRDefault="007C01E6" w:rsidP="007C01E6">
            <w:pPr>
              <w:spacing w:after="0" w:line="240" w:lineRule="auto"/>
              <w:rPr>
                <w:rFonts w:asciiTheme="majorHAnsi" w:eastAsia="Times New Roman" w:hAnsiTheme="majorHAnsi" w:cstheme="majorHAnsi"/>
                <w:color w:val="000000"/>
                <w:sz w:val="18"/>
                <w:szCs w:val="18"/>
                <w:lang w:eastAsia="en-AU"/>
              </w:rPr>
            </w:pPr>
          </w:p>
        </w:tc>
        <w:tc>
          <w:tcPr>
            <w:tcW w:w="847" w:type="dxa"/>
            <w:tcBorders>
              <w:top w:val="nil"/>
              <w:left w:val="nil"/>
              <w:bottom w:val="single" w:sz="4" w:space="0" w:color="auto"/>
              <w:right w:val="nil"/>
            </w:tcBorders>
            <w:shd w:val="clear" w:color="auto" w:fill="auto"/>
            <w:noWrap/>
            <w:vAlign w:val="bottom"/>
            <w:hideMark/>
          </w:tcPr>
          <w:p w14:paraId="2308FAE4" w14:textId="77777777" w:rsidR="007C01E6" w:rsidRPr="00530D75" w:rsidRDefault="007C01E6" w:rsidP="007C01E6">
            <w:pPr>
              <w:spacing w:after="0" w:line="240" w:lineRule="auto"/>
              <w:rPr>
                <w:rFonts w:asciiTheme="majorHAnsi" w:eastAsia="Times New Roman" w:hAnsiTheme="majorHAnsi" w:cstheme="majorHAnsi"/>
                <w:color w:val="000000"/>
                <w:sz w:val="18"/>
                <w:szCs w:val="18"/>
                <w:lang w:eastAsia="en-AU"/>
              </w:rPr>
            </w:pPr>
            <w:r w:rsidRPr="00530D75">
              <w:rPr>
                <w:rFonts w:asciiTheme="majorHAnsi" w:eastAsia="Times New Roman" w:hAnsiTheme="majorHAnsi" w:cstheme="majorHAnsi"/>
                <w:color w:val="000000"/>
                <w:sz w:val="18"/>
                <w:szCs w:val="18"/>
                <w:lang w:eastAsia="en-AU"/>
              </w:rPr>
              <w:t>Code</w:t>
            </w:r>
          </w:p>
        </w:tc>
        <w:tc>
          <w:tcPr>
            <w:tcW w:w="2762" w:type="dxa"/>
            <w:tcBorders>
              <w:top w:val="nil"/>
              <w:left w:val="nil"/>
              <w:bottom w:val="single" w:sz="4" w:space="0" w:color="auto"/>
              <w:right w:val="nil"/>
            </w:tcBorders>
            <w:shd w:val="clear" w:color="auto" w:fill="auto"/>
            <w:noWrap/>
            <w:vAlign w:val="bottom"/>
            <w:hideMark/>
          </w:tcPr>
          <w:p w14:paraId="2A8DB83F" w14:textId="77777777" w:rsidR="007C01E6" w:rsidRPr="00530D75" w:rsidRDefault="007C01E6" w:rsidP="007C01E6">
            <w:pPr>
              <w:spacing w:after="0" w:line="240" w:lineRule="auto"/>
              <w:rPr>
                <w:rFonts w:asciiTheme="majorHAnsi" w:eastAsia="Times New Roman" w:hAnsiTheme="majorHAnsi" w:cstheme="majorHAnsi"/>
                <w:color w:val="000000"/>
                <w:sz w:val="18"/>
                <w:szCs w:val="18"/>
                <w:lang w:eastAsia="en-AU"/>
              </w:rPr>
            </w:pPr>
            <w:r w:rsidRPr="00530D75">
              <w:rPr>
                <w:rFonts w:asciiTheme="majorHAnsi" w:eastAsia="Times New Roman" w:hAnsiTheme="majorHAnsi" w:cstheme="majorHAnsi"/>
                <w:color w:val="000000"/>
                <w:sz w:val="18"/>
                <w:szCs w:val="18"/>
                <w:lang w:eastAsia="en-AU"/>
              </w:rPr>
              <w:t>Description</w:t>
            </w:r>
          </w:p>
        </w:tc>
        <w:tc>
          <w:tcPr>
            <w:tcW w:w="1182" w:type="dxa"/>
            <w:tcBorders>
              <w:top w:val="nil"/>
              <w:left w:val="nil"/>
              <w:bottom w:val="single" w:sz="4" w:space="0" w:color="auto"/>
              <w:right w:val="nil"/>
            </w:tcBorders>
            <w:shd w:val="clear" w:color="auto" w:fill="auto"/>
            <w:noWrap/>
            <w:vAlign w:val="bottom"/>
            <w:hideMark/>
          </w:tcPr>
          <w:p w14:paraId="19E2244D" w14:textId="77777777" w:rsidR="007C01E6" w:rsidRPr="00530D75" w:rsidRDefault="007C01E6" w:rsidP="007C01E6">
            <w:pPr>
              <w:spacing w:after="0" w:line="240" w:lineRule="auto"/>
              <w:rPr>
                <w:rFonts w:asciiTheme="majorHAnsi" w:eastAsia="Times New Roman" w:hAnsiTheme="majorHAnsi" w:cstheme="majorHAnsi"/>
                <w:sz w:val="18"/>
                <w:szCs w:val="18"/>
                <w:lang w:eastAsia="en-AU"/>
              </w:rPr>
            </w:pPr>
            <w:r w:rsidRPr="00530D75">
              <w:rPr>
                <w:rFonts w:asciiTheme="majorHAnsi" w:eastAsia="Times New Roman" w:hAnsiTheme="majorHAnsi" w:cstheme="majorHAnsi"/>
                <w:sz w:val="18"/>
                <w:szCs w:val="18"/>
                <w:lang w:eastAsia="en-AU"/>
              </w:rPr>
              <w:t>Value ($A)</w:t>
            </w:r>
          </w:p>
        </w:tc>
        <w:tc>
          <w:tcPr>
            <w:tcW w:w="1027" w:type="dxa"/>
            <w:tcBorders>
              <w:top w:val="nil"/>
              <w:left w:val="nil"/>
              <w:bottom w:val="single" w:sz="4" w:space="0" w:color="auto"/>
              <w:right w:val="nil"/>
            </w:tcBorders>
            <w:shd w:val="clear" w:color="auto" w:fill="auto"/>
            <w:noWrap/>
            <w:vAlign w:val="bottom"/>
            <w:hideMark/>
          </w:tcPr>
          <w:p w14:paraId="13976888" w14:textId="54BE39F4" w:rsidR="007C01E6" w:rsidRPr="00530D75" w:rsidRDefault="007C01E6" w:rsidP="007C01E6">
            <w:pPr>
              <w:spacing w:after="0" w:line="240" w:lineRule="auto"/>
              <w:rPr>
                <w:rFonts w:asciiTheme="majorHAnsi" w:eastAsia="Times New Roman" w:hAnsiTheme="majorHAnsi" w:cstheme="majorHAnsi"/>
                <w:sz w:val="18"/>
                <w:szCs w:val="18"/>
                <w:lang w:eastAsia="en-AU"/>
              </w:rPr>
            </w:pPr>
            <w:r w:rsidRPr="00894292">
              <w:rPr>
                <w:rFonts w:asciiTheme="majorHAnsi" w:eastAsia="Times New Roman" w:hAnsiTheme="majorHAnsi" w:cstheme="majorHAnsi"/>
                <w:color w:val="000000"/>
                <w:sz w:val="18"/>
                <w:szCs w:val="18"/>
                <w:lang w:eastAsia="en-AU"/>
              </w:rPr>
              <w:t xml:space="preserve">% </w:t>
            </w:r>
            <w:proofErr w:type="gramStart"/>
            <w:r w:rsidRPr="00894292">
              <w:rPr>
                <w:rFonts w:asciiTheme="majorHAnsi" w:eastAsia="Times New Roman" w:hAnsiTheme="majorHAnsi" w:cstheme="majorHAnsi"/>
                <w:color w:val="000000"/>
                <w:sz w:val="18"/>
                <w:szCs w:val="18"/>
                <w:lang w:eastAsia="en-AU"/>
              </w:rPr>
              <w:t>of</w:t>
            </w:r>
            <w:proofErr w:type="gramEnd"/>
            <w:r w:rsidRPr="00894292">
              <w:rPr>
                <w:rFonts w:asciiTheme="majorHAnsi" w:eastAsia="Times New Roman" w:hAnsiTheme="majorHAnsi" w:cstheme="majorHAnsi"/>
                <w:color w:val="000000"/>
                <w:sz w:val="18"/>
                <w:szCs w:val="18"/>
                <w:lang w:eastAsia="en-AU"/>
              </w:rPr>
              <w:t xml:space="preserve"> </w:t>
            </w:r>
            <w:r>
              <w:rPr>
                <w:rFonts w:asciiTheme="majorHAnsi" w:eastAsia="Times New Roman" w:hAnsiTheme="majorHAnsi" w:cstheme="majorHAnsi"/>
                <w:color w:val="000000"/>
                <w:sz w:val="18"/>
                <w:szCs w:val="18"/>
                <w:lang w:eastAsia="en-AU"/>
              </w:rPr>
              <w:t>India’s global</w:t>
            </w:r>
            <w:r w:rsidRPr="00894292">
              <w:rPr>
                <w:rFonts w:asciiTheme="majorHAnsi" w:eastAsia="Times New Roman" w:hAnsiTheme="majorHAnsi" w:cstheme="majorHAnsi"/>
                <w:color w:val="000000"/>
                <w:sz w:val="18"/>
                <w:szCs w:val="18"/>
                <w:lang w:eastAsia="en-AU"/>
              </w:rPr>
              <w:t xml:space="preserve"> imports</w:t>
            </w:r>
          </w:p>
        </w:tc>
        <w:tc>
          <w:tcPr>
            <w:tcW w:w="665" w:type="dxa"/>
            <w:vMerge/>
            <w:tcBorders>
              <w:left w:val="nil"/>
              <w:bottom w:val="single" w:sz="4" w:space="0" w:color="auto"/>
              <w:right w:val="nil"/>
            </w:tcBorders>
            <w:shd w:val="clear" w:color="auto" w:fill="auto"/>
            <w:noWrap/>
            <w:vAlign w:val="bottom"/>
            <w:hideMark/>
          </w:tcPr>
          <w:p w14:paraId="3291D29E" w14:textId="77777777" w:rsidR="007C01E6" w:rsidRPr="00530D75" w:rsidRDefault="007C01E6" w:rsidP="007C01E6">
            <w:pPr>
              <w:spacing w:after="0" w:line="240" w:lineRule="auto"/>
              <w:rPr>
                <w:rFonts w:asciiTheme="majorHAnsi" w:eastAsia="Times New Roman" w:hAnsiTheme="majorHAnsi" w:cstheme="majorHAnsi"/>
                <w:sz w:val="18"/>
                <w:szCs w:val="18"/>
                <w:lang w:eastAsia="en-AU"/>
              </w:rPr>
            </w:pPr>
          </w:p>
        </w:tc>
        <w:tc>
          <w:tcPr>
            <w:tcW w:w="2013" w:type="dxa"/>
            <w:vMerge/>
            <w:tcBorders>
              <w:left w:val="nil"/>
              <w:bottom w:val="single" w:sz="4" w:space="0" w:color="auto"/>
              <w:right w:val="nil"/>
            </w:tcBorders>
            <w:shd w:val="clear" w:color="auto" w:fill="auto"/>
            <w:noWrap/>
            <w:vAlign w:val="bottom"/>
            <w:hideMark/>
          </w:tcPr>
          <w:p w14:paraId="1F49CD7E" w14:textId="77777777" w:rsidR="007C01E6" w:rsidRPr="00530D75" w:rsidRDefault="007C01E6" w:rsidP="007C01E6">
            <w:pPr>
              <w:spacing w:after="0" w:line="240" w:lineRule="auto"/>
              <w:rPr>
                <w:rFonts w:asciiTheme="majorHAnsi" w:eastAsia="Times New Roman" w:hAnsiTheme="majorHAnsi" w:cstheme="majorHAnsi"/>
                <w:sz w:val="18"/>
                <w:szCs w:val="18"/>
                <w:lang w:eastAsia="en-AU"/>
              </w:rPr>
            </w:pPr>
          </w:p>
        </w:tc>
        <w:tc>
          <w:tcPr>
            <w:tcW w:w="1148" w:type="dxa"/>
            <w:vMerge/>
            <w:tcBorders>
              <w:left w:val="nil"/>
              <w:bottom w:val="single" w:sz="4" w:space="0" w:color="auto"/>
              <w:right w:val="nil"/>
            </w:tcBorders>
            <w:shd w:val="clear" w:color="auto" w:fill="auto"/>
            <w:noWrap/>
            <w:vAlign w:val="bottom"/>
            <w:hideMark/>
          </w:tcPr>
          <w:p w14:paraId="6D5D294C" w14:textId="77777777" w:rsidR="007C01E6" w:rsidRPr="00530D75" w:rsidRDefault="007C01E6" w:rsidP="007C01E6">
            <w:pPr>
              <w:spacing w:after="0" w:line="240" w:lineRule="auto"/>
              <w:rPr>
                <w:rFonts w:asciiTheme="majorHAnsi" w:eastAsia="Times New Roman" w:hAnsiTheme="majorHAnsi" w:cstheme="majorHAnsi"/>
                <w:sz w:val="18"/>
                <w:szCs w:val="18"/>
                <w:lang w:eastAsia="en-AU"/>
              </w:rPr>
            </w:pPr>
          </w:p>
        </w:tc>
      </w:tr>
      <w:tr w:rsidR="00335CF7" w:rsidRPr="00F81F50" w14:paraId="11807BEC" w14:textId="77777777" w:rsidTr="000F69BD">
        <w:tc>
          <w:tcPr>
            <w:tcW w:w="10350" w:type="dxa"/>
            <w:gridSpan w:val="8"/>
            <w:tcBorders>
              <w:top w:val="single" w:sz="4" w:space="0" w:color="auto"/>
              <w:left w:val="nil"/>
              <w:bottom w:val="single" w:sz="4" w:space="0" w:color="auto"/>
              <w:right w:val="nil"/>
            </w:tcBorders>
            <w:shd w:val="clear" w:color="auto" w:fill="auto"/>
            <w:noWrap/>
            <w:vAlign w:val="bottom"/>
            <w:hideMark/>
          </w:tcPr>
          <w:p w14:paraId="4A754FBA" w14:textId="77777777" w:rsidR="00335CF7" w:rsidRPr="00530D75" w:rsidRDefault="00335CF7" w:rsidP="000F69BD">
            <w:pPr>
              <w:spacing w:after="0" w:line="240" w:lineRule="auto"/>
              <w:rPr>
                <w:rFonts w:asciiTheme="majorHAnsi" w:eastAsia="Times New Roman" w:hAnsiTheme="majorHAnsi" w:cstheme="majorHAnsi"/>
                <w:b/>
                <w:bCs/>
                <w:sz w:val="18"/>
                <w:szCs w:val="18"/>
                <w:lang w:eastAsia="en-AU"/>
              </w:rPr>
            </w:pPr>
            <w:r w:rsidRPr="00530D75">
              <w:rPr>
                <w:rFonts w:asciiTheme="majorHAnsi" w:eastAsia="Times New Roman" w:hAnsiTheme="majorHAnsi" w:cstheme="majorHAnsi"/>
                <w:b/>
                <w:bCs/>
                <w:color w:val="000000"/>
                <w:sz w:val="18"/>
                <w:szCs w:val="18"/>
                <w:lang w:eastAsia="en-AU"/>
              </w:rPr>
              <w:t>Sheep meat</w:t>
            </w:r>
          </w:p>
        </w:tc>
      </w:tr>
      <w:tr w:rsidR="00335CF7" w:rsidRPr="00F81F50" w14:paraId="20360CA2" w14:textId="77777777" w:rsidTr="000F69BD">
        <w:tc>
          <w:tcPr>
            <w:tcW w:w="706" w:type="dxa"/>
            <w:tcBorders>
              <w:top w:val="single" w:sz="4" w:space="0" w:color="auto"/>
              <w:left w:val="nil"/>
              <w:right w:val="nil"/>
            </w:tcBorders>
            <w:shd w:val="clear" w:color="auto" w:fill="auto"/>
            <w:noWrap/>
            <w:vAlign w:val="center"/>
          </w:tcPr>
          <w:p w14:paraId="091ECF0D" w14:textId="77777777" w:rsidR="00335CF7" w:rsidRPr="003E25E4" w:rsidRDefault="00335CF7" w:rsidP="000F69BD">
            <w:pPr>
              <w:spacing w:after="0" w:line="240" w:lineRule="auto"/>
              <w:rPr>
                <w:rFonts w:asciiTheme="majorHAnsi" w:eastAsia="Times New Roman" w:hAnsiTheme="majorHAnsi" w:cstheme="majorHAnsi"/>
                <w:color w:val="000000"/>
                <w:sz w:val="18"/>
                <w:szCs w:val="18"/>
                <w:lang w:eastAsia="en-AU"/>
              </w:rPr>
            </w:pPr>
          </w:p>
        </w:tc>
        <w:tc>
          <w:tcPr>
            <w:tcW w:w="847" w:type="dxa"/>
            <w:tcBorders>
              <w:top w:val="single" w:sz="4" w:space="0" w:color="auto"/>
              <w:left w:val="nil"/>
              <w:right w:val="nil"/>
            </w:tcBorders>
            <w:shd w:val="clear" w:color="auto" w:fill="auto"/>
            <w:noWrap/>
            <w:vAlign w:val="center"/>
          </w:tcPr>
          <w:p w14:paraId="7DF9CFAE" w14:textId="77777777" w:rsidR="00335CF7" w:rsidRPr="003E25E4"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010410</w:t>
            </w:r>
          </w:p>
        </w:tc>
        <w:tc>
          <w:tcPr>
            <w:tcW w:w="2762" w:type="dxa"/>
            <w:tcBorders>
              <w:top w:val="single" w:sz="4" w:space="0" w:color="auto"/>
              <w:left w:val="nil"/>
              <w:right w:val="nil"/>
            </w:tcBorders>
            <w:shd w:val="clear" w:color="auto" w:fill="auto"/>
            <w:noWrap/>
            <w:vAlign w:val="center"/>
          </w:tcPr>
          <w:p w14:paraId="73A13B9F" w14:textId="77777777" w:rsidR="00335CF7" w:rsidRPr="003E25E4" w:rsidRDefault="00335CF7" w:rsidP="000F69BD">
            <w:pPr>
              <w:spacing w:after="0" w:line="240" w:lineRule="auto"/>
              <w:rPr>
                <w:rFonts w:asciiTheme="majorHAnsi" w:eastAsia="Times New Roman" w:hAnsiTheme="majorHAnsi" w:cstheme="majorHAnsi"/>
                <w:color w:val="000000"/>
                <w:sz w:val="16"/>
                <w:szCs w:val="16"/>
                <w:lang w:eastAsia="en-AU"/>
              </w:rPr>
            </w:pPr>
            <w:r w:rsidRPr="00284549">
              <w:rPr>
                <w:rFonts w:asciiTheme="majorHAnsi" w:hAnsiTheme="majorHAnsi" w:cstheme="majorHAnsi"/>
                <w:sz w:val="16"/>
                <w:szCs w:val="16"/>
              </w:rPr>
              <w:t>sheep, live</w:t>
            </w:r>
          </w:p>
        </w:tc>
        <w:tc>
          <w:tcPr>
            <w:tcW w:w="1182" w:type="dxa"/>
            <w:tcBorders>
              <w:top w:val="single" w:sz="4" w:space="0" w:color="auto"/>
              <w:left w:val="nil"/>
              <w:right w:val="nil"/>
            </w:tcBorders>
            <w:shd w:val="clear" w:color="auto" w:fill="auto"/>
            <w:noWrap/>
            <w:vAlign w:val="center"/>
          </w:tcPr>
          <w:p w14:paraId="0B7934E2" w14:textId="77777777" w:rsidR="00335CF7" w:rsidRPr="003E25E4"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1,614,412</w:t>
            </w:r>
          </w:p>
        </w:tc>
        <w:tc>
          <w:tcPr>
            <w:tcW w:w="1027" w:type="dxa"/>
            <w:tcBorders>
              <w:top w:val="single" w:sz="4" w:space="0" w:color="auto"/>
              <w:left w:val="nil"/>
              <w:right w:val="nil"/>
            </w:tcBorders>
            <w:shd w:val="clear" w:color="auto" w:fill="auto"/>
            <w:noWrap/>
            <w:vAlign w:val="center"/>
          </w:tcPr>
          <w:p w14:paraId="43EE67CA" w14:textId="77777777" w:rsidR="00335CF7" w:rsidRPr="003E25E4"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100.0%</w:t>
            </w:r>
          </w:p>
        </w:tc>
        <w:tc>
          <w:tcPr>
            <w:tcW w:w="665" w:type="dxa"/>
            <w:tcBorders>
              <w:top w:val="single" w:sz="4" w:space="0" w:color="auto"/>
              <w:left w:val="nil"/>
              <w:right w:val="nil"/>
            </w:tcBorders>
            <w:shd w:val="clear" w:color="auto" w:fill="auto"/>
            <w:noWrap/>
            <w:vAlign w:val="center"/>
          </w:tcPr>
          <w:p w14:paraId="2C10983C" w14:textId="77777777" w:rsidR="00335CF7" w:rsidRPr="003E25E4"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30</w:t>
            </w:r>
          </w:p>
        </w:tc>
        <w:tc>
          <w:tcPr>
            <w:tcW w:w="2013" w:type="dxa"/>
            <w:tcBorders>
              <w:top w:val="single" w:sz="4" w:space="0" w:color="auto"/>
              <w:left w:val="nil"/>
              <w:right w:val="nil"/>
            </w:tcBorders>
            <w:shd w:val="clear" w:color="auto" w:fill="auto"/>
            <w:noWrap/>
            <w:vAlign w:val="center"/>
          </w:tcPr>
          <w:p w14:paraId="13AD0633" w14:textId="77777777" w:rsidR="00335CF7" w:rsidRPr="003E25E4" w:rsidRDefault="00335CF7" w:rsidP="000F69BD">
            <w:pPr>
              <w:spacing w:after="0" w:line="240" w:lineRule="auto"/>
              <w:rPr>
                <w:rFonts w:asciiTheme="majorHAnsi" w:eastAsia="Times New Roman" w:hAnsiTheme="majorHAnsi" w:cstheme="majorHAnsi"/>
                <w:color w:val="000000"/>
                <w:sz w:val="16"/>
                <w:szCs w:val="16"/>
                <w:lang w:eastAsia="en-AU"/>
              </w:rPr>
            </w:pPr>
            <w:r w:rsidRPr="00284549">
              <w:rPr>
                <w:rFonts w:asciiTheme="majorHAnsi" w:hAnsiTheme="majorHAnsi" w:cstheme="majorHAnsi"/>
                <w:sz w:val="16"/>
                <w:szCs w:val="16"/>
              </w:rPr>
              <w:t>Excluded</w:t>
            </w:r>
          </w:p>
        </w:tc>
        <w:tc>
          <w:tcPr>
            <w:tcW w:w="1148" w:type="dxa"/>
            <w:tcBorders>
              <w:top w:val="single" w:sz="4" w:space="0" w:color="auto"/>
              <w:left w:val="nil"/>
              <w:right w:val="nil"/>
            </w:tcBorders>
            <w:shd w:val="clear" w:color="auto" w:fill="auto"/>
            <w:noWrap/>
            <w:vAlign w:val="center"/>
          </w:tcPr>
          <w:p w14:paraId="6FD3822E" w14:textId="77777777" w:rsidR="00335CF7" w:rsidRPr="003E25E4"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484,324</w:t>
            </w:r>
          </w:p>
        </w:tc>
      </w:tr>
      <w:tr w:rsidR="00335CF7" w:rsidRPr="00F81F50" w14:paraId="13525EBC" w14:textId="77777777" w:rsidTr="000F69BD">
        <w:tc>
          <w:tcPr>
            <w:tcW w:w="706" w:type="dxa"/>
            <w:tcBorders>
              <w:left w:val="nil"/>
              <w:bottom w:val="nil"/>
              <w:right w:val="nil"/>
            </w:tcBorders>
            <w:shd w:val="clear" w:color="auto" w:fill="auto"/>
            <w:noWrap/>
            <w:vAlign w:val="center"/>
            <w:hideMark/>
          </w:tcPr>
          <w:p w14:paraId="548F684F" w14:textId="77777777" w:rsidR="00335CF7" w:rsidRPr="003E25E4"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CH2</w:t>
            </w:r>
          </w:p>
        </w:tc>
        <w:tc>
          <w:tcPr>
            <w:tcW w:w="847" w:type="dxa"/>
            <w:tcBorders>
              <w:left w:val="nil"/>
              <w:bottom w:val="nil"/>
              <w:right w:val="nil"/>
            </w:tcBorders>
            <w:shd w:val="clear" w:color="auto" w:fill="auto"/>
            <w:noWrap/>
            <w:vAlign w:val="center"/>
            <w:hideMark/>
          </w:tcPr>
          <w:p w14:paraId="1CA18727" w14:textId="77777777" w:rsidR="00335CF7" w:rsidRPr="003E25E4"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020410</w:t>
            </w:r>
          </w:p>
        </w:tc>
        <w:tc>
          <w:tcPr>
            <w:tcW w:w="2762" w:type="dxa"/>
            <w:tcBorders>
              <w:left w:val="nil"/>
              <w:bottom w:val="nil"/>
              <w:right w:val="nil"/>
            </w:tcBorders>
            <w:shd w:val="clear" w:color="auto" w:fill="auto"/>
            <w:noWrap/>
            <w:vAlign w:val="center"/>
            <w:hideMark/>
          </w:tcPr>
          <w:p w14:paraId="7BCA9E95" w14:textId="77777777" w:rsidR="00335CF7" w:rsidRPr="003E25E4" w:rsidRDefault="00335CF7" w:rsidP="000F69BD">
            <w:pPr>
              <w:spacing w:after="0" w:line="240" w:lineRule="auto"/>
              <w:rPr>
                <w:rFonts w:asciiTheme="majorHAnsi" w:eastAsia="Times New Roman" w:hAnsiTheme="majorHAnsi" w:cstheme="majorHAnsi"/>
                <w:color w:val="000000"/>
                <w:sz w:val="16"/>
                <w:szCs w:val="16"/>
                <w:lang w:eastAsia="en-AU"/>
              </w:rPr>
            </w:pPr>
            <w:r w:rsidRPr="00284549">
              <w:rPr>
                <w:rFonts w:asciiTheme="majorHAnsi" w:hAnsiTheme="majorHAnsi" w:cstheme="majorHAnsi"/>
                <w:sz w:val="16"/>
                <w:szCs w:val="16"/>
              </w:rPr>
              <w:t>carcasses and half-carcasses of lamb, fresh or chilled</w:t>
            </w:r>
          </w:p>
        </w:tc>
        <w:tc>
          <w:tcPr>
            <w:tcW w:w="1182" w:type="dxa"/>
            <w:tcBorders>
              <w:left w:val="nil"/>
              <w:bottom w:val="nil"/>
              <w:right w:val="nil"/>
            </w:tcBorders>
            <w:shd w:val="clear" w:color="auto" w:fill="auto"/>
            <w:noWrap/>
            <w:vAlign w:val="center"/>
            <w:hideMark/>
          </w:tcPr>
          <w:p w14:paraId="2732BBE8" w14:textId="77777777" w:rsidR="00335CF7" w:rsidRPr="003E25E4"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0</w:t>
            </w:r>
          </w:p>
        </w:tc>
        <w:tc>
          <w:tcPr>
            <w:tcW w:w="1027" w:type="dxa"/>
            <w:tcBorders>
              <w:left w:val="nil"/>
              <w:bottom w:val="nil"/>
              <w:right w:val="nil"/>
            </w:tcBorders>
            <w:shd w:val="clear" w:color="auto" w:fill="auto"/>
            <w:noWrap/>
            <w:vAlign w:val="center"/>
            <w:hideMark/>
          </w:tcPr>
          <w:p w14:paraId="605F7DD5" w14:textId="77777777" w:rsidR="00335CF7" w:rsidRPr="003E25E4"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w:t>
            </w:r>
          </w:p>
        </w:tc>
        <w:tc>
          <w:tcPr>
            <w:tcW w:w="665" w:type="dxa"/>
            <w:tcBorders>
              <w:left w:val="nil"/>
              <w:bottom w:val="nil"/>
              <w:right w:val="nil"/>
            </w:tcBorders>
            <w:shd w:val="clear" w:color="auto" w:fill="auto"/>
            <w:noWrap/>
            <w:vAlign w:val="center"/>
            <w:hideMark/>
          </w:tcPr>
          <w:p w14:paraId="4A6B4A51" w14:textId="77777777" w:rsidR="00335CF7" w:rsidRPr="003E25E4"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30</w:t>
            </w:r>
          </w:p>
        </w:tc>
        <w:tc>
          <w:tcPr>
            <w:tcW w:w="2013" w:type="dxa"/>
            <w:tcBorders>
              <w:left w:val="nil"/>
              <w:bottom w:val="nil"/>
              <w:right w:val="nil"/>
            </w:tcBorders>
            <w:shd w:val="clear" w:color="auto" w:fill="auto"/>
            <w:noWrap/>
            <w:vAlign w:val="center"/>
            <w:hideMark/>
          </w:tcPr>
          <w:p w14:paraId="110EDB86" w14:textId="77777777" w:rsidR="00335CF7" w:rsidRPr="003E25E4" w:rsidRDefault="00335CF7" w:rsidP="000F69BD">
            <w:pPr>
              <w:spacing w:after="0" w:line="240" w:lineRule="auto"/>
              <w:rPr>
                <w:rFonts w:asciiTheme="majorHAnsi" w:eastAsia="Times New Roman" w:hAnsiTheme="majorHAnsi" w:cstheme="majorHAnsi"/>
                <w:color w:val="000000"/>
                <w:sz w:val="16"/>
                <w:szCs w:val="16"/>
                <w:lang w:eastAsia="en-AU"/>
              </w:rPr>
            </w:pPr>
            <w:r w:rsidRPr="00284549">
              <w:rPr>
                <w:rFonts w:asciiTheme="majorHAnsi" w:hAnsiTheme="majorHAnsi" w:cstheme="majorHAnsi"/>
                <w:sz w:val="16"/>
                <w:szCs w:val="16"/>
              </w:rPr>
              <w:t>Eliminated on entry-into-force with conditions</w:t>
            </w:r>
          </w:p>
        </w:tc>
        <w:tc>
          <w:tcPr>
            <w:tcW w:w="1148" w:type="dxa"/>
            <w:tcBorders>
              <w:left w:val="nil"/>
              <w:bottom w:val="nil"/>
              <w:right w:val="nil"/>
            </w:tcBorders>
            <w:shd w:val="clear" w:color="auto" w:fill="auto"/>
            <w:noWrap/>
            <w:vAlign w:val="center"/>
            <w:hideMark/>
          </w:tcPr>
          <w:p w14:paraId="02084BD8" w14:textId="77777777" w:rsidR="00335CF7" w:rsidRPr="003E25E4"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0</w:t>
            </w:r>
          </w:p>
        </w:tc>
      </w:tr>
      <w:tr w:rsidR="00335CF7" w:rsidRPr="00F81F50" w14:paraId="664E9072" w14:textId="77777777" w:rsidTr="000F69BD">
        <w:tc>
          <w:tcPr>
            <w:tcW w:w="706" w:type="dxa"/>
            <w:tcBorders>
              <w:top w:val="nil"/>
              <w:left w:val="nil"/>
              <w:bottom w:val="nil"/>
              <w:right w:val="nil"/>
            </w:tcBorders>
            <w:shd w:val="clear" w:color="auto" w:fill="auto"/>
            <w:noWrap/>
            <w:vAlign w:val="center"/>
            <w:hideMark/>
          </w:tcPr>
          <w:p w14:paraId="5A090DCB" w14:textId="77777777" w:rsidR="00335CF7" w:rsidRPr="003E25E4"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CH2</w:t>
            </w:r>
          </w:p>
        </w:tc>
        <w:tc>
          <w:tcPr>
            <w:tcW w:w="847" w:type="dxa"/>
            <w:tcBorders>
              <w:top w:val="nil"/>
              <w:left w:val="nil"/>
              <w:bottom w:val="nil"/>
              <w:right w:val="nil"/>
            </w:tcBorders>
            <w:shd w:val="clear" w:color="auto" w:fill="auto"/>
            <w:noWrap/>
            <w:vAlign w:val="center"/>
            <w:hideMark/>
          </w:tcPr>
          <w:p w14:paraId="2862F7C5" w14:textId="77777777" w:rsidR="00335CF7" w:rsidRPr="003E25E4"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020421</w:t>
            </w:r>
          </w:p>
        </w:tc>
        <w:tc>
          <w:tcPr>
            <w:tcW w:w="2762" w:type="dxa"/>
            <w:tcBorders>
              <w:top w:val="nil"/>
              <w:left w:val="nil"/>
              <w:bottom w:val="nil"/>
              <w:right w:val="nil"/>
            </w:tcBorders>
            <w:shd w:val="clear" w:color="auto" w:fill="auto"/>
            <w:noWrap/>
            <w:vAlign w:val="center"/>
            <w:hideMark/>
          </w:tcPr>
          <w:p w14:paraId="77C7FDEE" w14:textId="77777777" w:rsidR="00335CF7" w:rsidRPr="003E25E4" w:rsidRDefault="00335CF7" w:rsidP="000F69BD">
            <w:pPr>
              <w:spacing w:after="0" w:line="240" w:lineRule="auto"/>
              <w:rPr>
                <w:rFonts w:asciiTheme="majorHAnsi" w:eastAsia="Times New Roman" w:hAnsiTheme="majorHAnsi" w:cstheme="majorHAnsi"/>
                <w:color w:val="000000"/>
                <w:sz w:val="16"/>
                <w:szCs w:val="16"/>
                <w:lang w:eastAsia="en-AU"/>
              </w:rPr>
            </w:pPr>
            <w:r w:rsidRPr="00284549">
              <w:rPr>
                <w:rFonts w:asciiTheme="majorHAnsi" w:hAnsiTheme="majorHAnsi" w:cstheme="majorHAnsi"/>
                <w:sz w:val="16"/>
                <w:szCs w:val="16"/>
              </w:rPr>
              <w:t>carcasses and half-carcasses of sheep, fresh or chilled</w:t>
            </w:r>
          </w:p>
        </w:tc>
        <w:tc>
          <w:tcPr>
            <w:tcW w:w="1182" w:type="dxa"/>
            <w:tcBorders>
              <w:top w:val="nil"/>
              <w:left w:val="nil"/>
              <w:bottom w:val="nil"/>
              <w:right w:val="nil"/>
            </w:tcBorders>
            <w:shd w:val="clear" w:color="auto" w:fill="auto"/>
            <w:noWrap/>
            <w:vAlign w:val="center"/>
            <w:hideMark/>
          </w:tcPr>
          <w:p w14:paraId="4E658A99" w14:textId="77777777" w:rsidR="00335CF7" w:rsidRPr="003E25E4"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0</w:t>
            </w:r>
          </w:p>
        </w:tc>
        <w:tc>
          <w:tcPr>
            <w:tcW w:w="1027" w:type="dxa"/>
            <w:tcBorders>
              <w:top w:val="nil"/>
              <w:left w:val="nil"/>
              <w:bottom w:val="nil"/>
              <w:right w:val="nil"/>
            </w:tcBorders>
            <w:shd w:val="clear" w:color="auto" w:fill="auto"/>
            <w:noWrap/>
            <w:vAlign w:val="center"/>
            <w:hideMark/>
          </w:tcPr>
          <w:p w14:paraId="2882E23B" w14:textId="77777777" w:rsidR="00335CF7" w:rsidRPr="003E25E4"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w:t>
            </w:r>
          </w:p>
        </w:tc>
        <w:tc>
          <w:tcPr>
            <w:tcW w:w="665" w:type="dxa"/>
            <w:tcBorders>
              <w:top w:val="nil"/>
              <w:left w:val="nil"/>
              <w:bottom w:val="nil"/>
              <w:right w:val="nil"/>
            </w:tcBorders>
            <w:shd w:val="clear" w:color="auto" w:fill="auto"/>
            <w:noWrap/>
            <w:vAlign w:val="center"/>
            <w:hideMark/>
          </w:tcPr>
          <w:p w14:paraId="402DB252" w14:textId="77777777" w:rsidR="00335CF7" w:rsidRPr="003E25E4"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30</w:t>
            </w:r>
          </w:p>
        </w:tc>
        <w:tc>
          <w:tcPr>
            <w:tcW w:w="2013" w:type="dxa"/>
            <w:tcBorders>
              <w:top w:val="nil"/>
              <w:left w:val="nil"/>
              <w:bottom w:val="nil"/>
              <w:right w:val="nil"/>
            </w:tcBorders>
            <w:shd w:val="clear" w:color="auto" w:fill="auto"/>
            <w:noWrap/>
            <w:vAlign w:val="center"/>
            <w:hideMark/>
          </w:tcPr>
          <w:p w14:paraId="341ED92B" w14:textId="77777777" w:rsidR="00335CF7" w:rsidRPr="003E25E4" w:rsidRDefault="00335CF7" w:rsidP="000F69BD">
            <w:pPr>
              <w:spacing w:after="0" w:line="240" w:lineRule="auto"/>
              <w:rPr>
                <w:rFonts w:asciiTheme="majorHAnsi" w:eastAsia="Times New Roman" w:hAnsiTheme="majorHAnsi" w:cstheme="majorHAnsi"/>
                <w:color w:val="000000"/>
                <w:sz w:val="16"/>
                <w:szCs w:val="16"/>
                <w:lang w:eastAsia="en-AU"/>
              </w:rPr>
            </w:pPr>
            <w:r w:rsidRPr="00284549">
              <w:rPr>
                <w:rFonts w:asciiTheme="majorHAnsi" w:hAnsiTheme="majorHAnsi" w:cstheme="majorHAnsi"/>
                <w:sz w:val="16"/>
                <w:szCs w:val="16"/>
              </w:rPr>
              <w:t>Eliminated on entry-into-force with conditions</w:t>
            </w:r>
          </w:p>
        </w:tc>
        <w:tc>
          <w:tcPr>
            <w:tcW w:w="1148" w:type="dxa"/>
            <w:tcBorders>
              <w:top w:val="nil"/>
              <w:left w:val="nil"/>
              <w:bottom w:val="nil"/>
              <w:right w:val="nil"/>
            </w:tcBorders>
            <w:shd w:val="clear" w:color="auto" w:fill="auto"/>
            <w:noWrap/>
            <w:vAlign w:val="center"/>
            <w:hideMark/>
          </w:tcPr>
          <w:p w14:paraId="1E7E173F" w14:textId="77777777" w:rsidR="00335CF7" w:rsidRPr="003E25E4"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0</w:t>
            </w:r>
          </w:p>
        </w:tc>
      </w:tr>
      <w:tr w:rsidR="00335CF7" w:rsidRPr="00F81F50" w14:paraId="5FF3E9E9" w14:textId="77777777" w:rsidTr="000F69BD">
        <w:tc>
          <w:tcPr>
            <w:tcW w:w="706" w:type="dxa"/>
            <w:tcBorders>
              <w:top w:val="nil"/>
              <w:left w:val="nil"/>
              <w:bottom w:val="nil"/>
              <w:right w:val="nil"/>
            </w:tcBorders>
            <w:shd w:val="clear" w:color="auto" w:fill="auto"/>
            <w:noWrap/>
            <w:vAlign w:val="center"/>
            <w:hideMark/>
          </w:tcPr>
          <w:p w14:paraId="6F0846F8" w14:textId="77777777" w:rsidR="00335CF7" w:rsidRPr="003E25E4"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CH2</w:t>
            </w:r>
          </w:p>
        </w:tc>
        <w:tc>
          <w:tcPr>
            <w:tcW w:w="847" w:type="dxa"/>
            <w:tcBorders>
              <w:top w:val="nil"/>
              <w:left w:val="nil"/>
              <w:bottom w:val="nil"/>
              <w:right w:val="nil"/>
            </w:tcBorders>
            <w:shd w:val="clear" w:color="auto" w:fill="auto"/>
            <w:noWrap/>
            <w:vAlign w:val="center"/>
            <w:hideMark/>
          </w:tcPr>
          <w:p w14:paraId="2B9784F7" w14:textId="77777777" w:rsidR="00335CF7" w:rsidRPr="003E25E4"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020422</w:t>
            </w:r>
          </w:p>
        </w:tc>
        <w:tc>
          <w:tcPr>
            <w:tcW w:w="2762" w:type="dxa"/>
            <w:tcBorders>
              <w:top w:val="nil"/>
              <w:left w:val="nil"/>
              <w:bottom w:val="nil"/>
              <w:right w:val="nil"/>
            </w:tcBorders>
            <w:shd w:val="clear" w:color="auto" w:fill="auto"/>
            <w:noWrap/>
            <w:vAlign w:val="center"/>
            <w:hideMark/>
          </w:tcPr>
          <w:p w14:paraId="6ED4CEB8" w14:textId="77777777" w:rsidR="00335CF7" w:rsidRPr="003E25E4" w:rsidRDefault="00335CF7" w:rsidP="000F69BD">
            <w:pPr>
              <w:spacing w:after="0" w:line="240" w:lineRule="auto"/>
              <w:rPr>
                <w:rFonts w:asciiTheme="majorHAnsi" w:eastAsia="Times New Roman" w:hAnsiTheme="majorHAnsi" w:cstheme="majorHAnsi"/>
                <w:color w:val="000000"/>
                <w:sz w:val="16"/>
                <w:szCs w:val="16"/>
                <w:lang w:eastAsia="en-AU"/>
              </w:rPr>
            </w:pPr>
            <w:r w:rsidRPr="00284549">
              <w:rPr>
                <w:rFonts w:asciiTheme="majorHAnsi" w:hAnsiTheme="majorHAnsi" w:cstheme="majorHAnsi"/>
                <w:sz w:val="16"/>
                <w:szCs w:val="16"/>
              </w:rPr>
              <w:t xml:space="preserve">meat of sheep, cuts with bone in, </w:t>
            </w:r>
            <w:proofErr w:type="spellStart"/>
            <w:r w:rsidRPr="00284549">
              <w:rPr>
                <w:rFonts w:asciiTheme="majorHAnsi" w:hAnsiTheme="majorHAnsi" w:cstheme="majorHAnsi"/>
                <w:sz w:val="16"/>
                <w:szCs w:val="16"/>
              </w:rPr>
              <w:t>nesoi</w:t>
            </w:r>
            <w:proofErr w:type="spellEnd"/>
            <w:r w:rsidRPr="00284549">
              <w:rPr>
                <w:rFonts w:asciiTheme="majorHAnsi" w:hAnsiTheme="majorHAnsi" w:cstheme="majorHAnsi"/>
                <w:sz w:val="16"/>
                <w:szCs w:val="16"/>
              </w:rPr>
              <w:t>, fresh or chilled</w:t>
            </w:r>
          </w:p>
        </w:tc>
        <w:tc>
          <w:tcPr>
            <w:tcW w:w="1182" w:type="dxa"/>
            <w:tcBorders>
              <w:top w:val="nil"/>
              <w:left w:val="nil"/>
              <w:bottom w:val="nil"/>
              <w:right w:val="nil"/>
            </w:tcBorders>
            <w:shd w:val="clear" w:color="auto" w:fill="auto"/>
            <w:noWrap/>
            <w:vAlign w:val="center"/>
            <w:hideMark/>
          </w:tcPr>
          <w:p w14:paraId="750B649F" w14:textId="77777777" w:rsidR="00335CF7" w:rsidRPr="003E25E4"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0</w:t>
            </w:r>
          </w:p>
        </w:tc>
        <w:tc>
          <w:tcPr>
            <w:tcW w:w="1027" w:type="dxa"/>
            <w:tcBorders>
              <w:top w:val="nil"/>
              <w:left w:val="nil"/>
              <w:bottom w:val="nil"/>
              <w:right w:val="nil"/>
            </w:tcBorders>
            <w:shd w:val="clear" w:color="auto" w:fill="auto"/>
            <w:noWrap/>
            <w:vAlign w:val="center"/>
            <w:hideMark/>
          </w:tcPr>
          <w:p w14:paraId="51202AA9" w14:textId="77777777" w:rsidR="00335CF7" w:rsidRPr="003E25E4"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0.0%</w:t>
            </w:r>
          </w:p>
        </w:tc>
        <w:tc>
          <w:tcPr>
            <w:tcW w:w="665" w:type="dxa"/>
            <w:tcBorders>
              <w:top w:val="nil"/>
              <w:left w:val="nil"/>
              <w:bottom w:val="nil"/>
              <w:right w:val="nil"/>
            </w:tcBorders>
            <w:shd w:val="clear" w:color="auto" w:fill="auto"/>
            <w:noWrap/>
            <w:vAlign w:val="center"/>
            <w:hideMark/>
          </w:tcPr>
          <w:p w14:paraId="5A117BD2" w14:textId="77777777" w:rsidR="00335CF7" w:rsidRPr="003E25E4"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30</w:t>
            </w:r>
          </w:p>
        </w:tc>
        <w:tc>
          <w:tcPr>
            <w:tcW w:w="2013" w:type="dxa"/>
            <w:tcBorders>
              <w:top w:val="nil"/>
              <w:left w:val="nil"/>
              <w:bottom w:val="nil"/>
              <w:right w:val="nil"/>
            </w:tcBorders>
            <w:shd w:val="clear" w:color="auto" w:fill="auto"/>
            <w:noWrap/>
            <w:vAlign w:val="center"/>
            <w:hideMark/>
          </w:tcPr>
          <w:p w14:paraId="6BC80CBD" w14:textId="77777777" w:rsidR="00335CF7" w:rsidRPr="003E25E4" w:rsidRDefault="00335CF7" w:rsidP="000F69BD">
            <w:pPr>
              <w:spacing w:after="0" w:line="240" w:lineRule="auto"/>
              <w:rPr>
                <w:rFonts w:asciiTheme="majorHAnsi" w:eastAsia="Times New Roman" w:hAnsiTheme="majorHAnsi" w:cstheme="majorHAnsi"/>
                <w:color w:val="000000"/>
                <w:sz w:val="16"/>
                <w:szCs w:val="16"/>
                <w:lang w:eastAsia="en-AU"/>
              </w:rPr>
            </w:pPr>
            <w:r w:rsidRPr="00284549">
              <w:rPr>
                <w:rFonts w:asciiTheme="majorHAnsi" w:hAnsiTheme="majorHAnsi" w:cstheme="majorHAnsi"/>
                <w:sz w:val="16"/>
                <w:szCs w:val="16"/>
              </w:rPr>
              <w:t>Eliminated on entry-into-force with conditions</w:t>
            </w:r>
          </w:p>
        </w:tc>
        <w:tc>
          <w:tcPr>
            <w:tcW w:w="1148" w:type="dxa"/>
            <w:tcBorders>
              <w:top w:val="nil"/>
              <w:left w:val="nil"/>
              <w:bottom w:val="nil"/>
              <w:right w:val="nil"/>
            </w:tcBorders>
            <w:shd w:val="clear" w:color="auto" w:fill="auto"/>
            <w:noWrap/>
            <w:vAlign w:val="center"/>
            <w:hideMark/>
          </w:tcPr>
          <w:p w14:paraId="749DAC9D" w14:textId="77777777" w:rsidR="00335CF7" w:rsidRPr="003E25E4"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0</w:t>
            </w:r>
          </w:p>
        </w:tc>
      </w:tr>
      <w:tr w:rsidR="00335CF7" w:rsidRPr="00F81F50" w14:paraId="5DF9BD4E" w14:textId="77777777" w:rsidTr="000F69BD">
        <w:tc>
          <w:tcPr>
            <w:tcW w:w="706" w:type="dxa"/>
            <w:tcBorders>
              <w:top w:val="nil"/>
              <w:left w:val="nil"/>
              <w:bottom w:val="nil"/>
              <w:right w:val="nil"/>
            </w:tcBorders>
            <w:shd w:val="clear" w:color="auto" w:fill="auto"/>
            <w:noWrap/>
            <w:vAlign w:val="center"/>
            <w:hideMark/>
          </w:tcPr>
          <w:p w14:paraId="2B61789F" w14:textId="77777777" w:rsidR="00335CF7" w:rsidRPr="003E25E4"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CH2</w:t>
            </w:r>
          </w:p>
        </w:tc>
        <w:tc>
          <w:tcPr>
            <w:tcW w:w="847" w:type="dxa"/>
            <w:tcBorders>
              <w:top w:val="nil"/>
              <w:left w:val="nil"/>
              <w:bottom w:val="nil"/>
              <w:right w:val="nil"/>
            </w:tcBorders>
            <w:shd w:val="clear" w:color="auto" w:fill="auto"/>
            <w:noWrap/>
            <w:vAlign w:val="center"/>
            <w:hideMark/>
          </w:tcPr>
          <w:p w14:paraId="555D3198" w14:textId="77777777" w:rsidR="00335CF7" w:rsidRPr="003E25E4"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020423</w:t>
            </w:r>
          </w:p>
        </w:tc>
        <w:tc>
          <w:tcPr>
            <w:tcW w:w="2762" w:type="dxa"/>
            <w:tcBorders>
              <w:top w:val="nil"/>
              <w:left w:val="nil"/>
              <w:bottom w:val="nil"/>
              <w:right w:val="nil"/>
            </w:tcBorders>
            <w:shd w:val="clear" w:color="auto" w:fill="auto"/>
            <w:noWrap/>
            <w:vAlign w:val="center"/>
            <w:hideMark/>
          </w:tcPr>
          <w:p w14:paraId="73447925" w14:textId="77777777" w:rsidR="00335CF7" w:rsidRPr="003E25E4" w:rsidRDefault="00335CF7" w:rsidP="000F69BD">
            <w:pPr>
              <w:spacing w:after="0" w:line="240" w:lineRule="auto"/>
              <w:rPr>
                <w:rFonts w:asciiTheme="majorHAnsi" w:eastAsia="Times New Roman" w:hAnsiTheme="majorHAnsi" w:cstheme="majorHAnsi"/>
                <w:color w:val="000000"/>
                <w:sz w:val="16"/>
                <w:szCs w:val="16"/>
                <w:lang w:eastAsia="en-AU"/>
              </w:rPr>
            </w:pPr>
            <w:r w:rsidRPr="00284549">
              <w:rPr>
                <w:rFonts w:asciiTheme="majorHAnsi" w:hAnsiTheme="majorHAnsi" w:cstheme="majorHAnsi"/>
                <w:sz w:val="16"/>
                <w:szCs w:val="16"/>
              </w:rPr>
              <w:t xml:space="preserve">meat of sheep, boneless, </w:t>
            </w:r>
            <w:proofErr w:type="gramStart"/>
            <w:r w:rsidRPr="00284549">
              <w:rPr>
                <w:rFonts w:asciiTheme="majorHAnsi" w:hAnsiTheme="majorHAnsi" w:cstheme="majorHAnsi"/>
                <w:sz w:val="16"/>
                <w:szCs w:val="16"/>
              </w:rPr>
              <w:t>fresh</w:t>
            </w:r>
            <w:proofErr w:type="gramEnd"/>
            <w:r w:rsidRPr="00284549">
              <w:rPr>
                <w:rFonts w:asciiTheme="majorHAnsi" w:hAnsiTheme="majorHAnsi" w:cstheme="majorHAnsi"/>
                <w:sz w:val="16"/>
                <w:szCs w:val="16"/>
              </w:rPr>
              <w:t xml:space="preserve"> or chilled</w:t>
            </w:r>
          </w:p>
        </w:tc>
        <w:tc>
          <w:tcPr>
            <w:tcW w:w="1182" w:type="dxa"/>
            <w:tcBorders>
              <w:top w:val="nil"/>
              <w:left w:val="nil"/>
              <w:bottom w:val="nil"/>
              <w:right w:val="nil"/>
            </w:tcBorders>
            <w:shd w:val="clear" w:color="auto" w:fill="auto"/>
            <w:noWrap/>
            <w:vAlign w:val="center"/>
            <w:hideMark/>
          </w:tcPr>
          <w:p w14:paraId="24E873FC" w14:textId="77777777" w:rsidR="00335CF7" w:rsidRPr="003E25E4"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12,206</w:t>
            </w:r>
          </w:p>
        </w:tc>
        <w:tc>
          <w:tcPr>
            <w:tcW w:w="1027" w:type="dxa"/>
            <w:tcBorders>
              <w:top w:val="nil"/>
              <w:left w:val="nil"/>
              <w:bottom w:val="nil"/>
              <w:right w:val="nil"/>
            </w:tcBorders>
            <w:shd w:val="clear" w:color="auto" w:fill="auto"/>
            <w:noWrap/>
            <w:vAlign w:val="center"/>
            <w:hideMark/>
          </w:tcPr>
          <w:p w14:paraId="04B641A0" w14:textId="77777777" w:rsidR="00335CF7" w:rsidRPr="003E25E4"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76.5%</w:t>
            </w:r>
          </w:p>
        </w:tc>
        <w:tc>
          <w:tcPr>
            <w:tcW w:w="665" w:type="dxa"/>
            <w:tcBorders>
              <w:top w:val="nil"/>
              <w:left w:val="nil"/>
              <w:bottom w:val="nil"/>
              <w:right w:val="nil"/>
            </w:tcBorders>
            <w:shd w:val="clear" w:color="auto" w:fill="auto"/>
            <w:noWrap/>
            <w:vAlign w:val="center"/>
            <w:hideMark/>
          </w:tcPr>
          <w:p w14:paraId="5F0037A4" w14:textId="77777777" w:rsidR="00335CF7" w:rsidRPr="003E25E4"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30</w:t>
            </w:r>
          </w:p>
        </w:tc>
        <w:tc>
          <w:tcPr>
            <w:tcW w:w="2013" w:type="dxa"/>
            <w:tcBorders>
              <w:top w:val="nil"/>
              <w:left w:val="nil"/>
              <w:bottom w:val="nil"/>
              <w:right w:val="nil"/>
            </w:tcBorders>
            <w:shd w:val="clear" w:color="auto" w:fill="auto"/>
            <w:noWrap/>
            <w:vAlign w:val="center"/>
            <w:hideMark/>
          </w:tcPr>
          <w:p w14:paraId="26638857" w14:textId="77777777" w:rsidR="00335CF7" w:rsidRPr="003E25E4" w:rsidRDefault="00335CF7" w:rsidP="000F69BD">
            <w:pPr>
              <w:spacing w:after="0" w:line="240" w:lineRule="auto"/>
              <w:rPr>
                <w:rFonts w:asciiTheme="majorHAnsi" w:eastAsia="Times New Roman" w:hAnsiTheme="majorHAnsi" w:cstheme="majorHAnsi"/>
                <w:color w:val="000000"/>
                <w:sz w:val="16"/>
                <w:szCs w:val="16"/>
                <w:lang w:eastAsia="en-AU"/>
              </w:rPr>
            </w:pPr>
            <w:r w:rsidRPr="00284549">
              <w:rPr>
                <w:rFonts w:asciiTheme="majorHAnsi" w:hAnsiTheme="majorHAnsi" w:cstheme="majorHAnsi"/>
                <w:sz w:val="16"/>
                <w:szCs w:val="16"/>
              </w:rPr>
              <w:t>Eliminated on entry-into-force with conditions</w:t>
            </w:r>
          </w:p>
        </w:tc>
        <w:tc>
          <w:tcPr>
            <w:tcW w:w="1148" w:type="dxa"/>
            <w:tcBorders>
              <w:top w:val="nil"/>
              <w:left w:val="nil"/>
              <w:bottom w:val="nil"/>
              <w:right w:val="nil"/>
            </w:tcBorders>
            <w:shd w:val="clear" w:color="auto" w:fill="auto"/>
            <w:noWrap/>
            <w:vAlign w:val="center"/>
            <w:hideMark/>
          </w:tcPr>
          <w:p w14:paraId="53722B73" w14:textId="77777777" w:rsidR="00335CF7" w:rsidRPr="003E25E4"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3,662</w:t>
            </w:r>
          </w:p>
        </w:tc>
      </w:tr>
      <w:tr w:rsidR="00335CF7" w:rsidRPr="00F81F50" w14:paraId="697266DC" w14:textId="77777777" w:rsidTr="000F69BD">
        <w:tc>
          <w:tcPr>
            <w:tcW w:w="706" w:type="dxa"/>
            <w:tcBorders>
              <w:top w:val="nil"/>
              <w:left w:val="nil"/>
              <w:bottom w:val="nil"/>
              <w:right w:val="nil"/>
            </w:tcBorders>
            <w:shd w:val="clear" w:color="auto" w:fill="auto"/>
            <w:noWrap/>
            <w:vAlign w:val="center"/>
            <w:hideMark/>
          </w:tcPr>
          <w:p w14:paraId="50E05411" w14:textId="77777777" w:rsidR="00335CF7" w:rsidRPr="003E25E4"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CH2</w:t>
            </w:r>
          </w:p>
        </w:tc>
        <w:tc>
          <w:tcPr>
            <w:tcW w:w="847" w:type="dxa"/>
            <w:tcBorders>
              <w:top w:val="nil"/>
              <w:left w:val="nil"/>
              <w:bottom w:val="nil"/>
              <w:right w:val="nil"/>
            </w:tcBorders>
            <w:shd w:val="clear" w:color="auto" w:fill="auto"/>
            <w:noWrap/>
            <w:vAlign w:val="center"/>
            <w:hideMark/>
          </w:tcPr>
          <w:p w14:paraId="4905FE3F" w14:textId="77777777" w:rsidR="00335CF7" w:rsidRPr="003E25E4"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020430</w:t>
            </w:r>
          </w:p>
        </w:tc>
        <w:tc>
          <w:tcPr>
            <w:tcW w:w="2762" w:type="dxa"/>
            <w:tcBorders>
              <w:top w:val="nil"/>
              <w:left w:val="nil"/>
              <w:bottom w:val="nil"/>
              <w:right w:val="nil"/>
            </w:tcBorders>
            <w:shd w:val="clear" w:color="auto" w:fill="auto"/>
            <w:noWrap/>
            <w:vAlign w:val="center"/>
            <w:hideMark/>
          </w:tcPr>
          <w:p w14:paraId="05F78A36" w14:textId="77777777" w:rsidR="00335CF7" w:rsidRPr="003E25E4" w:rsidRDefault="00335CF7" w:rsidP="000F69BD">
            <w:pPr>
              <w:spacing w:after="0" w:line="240" w:lineRule="auto"/>
              <w:rPr>
                <w:rFonts w:asciiTheme="majorHAnsi" w:eastAsia="Times New Roman" w:hAnsiTheme="majorHAnsi" w:cstheme="majorHAnsi"/>
                <w:color w:val="000000"/>
                <w:sz w:val="16"/>
                <w:szCs w:val="16"/>
                <w:lang w:eastAsia="en-AU"/>
              </w:rPr>
            </w:pPr>
            <w:r w:rsidRPr="00284549">
              <w:rPr>
                <w:rFonts w:asciiTheme="majorHAnsi" w:hAnsiTheme="majorHAnsi" w:cstheme="majorHAnsi"/>
                <w:sz w:val="16"/>
                <w:szCs w:val="16"/>
              </w:rPr>
              <w:t>carcasses and half-carcasses of lamb, frozen</w:t>
            </w:r>
          </w:p>
        </w:tc>
        <w:tc>
          <w:tcPr>
            <w:tcW w:w="1182" w:type="dxa"/>
            <w:tcBorders>
              <w:top w:val="nil"/>
              <w:left w:val="nil"/>
              <w:bottom w:val="nil"/>
              <w:right w:val="nil"/>
            </w:tcBorders>
            <w:shd w:val="clear" w:color="auto" w:fill="auto"/>
            <w:noWrap/>
            <w:vAlign w:val="center"/>
            <w:hideMark/>
          </w:tcPr>
          <w:p w14:paraId="047DEC7F" w14:textId="77777777" w:rsidR="00335CF7" w:rsidRPr="003E25E4"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7,536</w:t>
            </w:r>
          </w:p>
        </w:tc>
        <w:tc>
          <w:tcPr>
            <w:tcW w:w="1027" w:type="dxa"/>
            <w:tcBorders>
              <w:top w:val="nil"/>
              <w:left w:val="nil"/>
              <w:bottom w:val="nil"/>
              <w:right w:val="nil"/>
            </w:tcBorders>
            <w:shd w:val="clear" w:color="auto" w:fill="auto"/>
            <w:noWrap/>
            <w:vAlign w:val="center"/>
            <w:hideMark/>
          </w:tcPr>
          <w:p w14:paraId="6DE6846C" w14:textId="77777777" w:rsidR="00335CF7" w:rsidRPr="003E25E4"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47.9%</w:t>
            </w:r>
          </w:p>
        </w:tc>
        <w:tc>
          <w:tcPr>
            <w:tcW w:w="665" w:type="dxa"/>
            <w:tcBorders>
              <w:top w:val="nil"/>
              <w:left w:val="nil"/>
              <w:bottom w:val="nil"/>
              <w:right w:val="nil"/>
            </w:tcBorders>
            <w:shd w:val="clear" w:color="auto" w:fill="auto"/>
            <w:noWrap/>
            <w:vAlign w:val="center"/>
            <w:hideMark/>
          </w:tcPr>
          <w:p w14:paraId="3F731D98" w14:textId="77777777" w:rsidR="00335CF7" w:rsidRPr="003E25E4"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30</w:t>
            </w:r>
          </w:p>
        </w:tc>
        <w:tc>
          <w:tcPr>
            <w:tcW w:w="2013" w:type="dxa"/>
            <w:tcBorders>
              <w:top w:val="nil"/>
              <w:left w:val="nil"/>
              <w:bottom w:val="nil"/>
              <w:right w:val="nil"/>
            </w:tcBorders>
            <w:shd w:val="clear" w:color="auto" w:fill="auto"/>
            <w:noWrap/>
            <w:vAlign w:val="center"/>
            <w:hideMark/>
          </w:tcPr>
          <w:p w14:paraId="3E431B86" w14:textId="77777777" w:rsidR="00335CF7" w:rsidRPr="003E25E4" w:rsidRDefault="00335CF7" w:rsidP="000F69BD">
            <w:pPr>
              <w:spacing w:after="0" w:line="240" w:lineRule="auto"/>
              <w:rPr>
                <w:rFonts w:asciiTheme="majorHAnsi" w:eastAsia="Times New Roman" w:hAnsiTheme="majorHAnsi" w:cstheme="majorHAnsi"/>
                <w:color w:val="000000"/>
                <w:sz w:val="16"/>
                <w:szCs w:val="16"/>
                <w:lang w:eastAsia="en-AU"/>
              </w:rPr>
            </w:pPr>
            <w:r w:rsidRPr="00284549">
              <w:rPr>
                <w:rFonts w:asciiTheme="majorHAnsi" w:hAnsiTheme="majorHAnsi" w:cstheme="majorHAnsi"/>
                <w:sz w:val="16"/>
                <w:szCs w:val="16"/>
              </w:rPr>
              <w:t>Eliminated on entry-into-force with conditions</w:t>
            </w:r>
          </w:p>
        </w:tc>
        <w:tc>
          <w:tcPr>
            <w:tcW w:w="1148" w:type="dxa"/>
            <w:tcBorders>
              <w:top w:val="nil"/>
              <w:left w:val="nil"/>
              <w:bottom w:val="nil"/>
              <w:right w:val="nil"/>
            </w:tcBorders>
            <w:shd w:val="clear" w:color="auto" w:fill="auto"/>
            <w:noWrap/>
            <w:vAlign w:val="center"/>
            <w:hideMark/>
          </w:tcPr>
          <w:p w14:paraId="2F83AC36" w14:textId="77777777" w:rsidR="00335CF7" w:rsidRPr="003E25E4"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2,261</w:t>
            </w:r>
          </w:p>
        </w:tc>
      </w:tr>
      <w:tr w:rsidR="00335CF7" w:rsidRPr="00F81F50" w14:paraId="2133F50C" w14:textId="77777777" w:rsidTr="000F69BD">
        <w:tc>
          <w:tcPr>
            <w:tcW w:w="706" w:type="dxa"/>
            <w:tcBorders>
              <w:top w:val="nil"/>
              <w:left w:val="nil"/>
              <w:bottom w:val="nil"/>
              <w:right w:val="nil"/>
            </w:tcBorders>
            <w:shd w:val="clear" w:color="auto" w:fill="auto"/>
            <w:noWrap/>
            <w:vAlign w:val="center"/>
            <w:hideMark/>
          </w:tcPr>
          <w:p w14:paraId="64E0FE8E" w14:textId="77777777" w:rsidR="00335CF7" w:rsidRPr="003E25E4"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CH2</w:t>
            </w:r>
          </w:p>
        </w:tc>
        <w:tc>
          <w:tcPr>
            <w:tcW w:w="847" w:type="dxa"/>
            <w:tcBorders>
              <w:top w:val="nil"/>
              <w:left w:val="nil"/>
              <w:bottom w:val="nil"/>
              <w:right w:val="nil"/>
            </w:tcBorders>
            <w:shd w:val="clear" w:color="auto" w:fill="auto"/>
            <w:noWrap/>
            <w:vAlign w:val="center"/>
            <w:hideMark/>
          </w:tcPr>
          <w:p w14:paraId="2692785C" w14:textId="77777777" w:rsidR="00335CF7" w:rsidRPr="003E25E4"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020441</w:t>
            </w:r>
          </w:p>
        </w:tc>
        <w:tc>
          <w:tcPr>
            <w:tcW w:w="2762" w:type="dxa"/>
            <w:tcBorders>
              <w:top w:val="nil"/>
              <w:left w:val="nil"/>
              <w:bottom w:val="nil"/>
              <w:right w:val="nil"/>
            </w:tcBorders>
            <w:shd w:val="clear" w:color="auto" w:fill="auto"/>
            <w:noWrap/>
            <w:vAlign w:val="center"/>
            <w:hideMark/>
          </w:tcPr>
          <w:p w14:paraId="5C20350A" w14:textId="77777777" w:rsidR="00335CF7" w:rsidRPr="003E25E4" w:rsidRDefault="00335CF7" w:rsidP="000F69BD">
            <w:pPr>
              <w:spacing w:after="0" w:line="240" w:lineRule="auto"/>
              <w:rPr>
                <w:rFonts w:asciiTheme="majorHAnsi" w:eastAsia="Times New Roman" w:hAnsiTheme="majorHAnsi" w:cstheme="majorHAnsi"/>
                <w:color w:val="000000"/>
                <w:sz w:val="16"/>
                <w:szCs w:val="16"/>
                <w:lang w:eastAsia="en-AU"/>
              </w:rPr>
            </w:pPr>
            <w:r w:rsidRPr="00284549">
              <w:rPr>
                <w:rFonts w:asciiTheme="majorHAnsi" w:hAnsiTheme="majorHAnsi" w:cstheme="majorHAnsi"/>
                <w:sz w:val="16"/>
                <w:szCs w:val="16"/>
              </w:rPr>
              <w:t>carcasses and half-carcasses of sheep, frozen</w:t>
            </w:r>
          </w:p>
        </w:tc>
        <w:tc>
          <w:tcPr>
            <w:tcW w:w="1182" w:type="dxa"/>
            <w:tcBorders>
              <w:top w:val="nil"/>
              <w:left w:val="nil"/>
              <w:bottom w:val="nil"/>
              <w:right w:val="nil"/>
            </w:tcBorders>
            <w:shd w:val="clear" w:color="auto" w:fill="auto"/>
            <w:noWrap/>
            <w:vAlign w:val="center"/>
            <w:hideMark/>
          </w:tcPr>
          <w:p w14:paraId="5A9FB5BF" w14:textId="77777777" w:rsidR="00335CF7" w:rsidRPr="003E25E4"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0</w:t>
            </w:r>
          </w:p>
        </w:tc>
        <w:tc>
          <w:tcPr>
            <w:tcW w:w="1027" w:type="dxa"/>
            <w:tcBorders>
              <w:top w:val="nil"/>
              <w:left w:val="nil"/>
              <w:bottom w:val="nil"/>
              <w:right w:val="nil"/>
            </w:tcBorders>
            <w:shd w:val="clear" w:color="auto" w:fill="auto"/>
            <w:noWrap/>
            <w:vAlign w:val="center"/>
            <w:hideMark/>
          </w:tcPr>
          <w:p w14:paraId="3C0C368E" w14:textId="77777777" w:rsidR="00335CF7" w:rsidRPr="003E25E4"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0.0%</w:t>
            </w:r>
          </w:p>
        </w:tc>
        <w:tc>
          <w:tcPr>
            <w:tcW w:w="665" w:type="dxa"/>
            <w:tcBorders>
              <w:top w:val="nil"/>
              <w:left w:val="nil"/>
              <w:bottom w:val="nil"/>
              <w:right w:val="nil"/>
            </w:tcBorders>
            <w:shd w:val="clear" w:color="auto" w:fill="auto"/>
            <w:noWrap/>
            <w:vAlign w:val="center"/>
            <w:hideMark/>
          </w:tcPr>
          <w:p w14:paraId="3B95BB14" w14:textId="77777777" w:rsidR="00335CF7" w:rsidRPr="003E25E4"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30</w:t>
            </w:r>
          </w:p>
        </w:tc>
        <w:tc>
          <w:tcPr>
            <w:tcW w:w="2013" w:type="dxa"/>
            <w:tcBorders>
              <w:top w:val="nil"/>
              <w:left w:val="nil"/>
              <w:bottom w:val="nil"/>
              <w:right w:val="nil"/>
            </w:tcBorders>
            <w:shd w:val="clear" w:color="auto" w:fill="auto"/>
            <w:noWrap/>
            <w:vAlign w:val="center"/>
            <w:hideMark/>
          </w:tcPr>
          <w:p w14:paraId="7A36D1C4" w14:textId="77777777" w:rsidR="00335CF7" w:rsidRPr="003E25E4" w:rsidRDefault="00335CF7" w:rsidP="000F69BD">
            <w:pPr>
              <w:spacing w:after="0" w:line="240" w:lineRule="auto"/>
              <w:rPr>
                <w:rFonts w:asciiTheme="majorHAnsi" w:eastAsia="Times New Roman" w:hAnsiTheme="majorHAnsi" w:cstheme="majorHAnsi"/>
                <w:color w:val="000000"/>
                <w:sz w:val="16"/>
                <w:szCs w:val="16"/>
                <w:lang w:eastAsia="en-AU"/>
              </w:rPr>
            </w:pPr>
            <w:r w:rsidRPr="00284549">
              <w:rPr>
                <w:rFonts w:asciiTheme="majorHAnsi" w:hAnsiTheme="majorHAnsi" w:cstheme="majorHAnsi"/>
                <w:sz w:val="16"/>
                <w:szCs w:val="16"/>
              </w:rPr>
              <w:t>Eliminated on entry-into-force with conditions</w:t>
            </w:r>
          </w:p>
        </w:tc>
        <w:tc>
          <w:tcPr>
            <w:tcW w:w="1148" w:type="dxa"/>
            <w:tcBorders>
              <w:top w:val="nil"/>
              <w:left w:val="nil"/>
              <w:bottom w:val="nil"/>
              <w:right w:val="nil"/>
            </w:tcBorders>
            <w:shd w:val="clear" w:color="auto" w:fill="auto"/>
            <w:noWrap/>
            <w:vAlign w:val="center"/>
            <w:hideMark/>
          </w:tcPr>
          <w:p w14:paraId="241A54CD" w14:textId="77777777" w:rsidR="00335CF7" w:rsidRPr="003E25E4"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0</w:t>
            </w:r>
          </w:p>
        </w:tc>
      </w:tr>
      <w:tr w:rsidR="00335CF7" w:rsidRPr="00F81F50" w14:paraId="220616BC" w14:textId="77777777" w:rsidTr="000F69BD">
        <w:tc>
          <w:tcPr>
            <w:tcW w:w="706" w:type="dxa"/>
            <w:tcBorders>
              <w:top w:val="nil"/>
              <w:left w:val="nil"/>
              <w:bottom w:val="nil"/>
              <w:right w:val="nil"/>
            </w:tcBorders>
            <w:shd w:val="clear" w:color="auto" w:fill="auto"/>
            <w:noWrap/>
            <w:vAlign w:val="center"/>
            <w:hideMark/>
          </w:tcPr>
          <w:p w14:paraId="614C8627" w14:textId="77777777" w:rsidR="00335CF7" w:rsidRPr="003E25E4"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CH2</w:t>
            </w:r>
          </w:p>
        </w:tc>
        <w:tc>
          <w:tcPr>
            <w:tcW w:w="847" w:type="dxa"/>
            <w:tcBorders>
              <w:top w:val="nil"/>
              <w:left w:val="nil"/>
              <w:bottom w:val="nil"/>
              <w:right w:val="nil"/>
            </w:tcBorders>
            <w:shd w:val="clear" w:color="auto" w:fill="auto"/>
            <w:noWrap/>
            <w:vAlign w:val="center"/>
            <w:hideMark/>
          </w:tcPr>
          <w:p w14:paraId="4FC37A3B" w14:textId="77777777" w:rsidR="00335CF7" w:rsidRPr="003E25E4"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020442</w:t>
            </w:r>
          </w:p>
        </w:tc>
        <w:tc>
          <w:tcPr>
            <w:tcW w:w="2762" w:type="dxa"/>
            <w:tcBorders>
              <w:top w:val="nil"/>
              <w:left w:val="nil"/>
              <w:bottom w:val="nil"/>
              <w:right w:val="nil"/>
            </w:tcBorders>
            <w:shd w:val="clear" w:color="auto" w:fill="auto"/>
            <w:noWrap/>
            <w:vAlign w:val="center"/>
            <w:hideMark/>
          </w:tcPr>
          <w:p w14:paraId="19351123" w14:textId="77777777" w:rsidR="00335CF7" w:rsidRPr="003E25E4" w:rsidRDefault="00335CF7" w:rsidP="000F69BD">
            <w:pPr>
              <w:spacing w:after="0" w:line="240" w:lineRule="auto"/>
              <w:rPr>
                <w:rFonts w:asciiTheme="majorHAnsi" w:eastAsia="Times New Roman" w:hAnsiTheme="majorHAnsi" w:cstheme="majorHAnsi"/>
                <w:color w:val="000000"/>
                <w:sz w:val="16"/>
                <w:szCs w:val="16"/>
                <w:lang w:eastAsia="en-AU"/>
              </w:rPr>
            </w:pPr>
            <w:r w:rsidRPr="00284549">
              <w:rPr>
                <w:rFonts w:asciiTheme="majorHAnsi" w:hAnsiTheme="majorHAnsi" w:cstheme="majorHAnsi"/>
                <w:sz w:val="16"/>
                <w:szCs w:val="16"/>
              </w:rPr>
              <w:t xml:space="preserve">meat of sheep, cuts with bone in, </w:t>
            </w:r>
            <w:proofErr w:type="spellStart"/>
            <w:r w:rsidRPr="00284549">
              <w:rPr>
                <w:rFonts w:asciiTheme="majorHAnsi" w:hAnsiTheme="majorHAnsi" w:cstheme="majorHAnsi"/>
                <w:sz w:val="16"/>
                <w:szCs w:val="16"/>
              </w:rPr>
              <w:t>nesoi</w:t>
            </w:r>
            <w:proofErr w:type="spellEnd"/>
            <w:r w:rsidRPr="00284549">
              <w:rPr>
                <w:rFonts w:asciiTheme="majorHAnsi" w:hAnsiTheme="majorHAnsi" w:cstheme="majorHAnsi"/>
                <w:sz w:val="16"/>
                <w:szCs w:val="16"/>
              </w:rPr>
              <w:t>, frozen</w:t>
            </w:r>
          </w:p>
        </w:tc>
        <w:tc>
          <w:tcPr>
            <w:tcW w:w="1182" w:type="dxa"/>
            <w:tcBorders>
              <w:top w:val="nil"/>
              <w:left w:val="nil"/>
              <w:bottom w:val="nil"/>
              <w:right w:val="nil"/>
            </w:tcBorders>
            <w:shd w:val="clear" w:color="auto" w:fill="auto"/>
            <w:noWrap/>
            <w:vAlign w:val="center"/>
            <w:hideMark/>
          </w:tcPr>
          <w:p w14:paraId="23DF2E2E" w14:textId="77777777" w:rsidR="00335CF7" w:rsidRPr="003E25E4"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230,693</w:t>
            </w:r>
          </w:p>
        </w:tc>
        <w:tc>
          <w:tcPr>
            <w:tcW w:w="1027" w:type="dxa"/>
            <w:tcBorders>
              <w:top w:val="nil"/>
              <w:left w:val="nil"/>
              <w:bottom w:val="nil"/>
              <w:right w:val="nil"/>
            </w:tcBorders>
            <w:shd w:val="clear" w:color="auto" w:fill="auto"/>
            <w:noWrap/>
            <w:vAlign w:val="center"/>
            <w:hideMark/>
          </w:tcPr>
          <w:p w14:paraId="43FB529C" w14:textId="77777777" w:rsidR="00335CF7" w:rsidRPr="003E25E4"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17.0%</w:t>
            </w:r>
          </w:p>
        </w:tc>
        <w:tc>
          <w:tcPr>
            <w:tcW w:w="665" w:type="dxa"/>
            <w:tcBorders>
              <w:top w:val="nil"/>
              <w:left w:val="nil"/>
              <w:bottom w:val="nil"/>
              <w:right w:val="nil"/>
            </w:tcBorders>
            <w:shd w:val="clear" w:color="auto" w:fill="auto"/>
            <w:noWrap/>
            <w:vAlign w:val="center"/>
            <w:hideMark/>
          </w:tcPr>
          <w:p w14:paraId="1B9CF17B" w14:textId="77777777" w:rsidR="00335CF7" w:rsidRPr="003E25E4"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30</w:t>
            </w:r>
          </w:p>
        </w:tc>
        <w:tc>
          <w:tcPr>
            <w:tcW w:w="2013" w:type="dxa"/>
            <w:tcBorders>
              <w:top w:val="nil"/>
              <w:left w:val="nil"/>
              <w:bottom w:val="nil"/>
              <w:right w:val="nil"/>
            </w:tcBorders>
            <w:shd w:val="clear" w:color="auto" w:fill="auto"/>
            <w:noWrap/>
            <w:vAlign w:val="center"/>
            <w:hideMark/>
          </w:tcPr>
          <w:p w14:paraId="6EE8C81C" w14:textId="77777777" w:rsidR="00335CF7" w:rsidRPr="003E25E4" w:rsidRDefault="00335CF7" w:rsidP="000F69BD">
            <w:pPr>
              <w:spacing w:after="0" w:line="240" w:lineRule="auto"/>
              <w:rPr>
                <w:rFonts w:asciiTheme="majorHAnsi" w:eastAsia="Times New Roman" w:hAnsiTheme="majorHAnsi" w:cstheme="majorHAnsi"/>
                <w:color w:val="000000"/>
                <w:sz w:val="16"/>
                <w:szCs w:val="16"/>
                <w:lang w:eastAsia="en-AU"/>
              </w:rPr>
            </w:pPr>
            <w:r w:rsidRPr="00284549">
              <w:rPr>
                <w:rFonts w:asciiTheme="majorHAnsi" w:hAnsiTheme="majorHAnsi" w:cstheme="majorHAnsi"/>
                <w:sz w:val="16"/>
                <w:szCs w:val="16"/>
              </w:rPr>
              <w:t>Eliminated on entry-into-force with conditions</w:t>
            </w:r>
          </w:p>
        </w:tc>
        <w:tc>
          <w:tcPr>
            <w:tcW w:w="1148" w:type="dxa"/>
            <w:tcBorders>
              <w:top w:val="nil"/>
              <w:left w:val="nil"/>
              <w:bottom w:val="nil"/>
              <w:right w:val="nil"/>
            </w:tcBorders>
            <w:shd w:val="clear" w:color="auto" w:fill="auto"/>
            <w:noWrap/>
            <w:vAlign w:val="center"/>
            <w:hideMark/>
          </w:tcPr>
          <w:p w14:paraId="7351BE80" w14:textId="77777777" w:rsidR="00335CF7" w:rsidRPr="003E25E4"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69,208</w:t>
            </w:r>
          </w:p>
        </w:tc>
      </w:tr>
      <w:tr w:rsidR="00335CF7" w:rsidRPr="00F81F50" w14:paraId="62B6474C" w14:textId="77777777" w:rsidTr="000F69BD">
        <w:tc>
          <w:tcPr>
            <w:tcW w:w="706" w:type="dxa"/>
            <w:tcBorders>
              <w:top w:val="nil"/>
              <w:left w:val="nil"/>
              <w:bottom w:val="nil"/>
              <w:right w:val="nil"/>
            </w:tcBorders>
            <w:shd w:val="clear" w:color="auto" w:fill="auto"/>
            <w:noWrap/>
            <w:vAlign w:val="center"/>
            <w:hideMark/>
          </w:tcPr>
          <w:p w14:paraId="5EA2E2DE" w14:textId="77777777" w:rsidR="00335CF7" w:rsidRPr="003E25E4"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CH2</w:t>
            </w:r>
          </w:p>
        </w:tc>
        <w:tc>
          <w:tcPr>
            <w:tcW w:w="847" w:type="dxa"/>
            <w:tcBorders>
              <w:top w:val="nil"/>
              <w:left w:val="nil"/>
              <w:bottom w:val="nil"/>
              <w:right w:val="nil"/>
            </w:tcBorders>
            <w:shd w:val="clear" w:color="auto" w:fill="auto"/>
            <w:noWrap/>
            <w:vAlign w:val="center"/>
            <w:hideMark/>
          </w:tcPr>
          <w:p w14:paraId="29E63DCF" w14:textId="77777777" w:rsidR="00335CF7" w:rsidRPr="003E25E4"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020443</w:t>
            </w:r>
          </w:p>
        </w:tc>
        <w:tc>
          <w:tcPr>
            <w:tcW w:w="2762" w:type="dxa"/>
            <w:tcBorders>
              <w:top w:val="nil"/>
              <w:left w:val="nil"/>
              <w:bottom w:val="nil"/>
              <w:right w:val="nil"/>
            </w:tcBorders>
            <w:shd w:val="clear" w:color="auto" w:fill="auto"/>
            <w:noWrap/>
            <w:vAlign w:val="center"/>
            <w:hideMark/>
          </w:tcPr>
          <w:p w14:paraId="00DDFBE7" w14:textId="77777777" w:rsidR="00335CF7" w:rsidRPr="003E25E4" w:rsidRDefault="00335CF7" w:rsidP="000F69BD">
            <w:pPr>
              <w:spacing w:after="0" w:line="240" w:lineRule="auto"/>
              <w:rPr>
                <w:rFonts w:asciiTheme="majorHAnsi" w:eastAsia="Times New Roman" w:hAnsiTheme="majorHAnsi" w:cstheme="majorHAnsi"/>
                <w:color w:val="000000"/>
                <w:sz w:val="16"/>
                <w:szCs w:val="16"/>
                <w:lang w:eastAsia="en-AU"/>
              </w:rPr>
            </w:pPr>
            <w:r w:rsidRPr="00284549">
              <w:rPr>
                <w:rFonts w:asciiTheme="majorHAnsi" w:hAnsiTheme="majorHAnsi" w:cstheme="majorHAnsi"/>
                <w:sz w:val="16"/>
                <w:szCs w:val="16"/>
              </w:rPr>
              <w:t>meat of sheep, boneless, frozen</w:t>
            </w:r>
          </w:p>
        </w:tc>
        <w:tc>
          <w:tcPr>
            <w:tcW w:w="1182" w:type="dxa"/>
            <w:tcBorders>
              <w:top w:val="nil"/>
              <w:left w:val="nil"/>
              <w:bottom w:val="nil"/>
              <w:right w:val="nil"/>
            </w:tcBorders>
            <w:shd w:val="clear" w:color="auto" w:fill="auto"/>
            <w:noWrap/>
            <w:vAlign w:val="center"/>
            <w:hideMark/>
          </w:tcPr>
          <w:p w14:paraId="5F158E41" w14:textId="77777777" w:rsidR="00335CF7" w:rsidRPr="003E25E4"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92,477</w:t>
            </w:r>
          </w:p>
        </w:tc>
        <w:tc>
          <w:tcPr>
            <w:tcW w:w="1027" w:type="dxa"/>
            <w:tcBorders>
              <w:top w:val="nil"/>
              <w:left w:val="nil"/>
              <w:bottom w:val="nil"/>
              <w:right w:val="nil"/>
            </w:tcBorders>
            <w:shd w:val="clear" w:color="auto" w:fill="auto"/>
            <w:noWrap/>
            <w:vAlign w:val="center"/>
            <w:hideMark/>
          </w:tcPr>
          <w:p w14:paraId="58FF3C70" w14:textId="77777777" w:rsidR="00335CF7" w:rsidRPr="003E25E4"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25.8%</w:t>
            </w:r>
          </w:p>
        </w:tc>
        <w:tc>
          <w:tcPr>
            <w:tcW w:w="665" w:type="dxa"/>
            <w:tcBorders>
              <w:top w:val="nil"/>
              <w:left w:val="nil"/>
              <w:bottom w:val="nil"/>
              <w:right w:val="nil"/>
            </w:tcBorders>
            <w:shd w:val="clear" w:color="auto" w:fill="auto"/>
            <w:noWrap/>
            <w:vAlign w:val="center"/>
            <w:hideMark/>
          </w:tcPr>
          <w:p w14:paraId="52BE7E69" w14:textId="77777777" w:rsidR="00335CF7" w:rsidRPr="003E25E4"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30</w:t>
            </w:r>
          </w:p>
        </w:tc>
        <w:tc>
          <w:tcPr>
            <w:tcW w:w="2013" w:type="dxa"/>
            <w:tcBorders>
              <w:top w:val="nil"/>
              <w:left w:val="nil"/>
              <w:bottom w:val="nil"/>
              <w:right w:val="nil"/>
            </w:tcBorders>
            <w:shd w:val="clear" w:color="auto" w:fill="auto"/>
            <w:noWrap/>
            <w:vAlign w:val="center"/>
            <w:hideMark/>
          </w:tcPr>
          <w:p w14:paraId="7104674C" w14:textId="77777777" w:rsidR="00335CF7" w:rsidRPr="003E25E4" w:rsidRDefault="00335CF7" w:rsidP="000F69BD">
            <w:pPr>
              <w:spacing w:after="0" w:line="240" w:lineRule="auto"/>
              <w:rPr>
                <w:rFonts w:asciiTheme="majorHAnsi" w:eastAsia="Times New Roman" w:hAnsiTheme="majorHAnsi" w:cstheme="majorHAnsi"/>
                <w:color w:val="000000"/>
                <w:sz w:val="16"/>
                <w:szCs w:val="16"/>
                <w:lang w:eastAsia="en-AU"/>
              </w:rPr>
            </w:pPr>
            <w:r w:rsidRPr="00284549">
              <w:rPr>
                <w:rFonts w:asciiTheme="majorHAnsi" w:hAnsiTheme="majorHAnsi" w:cstheme="majorHAnsi"/>
                <w:sz w:val="16"/>
                <w:szCs w:val="16"/>
              </w:rPr>
              <w:t>Eliminated on entry-into-force with conditions</w:t>
            </w:r>
          </w:p>
        </w:tc>
        <w:tc>
          <w:tcPr>
            <w:tcW w:w="1148" w:type="dxa"/>
            <w:tcBorders>
              <w:top w:val="nil"/>
              <w:left w:val="nil"/>
              <w:bottom w:val="nil"/>
              <w:right w:val="nil"/>
            </w:tcBorders>
            <w:shd w:val="clear" w:color="auto" w:fill="auto"/>
            <w:noWrap/>
            <w:vAlign w:val="center"/>
            <w:hideMark/>
          </w:tcPr>
          <w:p w14:paraId="50FBB0B1" w14:textId="77777777" w:rsidR="00335CF7" w:rsidRPr="003E25E4"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27,743</w:t>
            </w:r>
          </w:p>
        </w:tc>
      </w:tr>
      <w:tr w:rsidR="00335CF7" w:rsidRPr="00F81F50" w14:paraId="33E1BDBA" w14:textId="77777777" w:rsidTr="000F69BD">
        <w:tc>
          <w:tcPr>
            <w:tcW w:w="706" w:type="dxa"/>
            <w:tcBorders>
              <w:top w:val="nil"/>
              <w:left w:val="nil"/>
              <w:bottom w:val="nil"/>
              <w:right w:val="nil"/>
            </w:tcBorders>
            <w:shd w:val="clear" w:color="auto" w:fill="auto"/>
            <w:noWrap/>
            <w:vAlign w:val="center"/>
            <w:hideMark/>
          </w:tcPr>
          <w:p w14:paraId="05DA1604" w14:textId="77777777" w:rsidR="00335CF7" w:rsidRPr="003E25E4"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CH2</w:t>
            </w:r>
          </w:p>
        </w:tc>
        <w:tc>
          <w:tcPr>
            <w:tcW w:w="847" w:type="dxa"/>
            <w:tcBorders>
              <w:top w:val="nil"/>
              <w:left w:val="nil"/>
              <w:bottom w:val="nil"/>
              <w:right w:val="nil"/>
            </w:tcBorders>
            <w:shd w:val="clear" w:color="auto" w:fill="auto"/>
            <w:noWrap/>
            <w:vAlign w:val="center"/>
            <w:hideMark/>
          </w:tcPr>
          <w:p w14:paraId="1A8B3E0B" w14:textId="77777777" w:rsidR="00335CF7" w:rsidRPr="003E25E4"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020450</w:t>
            </w:r>
          </w:p>
        </w:tc>
        <w:tc>
          <w:tcPr>
            <w:tcW w:w="2762" w:type="dxa"/>
            <w:tcBorders>
              <w:top w:val="nil"/>
              <w:left w:val="nil"/>
              <w:bottom w:val="nil"/>
              <w:right w:val="nil"/>
            </w:tcBorders>
            <w:shd w:val="clear" w:color="auto" w:fill="auto"/>
            <w:noWrap/>
            <w:vAlign w:val="center"/>
            <w:hideMark/>
          </w:tcPr>
          <w:p w14:paraId="6AD7F460" w14:textId="77777777" w:rsidR="00335CF7" w:rsidRPr="003E25E4" w:rsidRDefault="00335CF7" w:rsidP="000F69BD">
            <w:pPr>
              <w:spacing w:after="0" w:line="240" w:lineRule="auto"/>
              <w:rPr>
                <w:rFonts w:asciiTheme="majorHAnsi" w:eastAsia="Times New Roman" w:hAnsiTheme="majorHAnsi" w:cstheme="majorHAnsi"/>
                <w:color w:val="000000"/>
                <w:sz w:val="16"/>
                <w:szCs w:val="16"/>
                <w:lang w:eastAsia="en-AU"/>
              </w:rPr>
            </w:pPr>
            <w:r w:rsidRPr="00284549">
              <w:rPr>
                <w:rFonts w:asciiTheme="majorHAnsi" w:hAnsiTheme="majorHAnsi" w:cstheme="majorHAnsi"/>
                <w:sz w:val="16"/>
                <w:szCs w:val="16"/>
              </w:rPr>
              <w:t xml:space="preserve">meat of goats, fresh, </w:t>
            </w:r>
            <w:proofErr w:type="gramStart"/>
            <w:r w:rsidRPr="00284549">
              <w:rPr>
                <w:rFonts w:asciiTheme="majorHAnsi" w:hAnsiTheme="majorHAnsi" w:cstheme="majorHAnsi"/>
                <w:sz w:val="16"/>
                <w:szCs w:val="16"/>
              </w:rPr>
              <w:t>chilled</w:t>
            </w:r>
            <w:proofErr w:type="gramEnd"/>
            <w:r w:rsidRPr="00284549">
              <w:rPr>
                <w:rFonts w:asciiTheme="majorHAnsi" w:hAnsiTheme="majorHAnsi" w:cstheme="majorHAnsi"/>
                <w:sz w:val="16"/>
                <w:szCs w:val="16"/>
              </w:rPr>
              <w:t xml:space="preserve"> or frozen</w:t>
            </w:r>
          </w:p>
        </w:tc>
        <w:tc>
          <w:tcPr>
            <w:tcW w:w="1182" w:type="dxa"/>
            <w:tcBorders>
              <w:top w:val="nil"/>
              <w:left w:val="nil"/>
              <w:bottom w:val="nil"/>
              <w:right w:val="nil"/>
            </w:tcBorders>
            <w:shd w:val="clear" w:color="auto" w:fill="auto"/>
            <w:noWrap/>
            <w:vAlign w:val="center"/>
            <w:hideMark/>
          </w:tcPr>
          <w:p w14:paraId="79C6F28B" w14:textId="77777777" w:rsidR="00335CF7" w:rsidRPr="003E25E4"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0</w:t>
            </w:r>
          </w:p>
        </w:tc>
        <w:tc>
          <w:tcPr>
            <w:tcW w:w="1027" w:type="dxa"/>
            <w:tcBorders>
              <w:top w:val="nil"/>
              <w:left w:val="nil"/>
              <w:bottom w:val="nil"/>
              <w:right w:val="nil"/>
            </w:tcBorders>
            <w:shd w:val="clear" w:color="auto" w:fill="auto"/>
            <w:noWrap/>
            <w:vAlign w:val="center"/>
            <w:hideMark/>
          </w:tcPr>
          <w:p w14:paraId="6053BF72" w14:textId="77777777" w:rsidR="00335CF7" w:rsidRPr="003E25E4"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w:t>
            </w:r>
          </w:p>
        </w:tc>
        <w:tc>
          <w:tcPr>
            <w:tcW w:w="665" w:type="dxa"/>
            <w:tcBorders>
              <w:top w:val="nil"/>
              <w:left w:val="nil"/>
              <w:bottom w:val="nil"/>
              <w:right w:val="nil"/>
            </w:tcBorders>
            <w:shd w:val="clear" w:color="auto" w:fill="auto"/>
            <w:noWrap/>
            <w:vAlign w:val="center"/>
            <w:hideMark/>
          </w:tcPr>
          <w:p w14:paraId="07E4697C" w14:textId="77777777" w:rsidR="00335CF7" w:rsidRPr="003E25E4"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30</w:t>
            </w:r>
          </w:p>
        </w:tc>
        <w:tc>
          <w:tcPr>
            <w:tcW w:w="2013" w:type="dxa"/>
            <w:tcBorders>
              <w:top w:val="nil"/>
              <w:left w:val="nil"/>
              <w:bottom w:val="nil"/>
              <w:right w:val="nil"/>
            </w:tcBorders>
            <w:shd w:val="clear" w:color="auto" w:fill="auto"/>
            <w:noWrap/>
            <w:vAlign w:val="center"/>
            <w:hideMark/>
          </w:tcPr>
          <w:p w14:paraId="60AF7131" w14:textId="77777777" w:rsidR="00335CF7" w:rsidRPr="003E25E4" w:rsidRDefault="00335CF7" w:rsidP="000F69BD">
            <w:pPr>
              <w:spacing w:after="0" w:line="240" w:lineRule="auto"/>
              <w:rPr>
                <w:rFonts w:asciiTheme="majorHAnsi" w:eastAsia="Times New Roman" w:hAnsiTheme="majorHAnsi" w:cstheme="majorHAnsi"/>
                <w:color w:val="000000"/>
                <w:sz w:val="16"/>
                <w:szCs w:val="16"/>
                <w:lang w:eastAsia="en-AU"/>
              </w:rPr>
            </w:pPr>
            <w:r w:rsidRPr="00284549">
              <w:rPr>
                <w:rFonts w:asciiTheme="majorHAnsi" w:hAnsiTheme="majorHAnsi" w:cstheme="majorHAnsi"/>
                <w:sz w:val="16"/>
                <w:szCs w:val="16"/>
              </w:rPr>
              <w:t>Excluded</w:t>
            </w:r>
          </w:p>
        </w:tc>
        <w:tc>
          <w:tcPr>
            <w:tcW w:w="1148" w:type="dxa"/>
            <w:tcBorders>
              <w:top w:val="nil"/>
              <w:left w:val="nil"/>
              <w:bottom w:val="nil"/>
              <w:right w:val="nil"/>
            </w:tcBorders>
            <w:shd w:val="clear" w:color="auto" w:fill="auto"/>
            <w:noWrap/>
            <w:vAlign w:val="center"/>
            <w:hideMark/>
          </w:tcPr>
          <w:p w14:paraId="45965904" w14:textId="77777777" w:rsidR="00335CF7" w:rsidRPr="003E25E4"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0</w:t>
            </w:r>
          </w:p>
        </w:tc>
      </w:tr>
      <w:tr w:rsidR="00335CF7" w:rsidRPr="00F81F50" w14:paraId="248BC578" w14:textId="77777777" w:rsidTr="000F69BD">
        <w:tc>
          <w:tcPr>
            <w:tcW w:w="706" w:type="dxa"/>
            <w:tcBorders>
              <w:top w:val="nil"/>
              <w:left w:val="nil"/>
              <w:bottom w:val="single" w:sz="4" w:space="0" w:color="auto"/>
              <w:right w:val="nil"/>
            </w:tcBorders>
            <w:shd w:val="clear" w:color="auto" w:fill="auto"/>
            <w:noWrap/>
            <w:hideMark/>
          </w:tcPr>
          <w:p w14:paraId="76386926" w14:textId="77777777" w:rsidR="00335CF7" w:rsidRPr="00284549" w:rsidRDefault="00335CF7" w:rsidP="000F69BD">
            <w:pPr>
              <w:spacing w:after="0" w:line="240" w:lineRule="auto"/>
              <w:rPr>
                <w:rFonts w:asciiTheme="majorHAnsi" w:eastAsia="Times New Roman" w:hAnsiTheme="majorHAnsi" w:cstheme="majorHAnsi"/>
                <w:b/>
                <w:bCs/>
                <w:color w:val="000000"/>
                <w:sz w:val="18"/>
                <w:szCs w:val="18"/>
                <w:lang w:eastAsia="en-AU"/>
              </w:rPr>
            </w:pPr>
          </w:p>
        </w:tc>
        <w:tc>
          <w:tcPr>
            <w:tcW w:w="847" w:type="dxa"/>
            <w:tcBorders>
              <w:top w:val="nil"/>
              <w:left w:val="nil"/>
              <w:bottom w:val="single" w:sz="4" w:space="0" w:color="auto"/>
              <w:right w:val="nil"/>
            </w:tcBorders>
            <w:shd w:val="clear" w:color="auto" w:fill="auto"/>
            <w:noWrap/>
            <w:hideMark/>
          </w:tcPr>
          <w:p w14:paraId="6D26DC2D" w14:textId="77777777" w:rsidR="00335CF7" w:rsidRPr="00284549" w:rsidRDefault="00335CF7" w:rsidP="000F69BD">
            <w:pPr>
              <w:spacing w:after="0" w:line="240" w:lineRule="auto"/>
              <w:rPr>
                <w:rFonts w:asciiTheme="majorHAnsi" w:eastAsia="Times New Roman" w:hAnsiTheme="majorHAnsi" w:cstheme="majorHAnsi"/>
                <w:b/>
                <w:bCs/>
                <w:sz w:val="18"/>
                <w:szCs w:val="18"/>
                <w:lang w:eastAsia="en-AU"/>
              </w:rPr>
            </w:pPr>
          </w:p>
        </w:tc>
        <w:tc>
          <w:tcPr>
            <w:tcW w:w="2762" w:type="dxa"/>
            <w:tcBorders>
              <w:top w:val="nil"/>
              <w:left w:val="nil"/>
              <w:bottom w:val="single" w:sz="4" w:space="0" w:color="auto"/>
              <w:right w:val="nil"/>
            </w:tcBorders>
            <w:shd w:val="clear" w:color="auto" w:fill="auto"/>
            <w:noWrap/>
            <w:hideMark/>
          </w:tcPr>
          <w:p w14:paraId="06D9907B" w14:textId="77777777" w:rsidR="00335CF7" w:rsidRPr="00284549" w:rsidRDefault="00335CF7" w:rsidP="000F69BD">
            <w:pPr>
              <w:spacing w:after="0" w:line="240" w:lineRule="auto"/>
              <w:rPr>
                <w:rFonts w:asciiTheme="majorHAnsi" w:eastAsia="Times New Roman" w:hAnsiTheme="majorHAnsi" w:cstheme="majorHAnsi"/>
                <w:b/>
                <w:bCs/>
                <w:color w:val="000000"/>
                <w:sz w:val="18"/>
                <w:szCs w:val="18"/>
                <w:lang w:eastAsia="en-AU"/>
              </w:rPr>
            </w:pPr>
            <w:r w:rsidRPr="00284549">
              <w:rPr>
                <w:rFonts w:asciiTheme="majorHAnsi" w:hAnsiTheme="majorHAnsi" w:cstheme="majorHAnsi"/>
                <w:b/>
                <w:bCs/>
                <w:sz w:val="18"/>
                <w:szCs w:val="18"/>
              </w:rPr>
              <w:t>Subtotal</w:t>
            </w:r>
          </w:p>
        </w:tc>
        <w:tc>
          <w:tcPr>
            <w:tcW w:w="1182" w:type="dxa"/>
            <w:tcBorders>
              <w:top w:val="nil"/>
              <w:left w:val="nil"/>
              <w:bottom w:val="single" w:sz="4" w:space="0" w:color="auto"/>
              <w:right w:val="nil"/>
            </w:tcBorders>
            <w:shd w:val="clear" w:color="auto" w:fill="auto"/>
            <w:noWrap/>
            <w:vAlign w:val="center"/>
            <w:hideMark/>
          </w:tcPr>
          <w:p w14:paraId="638861F9" w14:textId="77777777" w:rsidR="00335CF7" w:rsidRPr="00284549" w:rsidRDefault="00335CF7" w:rsidP="000F69BD">
            <w:pPr>
              <w:spacing w:after="0" w:line="240" w:lineRule="auto"/>
              <w:jc w:val="right"/>
              <w:rPr>
                <w:rFonts w:asciiTheme="majorHAnsi" w:eastAsia="Times New Roman" w:hAnsiTheme="majorHAnsi" w:cstheme="majorHAnsi"/>
                <w:b/>
                <w:bCs/>
                <w:color w:val="000000"/>
                <w:sz w:val="18"/>
                <w:szCs w:val="18"/>
                <w:lang w:eastAsia="en-AU"/>
              </w:rPr>
            </w:pPr>
            <w:r w:rsidRPr="00284549">
              <w:rPr>
                <w:rFonts w:asciiTheme="majorHAnsi" w:hAnsiTheme="majorHAnsi" w:cstheme="majorHAnsi"/>
                <w:b/>
                <w:bCs/>
                <w:sz w:val="18"/>
                <w:szCs w:val="18"/>
              </w:rPr>
              <w:t>1,957,324</w:t>
            </w:r>
          </w:p>
        </w:tc>
        <w:tc>
          <w:tcPr>
            <w:tcW w:w="1027" w:type="dxa"/>
            <w:tcBorders>
              <w:top w:val="nil"/>
              <w:left w:val="nil"/>
              <w:bottom w:val="single" w:sz="4" w:space="0" w:color="auto"/>
              <w:right w:val="nil"/>
            </w:tcBorders>
            <w:shd w:val="clear" w:color="auto" w:fill="auto"/>
            <w:noWrap/>
            <w:vAlign w:val="center"/>
            <w:hideMark/>
          </w:tcPr>
          <w:p w14:paraId="02237C81" w14:textId="77777777" w:rsidR="00335CF7" w:rsidRPr="00284549" w:rsidRDefault="00335CF7" w:rsidP="000F69BD">
            <w:pPr>
              <w:spacing w:after="0" w:line="240" w:lineRule="auto"/>
              <w:jc w:val="right"/>
              <w:rPr>
                <w:rFonts w:asciiTheme="majorHAnsi" w:eastAsia="Times New Roman" w:hAnsiTheme="majorHAnsi" w:cstheme="majorHAnsi"/>
                <w:b/>
                <w:bCs/>
                <w:color w:val="000000"/>
                <w:sz w:val="18"/>
                <w:szCs w:val="18"/>
                <w:lang w:eastAsia="en-AU"/>
              </w:rPr>
            </w:pPr>
            <w:r w:rsidRPr="00284549">
              <w:rPr>
                <w:rFonts w:asciiTheme="majorHAnsi" w:hAnsiTheme="majorHAnsi" w:cstheme="majorHAnsi"/>
                <w:b/>
                <w:bCs/>
                <w:sz w:val="18"/>
                <w:szCs w:val="18"/>
              </w:rPr>
              <w:t>56.0%</w:t>
            </w:r>
          </w:p>
        </w:tc>
        <w:tc>
          <w:tcPr>
            <w:tcW w:w="665" w:type="dxa"/>
            <w:tcBorders>
              <w:top w:val="nil"/>
              <w:left w:val="nil"/>
              <w:bottom w:val="single" w:sz="4" w:space="0" w:color="auto"/>
              <w:right w:val="nil"/>
            </w:tcBorders>
            <w:shd w:val="clear" w:color="auto" w:fill="auto"/>
            <w:noWrap/>
            <w:vAlign w:val="center"/>
            <w:hideMark/>
          </w:tcPr>
          <w:p w14:paraId="266C1BAF" w14:textId="77777777" w:rsidR="00335CF7" w:rsidRPr="00284549" w:rsidRDefault="00335CF7" w:rsidP="000F69BD">
            <w:pPr>
              <w:spacing w:after="0" w:line="240" w:lineRule="auto"/>
              <w:jc w:val="center"/>
              <w:rPr>
                <w:rFonts w:asciiTheme="majorHAnsi" w:eastAsia="Times New Roman" w:hAnsiTheme="majorHAnsi" w:cstheme="majorHAnsi"/>
                <w:b/>
                <w:bCs/>
                <w:color w:val="000000"/>
                <w:sz w:val="18"/>
                <w:szCs w:val="18"/>
                <w:lang w:eastAsia="en-AU"/>
              </w:rPr>
            </w:pPr>
          </w:p>
        </w:tc>
        <w:tc>
          <w:tcPr>
            <w:tcW w:w="2013" w:type="dxa"/>
            <w:tcBorders>
              <w:top w:val="nil"/>
              <w:left w:val="nil"/>
              <w:bottom w:val="single" w:sz="4" w:space="0" w:color="auto"/>
              <w:right w:val="nil"/>
            </w:tcBorders>
            <w:shd w:val="clear" w:color="auto" w:fill="auto"/>
            <w:noWrap/>
            <w:vAlign w:val="center"/>
            <w:hideMark/>
          </w:tcPr>
          <w:p w14:paraId="1C6ED29C" w14:textId="77777777" w:rsidR="00335CF7" w:rsidRPr="00284549" w:rsidRDefault="00335CF7" w:rsidP="000F69BD">
            <w:pPr>
              <w:spacing w:after="0" w:line="240" w:lineRule="auto"/>
              <w:rPr>
                <w:rFonts w:asciiTheme="majorHAnsi" w:eastAsia="Times New Roman" w:hAnsiTheme="majorHAnsi" w:cstheme="majorHAnsi"/>
                <w:b/>
                <w:bCs/>
                <w:sz w:val="18"/>
                <w:szCs w:val="18"/>
                <w:lang w:eastAsia="en-AU"/>
              </w:rPr>
            </w:pPr>
          </w:p>
        </w:tc>
        <w:tc>
          <w:tcPr>
            <w:tcW w:w="1148" w:type="dxa"/>
            <w:tcBorders>
              <w:top w:val="nil"/>
              <w:left w:val="nil"/>
              <w:bottom w:val="single" w:sz="4" w:space="0" w:color="auto"/>
              <w:right w:val="nil"/>
            </w:tcBorders>
            <w:shd w:val="clear" w:color="auto" w:fill="auto"/>
            <w:noWrap/>
            <w:vAlign w:val="center"/>
            <w:hideMark/>
          </w:tcPr>
          <w:p w14:paraId="62926078" w14:textId="77777777" w:rsidR="00335CF7" w:rsidRPr="00284549" w:rsidRDefault="00335CF7" w:rsidP="000F69BD">
            <w:pPr>
              <w:spacing w:after="0" w:line="240" w:lineRule="auto"/>
              <w:jc w:val="right"/>
              <w:rPr>
                <w:rFonts w:asciiTheme="majorHAnsi" w:eastAsia="Times New Roman" w:hAnsiTheme="majorHAnsi" w:cstheme="majorHAnsi"/>
                <w:b/>
                <w:bCs/>
                <w:color w:val="000000"/>
                <w:sz w:val="18"/>
                <w:szCs w:val="18"/>
                <w:lang w:eastAsia="en-AU"/>
              </w:rPr>
            </w:pPr>
            <w:r w:rsidRPr="00284549">
              <w:rPr>
                <w:rFonts w:asciiTheme="majorHAnsi" w:hAnsiTheme="majorHAnsi" w:cstheme="majorHAnsi"/>
                <w:b/>
                <w:bCs/>
                <w:sz w:val="18"/>
                <w:szCs w:val="18"/>
              </w:rPr>
              <w:t>587,197</w:t>
            </w:r>
          </w:p>
        </w:tc>
      </w:tr>
      <w:tr w:rsidR="00335CF7" w:rsidRPr="00F81F50" w14:paraId="642678A0" w14:textId="77777777" w:rsidTr="000F69BD">
        <w:tc>
          <w:tcPr>
            <w:tcW w:w="10350" w:type="dxa"/>
            <w:gridSpan w:val="8"/>
            <w:tcBorders>
              <w:top w:val="single" w:sz="4" w:space="0" w:color="auto"/>
              <w:left w:val="nil"/>
              <w:bottom w:val="single" w:sz="4" w:space="0" w:color="auto"/>
              <w:right w:val="nil"/>
            </w:tcBorders>
            <w:shd w:val="clear" w:color="auto" w:fill="auto"/>
            <w:noWrap/>
            <w:vAlign w:val="bottom"/>
          </w:tcPr>
          <w:p w14:paraId="21235953" w14:textId="77777777" w:rsidR="00335CF7" w:rsidRPr="00530D75" w:rsidRDefault="00335CF7" w:rsidP="000F69BD">
            <w:pPr>
              <w:spacing w:after="0" w:line="240" w:lineRule="auto"/>
              <w:rPr>
                <w:rFonts w:asciiTheme="majorHAnsi" w:eastAsia="Times New Roman" w:hAnsiTheme="majorHAnsi" w:cstheme="majorHAnsi"/>
                <w:b/>
                <w:bCs/>
                <w:color w:val="000000"/>
                <w:sz w:val="18"/>
                <w:szCs w:val="18"/>
                <w:lang w:eastAsia="en-AU"/>
              </w:rPr>
            </w:pPr>
            <w:r w:rsidRPr="00530D75">
              <w:rPr>
                <w:rFonts w:asciiTheme="majorHAnsi" w:eastAsia="Times New Roman" w:hAnsiTheme="majorHAnsi" w:cstheme="majorHAnsi"/>
                <w:b/>
                <w:bCs/>
                <w:color w:val="000000"/>
                <w:sz w:val="18"/>
                <w:szCs w:val="18"/>
                <w:lang w:eastAsia="en-AU"/>
              </w:rPr>
              <w:t>Sheep wool and skin products</w:t>
            </w:r>
          </w:p>
        </w:tc>
      </w:tr>
      <w:tr w:rsidR="00335CF7" w:rsidRPr="00F81F50" w14:paraId="6D31D349" w14:textId="77777777" w:rsidTr="000F69BD">
        <w:tc>
          <w:tcPr>
            <w:tcW w:w="706" w:type="dxa"/>
            <w:tcBorders>
              <w:top w:val="single" w:sz="4" w:space="0" w:color="auto"/>
              <w:left w:val="nil"/>
              <w:bottom w:val="nil"/>
              <w:right w:val="nil"/>
            </w:tcBorders>
            <w:shd w:val="clear" w:color="auto" w:fill="auto"/>
            <w:noWrap/>
            <w:vAlign w:val="center"/>
          </w:tcPr>
          <w:p w14:paraId="32EE8A29" w14:textId="77777777" w:rsidR="00335CF7" w:rsidRPr="00D008F9"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CH15</w:t>
            </w:r>
          </w:p>
        </w:tc>
        <w:tc>
          <w:tcPr>
            <w:tcW w:w="847" w:type="dxa"/>
            <w:tcBorders>
              <w:top w:val="single" w:sz="4" w:space="0" w:color="auto"/>
              <w:left w:val="nil"/>
              <w:bottom w:val="nil"/>
              <w:right w:val="nil"/>
            </w:tcBorders>
            <w:shd w:val="clear" w:color="auto" w:fill="auto"/>
            <w:noWrap/>
            <w:vAlign w:val="center"/>
          </w:tcPr>
          <w:p w14:paraId="0437204A" w14:textId="77777777" w:rsidR="00335CF7" w:rsidRPr="00D008F9"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150500</w:t>
            </w:r>
          </w:p>
        </w:tc>
        <w:tc>
          <w:tcPr>
            <w:tcW w:w="2762" w:type="dxa"/>
            <w:tcBorders>
              <w:top w:val="single" w:sz="4" w:space="0" w:color="auto"/>
              <w:left w:val="nil"/>
              <w:bottom w:val="nil"/>
              <w:right w:val="nil"/>
            </w:tcBorders>
            <w:shd w:val="clear" w:color="auto" w:fill="auto"/>
            <w:noWrap/>
            <w:vAlign w:val="center"/>
          </w:tcPr>
          <w:p w14:paraId="51DE5EBE" w14:textId="77777777" w:rsidR="00335CF7" w:rsidRPr="00D008F9" w:rsidRDefault="00335CF7" w:rsidP="000F69BD">
            <w:pPr>
              <w:spacing w:after="0" w:line="240" w:lineRule="auto"/>
              <w:rPr>
                <w:rFonts w:asciiTheme="majorHAnsi" w:eastAsia="Times New Roman" w:hAnsiTheme="majorHAnsi" w:cstheme="majorHAnsi"/>
                <w:color w:val="000000"/>
                <w:sz w:val="16"/>
                <w:szCs w:val="16"/>
                <w:lang w:eastAsia="en-AU"/>
              </w:rPr>
            </w:pPr>
            <w:r w:rsidRPr="00284549">
              <w:rPr>
                <w:rFonts w:asciiTheme="majorHAnsi" w:hAnsiTheme="majorHAnsi" w:cstheme="majorHAnsi"/>
                <w:sz w:val="16"/>
                <w:szCs w:val="16"/>
              </w:rPr>
              <w:t>wool grease and fatty substances derived therefrom (including lanolin)</w:t>
            </w:r>
          </w:p>
        </w:tc>
        <w:tc>
          <w:tcPr>
            <w:tcW w:w="1182" w:type="dxa"/>
            <w:tcBorders>
              <w:top w:val="single" w:sz="4" w:space="0" w:color="auto"/>
              <w:left w:val="nil"/>
              <w:bottom w:val="nil"/>
              <w:right w:val="nil"/>
            </w:tcBorders>
            <w:shd w:val="clear" w:color="auto" w:fill="auto"/>
            <w:noWrap/>
            <w:vAlign w:val="center"/>
          </w:tcPr>
          <w:p w14:paraId="5AE59123"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222,104</w:t>
            </w:r>
          </w:p>
        </w:tc>
        <w:tc>
          <w:tcPr>
            <w:tcW w:w="1027" w:type="dxa"/>
            <w:tcBorders>
              <w:top w:val="single" w:sz="4" w:space="0" w:color="auto"/>
              <w:left w:val="nil"/>
              <w:bottom w:val="nil"/>
              <w:right w:val="nil"/>
            </w:tcBorders>
            <w:shd w:val="clear" w:color="auto" w:fill="auto"/>
            <w:noWrap/>
            <w:vAlign w:val="center"/>
          </w:tcPr>
          <w:p w14:paraId="33FDDE0E"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4.8%</w:t>
            </w:r>
          </w:p>
        </w:tc>
        <w:tc>
          <w:tcPr>
            <w:tcW w:w="665" w:type="dxa"/>
            <w:tcBorders>
              <w:top w:val="single" w:sz="4" w:space="0" w:color="auto"/>
              <w:left w:val="nil"/>
              <w:bottom w:val="nil"/>
              <w:right w:val="nil"/>
            </w:tcBorders>
            <w:shd w:val="clear" w:color="auto" w:fill="auto"/>
            <w:noWrap/>
            <w:vAlign w:val="center"/>
          </w:tcPr>
          <w:p w14:paraId="2D3C9FF8" w14:textId="77777777" w:rsidR="00335CF7" w:rsidRPr="00D008F9"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30</w:t>
            </w:r>
          </w:p>
        </w:tc>
        <w:tc>
          <w:tcPr>
            <w:tcW w:w="2013" w:type="dxa"/>
            <w:tcBorders>
              <w:top w:val="single" w:sz="4" w:space="0" w:color="auto"/>
              <w:left w:val="nil"/>
              <w:bottom w:val="nil"/>
              <w:right w:val="nil"/>
            </w:tcBorders>
            <w:shd w:val="clear" w:color="auto" w:fill="auto"/>
            <w:noWrap/>
            <w:vAlign w:val="center"/>
          </w:tcPr>
          <w:p w14:paraId="09D1C19E" w14:textId="77777777" w:rsidR="00335CF7" w:rsidRPr="00D008F9" w:rsidRDefault="00335CF7" w:rsidP="000F69BD">
            <w:pPr>
              <w:spacing w:after="0" w:line="240" w:lineRule="auto"/>
              <w:rPr>
                <w:rFonts w:asciiTheme="majorHAnsi" w:eastAsia="Times New Roman" w:hAnsiTheme="majorHAnsi" w:cstheme="majorHAnsi"/>
                <w:sz w:val="16"/>
                <w:szCs w:val="16"/>
                <w:lang w:eastAsia="en-AU"/>
              </w:rPr>
            </w:pPr>
            <w:r w:rsidRPr="00284549">
              <w:rPr>
                <w:rFonts w:asciiTheme="majorHAnsi" w:hAnsiTheme="majorHAnsi" w:cstheme="majorHAnsi"/>
                <w:sz w:val="16"/>
                <w:szCs w:val="16"/>
              </w:rPr>
              <w:t>Eliminated by the 7th year without conditions</w:t>
            </w:r>
          </w:p>
        </w:tc>
        <w:tc>
          <w:tcPr>
            <w:tcW w:w="1148" w:type="dxa"/>
            <w:tcBorders>
              <w:top w:val="single" w:sz="4" w:space="0" w:color="auto"/>
              <w:left w:val="nil"/>
              <w:bottom w:val="nil"/>
              <w:right w:val="nil"/>
            </w:tcBorders>
            <w:shd w:val="clear" w:color="auto" w:fill="auto"/>
            <w:noWrap/>
            <w:vAlign w:val="center"/>
          </w:tcPr>
          <w:p w14:paraId="4EFD79AD"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66,631</w:t>
            </w:r>
          </w:p>
        </w:tc>
      </w:tr>
      <w:tr w:rsidR="00335CF7" w:rsidRPr="00F81F50" w14:paraId="75EBC04A" w14:textId="77777777" w:rsidTr="000F69BD">
        <w:tc>
          <w:tcPr>
            <w:tcW w:w="706" w:type="dxa"/>
            <w:tcBorders>
              <w:top w:val="nil"/>
              <w:left w:val="nil"/>
              <w:bottom w:val="nil"/>
              <w:right w:val="nil"/>
            </w:tcBorders>
            <w:shd w:val="clear" w:color="auto" w:fill="auto"/>
            <w:noWrap/>
            <w:vAlign w:val="center"/>
          </w:tcPr>
          <w:p w14:paraId="2B8397E0" w14:textId="77777777" w:rsidR="00335CF7" w:rsidRPr="00D008F9"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CH41</w:t>
            </w:r>
          </w:p>
        </w:tc>
        <w:tc>
          <w:tcPr>
            <w:tcW w:w="847" w:type="dxa"/>
            <w:tcBorders>
              <w:top w:val="nil"/>
              <w:left w:val="nil"/>
              <w:bottom w:val="nil"/>
              <w:right w:val="nil"/>
            </w:tcBorders>
            <w:shd w:val="clear" w:color="auto" w:fill="auto"/>
            <w:noWrap/>
            <w:vAlign w:val="center"/>
          </w:tcPr>
          <w:p w14:paraId="726625B1" w14:textId="77777777" w:rsidR="00335CF7" w:rsidRPr="00D008F9"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410210</w:t>
            </w:r>
          </w:p>
        </w:tc>
        <w:tc>
          <w:tcPr>
            <w:tcW w:w="2762" w:type="dxa"/>
            <w:tcBorders>
              <w:top w:val="nil"/>
              <w:left w:val="nil"/>
              <w:bottom w:val="nil"/>
              <w:right w:val="nil"/>
            </w:tcBorders>
            <w:shd w:val="clear" w:color="auto" w:fill="auto"/>
            <w:noWrap/>
            <w:vAlign w:val="center"/>
          </w:tcPr>
          <w:p w14:paraId="53C0F5C7" w14:textId="77777777" w:rsidR="00335CF7" w:rsidRPr="00D008F9" w:rsidRDefault="00335CF7" w:rsidP="000F69BD">
            <w:pPr>
              <w:spacing w:after="0" w:line="240" w:lineRule="auto"/>
              <w:rPr>
                <w:rFonts w:asciiTheme="majorHAnsi" w:eastAsia="Times New Roman" w:hAnsiTheme="majorHAnsi" w:cstheme="majorHAnsi"/>
                <w:color w:val="000000"/>
                <w:sz w:val="16"/>
                <w:szCs w:val="16"/>
                <w:lang w:eastAsia="en-AU"/>
              </w:rPr>
            </w:pPr>
            <w:r w:rsidRPr="00284549">
              <w:rPr>
                <w:rFonts w:asciiTheme="majorHAnsi" w:hAnsiTheme="majorHAnsi" w:cstheme="majorHAnsi"/>
                <w:sz w:val="16"/>
                <w:szCs w:val="16"/>
              </w:rPr>
              <w:t xml:space="preserve">sheep or lamb skins with wool on, fresh, salted, dried, limed, </w:t>
            </w:r>
            <w:proofErr w:type="gramStart"/>
            <w:r w:rsidRPr="00284549">
              <w:rPr>
                <w:rFonts w:asciiTheme="majorHAnsi" w:hAnsiTheme="majorHAnsi" w:cstheme="majorHAnsi"/>
                <w:sz w:val="16"/>
                <w:szCs w:val="16"/>
              </w:rPr>
              <w:t>pickled</w:t>
            </w:r>
            <w:proofErr w:type="gramEnd"/>
            <w:r w:rsidRPr="00284549">
              <w:rPr>
                <w:rFonts w:asciiTheme="majorHAnsi" w:hAnsiTheme="majorHAnsi" w:cstheme="majorHAnsi"/>
                <w:sz w:val="16"/>
                <w:szCs w:val="16"/>
              </w:rPr>
              <w:t xml:space="preserve"> or otherwise preserved, but not tanned, parchment-dressed or further prepared</w:t>
            </w:r>
          </w:p>
        </w:tc>
        <w:tc>
          <w:tcPr>
            <w:tcW w:w="1182" w:type="dxa"/>
            <w:tcBorders>
              <w:top w:val="nil"/>
              <w:left w:val="nil"/>
              <w:bottom w:val="nil"/>
              <w:right w:val="nil"/>
            </w:tcBorders>
            <w:shd w:val="clear" w:color="auto" w:fill="auto"/>
            <w:noWrap/>
            <w:vAlign w:val="center"/>
          </w:tcPr>
          <w:p w14:paraId="2CA1C483"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21,091</w:t>
            </w:r>
          </w:p>
        </w:tc>
        <w:tc>
          <w:tcPr>
            <w:tcW w:w="1027" w:type="dxa"/>
            <w:tcBorders>
              <w:top w:val="nil"/>
              <w:left w:val="nil"/>
              <w:bottom w:val="nil"/>
              <w:right w:val="nil"/>
            </w:tcBorders>
            <w:shd w:val="clear" w:color="auto" w:fill="auto"/>
            <w:noWrap/>
            <w:vAlign w:val="center"/>
          </w:tcPr>
          <w:p w14:paraId="54FC9AAC"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1.5%</w:t>
            </w:r>
          </w:p>
        </w:tc>
        <w:tc>
          <w:tcPr>
            <w:tcW w:w="665" w:type="dxa"/>
            <w:tcBorders>
              <w:top w:val="nil"/>
              <w:left w:val="nil"/>
              <w:bottom w:val="nil"/>
              <w:right w:val="nil"/>
            </w:tcBorders>
            <w:shd w:val="clear" w:color="auto" w:fill="auto"/>
            <w:noWrap/>
            <w:vAlign w:val="center"/>
          </w:tcPr>
          <w:p w14:paraId="79C6A474" w14:textId="77777777" w:rsidR="00335CF7" w:rsidRPr="00D008F9"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0</w:t>
            </w:r>
          </w:p>
        </w:tc>
        <w:tc>
          <w:tcPr>
            <w:tcW w:w="2013" w:type="dxa"/>
            <w:tcBorders>
              <w:top w:val="nil"/>
              <w:left w:val="nil"/>
              <w:bottom w:val="nil"/>
              <w:right w:val="nil"/>
            </w:tcBorders>
            <w:shd w:val="clear" w:color="auto" w:fill="auto"/>
            <w:noWrap/>
            <w:vAlign w:val="center"/>
          </w:tcPr>
          <w:p w14:paraId="549FEC87" w14:textId="77777777" w:rsidR="00335CF7" w:rsidRPr="00D008F9" w:rsidRDefault="00335CF7" w:rsidP="000F69BD">
            <w:pPr>
              <w:spacing w:after="0" w:line="240" w:lineRule="auto"/>
              <w:rPr>
                <w:rFonts w:asciiTheme="majorHAnsi" w:eastAsia="Times New Roman" w:hAnsiTheme="majorHAnsi" w:cstheme="majorHAnsi"/>
                <w:sz w:val="16"/>
                <w:szCs w:val="16"/>
                <w:lang w:eastAsia="en-AU"/>
              </w:rPr>
            </w:pPr>
            <w:r w:rsidRPr="00284549">
              <w:rPr>
                <w:rFonts w:asciiTheme="majorHAnsi" w:hAnsiTheme="majorHAnsi" w:cstheme="majorHAnsi"/>
                <w:sz w:val="16"/>
                <w:szCs w:val="16"/>
              </w:rPr>
              <w:t>Eliminated on entry-into-force without conditions</w:t>
            </w:r>
          </w:p>
        </w:tc>
        <w:tc>
          <w:tcPr>
            <w:tcW w:w="1148" w:type="dxa"/>
            <w:tcBorders>
              <w:top w:val="nil"/>
              <w:left w:val="nil"/>
              <w:bottom w:val="nil"/>
              <w:right w:val="nil"/>
            </w:tcBorders>
            <w:shd w:val="clear" w:color="auto" w:fill="auto"/>
            <w:noWrap/>
            <w:vAlign w:val="center"/>
          </w:tcPr>
          <w:p w14:paraId="1641D096"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0</w:t>
            </w:r>
          </w:p>
        </w:tc>
      </w:tr>
      <w:tr w:rsidR="00335CF7" w:rsidRPr="00F81F50" w14:paraId="2605208D" w14:textId="77777777" w:rsidTr="000F69BD">
        <w:tc>
          <w:tcPr>
            <w:tcW w:w="706" w:type="dxa"/>
            <w:tcBorders>
              <w:top w:val="nil"/>
              <w:left w:val="nil"/>
              <w:bottom w:val="nil"/>
              <w:right w:val="nil"/>
            </w:tcBorders>
            <w:shd w:val="clear" w:color="auto" w:fill="auto"/>
            <w:noWrap/>
            <w:vAlign w:val="center"/>
          </w:tcPr>
          <w:p w14:paraId="703CC0C1" w14:textId="77777777" w:rsidR="00335CF7" w:rsidRPr="00D008F9"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CH41</w:t>
            </w:r>
          </w:p>
        </w:tc>
        <w:tc>
          <w:tcPr>
            <w:tcW w:w="847" w:type="dxa"/>
            <w:tcBorders>
              <w:top w:val="nil"/>
              <w:left w:val="nil"/>
              <w:bottom w:val="nil"/>
              <w:right w:val="nil"/>
            </w:tcBorders>
            <w:shd w:val="clear" w:color="auto" w:fill="auto"/>
            <w:noWrap/>
            <w:vAlign w:val="center"/>
          </w:tcPr>
          <w:p w14:paraId="65BB9F47" w14:textId="77777777" w:rsidR="00335CF7" w:rsidRPr="00D008F9"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410221</w:t>
            </w:r>
          </w:p>
        </w:tc>
        <w:tc>
          <w:tcPr>
            <w:tcW w:w="2762" w:type="dxa"/>
            <w:tcBorders>
              <w:top w:val="nil"/>
              <w:left w:val="nil"/>
              <w:bottom w:val="nil"/>
              <w:right w:val="nil"/>
            </w:tcBorders>
            <w:shd w:val="clear" w:color="auto" w:fill="auto"/>
            <w:noWrap/>
            <w:vAlign w:val="center"/>
          </w:tcPr>
          <w:p w14:paraId="69DA47AC" w14:textId="77777777" w:rsidR="00335CF7" w:rsidRPr="00D008F9" w:rsidRDefault="00335CF7" w:rsidP="000F69BD">
            <w:pPr>
              <w:spacing w:after="0" w:line="240" w:lineRule="auto"/>
              <w:rPr>
                <w:rFonts w:asciiTheme="majorHAnsi" w:eastAsia="Times New Roman" w:hAnsiTheme="majorHAnsi" w:cstheme="majorHAnsi"/>
                <w:color w:val="000000"/>
                <w:sz w:val="16"/>
                <w:szCs w:val="16"/>
                <w:lang w:eastAsia="en-AU"/>
              </w:rPr>
            </w:pPr>
            <w:r w:rsidRPr="00284549">
              <w:rPr>
                <w:rFonts w:asciiTheme="majorHAnsi" w:hAnsiTheme="majorHAnsi" w:cstheme="majorHAnsi"/>
                <w:sz w:val="16"/>
                <w:szCs w:val="16"/>
              </w:rPr>
              <w:t xml:space="preserve">sheep or lamb skins, without wool on, pickled, </w:t>
            </w:r>
            <w:proofErr w:type="gramStart"/>
            <w:r w:rsidRPr="00284549">
              <w:rPr>
                <w:rFonts w:asciiTheme="majorHAnsi" w:hAnsiTheme="majorHAnsi" w:cstheme="majorHAnsi"/>
                <w:sz w:val="16"/>
                <w:szCs w:val="16"/>
              </w:rPr>
              <w:t>whether or not</w:t>
            </w:r>
            <w:proofErr w:type="gramEnd"/>
            <w:r w:rsidRPr="00284549">
              <w:rPr>
                <w:rFonts w:asciiTheme="majorHAnsi" w:hAnsiTheme="majorHAnsi" w:cstheme="majorHAnsi"/>
                <w:sz w:val="16"/>
                <w:szCs w:val="16"/>
              </w:rPr>
              <w:t xml:space="preserve"> split</w:t>
            </w:r>
          </w:p>
        </w:tc>
        <w:tc>
          <w:tcPr>
            <w:tcW w:w="1182" w:type="dxa"/>
            <w:tcBorders>
              <w:top w:val="nil"/>
              <w:left w:val="nil"/>
              <w:bottom w:val="nil"/>
              <w:right w:val="nil"/>
            </w:tcBorders>
            <w:shd w:val="clear" w:color="auto" w:fill="auto"/>
            <w:noWrap/>
            <w:vAlign w:val="center"/>
          </w:tcPr>
          <w:p w14:paraId="75FC8C5D"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6,199</w:t>
            </w:r>
          </w:p>
        </w:tc>
        <w:tc>
          <w:tcPr>
            <w:tcW w:w="1027" w:type="dxa"/>
            <w:tcBorders>
              <w:top w:val="nil"/>
              <w:left w:val="nil"/>
              <w:bottom w:val="nil"/>
              <w:right w:val="nil"/>
            </w:tcBorders>
            <w:shd w:val="clear" w:color="auto" w:fill="auto"/>
            <w:noWrap/>
            <w:vAlign w:val="center"/>
          </w:tcPr>
          <w:p w14:paraId="74A1C7CA"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0.1%</w:t>
            </w:r>
          </w:p>
        </w:tc>
        <w:tc>
          <w:tcPr>
            <w:tcW w:w="665" w:type="dxa"/>
            <w:tcBorders>
              <w:top w:val="nil"/>
              <w:left w:val="nil"/>
              <w:bottom w:val="nil"/>
              <w:right w:val="nil"/>
            </w:tcBorders>
            <w:shd w:val="clear" w:color="auto" w:fill="auto"/>
            <w:noWrap/>
            <w:vAlign w:val="center"/>
          </w:tcPr>
          <w:p w14:paraId="7D7A81E5" w14:textId="77777777" w:rsidR="00335CF7" w:rsidRPr="00D008F9"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0</w:t>
            </w:r>
          </w:p>
        </w:tc>
        <w:tc>
          <w:tcPr>
            <w:tcW w:w="2013" w:type="dxa"/>
            <w:tcBorders>
              <w:top w:val="nil"/>
              <w:left w:val="nil"/>
              <w:bottom w:val="nil"/>
              <w:right w:val="nil"/>
            </w:tcBorders>
            <w:shd w:val="clear" w:color="auto" w:fill="auto"/>
            <w:noWrap/>
            <w:vAlign w:val="center"/>
          </w:tcPr>
          <w:p w14:paraId="5FD63596" w14:textId="77777777" w:rsidR="00335CF7" w:rsidRPr="00D008F9" w:rsidRDefault="00335CF7" w:rsidP="000F69BD">
            <w:pPr>
              <w:spacing w:after="0" w:line="240" w:lineRule="auto"/>
              <w:rPr>
                <w:rFonts w:asciiTheme="majorHAnsi" w:eastAsia="Times New Roman" w:hAnsiTheme="majorHAnsi" w:cstheme="majorHAnsi"/>
                <w:sz w:val="16"/>
                <w:szCs w:val="16"/>
                <w:lang w:eastAsia="en-AU"/>
              </w:rPr>
            </w:pPr>
            <w:r w:rsidRPr="00284549">
              <w:rPr>
                <w:rFonts w:asciiTheme="majorHAnsi" w:hAnsiTheme="majorHAnsi" w:cstheme="majorHAnsi"/>
                <w:sz w:val="16"/>
                <w:szCs w:val="16"/>
              </w:rPr>
              <w:t>Eliminated on entry-into-force without conditions</w:t>
            </w:r>
          </w:p>
        </w:tc>
        <w:tc>
          <w:tcPr>
            <w:tcW w:w="1148" w:type="dxa"/>
            <w:tcBorders>
              <w:top w:val="nil"/>
              <w:left w:val="nil"/>
              <w:bottom w:val="nil"/>
              <w:right w:val="nil"/>
            </w:tcBorders>
            <w:shd w:val="clear" w:color="auto" w:fill="auto"/>
            <w:noWrap/>
            <w:vAlign w:val="center"/>
          </w:tcPr>
          <w:p w14:paraId="37D29E06"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0</w:t>
            </w:r>
          </w:p>
        </w:tc>
      </w:tr>
      <w:tr w:rsidR="00335CF7" w:rsidRPr="00F81F50" w14:paraId="4C9F45DE" w14:textId="77777777" w:rsidTr="000F69BD">
        <w:tc>
          <w:tcPr>
            <w:tcW w:w="706" w:type="dxa"/>
            <w:tcBorders>
              <w:top w:val="nil"/>
              <w:left w:val="nil"/>
              <w:bottom w:val="nil"/>
              <w:right w:val="nil"/>
            </w:tcBorders>
            <w:shd w:val="clear" w:color="auto" w:fill="auto"/>
            <w:noWrap/>
            <w:vAlign w:val="center"/>
          </w:tcPr>
          <w:p w14:paraId="2DBE88EE" w14:textId="77777777" w:rsidR="00335CF7" w:rsidRPr="00D008F9"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CH41</w:t>
            </w:r>
          </w:p>
        </w:tc>
        <w:tc>
          <w:tcPr>
            <w:tcW w:w="847" w:type="dxa"/>
            <w:tcBorders>
              <w:top w:val="nil"/>
              <w:left w:val="nil"/>
              <w:bottom w:val="nil"/>
              <w:right w:val="nil"/>
            </w:tcBorders>
            <w:shd w:val="clear" w:color="auto" w:fill="auto"/>
            <w:noWrap/>
            <w:vAlign w:val="center"/>
          </w:tcPr>
          <w:p w14:paraId="0197E5C9" w14:textId="77777777" w:rsidR="00335CF7" w:rsidRPr="00D008F9"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410229</w:t>
            </w:r>
          </w:p>
        </w:tc>
        <w:tc>
          <w:tcPr>
            <w:tcW w:w="2762" w:type="dxa"/>
            <w:tcBorders>
              <w:top w:val="nil"/>
              <w:left w:val="nil"/>
              <w:bottom w:val="nil"/>
              <w:right w:val="nil"/>
            </w:tcBorders>
            <w:shd w:val="clear" w:color="auto" w:fill="auto"/>
            <w:noWrap/>
            <w:vAlign w:val="center"/>
          </w:tcPr>
          <w:p w14:paraId="3B5702E5" w14:textId="77777777" w:rsidR="00335CF7" w:rsidRPr="00D008F9" w:rsidRDefault="00335CF7" w:rsidP="000F69BD">
            <w:pPr>
              <w:spacing w:after="0" w:line="240" w:lineRule="auto"/>
              <w:rPr>
                <w:rFonts w:asciiTheme="majorHAnsi" w:eastAsia="Times New Roman" w:hAnsiTheme="majorHAnsi" w:cstheme="majorHAnsi"/>
                <w:color w:val="000000"/>
                <w:sz w:val="16"/>
                <w:szCs w:val="16"/>
                <w:lang w:eastAsia="en-AU"/>
              </w:rPr>
            </w:pPr>
            <w:r w:rsidRPr="00284549">
              <w:rPr>
                <w:rFonts w:asciiTheme="majorHAnsi" w:hAnsiTheme="majorHAnsi" w:cstheme="majorHAnsi"/>
                <w:sz w:val="16"/>
                <w:szCs w:val="16"/>
              </w:rPr>
              <w:t>sheep or lamb skins, without wool on, fresh, salted, dried, limed or otherwise preserved, not tanned, parchment-dressed or further prepared</w:t>
            </w:r>
          </w:p>
        </w:tc>
        <w:tc>
          <w:tcPr>
            <w:tcW w:w="1182" w:type="dxa"/>
            <w:tcBorders>
              <w:top w:val="nil"/>
              <w:left w:val="nil"/>
              <w:bottom w:val="nil"/>
              <w:right w:val="nil"/>
            </w:tcBorders>
            <w:shd w:val="clear" w:color="auto" w:fill="auto"/>
            <w:noWrap/>
            <w:vAlign w:val="center"/>
          </w:tcPr>
          <w:p w14:paraId="1416F1D9"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171,367</w:t>
            </w:r>
          </w:p>
        </w:tc>
        <w:tc>
          <w:tcPr>
            <w:tcW w:w="1027" w:type="dxa"/>
            <w:tcBorders>
              <w:top w:val="nil"/>
              <w:left w:val="nil"/>
              <w:bottom w:val="nil"/>
              <w:right w:val="nil"/>
            </w:tcBorders>
            <w:shd w:val="clear" w:color="auto" w:fill="auto"/>
            <w:noWrap/>
            <w:vAlign w:val="center"/>
          </w:tcPr>
          <w:p w14:paraId="4F48CAED"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2.1%</w:t>
            </w:r>
          </w:p>
        </w:tc>
        <w:tc>
          <w:tcPr>
            <w:tcW w:w="665" w:type="dxa"/>
            <w:tcBorders>
              <w:top w:val="nil"/>
              <w:left w:val="nil"/>
              <w:bottom w:val="nil"/>
              <w:right w:val="nil"/>
            </w:tcBorders>
            <w:shd w:val="clear" w:color="auto" w:fill="auto"/>
            <w:noWrap/>
            <w:vAlign w:val="center"/>
          </w:tcPr>
          <w:p w14:paraId="369DCFAC" w14:textId="77777777" w:rsidR="00335CF7" w:rsidRPr="00D008F9"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0</w:t>
            </w:r>
          </w:p>
        </w:tc>
        <w:tc>
          <w:tcPr>
            <w:tcW w:w="2013" w:type="dxa"/>
            <w:tcBorders>
              <w:top w:val="nil"/>
              <w:left w:val="nil"/>
              <w:bottom w:val="nil"/>
              <w:right w:val="nil"/>
            </w:tcBorders>
            <w:shd w:val="clear" w:color="auto" w:fill="auto"/>
            <w:noWrap/>
            <w:vAlign w:val="center"/>
          </w:tcPr>
          <w:p w14:paraId="5F34D0B3" w14:textId="77777777" w:rsidR="00335CF7" w:rsidRPr="00D008F9" w:rsidRDefault="00335CF7" w:rsidP="000F69BD">
            <w:pPr>
              <w:spacing w:after="0" w:line="240" w:lineRule="auto"/>
              <w:rPr>
                <w:rFonts w:asciiTheme="majorHAnsi" w:eastAsia="Times New Roman" w:hAnsiTheme="majorHAnsi" w:cstheme="majorHAnsi"/>
                <w:sz w:val="16"/>
                <w:szCs w:val="16"/>
                <w:lang w:eastAsia="en-AU"/>
              </w:rPr>
            </w:pPr>
            <w:r w:rsidRPr="00284549">
              <w:rPr>
                <w:rFonts w:asciiTheme="majorHAnsi" w:hAnsiTheme="majorHAnsi" w:cstheme="majorHAnsi"/>
                <w:sz w:val="16"/>
                <w:szCs w:val="16"/>
              </w:rPr>
              <w:t>Eliminated on entry-into-force without conditions</w:t>
            </w:r>
          </w:p>
        </w:tc>
        <w:tc>
          <w:tcPr>
            <w:tcW w:w="1148" w:type="dxa"/>
            <w:tcBorders>
              <w:top w:val="nil"/>
              <w:left w:val="nil"/>
              <w:bottom w:val="nil"/>
              <w:right w:val="nil"/>
            </w:tcBorders>
            <w:shd w:val="clear" w:color="auto" w:fill="auto"/>
            <w:noWrap/>
            <w:vAlign w:val="center"/>
          </w:tcPr>
          <w:p w14:paraId="08374D5B"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0</w:t>
            </w:r>
          </w:p>
        </w:tc>
      </w:tr>
      <w:tr w:rsidR="00335CF7" w:rsidRPr="00F81F50" w14:paraId="334EC972" w14:textId="77777777" w:rsidTr="000F69BD">
        <w:tc>
          <w:tcPr>
            <w:tcW w:w="706" w:type="dxa"/>
            <w:tcBorders>
              <w:top w:val="nil"/>
              <w:left w:val="nil"/>
              <w:bottom w:val="nil"/>
              <w:right w:val="nil"/>
            </w:tcBorders>
            <w:shd w:val="clear" w:color="auto" w:fill="auto"/>
            <w:noWrap/>
            <w:vAlign w:val="center"/>
          </w:tcPr>
          <w:p w14:paraId="15483D21" w14:textId="77777777" w:rsidR="00335CF7" w:rsidRPr="00D008F9"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CH51</w:t>
            </w:r>
          </w:p>
        </w:tc>
        <w:tc>
          <w:tcPr>
            <w:tcW w:w="847" w:type="dxa"/>
            <w:tcBorders>
              <w:top w:val="nil"/>
              <w:left w:val="nil"/>
              <w:bottom w:val="nil"/>
              <w:right w:val="nil"/>
            </w:tcBorders>
            <w:shd w:val="clear" w:color="auto" w:fill="auto"/>
            <w:noWrap/>
            <w:vAlign w:val="center"/>
          </w:tcPr>
          <w:p w14:paraId="0F5DC88C" w14:textId="77777777" w:rsidR="00335CF7" w:rsidRPr="00D008F9"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510111</w:t>
            </w:r>
          </w:p>
        </w:tc>
        <w:tc>
          <w:tcPr>
            <w:tcW w:w="2762" w:type="dxa"/>
            <w:tcBorders>
              <w:top w:val="nil"/>
              <w:left w:val="nil"/>
              <w:bottom w:val="nil"/>
              <w:right w:val="nil"/>
            </w:tcBorders>
            <w:shd w:val="clear" w:color="auto" w:fill="auto"/>
            <w:noWrap/>
            <w:vAlign w:val="center"/>
          </w:tcPr>
          <w:p w14:paraId="1BE3671F" w14:textId="77777777" w:rsidR="00335CF7" w:rsidRPr="00D008F9" w:rsidRDefault="00335CF7" w:rsidP="000F69BD">
            <w:pPr>
              <w:spacing w:after="0" w:line="240" w:lineRule="auto"/>
              <w:rPr>
                <w:rFonts w:asciiTheme="majorHAnsi" w:eastAsia="Times New Roman" w:hAnsiTheme="majorHAnsi" w:cstheme="majorHAnsi"/>
                <w:color w:val="000000"/>
                <w:sz w:val="16"/>
                <w:szCs w:val="16"/>
                <w:lang w:eastAsia="en-AU"/>
              </w:rPr>
            </w:pPr>
            <w:r w:rsidRPr="00284549">
              <w:rPr>
                <w:rFonts w:asciiTheme="majorHAnsi" w:hAnsiTheme="majorHAnsi" w:cstheme="majorHAnsi"/>
                <w:sz w:val="16"/>
                <w:szCs w:val="16"/>
              </w:rPr>
              <w:t>wool, not carded or combed, greasy (including fleece-washed), shorn</w:t>
            </w:r>
          </w:p>
        </w:tc>
        <w:tc>
          <w:tcPr>
            <w:tcW w:w="1182" w:type="dxa"/>
            <w:tcBorders>
              <w:top w:val="nil"/>
              <w:left w:val="nil"/>
              <w:bottom w:val="nil"/>
              <w:right w:val="nil"/>
            </w:tcBorders>
            <w:shd w:val="clear" w:color="auto" w:fill="auto"/>
            <w:noWrap/>
            <w:vAlign w:val="center"/>
          </w:tcPr>
          <w:p w14:paraId="7DF7D5F1"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5,212,857</w:t>
            </w:r>
          </w:p>
        </w:tc>
        <w:tc>
          <w:tcPr>
            <w:tcW w:w="1027" w:type="dxa"/>
            <w:tcBorders>
              <w:top w:val="nil"/>
              <w:left w:val="nil"/>
              <w:bottom w:val="nil"/>
              <w:right w:val="nil"/>
            </w:tcBorders>
            <w:shd w:val="clear" w:color="auto" w:fill="auto"/>
            <w:noWrap/>
            <w:vAlign w:val="center"/>
          </w:tcPr>
          <w:p w14:paraId="27D77BE8"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94.2%</w:t>
            </w:r>
          </w:p>
        </w:tc>
        <w:tc>
          <w:tcPr>
            <w:tcW w:w="665" w:type="dxa"/>
            <w:tcBorders>
              <w:top w:val="nil"/>
              <w:left w:val="nil"/>
              <w:bottom w:val="nil"/>
              <w:right w:val="nil"/>
            </w:tcBorders>
            <w:shd w:val="clear" w:color="auto" w:fill="auto"/>
            <w:noWrap/>
            <w:vAlign w:val="center"/>
          </w:tcPr>
          <w:p w14:paraId="10B948C7" w14:textId="77777777" w:rsidR="00335CF7" w:rsidRPr="00D008F9"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25</w:t>
            </w:r>
          </w:p>
        </w:tc>
        <w:tc>
          <w:tcPr>
            <w:tcW w:w="2013" w:type="dxa"/>
            <w:tcBorders>
              <w:top w:val="nil"/>
              <w:left w:val="nil"/>
              <w:bottom w:val="nil"/>
              <w:right w:val="nil"/>
            </w:tcBorders>
            <w:shd w:val="clear" w:color="auto" w:fill="auto"/>
            <w:noWrap/>
            <w:vAlign w:val="center"/>
          </w:tcPr>
          <w:p w14:paraId="2F29B770" w14:textId="77777777" w:rsidR="00335CF7" w:rsidRPr="00D008F9" w:rsidRDefault="00335CF7" w:rsidP="000F69BD">
            <w:pPr>
              <w:spacing w:after="0" w:line="240" w:lineRule="auto"/>
              <w:rPr>
                <w:rFonts w:asciiTheme="majorHAnsi" w:eastAsia="Times New Roman" w:hAnsiTheme="majorHAnsi" w:cstheme="majorHAnsi"/>
                <w:sz w:val="16"/>
                <w:szCs w:val="16"/>
                <w:lang w:eastAsia="en-AU"/>
              </w:rPr>
            </w:pPr>
            <w:r w:rsidRPr="00284549">
              <w:rPr>
                <w:rFonts w:asciiTheme="majorHAnsi" w:hAnsiTheme="majorHAnsi" w:cstheme="majorHAnsi"/>
                <w:sz w:val="16"/>
                <w:szCs w:val="16"/>
              </w:rPr>
              <w:t>Eliminated on entry-into-force without conditions</w:t>
            </w:r>
          </w:p>
        </w:tc>
        <w:tc>
          <w:tcPr>
            <w:tcW w:w="1148" w:type="dxa"/>
            <w:tcBorders>
              <w:top w:val="nil"/>
              <w:left w:val="nil"/>
              <w:bottom w:val="nil"/>
              <w:right w:val="nil"/>
            </w:tcBorders>
            <w:shd w:val="clear" w:color="auto" w:fill="auto"/>
            <w:noWrap/>
            <w:vAlign w:val="center"/>
          </w:tcPr>
          <w:p w14:paraId="6E6EFF8D"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1,303,214</w:t>
            </w:r>
          </w:p>
        </w:tc>
      </w:tr>
      <w:tr w:rsidR="00335CF7" w:rsidRPr="00F81F50" w14:paraId="145A15DC" w14:textId="77777777" w:rsidTr="000F69BD">
        <w:tc>
          <w:tcPr>
            <w:tcW w:w="706" w:type="dxa"/>
            <w:tcBorders>
              <w:top w:val="nil"/>
              <w:left w:val="nil"/>
              <w:bottom w:val="nil"/>
              <w:right w:val="nil"/>
            </w:tcBorders>
            <w:shd w:val="clear" w:color="auto" w:fill="auto"/>
            <w:noWrap/>
            <w:vAlign w:val="center"/>
          </w:tcPr>
          <w:p w14:paraId="7092F2C0" w14:textId="77777777" w:rsidR="00335CF7" w:rsidRPr="00D008F9"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CH51</w:t>
            </w:r>
          </w:p>
        </w:tc>
        <w:tc>
          <w:tcPr>
            <w:tcW w:w="847" w:type="dxa"/>
            <w:tcBorders>
              <w:top w:val="nil"/>
              <w:left w:val="nil"/>
              <w:bottom w:val="nil"/>
              <w:right w:val="nil"/>
            </w:tcBorders>
            <w:shd w:val="clear" w:color="auto" w:fill="auto"/>
            <w:noWrap/>
            <w:vAlign w:val="center"/>
          </w:tcPr>
          <w:p w14:paraId="5077B5DF" w14:textId="77777777" w:rsidR="00335CF7" w:rsidRPr="00D008F9"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510119</w:t>
            </w:r>
          </w:p>
        </w:tc>
        <w:tc>
          <w:tcPr>
            <w:tcW w:w="2762" w:type="dxa"/>
            <w:tcBorders>
              <w:top w:val="nil"/>
              <w:left w:val="nil"/>
              <w:bottom w:val="nil"/>
              <w:right w:val="nil"/>
            </w:tcBorders>
            <w:shd w:val="clear" w:color="auto" w:fill="auto"/>
            <w:noWrap/>
            <w:vAlign w:val="center"/>
          </w:tcPr>
          <w:p w14:paraId="1B890B40" w14:textId="77777777" w:rsidR="00335CF7" w:rsidRPr="00D008F9" w:rsidRDefault="00335CF7" w:rsidP="000F69BD">
            <w:pPr>
              <w:spacing w:after="0" w:line="240" w:lineRule="auto"/>
              <w:rPr>
                <w:rFonts w:asciiTheme="majorHAnsi" w:eastAsia="Times New Roman" w:hAnsiTheme="majorHAnsi" w:cstheme="majorHAnsi"/>
                <w:color w:val="000000"/>
                <w:sz w:val="16"/>
                <w:szCs w:val="16"/>
                <w:lang w:eastAsia="en-AU"/>
              </w:rPr>
            </w:pPr>
            <w:r w:rsidRPr="00284549">
              <w:rPr>
                <w:rFonts w:asciiTheme="majorHAnsi" w:hAnsiTheme="majorHAnsi" w:cstheme="majorHAnsi"/>
                <w:sz w:val="16"/>
                <w:szCs w:val="16"/>
              </w:rPr>
              <w:t xml:space="preserve">wool, not carded or combed, greasy (including fleece-washed), </w:t>
            </w:r>
            <w:proofErr w:type="spellStart"/>
            <w:r w:rsidRPr="00284549">
              <w:rPr>
                <w:rFonts w:asciiTheme="majorHAnsi" w:hAnsiTheme="majorHAnsi" w:cstheme="majorHAnsi"/>
                <w:sz w:val="16"/>
                <w:szCs w:val="16"/>
              </w:rPr>
              <w:t>nesoi</w:t>
            </w:r>
            <w:proofErr w:type="spellEnd"/>
          </w:p>
        </w:tc>
        <w:tc>
          <w:tcPr>
            <w:tcW w:w="1182" w:type="dxa"/>
            <w:tcBorders>
              <w:top w:val="nil"/>
              <w:left w:val="nil"/>
              <w:bottom w:val="nil"/>
              <w:right w:val="nil"/>
            </w:tcBorders>
            <w:shd w:val="clear" w:color="auto" w:fill="auto"/>
            <w:noWrap/>
            <w:vAlign w:val="center"/>
          </w:tcPr>
          <w:p w14:paraId="7381448E"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160,287,706</w:t>
            </w:r>
          </w:p>
        </w:tc>
        <w:tc>
          <w:tcPr>
            <w:tcW w:w="1027" w:type="dxa"/>
            <w:tcBorders>
              <w:top w:val="nil"/>
              <w:left w:val="nil"/>
              <w:bottom w:val="nil"/>
              <w:right w:val="nil"/>
            </w:tcBorders>
            <w:shd w:val="clear" w:color="auto" w:fill="auto"/>
            <w:noWrap/>
            <w:vAlign w:val="center"/>
          </w:tcPr>
          <w:p w14:paraId="412FDF2A"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75.8%</w:t>
            </w:r>
          </w:p>
        </w:tc>
        <w:tc>
          <w:tcPr>
            <w:tcW w:w="665" w:type="dxa"/>
            <w:tcBorders>
              <w:top w:val="nil"/>
              <w:left w:val="nil"/>
              <w:bottom w:val="nil"/>
              <w:right w:val="nil"/>
            </w:tcBorders>
            <w:shd w:val="clear" w:color="auto" w:fill="auto"/>
            <w:noWrap/>
            <w:vAlign w:val="center"/>
          </w:tcPr>
          <w:p w14:paraId="64913788" w14:textId="77777777" w:rsidR="00335CF7" w:rsidRPr="00D008F9"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25</w:t>
            </w:r>
          </w:p>
        </w:tc>
        <w:tc>
          <w:tcPr>
            <w:tcW w:w="2013" w:type="dxa"/>
            <w:tcBorders>
              <w:top w:val="nil"/>
              <w:left w:val="nil"/>
              <w:bottom w:val="nil"/>
              <w:right w:val="nil"/>
            </w:tcBorders>
            <w:shd w:val="clear" w:color="auto" w:fill="auto"/>
            <w:noWrap/>
            <w:vAlign w:val="center"/>
          </w:tcPr>
          <w:p w14:paraId="320C3E1D" w14:textId="77777777" w:rsidR="00335CF7" w:rsidRPr="00D008F9" w:rsidRDefault="00335CF7" w:rsidP="000F69BD">
            <w:pPr>
              <w:spacing w:after="0" w:line="240" w:lineRule="auto"/>
              <w:rPr>
                <w:rFonts w:asciiTheme="majorHAnsi" w:eastAsia="Times New Roman" w:hAnsiTheme="majorHAnsi" w:cstheme="majorHAnsi"/>
                <w:sz w:val="16"/>
                <w:szCs w:val="16"/>
                <w:lang w:eastAsia="en-AU"/>
              </w:rPr>
            </w:pPr>
            <w:r w:rsidRPr="00284549">
              <w:rPr>
                <w:rFonts w:asciiTheme="majorHAnsi" w:hAnsiTheme="majorHAnsi" w:cstheme="majorHAnsi"/>
                <w:sz w:val="16"/>
                <w:szCs w:val="16"/>
              </w:rPr>
              <w:t>Eliminated on entry-into-force without conditions</w:t>
            </w:r>
          </w:p>
        </w:tc>
        <w:tc>
          <w:tcPr>
            <w:tcW w:w="1148" w:type="dxa"/>
            <w:tcBorders>
              <w:top w:val="nil"/>
              <w:left w:val="nil"/>
              <w:bottom w:val="nil"/>
              <w:right w:val="nil"/>
            </w:tcBorders>
            <w:shd w:val="clear" w:color="auto" w:fill="auto"/>
            <w:noWrap/>
            <w:vAlign w:val="center"/>
          </w:tcPr>
          <w:p w14:paraId="1AB7B2FB"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40,071,927</w:t>
            </w:r>
          </w:p>
        </w:tc>
      </w:tr>
      <w:tr w:rsidR="00335CF7" w:rsidRPr="00F81F50" w14:paraId="10F644AE" w14:textId="77777777" w:rsidTr="000F69BD">
        <w:tc>
          <w:tcPr>
            <w:tcW w:w="706" w:type="dxa"/>
            <w:tcBorders>
              <w:top w:val="nil"/>
              <w:left w:val="nil"/>
              <w:bottom w:val="nil"/>
              <w:right w:val="nil"/>
            </w:tcBorders>
            <w:shd w:val="clear" w:color="auto" w:fill="auto"/>
            <w:noWrap/>
            <w:vAlign w:val="center"/>
          </w:tcPr>
          <w:p w14:paraId="5F05681F" w14:textId="77777777" w:rsidR="00335CF7" w:rsidRPr="00D008F9"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CH51</w:t>
            </w:r>
          </w:p>
        </w:tc>
        <w:tc>
          <w:tcPr>
            <w:tcW w:w="847" w:type="dxa"/>
            <w:tcBorders>
              <w:top w:val="nil"/>
              <w:left w:val="nil"/>
              <w:bottom w:val="nil"/>
              <w:right w:val="nil"/>
            </w:tcBorders>
            <w:shd w:val="clear" w:color="auto" w:fill="auto"/>
            <w:noWrap/>
            <w:vAlign w:val="center"/>
          </w:tcPr>
          <w:p w14:paraId="6D7846E0" w14:textId="77777777" w:rsidR="00335CF7" w:rsidRPr="00D008F9"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510121</w:t>
            </w:r>
          </w:p>
        </w:tc>
        <w:tc>
          <w:tcPr>
            <w:tcW w:w="2762" w:type="dxa"/>
            <w:tcBorders>
              <w:top w:val="nil"/>
              <w:left w:val="nil"/>
              <w:bottom w:val="nil"/>
              <w:right w:val="nil"/>
            </w:tcBorders>
            <w:shd w:val="clear" w:color="auto" w:fill="auto"/>
            <w:noWrap/>
            <w:vAlign w:val="center"/>
          </w:tcPr>
          <w:p w14:paraId="3A43E281" w14:textId="77777777" w:rsidR="00335CF7" w:rsidRPr="00D008F9" w:rsidRDefault="00335CF7" w:rsidP="000F69BD">
            <w:pPr>
              <w:spacing w:after="0" w:line="240" w:lineRule="auto"/>
              <w:rPr>
                <w:rFonts w:asciiTheme="majorHAnsi" w:eastAsia="Times New Roman" w:hAnsiTheme="majorHAnsi" w:cstheme="majorHAnsi"/>
                <w:color w:val="000000"/>
                <w:sz w:val="16"/>
                <w:szCs w:val="16"/>
                <w:lang w:eastAsia="en-AU"/>
              </w:rPr>
            </w:pPr>
            <w:r w:rsidRPr="00284549">
              <w:rPr>
                <w:rFonts w:asciiTheme="majorHAnsi" w:hAnsiTheme="majorHAnsi" w:cstheme="majorHAnsi"/>
                <w:sz w:val="16"/>
                <w:szCs w:val="16"/>
              </w:rPr>
              <w:t>wool, not carded or combed, degreased, not carbonized, shorn</w:t>
            </w:r>
          </w:p>
        </w:tc>
        <w:tc>
          <w:tcPr>
            <w:tcW w:w="1182" w:type="dxa"/>
            <w:tcBorders>
              <w:top w:val="nil"/>
              <w:left w:val="nil"/>
              <w:bottom w:val="nil"/>
              <w:right w:val="nil"/>
            </w:tcBorders>
            <w:shd w:val="clear" w:color="auto" w:fill="auto"/>
            <w:noWrap/>
            <w:vAlign w:val="center"/>
          </w:tcPr>
          <w:p w14:paraId="595554B1"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1,344,548</w:t>
            </w:r>
          </w:p>
        </w:tc>
        <w:tc>
          <w:tcPr>
            <w:tcW w:w="1027" w:type="dxa"/>
            <w:tcBorders>
              <w:top w:val="nil"/>
              <w:left w:val="nil"/>
              <w:bottom w:val="nil"/>
              <w:right w:val="nil"/>
            </w:tcBorders>
            <w:shd w:val="clear" w:color="auto" w:fill="auto"/>
            <w:noWrap/>
            <w:vAlign w:val="center"/>
          </w:tcPr>
          <w:p w14:paraId="399EDE5F"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10.6%</w:t>
            </w:r>
          </w:p>
        </w:tc>
        <w:tc>
          <w:tcPr>
            <w:tcW w:w="665" w:type="dxa"/>
            <w:tcBorders>
              <w:top w:val="nil"/>
              <w:left w:val="nil"/>
              <w:bottom w:val="nil"/>
              <w:right w:val="nil"/>
            </w:tcBorders>
            <w:shd w:val="clear" w:color="auto" w:fill="auto"/>
            <w:noWrap/>
            <w:vAlign w:val="center"/>
          </w:tcPr>
          <w:p w14:paraId="1EC5B4B6" w14:textId="77777777" w:rsidR="00335CF7" w:rsidRPr="00D008F9"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30</w:t>
            </w:r>
          </w:p>
        </w:tc>
        <w:tc>
          <w:tcPr>
            <w:tcW w:w="2013" w:type="dxa"/>
            <w:tcBorders>
              <w:top w:val="nil"/>
              <w:left w:val="nil"/>
              <w:bottom w:val="nil"/>
              <w:right w:val="nil"/>
            </w:tcBorders>
            <w:shd w:val="clear" w:color="auto" w:fill="auto"/>
            <w:noWrap/>
            <w:vAlign w:val="center"/>
          </w:tcPr>
          <w:p w14:paraId="21B26790" w14:textId="77777777" w:rsidR="00335CF7" w:rsidRPr="00D008F9" w:rsidRDefault="00335CF7" w:rsidP="000F69BD">
            <w:pPr>
              <w:spacing w:after="0" w:line="240" w:lineRule="auto"/>
              <w:rPr>
                <w:rFonts w:asciiTheme="majorHAnsi" w:eastAsia="Times New Roman" w:hAnsiTheme="majorHAnsi" w:cstheme="majorHAnsi"/>
                <w:sz w:val="16"/>
                <w:szCs w:val="16"/>
                <w:lang w:eastAsia="en-AU"/>
              </w:rPr>
            </w:pPr>
            <w:r w:rsidRPr="00284549">
              <w:rPr>
                <w:rFonts w:asciiTheme="majorHAnsi" w:hAnsiTheme="majorHAnsi" w:cstheme="majorHAnsi"/>
                <w:sz w:val="16"/>
                <w:szCs w:val="16"/>
              </w:rPr>
              <w:t>Eliminated on entry-into-force without conditions</w:t>
            </w:r>
          </w:p>
        </w:tc>
        <w:tc>
          <w:tcPr>
            <w:tcW w:w="1148" w:type="dxa"/>
            <w:tcBorders>
              <w:top w:val="nil"/>
              <w:left w:val="nil"/>
              <w:bottom w:val="nil"/>
              <w:right w:val="nil"/>
            </w:tcBorders>
            <w:shd w:val="clear" w:color="auto" w:fill="auto"/>
            <w:noWrap/>
            <w:vAlign w:val="center"/>
          </w:tcPr>
          <w:p w14:paraId="543BB0B0"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403,364</w:t>
            </w:r>
          </w:p>
        </w:tc>
      </w:tr>
      <w:tr w:rsidR="00335CF7" w:rsidRPr="00F81F50" w14:paraId="5827A184" w14:textId="77777777" w:rsidTr="000F69BD">
        <w:tc>
          <w:tcPr>
            <w:tcW w:w="706" w:type="dxa"/>
            <w:tcBorders>
              <w:top w:val="nil"/>
              <w:left w:val="nil"/>
              <w:bottom w:val="nil"/>
              <w:right w:val="nil"/>
            </w:tcBorders>
            <w:shd w:val="clear" w:color="auto" w:fill="auto"/>
            <w:noWrap/>
            <w:vAlign w:val="center"/>
          </w:tcPr>
          <w:p w14:paraId="52B57A89" w14:textId="77777777" w:rsidR="00335CF7" w:rsidRPr="00D008F9"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CH51</w:t>
            </w:r>
          </w:p>
        </w:tc>
        <w:tc>
          <w:tcPr>
            <w:tcW w:w="847" w:type="dxa"/>
            <w:tcBorders>
              <w:top w:val="nil"/>
              <w:left w:val="nil"/>
              <w:bottom w:val="nil"/>
              <w:right w:val="nil"/>
            </w:tcBorders>
            <w:shd w:val="clear" w:color="auto" w:fill="auto"/>
            <w:noWrap/>
            <w:vAlign w:val="center"/>
          </w:tcPr>
          <w:p w14:paraId="172AC3DF" w14:textId="77777777" w:rsidR="00335CF7" w:rsidRPr="00D008F9"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510129</w:t>
            </w:r>
          </w:p>
        </w:tc>
        <w:tc>
          <w:tcPr>
            <w:tcW w:w="2762" w:type="dxa"/>
            <w:tcBorders>
              <w:top w:val="nil"/>
              <w:left w:val="nil"/>
              <w:bottom w:val="nil"/>
              <w:right w:val="nil"/>
            </w:tcBorders>
            <w:shd w:val="clear" w:color="auto" w:fill="auto"/>
            <w:noWrap/>
            <w:vAlign w:val="center"/>
          </w:tcPr>
          <w:p w14:paraId="5EA8FD47" w14:textId="77777777" w:rsidR="00335CF7" w:rsidRPr="00D008F9" w:rsidRDefault="00335CF7" w:rsidP="000F69BD">
            <w:pPr>
              <w:spacing w:after="0" w:line="240" w:lineRule="auto"/>
              <w:rPr>
                <w:rFonts w:asciiTheme="majorHAnsi" w:eastAsia="Times New Roman" w:hAnsiTheme="majorHAnsi" w:cstheme="majorHAnsi"/>
                <w:color w:val="000000"/>
                <w:sz w:val="16"/>
                <w:szCs w:val="16"/>
                <w:lang w:eastAsia="en-AU"/>
              </w:rPr>
            </w:pPr>
            <w:r w:rsidRPr="00284549">
              <w:rPr>
                <w:rFonts w:asciiTheme="majorHAnsi" w:hAnsiTheme="majorHAnsi" w:cstheme="majorHAnsi"/>
                <w:sz w:val="16"/>
                <w:szCs w:val="16"/>
              </w:rPr>
              <w:t xml:space="preserve">wool, not carded or combed, degreased, not carbonized, </w:t>
            </w:r>
            <w:proofErr w:type="spellStart"/>
            <w:r w:rsidRPr="00284549">
              <w:rPr>
                <w:rFonts w:asciiTheme="majorHAnsi" w:hAnsiTheme="majorHAnsi" w:cstheme="majorHAnsi"/>
                <w:sz w:val="16"/>
                <w:szCs w:val="16"/>
              </w:rPr>
              <w:t>nesoi</w:t>
            </w:r>
            <w:proofErr w:type="spellEnd"/>
          </w:p>
        </w:tc>
        <w:tc>
          <w:tcPr>
            <w:tcW w:w="1182" w:type="dxa"/>
            <w:tcBorders>
              <w:top w:val="nil"/>
              <w:left w:val="nil"/>
              <w:bottom w:val="nil"/>
              <w:right w:val="nil"/>
            </w:tcBorders>
            <w:shd w:val="clear" w:color="auto" w:fill="auto"/>
            <w:noWrap/>
            <w:vAlign w:val="center"/>
          </w:tcPr>
          <w:p w14:paraId="140980A3"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16,356,801</w:t>
            </w:r>
          </w:p>
        </w:tc>
        <w:tc>
          <w:tcPr>
            <w:tcW w:w="1027" w:type="dxa"/>
            <w:tcBorders>
              <w:top w:val="nil"/>
              <w:left w:val="nil"/>
              <w:bottom w:val="nil"/>
              <w:right w:val="nil"/>
            </w:tcBorders>
            <w:shd w:val="clear" w:color="auto" w:fill="auto"/>
            <w:noWrap/>
            <w:vAlign w:val="center"/>
          </w:tcPr>
          <w:p w14:paraId="4B9899A6"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17.9%</w:t>
            </w:r>
          </w:p>
        </w:tc>
        <w:tc>
          <w:tcPr>
            <w:tcW w:w="665" w:type="dxa"/>
            <w:tcBorders>
              <w:top w:val="nil"/>
              <w:left w:val="nil"/>
              <w:bottom w:val="nil"/>
              <w:right w:val="nil"/>
            </w:tcBorders>
            <w:shd w:val="clear" w:color="auto" w:fill="auto"/>
            <w:noWrap/>
            <w:vAlign w:val="center"/>
          </w:tcPr>
          <w:p w14:paraId="384B4421" w14:textId="77777777" w:rsidR="00335CF7" w:rsidRPr="00D008F9"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25</w:t>
            </w:r>
          </w:p>
        </w:tc>
        <w:tc>
          <w:tcPr>
            <w:tcW w:w="2013" w:type="dxa"/>
            <w:tcBorders>
              <w:top w:val="nil"/>
              <w:left w:val="nil"/>
              <w:bottom w:val="nil"/>
              <w:right w:val="nil"/>
            </w:tcBorders>
            <w:shd w:val="clear" w:color="auto" w:fill="auto"/>
            <w:noWrap/>
            <w:vAlign w:val="center"/>
          </w:tcPr>
          <w:p w14:paraId="3A818320" w14:textId="77777777" w:rsidR="00335CF7" w:rsidRPr="00D008F9" w:rsidRDefault="00335CF7" w:rsidP="000F69BD">
            <w:pPr>
              <w:spacing w:after="0" w:line="240" w:lineRule="auto"/>
              <w:rPr>
                <w:rFonts w:asciiTheme="majorHAnsi" w:eastAsia="Times New Roman" w:hAnsiTheme="majorHAnsi" w:cstheme="majorHAnsi"/>
                <w:sz w:val="16"/>
                <w:szCs w:val="16"/>
                <w:lang w:eastAsia="en-AU"/>
              </w:rPr>
            </w:pPr>
            <w:r w:rsidRPr="00284549">
              <w:rPr>
                <w:rFonts w:asciiTheme="majorHAnsi" w:hAnsiTheme="majorHAnsi" w:cstheme="majorHAnsi"/>
                <w:sz w:val="16"/>
                <w:szCs w:val="16"/>
              </w:rPr>
              <w:t>Eliminated on entry-into-force without conditions</w:t>
            </w:r>
          </w:p>
        </w:tc>
        <w:tc>
          <w:tcPr>
            <w:tcW w:w="1148" w:type="dxa"/>
            <w:tcBorders>
              <w:top w:val="nil"/>
              <w:left w:val="nil"/>
              <w:bottom w:val="nil"/>
              <w:right w:val="nil"/>
            </w:tcBorders>
            <w:shd w:val="clear" w:color="auto" w:fill="auto"/>
            <w:noWrap/>
            <w:vAlign w:val="center"/>
          </w:tcPr>
          <w:p w14:paraId="15903400"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4,089,200</w:t>
            </w:r>
          </w:p>
        </w:tc>
      </w:tr>
      <w:tr w:rsidR="00335CF7" w:rsidRPr="00F81F50" w14:paraId="482EC2F3" w14:textId="77777777" w:rsidTr="000F69BD">
        <w:tc>
          <w:tcPr>
            <w:tcW w:w="706" w:type="dxa"/>
            <w:tcBorders>
              <w:top w:val="nil"/>
              <w:left w:val="nil"/>
              <w:bottom w:val="nil"/>
              <w:right w:val="nil"/>
            </w:tcBorders>
            <w:shd w:val="clear" w:color="auto" w:fill="auto"/>
            <w:noWrap/>
            <w:vAlign w:val="center"/>
          </w:tcPr>
          <w:p w14:paraId="036C23AB" w14:textId="77777777" w:rsidR="00335CF7" w:rsidRPr="00D008F9"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CH51</w:t>
            </w:r>
          </w:p>
        </w:tc>
        <w:tc>
          <w:tcPr>
            <w:tcW w:w="847" w:type="dxa"/>
            <w:tcBorders>
              <w:top w:val="nil"/>
              <w:left w:val="nil"/>
              <w:bottom w:val="nil"/>
              <w:right w:val="nil"/>
            </w:tcBorders>
            <w:shd w:val="clear" w:color="auto" w:fill="auto"/>
            <w:noWrap/>
            <w:vAlign w:val="center"/>
          </w:tcPr>
          <w:p w14:paraId="66A0FB02" w14:textId="77777777" w:rsidR="00335CF7" w:rsidRPr="00D008F9"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510130</w:t>
            </w:r>
          </w:p>
        </w:tc>
        <w:tc>
          <w:tcPr>
            <w:tcW w:w="2762" w:type="dxa"/>
            <w:tcBorders>
              <w:top w:val="nil"/>
              <w:left w:val="nil"/>
              <w:bottom w:val="nil"/>
              <w:right w:val="nil"/>
            </w:tcBorders>
            <w:shd w:val="clear" w:color="auto" w:fill="auto"/>
            <w:noWrap/>
            <w:vAlign w:val="center"/>
          </w:tcPr>
          <w:p w14:paraId="48CA7C27" w14:textId="77777777" w:rsidR="00335CF7" w:rsidRPr="00D008F9" w:rsidRDefault="00335CF7" w:rsidP="000F69BD">
            <w:pPr>
              <w:spacing w:after="0" w:line="240" w:lineRule="auto"/>
              <w:rPr>
                <w:rFonts w:asciiTheme="majorHAnsi" w:eastAsia="Times New Roman" w:hAnsiTheme="majorHAnsi" w:cstheme="majorHAnsi"/>
                <w:color w:val="000000"/>
                <w:sz w:val="16"/>
                <w:szCs w:val="16"/>
                <w:lang w:eastAsia="en-AU"/>
              </w:rPr>
            </w:pPr>
            <w:r w:rsidRPr="00284549">
              <w:rPr>
                <w:rFonts w:asciiTheme="majorHAnsi" w:hAnsiTheme="majorHAnsi" w:cstheme="majorHAnsi"/>
                <w:sz w:val="16"/>
                <w:szCs w:val="16"/>
              </w:rPr>
              <w:t>wool, not carded or combed, carbonized</w:t>
            </w:r>
          </w:p>
        </w:tc>
        <w:tc>
          <w:tcPr>
            <w:tcW w:w="1182" w:type="dxa"/>
            <w:tcBorders>
              <w:top w:val="nil"/>
              <w:left w:val="nil"/>
              <w:bottom w:val="nil"/>
              <w:right w:val="nil"/>
            </w:tcBorders>
            <w:shd w:val="clear" w:color="auto" w:fill="auto"/>
            <w:noWrap/>
            <w:vAlign w:val="center"/>
          </w:tcPr>
          <w:p w14:paraId="1B09CABF"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642,291</w:t>
            </w:r>
          </w:p>
        </w:tc>
        <w:tc>
          <w:tcPr>
            <w:tcW w:w="1027" w:type="dxa"/>
            <w:tcBorders>
              <w:top w:val="nil"/>
              <w:left w:val="nil"/>
              <w:bottom w:val="nil"/>
              <w:right w:val="nil"/>
            </w:tcBorders>
            <w:shd w:val="clear" w:color="auto" w:fill="auto"/>
            <w:noWrap/>
            <w:vAlign w:val="center"/>
          </w:tcPr>
          <w:p w14:paraId="61B3CE69"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76.6%</w:t>
            </w:r>
          </w:p>
        </w:tc>
        <w:tc>
          <w:tcPr>
            <w:tcW w:w="665" w:type="dxa"/>
            <w:tcBorders>
              <w:top w:val="nil"/>
              <w:left w:val="nil"/>
              <w:bottom w:val="nil"/>
              <w:right w:val="nil"/>
            </w:tcBorders>
            <w:shd w:val="clear" w:color="auto" w:fill="auto"/>
            <w:noWrap/>
            <w:vAlign w:val="center"/>
          </w:tcPr>
          <w:p w14:paraId="4A0287DB" w14:textId="77777777" w:rsidR="00335CF7" w:rsidRPr="00D008F9"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30</w:t>
            </w:r>
          </w:p>
        </w:tc>
        <w:tc>
          <w:tcPr>
            <w:tcW w:w="2013" w:type="dxa"/>
            <w:tcBorders>
              <w:top w:val="nil"/>
              <w:left w:val="nil"/>
              <w:bottom w:val="nil"/>
              <w:right w:val="nil"/>
            </w:tcBorders>
            <w:shd w:val="clear" w:color="auto" w:fill="auto"/>
            <w:noWrap/>
            <w:vAlign w:val="center"/>
          </w:tcPr>
          <w:p w14:paraId="5E22C41C" w14:textId="77777777" w:rsidR="00335CF7" w:rsidRPr="00D008F9" w:rsidRDefault="00335CF7" w:rsidP="000F69BD">
            <w:pPr>
              <w:spacing w:after="0" w:line="240" w:lineRule="auto"/>
              <w:rPr>
                <w:rFonts w:asciiTheme="majorHAnsi" w:eastAsia="Times New Roman" w:hAnsiTheme="majorHAnsi" w:cstheme="majorHAnsi"/>
                <w:sz w:val="16"/>
                <w:szCs w:val="16"/>
                <w:lang w:eastAsia="en-AU"/>
              </w:rPr>
            </w:pPr>
            <w:r w:rsidRPr="00284549">
              <w:rPr>
                <w:rFonts w:asciiTheme="majorHAnsi" w:hAnsiTheme="majorHAnsi" w:cstheme="majorHAnsi"/>
                <w:sz w:val="16"/>
                <w:szCs w:val="16"/>
              </w:rPr>
              <w:t>Eliminated on entry-into-force without conditions</w:t>
            </w:r>
          </w:p>
        </w:tc>
        <w:tc>
          <w:tcPr>
            <w:tcW w:w="1148" w:type="dxa"/>
            <w:tcBorders>
              <w:top w:val="nil"/>
              <w:left w:val="nil"/>
              <w:bottom w:val="nil"/>
              <w:right w:val="nil"/>
            </w:tcBorders>
            <w:shd w:val="clear" w:color="auto" w:fill="auto"/>
            <w:noWrap/>
            <w:vAlign w:val="center"/>
          </w:tcPr>
          <w:p w14:paraId="76CA410F"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192,687</w:t>
            </w:r>
          </w:p>
        </w:tc>
      </w:tr>
      <w:tr w:rsidR="00335CF7" w:rsidRPr="00F81F50" w14:paraId="387E16EF" w14:textId="77777777" w:rsidTr="000F69BD">
        <w:tc>
          <w:tcPr>
            <w:tcW w:w="706" w:type="dxa"/>
            <w:tcBorders>
              <w:top w:val="nil"/>
              <w:left w:val="nil"/>
              <w:bottom w:val="nil"/>
              <w:right w:val="nil"/>
            </w:tcBorders>
            <w:shd w:val="clear" w:color="auto" w:fill="auto"/>
            <w:noWrap/>
            <w:vAlign w:val="center"/>
          </w:tcPr>
          <w:p w14:paraId="44F9D0B3" w14:textId="77777777" w:rsidR="00335CF7" w:rsidRPr="00D008F9" w:rsidRDefault="00335CF7" w:rsidP="000F69BD">
            <w:pPr>
              <w:spacing w:after="0" w:line="240" w:lineRule="auto"/>
              <w:rPr>
                <w:rFonts w:asciiTheme="majorHAnsi" w:eastAsia="Times New Roman" w:hAnsiTheme="majorHAnsi" w:cstheme="majorHAnsi"/>
                <w:color w:val="000000"/>
                <w:sz w:val="18"/>
                <w:szCs w:val="18"/>
                <w:lang w:eastAsia="en-AU"/>
              </w:rPr>
            </w:pPr>
          </w:p>
        </w:tc>
        <w:tc>
          <w:tcPr>
            <w:tcW w:w="847" w:type="dxa"/>
            <w:tcBorders>
              <w:top w:val="nil"/>
              <w:left w:val="nil"/>
              <w:bottom w:val="nil"/>
              <w:right w:val="nil"/>
            </w:tcBorders>
            <w:shd w:val="clear" w:color="auto" w:fill="auto"/>
            <w:noWrap/>
            <w:vAlign w:val="center"/>
          </w:tcPr>
          <w:p w14:paraId="3EC8367F" w14:textId="77777777" w:rsidR="00335CF7" w:rsidRPr="00D008F9"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510400</w:t>
            </w:r>
          </w:p>
        </w:tc>
        <w:tc>
          <w:tcPr>
            <w:tcW w:w="2762" w:type="dxa"/>
            <w:tcBorders>
              <w:top w:val="nil"/>
              <w:left w:val="nil"/>
              <w:bottom w:val="nil"/>
              <w:right w:val="nil"/>
            </w:tcBorders>
            <w:shd w:val="clear" w:color="auto" w:fill="auto"/>
            <w:noWrap/>
            <w:vAlign w:val="center"/>
          </w:tcPr>
          <w:p w14:paraId="21DF8D51" w14:textId="77777777" w:rsidR="00335CF7" w:rsidRPr="00D008F9" w:rsidRDefault="00335CF7" w:rsidP="000F69BD">
            <w:pPr>
              <w:spacing w:after="0" w:line="240" w:lineRule="auto"/>
              <w:rPr>
                <w:rFonts w:asciiTheme="majorHAnsi" w:eastAsia="Times New Roman" w:hAnsiTheme="majorHAnsi" w:cstheme="majorHAnsi"/>
                <w:color w:val="000000"/>
                <w:sz w:val="16"/>
                <w:szCs w:val="16"/>
                <w:lang w:eastAsia="en-AU"/>
              </w:rPr>
            </w:pPr>
            <w:proofErr w:type="spellStart"/>
            <w:r w:rsidRPr="00284549">
              <w:rPr>
                <w:rFonts w:asciiTheme="majorHAnsi" w:hAnsiTheme="majorHAnsi" w:cstheme="majorHAnsi"/>
                <w:sz w:val="16"/>
                <w:szCs w:val="16"/>
              </w:rPr>
              <w:t>garnetted</w:t>
            </w:r>
            <w:proofErr w:type="spellEnd"/>
            <w:r w:rsidRPr="00284549">
              <w:rPr>
                <w:rFonts w:asciiTheme="majorHAnsi" w:hAnsiTheme="majorHAnsi" w:cstheme="majorHAnsi"/>
                <w:sz w:val="16"/>
                <w:szCs w:val="16"/>
              </w:rPr>
              <w:t xml:space="preserve"> stock of wool or of fine or coarse animal hair</w:t>
            </w:r>
          </w:p>
        </w:tc>
        <w:tc>
          <w:tcPr>
            <w:tcW w:w="1182" w:type="dxa"/>
            <w:tcBorders>
              <w:top w:val="nil"/>
              <w:left w:val="nil"/>
              <w:bottom w:val="nil"/>
              <w:right w:val="nil"/>
            </w:tcBorders>
            <w:shd w:val="clear" w:color="auto" w:fill="auto"/>
            <w:noWrap/>
            <w:vAlign w:val="center"/>
          </w:tcPr>
          <w:p w14:paraId="183D147A"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0</w:t>
            </w:r>
          </w:p>
        </w:tc>
        <w:tc>
          <w:tcPr>
            <w:tcW w:w="1027" w:type="dxa"/>
            <w:tcBorders>
              <w:top w:val="nil"/>
              <w:left w:val="nil"/>
              <w:bottom w:val="nil"/>
              <w:right w:val="nil"/>
            </w:tcBorders>
            <w:shd w:val="clear" w:color="auto" w:fill="auto"/>
            <w:noWrap/>
            <w:vAlign w:val="center"/>
          </w:tcPr>
          <w:p w14:paraId="7A473AB3"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w:t>
            </w:r>
          </w:p>
        </w:tc>
        <w:tc>
          <w:tcPr>
            <w:tcW w:w="665" w:type="dxa"/>
            <w:tcBorders>
              <w:top w:val="nil"/>
              <w:left w:val="nil"/>
              <w:bottom w:val="nil"/>
              <w:right w:val="nil"/>
            </w:tcBorders>
            <w:shd w:val="clear" w:color="auto" w:fill="auto"/>
            <w:noWrap/>
            <w:vAlign w:val="center"/>
          </w:tcPr>
          <w:p w14:paraId="19A3CF94" w14:textId="77777777" w:rsidR="00335CF7" w:rsidRPr="00D008F9"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20</w:t>
            </w:r>
          </w:p>
        </w:tc>
        <w:tc>
          <w:tcPr>
            <w:tcW w:w="2013" w:type="dxa"/>
            <w:tcBorders>
              <w:top w:val="nil"/>
              <w:left w:val="nil"/>
              <w:bottom w:val="nil"/>
              <w:right w:val="nil"/>
            </w:tcBorders>
            <w:shd w:val="clear" w:color="auto" w:fill="auto"/>
            <w:noWrap/>
            <w:vAlign w:val="center"/>
          </w:tcPr>
          <w:p w14:paraId="3C5F1FA2" w14:textId="77777777" w:rsidR="00335CF7" w:rsidRPr="00D008F9" w:rsidRDefault="00335CF7" w:rsidP="000F69BD">
            <w:pPr>
              <w:spacing w:after="0" w:line="240" w:lineRule="auto"/>
              <w:rPr>
                <w:rFonts w:asciiTheme="majorHAnsi" w:eastAsia="Times New Roman" w:hAnsiTheme="majorHAnsi" w:cstheme="majorHAnsi"/>
                <w:sz w:val="16"/>
                <w:szCs w:val="16"/>
                <w:lang w:eastAsia="en-AU"/>
              </w:rPr>
            </w:pPr>
            <w:r w:rsidRPr="00284549">
              <w:rPr>
                <w:rFonts w:asciiTheme="majorHAnsi" w:hAnsiTheme="majorHAnsi" w:cstheme="majorHAnsi"/>
                <w:sz w:val="16"/>
                <w:szCs w:val="16"/>
              </w:rPr>
              <w:t>Eliminated by the 7th year without conditions</w:t>
            </w:r>
          </w:p>
        </w:tc>
        <w:tc>
          <w:tcPr>
            <w:tcW w:w="1148" w:type="dxa"/>
            <w:tcBorders>
              <w:top w:val="nil"/>
              <w:left w:val="nil"/>
              <w:bottom w:val="nil"/>
              <w:right w:val="nil"/>
            </w:tcBorders>
            <w:shd w:val="clear" w:color="auto" w:fill="auto"/>
            <w:noWrap/>
            <w:vAlign w:val="center"/>
          </w:tcPr>
          <w:p w14:paraId="284D4C8A"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0</w:t>
            </w:r>
          </w:p>
        </w:tc>
      </w:tr>
      <w:tr w:rsidR="00335CF7" w:rsidRPr="00F81F50" w14:paraId="411FC289" w14:textId="77777777" w:rsidTr="000F69BD">
        <w:tc>
          <w:tcPr>
            <w:tcW w:w="706" w:type="dxa"/>
            <w:tcBorders>
              <w:top w:val="nil"/>
              <w:left w:val="nil"/>
              <w:bottom w:val="nil"/>
              <w:right w:val="nil"/>
            </w:tcBorders>
            <w:shd w:val="clear" w:color="auto" w:fill="auto"/>
            <w:noWrap/>
            <w:vAlign w:val="center"/>
          </w:tcPr>
          <w:p w14:paraId="5842AFA1" w14:textId="77777777" w:rsidR="00335CF7" w:rsidRPr="00D008F9" w:rsidRDefault="00335CF7" w:rsidP="000F69BD">
            <w:pPr>
              <w:spacing w:after="0" w:line="240" w:lineRule="auto"/>
              <w:rPr>
                <w:rFonts w:asciiTheme="majorHAnsi" w:eastAsia="Times New Roman" w:hAnsiTheme="majorHAnsi" w:cstheme="majorHAnsi"/>
                <w:color w:val="000000"/>
                <w:sz w:val="18"/>
                <w:szCs w:val="18"/>
                <w:lang w:eastAsia="en-AU"/>
              </w:rPr>
            </w:pPr>
          </w:p>
        </w:tc>
        <w:tc>
          <w:tcPr>
            <w:tcW w:w="847" w:type="dxa"/>
            <w:tcBorders>
              <w:top w:val="nil"/>
              <w:left w:val="nil"/>
              <w:bottom w:val="nil"/>
              <w:right w:val="nil"/>
            </w:tcBorders>
            <w:shd w:val="clear" w:color="auto" w:fill="auto"/>
            <w:noWrap/>
            <w:vAlign w:val="center"/>
          </w:tcPr>
          <w:p w14:paraId="1158A768" w14:textId="77777777" w:rsidR="00335CF7" w:rsidRPr="00D008F9"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510510</w:t>
            </w:r>
          </w:p>
        </w:tc>
        <w:tc>
          <w:tcPr>
            <w:tcW w:w="2762" w:type="dxa"/>
            <w:tcBorders>
              <w:top w:val="nil"/>
              <w:left w:val="nil"/>
              <w:bottom w:val="nil"/>
              <w:right w:val="nil"/>
            </w:tcBorders>
            <w:shd w:val="clear" w:color="auto" w:fill="auto"/>
            <w:noWrap/>
            <w:vAlign w:val="center"/>
          </w:tcPr>
          <w:p w14:paraId="111AF42F" w14:textId="77777777" w:rsidR="00335CF7" w:rsidRPr="00D008F9" w:rsidRDefault="00335CF7" w:rsidP="000F69BD">
            <w:pPr>
              <w:spacing w:after="0" w:line="240" w:lineRule="auto"/>
              <w:rPr>
                <w:rFonts w:asciiTheme="majorHAnsi" w:eastAsia="Times New Roman" w:hAnsiTheme="majorHAnsi" w:cstheme="majorHAnsi"/>
                <w:color w:val="000000"/>
                <w:sz w:val="16"/>
                <w:szCs w:val="16"/>
                <w:lang w:eastAsia="en-AU"/>
              </w:rPr>
            </w:pPr>
            <w:r w:rsidRPr="00284549">
              <w:rPr>
                <w:rFonts w:asciiTheme="majorHAnsi" w:hAnsiTheme="majorHAnsi" w:cstheme="majorHAnsi"/>
                <w:sz w:val="16"/>
                <w:szCs w:val="16"/>
              </w:rPr>
              <w:t>wool, carded</w:t>
            </w:r>
          </w:p>
        </w:tc>
        <w:tc>
          <w:tcPr>
            <w:tcW w:w="1182" w:type="dxa"/>
            <w:tcBorders>
              <w:top w:val="nil"/>
              <w:left w:val="nil"/>
              <w:bottom w:val="nil"/>
              <w:right w:val="nil"/>
            </w:tcBorders>
            <w:shd w:val="clear" w:color="auto" w:fill="auto"/>
            <w:noWrap/>
            <w:vAlign w:val="center"/>
          </w:tcPr>
          <w:p w14:paraId="521679C7"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0</w:t>
            </w:r>
          </w:p>
        </w:tc>
        <w:tc>
          <w:tcPr>
            <w:tcW w:w="1027" w:type="dxa"/>
            <w:tcBorders>
              <w:top w:val="nil"/>
              <w:left w:val="nil"/>
              <w:bottom w:val="nil"/>
              <w:right w:val="nil"/>
            </w:tcBorders>
            <w:shd w:val="clear" w:color="auto" w:fill="auto"/>
            <w:noWrap/>
            <w:vAlign w:val="center"/>
          </w:tcPr>
          <w:p w14:paraId="434AA4CE"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0.0%</w:t>
            </w:r>
          </w:p>
        </w:tc>
        <w:tc>
          <w:tcPr>
            <w:tcW w:w="665" w:type="dxa"/>
            <w:tcBorders>
              <w:top w:val="nil"/>
              <w:left w:val="nil"/>
              <w:bottom w:val="nil"/>
              <w:right w:val="nil"/>
            </w:tcBorders>
            <w:shd w:val="clear" w:color="auto" w:fill="auto"/>
            <w:noWrap/>
            <w:vAlign w:val="center"/>
          </w:tcPr>
          <w:p w14:paraId="21A140B0" w14:textId="77777777" w:rsidR="00335CF7" w:rsidRPr="00D008F9"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20</w:t>
            </w:r>
          </w:p>
        </w:tc>
        <w:tc>
          <w:tcPr>
            <w:tcW w:w="2013" w:type="dxa"/>
            <w:tcBorders>
              <w:top w:val="nil"/>
              <w:left w:val="nil"/>
              <w:bottom w:val="nil"/>
              <w:right w:val="nil"/>
            </w:tcBorders>
            <w:shd w:val="clear" w:color="auto" w:fill="auto"/>
            <w:noWrap/>
            <w:vAlign w:val="center"/>
          </w:tcPr>
          <w:p w14:paraId="423B6F36" w14:textId="77777777" w:rsidR="00335CF7" w:rsidRPr="00D008F9" w:rsidRDefault="00335CF7" w:rsidP="000F69BD">
            <w:pPr>
              <w:spacing w:after="0" w:line="240" w:lineRule="auto"/>
              <w:rPr>
                <w:rFonts w:asciiTheme="majorHAnsi" w:eastAsia="Times New Roman" w:hAnsiTheme="majorHAnsi" w:cstheme="majorHAnsi"/>
                <w:sz w:val="16"/>
                <w:szCs w:val="16"/>
                <w:lang w:eastAsia="en-AU"/>
              </w:rPr>
            </w:pPr>
            <w:r w:rsidRPr="00284549">
              <w:rPr>
                <w:rFonts w:asciiTheme="majorHAnsi" w:hAnsiTheme="majorHAnsi" w:cstheme="majorHAnsi"/>
                <w:sz w:val="16"/>
                <w:szCs w:val="16"/>
              </w:rPr>
              <w:t>Eliminated by the 7th year without conditions</w:t>
            </w:r>
          </w:p>
        </w:tc>
        <w:tc>
          <w:tcPr>
            <w:tcW w:w="1148" w:type="dxa"/>
            <w:tcBorders>
              <w:top w:val="nil"/>
              <w:left w:val="nil"/>
              <w:bottom w:val="nil"/>
              <w:right w:val="nil"/>
            </w:tcBorders>
            <w:shd w:val="clear" w:color="auto" w:fill="auto"/>
            <w:noWrap/>
            <w:vAlign w:val="center"/>
          </w:tcPr>
          <w:p w14:paraId="7D264B32"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0</w:t>
            </w:r>
          </w:p>
        </w:tc>
      </w:tr>
      <w:tr w:rsidR="00335CF7" w:rsidRPr="00F81F50" w14:paraId="0AFF38B1" w14:textId="77777777" w:rsidTr="000F69BD">
        <w:tc>
          <w:tcPr>
            <w:tcW w:w="706" w:type="dxa"/>
            <w:tcBorders>
              <w:top w:val="nil"/>
              <w:left w:val="nil"/>
              <w:bottom w:val="nil"/>
              <w:right w:val="nil"/>
            </w:tcBorders>
            <w:shd w:val="clear" w:color="auto" w:fill="auto"/>
            <w:noWrap/>
            <w:vAlign w:val="center"/>
          </w:tcPr>
          <w:p w14:paraId="7A76E7E5" w14:textId="77777777" w:rsidR="00335CF7" w:rsidRPr="00D008F9" w:rsidRDefault="00335CF7" w:rsidP="000F69BD">
            <w:pPr>
              <w:spacing w:after="0" w:line="240" w:lineRule="auto"/>
              <w:rPr>
                <w:rFonts w:asciiTheme="majorHAnsi" w:eastAsia="Times New Roman" w:hAnsiTheme="majorHAnsi" w:cstheme="majorHAnsi"/>
                <w:color w:val="000000"/>
                <w:sz w:val="18"/>
                <w:szCs w:val="18"/>
                <w:lang w:eastAsia="en-AU"/>
              </w:rPr>
            </w:pPr>
          </w:p>
        </w:tc>
        <w:tc>
          <w:tcPr>
            <w:tcW w:w="847" w:type="dxa"/>
            <w:tcBorders>
              <w:top w:val="nil"/>
              <w:left w:val="nil"/>
              <w:bottom w:val="nil"/>
              <w:right w:val="nil"/>
            </w:tcBorders>
            <w:shd w:val="clear" w:color="auto" w:fill="auto"/>
            <w:noWrap/>
            <w:vAlign w:val="center"/>
          </w:tcPr>
          <w:p w14:paraId="3EAB2C22" w14:textId="77777777" w:rsidR="00335CF7" w:rsidRPr="00D008F9"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510521</w:t>
            </w:r>
          </w:p>
        </w:tc>
        <w:tc>
          <w:tcPr>
            <w:tcW w:w="2762" w:type="dxa"/>
            <w:tcBorders>
              <w:top w:val="nil"/>
              <w:left w:val="nil"/>
              <w:bottom w:val="nil"/>
              <w:right w:val="nil"/>
            </w:tcBorders>
            <w:shd w:val="clear" w:color="auto" w:fill="auto"/>
            <w:noWrap/>
            <w:vAlign w:val="center"/>
          </w:tcPr>
          <w:p w14:paraId="47C8FC94" w14:textId="77777777" w:rsidR="00335CF7" w:rsidRPr="00D008F9" w:rsidRDefault="00335CF7" w:rsidP="000F69BD">
            <w:pPr>
              <w:spacing w:after="0" w:line="240" w:lineRule="auto"/>
              <w:rPr>
                <w:rFonts w:asciiTheme="majorHAnsi" w:eastAsia="Times New Roman" w:hAnsiTheme="majorHAnsi" w:cstheme="majorHAnsi"/>
                <w:color w:val="000000"/>
                <w:sz w:val="16"/>
                <w:szCs w:val="16"/>
                <w:lang w:eastAsia="en-AU"/>
              </w:rPr>
            </w:pPr>
            <w:r w:rsidRPr="00284549">
              <w:rPr>
                <w:rFonts w:asciiTheme="majorHAnsi" w:hAnsiTheme="majorHAnsi" w:cstheme="majorHAnsi"/>
                <w:sz w:val="16"/>
                <w:szCs w:val="16"/>
              </w:rPr>
              <w:t>wool, combed, in fragments</w:t>
            </w:r>
          </w:p>
        </w:tc>
        <w:tc>
          <w:tcPr>
            <w:tcW w:w="1182" w:type="dxa"/>
            <w:tcBorders>
              <w:top w:val="nil"/>
              <w:left w:val="nil"/>
              <w:bottom w:val="nil"/>
              <w:right w:val="nil"/>
            </w:tcBorders>
            <w:shd w:val="clear" w:color="auto" w:fill="auto"/>
            <w:noWrap/>
            <w:vAlign w:val="center"/>
          </w:tcPr>
          <w:p w14:paraId="048E86A5"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0</w:t>
            </w:r>
          </w:p>
        </w:tc>
        <w:tc>
          <w:tcPr>
            <w:tcW w:w="1027" w:type="dxa"/>
            <w:tcBorders>
              <w:top w:val="nil"/>
              <w:left w:val="nil"/>
              <w:bottom w:val="nil"/>
              <w:right w:val="nil"/>
            </w:tcBorders>
            <w:shd w:val="clear" w:color="auto" w:fill="auto"/>
            <w:noWrap/>
            <w:vAlign w:val="center"/>
          </w:tcPr>
          <w:p w14:paraId="6AD0295A"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w:t>
            </w:r>
          </w:p>
        </w:tc>
        <w:tc>
          <w:tcPr>
            <w:tcW w:w="665" w:type="dxa"/>
            <w:tcBorders>
              <w:top w:val="nil"/>
              <w:left w:val="nil"/>
              <w:bottom w:val="nil"/>
              <w:right w:val="nil"/>
            </w:tcBorders>
            <w:shd w:val="clear" w:color="auto" w:fill="auto"/>
            <w:noWrap/>
            <w:vAlign w:val="center"/>
          </w:tcPr>
          <w:p w14:paraId="4ECF517D" w14:textId="77777777" w:rsidR="00335CF7" w:rsidRPr="00D008F9"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20</w:t>
            </w:r>
          </w:p>
        </w:tc>
        <w:tc>
          <w:tcPr>
            <w:tcW w:w="2013" w:type="dxa"/>
            <w:tcBorders>
              <w:top w:val="nil"/>
              <w:left w:val="nil"/>
              <w:bottom w:val="nil"/>
              <w:right w:val="nil"/>
            </w:tcBorders>
            <w:shd w:val="clear" w:color="auto" w:fill="auto"/>
            <w:noWrap/>
            <w:vAlign w:val="center"/>
          </w:tcPr>
          <w:p w14:paraId="0276028E" w14:textId="77777777" w:rsidR="00335CF7" w:rsidRPr="00D008F9" w:rsidRDefault="00335CF7" w:rsidP="000F69BD">
            <w:pPr>
              <w:spacing w:after="0" w:line="240" w:lineRule="auto"/>
              <w:rPr>
                <w:rFonts w:asciiTheme="majorHAnsi" w:eastAsia="Times New Roman" w:hAnsiTheme="majorHAnsi" w:cstheme="majorHAnsi"/>
                <w:sz w:val="16"/>
                <w:szCs w:val="16"/>
                <w:lang w:eastAsia="en-AU"/>
              </w:rPr>
            </w:pPr>
            <w:r w:rsidRPr="00284549">
              <w:rPr>
                <w:rFonts w:asciiTheme="majorHAnsi" w:hAnsiTheme="majorHAnsi" w:cstheme="majorHAnsi"/>
                <w:sz w:val="16"/>
                <w:szCs w:val="16"/>
              </w:rPr>
              <w:t>Eliminated by the 7th year without conditions</w:t>
            </w:r>
          </w:p>
        </w:tc>
        <w:tc>
          <w:tcPr>
            <w:tcW w:w="1148" w:type="dxa"/>
            <w:tcBorders>
              <w:top w:val="nil"/>
              <w:left w:val="nil"/>
              <w:bottom w:val="nil"/>
              <w:right w:val="nil"/>
            </w:tcBorders>
            <w:shd w:val="clear" w:color="auto" w:fill="auto"/>
            <w:noWrap/>
            <w:vAlign w:val="center"/>
          </w:tcPr>
          <w:p w14:paraId="044CA269"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0</w:t>
            </w:r>
          </w:p>
        </w:tc>
      </w:tr>
      <w:tr w:rsidR="00335CF7" w:rsidRPr="00F81F50" w14:paraId="1F5C5B20" w14:textId="77777777" w:rsidTr="000F69BD">
        <w:tc>
          <w:tcPr>
            <w:tcW w:w="706" w:type="dxa"/>
            <w:tcBorders>
              <w:top w:val="nil"/>
              <w:left w:val="nil"/>
              <w:bottom w:val="nil"/>
              <w:right w:val="nil"/>
            </w:tcBorders>
            <w:shd w:val="clear" w:color="auto" w:fill="auto"/>
            <w:noWrap/>
            <w:vAlign w:val="center"/>
          </w:tcPr>
          <w:p w14:paraId="7C2E9EA7" w14:textId="77777777" w:rsidR="00335CF7" w:rsidRPr="00D008F9" w:rsidRDefault="00335CF7" w:rsidP="000F69BD">
            <w:pPr>
              <w:spacing w:after="0" w:line="240" w:lineRule="auto"/>
              <w:rPr>
                <w:rFonts w:asciiTheme="majorHAnsi" w:eastAsia="Times New Roman" w:hAnsiTheme="majorHAnsi" w:cstheme="majorHAnsi"/>
                <w:color w:val="000000"/>
                <w:sz w:val="18"/>
                <w:szCs w:val="18"/>
                <w:lang w:eastAsia="en-AU"/>
              </w:rPr>
            </w:pPr>
          </w:p>
        </w:tc>
        <w:tc>
          <w:tcPr>
            <w:tcW w:w="847" w:type="dxa"/>
            <w:tcBorders>
              <w:top w:val="nil"/>
              <w:left w:val="nil"/>
              <w:bottom w:val="nil"/>
              <w:right w:val="nil"/>
            </w:tcBorders>
            <w:shd w:val="clear" w:color="auto" w:fill="auto"/>
            <w:noWrap/>
            <w:vAlign w:val="center"/>
          </w:tcPr>
          <w:p w14:paraId="23895EBD" w14:textId="77777777" w:rsidR="00335CF7" w:rsidRPr="00D008F9"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510529</w:t>
            </w:r>
          </w:p>
        </w:tc>
        <w:tc>
          <w:tcPr>
            <w:tcW w:w="2762" w:type="dxa"/>
            <w:tcBorders>
              <w:top w:val="nil"/>
              <w:left w:val="nil"/>
              <w:bottom w:val="nil"/>
              <w:right w:val="nil"/>
            </w:tcBorders>
            <w:shd w:val="clear" w:color="auto" w:fill="auto"/>
            <w:noWrap/>
            <w:vAlign w:val="center"/>
          </w:tcPr>
          <w:p w14:paraId="68044529" w14:textId="77777777" w:rsidR="00335CF7" w:rsidRPr="00D008F9" w:rsidRDefault="00335CF7" w:rsidP="000F69BD">
            <w:pPr>
              <w:spacing w:after="0" w:line="240" w:lineRule="auto"/>
              <w:rPr>
                <w:rFonts w:asciiTheme="majorHAnsi" w:eastAsia="Times New Roman" w:hAnsiTheme="majorHAnsi" w:cstheme="majorHAnsi"/>
                <w:color w:val="000000"/>
                <w:sz w:val="16"/>
                <w:szCs w:val="16"/>
                <w:lang w:eastAsia="en-AU"/>
              </w:rPr>
            </w:pPr>
            <w:r w:rsidRPr="00284549">
              <w:rPr>
                <w:rFonts w:asciiTheme="majorHAnsi" w:hAnsiTheme="majorHAnsi" w:cstheme="majorHAnsi"/>
                <w:sz w:val="16"/>
                <w:szCs w:val="16"/>
              </w:rPr>
              <w:t xml:space="preserve">wool tops and other combed wool, </w:t>
            </w:r>
            <w:proofErr w:type="spellStart"/>
            <w:r w:rsidRPr="00284549">
              <w:rPr>
                <w:rFonts w:asciiTheme="majorHAnsi" w:hAnsiTheme="majorHAnsi" w:cstheme="majorHAnsi"/>
                <w:sz w:val="16"/>
                <w:szCs w:val="16"/>
              </w:rPr>
              <w:t>nesoi</w:t>
            </w:r>
            <w:proofErr w:type="spellEnd"/>
          </w:p>
        </w:tc>
        <w:tc>
          <w:tcPr>
            <w:tcW w:w="1182" w:type="dxa"/>
            <w:tcBorders>
              <w:top w:val="nil"/>
              <w:left w:val="nil"/>
              <w:bottom w:val="nil"/>
              <w:right w:val="nil"/>
            </w:tcBorders>
            <w:shd w:val="clear" w:color="auto" w:fill="auto"/>
            <w:noWrap/>
            <w:vAlign w:val="center"/>
          </w:tcPr>
          <w:p w14:paraId="06DE2132"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324</w:t>
            </w:r>
          </w:p>
        </w:tc>
        <w:tc>
          <w:tcPr>
            <w:tcW w:w="1027" w:type="dxa"/>
            <w:tcBorders>
              <w:top w:val="nil"/>
              <w:left w:val="nil"/>
              <w:bottom w:val="nil"/>
              <w:right w:val="nil"/>
            </w:tcBorders>
            <w:shd w:val="clear" w:color="auto" w:fill="auto"/>
            <w:noWrap/>
            <w:vAlign w:val="center"/>
          </w:tcPr>
          <w:p w14:paraId="12AC32D7"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0.0%</w:t>
            </w:r>
          </w:p>
        </w:tc>
        <w:tc>
          <w:tcPr>
            <w:tcW w:w="665" w:type="dxa"/>
            <w:tcBorders>
              <w:top w:val="nil"/>
              <w:left w:val="nil"/>
              <w:bottom w:val="nil"/>
              <w:right w:val="nil"/>
            </w:tcBorders>
            <w:shd w:val="clear" w:color="auto" w:fill="auto"/>
            <w:noWrap/>
            <w:vAlign w:val="center"/>
          </w:tcPr>
          <w:p w14:paraId="73271401" w14:textId="77777777" w:rsidR="00335CF7" w:rsidRPr="00D008F9"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20</w:t>
            </w:r>
          </w:p>
        </w:tc>
        <w:tc>
          <w:tcPr>
            <w:tcW w:w="2013" w:type="dxa"/>
            <w:tcBorders>
              <w:top w:val="nil"/>
              <w:left w:val="nil"/>
              <w:bottom w:val="nil"/>
              <w:right w:val="nil"/>
            </w:tcBorders>
            <w:shd w:val="clear" w:color="auto" w:fill="auto"/>
            <w:noWrap/>
            <w:vAlign w:val="center"/>
          </w:tcPr>
          <w:p w14:paraId="3D376984" w14:textId="77777777" w:rsidR="00335CF7" w:rsidRPr="00D008F9" w:rsidRDefault="00335CF7" w:rsidP="000F69BD">
            <w:pPr>
              <w:spacing w:after="0" w:line="240" w:lineRule="auto"/>
              <w:rPr>
                <w:rFonts w:asciiTheme="majorHAnsi" w:eastAsia="Times New Roman" w:hAnsiTheme="majorHAnsi" w:cstheme="majorHAnsi"/>
                <w:sz w:val="16"/>
                <w:szCs w:val="16"/>
                <w:lang w:eastAsia="en-AU"/>
              </w:rPr>
            </w:pPr>
            <w:r w:rsidRPr="00284549">
              <w:rPr>
                <w:rFonts w:asciiTheme="majorHAnsi" w:hAnsiTheme="majorHAnsi" w:cstheme="majorHAnsi"/>
                <w:sz w:val="16"/>
                <w:szCs w:val="16"/>
              </w:rPr>
              <w:t>Eliminated by the 7th year without conditions</w:t>
            </w:r>
          </w:p>
        </w:tc>
        <w:tc>
          <w:tcPr>
            <w:tcW w:w="1148" w:type="dxa"/>
            <w:tcBorders>
              <w:top w:val="nil"/>
              <w:left w:val="nil"/>
              <w:bottom w:val="nil"/>
              <w:right w:val="nil"/>
            </w:tcBorders>
            <w:shd w:val="clear" w:color="auto" w:fill="auto"/>
            <w:noWrap/>
            <w:vAlign w:val="center"/>
          </w:tcPr>
          <w:p w14:paraId="11D7D03C"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65</w:t>
            </w:r>
          </w:p>
        </w:tc>
      </w:tr>
      <w:tr w:rsidR="00335CF7" w:rsidRPr="00F81F50" w14:paraId="70A453DF" w14:textId="77777777" w:rsidTr="000F69BD">
        <w:tc>
          <w:tcPr>
            <w:tcW w:w="706" w:type="dxa"/>
            <w:tcBorders>
              <w:top w:val="nil"/>
              <w:left w:val="nil"/>
              <w:bottom w:val="nil"/>
              <w:right w:val="nil"/>
            </w:tcBorders>
            <w:shd w:val="clear" w:color="auto" w:fill="auto"/>
            <w:noWrap/>
            <w:vAlign w:val="center"/>
          </w:tcPr>
          <w:p w14:paraId="35209F7C" w14:textId="77777777" w:rsidR="00335CF7" w:rsidRPr="00D008F9" w:rsidRDefault="00335CF7" w:rsidP="000F69BD">
            <w:pPr>
              <w:spacing w:after="0" w:line="240" w:lineRule="auto"/>
              <w:rPr>
                <w:rFonts w:asciiTheme="majorHAnsi" w:eastAsia="Times New Roman" w:hAnsiTheme="majorHAnsi" w:cstheme="majorHAnsi"/>
                <w:color w:val="000000"/>
                <w:sz w:val="18"/>
                <w:szCs w:val="18"/>
                <w:lang w:eastAsia="en-AU"/>
              </w:rPr>
            </w:pPr>
          </w:p>
        </w:tc>
        <w:tc>
          <w:tcPr>
            <w:tcW w:w="847" w:type="dxa"/>
            <w:tcBorders>
              <w:top w:val="nil"/>
              <w:left w:val="nil"/>
              <w:bottom w:val="nil"/>
              <w:right w:val="nil"/>
            </w:tcBorders>
            <w:shd w:val="clear" w:color="auto" w:fill="auto"/>
            <w:noWrap/>
            <w:vAlign w:val="center"/>
          </w:tcPr>
          <w:p w14:paraId="3F932F1D" w14:textId="77777777" w:rsidR="00335CF7" w:rsidRPr="00D008F9"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510610</w:t>
            </w:r>
          </w:p>
        </w:tc>
        <w:tc>
          <w:tcPr>
            <w:tcW w:w="2762" w:type="dxa"/>
            <w:tcBorders>
              <w:top w:val="nil"/>
              <w:left w:val="nil"/>
              <w:bottom w:val="nil"/>
              <w:right w:val="nil"/>
            </w:tcBorders>
            <w:shd w:val="clear" w:color="auto" w:fill="auto"/>
            <w:noWrap/>
            <w:vAlign w:val="center"/>
          </w:tcPr>
          <w:p w14:paraId="0C8347ED" w14:textId="77777777" w:rsidR="00335CF7" w:rsidRPr="00D008F9" w:rsidRDefault="00335CF7" w:rsidP="000F69BD">
            <w:pPr>
              <w:spacing w:after="0" w:line="240" w:lineRule="auto"/>
              <w:rPr>
                <w:rFonts w:asciiTheme="majorHAnsi" w:eastAsia="Times New Roman" w:hAnsiTheme="majorHAnsi" w:cstheme="majorHAnsi"/>
                <w:color w:val="000000"/>
                <w:sz w:val="16"/>
                <w:szCs w:val="16"/>
                <w:lang w:eastAsia="en-AU"/>
              </w:rPr>
            </w:pPr>
            <w:r w:rsidRPr="00284549">
              <w:rPr>
                <w:rFonts w:asciiTheme="majorHAnsi" w:hAnsiTheme="majorHAnsi" w:cstheme="majorHAnsi"/>
                <w:sz w:val="16"/>
                <w:szCs w:val="16"/>
              </w:rPr>
              <w:t>yarn of carded wool, not put up for retail sale, containing 85% or more by weight of wool</w:t>
            </w:r>
          </w:p>
        </w:tc>
        <w:tc>
          <w:tcPr>
            <w:tcW w:w="1182" w:type="dxa"/>
            <w:tcBorders>
              <w:top w:val="nil"/>
              <w:left w:val="nil"/>
              <w:bottom w:val="nil"/>
              <w:right w:val="nil"/>
            </w:tcBorders>
            <w:shd w:val="clear" w:color="auto" w:fill="auto"/>
            <w:noWrap/>
            <w:vAlign w:val="center"/>
          </w:tcPr>
          <w:p w14:paraId="236B0127"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0</w:t>
            </w:r>
          </w:p>
        </w:tc>
        <w:tc>
          <w:tcPr>
            <w:tcW w:w="1027" w:type="dxa"/>
            <w:tcBorders>
              <w:top w:val="nil"/>
              <w:left w:val="nil"/>
              <w:bottom w:val="nil"/>
              <w:right w:val="nil"/>
            </w:tcBorders>
            <w:shd w:val="clear" w:color="auto" w:fill="auto"/>
            <w:noWrap/>
            <w:vAlign w:val="center"/>
          </w:tcPr>
          <w:p w14:paraId="5B17F588"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0.0%</w:t>
            </w:r>
          </w:p>
        </w:tc>
        <w:tc>
          <w:tcPr>
            <w:tcW w:w="665" w:type="dxa"/>
            <w:tcBorders>
              <w:top w:val="nil"/>
              <w:left w:val="nil"/>
              <w:bottom w:val="nil"/>
              <w:right w:val="nil"/>
            </w:tcBorders>
            <w:shd w:val="clear" w:color="auto" w:fill="auto"/>
            <w:noWrap/>
            <w:vAlign w:val="center"/>
          </w:tcPr>
          <w:p w14:paraId="41333D5F" w14:textId="77777777" w:rsidR="00335CF7" w:rsidRPr="00D008F9"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20</w:t>
            </w:r>
          </w:p>
        </w:tc>
        <w:tc>
          <w:tcPr>
            <w:tcW w:w="2013" w:type="dxa"/>
            <w:tcBorders>
              <w:top w:val="nil"/>
              <w:left w:val="nil"/>
              <w:bottom w:val="nil"/>
              <w:right w:val="nil"/>
            </w:tcBorders>
            <w:shd w:val="clear" w:color="auto" w:fill="auto"/>
            <w:noWrap/>
            <w:vAlign w:val="center"/>
          </w:tcPr>
          <w:p w14:paraId="65C62C9E" w14:textId="77777777" w:rsidR="00335CF7" w:rsidRPr="00D008F9" w:rsidRDefault="00335CF7" w:rsidP="000F69BD">
            <w:pPr>
              <w:spacing w:after="0" w:line="240" w:lineRule="auto"/>
              <w:rPr>
                <w:rFonts w:asciiTheme="majorHAnsi" w:eastAsia="Times New Roman" w:hAnsiTheme="majorHAnsi" w:cstheme="majorHAnsi"/>
                <w:sz w:val="16"/>
                <w:szCs w:val="16"/>
                <w:lang w:eastAsia="en-AU"/>
              </w:rPr>
            </w:pPr>
            <w:r w:rsidRPr="00284549">
              <w:rPr>
                <w:rFonts w:asciiTheme="majorHAnsi" w:hAnsiTheme="majorHAnsi" w:cstheme="majorHAnsi"/>
                <w:sz w:val="16"/>
                <w:szCs w:val="16"/>
              </w:rPr>
              <w:t>Eliminated by the 7th year without conditions</w:t>
            </w:r>
          </w:p>
        </w:tc>
        <w:tc>
          <w:tcPr>
            <w:tcW w:w="1148" w:type="dxa"/>
            <w:tcBorders>
              <w:top w:val="nil"/>
              <w:left w:val="nil"/>
              <w:bottom w:val="nil"/>
              <w:right w:val="nil"/>
            </w:tcBorders>
            <w:shd w:val="clear" w:color="auto" w:fill="auto"/>
            <w:noWrap/>
            <w:vAlign w:val="center"/>
          </w:tcPr>
          <w:p w14:paraId="7EAA91B2"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0</w:t>
            </w:r>
          </w:p>
        </w:tc>
      </w:tr>
      <w:tr w:rsidR="00335CF7" w:rsidRPr="00F81F50" w14:paraId="1E9572EB" w14:textId="77777777" w:rsidTr="000F69BD">
        <w:tc>
          <w:tcPr>
            <w:tcW w:w="706" w:type="dxa"/>
            <w:tcBorders>
              <w:top w:val="nil"/>
              <w:left w:val="nil"/>
              <w:bottom w:val="nil"/>
              <w:right w:val="nil"/>
            </w:tcBorders>
            <w:shd w:val="clear" w:color="auto" w:fill="auto"/>
            <w:noWrap/>
            <w:vAlign w:val="center"/>
          </w:tcPr>
          <w:p w14:paraId="6B3275BD" w14:textId="77777777" w:rsidR="00335CF7" w:rsidRPr="00D008F9" w:rsidRDefault="00335CF7" w:rsidP="000F69BD">
            <w:pPr>
              <w:spacing w:after="0" w:line="240" w:lineRule="auto"/>
              <w:rPr>
                <w:rFonts w:asciiTheme="majorHAnsi" w:eastAsia="Times New Roman" w:hAnsiTheme="majorHAnsi" w:cstheme="majorHAnsi"/>
                <w:color w:val="000000"/>
                <w:sz w:val="18"/>
                <w:szCs w:val="18"/>
                <w:lang w:eastAsia="en-AU"/>
              </w:rPr>
            </w:pPr>
          </w:p>
        </w:tc>
        <w:tc>
          <w:tcPr>
            <w:tcW w:w="847" w:type="dxa"/>
            <w:tcBorders>
              <w:top w:val="nil"/>
              <w:left w:val="nil"/>
              <w:bottom w:val="nil"/>
              <w:right w:val="nil"/>
            </w:tcBorders>
            <w:shd w:val="clear" w:color="auto" w:fill="auto"/>
            <w:noWrap/>
            <w:vAlign w:val="center"/>
          </w:tcPr>
          <w:p w14:paraId="09DBCAE0" w14:textId="77777777" w:rsidR="00335CF7" w:rsidRPr="00D008F9"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510620</w:t>
            </w:r>
          </w:p>
        </w:tc>
        <w:tc>
          <w:tcPr>
            <w:tcW w:w="2762" w:type="dxa"/>
            <w:tcBorders>
              <w:top w:val="nil"/>
              <w:left w:val="nil"/>
              <w:bottom w:val="nil"/>
              <w:right w:val="nil"/>
            </w:tcBorders>
            <w:shd w:val="clear" w:color="auto" w:fill="auto"/>
            <w:noWrap/>
            <w:vAlign w:val="center"/>
          </w:tcPr>
          <w:p w14:paraId="5002A68D" w14:textId="77777777" w:rsidR="00335CF7" w:rsidRPr="00D008F9" w:rsidRDefault="00335CF7" w:rsidP="000F69BD">
            <w:pPr>
              <w:spacing w:after="0" w:line="240" w:lineRule="auto"/>
              <w:rPr>
                <w:rFonts w:asciiTheme="majorHAnsi" w:eastAsia="Times New Roman" w:hAnsiTheme="majorHAnsi" w:cstheme="majorHAnsi"/>
                <w:color w:val="000000"/>
                <w:sz w:val="16"/>
                <w:szCs w:val="16"/>
                <w:lang w:eastAsia="en-AU"/>
              </w:rPr>
            </w:pPr>
            <w:r w:rsidRPr="00284549">
              <w:rPr>
                <w:rFonts w:asciiTheme="majorHAnsi" w:hAnsiTheme="majorHAnsi" w:cstheme="majorHAnsi"/>
                <w:sz w:val="16"/>
                <w:szCs w:val="16"/>
              </w:rPr>
              <w:t>yarn of carded wool, not put up for retail sale, containing less than 85% by weight of wool</w:t>
            </w:r>
          </w:p>
        </w:tc>
        <w:tc>
          <w:tcPr>
            <w:tcW w:w="1182" w:type="dxa"/>
            <w:tcBorders>
              <w:top w:val="nil"/>
              <w:left w:val="nil"/>
              <w:bottom w:val="nil"/>
              <w:right w:val="nil"/>
            </w:tcBorders>
            <w:shd w:val="clear" w:color="auto" w:fill="auto"/>
            <w:noWrap/>
            <w:vAlign w:val="center"/>
          </w:tcPr>
          <w:p w14:paraId="10BC4B63"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0</w:t>
            </w:r>
          </w:p>
        </w:tc>
        <w:tc>
          <w:tcPr>
            <w:tcW w:w="1027" w:type="dxa"/>
            <w:tcBorders>
              <w:top w:val="nil"/>
              <w:left w:val="nil"/>
              <w:bottom w:val="nil"/>
              <w:right w:val="nil"/>
            </w:tcBorders>
            <w:shd w:val="clear" w:color="auto" w:fill="auto"/>
            <w:noWrap/>
            <w:vAlign w:val="center"/>
          </w:tcPr>
          <w:p w14:paraId="22A4D87A"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0.0%</w:t>
            </w:r>
          </w:p>
        </w:tc>
        <w:tc>
          <w:tcPr>
            <w:tcW w:w="665" w:type="dxa"/>
            <w:tcBorders>
              <w:top w:val="nil"/>
              <w:left w:val="nil"/>
              <w:bottom w:val="nil"/>
              <w:right w:val="nil"/>
            </w:tcBorders>
            <w:shd w:val="clear" w:color="auto" w:fill="auto"/>
            <w:noWrap/>
            <w:vAlign w:val="center"/>
          </w:tcPr>
          <w:p w14:paraId="29118D0C" w14:textId="77777777" w:rsidR="00335CF7" w:rsidRPr="00D008F9"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20</w:t>
            </w:r>
          </w:p>
        </w:tc>
        <w:tc>
          <w:tcPr>
            <w:tcW w:w="2013" w:type="dxa"/>
            <w:tcBorders>
              <w:top w:val="nil"/>
              <w:left w:val="nil"/>
              <w:bottom w:val="nil"/>
              <w:right w:val="nil"/>
            </w:tcBorders>
            <w:shd w:val="clear" w:color="auto" w:fill="auto"/>
            <w:noWrap/>
            <w:vAlign w:val="center"/>
          </w:tcPr>
          <w:p w14:paraId="215CDF33" w14:textId="77777777" w:rsidR="00335CF7" w:rsidRPr="00D008F9" w:rsidRDefault="00335CF7" w:rsidP="000F69BD">
            <w:pPr>
              <w:spacing w:after="0" w:line="240" w:lineRule="auto"/>
              <w:rPr>
                <w:rFonts w:asciiTheme="majorHAnsi" w:eastAsia="Times New Roman" w:hAnsiTheme="majorHAnsi" w:cstheme="majorHAnsi"/>
                <w:sz w:val="16"/>
                <w:szCs w:val="16"/>
                <w:lang w:eastAsia="en-AU"/>
              </w:rPr>
            </w:pPr>
            <w:r w:rsidRPr="00284549">
              <w:rPr>
                <w:rFonts w:asciiTheme="majorHAnsi" w:hAnsiTheme="majorHAnsi" w:cstheme="majorHAnsi"/>
                <w:sz w:val="16"/>
                <w:szCs w:val="16"/>
              </w:rPr>
              <w:t>Eliminated by the 7th year without conditions</w:t>
            </w:r>
          </w:p>
        </w:tc>
        <w:tc>
          <w:tcPr>
            <w:tcW w:w="1148" w:type="dxa"/>
            <w:tcBorders>
              <w:top w:val="nil"/>
              <w:left w:val="nil"/>
              <w:bottom w:val="nil"/>
              <w:right w:val="nil"/>
            </w:tcBorders>
            <w:shd w:val="clear" w:color="auto" w:fill="auto"/>
            <w:noWrap/>
            <w:vAlign w:val="center"/>
          </w:tcPr>
          <w:p w14:paraId="02EB7934"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0</w:t>
            </w:r>
          </w:p>
        </w:tc>
      </w:tr>
      <w:tr w:rsidR="00335CF7" w:rsidRPr="00F81F50" w14:paraId="50EFD548" w14:textId="77777777" w:rsidTr="000F69BD">
        <w:tc>
          <w:tcPr>
            <w:tcW w:w="706" w:type="dxa"/>
            <w:tcBorders>
              <w:top w:val="nil"/>
              <w:left w:val="nil"/>
              <w:bottom w:val="nil"/>
              <w:right w:val="nil"/>
            </w:tcBorders>
            <w:shd w:val="clear" w:color="auto" w:fill="auto"/>
            <w:noWrap/>
            <w:vAlign w:val="center"/>
          </w:tcPr>
          <w:p w14:paraId="66666F99" w14:textId="77777777" w:rsidR="00335CF7" w:rsidRPr="00D008F9" w:rsidRDefault="00335CF7" w:rsidP="000F69BD">
            <w:pPr>
              <w:spacing w:after="0" w:line="240" w:lineRule="auto"/>
              <w:rPr>
                <w:rFonts w:asciiTheme="majorHAnsi" w:eastAsia="Times New Roman" w:hAnsiTheme="majorHAnsi" w:cstheme="majorHAnsi"/>
                <w:color w:val="000000"/>
                <w:sz w:val="18"/>
                <w:szCs w:val="18"/>
                <w:lang w:eastAsia="en-AU"/>
              </w:rPr>
            </w:pPr>
          </w:p>
        </w:tc>
        <w:tc>
          <w:tcPr>
            <w:tcW w:w="847" w:type="dxa"/>
            <w:tcBorders>
              <w:top w:val="nil"/>
              <w:left w:val="nil"/>
              <w:bottom w:val="nil"/>
              <w:right w:val="nil"/>
            </w:tcBorders>
            <w:shd w:val="clear" w:color="auto" w:fill="auto"/>
            <w:noWrap/>
            <w:vAlign w:val="center"/>
          </w:tcPr>
          <w:p w14:paraId="02D42357" w14:textId="77777777" w:rsidR="00335CF7" w:rsidRPr="00D008F9"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510710</w:t>
            </w:r>
          </w:p>
        </w:tc>
        <w:tc>
          <w:tcPr>
            <w:tcW w:w="2762" w:type="dxa"/>
            <w:tcBorders>
              <w:top w:val="nil"/>
              <w:left w:val="nil"/>
              <w:bottom w:val="nil"/>
              <w:right w:val="nil"/>
            </w:tcBorders>
            <w:shd w:val="clear" w:color="auto" w:fill="auto"/>
            <w:noWrap/>
            <w:vAlign w:val="center"/>
          </w:tcPr>
          <w:p w14:paraId="1F5C8385" w14:textId="77777777" w:rsidR="00335CF7" w:rsidRPr="00D008F9" w:rsidRDefault="00335CF7" w:rsidP="000F69BD">
            <w:pPr>
              <w:spacing w:after="0" w:line="240" w:lineRule="auto"/>
              <w:rPr>
                <w:rFonts w:asciiTheme="majorHAnsi" w:eastAsia="Times New Roman" w:hAnsiTheme="majorHAnsi" w:cstheme="majorHAnsi"/>
                <w:color w:val="000000"/>
                <w:sz w:val="16"/>
                <w:szCs w:val="16"/>
                <w:lang w:eastAsia="en-AU"/>
              </w:rPr>
            </w:pPr>
            <w:r w:rsidRPr="00284549">
              <w:rPr>
                <w:rFonts w:asciiTheme="majorHAnsi" w:hAnsiTheme="majorHAnsi" w:cstheme="majorHAnsi"/>
                <w:sz w:val="16"/>
                <w:szCs w:val="16"/>
              </w:rPr>
              <w:t>yarn of combed wool, not put up for retail sale, containing 85% or more by weight of wool</w:t>
            </w:r>
          </w:p>
        </w:tc>
        <w:tc>
          <w:tcPr>
            <w:tcW w:w="1182" w:type="dxa"/>
            <w:tcBorders>
              <w:top w:val="nil"/>
              <w:left w:val="nil"/>
              <w:bottom w:val="nil"/>
              <w:right w:val="nil"/>
            </w:tcBorders>
            <w:shd w:val="clear" w:color="auto" w:fill="auto"/>
            <w:noWrap/>
            <w:vAlign w:val="center"/>
          </w:tcPr>
          <w:p w14:paraId="3B2E40AA"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0</w:t>
            </w:r>
          </w:p>
        </w:tc>
        <w:tc>
          <w:tcPr>
            <w:tcW w:w="1027" w:type="dxa"/>
            <w:tcBorders>
              <w:top w:val="nil"/>
              <w:left w:val="nil"/>
              <w:bottom w:val="nil"/>
              <w:right w:val="nil"/>
            </w:tcBorders>
            <w:shd w:val="clear" w:color="auto" w:fill="auto"/>
            <w:noWrap/>
            <w:vAlign w:val="center"/>
          </w:tcPr>
          <w:p w14:paraId="78737ED7"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0.0%</w:t>
            </w:r>
          </w:p>
        </w:tc>
        <w:tc>
          <w:tcPr>
            <w:tcW w:w="665" w:type="dxa"/>
            <w:tcBorders>
              <w:top w:val="nil"/>
              <w:left w:val="nil"/>
              <w:bottom w:val="nil"/>
              <w:right w:val="nil"/>
            </w:tcBorders>
            <w:shd w:val="clear" w:color="auto" w:fill="auto"/>
            <w:noWrap/>
            <w:vAlign w:val="center"/>
          </w:tcPr>
          <w:p w14:paraId="01D5EA15" w14:textId="77777777" w:rsidR="00335CF7" w:rsidRPr="00D008F9"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20</w:t>
            </w:r>
          </w:p>
        </w:tc>
        <w:tc>
          <w:tcPr>
            <w:tcW w:w="2013" w:type="dxa"/>
            <w:tcBorders>
              <w:top w:val="nil"/>
              <w:left w:val="nil"/>
              <w:bottom w:val="nil"/>
              <w:right w:val="nil"/>
            </w:tcBorders>
            <w:shd w:val="clear" w:color="auto" w:fill="auto"/>
            <w:noWrap/>
            <w:vAlign w:val="center"/>
          </w:tcPr>
          <w:p w14:paraId="0681D15E" w14:textId="77777777" w:rsidR="00335CF7" w:rsidRPr="00D008F9" w:rsidRDefault="00335CF7" w:rsidP="000F69BD">
            <w:pPr>
              <w:spacing w:after="0" w:line="240" w:lineRule="auto"/>
              <w:rPr>
                <w:rFonts w:asciiTheme="majorHAnsi" w:eastAsia="Times New Roman" w:hAnsiTheme="majorHAnsi" w:cstheme="majorHAnsi"/>
                <w:sz w:val="16"/>
                <w:szCs w:val="16"/>
                <w:lang w:eastAsia="en-AU"/>
              </w:rPr>
            </w:pPr>
            <w:r w:rsidRPr="00284549">
              <w:rPr>
                <w:rFonts w:asciiTheme="majorHAnsi" w:hAnsiTheme="majorHAnsi" w:cstheme="majorHAnsi"/>
                <w:sz w:val="16"/>
                <w:szCs w:val="16"/>
              </w:rPr>
              <w:t>Eliminated by the 7th year without conditions</w:t>
            </w:r>
          </w:p>
        </w:tc>
        <w:tc>
          <w:tcPr>
            <w:tcW w:w="1148" w:type="dxa"/>
            <w:tcBorders>
              <w:top w:val="nil"/>
              <w:left w:val="nil"/>
              <w:bottom w:val="nil"/>
              <w:right w:val="nil"/>
            </w:tcBorders>
            <w:shd w:val="clear" w:color="auto" w:fill="auto"/>
            <w:noWrap/>
            <w:vAlign w:val="center"/>
          </w:tcPr>
          <w:p w14:paraId="3D49BD4C"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0</w:t>
            </w:r>
          </w:p>
        </w:tc>
      </w:tr>
      <w:tr w:rsidR="00335CF7" w:rsidRPr="00F81F50" w14:paraId="53712D22" w14:textId="77777777" w:rsidTr="000F69BD">
        <w:tc>
          <w:tcPr>
            <w:tcW w:w="706" w:type="dxa"/>
            <w:tcBorders>
              <w:top w:val="nil"/>
              <w:left w:val="nil"/>
              <w:bottom w:val="nil"/>
              <w:right w:val="nil"/>
            </w:tcBorders>
            <w:shd w:val="clear" w:color="auto" w:fill="auto"/>
            <w:noWrap/>
            <w:vAlign w:val="center"/>
          </w:tcPr>
          <w:p w14:paraId="1BD5FD0E" w14:textId="77777777" w:rsidR="00335CF7" w:rsidRPr="00D008F9" w:rsidRDefault="00335CF7" w:rsidP="000F69BD">
            <w:pPr>
              <w:spacing w:after="0" w:line="240" w:lineRule="auto"/>
              <w:rPr>
                <w:rFonts w:asciiTheme="majorHAnsi" w:eastAsia="Times New Roman" w:hAnsiTheme="majorHAnsi" w:cstheme="majorHAnsi"/>
                <w:color w:val="000000"/>
                <w:sz w:val="18"/>
                <w:szCs w:val="18"/>
                <w:lang w:eastAsia="en-AU"/>
              </w:rPr>
            </w:pPr>
          </w:p>
        </w:tc>
        <w:tc>
          <w:tcPr>
            <w:tcW w:w="847" w:type="dxa"/>
            <w:tcBorders>
              <w:top w:val="nil"/>
              <w:left w:val="nil"/>
              <w:bottom w:val="nil"/>
              <w:right w:val="nil"/>
            </w:tcBorders>
            <w:shd w:val="clear" w:color="auto" w:fill="auto"/>
            <w:noWrap/>
            <w:vAlign w:val="center"/>
          </w:tcPr>
          <w:p w14:paraId="7B59CA04" w14:textId="77777777" w:rsidR="00335CF7" w:rsidRPr="00D008F9"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510720</w:t>
            </w:r>
          </w:p>
        </w:tc>
        <w:tc>
          <w:tcPr>
            <w:tcW w:w="2762" w:type="dxa"/>
            <w:tcBorders>
              <w:top w:val="nil"/>
              <w:left w:val="nil"/>
              <w:bottom w:val="nil"/>
              <w:right w:val="nil"/>
            </w:tcBorders>
            <w:shd w:val="clear" w:color="auto" w:fill="auto"/>
            <w:noWrap/>
            <w:vAlign w:val="center"/>
          </w:tcPr>
          <w:p w14:paraId="3EA7E3AE" w14:textId="77777777" w:rsidR="00335CF7" w:rsidRPr="00D008F9" w:rsidRDefault="00335CF7" w:rsidP="000F69BD">
            <w:pPr>
              <w:spacing w:after="0" w:line="240" w:lineRule="auto"/>
              <w:rPr>
                <w:rFonts w:asciiTheme="majorHAnsi" w:eastAsia="Times New Roman" w:hAnsiTheme="majorHAnsi" w:cstheme="majorHAnsi"/>
                <w:color w:val="000000"/>
                <w:sz w:val="16"/>
                <w:szCs w:val="16"/>
                <w:lang w:eastAsia="en-AU"/>
              </w:rPr>
            </w:pPr>
            <w:r w:rsidRPr="00284549">
              <w:rPr>
                <w:rFonts w:asciiTheme="majorHAnsi" w:hAnsiTheme="majorHAnsi" w:cstheme="majorHAnsi"/>
                <w:sz w:val="16"/>
                <w:szCs w:val="16"/>
              </w:rPr>
              <w:t>yarn of combed wool, not put up for retail sale, containing less than 85% by weight of wool</w:t>
            </w:r>
          </w:p>
        </w:tc>
        <w:tc>
          <w:tcPr>
            <w:tcW w:w="1182" w:type="dxa"/>
            <w:tcBorders>
              <w:top w:val="nil"/>
              <w:left w:val="nil"/>
              <w:bottom w:val="nil"/>
              <w:right w:val="nil"/>
            </w:tcBorders>
            <w:shd w:val="clear" w:color="auto" w:fill="auto"/>
            <w:noWrap/>
            <w:vAlign w:val="center"/>
          </w:tcPr>
          <w:p w14:paraId="49D65729"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0</w:t>
            </w:r>
          </w:p>
        </w:tc>
        <w:tc>
          <w:tcPr>
            <w:tcW w:w="1027" w:type="dxa"/>
            <w:tcBorders>
              <w:top w:val="nil"/>
              <w:left w:val="nil"/>
              <w:bottom w:val="nil"/>
              <w:right w:val="nil"/>
            </w:tcBorders>
            <w:shd w:val="clear" w:color="auto" w:fill="auto"/>
            <w:noWrap/>
            <w:vAlign w:val="center"/>
          </w:tcPr>
          <w:p w14:paraId="3EDAAEA4"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0.0%</w:t>
            </w:r>
          </w:p>
        </w:tc>
        <w:tc>
          <w:tcPr>
            <w:tcW w:w="665" w:type="dxa"/>
            <w:tcBorders>
              <w:top w:val="nil"/>
              <w:left w:val="nil"/>
              <w:bottom w:val="nil"/>
              <w:right w:val="nil"/>
            </w:tcBorders>
            <w:shd w:val="clear" w:color="auto" w:fill="auto"/>
            <w:noWrap/>
            <w:vAlign w:val="center"/>
          </w:tcPr>
          <w:p w14:paraId="666A8EE3" w14:textId="77777777" w:rsidR="00335CF7" w:rsidRPr="00D008F9"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20</w:t>
            </w:r>
          </w:p>
        </w:tc>
        <w:tc>
          <w:tcPr>
            <w:tcW w:w="2013" w:type="dxa"/>
            <w:tcBorders>
              <w:top w:val="nil"/>
              <w:left w:val="nil"/>
              <w:bottom w:val="nil"/>
              <w:right w:val="nil"/>
            </w:tcBorders>
            <w:shd w:val="clear" w:color="auto" w:fill="auto"/>
            <w:noWrap/>
            <w:vAlign w:val="center"/>
          </w:tcPr>
          <w:p w14:paraId="20F874FB" w14:textId="77777777" w:rsidR="00335CF7" w:rsidRPr="00D008F9" w:rsidRDefault="00335CF7" w:rsidP="000F69BD">
            <w:pPr>
              <w:spacing w:after="0" w:line="240" w:lineRule="auto"/>
              <w:rPr>
                <w:rFonts w:asciiTheme="majorHAnsi" w:eastAsia="Times New Roman" w:hAnsiTheme="majorHAnsi" w:cstheme="majorHAnsi"/>
                <w:sz w:val="16"/>
                <w:szCs w:val="16"/>
                <w:lang w:eastAsia="en-AU"/>
              </w:rPr>
            </w:pPr>
            <w:r w:rsidRPr="00284549">
              <w:rPr>
                <w:rFonts w:asciiTheme="majorHAnsi" w:hAnsiTheme="majorHAnsi" w:cstheme="majorHAnsi"/>
                <w:sz w:val="16"/>
                <w:szCs w:val="16"/>
              </w:rPr>
              <w:t>Eliminated by the 7th year without conditions</w:t>
            </w:r>
          </w:p>
        </w:tc>
        <w:tc>
          <w:tcPr>
            <w:tcW w:w="1148" w:type="dxa"/>
            <w:tcBorders>
              <w:top w:val="nil"/>
              <w:left w:val="nil"/>
              <w:bottom w:val="nil"/>
              <w:right w:val="nil"/>
            </w:tcBorders>
            <w:shd w:val="clear" w:color="auto" w:fill="auto"/>
            <w:noWrap/>
            <w:vAlign w:val="center"/>
          </w:tcPr>
          <w:p w14:paraId="76AC84D7"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0</w:t>
            </w:r>
          </w:p>
        </w:tc>
      </w:tr>
      <w:tr w:rsidR="00335CF7" w:rsidRPr="00F81F50" w14:paraId="13807414" w14:textId="77777777" w:rsidTr="000F69BD">
        <w:tc>
          <w:tcPr>
            <w:tcW w:w="706" w:type="dxa"/>
            <w:tcBorders>
              <w:top w:val="nil"/>
              <w:left w:val="nil"/>
              <w:bottom w:val="nil"/>
              <w:right w:val="nil"/>
            </w:tcBorders>
            <w:shd w:val="clear" w:color="auto" w:fill="auto"/>
            <w:noWrap/>
            <w:vAlign w:val="center"/>
          </w:tcPr>
          <w:p w14:paraId="37DD4319" w14:textId="77777777" w:rsidR="00335CF7" w:rsidRPr="00D008F9" w:rsidRDefault="00335CF7" w:rsidP="000F69BD">
            <w:pPr>
              <w:spacing w:after="0" w:line="240" w:lineRule="auto"/>
              <w:rPr>
                <w:rFonts w:asciiTheme="majorHAnsi" w:eastAsia="Times New Roman" w:hAnsiTheme="majorHAnsi" w:cstheme="majorHAnsi"/>
                <w:color w:val="000000"/>
                <w:sz w:val="18"/>
                <w:szCs w:val="18"/>
                <w:lang w:eastAsia="en-AU"/>
              </w:rPr>
            </w:pPr>
          </w:p>
        </w:tc>
        <w:tc>
          <w:tcPr>
            <w:tcW w:w="847" w:type="dxa"/>
            <w:tcBorders>
              <w:top w:val="nil"/>
              <w:left w:val="nil"/>
              <w:bottom w:val="nil"/>
              <w:right w:val="nil"/>
            </w:tcBorders>
            <w:shd w:val="clear" w:color="auto" w:fill="auto"/>
            <w:noWrap/>
            <w:vAlign w:val="center"/>
          </w:tcPr>
          <w:p w14:paraId="3E63F671" w14:textId="77777777" w:rsidR="00335CF7" w:rsidRPr="00D008F9"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911390</w:t>
            </w:r>
          </w:p>
        </w:tc>
        <w:tc>
          <w:tcPr>
            <w:tcW w:w="2762" w:type="dxa"/>
            <w:tcBorders>
              <w:top w:val="nil"/>
              <w:left w:val="nil"/>
              <w:bottom w:val="nil"/>
              <w:right w:val="nil"/>
            </w:tcBorders>
            <w:shd w:val="clear" w:color="auto" w:fill="auto"/>
            <w:noWrap/>
            <w:vAlign w:val="center"/>
          </w:tcPr>
          <w:p w14:paraId="1BF21728" w14:textId="77777777" w:rsidR="00335CF7" w:rsidRPr="00D008F9" w:rsidRDefault="00335CF7" w:rsidP="000F69BD">
            <w:pPr>
              <w:spacing w:after="0" w:line="240" w:lineRule="auto"/>
              <w:rPr>
                <w:rFonts w:asciiTheme="majorHAnsi" w:eastAsia="Times New Roman" w:hAnsiTheme="majorHAnsi" w:cstheme="majorHAnsi"/>
                <w:color w:val="000000"/>
                <w:sz w:val="16"/>
                <w:szCs w:val="16"/>
                <w:lang w:eastAsia="en-AU"/>
              </w:rPr>
            </w:pPr>
            <w:r w:rsidRPr="00284549">
              <w:rPr>
                <w:rFonts w:asciiTheme="majorHAnsi" w:hAnsiTheme="majorHAnsi" w:cstheme="majorHAnsi"/>
                <w:sz w:val="16"/>
                <w:szCs w:val="16"/>
              </w:rPr>
              <w:t xml:space="preserve">watch straps, watch </w:t>
            </w:r>
            <w:proofErr w:type="gramStart"/>
            <w:r w:rsidRPr="00284549">
              <w:rPr>
                <w:rFonts w:asciiTheme="majorHAnsi" w:hAnsiTheme="majorHAnsi" w:cstheme="majorHAnsi"/>
                <w:sz w:val="16"/>
                <w:szCs w:val="16"/>
              </w:rPr>
              <w:t>bands</w:t>
            </w:r>
            <w:proofErr w:type="gramEnd"/>
            <w:r w:rsidRPr="00284549">
              <w:rPr>
                <w:rFonts w:asciiTheme="majorHAnsi" w:hAnsiTheme="majorHAnsi" w:cstheme="majorHAnsi"/>
                <w:sz w:val="16"/>
                <w:szCs w:val="16"/>
              </w:rPr>
              <w:t xml:space="preserve"> and watch bracelets, and parts </w:t>
            </w:r>
            <w:proofErr w:type="spellStart"/>
            <w:r w:rsidRPr="00284549">
              <w:rPr>
                <w:rFonts w:asciiTheme="majorHAnsi" w:hAnsiTheme="majorHAnsi" w:cstheme="majorHAnsi"/>
                <w:sz w:val="16"/>
                <w:szCs w:val="16"/>
              </w:rPr>
              <w:t>there of</w:t>
            </w:r>
            <w:proofErr w:type="spellEnd"/>
            <w:r w:rsidRPr="00284549">
              <w:rPr>
                <w:rFonts w:asciiTheme="majorHAnsi" w:hAnsiTheme="majorHAnsi" w:cstheme="majorHAnsi"/>
                <w:sz w:val="16"/>
                <w:szCs w:val="16"/>
              </w:rPr>
              <w:t xml:space="preserve">, of materials </w:t>
            </w:r>
            <w:proofErr w:type="spellStart"/>
            <w:r w:rsidRPr="00284549">
              <w:rPr>
                <w:rFonts w:asciiTheme="majorHAnsi" w:hAnsiTheme="majorHAnsi" w:cstheme="majorHAnsi"/>
                <w:sz w:val="16"/>
                <w:szCs w:val="16"/>
              </w:rPr>
              <w:t>nesoi</w:t>
            </w:r>
            <w:proofErr w:type="spellEnd"/>
            <w:r w:rsidRPr="00284549">
              <w:rPr>
                <w:rFonts w:asciiTheme="majorHAnsi" w:hAnsiTheme="majorHAnsi" w:cstheme="majorHAnsi"/>
                <w:sz w:val="16"/>
                <w:szCs w:val="16"/>
              </w:rPr>
              <w:t>, including leather, plastics or textile material</w:t>
            </w:r>
          </w:p>
        </w:tc>
        <w:tc>
          <w:tcPr>
            <w:tcW w:w="1182" w:type="dxa"/>
            <w:tcBorders>
              <w:top w:val="nil"/>
              <w:left w:val="nil"/>
              <w:bottom w:val="nil"/>
              <w:right w:val="nil"/>
            </w:tcBorders>
            <w:shd w:val="clear" w:color="auto" w:fill="auto"/>
            <w:noWrap/>
            <w:vAlign w:val="center"/>
          </w:tcPr>
          <w:p w14:paraId="316F25A9"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1,667</w:t>
            </w:r>
          </w:p>
        </w:tc>
        <w:tc>
          <w:tcPr>
            <w:tcW w:w="1027" w:type="dxa"/>
            <w:tcBorders>
              <w:top w:val="nil"/>
              <w:left w:val="nil"/>
              <w:bottom w:val="nil"/>
              <w:right w:val="nil"/>
            </w:tcBorders>
            <w:shd w:val="clear" w:color="auto" w:fill="auto"/>
            <w:noWrap/>
            <w:vAlign w:val="center"/>
          </w:tcPr>
          <w:p w14:paraId="10048CDA" w14:textId="77777777" w:rsidR="00335CF7" w:rsidRPr="00D008F9"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0.0%</w:t>
            </w:r>
          </w:p>
        </w:tc>
        <w:tc>
          <w:tcPr>
            <w:tcW w:w="665" w:type="dxa"/>
            <w:tcBorders>
              <w:top w:val="nil"/>
              <w:left w:val="nil"/>
              <w:bottom w:val="nil"/>
              <w:right w:val="nil"/>
            </w:tcBorders>
            <w:shd w:val="clear" w:color="auto" w:fill="auto"/>
            <w:noWrap/>
            <w:vAlign w:val="center"/>
          </w:tcPr>
          <w:p w14:paraId="199C537A" w14:textId="77777777" w:rsidR="00335CF7" w:rsidRPr="00D008F9" w:rsidRDefault="00335CF7" w:rsidP="000F69BD">
            <w:pPr>
              <w:spacing w:after="0" w:line="240" w:lineRule="auto"/>
              <w:jc w:val="center"/>
              <w:rPr>
                <w:rFonts w:asciiTheme="majorHAnsi" w:hAnsiTheme="majorHAnsi" w:cstheme="majorHAnsi"/>
                <w:sz w:val="18"/>
                <w:szCs w:val="18"/>
              </w:rPr>
            </w:pPr>
            <w:r w:rsidRPr="00284549">
              <w:rPr>
                <w:rFonts w:asciiTheme="majorHAnsi" w:hAnsiTheme="majorHAnsi" w:cstheme="majorHAnsi"/>
                <w:sz w:val="18"/>
                <w:szCs w:val="18"/>
              </w:rPr>
              <w:t>10</w:t>
            </w:r>
          </w:p>
        </w:tc>
        <w:tc>
          <w:tcPr>
            <w:tcW w:w="2013" w:type="dxa"/>
            <w:tcBorders>
              <w:top w:val="nil"/>
              <w:left w:val="nil"/>
              <w:bottom w:val="nil"/>
              <w:right w:val="nil"/>
            </w:tcBorders>
            <w:shd w:val="clear" w:color="auto" w:fill="auto"/>
            <w:noWrap/>
            <w:vAlign w:val="center"/>
          </w:tcPr>
          <w:p w14:paraId="1D3B1F5A" w14:textId="77777777" w:rsidR="00335CF7" w:rsidRPr="00D008F9" w:rsidRDefault="00335CF7" w:rsidP="000F69BD">
            <w:pPr>
              <w:spacing w:after="0" w:line="240" w:lineRule="auto"/>
              <w:rPr>
                <w:rFonts w:asciiTheme="majorHAnsi" w:hAnsiTheme="majorHAnsi" w:cstheme="majorHAnsi"/>
                <w:sz w:val="16"/>
                <w:szCs w:val="16"/>
              </w:rPr>
            </w:pPr>
            <w:r w:rsidRPr="00284549">
              <w:rPr>
                <w:rFonts w:asciiTheme="majorHAnsi" w:hAnsiTheme="majorHAnsi" w:cstheme="majorHAnsi"/>
                <w:sz w:val="16"/>
                <w:szCs w:val="16"/>
              </w:rPr>
              <w:t>Eliminated on entry-into-force without conditions</w:t>
            </w:r>
          </w:p>
        </w:tc>
        <w:tc>
          <w:tcPr>
            <w:tcW w:w="1148" w:type="dxa"/>
            <w:tcBorders>
              <w:top w:val="nil"/>
              <w:left w:val="nil"/>
              <w:bottom w:val="nil"/>
              <w:right w:val="nil"/>
            </w:tcBorders>
            <w:shd w:val="clear" w:color="auto" w:fill="auto"/>
            <w:noWrap/>
            <w:vAlign w:val="center"/>
          </w:tcPr>
          <w:p w14:paraId="002E83BC" w14:textId="77777777" w:rsidR="00335CF7" w:rsidRPr="00D008F9"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167</w:t>
            </w:r>
          </w:p>
        </w:tc>
      </w:tr>
      <w:tr w:rsidR="00335CF7" w:rsidRPr="00F81F50" w14:paraId="74A05B30" w14:textId="77777777" w:rsidTr="000F69BD">
        <w:tc>
          <w:tcPr>
            <w:tcW w:w="706" w:type="dxa"/>
            <w:tcBorders>
              <w:top w:val="nil"/>
              <w:left w:val="nil"/>
              <w:bottom w:val="single" w:sz="4" w:space="0" w:color="auto"/>
              <w:right w:val="nil"/>
            </w:tcBorders>
            <w:shd w:val="clear" w:color="auto" w:fill="auto"/>
            <w:noWrap/>
            <w:vAlign w:val="center"/>
          </w:tcPr>
          <w:p w14:paraId="41F1E042" w14:textId="77777777" w:rsidR="00335CF7" w:rsidRPr="00D008F9" w:rsidRDefault="00335CF7" w:rsidP="000F69BD">
            <w:pPr>
              <w:spacing w:after="0" w:line="240" w:lineRule="auto"/>
              <w:rPr>
                <w:rFonts w:asciiTheme="majorHAnsi" w:eastAsia="Times New Roman" w:hAnsiTheme="majorHAnsi" w:cstheme="majorHAnsi"/>
                <w:b/>
                <w:color w:val="000000"/>
                <w:sz w:val="18"/>
                <w:szCs w:val="18"/>
                <w:lang w:eastAsia="en-AU"/>
              </w:rPr>
            </w:pPr>
          </w:p>
        </w:tc>
        <w:tc>
          <w:tcPr>
            <w:tcW w:w="847" w:type="dxa"/>
            <w:tcBorders>
              <w:top w:val="nil"/>
              <w:left w:val="nil"/>
              <w:bottom w:val="single" w:sz="4" w:space="0" w:color="auto"/>
              <w:right w:val="nil"/>
            </w:tcBorders>
            <w:shd w:val="clear" w:color="auto" w:fill="auto"/>
            <w:noWrap/>
            <w:vAlign w:val="center"/>
          </w:tcPr>
          <w:p w14:paraId="773526A3" w14:textId="77777777" w:rsidR="00335CF7" w:rsidRPr="00D008F9" w:rsidRDefault="00335CF7" w:rsidP="000F69BD">
            <w:pPr>
              <w:spacing w:after="0" w:line="240" w:lineRule="auto"/>
              <w:rPr>
                <w:rFonts w:asciiTheme="majorHAnsi" w:eastAsia="Times New Roman" w:hAnsiTheme="majorHAnsi" w:cstheme="majorHAnsi"/>
                <w:b/>
                <w:color w:val="000000"/>
                <w:sz w:val="18"/>
                <w:szCs w:val="18"/>
                <w:lang w:eastAsia="en-AU"/>
              </w:rPr>
            </w:pPr>
          </w:p>
        </w:tc>
        <w:tc>
          <w:tcPr>
            <w:tcW w:w="2762" w:type="dxa"/>
            <w:tcBorders>
              <w:top w:val="nil"/>
              <w:left w:val="nil"/>
              <w:bottom w:val="single" w:sz="4" w:space="0" w:color="auto"/>
              <w:right w:val="nil"/>
            </w:tcBorders>
            <w:shd w:val="clear" w:color="auto" w:fill="auto"/>
            <w:noWrap/>
            <w:vAlign w:val="center"/>
          </w:tcPr>
          <w:p w14:paraId="4D182563" w14:textId="77777777" w:rsidR="00335CF7" w:rsidRPr="00D008F9" w:rsidRDefault="00335CF7" w:rsidP="000F69BD">
            <w:pPr>
              <w:spacing w:after="0" w:line="240" w:lineRule="auto"/>
              <w:rPr>
                <w:rFonts w:asciiTheme="majorHAnsi" w:eastAsia="Times New Roman" w:hAnsiTheme="majorHAnsi" w:cstheme="majorHAnsi"/>
                <w:b/>
                <w:color w:val="000000"/>
                <w:sz w:val="18"/>
                <w:szCs w:val="18"/>
                <w:lang w:eastAsia="en-AU"/>
              </w:rPr>
            </w:pPr>
            <w:r w:rsidRPr="00284549">
              <w:rPr>
                <w:rFonts w:asciiTheme="majorHAnsi" w:hAnsiTheme="majorHAnsi" w:cstheme="majorHAnsi"/>
                <w:b/>
                <w:sz w:val="18"/>
                <w:szCs w:val="18"/>
              </w:rPr>
              <w:t>Subtotal</w:t>
            </w:r>
          </w:p>
        </w:tc>
        <w:tc>
          <w:tcPr>
            <w:tcW w:w="1182" w:type="dxa"/>
            <w:tcBorders>
              <w:top w:val="nil"/>
              <w:left w:val="nil"/>
              <w:bottom w:val="single" w:sz="4" w:space="0" w:color="auto"/>
              <w:right w:val="nil"/>
            </w:tcBorders>
            <w:shd w:val="clear" w:color="auto" w:fill="auto"/>
            <w:noWrap/>
            <w:vAlign w:val="center"/>
          </w:tcPr>
          <w:p w14:paraId="325F2FA4" w14:textId="77777777" w:rsidR="00335CF7" w:rsidRPr="00D008F9" w:rsidRDefault="00335CF7" w:rsidP="000F69BD">
            <w:pPr>
              <w:spacing w:after="0" w:line="240" w:lineRule="auto"/>
              <w:jc w:val="right"/>
              <w:rPr>
                <w:rFonts w:asciiTheme="majorHAnsi" w:eastAsia="Times New Roman" w:hAnsiTheme="majorHAnsi" w:cstheme="majorHAnsi"/>
                <w:b/>
                <w:color w:val="000000"/>
                <w:sz w:val="18"/>
                <w:szCs w:val="18"/>
                <w:lang w:eastAsia="en-AU"/>
              </w:rPr>
            </w:pPr>
            <w:r w:rsidRPr="00284549">
              <w:rPr>
                <w:rFonts w:asciiTheme="majorHAnsi" w:hAnsiTheme="majorHAnsi" w:cstheme="majorHAnsi"/>
                <w:b/>
                <w:sz w:val="18"/>
                <w:szCs w:val="18"/>
              </w:rPr>
              <w:t>184,266,955</w:t>
            </w:r>
          </w:p>
        </w:tc>
        <w:tc>
          <w:tcPr>
            <w:tcW w:w="1027" w:type="dxa"/>
            <w:tcBorders>
              <w:top w:val="nil"/>
              <w:left w:val="nil"/>
              <w:bottom w:val="single" w:sz="4" w:space="0" w:color="auto"/>
              <w:right w:val="nil"/>
            </w:tcBorders>
            <w:shd w:val="clear" w:color="auto" w:fill="auto"/>
            <w:noWrap/>
            <w:vAlign w:val="center"/>
          </w:tcPr>
          <w:p w14:paraId="08B376E8" w14:textId="77777777" w:rsidR="00335CF7" w:rsidRPr="00D008F9" w:rsidRDefault="00335CF7" w:rsidP="000F69BD">
            <w:pPr>
              <w:spacing w:after="0" w:line="240" w:lineRule="auto"/>
              <w:jc w:val="right"/>
              <w:rPr>
                <w:rFonts w:asciiTheme="majorHAnsi" w:eastAsia="Times New Roman" w:hAnsiTheme="majorHAnsi" w:cstheme="majorHAnsi"/>
                <w:b/>
                <w:color w:val="000000"/>
                <w:sz w:val="18"/>
                <w:szCs w:val="18"/>
                <w:lang w:eastAsia="en-AU"/>
              </w:rPr>
            </w:pPr>
            <w:r w:rsidRPr="00284549">
              <w:rPr>
                <w:rFonts w:asciiTheme="majorHAnsi" w:hAnsiTheme="majorHAnsi" w:cstheme="majorHAnsi"/>
                <w:b/>
                <w:sz w:val="18"/>
                <w:szCs w:val="18"/>
              </w:rPr>
              <w:t>48.9%</w:t>
            </w:r>
          </w:p>
        </w:tc>
        <w:tc>
          <w:tcPr>
            <w:tcW w:w="665" w:type="dxa"/>
            <w:tcBorders>
              <w:top w:val="nil"/>
              <w:left w:val="nil"/>
              <w:bottom w:val="single" w:sz="4" w:space="0" w:color="auto"/>
              <w:right w:val="nil"/>
            </w:tcBorders>
            <w:shd w:val="clear" w:color="auto" w:fill="auto"/>
            <w:noWrap/>
            <w:vAlign w:val="center"/>
          </w:tcPr>
          <w:p w14:paraId="67E54AF7" w14:textId="77777777" w:rsidR="00335CF7" w:rsidRPr="00D008F9" w:rsidRDefault="00335CF7" w:rsidP="000F69BD">
            <w:pPr>
              <w:spacing w:after="0" w:line="240" w:lineRule="auto"/>
              <w:jc w:val="center"/>
              <w:rPr>
                <w:rFonts w:asciiTheme="majorHAnsi" w:eastAsia="Times New Roman" w:hAnsiTheme="majorHAnsi" w:cstheme="majorHAnsi"/>
                <w:b/>
                <w:color w:val="000000"/>
                <w:sz w:val="18"/>
                <w:szCs w:val="18"/>
                <w:lang w:eastAsia="en-AU"/>
              </w:rPr>
            </w:pPr>
          </w:p>
        </w:tc>
        <w:tc>
          <w:tcPr>
            <w:tcW w:w="2013" w:type="dxa"/>
            <w:tcBorders>
              <w:top w:val="nil"/>
              <w:left w:val="nil"/>
              <w:bottom w:val="single" w:sz="4" w:space="0" w:color="auto"/>
              <w:right w:val="nil"/>
            </w:tcBorders>
            <w:shd w:val="clear" w:color="auto" w:fill="auto"/>
            <w:noWrap/>
            <w:vAlign w:val="center"/>
          </w:tcPr>
          <w:p w14:paraId="6279D7C5" w14:textId="77777777" w:rsidR="00335CF7" w:rsidRPr="00284549" w:rsidRDefault="00335CF7" w:rsidP="000F69BD">
            <w:pPr>
              <w:spacing w:after="0" w:line="240" w:lineRule="auto"/>
              <w:rPr>
                <w:rFonts w:asciiTheme="majorHAnsi" w:eastAsia="Times New Roman" w:hAnsiTheme="majorHAnsi" w:cstheme="majorHAnsi"/>
                <w:b/>
                <w:sz w:val="18"/>
                <w:szCs w:val="18"/>
                <w:lang w:eastAsia="en-AU"/>
              </w:rPr>
            </w:pPr>
          </w:p>
        </w:tc>
        <w:tc>
          <w:tcPr>
            <w:tcW w:w="1148" w:type="dxa"/>
            <w:tcBorders>
              <w:top w:val="nil"/>
              <w:left w:val="nil"/>
              <w:bottom w:val="single" w:sz="4" w:space="0" w:color="auto"/>
              <w:right w:val="nil"/>
            </w:tcBorders>
            <w:shd w:val="clear" w:color="auto" w:fill="auto"/>
            <w:noWrap/>
            <w:vAlign w:val="center"/>
          </w:tcPr>
          <w:p w14:paraId="77578BF0" w14:textId="77777777" w:rsidR="00335CF7" w:rsidRPr="00D008F9" w:rsidRDefault="00335CF7" w:rsidP="000F69BD">
            <w:pPr>
              <w:spacing w:after="0" w:line="240" w:lineRule="auto"/>
              <w:jc w:val="right"/>
              <w:rPr>
                <w:rFonts w:asciiTheme="majorHAnsi" w:eastAsia="Times New Roman" w:hAnsiTheme="majorHAnsi" w:cstheme="majorHAnsi"/>
                <w:b/>
                <w:color w:val="000000"/>
                <w:sz w:val="18"/>
                <w:szCs w:val="18"/>
                <w:lang w:eastAsia="en-AU"/>
              </w:rPr>
            </w:pPr>
            <w:r w:rsidRPr="00284549">
              <w:rPr>
                <w:rFonts w:asciiTheme="majorHAnsi" w:hAnsiTheme="majorHAnsi" w:cstheme="majorHAnsi"/>
                <w:b/>
                <w:sz w:val="18"/>
                <w:szCs w:val="18"/>
              </w:rPr>
              <w:t>46,127,255</w:t>
            </w:r>
          </w:p>
        </w:tc>
      </w:tr>
      <w:tr w:rsidR="00335CF7" w:rsidRPr="00F81F50" w14:paraId="49FD2F27" w14:textId="77777777" w:rsidTr="000F69BD">
        <w:tc>
          <w:tcPr>
            <w:tcW w:w="10350" w:type="dxa"/>
            <w:gridSpan w:val="8"/>
            <w:tcBorders>
              <w:top w:val="single" w:sz="4" w:space="0" w:color="auto"/>
              <w:left w:val="nil"/>
              <w:bottom w:val="single" w:sz="4" w:space="0" w:color="auto"/>
              <w:right w:val="nil"/>
            </w:tcBorders>
            <w:shd w:val="clear" w:color="auto" w:fill="auto"/>
            <w:noWrap/>
            <w:vAlign w:val="bottom"/>
          </w:tcPr>
          <w:p w14:paraId="46D73AF2" w14:textId="77777777" w:rsidR="00335CF7" w:rsidRPr="00530D75" w:rsidRDefault="00335CF7" w:rsidP="000F69BD">
            <w:pPr>
              <w:spacing w:after="0" w:line="240" w:lineRule="auto"/>
              <w:rPr>
                <w:rFonts w:asciiTheme="majorHAnsi" w:eastAsia="Times New Roman" w:hAnsiTheme="majorHAnsi" w:cstheme="majorHAnsi"/>
                <w:b/>
                <w:bCs/>
                <w:color w:val="000000"/>
                <w:sz w:val="18"/>
                <w:szCs w:val="18"/>
                <w:lang w:eastAsia="en-AU"/>
              </w:rPr>
            </w:pPr>
            <w:r w:rsidRPr="00530D75">
              <w:rPr>
                <w:rFonts w:asciiTheme="majorHAnsi" w:hAnsiTheme="majorHAnsi" w:cstheme="majorHAnsi"/>
                <w:b/>
                <w:bCs/>
                <w:sz w:val="18"/>
                <w:szCs w:val="18"/>
              </w:rPr>
              <w:t>All sheep products</w:t>
            </w:r>
          </w:p>
        </w:tc>
      </w:tr>
      <w:tr w:rsidR="00335CF7" w:rsidRPr="00F81F50" w14:paraId="498C4400" w14:textId="77777777" w:rsidTr="000F69BD">
        <w:tc>
          <w:tcPr>
            <w:tcW w:w="706" w:type="dxa"/>
            <w:tcBorders>
              <w:top w:val="single" w:sz="4" w:space="0" w:color="auto"/>
              <w:left w:val="nil"/>
              <w:right w:val="nil"/>
            </w:tcBorders>
            <w:shd w:val="clear" w:color="auto" w:fill="auto"/>
            <w:noWrap/>
          </w:tcPr>
          <w:p w14:paraId="1106D1D3" w14:textId="77777777" w:rsidR="00335CF7" w:rsidRPr="00270B37" w:rsidRDefault="00335CF7" w:rsidP="000F69BD">
            <w:pPr>
              <w:spacing w:after="0" w:line="240" w:lineRule="auto"/>
              <w:rPr>
                <w:rFonts w:asciiTheme="majorHAnsi" w:eastAsia="Times New Roman" w:hAnsiTheme="majorHAnsi" w:cstheme="majorHAnsi"/>
                <w:color w:val="000000"/>
                <w:sz w:val="18"/>
                <w:szCs w:val="18"/>
                <w:lang w:eastAsia="en-AU"/>
              </w:rPr>
            </w:pPr>
          </w:p>
        </w:tc>
        <w:tc>
          <w:tcPr>
            <w:tcW w:w="847" w:type="dxa"/>
            <w:tcBorders>
              <w:top w:val="single" w:sz="4" w:space="0" w:color="auto"/>
              <w:left w:val="nil"/>
              <w:right w:val="nil"/>
            </w:tcBorders>
            <w:shd w:val="clear" w:color="auto" w:fill="auto"/>
            <w:noWrap/>
          </w:tcPr>
          <w:p w14:paraId="4DAC3948" w14:textId="77777777" w:rsidR="00335CF7" w:rsidRPr="00270B37" w:rsidDel="00B06A75" w:rsidRDefault="00335CF7" w:rsidP="000F69BD">
            <w:pPr>
              <w:spacing w:after="0" w:line="240" w:lineRule="auto"/>
              <w:rPr>
                <w:rFonts w:asciiTheme="majorHAnsi" w:hAnsiTheme="majorHAnsi" w:cstheme="majorHAnsi"/>
                <w:sz w:val="18"/>
                <w:szCs w:val="18"/>
              </w:rPr>
            </w:pPr>
          </w:p>
        </w:tc>
        <w:tc>
          <w:tcPr>
            <w:tcW w:w="2762" w:type="dxa"/>
            <w:tcBorders>
              <w:top w:val="single" w:sz="4" w:space="0" w:color="auto"/>
              <w:left w:val="nil"/>
              <w:right w:val="nil"/>
            </w:tcBorders>
            <w:shd w:val="clear" w:color="auto" w:fill="auto"/>
            <w:noWrap/>
            <w:vAlign w:val="center"/>
          </w:tcPr>
          <w:p w14:paraId="631E70BF" w14:textId="77777777" w:rsidR="00335CF7" w:rsidRPr="00270B37" w:rsidRDefault="00335CF7" w:rsidP="000F69BD">
            <w:pPr>
              <w:spacing w:after="0" w:line="240" w:lineRule="auto"/>
              <w:rPr>
                <w:rFonts w:asciiTheme="majorHAnsi" w:hAnsiTheme="majorHAnsi" w:cstheme="majorHAnsi"/>
                <w:sz w:val="18"/>
                <w:szCs w:val="18"/>
              </w:rPr>
            </w:pPr>
            <w:r w:rsidRPr="00270B37">
              <w:rPr>
                <w:rFonts w:asciiTheme="majorHAnsi" w:hAnsiTheme="majorHAnsi" w:cstheme="majorHAnsi"/>
                <w:sz w:val="18"/>
                <w:szCs w:val="18"/>
              </w:rPr>
              <w:t>all sheep products</w:t>
            </w:r>
          </w:p>
        </w:tc>
        <w:tc>
          <w:tcPr>
            <w:tcW w:w="1182" w:type="dxa"/>
            <w:tcBorders>
              <w:top w:val="single" w:sz="4" w:space="0" w:color="auto"/>
              <w:left w:val="nil"/>
              <w:right w:val="nil"/>
            </w:tcBorders>
            <w:shd w:val="clear" w:color="auto" w:fill="auto"/>
            <w:noWrap/>
            <w:vAlign w:val="center"/>
          </w:tcPr>
          <w:p w14:paraId="21D83750" w14:textId="77777777" w:rsidR="00335CF7" w:rsidRPr="00270B37"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184,044,527</w:t>
            </w:r>
          </w:p>
        </w:tc>
        <w:tc>
          <w:tcPr>
            <w:tcW w:w="1027" w:type="dxa"/>
            <w:tcBorders>
              <w:top w:val="single" w:sz="4" w:space="0" w:color="auto"/>
              <w:left w:val="nil"/>
              <w:right w:val="nil"/>
            </w:tcBorders>
            <w:shd w:val="clear" w:color="auto" w:fill="auto"/>
            <w:noWrap/>
            <w:vAlign w:val="center"/>
          </w:tcPr>
          <w:p w14:paraId="7ECECF6D" w14:textId="77777777" w:rsidR="00335CF7" w:rsidRPr="00270B37"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53.2%</w:t>
            </w:r>
          </w:p>
        </w:tc>
        <w:tc>
          <w:tcPr>
            <w:tcW w:w="665" w:type="dxa"/>
            <w:tcBorders>
              <w:top w:val="single" w:sz="4" w:space="0" w:color="auto"/>
              <w:left w:val="nil"/>
              <w:right w:val="nil"/>
            </w:tcBorders>
            <w:shd w:val="clear" w:color="auto" w:fill="auto"/>
            <w:noWrap/>
            <w:vAlign w:val="center"/>
          </w:tcPr>
          <w:p w14:paraId="5EF880DB" w14:textId="77777777" w:rsidR="00335CF7" w:rsidRPr="00270B37" w:rsidRDefault="00335CF7" w:rsidP="000F69BD">
            <w:pPr>
              <w:spacing w:after="0" w:line="240" w:lineRule="auto"/>
              <w:jc w:val="center"/>
              <w:rPr>
                <w:rFonts w:asciiTheme="majorHAnsi" w:hAnsiTheme="majorHAnsi" w:cstheme="majorHAnsi"/>
                <w:sz w:val="18"/>
                <w:szCs w:val="18"/>
              </w:rPr>
            </w:pPr>
            <w:r w:rsidRPr="00284549">
              <w:rPr>
                <w:rFonts w:asciiTheme="majorHAnsi" w:hAnsiTheme="majorHAnsi" w:cstheme="majorHAnsi"/>
                <w:sz w:val="18"/>
                <w:szCs w:val="18"/>
              </w:rPr>
              <w:t>0-30</w:t>
            </w:r>
          </w:p>
        </w:tc>
        <w:tc>
          <w:tcPr>
            <w:tcW w:w="2013" w:type="dxa"/>
            <w:tcBorders>
              <w:top w:val="single" w:sz="4" w:space="0" w:color="auto"/>
              <w:left w:val="nil"/>
              <w:right w:val="nil"/>
            </w:tcBorders>
            <w:shd w:val="clear" w:color="auto" w:fill="auto"/>
            <w:noWrap/>
            <w:vAlign w:val="center"/>
          </w:tcPr>
          <w:p w14:paraId="7E743FED" w14:textId="77777777" w:rsidR="00335CF7" w:rsidRPr="00270B37" w:rsidRDefault="00335CF7" w:rsidP="000F69BD">
            <w:pPr>
              <w:spacing w:after="0" w:line="240" w:lineRule="auto"/>
              <w:rPr>
                <w:rFonts w:asciiTheme="majorHAnsi" w:hAnsiTheme="majorHAnsi" w:cstheme="majorHAnsi"/>
                <w:sz w:val="16"/>
                <w:szCs w:val="16"/>
              </w:rPr>
            </w:pPr>
            <w:r w:rsidRPr="00270B37">
              <w:rPr>
                <w:rFonts w:asciiTheme="majorHAnsi" w:hAnsiTheme="majorHAnsi" w:cstheme="majorHAnsi"/>
                <w:sz w:val="16"/>
                <w:szCs w:val="16"/>
              </w:rPr>
              <w:t>Eliminated on entry-into-force without conditions</w:t>
            </w:r>
          </w:p>
        </w:tc>
        <w:tc>
          <w:tcPr>
            <w:tcW w:w="1148" w:type="dxa"/>
            <w:tcBorders>
              <w:top w:val="single" w:sz="4" w:space="0" w:color="auto"/>
              <w:left w:val="nil"/>
              <w:right w:val="nil"/>
            </w:tcBorders>
            <w:shd w:val="clear" w:color="auto" w:fill="auto"/>
            <w:noWrap/>
            <w:vAlign w:val="center"/>
          </w:tcPr>
          <w:p w14:paraId="4CC5564A" w14:textId="77777777" w:rsidR="00335CF7" w:rsidRPr="00270B37" w:rsidRDefault="00335CF7" w:rsidP="000F69BD">
            <w:pPr>
              <w:spacing w:after="0" w:line="240" w:lineRule="auto"/>
              <w:jc w:val="right"/>
              <w:rPr>
                <w:rFonts w:asciiTheme="majorHAnsi" w:hAnsiTheme="majorHAnsi" w:cstheme="majorHAnsi"/>
                <w:sz w:val="18"/>
                <w:szCs w:val="18"/>
              </w:rPr>
            </w:pPr>
            <w:r w:rsidRPr="00270B37">
              <w:rPr>
                <w:rFonts w:asciiTheme="majorHAnsi" w:hAnsiTheme="majorHAnsi" w:cstheme="majorHAnsi"/>
                <w:sz w:val="18"/>
                <w:szCs w:val="18"/>
              </w:rPr>
              <w:t>46,060,559</w:t>
            </w:r>
          </w:p>
        </w:tc>
      </w:tr>
      <w:tr w:rsidR="00335CF7" w:rsidRPr="00270B37" w14:paraId="4DBABE31" w14:textId="77777777" w:rsidTr="000F69BD">
        <w:tc>
          <w:tcPr>
            <w:tcW w:w="706" w:type="dxa"/>
            <w:tcBorders>
              <w:left w:val="nil"/>
              <w:right w:val="nil"/>
            </w:tcBorders>
            <w:shd w:val="clear" w:color="auto" w:fill="auto"/>
            <w:noWrap/>
          </w:tcPr>
          <w:p w14:paraId="25199C27" w14:textId="77777777" w:rsidR="00335CF7" w:rsidRPr="00270B37" w:rsidRDefault="00335CF7" w:rsidP="000F69BD">
            <w:pPr>
              <w:spacing w:after="0" w:line="240" w:lineRule="auto"/>
              <w:rPr>
                <w:rFonts w:asciiTheme="majorHAnsi" w:eastAsia="Times New Roman" w:hAnsiTheme="majorHAnsi" w:cstheme="majorHAnsi"/>
                <w:color w:val="000000"/>
                <w:sz w:val="18"/>
                <w:szCs w:val="18"/>
                <w:lang w:eastAsia="en-AU"/>
              </w:rPr>
            </w:pPr>
          </w:p>
        </w:tc>
        <w:tc>
          <w:tcPr>
            <w:tcW w:w="847" w:type="dxa"/>
            <w:tcBorders>
              <w:left w:val="nil"/>
              <w:right w:val="nil"/>
            </w:tcBorders>
            <w:shd w:val="clear" w:color="auto" w:fill="auto"/>
            <w:noWrap/>
          </w:tcPr>
          <w:p w14:paraId="62884A13" w14:textId="77777777" w:rsidR="00335CF7" w:rsidRPr="00270B37" w:rsidDel="00B06A75" w:rsidRDefault="00335CF7" w:rsidP="000F69BD">
            <w:pPr>
              <w:spacing w:after="0" w:line="240" w:lineRule="auto"/>
              <w:rPr>
                <w:rFonts w:asciiTheme="majorHAnsi" w:hAnsiTheme="majorHAnsi" w:cstheme="majorHAnsi"/>
                <w:sz w:val="18"/>
                <w:szCs w:val="18"/>
              </w:rPr>
            </w:pPr>
          </w:p>
        </w:tc>
        <w:tc>
          <w:tcPr>
            <w:tcW w:w="2762" w:type="dxa"/>
            <w:tcBorders>
              <w:left w:val="nil"/>
              <w:right w:val="nil"/>
            </w:tcBorders>
            <w:shd w:val="clear" w:color="auto" w:fill="auto"/>
            <w:noWrap/>
            <w:vAlign w:val="center"/>
          </w:tcPr>
          <w:p w14:paraId="218EA6CD" w14:textId="77777777" w:rsidR="00335CF7" w:rsidRPr="00270B37" w:rsidRDefault="00335CF7" w:rsidP="000F69BD">
            <w:pPr>
              <w:spacing w:after="0" w:line="240" w:lineRule="auto"/>
              <w:rPr>
                <w:rFonts w:asciiTheme="majorHAnsi" w:hAnsiTheme="majorHAnsi" w:cstheme="majorHAnsi"/>
                <w:sz w:val="18"/>
                <w:szCs w:val="18"/>
              </w:rPr>
            </w:pPr>
            <w:r w:rsidRPr="00270B37">
              <w:rPr>
                <w:rFonts w:asciiTheme="majorHAnsi" w:hAnsiTheme="majorHAnsi" w:cstheme="majorHAnsi"/>
                <w:sz w:val="18"/>
                <w:szCs w:val="18"/>
              </w:rPr>
              <w:t>all sheep products</w:t>
            </w:r>
          </w:p>
        </w:tc>
        <w:tc>
          <w:tcPr>
            <w:tcW w:w="1182" w:type="dxa"/>
            <w:tcBorders>
              <w:left w:val="nil"/>
              <w:right w:val="nil"/>
            </w:tcBorders>
            <w:shd w:val="clear" w:color="auto" w:fill="auto"/>
            <w:noWrap/>
            <w:vAlign w:val="center"/>
          </w:tcPr>
          <w:p w14:paraId="78A1CF86" w14:textId="77777777" w:rsidR="00335CF7" w:rsidRPr="00270B37"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342,912</w:t>
            </w:r>
          </w:p>
        </w:tc>
        <w:tc>
          <w:tcPr>
            <w:tcW w:w="1027" w:type="dxa"/>
            <w:tcBorders>
              <w:left w:val="nil"/>
              <w:right w:val="nil"/>
            </w:tcBorders>
            <w:shd w:val="clear" w:color="auto" w:fill="auto"/>
            <w:noWrap/>
            <w:vAlign w:val="center"/>
          </w:tcPr>
          <w:p w14:paraId="72A34BB3" w14:textId="77777777" w:rsidR="00335CF7" w:rsidRPr="00270B37"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18.2%</w:t>
            </w:r>
          </w:p>
        </w:tc>
        <w:tc>
          <w:tcPr>
            <w:tcW w:w="665" w:type="dxa"/>
            <w:tcBorders>
              <w:left w:val="nil"/>
              <w:right w:val="nil"/>
            </w:tcBorders>
            <w:shd w:val="clear" w:color="auto" w:fill="auto"/>
            <w:noWrap/>
            <w:vAlign w:val="center"/>
          </w:tcPr>
          <w:p w14:paraId="7D9C1453" w14:textId="77777777" w:rsidR="00335CF7" w:rsidRPr="00270B37" w:rsidRDefault="00335CF7" w:rsidP="000F69BD">
            <w:pPr>
              <w:spacing w:after="0" w:line="240" w:lineRule="auto"/>
              <w:jc w:val="center"/>
              <w:rPr>
                <w:rFonts w:asciiTheme="majorHAnsi" w:hAnsiTheme="majorHAnsi" w:cstheme="majorHAnsi"/>
                <w:sz w:val="18"/>
                <w:szCs w:val="18"/>
              </w:rPr>
            </w:pPr>
            <w:r w:rsidRPr="00284549">
              <w:rPr>
                <w:rFonts w:asciiTheme="majorHAnsi" w:hAnsiTheme="majorHAnsi" w:cstheme="majorHAnsi"/>
                <w:sz w:val="18"/>
                <w:szCs w:val="18"/>
              </w:rPr>
              <w:t>30</w:t>
            </w:r>
          </w:p>
        </w:tc>
        <w:tc>
          <w:tcPr>
            <w:tcW w:w="2013" w:type="dxa"/>
            <w:tcBorders>
              <w:left w:val="nil"/>
              <w:right w:val="nil"/>
            </w:tcBorders>
            <w:shd w:val="clear" w:color="auto" w:fill="auto"/>
            <w:noWrap/>
            <w:vAlign w:val="center"/>
          </w:tcPr>
          <w:p w14:paraId="67C4AF8F" w14:textId="77777777" w:rsidR="00335CF7" w:rsidRPr="00270B37" w:rsidRDefault="00335CF7" w:rsidP="000F69BD">
            <w:pPr>
              <w:spacing w:after="0" w:line="240" w:lineRule="auto"/>
              <w:rPr>
                <w:rFonts w:asciiTheme="majorHAnsi" w:hAnsiTheme="majorHAnsi" w:cstheme="majorHAnsi"/>
                <w:sz w:val="16"/>
                <w:szCs w:val="16"/>
              </w:rPr>
            </w:pPr>
            <w:r w:rsidRPr="00270B37">
              <w:rPr>
                <w:rFonts w:asciiTheme="majorHAnsi" w:hAnsiTheme="majorHAnsi" w:cstheme="majorHAnsi"/>
                <w:sz w:val="16"/>
                <w:szCs w:val="16"/>
              </w:rPr>
              <w:t>Eliminated on entry-into-force with conditions</w:t>
            </w:r>
          </w:p>
        </w:tc>
        <w:tc>
          <w:tcPr>
            <w:tcW w:w="1148" w:type="dxa"/>
            <w:tcBorders>
              <w:left w:val="nil"/>
              <w:right w:val="nil"/>
            </w:tcBorders>
            <w:shd w:val="clear" w:color="auto" w:fill="auto"/>
            <w:noWrap/>
            <w:vAlign w:val="center"/>
          </w:tcPr>
          <w:p w14:paraId="7F8FE114" w14:textId="77777777" w:rsidR="00335CF7" w:rsidRPr="00270B37" w:rsidRDefault="00335CF7" w:rsidP="000F69BD">
            <w:pPr>
              <w:spacing w:after="0" w:line="240" w:lineRule="auto"/>
              <w:jc w:val="right"/>
              <w:rPr>
                <w:rFonts w:asciiTheme="majorHAnsi" w:hAnsiTheme="majorHAnsi" w:cstheme="majorHAnsi"/>
                <w:sz w:val="18"/>
                <w:szCs w:val="18"/>
              </w:rPr>
            </w:pPr>
            <w:r w:rsidRPr="00270B37">
              <w:rPr>
                <w:rFonts w:asciiTheme="majorHAnsi" w:hAnsiTheme="majorHAnsi" w:cstheme="majorHAnsi"/>
                <w:sz w:val="18"/>
                <w:szCs w:val="18"/>
              </w:rPr>
              <w:t>102,874</w:t>
            </w:r>
          </w:p>
        </w:tc>
      </w:tr>
      <w:tr w:rsidR="00335CF7" w:rsidRPr="00F81F50" w14:paraId="16D4C5CE" w14:textId="77777777" w:rsidTr="000F69BD">
        <w:tc>
          <w:tcPr>
            <w:tcW w:w="706" w:type="dxa"/>
            <w:tcBorders>
              <w:left w:val="nil"/>
              <w:right w:val="nil"/>
            </w:tcBorders>
            <w:shd w:val="clear" w:color="auto" w:fill="auto"/>
            <w:noWrap/>
          </w:tcPr>
          <w:p w14:paraId="101F3672" w14:textId="77777777" w:rsidR="00335CF7" w:rsidRPr="00270B37" w:rsidRDefault="00335CF7" w:rsidP="000F69BD">
            <w:pPr>
              <w:spacing w:after="0" w:line="240" w:lineRule="auto"/>
              <w:rPr>
                <w:rFonts w:asciiTheme="majorHAnsi" w:eastAsia="Times New Roman" w:hAnsiTheme="majorHAnsi" w:cstheme="majorHAnsi"/>
                <w:color w:val="000000"/>
                <w:sz w:val="18"/>
                <w:szCs w:val="18"/>
                <w:lang w:eastAsia="en-AU"/>
              </w:rPr>
            </w:pPr>
          </w:p>
        </w:tc>
        <w:tc>
          <w:tcPr>
            <w:tcW w:w="847" w:type="dxa"/>
            <w:tcBorders>
              <w:left w:val="nil"/>
              <w:right w:val="nil"/>
            </w:tcBorders>
            <w:shd w:val="clear" w:color="auto" w:fill="auto"/>
            <w:noWrap/>
          </w:tcPr>
          <w:p w14:paraId="18786252" w14:textId="77777777" w:rsidR="00335CF7" w:rsidRPr="00270B37" w:rsidDel="00B06A75" w:rsidRDefault="00335CF7" w:rsidP="000F69BD">
            <w:pPr>
              <w:spacing w:after="0" w:line="240" w:lineRule="auto"/>
              <w:rPr>
                <w:rFonts w:asciiTheme="majorHAnsi" w:hAnsiTheme="majorHAnsi" w:cstheme="majorHAnsi"/>
                <w:sz w:val="18"/>
                <w:szCs w:val="18"/>
              </w:rPr>
            </w:pPr>
          </w:p>
        </w:tc>
        <w:tc>
          <w:tcPr>
            <w:tcW w:w="2762" w:type="dxa"/>
            <w:tcBorders>
              <w:left w:val="nil"/>
              <w:right w:val="nil"/>
            </w:tcBorders>
            <w:shd w:val="clear" w:color="auto" w:fill="auto"/>
            <w:noWrap/>
            <w:vAlign w:val="center"/>
          </w:tcPr>
          <w:p w14:paraId="5D60B263" w14:textId="77777777" w:rsidR="00335CF7" w:rsidRPr="00270B37" w:rsidRDefault="00335CF7" w:rsidP="000F69BD">
            <w:pPr>
              <w:spacing w:after="0" w:line="240" w:lineRule="auto"/>
              <w:rPr>
                <w:rFonts w:asciiTheme="majorHAnsi" w:hAnsiTheme="majorHAnsi" w:cstheme="majorHAnsi"/>
                <w:sz w:val="18"/>
                <w:szCs w:val="18"/>
              </w:rPr>
            </w:pPr>
            <w:r w:rsidRPr="00270B37">
              <w:rPr>
                <w:rFonts w:asciiTheme="majorHAnsi" w:hAnsiTheme="majorHAnsi" w:cstheme="majorHAnsi"/>
                <w:sz w:val="18"/>
                <w:szCs w:val="18"/>
              </w:rPr>
              <w:t>all sheep products</w:t>
            </w:r>
          </w:p>
        </w:tc>
        <w:tc>
          <w:tcPr>
            <w:tcW w:w="1182" w:type="dxa"/>
            <w:tcBorders>
              <w:left w:val="nil"/>
              <w:right w:val="nil"/>
            </w:tcBorders>
            <w:shd w:val="clear" w:color="auto" w:fill="auto"/>
            <w:noWrap/>
            <w:vAlign w:val="center"/>
          </w:tcPr>
          <w:p w14:paraId="61A86E8F" w14:textId="77777777" w:rsidR="00335CF7" w:rsidRPr="00270B37"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222,428</w:t>
            </w:r>
          </w:p>
        </w:tc>
        <w:tc>
          <w:tcPr>
            <w:tcW w:w="1027" w:type="dxa"/>
            <w:tcBorders>
              <w:left w:val="nil"/>
              <w:right w:val="nil"/>
            </w:tcBorders>
            <w:shd w:val="clear" w:color="auto" w:fill="auto"/>
            <w:noWrap/>
            <w:vAlign w:val="center"/>
          </w:tcPr>
          <w:p w14:paraId="15A641B0" w14:textId="77777777" w:rsidR="00335CF7" w:rsidRPr="00270B37"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0.7%</w:t>
            </w:r>
          </w:p>
        </w:tc>
        <w:tc>
          <w:tcPr>
            <w:tcW w:w="665" w:type="dxa"/>
            <w:tcBorders>
              <w:left w:val="nil"/>
              <w:right w:val="nil"/>
            </w:tcBorders>
            <w:shd w:val="clear" w:color="auto" w:fill="auto"/>
            <w:noWrap/>
            <w:vAlign w:val="center"/>
          </w:tcPr>
          <w:p w14:paraId="2632B955" w14:textId="77777777" w:rsidR="00335CF7" w:rsidRPr="00270B37"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20-30</w:t>
            </w:r>
          </w:p>
        </w:tc>
        <w:tc>
          <w:tcPr>
            <w:tcW w:w="2013" w:type="dxa"/>
            <w:tcBorders>
              <w:left w:val="nil"/>
              <w:right w:val="nil"/>
            </w:tcBorders>
            <w:shd w:val="clear" w:color="auto" w:fill="auto"/>
            <w:noWrap/>
            <w:vAlign w:val="center"/>
          </w:tcPr>
          <w:p w14:paraId="02FCB4CB" w14:textId="77777777" w:rsidR="00335CF7" w:rsidRPr="00270B37" w:rsidRDefault="00335CF7" w:rsidP="000F69BD">
            <w:pPr>
              <w:spacing w:after="0" w:line="240" w:lineRule="auto"/>
              <w:rPr>
                <w:rFonts w:asciiTheme="majorHAnsi" w:eastAsia="Times New Roman" w:hAnsiTheme="majorHAnsi" w:cstheme="majorHAnsi"/>
                <w:sz w:val="16"/>
                <w:szCs w:val="16"/>
                <w:lang w:eastAsia="en-AU"/>
              </w:rPr>
            </w:pPr>
            <w:r w:rsidRPr="00270B37">
              <w:rPr>
                <w:rFonts w:asciiTheme="majorHAnsi" w:hAnsiTheme="majorHAnsi" w:cstheme="majorHAnsi"/>
                <w:sz w:val="16"/>
                <w:szCs w:val="16"/>
              </w:rPr>
              <w:t>Eliminated by the 7th year without conditions</w:t>
            </w:r>
          </w:p>
        </w:tc>
        <w:tc>
          <w:tcPr>
            <w:tcW w:w="1148" w:type="dxa"/>
            <w:tcBorders>
              <w:left w:val="nil"/>
              <w:right w:val="nil"/>
            </w:tcBorders>
            <w:shd w:val="clear" w:color="auto" w:fill="auto"/>
            <w:noWrap/>
            <w:vAlign w:val="center"/>
          </w:tcPr>
          <w:p w14:paraId="33B08B17" w14:textId="77777777" w:rsidR="00335CF7" w:rsidRPr="00270B37" w:rsidRDefault="00335CF7" w:rsidP="000F69BD">
            <w:pPr>
              <w:spacing w:after="0" w:line="240" w:lineRule="auto"/>
              <w:jc w:val="right"/>
              <w:rPr>
                <w:rFonts w:asciiTheme="majorHAnsi" w:hAnsiTheme="majorHAnsi" w:cstheme="majorHAnsi"/>
                <w:sz w:val="18"/>
                <w:szCs w:val="18"/>
              </w:rPr>
            </w:pPr>
            <w:r w:rsidRPr="00270B37">
              <w:rPr>
                <w:rFonts w:asciiTheme="majorHAnsi" w:hAnsiTheme="majorHAnsi" w:cstheme="majorHAnsi"/>
                <w:sz w:val="18"/>
                <w:szCs w:val="18"/>
              </w:rPr>
              <w:t>66,696</w:t>
            </w:r>
          </w:p>
        </w:tc>
      </w:tr>
      <w:tr w:rsidR="00335CF7" w:rsidRPr="00F81F50" w14:paraId="594D90C6" w14:textId="77777777" w:rsidTr="000F69BD">
        <w:tc>
          <w:tcPr>
            <w:tcW w:w="706" w:type="dxa"/>
            <w:tcBorders>
              <w:left w:val="nil"/>
              <w:right w:val="nil"/>
            </w:tcBorders>
            <w:shd w:val="clear" w:color="auto" w:fill="auto"/>
            <w:noWrap/>
          </w:tcPr>
          <w:p w14:paraId="7BB52F26" w14:textId="77777777" w:rsidR="00335CF7" w:rsidRPr="00270B37" w:rsidRDefault="00335CF7" w:rsidP="000F69BD">
            <w:pPr>
              <w:spacing w:after="0" w:line="240" w:lineRule="auto"/>
              <w:rPr>
                <w:rFonts w:asciiTheme="majorHAnsi" w:eastAsia="Times New Roman" w:hAnsiTheme="majorHAnsi" w:cstheme="majorHAnsi"/>
                <w:color w:val="000000"/>
                <w:sz w:val="18"/>
                <w:szCs w:val="18"/>
                <w:lang w:eastAsia="en-AU"/>
              </w:rPr>
            </w:pPr>
          </w:p>
        </w:tc>
        <w:tc>
          <w:tcPr>
            <w:tcW w:w="847" w:type="dxa"/>
            <w:tcBorders>
              <w:left w:val="nil"/>
              <w:right w:val="nil"/>
            </w:tcBorders>
            <w:shd w:val="clear" w:color="auto" w:fill="auto"/>
            <w:noWrap/>
          </w:tcPr>
          <w:p w14:paraId="70DEB14C" w14:textId="77777777" w:rsidR="00335CF7" w:rsidRPr="00270B37" w:rsidDel="00B06A75" w:rsidRDefault="00335CF7" w:rsidP="000F69BD">
            <w:pPr>
              <w:spacing w:after="0" w:line="240" w:lineRule="auto"/>
              <w:rPr>
                <w:rFonts w:asciiTheme="majorHAnsi" w:hAnsiTheme="majorHAnsi" w:cstheme="majorHAnsi"/>
                <w:sz w:val="18"/>
                <w:szCs w:val="18"/>
              </w:rPr>
            </w:pPr>
          </w:p>
        </w:tc>
        <w:tc>
          <w:tcPr>
            <w:tcW w:w="2762" w:type="dxa"/>
            <w:tcBorders>
              <w:left w:val="nil"/>
              <w:right w:val="nil"/>
            </w:tcBorders>
            <w:shd w:val="clear" w:color="auto" w:fill="auto"/>
            <w:noWrap/>
            <w:vAlign w:val="center"/>
          </w:tcPr>
          <w:p w14:paraId="2A44B16A" w14:textId="77777777" w:rsidR="00335CF7" w:rsidRPr="00270B37" w:rsidRDefault="00335CF7" w:rsidP="000F69BD">
            <w:pPr>
              <w:spacing w:after="0" w:line="240" w:lineRule="auto"/>
              <w:rPr>
                <w:rFonts w:asciiTheme="majorHAnsi" w:hAnsiTheme="majorHAnsi" w:cstheme="majorHAnsi"/>
                <w:sz w:val="18"/>
                <w:szCs w:val="18"/>
              </w:rPr>
            </w:pPr>
            <w:r w:rsidRPr="00270B37">
              <w:rPr>
                <w:rFonts w:asciiTheme="majorHAnsi" w:hAnsiTheme="majorHAnsi" w:cstheme="majorHAnsi"/>
                <w:sz w:val="18"/>
                <w:szCs w:val="18"/>
              </w:rPr>
              <w:t>all sheep products</w:t>
            </w:r>
          </w:p>
        </w:tc>
        <w:tc>
          <w:tcPr>
            <w:tcW w:w="1182" w:type="dxa"/>
            <w:tcBorders>
              <w:left w:val="nil"/>
              <w:right w:val="nil"/>
            </w:tcBorders>
            <w:shd w:val="clear" w:color="auto" w:fill="auto"/>
            <w:noWrap/>
            <w:vAlign w:val="center"/>
          </w:tcPr>
          <w:p w14:paraId="2856EC47" w14:textId="77777777" w:rsidR="00335CF7" w:rsidRPr="00270B37"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1,614,412</w:t>
            </w:r>
          </w:p>
        </w:tc>
        <w:tc>
          <w:tcPr>
            <w:tcW w:w="1027" w:type="dxa"/>
            <w:tcBorders>
              <w:left w:val="nil"/>
              <w:right w:val="nil"/>
            </w:tcBorders>
            <w:shd w:val="clear" w:color="auto" w:fill="auto"/>
            <w:noWrap/>
            <w:vAlign w:val="center"/>
          </w:tcPr>
          <w:p w14:paraId="29B31F2F" w14:textId="77777777" w:rsidR="00335CF7" w:rsidRPr="00270B37"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100.0%</w:t>
            </w:r>
          </w:p>
        </w:tc>
        <w:tc>
          <w:tcPr>
            <w:tcW w:w="665" w:type="dxa"/>
            <w:tcBorders>
              <w:left w:val="nil"/>
              <w:right w:val="nil"/>
            </w:tcBorders>
            <w:shd w:val="clear" w:color="auto" w:fill="auto"/>
            <w:noWrap/>
            <w:vAlign w:val="center"/>
          </w:tcPr>
          <w:p w14:paraId="57C01B2D" w14:textId="77777777" w:rsidR="00335CF7" w:rsidRPr="00270B37"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30</w:t>
            </w:r>
          </w:p>
        </w:tc>
        <w:tc>
          <w:tcPr>
            <w:tcW w:w="2013" w:type="dxa"/>
            <w:tcBorders>
              <w:left w:val="nil"/>
              <w:right w:val="nil"/>
            </w:tcBorders>
            <w:shd w:val="clear" w:color="auto" w:fill="auto"/>
            <w:noWrap/>
            <w:vAlign w:val="center"/>
          </w:tcPr>
          <w:p w14:paraId="7FDF63A9" w14:textId="77777777" w:rsidR="00335CF7" w:rsidRPr="00270B37" w:rsidRDefault="00335CF7" w:rsidP="000F69BD">
            <w:pPr>
              <w:spacing w:after="0" w:line="240" w:lineRule="auto"/>
              <w:rPr>
                <w:rFonts w:asciiTheme="majorHAnsi" w:eastAsia="Times New Roman" w:hAnsiTheme="majorHAnsi" w:cstheme="majorHAnsi"/>
                <w:sz w:val="16"/>
                <w:szCs w:val="16"/>
                <w:lang w:eastAsia="en-AU"/>
              </w:rPr>
            </w:pPr>
            <w:r w:rsidRPr="00270B37">
              <w:rPr>
                <w:rFonts w:asciiTheme="majorHAnsi" w:hAnsiTheme="majorHAnsi" w:cstheme="majorHAnsi"/>
                <w:sz w:val="16"/>
                <w:szCs w:val="16"/>
              </w:rPr>
              <w:t>Excluded</w:t>
            </w:r>
          </w:p>
        </w:tc>
        <w:tc>
          <w:tcPr>
            <w:tcW w:w="1148" w:type="dxa"/>
            <w:tcBorders>
              <w:left w:val="nil"/>
              <w:right w:val="nil"/>
            </w:tcBorders>
            <w:shd w:val="clear" w:color="auto" w:fill="auto"/>
            <w:noWrap/>
            <w:vAlign w:val="center"/>
          </w:tcPr>
          <w:p w14:paraId="37FF5430" w14:textId="77777777" w:rsidR="00335CF7" w:rsidRPr="00270B37" w:rsidRDefault="00335CF7" w:rsidP="000F69BD">
            <w:pPr>
              <w:spacing w:after="0" w:line="240" w:lineRule="auto"/>
              <w:jc w:val="right"/>
              <w:rPr>
                <w:rFonts w:asciiTheme="majorHAnsi" w:hAnsiTheme="majorHAnsi" w:cstheme="majorHAnsi"/>
                <w:sz w:val="18"/>
                <w:szCs w:val="18"/>
              </w:rPr>
            </w:pPr>
            <w:r w:rsidRPr="00270B37">
              <w:rPr>
                <w:rFonts w:asciiTheme="majorHAnsi" w:hAnsiTheme="majorHAnsi" w:cstheme="majorHAnsi"/>
                <w:sz w:val="18"/>
                <w:szCs w:val="18"/>
              </w:rPr>
              <w:t>484,324</w:t>
            </w:r>
          </w:p>
        </w:tc>
      </w:tr>
      <w:tr w:rsidR="00335CF7" w:rsidRPr="00C91BDC" w14:paraId="16210C56" w14:textId="77777777" w:rsidTr="000F69BD">
        <w:tc>
          <w:tcPr>
            <w:tcW w:w="706" w:type="dxa"/>
            <w:tcBorders>
              <w:top w:val="single" w:sz="4" w:space="0" w:color="auto"/>
              <w:left w:val="nil"/>
              <w:bottom w:val="single" w:sz="4" w:space="0" w:color="auto"/>
              <w:right w:val="nil"/>
            </w:tcBorders>
            <w:shd w:val="clear" w:color="auto" w:fill="auto"/>
            <w:noWrap/>
          </w:tcPr>
          <w:p w14:paraId="0FB7E5E2" w14:textId="77777777" w:rsidR="00335CF7" w:rsidRPr="00270B37" w:rsidRDefault="00335CF7" w:rsidP="000F69BD">
            <w:pPr>
              <w:spacing w:after="0" w:line="240" w:lineRule="auto"/>
              <w:rPr>
                <w:rFonts w:asciiTheme="majorHAnsi" w:eastAsia="Times New Roman" w:hAnsiTheme="majorHAnsi" w:cstheme="majorHAnsi"/>
                <w:b/>
                <w:bCs/>
                <w:color w:val="000000"/>
                <w:sz w:val="18"/>
                <w:szCs w:val="18"/>
                <w:lang w:eastAsia="en-AU"/>
              </w:rPr>
            </w:pPr>
          </w:p>
        </w:tc>
        <w:tc>
          <w:tcPr>
            <w:tcW w:w="847" w:type="dxa"/>
            <w:tcBorders>
              <w:top w:val="single" w:sz="4" w:space="0" w:color="auto"/>
              <w:left w:val="nil"/>
              <w:bottom w:val="single" w:sz="4" w:space="0" w:color="auto"/>
              <w:right w:val="nil"/>
            </w:tcBorders>
            <w:shd w:val="clear" w:color="auto" w:fill="auto"/>
            <w:noWrap/>
          </w:tcPr>
          <w:p w14:paraId="1CFABC70" w14:textId="77777777" w:rsidR="00335CF7" w:rsidRPr="00284549" w:rsidRDefault="00335CF7" w:rsidP="000F69BD">
            <w:pPr>
              <w:spacing w:after="0" w:line="240" w:lineRule="auto"/>
              <w:rPr>
                <w:rFonts w:asciiTheme="majorHAnsi" w:eastAsia="Times New Roman" w:hAnsiTheme="majorHAnsi" w:cstheme="majorHAnsi"/>
                <w:b/>
                <w:bCs/>
                <w:sz w:val="18"/>
                <w:szCs w:val="18"/>
                <w:lang w:eastAsia="en-AU"/>
              </w:rPr>
            </w:pPr>
          </w:p>
        </w:tc>
        <w:tc>
          <w:tcPr>
            <w:tcW w:w="2762" w:type="dxa"/>
            <w:tcBorders>
              <w:top w:val="single" w:sz="4" w:space="0" w:color="auto"/>
              <w:left w:val="nil"/>
              <w:bottom w:val="single" w:sz="4" w:space="0" w:color="auto"/>
              <w:right w:val="nil"/>
            </w:tcBorders>
            <w:shd w:val="clear" w:color="auto" w:fill="auto"/>
            <w:noWrap/>
          </w:tcPr>
          <w:p w14:paraId="5A1BC40A" w14:textId="77777777" w:rsidR="00335CF7" w:rsidRPr="00270B37" w:rsidRDefault="00335CF7" w:rsidP="000F69BD">
            <w:pPr>
              <w:spacing w:after="0" w:line="240" w:lineRule="auto"/>
              <w:rPr>
                <w:rFonts w:asciiTheme="majorHAnsi" w:eastAsia="Times New Roman" w:hAnsiTheme="majorHAnsi" w:cstheme="majorHAnsi"/>
                <w:b/>
                <w:bCs/>
                <w:color w:val="000000"/>
                <w:sz w:val="18"/>
                <w:szCs w:val="18"/>
                <w:lang w:eastAsia="en-AU"/>
              </w:rPr>
            </w:pPr>
            <w:r w:rsidRPr="00284549">
              <w:rPr>
                <w:rFonts w:asciiTheme="majorHAnsi" w:hAnsiTheme="majorHAnsi" w:cstheme="majorHAnsi"/>
                <w:b/>
                <w:bCs/>
                <w:sz w:val="18"/>
                <w:szCs w:val="18"/>
              </w:rPr>
              <w:t>Total</w:t>
            </w:r>
          </w:p>
        </w:tc>
        <w:tc>
          <w:tcPr>
            <w:tcW w:w="1182" w:type="dxa"/>
            <w:tcBorders>
              <w:top w:val="single" w:sz="4" w:space="0" w:color="auto"/>
              <w:left w:val="nil"/>
              <w:bottom w:val="single" w:sz="4" w:space="0" w:color="auto"/>
              <w:right w:val="nil"/>
            </w:tcBorders>
            <w:shd w:val="clear" w:color="auto" w:fill="auto"/>
            <w:noWrap/>
            <w:vAlign w:val="center"/>
          </w:tcPr>
          <w:p w14:paraId="763CAC0A" w14:textId="77777777" w:rsidR="00335CF7" w:rsidRPr="00284549" w:rsidRDefault="00335CF7" w:rsidP="000F69BD">
            <w:pPr>
              <w:spacing w:after="0" w:line="240" w:lineRule="auto"/>
              <w:jc w:val="right"/>
              <w:rPr>
                <w:rFonts w:asciiTheme="majorHAnsi" w:eastAsia="Times New Roman" w:hAnsiTheme="majorHAnsi" w:cstheme="majorHAnsi"/>
                <w:b/>
                <w:bCs/>
                <w:color w:val="000000"/>
                <w:sz w:val="18"/>
                <w:szCs w:val="18"/>
                <w:lang w:eastAsia="en-AU"/>
              </w:rPr>
            </w:pPr>
            <w:r w:rsidRPr="00284549">
              <w:rPr>
                <w:rFonts w:asciiTheme="majorHAnsi" w:hAnsiTheme="majorHAnsi" w:cstheme="majorHAnsi"/>
                <w:b/>
                <w:bCs/>
                <w:sz w:val="18"/>
                <w:szCs w:val="18"/>
              </w:rPr>
              <w:t>186,224,279</w:t>
            </w:r>
          </w:p>
        </w:tc>
        <w:tc>
          <w:tcPr>
            <w:tcW w:w="1027" w:type="dxa"/>
            <w:tcBorders>
              <w:top w:val="single" w:sz="4" w:space="0" w:color="auto"/>
              <w:left w:val="nil"/>
              <w:bottom w:val="single" w:sz="4" w:space="0" w:color="auto"/>
              <w:right w:val="nil"/>
            </w:tcBorders>
            <w:shd w:val="clear" w:color="auto" w:fill="auto"/>
            <w:noWrap/>
            <w:vAlign w:val="center"/>
          </w:tcPr>
          <w:p w14:paraId="10A0F7DE" w14:textId="77777777" w:rsidR="00335CF7" w:rsidRPr="00284549" w:rsidRDefault="00335CF7" w:rsidP="000F69BD">
            <w:pPr>
              <w:spacing w:after="0" w:line="240" w:lineRule="auto"/>
              <w:jc w:val="right"/>
              <w:rPr>
                <w:rFonts w:asciiTheme="majorHAnsi" w:eastAsia="Times New Roman" w:hAnsiTheme="majorHAnsi" w:cstheme="majorHAnsi"/>
                <w:b/>
                <w:bCs/>
                <w:color w:val="000000"/>
                <w:sz w:val="18"/>
                <w:szCs w:val="18"/>
                <w:lang w:eastAsia="en-AU"/>
              </w:rPr>
            </w:pPr>
            <w:r w:rsidRPr="00284549">
              <w:rPr>
                <w:rFonts w:asciiTheme="majorHAnsi" w:hAnsiTheme="majorHAnsi" w:cstheme="majorHAnsi"/>
                <w:b/>
                <w:bCs/>
                <w:sz w:val="18"/>
                <w:szCs w:val="18"/>
              </w:rPr>
              <w:t>49.0%</w:t>
            </w:r>
          </w:p>
        </w:tc>
        <w:tc>
          <w:tcPr>
            <w:tcW w:w="665" w:type="dxa"/>
            <w:tcBorders>
              <w:top w:val="single" w:sz="4" w:space="0" w:color="auto"/>
              <w:left w:val="nil"/>
              <w:bottom w:val="single" w:sz="4" w:space="0" w:color="auto"/>
              <w:right w:val="nil"/>
            </w:tcBorders>
            <w:shd w:val="clear" w:color="auto" w:fill="auto"/>
            <w:noWrap/>
            <w:vAlign w:val="center"/>
          </w:tcPr>
          <w:p w14:paraId="0A51B96C" w14:textId="77777777" w:rsidR="00335CF7" w:rsidRPr="00284549" w:rsidRDefault="00335CF7" w:rsidP="000F69BD">
            <w:pPr>
              <w:spacing w:after="0" w:line="240" w:lineRule="auto"/>
              <w:jc w:val="right"/>
              <w:rPr>
                <w:rFonts w:asciiTheme="majorHAnsi" w:eastAsia="Times New Roman" w:hAnsiTheme="majorHAnsi" w:cstheme="majorHAnsi"/>
                <w:b/>
                <w:bCs/>
                <w:color w:val="000000"/>
                <w:sz w:val="18"/>
                <w:szCs w:val="18"/>
                <w:lang w:eastAsia="en-AU"/>
              </w:rPr>
            </w:pPr>
          </w:p>
        </w:tc>
        <w:tc>
          <w:tcPr>
            <w:tcW w:w="2013" w:type="dxa"/>
            <w:tcBorders>
              <w:top w:val="single" w:sz="4" w:space="0" w:color="auto"/>
              <w:left w:val="nil"/>
              <w:bottom w:val="single" w:sz="4" w:space="0" w:color="auto"/>
              <w:right w:val="nil"/>
            </w:tcBorders>
            <w:shd w:val="clear" w:color="auto" w:fill="auto"/>
            <w:noWrap/>
          </w:tcPr>
          <w:p w14:paraId="7C43196E" w14:textId="77777777" w:rsidR="00335CF7" w:rsidRPr="00284549" w:rsidRDefault="00335CF7" w:rsidP="000F69BD">
            <w:pPr>
              <w:spacing w:after="0" w:line="240" w:lineRule="auto"/>
              <w:rPr>
                <w:rFonts w:asciiTheme="majorHAnsi" w:eastAsia="Times New Roman" w:hAnsiTheme="majorHAnsi" w:cstheme="majorHAnsi"/>
                <w:b/>
                <w:bCs/>
                <w:sz w:val="18"/>
                <w:szCs w:val="18"/>
                <w:lang w:eastAsia="en-AU"/>
              </w:rPr>
            </w:pPr>
          </w:p>
        </w:tc>
        <w:tc>
          <w:tcPr>
            <w:tcW w:w="1148" w:type="dxa"/>
            <w:tcBorders>
              <w:top w:val="single" w:sz="4" w:space="0" w:color="auto"/>
              <w:left w:val="nil"/>
              <w:bottom w:val="single" w:sz="4" w:space="0" w:color="auto"/>
              <w:right w:val="nil"/>
            </w:tcBorders>
            <w:shd w:val="clear" w:color="auto" w:fill="auto"/>
            <w:noWrap/>
            <w:vAlign w:val="center"/>
          </w:tcPr>
          <w:p w14:paraId="35338FD1" w14:textId="77777777" w:rsidR="00335CF7" w:rsidRPr="00284549" w:rsidRDefault="00335CF7" w:rsidP="000F69BD">
            <w:pPr>
              <w:spacing w:after="0" w:line="240" w:lineRule="auto"/>
              <w:jc w:val="right"/>
              <w:rPr>
                <w:rFonts w:asciiTheme="majorHAnsi" w:eastAsia="Times New Roman" w:hAnsiTheme="majorHAnsi" w:cstheme="majorHAnsi"/>
                <w:b/>
                <w:bCs/>
                <w:color w:val="000000"/>
                <w:sz w:val="18"/>
                <w:szCs w:val="18"/>
                <w:lang w:eastAsia="en-AU"/>
              </w:rPr>
            </w:pPr>
            <w:r w:rsidRPr="00284549">
              <w:rPr>
                <w:rFonts w:asciiTheme="majorHAnsi" w:hAnsiTheme="majorHAnsi" w:cstheme="majorHAnsi"/>
                <w:b/>
                <w:bCs/>
                <w:sz w:val="18"/>
                <w:szCs w:val="18"/>
              </w:rPr>
              <w:t>46,714,452</w:t>
            </w:r>
          </w:p>
        </w:tc>
      </w:tr>
    </w:tbl>
    <w:p w14:paraId="4796D537" w14:textId="77777777" w:rsidR="00335CF7" w:rsidRDefault="00335CF7" w:rsidP="00335CF7">
      <w:pPr>
        <w:spacing w:after="0"/>
        <w:rPr>
          <w:sz w:val="20"/>
          <w:szCs w:val="20"/>
        </w:rPr>
      </w:pPr>
      <w:r w:rsidRPr="00D8564D">
        <w:rPr>
          <w:sz w:val="20"/>
          <w:szCs w:val="20"/>
        </w:rPr>
        <w:t>Source: Trade Data Monitor</w:t>
      </w:r>
      <w:r>
        <w:rPr>
          <w:sz w:val="20"/>
          <w:szCs w:val="20"/>
        </w:rPr>
        <w:t>s, DFAT</w:t>
      </w:r>
    </w:p>
    <w:p w14:paraId="007E772D" w14:textId="77777777" w:rsidR="00335CF7" w:rsidRDefault="00335CF7" w:rsidP="00335CF7">
      <w:pPr>
        <w:spacing w:after="0"/>
        <w:rPr>
          <w:b/>
          <w:bCs/>
        </w:rPr>
      </w:pPr>
      <w:r w:rsidRPr="00284549">
        <w:rPr>
          <w:sz w:val="20"/>
          <w:szCs w:val="20"/>
        </w:rPr>
        <w:t xml:space="preserve">Notes: </w:t>
      </w:r>
      <w:r w:rsidRPr="0025188F">
        <w:rPr>
          <w:sz w:val="20"/>
          <w:szCs w:val="20"/>
        </w:rPr>
        <w:t xml:space="preserve">Tariff estimates are based on the value of average annual trade between 2018 and 2020 and the tariff rates </w:t>
      </w:r>
      <w:r>
        <w:rPr>
          <w:sz w:val="20"/>
          <w:szCs w:val="20"/>
        </w:rPr>
        <w:t>paid</w:t>
      </w:r>
      <w:r w:rsidRPr="0025188F">
        <w:rPr>
          <w:sz w:val="20"/>
          <w:szCs w:val="20"/>
        </w:rPr>
        <w:t>.</w:t>
      </w:r>
    </w:p>
    <w:p w14:paraId="421B70F3" w14:textId="31C8F385" w:rsidR="00335CF7" w:rsidRDefault="00335CF7" w:rsidP="00BD0B9E">
      <w:pPr>
        <w:spacing w:after="0"/>
        <w:rPr>
          <w:b/>
          <w:bCs/>
        </w:rPr>
      </w:pPr>
    </w:p>
    <w:p w14:paraId="020F605D" w14:textId="20C23A3B" w:rsidR="00073BE3" w:rsidRPr="00073BE3" w:rsidRDefault="00073BE3">
      <w:pPr>
        <w:pStyle w:val="ListParagraph"/>
        <w:numPr>
          <w:ilvl w:val="0"/>
          <w:numId w:val="1"/>
        </w:numPr>
        <w:spacing w:after="0"/>
        <w:ind w:left="567" w:hanging="567"/>
        <w:rPr>
          <w:sz w:val="24"/>
          <w:szCs w:val="24"/>
        </w:rPr>
      </w:pPr>
      <w:r w:rsidRPr="00073BE3">
        <w:rPr>
          <w:sz w:val="24"/>
          <w:szCs w:val="24"/>
        </w:rPr>
        <w:t>Australia is a competitive sheep meat and wool producer, with large farming areas and low farming costs (such as more ewes managed per full</w:t>
      </w:r>
      <w:r w:rsidRPr="00073BE3">
        <w:rPr>
          <w:sz w:val="24"/>
          <w:szCs w:val="24"/>
        </w:rPr>
        <w:noBreakHyphen/>
        <w:t>time labour unit, and lower costs for machinery and buildings).</w:t>
      </w:r>
      <w:r w:rsidRPr="008B1880">
        <w:rPr>
          <w:rStyle w:val="FootnoteReference"/>
          <w:sz w:val="24"/>
          <w:szCs w:val="24"/>
        </w:rPr>
        <w:footnoteReference w:id="41"/>
      </w:r>
      <w:r w:rsidRPr="00073BE3">
        <w:rPr>
          <w:sz w:val="24"/>
          <w:szCs w:val="24"/>
        </w:rPr>
        <w:t xml:space="preserve"> However, the COVID-19 pandemic affected sheep meat and wool industries through supply chain disruptions and other global economic effects on demand. Additionally, drought in 2018 and 2019 led to </w:t>
      </w:r>
      <w:r w:rsidR="00E733F4">
        <w:rPr>
          <w:sz w:val="24"/>
          <w:szCs w:val="24"/>
        </w:rPr>
        <w:t xml:space="preserve">a </w:t>
      </w:r>
      <w:r w:rsidRPr="00073BE3">
        <w:rPr>
          <w:sz w:val="24"/>
          <w:szCs w:val="24"/>
        </w:rPr>
        <w:t xml:space="preserve">diminished flock, which remained an issue into 2021, and with China’s domestic sheep meat production on the rise in coming years, Australian producers are facing increased </w:t>
      </w:r>
      <w:r w:rsidR="00127E10">
        <w:rPr>
          <w:sz w:val="24"/>
          <w:szCs w:val="24"/>
        </w:rPr>
        <w:t xml:space="preserve">global </w:t>
      </w:r>
      <w:r w:rsidRPr="00073BE3">
        <w:rPr>
          <w:sz w:val="24"/>
          <w:szCs w:val="24"/>
        </w:rPr>
        <w:t>competition.</w:t>
      </w:r>
      <w:r w:rsidRPr="008B1880">
        <w:rPr>
          <w:rStyle w:val="FootnoteReference"/>
          <w:sz w:val="24"/>
          <w:szCs w:val="24"/>
        </w:rPr>
        <w:footnoteReference w:id="42"/>
      </w:r>
      <w:r w:rsidRPr="00073BE3">
        <w:rPr>
          <w:sz w:val="24"/>
          <w:szCs w:val="24"/>
        </w:rPr>
        <w:t xml:space="preserve"> As with other agricultural commodities, the </w:t>
      </w:r>
      <w:r w:rsidR="006E5E78">
        <w:rPr>
          <w:sz w:val="24"/>
          <w:szCs w:val="24"/>
        </w:rPr>
        <w:t>AI ECTA</w:t>
      </w:r>
      <w:r w:rsidRPr="00073BE3">
        <w:rPr>
          <w:sz w:val="24"/>
          <w:szCs w:val="24"/>
        </w:rPr>
        <w:t xml:space="preserve"> with India could go some way to helping Australian farmers diversify and expand their export markets over time.</w:t>
      </w:r>
    </w:p>
    <w:p w14:paraId="7C15947B" w14:textId="77777777" w:rsidR="00F25478" w:rsidRDefault="00F25478">
      <w:pPr>
        <w:spacing w:after="0"/>
        <w:rPr>
          <w:b/>
          <w:bCs/>
          <w:i/>
          <w:iCs/>
          <w:sz w:val="24"/>
          <w:szCs w:val="24"/>
        </w:rPr>
      </w:pPr>
    </w:p>
    <w:p w14:paraId="77886A5D" w14:textId="0F6A4CEB" w:rsidR="00787263" w:rsidRPr="00A30498" w:rsidRDefault="00787263" w:rsidP="0001716D">
      <w:pPr>
        <w:pStyle w:val="Heading3"/>
        <w:spacing w:before="0"/>
        <w:rPr>
          <w:highlight w:val="yellow"/>
        </w:rPr>
      </w:pPr>
      <w:bookmarkStart w:id="35" w:name="_Toc99370660"/>
      <w:r w:rsidRPr="00A30498">
        <w:t>Seafood</w:t>
      </w:r>
      <w:bookmarkStart w:id="36" w:name="_Hlk83037267"/>
      <w:bookmarkEnd w:id="35"/>
    </w:p>
    <w:p w14:paraId="663FEA5A" w14:textId="77777777" w:rsidR="00F25478" w:rsidRDefault="00F25478">
      <w:pPr>
        <w:pStyle w:val="ListParagraph"/>
        <w:spacing w:after="0"/>
        <w:ind w:left="567"/>
        <w:rPr>
          <w:sz w:val="24"/>
          <w:szCs w:val="24"/>
        </w:rPr>
      </w:pPr>
    </w:p>
    <w:p w14:paraId="7039E596" w14:textId="415E33FF" w:rsidR="00787263" w:rsidRDefault="00787263">
      <w:pPr>
        <w:pStyle w:val="ListParagraph"/>
        <w:numPr>
          <w:ilvl w:val="0"/>
          <w:numId w:val="1"/>
        </w:numPr>
        <w:spacing w:after="0"/>
        <w:ind w:left="567" w:hanging="567"/>
        <w:rPr>
          <w:sz w:val="24"/>
          <w:szCs w:val="24"/>
        </w:rPr>
      </w:pPr>
      <w:proofErr w:type="gramStart"/>
      <w:r w:rsidRPr="543832D4">
        <w:rPr>
          <w:sz w:val="24"/>
          <w:szCs w:val="24"/>
        </w:rPr>
        <w:t>A large number of</w:t>
      </w:r>
      <w:proofErr w:type="gramEnd"/>
      <w:r w:rsidRPr="543832D4">
        <w:rPr>
          <w:sz w:val="24"/>
          <w:szCs w:val="24"/>
        </w:rPr>
        <w:t xml:space="preserve"> Indian tariffs on Australian fresh, frozen and processed seafood goods will be </w:t>
      </w:r>
      <w:r w:rsidR="00F6122F">
        <w:rPr>
          <w:sz w:val="24"/>
          <w:szCs w:val="24"/>
        </w:rPr>
        <w:t>phased out over</w:t>
      </w:r>
      <w:r w:rsidRPr="543832D4">
        <w:rPr>
          <w:sz w:val="24"/>
          <w:szCs w:val="24"/>
        </w:rPr>
        <w:t xml:space="preserve"> seven years following implementation, </w:t>
      </w:r>
      <w:r w:rsidR="00F6122F">
        <w:rPr>
          <w:sz w:val="24"/>
          <w:szCs w:val="24"/>
        </w:rPr>
        <w:t>including</w:t>
      </w:r>
      <w:r w:rsidRPr="543832D4">
        <w:rPr>
          <w:sz w:val="24"/>
          <w:szCs w:val="24"/>
        </w:rPr>
        <w:t xml:space="preserve"> current tariff rates of 30 per cent</w:t>
      </w:r>
      <w:r w:rsidR="004213A0">
        <w:rPr>
          <w:sz w:val="24"/>
          <w:szCs w:val="24"/>
        </w:rPr>
        <w:t xml:space="preserve"> for Atlantic salmon, tuna and albacore and frozen rock lobster</w:t>
      </w:r>
      <w:r w:rsidRPr="543832D4">
        <w:rPr>
          <w:sz w:val="24"/>
          <w:szCs w:val="24"/>
        </w:rPr>
        <w:t xml:space="preserve">. </w:t>
      </w:r>
      <w:r w:rsidR="00F6122F">
        <w:rPr>
          <w:sz w:val="24"/>
          <w:szCs w:val="24"/>
        </w:rPr>
        <w:t>The f</w:t>
      </w:r>
      <w:r w:rsidR="009968F8" w:rsidRPr="543832D4">
        <w:rPr>
          <w:sz w:val="24"/>
          <w:szCs w:val="24"/>
        </w:rPr>
        <w:t>resh rock lobster</w:t>
      </w:r>
      <w:r w:rsidRPr="543832D4">
        <w:rPr>
          <w:sz w:val="24"/>
          <w:szCs w:val="24"/>
        </w:rPr>
        <w:t xml:space="preserve"> tariff </w:t>
      </w:r>
      <w:r w:rsidR="00F6122F">
        <w:rPr>
          <w:sz w:val="24"/>
          <w:szCs w:val="24"/>
        </w:rPr>
        <w:t>will</w:t>
      </w:r>
      <w:r w:rsidRPr="543832D4">
        <w:rPr>
          <w:sz w:val="24"/>
          <w:szCs w:val="24"/>
        </w:rPr>
        <w:t xml:space="preserve"> be eliminated on entry into force.</w:t>
      </w:r>
    </w:p>
    <w:p w14:paraId="72223130" w14:textId="77777777" w:rsidR="00D429D1" w:rsidRDefault="00D429D1">
      <w:pPr>
        <w:pStyle w:val="ListParagraph"/>
        <w:spacing w:after="0"/>
        <w:ind w:left="567"/>
        <w:rPr>
          <w:sz w:val="24"/>
          <w:szCs w:val="24"/>
        </w:rPr>
      </w:pPr>
    </w:p>
    <w:p w14:paraId="32B2B86C" w14:textId="7D07CD68" w:rsidR="00360691" w:rsidRPr="00360691" w:rsidRDefault="00787263">
      <w:pPr>
        <w:pStyle w:val="ListParagraph"/>
        <w:numPr>
          <w:ilvl w:val="0"/>
          <w:numId w:val="1"/>
        </w:numPr>
        <w:spacing w:after="0"/>
        <w:ind w:left="567" w:hanging="567"/>
        <w:rPr>
          <w:sz w:val="24"/>
          <w:szCs w:val="24"/>
        </w:rPr>
      </w:pPr>
      <w:r w:rsidRPr="543832D4">
        <w:rPr>
          <w:sz w:val="24"/>
          <w:szCs w:val="24"/>
        </w:rPr>
        <w:t xml:space="preserve">Fresh, </w:t>
      </w:r>
      <w:proofErr w:type="gramStart"/>
      <w:r w:rsidRPr="543832D4">
        <w:rPr>
          <w:sz w:val="24"/>
          <w:szCs w:val="24"/>
        </w:rPr>
        <w:t>frozen</w:t>
      </w:r>
      <w:proofErr w:type="gramEnd"/>
      <w:r w:rsidRPr="543832D4">
        <w:rPr>
          <w:sz w:val="24"/>
          <w:szCs w:val="24"/>
        </w:rPr>
        <w:t xml:space="preserve"> and processed seafood goods are an important export for Australia, with an annual average of </w:t>
      </w:r>
      <w:r w:rsidR="005B46B9">
        <w:rPr>
          <w:sz w:val="24"/>
          <w:szCs w:val="24"/>
        </w:rPr>
        <w:t>AU</w:t>
      </w:r>
      <w:r w:rsidRPr="543832D4">
        <w:rPr>
          <w:sz w:val="24"/>
          <w:szCs w:val="24"/>
        </w:rPr>
        <w:t xml:space="preserve">$1.4 billion per annum exported globally between 2018 and 2020. Of this, fresh rock lobster items accounted for almost half of Australia’s seafood exports – some </w:t>
      </w:r>
      <w:r w:rsidR="005B46B9">
        <w:rPr>
          <w:sz w:val="24"/>
          <w:szCs w:val="24"/>
        </w:rPr>
        <w:t>AU</w:t>
      </w:r>
      <w:r w:rsidRPr="543832D4">
        <w:rPr>
          <w:sz w:val="24"/>
          <w:szCs w:val="24"/>
        </w:rPr>
        <w:t>$</w:t>
      </w:r>
      <w:r w:rsidR="009968F8" w:rsidRPr="543832D4">
        <w:rPr>
          <w:sz w:val="24"/>
          <w:szCs w:val="24"/>
        </w:rPr>
        <w:t>6</w:t>
      </w:r>
      <w:r w:rsidR="00127E10">
        <w:rPr>
          <w:sz w:val="24"/>
          <w:szCs w:val="24"/>
        </w:rPr>
        <w:t>64</w:t>
      </w:r>
      <w:r w:rsidR="009968F8" w:rsidRPr="543832D4">
        <w:rPr>
          <w:sz w:val="24"/>
          <w:szCs w:val="24"/>
        </w:rPr>
        <w:t xml:space="preserve"> million</w:t>
      </w:r>
      <w:r w:rsidRPr="543832D4">
        <w:rPr>
          <w:sz w:val="24"/>
          <w:szCs w:val="24"/>
        </w:rPr>
        <w:t xml:space="preserve"> per annum on average.</w:t>
      </w:r>
    </w:p>
    <w:p w14:paraId="31EAE248" w14:textId="77777777" w:rsidR="00360691" w:rsidRDefault="00360691">
      <w:pPr>
        <w:pStyle w:val="ListParagraph"/>
        <w:spacing w:after="0"/>
        <w:ind w:left="567"/>
        <w:rPr>
          <w:sz w:val="24"/>
          <w:szCs w:val="24"/>
        </w:rPr>
      </w:pPr>
    </w:p>
    <w:p w14:paraId="20F0A5D2" w14:textId="0B73BE6B" w:rsidR="00416031" w:rsidRDefault="00787263" w:rsidP="00F673EC">
      <w:pPr>
        <w:pStyle w:val="ListParagraph"/>
        <w:numPr>
          <w:ilvl w:val="0"/>
          <w:numId w:val="1"/>
        </w:numPr>
        <w:spacing w:after="0"/>
        <w:ind w:left="567" w:hanging="567"/>
      </w:pPr>
      <w:r w:rsidRPr="00787263">
        <w:rPr>
          <w:sz w:val="24"/>
          <w:szCs w:val="24"/>
        </w:rPr>
        <w:lastRenderedPageBreak/>
        <w:t xml:space="preserve">As </w:t>
      </w:r>
      <w:r w:rsidRPr="543832D4">
        <w:rPr>
          <w:b/>
          <w:bCs/>
          <w:sz w:val="24"/>
          <w:szCs w:val="24"/>
          <w:u w:val="single"/>
        </w:rPr>
        <w:t xml:space="preserve">Graph </w:t>
      </w:r>
      <w:r w:rsidR="005307E2" w:rsidRPr="543832D4">
        <w:rPr>
          <w:b/>
          <w:bCs/>
          <w:sz w:val="24"/>
          <w:szCs w:val="24"/>
          <w:u w:val="single"/>
        </w:rPr>
        <w:t>5</w:t>
      </w:r>
      <w:r w:rsidRPr="00787263">
        <w:rPr>
          <w:sz w:val="24"/>
          <w:szCs w:val="24"/>
        </w:rPr>
        <w:t xml:space="preserve"> illustrates, Australian producers of fresh and frozen rock lobster experienced a sudden drop in exports in 2020, primarily attributed to a reduction in export trade with China and freight disruptions due to the global pandemic.</w:t>
      </w:r>
      <w:r w:rsidRPr="00787263">
        <w:rPr>
          <w:rStyle w:val="FootnoteReference"/>
          <w:sz w:val="24"/>
          <w:szCs w:val="24"/>
        </w:rPr>
        <w:t xml:space="preserve"> </w:t>
      </w:r>
      <w:r w:rsidRPr="00B94E21">
        <w:rPr>
          <w:rStyle w:val="FootnoteReference"/>
          <w:sz w:val="24"/>
          <w:szCs w:val="24"/>
        </w:rPr>
        <w:footnoteReference w:id="43"/>
      </w:r>
      <w:r w:rsidRPr="00787263">
        <w:rPr>
          <w:sz w:val="24"/>
          <w:szCs w:val="24"/>
        </w:rPr>
        <w:t xml:space="preserve"> Prior to this, China accounted for around 91 per cent of Australia</w:t>
      </w:r>
      <w:r w:rsidR="00127E10">
        <w:rPr>
          <w:sz w:val="24"/>
          <w:szCs w:val="24"/>
        </w:rPr>
        <w:t>’s</w:t>
      </w:r>
      <w:r w:rsidRPr="00787263">
        <w:rPr>
          <w:sz w:val="24"/>
          <w:szCs w:val="24"/>
        </w:rPr>
        <w:t xml:space="preserve"> rock lobster exports in 2019 and 2020.</w:t>
      </w:r>
      <w:r w:rsidRPr="00B94E21">
        <w:rPr>
          <w:rStyle w:val="FootnoteReference"/>
          <w:sz w:val="24"/>
          <w:szCs w:val="24"/>
        </w:rPr>
        <w:footnoteReference w:id="44"/>
      </w:r>
      <w:r w:rsidRPr="00787263">
        <w:rPr>
          <w:sz w:val="24"/>
          <w:szCs w:val="24"/>
        </w:rPr>
        <w:t xml:space="preserve"> </w:t>
      </w:r>
    </w:p>
    <w:p w14:paraId="1CC033AA" w14:textId="59AB6FE6" w:rsidR="00787263" w:rsidRDefault="00787263" w:rsidP="00530D75">
      <w:pPr>
        <w:spacing w:after="0"/>
        <w:rPr>
          <w:b/>
          <w:bCs/>
          <w:sz w:val="24"/>
          <w:szCs w:val="24"/>
        </w:rPr>
      </w:pPr>
      <w:r w:rsidRPr="543832D4">
        <w:rPr>
          <w:b/>
          <w:bCs/>
          <w:sz w:val="24"/>
          <w:szCs w:val="24"/>
          <w:u w:val="single"/>
        </w:rPr>
        <w:t xml:space="preserve">Graph </w:t>
      </w:r>
      <w:r w:rsidR="005307E2" w:rsidRPr="543832D4">
        <w:rPr>
          <w:b/>
          <w:bCs/>
          <w:sz w:val="24"/>
          <w:szCs w:val="24"/>
          <w:u w:val="single"/>
        </w:rPr>
        <w:t>5</w:t>
      </w:r>
      <w:r w:rsidRPr="543832D4">
        <w:rPr>
          <w:b/>
          <w:bCs/>
          <w:sz w:val="24"/>
          <w:szCs w:val="24"/>
        </w:rPr>
        <w:t>: Outlook for rock lobster exports</w:t>
      </w:r>
      <w:r w:rsidRPr="543832D4">
        <w:rPr>
          <w:rStyle w:val="FootnoteReference"/>
          <w:sz w:val="24"/>
          <w:szCs w:val="24"/>
        </w:rPr>
        <w:footnoteReference w:id="45"/>
      </w:r>
    </w:p>
    <w:p w14:paraId="27D4A30B" w14:textId="77777777" w:rsidR="00530D75" w:rsidRPr="00B94E21" w:rsidRDefault="00530D75" w:rsidP="0001716D">
      <w:pPr>
        <w:spacing w:after="0"/>
        <w:rPr>
          <w:rFonts w:cstheme="minorHAnsi"/>
          <w:sz w:val="24"/>
          <w:szCs w:val="24"/>
        </w:rPr>
      </w:pPr>
    </w:p>
    <w:p w14:paraId="148ACD73" w14:textId="77777777" w:rsidR="00787263" w:rsidRPr="00274885" w:rsidRDefault="00787263" w:rsidP="00EB0980">
      <w:pPr>
        <w:rPr>
          <w:rFonts w:cstheme="minorHAnsi"/>
          <w:sz w:val="24"/>
          <w:szCs w:val="24"/>
          <w:highlight w:val="yellow"/>
        </w:rPr>
      </w:pPr>
      <w:r w:rsidRPr="00274885">
        <w:rPr>
          <w:noProof/>
          <w:highlight w:val="yellow"/>
        </w:rPr>
        <w:drawing>
          <wp:inline distT="0" distB="0" distL="0" distR="0" wp14:anchorId="0CF50D02" wp14:editId="5A0CF48F">
            <wp:extent cx="5619750" cy="3383930"/>
            <wp:effectExtent l="0" t="0" r="0" b="6985"/>
            <wp:docPr id="6" name="Picture 6" descr="Graph detailing outlook for rock lobster production value and export value from 2005-06 to 2025-26. &#10;&#10;Source: Australian Bureau of Agricultural and Resource Economics and Sciences (ABARES) https://www.awe.gov.au/abares/research-topics/fisheries/fisheries-economics/fisheries-forecasts#rock-lob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 detailing outlook for rock lobster production value and export value from 2005-06 to 2025-26. &#10;&#10;Source: Australian Bureau of Agricultural and Resource Economics and Sciences (ABARES) https://www.awe.gov.au/abares/research-topics/fisheries/fisheries-economics/fisheries-forecasts#rock-lobster"/>
                    <pic:cNvPicPr/>
                  </pic:nvPicPr>
                  <pic:blipFill>
                    <a:blip r:embed="rId20"/>
                    <a:stretch>
                      <a:fillRect/>
                    </a:stretch>
                  </pic:blipFill>
                  <pic:spPr>
                    <a:xfrm>
                      <a:off x="0" y="0"/>
                      <a:ext cx="5662432" cy="3409631"/>
                    </a:xfrm>
                    <a:prstGeom prst="rect">
                      <a:avLst/>
                    </a:prstGeom>
                  </pic:spPr>
                </pic:pic>
              </a:graphicData>
            </a:graphic>
          </wp:inline>
        </w:drawing>
      </w:r>
    </w:p>
    <w:p w14:paraId="55CF55CC" w14:textId="1A193796" w:rsidR="00787263" w:rsidRDefault="00787263">
      <w:pPr>
        <w:pStyle w:val="ListParagraph"/>
        <w:numPr>
          <w:ilvl w:val="0"/>
          <w:numId w:val="1"/>
        </w:numPr>
        <w:spacing w:after="0"/>
        <w:ind w:left="567" w:hanging="567"/>
        <w:rPr>
          <w:sz w:val="24"/>
          <w:szCs w:val="24"/>
        </w:rPr>
      </w:pPr>
      <w:r w:rsidRPr="543832D4">
        <w:rPr>
          <w:sz w:val="24"/>
          <w:szCs w:val="24"/>
        </w:rPr>
        <w:t xml:space="preserve">Currently, India is a relatively small importer of global seafood products, however, averaging </w:t>
      </w:r>
      <w:r w:rsidR="00782A9F">
        <w:rPr>
          <w:sz w:val="24"/>
          <w:szCs w:val="24"/>
        </w:rPr>
        <w:t>A</w:t>
      </w:r>
      <w:r w:rsidR="005B46B9">
        <w:rPr>
          <w:sz w:val="24"/>
          <w:szCs w:val="24"/>
        </w:rPr>
        <w:t>U</w:t>
      </w:r>
      <w:r w:rsidRPr="543832D4">
        <w:rPr>
          <w:sz w:val="24"/>
          <w:szCs w:val="24"/>
        </w:rPr>
        <w:t>$217 million between 2018 and 2020, of which, Australian producers, account</w:t>
      </w:r>
      <w:r w:rsidR="00127E10">
        <w:rPr>
          <w:sz w:val="24"/>
          <w:szCs w:val="24"/>
        </w:rPr>
        <w:t>ed</w:t>
      </w:r>
      <w:r w:rsidRPr="543832D4">
        <w:rPr>
          <w:sz w:val="24"/>
          <w:szCs w:val="24"/>
        </w:rPr>
        <w:t xml:space="preserve"> for almost zero. </w:t>
      </w:r>
    </w:p>
    <w:p w14:paraId="233437A1" w14:textId="77777777" w:rsidR="009614F4" w:rsidRDefault="009614F4" w:rsidP="0001716D">
      <w:pPr>
        <w:pStyle w:val="ListParagraph"/>
        <w:spacing w:after="0"/>
        <w:ind w:left="567"/>
        <w:rPr>
          <w:sz w:val="24"/>
          <w:szCs w:val="24"/>
        </w:rPr>
      </w:pPr>
    </w:p>
    <w:p w14:paraId="761E8C30" w14:textId="7F58AA12" w:rsidR="00787263" w:rsidRDefault="00787263" w:rsidP="00530D75">
      <w:pPr>
        <w:pStyle w:val="ListParagraph"/>
        <w:numPr>
          <w:ilvl w:val="0"/>
          <w:numId w:val="1"/>
        </w:numPr>
        <w:spacing w:after="0"/>
        <w:ind w:left="567" w:hanging="567"/>
        <w:rPr>
          <w:sz w:val="24"/>
          <w:szCs w:val="24"/>
        </w:rPr>
      </w:pPr>
      <w:r w:rsidRPr="00787263">
        <w:rPr>
          <w:sz w:val="24"/>
          <w:szCs w:val="24"/>
        </w:rPr>
        <w:t>As Australian fisheries exports are dominated by high-value products, such as rock lobster</w:t>
      </w:r>
      <w:r w:rsidRPr="00D00524">
        <w:rPr>
          <w:rStyle w:val="FootnoteReference"/>
          <w:sz w:val="24"/>
          <w:szCs w:val="24"/>
        </w:rPr>
        <w:footnoteReference w:id="46"/>
      </w:r>
      <w:r w:rsidRPr="00787263">
        <w:rPr>
          <w:sz w:val="24"/>
          <w:szCs w:val="24"/>
        </w:rPr>
        <w:t>, the gradual elimination of tariffs on seafood items represents an opportunity for Australian producers to establish a new market to expand and grow as the numbers of wealthy individuals in India increase and consumer preferences shift over the longer-term.</w:t>
      </w:r>
      <w:r w:rsidR="00C14A27">
        <w:rPr>
          <w:rStyle w:val="FootnoteReference"/>
          <w:sz w:val="24"/>
          <w:szCs w:val="24"/>
        </w:rPr>
        <w:footnoteReference w:id="47"/>
      </w:r>
    </w:p>
    <w:p w14:paraId="0A602642" w14:textId="77777777" w:rsidR="006E0442" w:rsidRPr="0001716D" w:rsidRDefault="006E0442" w:rsidP="0001716D">
      <w:pPr>
        <w:pStyle w:val="ListParagraph"/>
        <w:rPr>
          <w:sz w:val="24"/>
          <w:szCs w:val="24"/>
        </w:rPr>
      </w:pPr>
    </w:p>
    <w:p w14:paraId="0781672F" w14:textId="6CA6D5D8" w:rsidR="006E0442" w:rsidRDefault="006E0442" w:rsidP="00530D75">
      <w:pPr>
        <w:pStyle w:val="ListParagraph"/>
        <w:numPr>
          <w:ilvl w:val="0"/>
          <w:numId w:val="1"/>
        </w:numPr>
        <w:spacing w:after="0"/>
        <w:ind w:left="567" w:hanging="567"/>
        <w:rPr>
          <w:sz w:val="24"/>
          <w:szCs w:val="24"/>
        </w:rPr>
      </w:pPr>
      <w:r w:rsidRPr="0001716D">
        <w:rPr>
          <w:b/>
          <w:bCs/>
          <w:sz w:val="24"/>
          <w:szCs w:val="24"/>
        </w:rPr>
        <w:t xml:space="preserve">Table </w:t>
      </w:r>
      <w:r w:rsidR="00AA64EE">
        <w:rPr>
          <w:b/>
          <w:bCs/>
          <w:sz w:val="24"/>
          <w:szCs w:val="24"/>
        </w:rPr>
        <w:t>6</w:t>
      </w:r>
      <w:r>
        <w:rPr>
          <w:sz w:val="24"/>
          <w:szCs w:val="24"/>
        </w:rPr>
        <w:t xml:space="preserve"> provides a summary of Australia’s seafood products</w:t>
      </w:r>
      <w:r w:rsidR="00286F08">
        <w:rPr>
          <w:sz w:val="24"/>
          <w:szCs w:val="24"/>
        </w:rPr>
        <w:t xml:space="preserve"> trade</w:t>
      </w:r>
      <w:r>
        <w:rPr>
          <w:sz w:val="24"/>
          <w:szCs w:val="24"/>
        </w:rPr>
        <w:t xml:space="preserve"> with India and the </w:t>
      </w:r>
      <w:r w:rsidR="00286F08">
        <w:rPr>
          <w:sz w:val="24"/>
          <w:szCs w:val="24"/>
        </w:rPr>
        <w:t xml:space="preserve">tariff </w:t>
      </w:r>
      <w:r>
        <w:rPr>
          <w:sz w:val="24"/>
          <w:szCs w:val="24"/>
        </w:rPr>
        <w:t xml:space="preserve">outcomes from the proposed </w:t>
      </w:r>
      <w:r w:rsidR="0025442D">
        <w:rPr>
          <w:sz w:val="24"/>
          <w:szCs w:val="24"/>
        </w:rPr>
        <w:t>AI</w:t>
      </w:r>
      <w:r w:rsidR="00217C26">
        <w:rPr>
          <w:sz w:val="24"/>
          <w:szCs w:val="24"/>
        </w:rPr>
        <w:t xml:space="preserve"> ECTA</w:t>
      </w:r>
      <w:r w:rsidR="009F7B05">
        <w:rPr>
          <w:sz w:val="24"/>
          <w:szCs w:val="24"/>
        </w:rPr>
        <w:t>.</w:t>
      </w:r>
    </w:p>
    <w:p w14:paraId="379A7B1A" w14:textId="123BB318" w:rsidR="009F7B05" w:rsidRDefault="009F7B05" w:rsidP="0001716D">
      <w:pPr>
        <w:pStyle w:val="ListParagraph"/>
        <w:rPr>
          <w:sz w:val="24"/>
          <w:szCs w:val="24"/>
        </w:rPr>
      </w:pPr>
    </w:p>
    <w:p w14:paraId="175247A9" w14:textId="1E55C933" w:rsidR="00DB0807" w:rsidRDefault="00DB0807" w:rsidP="0001716D">
      <w:pPr>
        <w:pStyle w:val="ListParagraph"/>
        <w:rPr>
          <w:sz w:val="24"/>
          <w:szCs w:val="24"/>
        </w:rPr>
      </w:pPr>
    </w:p>
    <w:p w14:paraId="5C146ED6" w14:textId="4424FE14" w:rsidR="00DB0807" w:rsidRDefault="00DB0807" w:rsidP="0001716D">
      <w:pPr>
        <w:pStyle w:val="ListParagraph"/>
        <w:rPr>
          <w:sz w:val="24"/>
          <w:szCs w:val="24"/>
        </w:rPr>
      </w:pPr>
    </w:p>
    <w:p w14:paraId="2B94AC10" w14:textId="77777777" w:rsidR="005265AF" w:rsidRDefault="005265AF" w:rsidP="0001716D">
      <w:pPr>
        <w:pStyle w:val="ListParagraph"/>
        <w:rPr>
          <w:sz w:val="24"/>
          <w:szCs w:val="24"/>
        </w:rPr>
      </w:pPr>
    </w:p>
    <w:p w14:paraId="385DFD8D" w14:textId="2F0AA37F" w:rsidR="00DB0807" w:rsidRPr="00927AE1" w:rsidRDefault="00DB0807" w:rsidP="00927AE1">
      <w:pPr>
        <w:rPr>
          <w:sz w:val="24"/>
          <w:szCs w:val="24"/>
        </w:rPr>
      </w:pPr>
    </w:p>
    <w:p w14:paraId="462F0964" w14:textId="77777777" w:rsidR="00DB0807" w:rsidRPr="0001716D" w:rsidRDefault="00DB0807" w:rsidP="0001716D">
      <w:pPr>
        <w:pStyle w:val="ListParagraph"/>
        <w:rPr>
          <w:sz w:val="24"/>
          <w:szCs w:val="24"/>
        </w:rPr>
      </w:pPr>
    </w:p>
    <w:p w14:paraId="48EFEE6C" w14:textId="77777777" w:rsidR="009F7B05" w:rsidRDefault="009F7B05" w:rsidP="0001716D">
      <w:pPr>
        <w:pStyle w:val="ListParagraph"/>
        <w:spacing w:after="0"/>
        <w:ind w:left="567"/>
        <w:rPr>
          <w:sz w:val="24"/>
          <w:szCs w:val="24"/>
        </w:rPr>
      </w:pPr>
    </w:p>
    <w:p w14:paraId="3F8FFE34" w14:textId="1B33027A" w:rsidR="00E04E9E" w:rsidRDefault="00E04E9E" w:rsidP="00530D75">
      <w:pPr>
        <w:spacing w:after="0"/>
        <w:rPr>
          <w:b/>
        </w:rPr>
      </w:pPr>
      <w:r w:rsidRPr="0001716D">
        <w:rPr>
          <w:b/>
          <w:u w:val="single"/>
        </w:rPr>
        <w:t xml:space="preserve">Table </w:t>
      </w:r>
      <w:r w:rsidR="00310AB4">
        <w:rPr>
          <w:b/>
          <w:u w:val="single"/>
        </w:rPr>
        <w:t>6</w:t>
      </w:r>
      <w:r w:rsidRPr="0001716D">
        <w:rPr>
          <w:b/>
        </w:rPr>
        <w:t xml:space="preserve">: Summary of seafood products trade and </w:t>
      </w:r>
      <w:r w:rsidR="001275D3">
        <w:rPr>
          <w:b/>
        </w:rPr>
        <w:t xml:space="preserve">proposed </w:t>
      </w:r>
      <w:r w:rsidR="0025442D">
        <w:rPr>
          <w:b/>
        </w:rPr>
        <w:t>AI</w:t>
      </w:r>
      <w:r w:rsidR="00217C26">
        <w:rPr>
          <w:b/>
        </w:rPr>
        <w:t xml:space="preserve"> ECTA</w:t>
      </w:r>
      <w:r w:rsidR="001275D3">
        <w:rPr>
          <w:b/>
        </w:rPr>
        <w:t xml:space="preserve"> </w:t>
      </w:r>
      <w:r w:rsidRPr="0001716D">
        <w:rPr>
          <w:b/>
        </w:rPr>
        <w:t xml:space="preserve">tariff outcomes </w:t>
      </w:r>
    </w:p>
    <w:tbl>
      <w:tblPr>
        <w:tblW w:w="10348" w:type="dxa"/>
        <w:tblLayout w:type="fixed"/>
        <w:tblLook w:val="04A0" w:firstRow="1" w:lastRow="0" w:firstColumn="1" w:lastColumn="0" w:noHBand="0" w:noVBand="1"/>
      </w:tblPr>
      <w:tblGrid>
        <w:gridCol w:w="858"/>
        <w:gridCol w:w="847"/>
        <w:gridCol w:w="2635"/>
        <w:gridCol w:w="1189"/>
        <w:gridCol w:w="1033"/>
        <w:gridCol w:w="613"/>
        <w:gridCol w:w="2026"/>
        <w:gridCol w:w="1147"/>
      </w:tblGrid>
      <w:tr w:rsidR="00335CF7" w:rsidRPr="009F7B05" w14:paraId="54F59441" w14:textId="77777777" w:rsidTr="000F69BD">
        <w:tc>
          <w:tcPr>
            <w:tcW w:w="858" w:type="dxa"/>
            <w:tcBorders>
              <w:top w:val="single" w:sz="4" w:space="0" w:color="auto"/>
              <w:left w:val="nil"/>
              <w:bottom w:val="nil"/>
              <w:right w:val="nil"/>
            </w:tcBorders>
            <w:shd w:val="clear" w:color="auto" w:fill="auto"/>
            <w:noWrap/>
            <w:vAlign w:val="bottom"/>
            <w:hideMark/>
          </w:tcPr>
          <w:p w14:paraId="710BAE20" w14:textId="77777777" w:rsidR="00335CF7" w:rsidRPr="009F7B05" w:rsidRDefault="00335CF7" w:rsidP="000F69BD">
            <w:pPr>
              <w:spacing w:after="0" w:line="240" w:lineRule="auto"/>
              <w:rPr>
                <w:rFonts w:asciiTheme="majorHAnsi" w:eastAsia="Times New Roman" w:hAnsiTheme="majorHAnsi" w:cstheme="majorHAnsi"/>
                <w:b/>
                <w:sz w:val="18"/>
                <w:szCs w:val="18"/>
                <w:lang w:eastAsia="en-AU"/>
              </w:rPr>
            </w:pPr>
          </w:p>
        </w:tc>
        <w:tc>
          <w:tcPr>
            <w:tcW w:w="3482" w:type="dxa"/>
            <w:gridSpan w:val="2"/>
            <w:tcBorders>
              <w:top w:val="single" w:sz="4" w:space="0" w:color="auto"/>
              <w:left w:val="nil"/>
              <w:bottom w:val="nil"/>
              <w:right w:val="nil"/>
            </w:tcBorders>
            <w:shd w:val="clear" w:color="auto" w:fill="auto"/>
            <w:noWrap/>
            <w:hideMark/>
          </w:tcPr>
          <w:p w14:paraId="6823E79A" w14:textId="77777777" w:rsidR="00335CF7" w:rsidRPr="009F7B05" w:rsidRDefault="00335CF7" w:rsidP="000F69BD">
            <w:pPr>
              <w:spacing w:after="0" w:line="240" w:lineRule="auto"/>
              <w:rPr>
                <w:rFonts w:asciiTheme="majorHAnsi" w:eastAsia="Times New Roman" w:hAnsiTheme="majorHAnsi" w:cstheme="majorHAnsi"/>
                <w:b/>
                <w:color w:val="000000"/>
                <w:sz w:val="18"/>
                <w:szCs w:val="18"/>
                <w:lang w:eastAsia="en-AU"/>
              </w:rPr>
            </w:pPr>
            <w:r w:rsidRPr="009F7B05">
              <w:rPr>
                <w:rFonts w:asciiTheme="majorHAnsi" w:eastAsia="Times New Roman" w:hAnsiTheme="majorHAnsi" w:cstheme="majorHAnsi"/>
                <w:b/>
                <w:color w:val="000000"/>
                <w:sz w:val="18"/>
                <w:szCs w:val="18"/>
                <w:lang w:eastAsia="en-AU"/>
              </w:rPr>
              <w:t>Commodity items</w:t>
            </w:r>
          </w:p>
        </w:tc>
        <w:tc>
          <w:tcPr>
            <w:tcW w:w="2222" w:type="dxa"/>
            <w:gridSpan w:val="2"/>
            <w:tcBorders>
              <w:top w:val="single" w:sz="4" w:space="0" w:color="auto"/>
              <w:left w:val="nil"/>
              <w:bottom w:val="nil"/>
              <w:right w:val="nil"/>
            </w:tcBorders>
            <w:shd w:val="clear" w:color="auto" w:fill="auto"/>
            <w:noWrap/>
            <w:vAlign w:val="bottom"/>
            <w:hideMark/>
          </w:tcPr>
          <w:p w14:paraId="4478E107" w14:textId="77777777" w:rsidR="00335CF7" w:rsidRPr="009F7B05" w:rsidRDefault="00335CF7" w:rsidP="000F69BD">
            <w:pPr>
              <w:spacing w:after="0" w:line="240" w:lineRule="auto"/>
              <w:jc w:val="center"/>
              <w:rPr>
                <w:rFonts w:asciiTheme="majorHAnsi" w:eastAsia="Times New Roman" w:hAnsiTheme="majorHAnsi" w:cstheme="majorHAnsi"/>
                <w:b/>
                <w:color w:val="000000"/>
                <w:sz w:val="18"/>
                <w:szCs w:val="18"/>
                <w:lang w:eastAsia="en-AU"/>
              </w:rPr>
            </w:pPr>
            <w:r w:rsidRPr="009F7B05">
              <w:rPr>
                <w:rFonts w:asciiTheme="majorHAnsi" w:eastAsia="Times New Roman" w:hAnsiTheme="majorHAnsi" w:cstheme="majorHAnsi"/>
                <w:b/>
                <w:color w:val="000000"/>
                <w:sz w:val="18"/>
                <w:szCs w:val="18"/>
                <w:lang w:eastAsia="en-AU"/>
              </w:rPr>
              <w:t>India's imports of Australian goods</w:t>
            </w:r>
            <w:r w:rsidRPr="009F7B05">
              <w:rPr>
                <w:rFonts w:asciiTheme="majorHAnsi" w:eastAsia="Times New Roman" w:hAnsiTheme="majorHAnsi" w:cstheme="majorHAnsi"/>
                <w:b/>
                <w:color w:val="000000"/>
                <w:sz w:val="18"/>
                <w:szCs w:val="18"/>
                <w:lang w:eastAsia="en-AU"/>
              </w:rPr>
              <w:br/>
              <w:t>(average, 2018-2020)</w:t>
            </w:r>
          </w:p>
        </w:tc>
        <w:tc>
          <w:tcPr>
            <w:tcW w:w="613" w:type="dxa"/>
            <w:vMerge w:val="restart"/>
            <w:tcBorders>
              <w:top w:val="single" w:sz="4" w:space="0" w:color="auto"/>
              <w:left w:val="nil"/>
              <w:right w:val="nil"/>
            </w:tcBorders>
            <w:shd w:val="clear" w:color="auto" w:fill="auto"/>
            <w:noWrap/>
            <w:hideMark/>
          </w:tcPr>
          <w:p w14:paraId="6C5D9A77" w14:textId="77777777" w:rsidR="00335CF7" w:rsidRPr="009F7B05" w:rsidRDefault="00335CF7" w:rsidP="000F69BD">
            <w:pPr>
              <w:spacing w:after="0" w:line="240" w:lineRule="auto"/>
              <w:jc w:val="center"/>
              <w:rPr>
                <w:rFonts w:asciiTheme="majorHAnsi" w:eastAsia="Times New Roman" w:hAnsiTheme="majorHAnsi" w:cstheme="majorHAnsi"/>
                <w:b/>
                <w:color w:val="000000"/>
                <w:sz w:val="18"/>
                <w:szCs w:val="18"/>
                <w:lang w:eastAsia="en-AU"/>
              </w:rPr>
            </w:pPr>
            <w:r w:rsidRPr="009F7B05">
              <w:rPr>
                <w:rFonts w:asciiTheme="majorHAnsi" w:eastAsia="Times New Roman" w:hAnsiTheme="majorHAnsi" w:cstheme="majorHAnsi"/>
                <w:b/>
                <w:color w:val="000000"/>
                <w:sz w:val="18"/>
                <w:szCs w:val="18"/>
                <w:lang w:eastAsia="en-AU"/>
              </w:rPr>
              <w:t>Base rate (%)</w:t>
            </w:r>
          </w:p>
        </w:tc>
        <w:tc>
          <w:tcPr>
            <w:tcW w:w="2026" w:type="dxa"/>
            <w:vMerge w:val="restart"/>
            <w:tcBorders>
              <w:top w:val="single" w:sz="4" w:space="0" w:color="auto"/>
              <w:left w:val="nil"/>
              <w:right w:val="nil"/>
            </w:tcBorders>
            <w:shd w:val="clear" w:color="auto" w:fill="auto"/>
            <w:noWrap/>
            <w:hideMark/>
          </w:tcPr>
          <w:p w14:paraId="5DFBA7A9" w14:textId="77777777" w:rsidR="00335CF7" w:rsidRPr="009F7B05" w:rsidRDefault="00335CF7" w:rsidP="000F69BD">
            <w:pPr>
              <w:spacing w:after="0" w:line="240" w:lineRule="auto"/>
              <w:rPr>
                <w:rFonts w:asciiTheme="majorHAnsi" w:eastAsia="Times New Roman" w:hAnsiTheme="majorHAnsi" w:cstheme="majorHAnsi"/>
                <w:b/>
                <w:color w:val="000000"/>
                <w:sz w:val="18"/>
                <w:szCs w:val="18"/>
                <w:lang w:eastAsia="en-AU"/>
              </w:rPr>
            </w:pPr>
            <w:r w:rsidRPr="009F7B05">
              <w:rPr>
                <w:rFonts w:asciiTheme="majorHAnsi" w:eastAsia="Times New Roman" w:hAnsiTheme="majorHAnsi" w:cstheme="majorHAnsi"/>
                <w:b/>
                <w:color w:val="000000"/>
                <w:sz w:val="18"/>
                <w:szCs w:val="18"/>
                <w:lang w:eastAsia="en-AU"/>
              </w:rPr>
              <w:t>Tariff reduction outcome</w:t>
            </w:r>
          </w:p>
        </w:tc>
        <w:tc>
          <w:tcPr>
            <w:tcW w:w="1147" w:type="dxa"/>
            <w:vMerge w:val="restart"/>
            <w:tcBorders>
              <w:top w:val="single" w:sz="4" w:space="0" w:color="auto"/>
              <w:left w:val="nil"/>
              <w:right w:val="nil"/>
            </w:tcBorders>
            <w:shd w:val="clear" w:color="auto" w:fill="auto"/>
            <w:noWrap/>
            <w:hideMark/>
          </w:tcPr>
          <w:p w14:paraId="1A5BF5E8" w14:textId="77777777" w:rsidR="00335CF7" w:rsidRPr="009F7B05" w:rsidRDefault="00335CF7" w:rsidP="000F69BD">
            <w:pPr>
              <w:spacing w:after="0" w:line="240" w:lineRule="auto"/>
              <w:jc w:val="right"/>
              <w:rPr>
                <w:rFonts w:asciiTheme="majorHAnsi" w:eastAsia="Times New Roman" w:hAnsiTheme="majorHAnsi" w:cstheme="majorHAnsi"/>
                <w:b/>
                <w:color w:val="000000"/>
                <w:sz w:val="18"/>
                <w:szCs w:val="18"/>
                <w:lang w:eastAsia="en-AU"/>
              </w:rPr>
            </w:pPr>
            <w:r>
              <w:rPr>
                <w:rFonts w:asciiTheme="majorHAnsi" w:eastAsia="Times New Roman" w:hAnsiTheme="majorHAnsi" w:cstheme="majorHAnsi"/>
                <w:b/>
                <w:color w:val="000000"/>
                <w:sz w:val="18"/>
                <w:szCs w:val="18"/>
                <w:lang w:eastAsia="en-AU"/>
              </w:rPr>
              <w:t>Tariff amount (average, 2018-</w:t>
            </w:r>
            <w:proofErr w:type="gramStart"/>
            <w:r>
              <w:rPr>
                <w:rFonts w:asciiTheme="majorHAnsi" w:eastAsia="Times New Roman" w:hAnsiTheme="majorHAnsi" w:cstheme="majorHAnsi"/>
                <w:b/>
                <w:color w:val="000000"/>
                <w:sz w:val="18"/>
                <w:szCs w:val="18"/>
                <w:lang w:eastAsia="en-AU"/>
              </w:rPr>
              <w:t>2020)</w:t>
            </w:r>
            <w:r w:rsidRPr="00894292">
              <w:rPr>
                <w:rFonts w:asciiTheme="majorHAnsi" w:eastAsia="Times New Roman" w:hAnsiTheme="majorHAnsi" w:cstheme="majorHAnsi"/>
                <w:b/>
                <w:color w:val="000000"/>
                <w:sz w:val="18"/>
                <w:szCs w:val="18"/>
                <w:lang w:eastAsia="en-AU"/>
              </w:rPr>
              <w:t>*</w:t>
            </w:r>
            <w:proofErr w:type="gramEnd"/>
            <w:r w:rsidRPr="00894292">
              <w:rPr>
                <w:rFonts w:asciiTheme="majorHAnsi" w:eastAsia="Times New Roman" w:hAnsiTheme="majorHAnsi" w:cstheme="majorHAnsi"/>
                <w:b/>
                <w:color w:val="000000"/>
                <w:sz w:val="18"/>
                <w:szCs w:val="18"/>
                <w:lang w:eastAsia="en-AU"/>
              </w:rPr>
              <w:br/>
            </w:r>
            <w:r w:rsidRPr="004C7621">
              <w:rPr>
                <w:rFonts w:asciiTheme="majorHAnsi" w:eastAsia="Times New Roman" w:hAnsiTheme="majorHAnsi" w:cstheme="majorHAnsi"/>
                <w:bCs/>
                <w:color w:val="000000"/>
                <w:sz w:val="18"/>
                <w:szCs w:val="18"/>
                <w:lang w:eastAsia="en-AU"/>
              </w:rPr>
              <w:t>($A)</w:t>
            </w:r>
          </w:p>
        </w:tc>
      </w:tr>
      <w:tr w:rsidR="007C01E6" w:rsidRPr="009F7B05" w14:paraId="459D9DE1" w14:textId="77777777" w:rsidTr="000F69BD">
        <w:tc>
          <w:tcPr>
            <w:tcW w:w="858" w:type="dxa"/>
            <w:tcBorders>
              <w:top w:val="nil"/>
              <w:left w:val="nil"/>
              <w:bottom w:val="single" w:sz="4" w:space="0" w:color="auto"/>
              <w:right w:val="nil"/>
            </w:tcBorders>
            <w:shd w:val="clear" w:color="auto" w:fill="auto"/>
            <w:noWrap/>
            <w:vAlign w:val="bottom"/>
            <w:hideMark/>
          </w:tcPr>
          <w:p w14:paraId="6C456CAF" w14:textId="77777777" w:rsidR="007C01E6" w:rsidRPr="009F7B05" w:rsidRDefault="007C01E6" w:rsidP="007C01E6">
            <w:pPr>
              <w:spacing w:after="0" w:line="240" w:lineRule="auto"/>
              <w:rPr>
                <w:rFonts w:asciiTheme="majorHAnsi" w:eastAsia="Times New Roman" w:hAnsiTheme="majorHAnsi" w:cstheme="majorHAnsi"/>
                <w:color w:val="000000"/>
                <w:sz w:val="18"/>
                <w:szCs w:val="18"/>
                <w:lang w:eastAsia="en-AU"/>
              </w:rPr>
            </w:pPr>
          </w:p>
        </w:tc>
        <w:tc>
          <w:tcPr>
            <w:tcW w:w="847" w:type="dxa"/>
            <w:tcBorders>
              <w:top w:val="nil"/>
              <w:left w:val="nil"/>
              <w:bottom w:val="single" w:sz="4" w:space="0" w:color="auto"/>
              <w:right w:val="nil"/>
            </w:tcBorders>
            <w:shd w:val="clear" w:color="auto" w:fill="auto"/>
            <w:noWrap/>
            <w:vAlign w:val="bottom"/>
            <w:hideMark/>
          </w:tcPr>
          <w:p w14:paraId="3E676511" w14:textId="77777777" w:rsidR="007C01E6" w:rsidRPr="009F7B05" w:rsidRDefault="007C01E6" w:rsidP="007C01E6">
            <w:pPr>
              <w:spacing w:after="0" w:line="240" w:lineRule="auto"/>
              <w:rPr>
                <w:rFonts w:asciiTheme="majorHAnsi" w:eastAsia="Times New Roman" w:hAnsiTheme="majorHAnsi" w:cstheme="majorHAnsi"/>
                <w:color w:val="000000"/>
                <w:sz w:val="18"/>
                <w:szCs w:val="18"/>
                <w:lang w:eastAsia="en-AU"/>
              </w:rPr>
            </w:pPr>
            <w:r w:rsidRPr="009F7B05">
              <w:rPr>
                <w:rFonts w:asciiTheme="majorHAnsi" w:eastAsia="Times New Roman" w:hAnsiTheme="majorHAnsi" w:cstheme="majorHAnsi"/>
                <w:color w:val="000000"/>
                <w:sz w:val="18"/>
                <w:szCs w:val="18"/>
                <w:lang w:eastAsia="en-AU"/>
              </w:rPr>
              <w:t>Code</w:t>
            </w:r>
          </w:p>
        </w:tc>
        <w:tc>
          <w:tcPr>
            <w:tcW w:w="2635" w:type="dxa"/>
            <w:tcBorders>
              <w:top w:val="nil"/>
              <w:left w:val="nil"/>
              <w:bottom w:val="single" w:sz="4" w:space="0" w:color="auto"/>
              <w:right w:val="nil"/>
            </w:tcBorders>
            <w:shd w:val="clear" w:color="auto" w:fill="auto"/>
            <w:noWrap/>
            <w:vAlign w:val="bottom"/>
            <w:hideMark/>
          </w:tcPr>
          <w:p w14:paraId="1F9D21CF" w14:textId="77777777" w:rsidR="007C01E6" w:rsidRPr="009F7B05" w:rsidRDefault="007C01E6" w:rsidP="007C01E6">
            <w:pPr>
              <w:spacing w:after="0" w:line="240" w:lineRule="auto"/>
              <w:rPr>
                <w:rFonts w:asciiTheme="majorHAnsi" w:eastAsia="Times New Roman" w:hAnsiTheme="majorHAnsi" w:cstheme="majorHAnsi"/>
                <w:color w:val="000000"/>
                <w:sz w:val="18"/>
                <w:szCs w:val="18"/>
                <w:lang w:eastAsia="en-AU"/>
              </w:rPr>
            </w:pPr>
            <w:r w:rsidRPr="009F7B05">
              <w:rPr>
                <w:rFonts w:asciiTheme="majorHAnsi" w:eastAsia="Times New Roman" w:hAnsiTheme="majorHAnsi" w:cstheme="majorHAnsi"/>
                <w:color w:val="000000"/>
                <w:sz w:val="18"/>
                <w:szCs w:val="18"/>
                <w:lang w:eastAsia="en-AU"/>
              </w:rPr>
              <w:t>Description</w:t>
            </w:r>
          </w:p>
        </w:tc>
        <w:tc>
          <w:tcPr>
            <w:tcW w:w="1189" w:type="dxa"/>
            <w:tcBorders>
              <w:top w:val="nil"/>
              <w:left w:val="nil"/>
              <w:bottom w:val="single" w:sz="4" w:space="0" w:color="auto"/>
              <w:right w:val="nil"/>
            </w:tcBorders>
            <w:shd w:val="clear" w:color="auto" w:fill="auto"/>
            <w:noWrap/>
            <w:vAlign w:val="bottom"/>
            <w:hideMark/>
          </w:tcPr>
          <w:p w14:paraId="6A26B380" w14:textId="77777777" w:rsidR="007C01E6" w:rsidRPr="009F7B05" w:rsidRDefault="007C01E6" w:rsidP="007C01E6">
            <w:pPr>
              <w:spacing w:after="0" w:line="240" w:lineRule="auto"/>
              <w:rPr>
                <w:rFonts w:asciiTheme="majorHAnsi" w:eastAsia="Times New Roman" w:hAnsiTheme="majorHAnsi" w:cstheme="majorHAnsi"/>
                <w:sz w:val="18"/>
                <w:szCs w:val="18"/>
                <w:lang w:eastAsia="en-AU"/>
              </w:rPr>
            </w:pPr>
            <w:r w:rsidRPr="009F7B05">
              <w:rPr>
                <w:rFonts w:asciiTheme="majorHAnsi" w:eastAsia="Times New Roman" w:hAnsiTheme="majorHAnsi" w:cstheme="majorHAnsi"/>
                <w:sz w:val="18"/>
                <w:szCs w:val="18"/>
                <w:lang w:eastAsia="en-AU"/>
              </w:rPr>
              <w:t>Value ($A)</w:t>
            </w:r>
          </w:p>
        </w:tc>
        <w:tc>
          <w:tcPr>
            <w:tcW w:w="1033" w:type="dxa"/>
            <w:tcBorders>
              <w:top w:val="nil"/>
              <w:left w:val="nil"/>
              <w:bottom w:val="single" w:sz="4" w:space="0" w:color="auto"/>
              <w:right w:val="nil"/>
            </w:tcBorders>
            <w:shd w:val="clear" w:color="auto" w:fill="auto"/>
            <w:noWrap/>
            <w:vAlign w:val="bottom"/>
            <w:hideMark/>
          </w:tcPr>
          <w:p w14:paraId="69C12345" w14:textId="0EF2BCEB" w:rsidR="007C01E6" w:rsidRPr="009F7B05" w:rsidRDefault="007C01E6" w:rsidP="007C01E6">
            <w:pPr>
              <w:spacing w:after="0" w:line="240" w:lineRule="auto"/>
              <w:rPr>
                <w:rFonts w:asciiTheme="majorHAnsi" w:eastAsia="Times New Roman" w:hAnsiTheme="majorHAnsi" w:cstheme="majorHAnsi"/>
                <w:sz w:val="18"/>
                <w:szCs w:val="18"/>
                <w:lang w:eastAsia="en-AU"/>
              </w:rPr>
            </w:pPr>
            <w:r w:rsidRPr="00894292">
              <w:rPr>
                <w:rFonts w:asciiTheme="majorHAnsi" w:eastAsia="Times New Roman" w:hAnsiTheme="majorHAnsi" w:cstheme="majorHAnsi"/>
                <w:color w:val="000000"/>
                <w:sz w:val="18"/>
                <w:szCs w:val="18"/>
                <w:lang w:eastAsia="en-AU"/>
              </w:rPr>
              <w:t xml:space="preserve">% </w:t>
            </w:r>
            <w:proofErr w:type="gramStart"/>
            <w:r w:rsidRPr="00894292">
              <w:rPr>
                <w:rFonts w:asciiTheme="majorHAnsi" w:eastAsia="Times New Roman" w:hAnsiTheme="majorHAnsi" w:cstheme="majorHAnsi"/>
                <w:color w:val="000000"/>
                <w:sz w:val="18"/>
                <w:szCs w:val="18"/>
                <w:lang w:eastAsia="en-AU"/>
              </w:rPr>
              <w:t>of</w:t>
            </w:r>
            <w:proofErr w:type="gramEnd"/>
            <w:r w:rsidRPr="00894292">
              <w:rPr>
                <w:rFonts w:asciiTheme="majorHAnsi" w:eastAsia="Times New Roman" w:hAnsiTheme="majorHAnsi" w:cstheme="majorHAnsi"/>
                <w:color w:val="000000"/>
                <w:sz w:val="18"/>
                <w:szCs w:val="18"/>
                <w:lang w:eastAsia="en-AU"/>
              </w:rPr>
              <w:t xml:space="preserve"> </w:t>
            </w:r>
            <w:r>
              <w:rPr>
                <w:rFonts w:asciiTheme="majorHAnsi" w:eastAsia="Times New Roman" w:hAnsiTheme="majorHAnsi" w:cstheme="majorHAnsi"/>
                <w:color w:val="000000"/>
                <w:sz w:val="18"/>
                <w:szCs w:val="18"/>
                <w:lang w:eastAsia="en-AU"/>
              </w:rPr>
              <w:t>India’s global</w:t>
            </w:r>
            <w:r w:rsidRPr="00894292">
              <w:rPr>
                <w:rFonts w:asciiTheme="majorHAnsi" w:eastAsia="Times New Roman" w:hAnsiTheme="majorHAnsi" w:cstheme="majorHAnsi"/>
                <w:color w:val="000000"/>
                <w:sz w:val="18"/>
                <w:szCs w:val="18"/>
                <w:lang w:eastAsia="en-AU"/>
              </w:rPr>
              <w:t xml:space="preserve"> imports</w:t>
            </w:r>
          </w:p>
        </w:tc>
        <w:tc>
          <w:tcPr>
            <w:tcW w:w="613" w:type="dxa"/>
            <w:vMerge/>
            <w:tcBorders>
              <w:left w:val="nil"/>
              <w:bottom w:val="single" w:sz="4" w:space="0" w:color="auto"/>
              <w:right w:val="nil"/>
            </w:tcBorders>
            <w:shd w:val="clear" w:color="auto" w:fill="auto"/>
            <w:noWrap/>
            <w:vAlign w:val="bottom"/>
            <w:hideMark/>
          </w:tcPr>
          <w:p w14:paraId="3172EBE1" w14:textId="77777777" w:rsidR="007C01E6" w:rsidRPr="009F7B05" w:rsidRDefault="007C01E6" w:rsidP="007C01E6">
            <w:pPr>
              <w:spacing w:after="0" w:line="240" w:lineRule="auto"/>
              <w:rPr>
                <w:rFonts w:asciiTheme="majorHAnsi" w:eastAsia="Times New Roman" w:hAnsiTheme="majorHAnsi" w:cstheme="majorHAnsi"/>
                <w:sz w:val="18"/>
                <w:szCs w:val="18"/>
                <w:lang w:eastAsia="en-AU"/>
              </w:rPr>
            </w:pPr>
          </w:p>
        </w:tc>
        <w:tc>
          <w:tcPr>
            <w:tcW w:w="2026" w:type="dxa"/>
            <w:vMerge/>
            <w:tcBorders>
              <w:left w:val="nil"/>
              <w:bottom w:val="single" w:sz="4" w:space="0" w:color="auto"/>
              <w:right w:val="nil"/>
            </w:tcBorders>
            <w:shd w:val="clear" w:color="auto" w:fill="auto"/>
            <w:noWrap/>
            <w:vAlign w:val="bottom"/>
            <w:hideMark/>
          </w:tcPr>
          <w:p w14:paraId="20CFDA1A" w14:textId="77777777" w:rsidR="007C01E6" w:rsidRPr="009F7B05" w:rsidRDefault="007C01E6" w:rsidP="007C01E6">
            <w:pPr>
              <w:spacing w:after="0" w:line="240" w:lineRule="auto"/>
              <w:rPr>
                <w:rFonts w:asciiTheme="majorHAnsi" w:eastAsia="Times New Roman" w:hAnsiTheme="majorHAnsi" w:cstheme="majorHAnsi"/>
                <w:sz w:val="18"/>
                <w:szCs w:val="18"/>
                <w:lang w:eastAsia="en-AU"/>
              </w:rPr>
            </w:pPr>
          </w:p>
        </w:tc>
        <w:tc>
          <w:tcPr>
            <w:tcW w:w="1147" w:type="dxa"/>
            <w:vMerge/>
            <w:tcBorders>
              <w:left w:val="nil"/>
              <w:bottom w:val="single" w:sz="4" w:space="0" w:color="auto"/>
              <w:right w:val="nil"/>
            </w:tcBorders>
            <w:shd w:val="clear" w:color="auto" w:fill="auto"/>
            <w:noWrap/>
            <w:vAlign w:val="bottom"/>
            <w:hideMark/>
          </w:tcPr>
          <w:p w14:paraId="60EED63C" w14:textId="77777777" w:rsidR="007C01E6" w:rsidRPr="009F7B05" w:rsidRDefault="007C01E6" w:rsidP="007C01E6">
            <w:pPr>
              <w:spacing w:after="0" w:line="240" w:lineRule="auto"/>
              <w:rPr>
                <w:rFonts w:asciiTheme="majorHAnsi" w:eastAsia="Times New Roman" w:hAnsiTheme="majorHAnsi" w:cstheme="majorHAnsi"/>
                <w:sz w:val="18"/>
                <w:szCs w:val="18"/>
                <w:lang w:eastAsia="en-AU"/>
              </w:rPr>
            </w:pPr>
          </w:p>
        </w:tc>
      </w:tr>
      <w:tr w:rsidR="00335CF7" w:rsidRPr="009F7B05" w14:paraId="0BE6E0D5" w14:textId="77777777" w:rsidTr="000F69BD">
        <w:tc>
          <w:tcPr>
            <w:tcW w:w="10348" w:type="dxa"/>
            <w:gridSpan w:val="8"/>
            <w:tcBorders>
              <w:top w:val="single" w:sz="4" w:space="0" w:color="auto"/>
              <w:left w:val="nil"/>
              <w:bottom w:val="single" w:sz="4" w:space="0" w:color="auto"/>
              <w:right w:val="nil"/>
            </w:tcBorders>
            <w:shd w:val="clear" w:color="auto" w:fill="auto"/>
            <w:noWrap/>
            <w:vAlign w:val="bottom"/>
          </w:tcPr>
          <w:p w14:paraId="4ABE91A9" w14:textId="77777777" w:rsidR="00335CF7" w:rsidRPr="009F7B05" w:rsidRDefault="00335CF7" w:rsidP="000F69BD">
            <w:pPr>
              <w:spacing w:after="0" w:line="240" w:lineRule="auto"/>
              <w:rPr>
                <w:rFonts w:asciiTheme="majorHAnsi" w:eastAsia="Times New Roman" w:hAnsiTheme="majorHAnsi" w:cstheme="majorHAnsi"/>
                <w:b/>
                <w:color w:val="000000"/>
                <w:sz w:val="18"/>
                <w:szCs w:val="18"/>
                <w:lang w:eastAsia="en-AU"/>
              </w:rPr>
            </w:pPr>
            <w:r w:rsidRPr="009F7B05">
              <w:rPr>
                <w:rFonts w:asciiTheme="majorHAnsi" w:hAnsiTheme="majorHAnsi" w:cstheme="majorHAnsi"/>
                <w:b/>
                <w:sz w:val="18"/>
                <w:szCs w:val="18"/>
              </w:rPr>
              <w:t>All seafood products</w:t>
            </w:r>
          </w:p>
        </w:tc>
      </w:tr>
      <w:tr w:rsidR="00335CF7" w:rsidRPr="009F7B05" w14:paraId="4C8CCDCF" w14:textId="77777777" w:rsidTr="005976E5">
        <w:tc>
          <w:tcPr>
            <w:tcW w:w="858" w:type="dxa"/>
            <w:tcBorders>
              <w:top w:val="single" w:sz="4" w:space="0" w:color="auto"/>
              <w:left w:val="nil"/>
              <w:right w:val="nil"/>
            </w:tcBorders>
            <w:shd w:val="clear" w:color="auto" w:fill="auto"/>
            <w:noWrap/>
            <w:vAlign w:val="center"/>
          </w:tcPr>
          <w:p w14:paraId="334BF617" w14:textId="77777777" w:rsidR="00335CF7" w:rsidRPr="009F7B05" w:rsidRDefault="00335CF7" w:rsidP="000F69BD">
            <w:pPr>
              <w:spacing w:after="0" w:line="240" w:lineRule="auto"/>
              <w:rPr>
                <w:rFonts w:asciiTheme="majorHAnsi" w:eastAsia="Times New Roman" w:hAnsiTheme="majorHAnsi" w:cstheme="majorHAnsi"/>
                <w:color w:val="000000"/>
                <w:sz w:val="18"/>
                <w:szCs w:val="18"/>
                <w:lang w:eastAsia="en-AU"/>
              </w:rPr>
            </w:pPr>
          </w:p>
        </w:tc>
        <w:tc>
          <w:tcPr>
            <w:tcW w:w="847" w:type="dxa"/>
            <w:tcBorders>
              <w:top w:val="single" w:sz="4" w:space="0" w:color="auto"/>
              <w:left w:val="nil"/>
              <w:right w:val="nil"/>
            </w:tcBorders>
            <w:shd w:val="clear" w:color="auto" w:fill="auto"/>
            <w:noWrap/>
            <w:vAlign w:val="center"/>
          </w:tcPr>
          <w:p w14:paraId="042C985E" w14:textId="77777777" w:rsidR="00335CF7" w:rsidRPr="009F7B05" w:rsidRDefault="00335CF7" w:rsidP="000F69BD">
            <w:pPr>
              <w:spacing w:after="0" w:line="240" w:lineRule="auto"/>
              <w:rPr>
                <w:rFonts w:asciiTheme="majorHAnsi" w:hAnsiTheme="majorHAnsi" w:cstheme="majorHAnsi"/>
                <w:sz w:val="18"/>
                <w:szCs w:val="18"/>
              </w:rPr>
            </w:pPr>
          </w:p>
        </w:tc>
        <w:tc>
          <w:tcPr>
            <w:tcW w:w="2635" w:type="dxa"/>
            <w:tcBorders>
              <w:top w:val="single" w:sz="4" w:space="0" w:color="auto"/>
              <w:left w:val="nil"/>
              <w:right w:val="nil"/>
            </w:tcBorders>
            <w:shd w:val="clear" w:color="auto" w:fill="auto"/>
            <w:noWrap/>
            <w:vAlign w:val="center"/>
          </w:tcPr>
          <w:p w14:paraId="3DDDF09E" w14:textId="77777777" w:rsidR="00335CF7" w:rsidRPr="009F7B05" w:rsidRDefault="00335CF7" w:rsidP="000F69BD">
            <w:pPr>
              <w:spacing w:after="0" w:line="240" w:lineRule="auto"/>
              <w:rPr>
                <w:rFonts w:asciiTheme="majorHAnsi" w:eastAsia="Times New Roman" w:hAnsiTheme="majorHAnsi" w:cstheme="majorHAnsi"/>
                <w:color w:val="000000"/>
                <w:sz w:val="18"/>
                <w:szCs w:val="18"/>
                <w:lang w:eastAsia="en-AU"/>
              </w:rPr>
            </w:pPr>
            <w:r w:rsidRPr="009F7B05">
              <w:rPr>
                <w:rFonts w:asciiTheme="majorHAnsi" w:eastAsia="Times New Roman" w:hAnsiTheme="majorHAnsi" w:cstheme="majorHAnsi"/>
                <w:bCs/>
                <w:color w:val="000000"/>
                <w:sz w:val="18"/>
                <w:szCs w:val="18"/>
                <w:lang w:eastAsia="en-AU"/>
              </w:rPr>
              <w:t>all seafood commodities</w:t>
            </w:r>
          </w:p>
        </w:tc>
        <w:tc>
          <w:tcPr>
            <w:tcW w:w="1189" w:type="dxa"/>
            <w:tcBorders>
              <w:top w:val="single" w:sz="4" w:space="0" w:color="auto"/>
              <w:left w:val="nil"/>
              <w:right w:val="nil"/>
            </w:tcBorders>
            <w:shd w:val="clear" w:color="auto" w:fill="auto"/>
            <w:noWrap/>
            <w:vAlign w:val="center"/>
          </w:tcPr>
          <w:p w14:paraId="0664A628" w14:textId="77777777" w:rsidR="00335CF7" w:rsidRPr="0069587E" w:rsidRDefault="00335CF7" w:rsidP="000F69BD">
            <w:pPr>
              <w:spacing w:after="0" w:line="240" w:lineRule="auto"/>
              <w:jc w:val="right"/>
              <w:rPr>
                <w:rFonts w:asciiTheme="majorHAnsi" w:hAnsiTheme="majorHAnsi" w:cstheme="majorHAnsi"/>
                <w:sz w:val="18"/>
                <w:szCs w:val="18"/>
              </w:rPr>
            </w:pPr>
            <w:r w:rsidRPr="0069587E">
              <w:rPr>
                <w:rFonts w:asciiTheme="majorHAnsi" w:hAnsiTheme="majorHAnsi" w:cstheme="majorHAnsi"/>
                <w:sz w:val="18"/>
                <w:szCs w:val="18"/>
              </w:rPr>
              <w:t>0</w:t>
            </w:r>
          </w:p>
        </w:tc>
        <w:tc>
          <w:tcPr>
            <w:tcW w:w="1033" w:type="dxa"/>
            <w:tcBorders>
              <w:top w:val="single" w:sz="4" w:space="0" w:color="auto"/>
              <w:left w:val="nil"/>
              <w:right w:val="nil"/>
            </w:tcBorders>
            <w:shd w:val="clear" w:color="auto" w:fill="auto"/>
            <w:noWrap/>
            <w:vAlign w:val="center"/>
          </w:tcPr>
          <w:p w14:paraId="5E470E51" w14:textId="77777777" w:rsidR="00335CF7" w:rsidRPr="0069587E" w:rsidRDefault="00335CF7" w:rsidP="000F69BD">
            <w:pPr>
              <w:spacing w:after="0" w:line="240" w:lineRule="auto"/>
              <w:jc w:val="right"/>
              <w:rPr>
                <w:rFonts w:asciiTheme="majorHAnsi" w:hAnsiTheme="majorHAnsi" w:cstheme="majorHAnsi"/>
                <w:sz w:val="18"/>
                <w:szCs w:val="18"/>
              </w:rPr>
            </w:pPr>
            <w:r w:rsidRPr="0069587E">
              <w:rPr>
                <w:rFonts w:asciiTheme="majorHAnsi" w:hAnsiTheme="majorHAnsi" w:cstheme="majorHAnsi"/>
                <w:sz w:val="18"/>
                <w:szCs w:val="18"/>
              </w:rPr>
              <w:t>-</w:t>
            </w:r>
          </w:p>
        </w:tc>
        <w:tc>
          <w:tcPr>
            <w:tcW w:w="613" w:type="dxa"/>
            <w:tcBorders>
              <w:top w:val="single" w:sz="4" w:space="0" w:color="auto"/>
              <w:left w:val="nil"/>
              <w:right w:val="nil"/>
            </w:tcBorders>
            <w:shd w:val="clear" w:color="auto" w:fill="auto"/>
            <w:noWrap/>
            <w:vAlign w:val="center"/>
          </w:tcPr>
          <w:p w14:paraId="66FD25B2" w14:textId="77777777" w:rsidR="00335CF7" w:rsidRPr="0069587E" w:rsidRDefault="00335CF7" w:rsidP="005976E5">
            <w:pPr>
              <w:spacing w:after="0" w:line="240" w:lineRule="auto"/>
              <w:jc w:val="center"/>
              <w:rPr>
                <w:rFonts w:asciiTheme="majorHAnsi" w:hAnsiTheme="majorHAnsi" w:cstheme="majorHAnsi"/>
                <w:sz w:val="18"/>
                <w:szCs w:val="18"/>
              </w:rPr>
            </w:pPr>
            <w:r w:rsidRPr="0069587E">
              <w:rPr>
                <w:rFonts w:asciiTheme="majorHAnsi" w:hAnsiTheme="majorHAnsi" w:cstheme="majorHAnsi"/>
                <w:sz w:val="18"/>
                <w:szCs w:val="18"/>
              </w:rPr>
              <w:t>30</w:t>
            </w:r>
          </w:p>
        </w:tc>
        <w:tc>
          <w:tcPr>
            <w:tcW w:w="2026" w:type="dxa"/>
            <w:tcBorders>
              <w:top w:val="single" w:sz="4" w:space="0" w:color="auto"/>
              <w:left w:val="nil"/>
              <w:right w:val="nil"/>
            </w:tcBorders>
            <w:shd w:val="clear" w:color="auto" w:fill="auto"/>
            <w:noWrap/>
            <w:vAlign w:val="center"/>
          </w:tcPr>
          <w:p w14:paraId="189C0990" w14:textId="77777777" w:rsidR="00335CF7" w:rsidRPr="009F7B05" w:rsidRDefault="00335CF7" w:rsidP="000F69BD">
            <w:pPr>
              <w:spacing w:after="0" w:line="240" w:lineRule="auto"/>
              <w:rPr>
                <w:rFonts w:asciiTheme="majorHAnsi" w:hAnsiTheme="majorHAnsi" w:cstheme="majorHAnsi"/>
                <w:sz w:val="16"/>
                <w:szCs w:val="16"/>
              </w:rPr>
            </w:pPr>
            <w:r w:rsidRPr="009F7B05">
              <w:rPr>
                <w:rFonts w:asciiTheme="majorHAnsi" w:hAnsiTheme="majorHAnsi" w:cstheme="majorHAnsi"/>
                <w:sz w:val="16"/>
                <w:szCs w:val="16"/>
              </w:rPr>
              <w:t>Eliminated on entry-into-force without conditions</w:t>
            </w:r>
          </w:p>
        </w:tc>
        <w:tc>
          <w:tcPr>
            <w:tcW w:w="1147" w:type="dxa"/>
            <w:tcBorders>
              <w:top w:val="single" w:sz="4" w:space="0" w:color="auto"/>
              <w:left w:val="nil"/>
              <w:right w:val="nil"/>
            </w:tcBorders>
            <w:shd w:val="clear" w:color="auto" w:fill="auto"/>
            <w:noWrap/>
            <w:vAlign w:val="center"/>
          </w:tcPr>
          <w:p w14:paraId="3527A25E" w14:textId="77777777" w:rsidR="00335CF7" w:rsidRPr="009F7B05" w:rsidRDefault="00335CF7" w:rsidP="000F69BD">
            <w:pPr>
              <w:spacing w:after="0" w:line="240" w:lineRule="auto"/>
              <w:jc w:val="right"/>
              <w:rPr>
                <w:rFonts w:asciiTheme="majorHAnsi" w:hAnsiTheme="majorHAnsi" w:cstheme="majorHAnsi"/>
                <w:sz w:val="18"/>
                <w:szCs w:val="18"/>
              </w:rPr>
            </w:pPr>
            <w:r w:rsidRPr="009F7B05">
              <w:rPr>
                <w:rFonts w:asciiTheme="majorHAnsi" w:hAnsiTheme="majorHAnsi" w:cstheme="majorHAnsi"/>
                <w:sz w:val="18"/>
                <w:szCs w:val="18"/>
              </w:rPr>
              <w:t>0</w:t>
            </w:r>
          </w:p>
        </w:tc>
      </w:tr>
      <w:tr w:rsidR="00335CF7" w:rsidRPr="009F7B05" w14:paraId="149A2C5E" w14:textId="77777777" w:rsidTr="005976E5">
        <w:tc>
          <w:tcPr>
            <w:tcW w:w="858" w:type="dxa"/>
            <w:tcBorders>
              <w:left w:val="nil"/>
              <w:right w:val="nil"/>
            </w:tcBorders>
            <w:shd w:val="clear" w:color="auto" w:fill="auto"/>
            <w:noWrap/>
            <w:vAlign w:val="center"/>
          </w:tcPr>
          <w:p w14:paraId="50C059FC" w14:textId="77777777" w:rsidR="00335CF7" w:rsidRPr="009F7B05" w:rsidRDefault="00335CF7" w:rsidP="000F69BD">
            <w:pPr>
              <w:spacing w:after="0" w:line="240" w:lineRule="auto"/>
              <w:rPr>
                <w:rFonts w:asciiTheme="majorHAnsi" w:eastAsia="Times New Roman" w:hAnsiTheme="majorHAnsi" w:cstheme="majorHAnsi"/>
                <w:bCs/>
                <w:color w:val="000000"/>
                <w:sz w:val="18"/>
                <w:szCs w:val="18"/>
                <w:lang w:eastAsia="en-AU"/>
              </w:rPr>
            </w:pPr>
          </w:p>
        </w:tc>
        <w:tc>
          <w:tcPr>
            <w:tcW w:w="847" w:type="dxa"/>
            <w:tcBorders>
              <w:left w:val="nil"/>
              <w:right w:val="nil"/>
            </w:tcBorders>
            <w:shd w:val="clear" w:color="auto" w:fill="auto"/>
            <w:noWrap/>
            <w:vAlign w:val="center"/>
          </w:tcPr>
          <w:p w14:paraId="7E4905F0" w14:textId="77777777" w:rsidR="00335CF7" w:rsidRPr="009F7B05" w:rsidRDefault="00335CF7" w:rsidP="000F69BD">
            <w:pPr>
              <w:spacing w:after="0" w:line="240" w:lineRule="auto"/>
              <w:rPr>
                <w:rFonts w:asciiTheme="majorHAnsi" w:hAnsiTheme="majorHAnsi" w:cstheme="majorHAnsi"/>
                <w:bCs/>
                <w:sz w:val="18"/>
                <w:szCs w:val="18"/>
              </w:rPr>
            </w:pPr>
          </w:p>
        </w:tc>
        <w:tc>
          <w:tcPr>
            <w:tcW w:w="2635" w:type="dxa"/>
            <w:tcBorders>
              <w:left w:val="nil"/>
              <w:right w:val="nil"/>
            </w:tcBorders>
            <w:shd w:val="clear" w:color="auto" w:fill="auto"/>
            <w:noWrap/>
            <w:vAlign w:val="center"/>
          </w:tcPr>
          <w:p w14:paraId="5275CFE2" w14:textId="77777777" w:rsidR="00335CF7" w:rsidRPr="009F7B05" w:rsidRDefault="00335CF7" w:rsidP="000F69BD">
            <w:pPr>
              <w:spacing w:after="0" w:line="240" w:lineRule="auto"/>
              <w:rPr>
                <w:rFonts w:asciiTheme="majorHAnsi" w:eastAsia="Times New Roman" w:hAnsiTheme="majorHAnsi" w:cstheme="majorHAnsi"/>
                <w:bCs/>
                <w:color w:val="000000"/>
                <w:sz w:val="18"/>
                <w:szCs w:val="18"/>
                <w:lang w:eastAsia="en-AU"/>
              </w:rPr>
            </w:pPr>
            <w:r w:rsidRPr="009F7B05">
              <w:rPr>
                <w:rFonts w:asciiTheme="majorHAnsi" w:eastAsia="Times New Roman" w:hAnsiTheme="majorHAnsi" w:cstheme="majorHAnsi"/>
                <w:bCs/>
                <w:color w:val="000000"/>
                <w:sz w:val="18"/>
                <w:szCs w:val="18"/>
                <w:lang w:eastAsia="en-AU"/>
              </w:rPr>
              <w:t>all seafood commodities</w:t>
            </w:r>
          </w:p>
        </w:tc>
        <w:tc>
          <w:tcPr>
            <w:tcW w:w="1189" w:type="dxa"/>
            <w:tcBorders>
              <w:left w:val="nil"/>
              <w:right w:val="nil"/>
            </w:tcBorders>
            <w:shd w:val="clear" w:color="auto" w:fill="auto"/>
            <w:noWrap/>
            <w:vAlign w:val="center"/>
          </w:tcPr>
          <w:p w14:paraId="0CB4E925" w14:textId="77777777" w:rsidR="00335CF7" w:rsidRPr="0069587E" w:rsidRDefault="00335CF7" w:rsidP="000F69BD">
            <w:pPr>
              <w:spacing w:after="0" w:line="240" w:lineRule="auto"/>
              <w:jc w:val="right"/>
              <w:rPr>
                <w:rFonts w:asciiTheme="majorHAnsi" w:hAnsiTheme="majorHAnsi" w:cstheme="majorHAnsi"/>
                <w:bCs/>
                <w:sz w:val="18"/>
                <w:szCs w:val="18"/>
              </w:rPr>
            </w:pPr>
            <w:r w:rsidRPr="0069587E">
              <w:rPr>
                <w:rFonts w:asciiTheme="majorHAnsi" w:hAnsiTheme="majorHAnsi" w:cstheme="majorHAnsi"/>
                <w:sz w:val="18"/>
                <w:szCs w:val="18"/>
              </w:rPr>
              <w:t>0</w:t>
            </w:r>
          </w:p>
        </w:tc>
        <w:tc>
          <w:tcPr>
            <w:tcW w:w="1033" w:type="dxa"/>
            <w:tcBorders>
              <w:left w:val="nil"/>
              <w:right w:val="nil"/>
            </w:tcBorders>
            <w:shd w:val="clear" w:color="auto" w:fill="auto"/>
            <w:noWrap/>
            <w:vAlign w:val="center"/>
          </w:tcPr>
          <w:p w14:paraId="1360F454" w14:textId="77777777" w:rsidR="00335CF7" w:rsidRPr="0069587E" w:rsidRDefault="00335CF7" w:rsidP="000F69BD">
            <w:pPr>
              <w:spacing w:after="0" w:line="240" w:lineRule="auto"/>
              <w:jc w:val="right"/>
              <w:rPr>
                <w:rFonts w:asciiTheme="majorHAnsi" w:hAnsiTheme="majorHAnsi" w:cstheme="majorHAnsi"/>
                <w:bCs/>
                <w:sz w:val="18"/>
                <w:szCs w:val="18"/>
              </w:rPr>
            </w:pPr>
            <w:r w:rsidRPr="0069587E">
              <w:rPr>
                <w:rFonts w:asciiTheme="majorHAnsi" w:hAnsiTheme="majorHAnsi" w:cstheme="majorHAnsi"/>
                <w:sz w:val="18"/>
                <w:szCs w:val="18"/>
              </w:rPr>
              <w:t>0.0%</w:t>
            </w:r>
          </w:p>
        </w:tc>
        <w:tc>
          <w:tcPr>
            <w:tcW w:w="613" w:type="dxa"/>
            <w:tcBorders>
              <w:left w:val="nil"/>
              <w:right w:val="nil"/>
            </w:tcBorders>
            <w:shd w:val="clear" w:color="auto" w:fill="auto"/>
            <w:noWrap/>
            <w:vAlign w:val="center"/>
          </w:tcPr>
          <w:p w14:paraId="098A03B9" w14:textId="77777777" w:rsidR="00335CF7" w:rsidRPr="0069587E" w:rsidRDefault="00335CF7" w:rsidP="005976E5">
            <w:pPr>
              <w:spacing w:after="0" w:line="240" w:lineRule="auto"/>
              <w:jc w:val="center"/>
              <w:rPr>
                <w:rFonts w:asciiTheme="majorHAnsi" w:eastAsia="Times New Roman" w:hAnsiTheme="majorHAnsi" w:cstheme="majorHAnsi"/>
                <w:bCs/>
                <w:color w:val="000000"/>
                <w:sz w:val="18"/>
                <w:szCs w:val="18"/>
                <w:lang w:eastAsia="en-AU"/>
              </w:rPr>
            </w:pPr>
            <w:r w:rsidRPr="0069587E">
              <w:rPr>
                <w:rFonts w:asciiTheme="majorHAnsi" w:hAnsiTheme="majorHAnsi" w:cstheme="majorHAnsi"/>
                <w:sz w:val="18"/>
                <w:szCs w:val="18"/>
              </w:rPr>
              <w:t>10</w:t>
            </w:r>
          </w:p>
        </w:tc>
        <w:tc>
          <w:tcPr>
            <w:tcW w:w="2026" w:type="dxa"/>
            <w:tcBorders>
              <w:left w:val="nil"/>
              <w:right w:val="nil"/>
            </w:tcBorders>
            <w:shd w:val="clear" w:color="auto" w:fill="auto"/>
            <w:noWrap/>
            <w:vAlign w:val="center"/>
          </w:tcPr>
          <w:p w14:paraId="0EBD9572" w14:textId="77777777" w:rsidR="00335CF7" w:rsidRPr="009F7B05" w:rsidRDefault="00335CF7" w:rsidP="000F69BD">
            <w:pPr>
              <w:spacing w:after="0" w:line="240" w:lineRule="auto"/>
              <w:rPr>
                <w:rFonts w:asciiTheme="majorHAnsi" w:eastAsia="Times New Roman" w:hAnsiTheme="majorHAnsi" w:cstheme="majorHAnsi"/>
                <w:bCs/>
                <w:sz w:val="16"/>
                <w:szCs w:val="16"/>
                <w:lang w:eastAsia="en-AU"/>
              </w:rPr>
            </w:pPr>
            <w:r w:rsidRPr="009F7B05">
              <w:rPr>
                <w:rFonts w:asciiTheme="majorHAnsi" w:hAnsiTheme="majorHAnsi" w:cstheme="majorHAnsi"/>
                <w:sz w:val="16"/>
                <w:szCs w:val="16"/>
              </w:rPr>
              <w:t>Eliminated by the 5th year without conditions</w:t>
            </w:r>
          </w:p>
        </w:tc>
        <w:tc>
          <w:tcPr>
            <w:tcW w:w="1147" w:type="dxa"/>
            <w:tcBorders>
              <w:left w:val="nil"/>
              <w:right w:val="nil"/>
            </w:tcBorders>
            <w:shd w:val="clear" w:color="auto" w:fill="auto"/>
            <w:noWrap/>
            <w:vAlign w:val="center"/>
          </w:tcPr>
          <w:p w14:paraId="1A1AE399" w14:textId="77777777" w:rsidR="00335CF7" w:rsidRPr="009F7B05" w:rsidRDefault="00335CF7" w:rsidP="000F69BD">
            <w:pPr>
              <w:spacing w:after="0" w:line="240" w:lineRule="auto"/>
              <w:jc w:val="right"/>
              <w:rPr>
                <w:rFonts w:asciiTheme="majorHAnsi" w:hAnsiTheme="majorHAnsi" w:cstheme="majorHAnsi"/>
                <w:bCs/>
                <w:sz w:val="18"/>
                <w:szCs w:val="18"/>
              </w:rPr>
            </w:pPr>
            <w:r w:rsidRPr="009F7B05">
              <w:rPr>
                <w:rFonts w:asciiTheme="majorHAnsi" w:hAnsiTheme="majorHAnsi" w:cstheme="majorHAnsi"/>
                <w:sz w:val="18"/>
                <w:szCs w:val="18"/>
              </w:rPr>
              <w:t>0</w:t>
            </w:r>
          </w:p>
        </w:tc>
      </w:tr>
      <w:tr w:rsidR="00335CF7" w:rsidRPr="009F7B05" w14:paraId="1C3770FD" w14:textId="77777777" w:rsidTr="005976E5">
        <w:tc>
          <w:tcPr>
            <w:tcW w:w="858" w:type="dxa"/>
            <w:tcBorders>
              <w:left w:val="nil"/>
              <w:right w:val="nil"/>
            </w:tcBorders>
            <w:shd w:val="clear" w:color="auto" w:fill="auto"/>
            <w:noWrap/>
            <w:vAlign w:val="center"/>
          </w:tcPr>
          <w:p w14:paraId="79A4C612" w14:textId="77777777" w:rsidR="00335CF7" w:rsidRPr="009F7B05" w:rsidRDefault="00335CF7" w:rsidP="000F69BD">
            <w:pPr>
              <w:spacing w:after="0" w:line="240" w:lineRule="auto"/>
              <w:rPr>
                <w:rFonts w:asciiTheme="majorHAnsi" w:eastAsia="Times New Roman" w:hAnsiTheme="majorHAnsi" w:cstheme="majorHAnsi"/>
                <w:bCs/>
                <w:color w:val="000000"/>
                <w:sz w:val="18"/>
                <w:szCs w:val="18"/>
                <w:lang w:eastAsia="en-AU"/>
              </w:rPr>
            </w:pPr>
          </w:p>
        </w:tc>
        <w:tc>
          <w:tcPr>
            <w:tcW w:w="847" w:type="dxa"/>
            <w:tcBorders>
              <w:left w:val="nil"/>
              <w:right w:val="nil"/>
            </w:tcBorders>
            <w:shd w:val="clear" w:color="auto" w:fill="auto"/>
            <w:noWrap/>
            <w:vAlign w:val="center"/>
          </w:tcPr>
          <w:p w14:paraId="414F9C05" w14:textId="77777777" w:rsidR="00335CF7" w:rsidRPr="009F7B05" w:rsidRDefault="00335CF7" w:rsidP="000F69BD">
            <w:pPr>
              <w:spacing w:after="0" w:line="240" w:lineRule="auto"/>
              <w:rPr>
                <w:rFonts w:asciiTheme="majorHAnsi" w:hAnsiTheme="majorHAnsi" w:cstheme="majorHAnsi"/>
                <w:bCs/>
                <w:sz w:val="18"/>
                <w:szCs w:val="18"/>
              </w:rPr>
            </w:pPr>
          </w:p>
        </w:tc>
        <w:tc>
          <w:tcPr>
            <w:tcW w:w="2635" w:type="dxa"/>
            <w:tcBorders>
              <w:left w:val="nil"/>
              <w:right w:val="nil"/>
            </w:tcBorders>
            <w:shd w:val="clear" w:color="auto" w:fill="auto"/>
            <w:noWrap/>
            <w:vAlign w:val="center"/>
          </w:tcPr>
          <w:p w14:paraId="262152D8" w14:textId="77777777" w:rsidR="00335CF7" w:rsidRPr="009F7B05" w:rsidRDefault="00335CF7" w:rsidP="000F69BD">
            <w:pPr>
              <w:spacing w:after="0" w:line="240" w:lineRule="auto"/>
              <w:rPr>
                <w:rFonts w:asciiTheme="majorHAnsi" w:eastAsia="Times New Roman" w:hAnsiTheme="majorHAnsi" w:cstheme="majorHAnsi"/>
                <w:bCs/>
                <w:color w:val="000000"/>
                <w:sz w:val="18"/>
                <w:szCs w:val="18"/>
                <w:lang w:eastAsia="en-AU"/>
              </w:rPr>
            </w:pPr>
            <w:r w:rsidRPr="009F7B05">
              <w:rPr>
                <w:rFonts w:asciiTheme="majorHAnsi" w:eastAsia="Times New Roman" w:hAnsiTheme="majorHAnsi" w:cstheme="majorHAnsi"/>
                <w:bCs/>
                <w:color w:val="000000"/>
                <w:sz w:val="18"/>
                <w:szCs w:val="18"/>
                <w:lang w:eastAsia="en-AU"/>
              </w:rPr>
              <w:t>all seafood commodities</w:t>
            </w:r>
          </w:p>
        </w:tc>
        <w:tc>
          <w:tcPr>
            <w:tcW w:w="1189" w:type="dxa"/>
            <w:tcBorders>
              <w:left w:val="nil"/>
              <w:right w:val="nil"/>
            </w:tcBorders>
            <w:shd w:val="clear" w:color="auto" w:fill="auto"/>
            <w:noWrap/>
            <w:vAlign w:val="center"/>
          </w:tcPr>
          <w:p w14:paraId="6773F8F1" w14:textId="77777777" w:rsidR="00335CF7" w:rsidRPr="0069587E" w:rsidRDefault="00335CF7" w:rsidP="000F69BD">
            <w:pPr>
              <w:spacing w:after="0" w:line="240" w:lineRule="auto"/>
              <w:jc w:val="right"/>
              <w:rPr>
                <w:rFonts w:asciiTheme="majorHAnsi" w:hAnsiTheme="majorHAnsi" w:cstheme="majorHAnsi"/>
                <w:bCs/>
                <w:sz w:val="18"/>
                <w:szCs w:val="18"/>
              </w:rPr>
            </w:pPr>
            <w:r w:rsidRPr="00284549">
              <w:rPr>
                <w:rFonts w:asciiTheme="majorHAnsi" w:hAnsiTheme="majorHAnsi" w:cstheme="majorHAnsi"/>
                <w:sz w:val="18"/>
                <w:szCs w:val="18"/>
              </w:rPr>
              <w:t>69,240</w:t>
            </w:r>
          </w:p>
        </w:tc>
        <w:tc>
          <w:tcPr>
            <w:tcW w:w="1033" w:type="dxa"/>
            <w:tcBorders>
              <w:left w:val="nil"/>
              <w:right w:val="nil"/>
            </w:tcBorders>
            <w:shd w:val="clear" w:color="auto" w:fill="auto"/>
            <w:noWrap/>
            <w:vAlign w:val="center"/>
          </w:tcPr>
          <w:p w14:paraId="67221289" w14:textId="77777777" w:rsidR="00335CF7" w:rsidRPr="0069587E" w:rsidRDefault="00335CF7" w:rsidP="000F69BD">
            <w:pPr>
              <w:spacing w:after="0" w:line="240" w:lineRule="auto"/>
              <w:jc w:val="right"/>
              <w:rPr>
                <w:rFonts w:asciiTheme="majorHAnsi" w:hAnsiTheme="majorHAnsi" w:cstheme="majorHAnsi"/>
                <w:bCs/>
                <w:sz w:val="18"/>
                <w:szCs w:val="18"/>
              </w:rPr>
            </w:pPr>
            <w:r w:rsidRPr="00284549">
              <w:rPr>
                <w:rFonts w:asciiTheme="majorHAnsi" w:hAnsiTheme="majorHAnsi" w:cstheme="majorHAnsi"/>
                <w:sz w:val="18"/>
                <w:szCs w:val="18"/>
              </w:rPr>
              <w:t>0.0%</w:t>
            </w:r>
          </w:p>
        </w:tc>
        <w:tc>
          <w:tcPr>
            <w:tcW w:w="613" w:type="dxa"/>
            <w:tcBorders>
              <w:left w:val="nil"/>
              <w:right w:val="nil"/>
            </w:tcBorders>
            <w:shd w:val="clear" w:color="auto" w:fill="auto"/>
            <w:noWrap/>
            <w:vAlign w:val="center"/>
          </w:tcPr>
          <w:p w14:paraId="212DFB92" w14:textId="77777777" w:rsidR="00335CF7" w:rsidRPr="0069587E" w:rsidRDefault="00335CF7" w:rsidP="005976E5">
            <w:pPr>
              <w:spacing w:after="0" w:line="240" w:lineRule="auto"/>
              <w:jc w:val="center"/>
              <w:rPr>
                <w:rFonts w:asciiTheme="majorHAnsi" w:eastAsia="Times New Roman" w:hAnsiTheme="majorHAnsi" w:cstheme="majorHAnsi"/>
                <w:bCs/>
                <w:color w:val="000000"/>
                <w:sz w:val="18"/>
                <w:szCs w:val="18"/>
                <w:lang w:eastAsia="en-AU"/>
              </w:rPr>
            </w:pPr>
            <w:r w:rsidRPr="00284549">
              <w:rPr>
                <w:rFonts w:asciiTheme="majorHAnsi" w:hAnsiTheme="majorHAnsi" w:cstheme="majorHAnsi"/>
                <w:sz w:val="18"/>
                <w:szCs w:val="18"/>
              </w:rPr>
              <w:t>30</w:t>
            </w:r>
          </w:p>
        </w:tc>
        <w:tc>
          <w:tcPr>
            <w:tcW w:w="2026" w:type="dxa"/>
            <w:tcBorders>
              <w:left w:val="nil"/>
              <w:right w:val="nil"/>
            </w:tcBorders>
            <w:shd w:val="clear" w:color="auto" w:fill="auto"/>
            <w:noWrap/>
            <w:vAlign w:val="center"/>
          </w:tcPr>
          <w:p w14:paraId="7C18D5CB" w14:textId="77777777" w:rsidR="00335CF7" w:rsidRPr="009F7B05" w:rsidRDefault="00335CF7" w:rsidP="000F69BD">
            <w:pPr>
              <w:spacing w:after="0" w:line="240" w:lineRule="auto"/>
              <w:rPr>
                <w:rFonts w:asciiTheme="majorHAnsi" w:eastAsia="Times New Roman" w:hAnsiTheme="majorHAnsi" w:cstheme="majorHAnsi"/>
                <w:bCs/>
                <w:sz w:val="16"/>
                <w:szCs w:val="16"/>
                <w:lang w:eastAsia="en-AU"/>
              </w:rPr>
            </w:pPr>
            <w:r w:rsidRPr="009F7B05">
              <w:rPr>
                <w:rFonts w:asciiTheme="majorHAnsi" w:hAnsiTheme="majorHAnsi" w:cstheme="majorHAnsi"/>
                <w:sz w:val="16"/>
                <w:szCs w:val="16"/>
              </w:rPr>
              <w:t>Eliminated by the 7th year without conditions</w:t>
            </w:r>
          </w:p>
        </w:tc>
        <w:tc>
          <w:tcPr>
            <w:tcW w:w="1147" w:type="dxa"/>
            <w:tcBorders>
              <w:left w:val="nil"/>
              <w:right w:val="nil"/>
            </w:tcBorders>
            <w:shd w:val="clear" w:color="auto" w:fill="auto"/>
            <w:noWrap/>
            <w:vAlign w:val="center"/>
          </w:tcPr>
          <w:p w14:paraId="5FCED111" w14:textId="77777777" w:rsidR="00335CF7" w:rsidRPr="009F7B05" w:rsidRDefault="00335CF7" w:rsidP="000F69BD">
            <w:pPr>
              <w:spacing w:after="0" w:line="240" w:lineRule="auto"/>
              <w:jc w:val="right"/>
              <w:rPr>
                <w:rFonts w:asciiTheme="majorHAnsi" w:hAnsiTheme="majorHAnsi" w:cstheme="majorHAnsi"/>
                <w:bCs/>
                <w:sz w:val="18"/>
                <w:szCs w:val="18"/>
              </w:rPr>
            </w:pPr>
            <w:r w:rsidRPr="0069587E">
              <w:rPr>
                <w:rFonts w:asciiTheme="majorHAnsi" w:hAnsiTheme="majorHAnsi" w:cstheme="majorHAnsi"/>
                <w:sz w:val="18"/>
                <w:szCs w:val="18"/>
              </w:rPr>
              <w:t>20,772</w:t>
            </w:r>
          </w:p>
        </w:tc>
      </w:tr>
      <w:tr w:rsidR="00335CF7" w:rsidRPr="009F7B05" w14:paraId="0E07D2CD" w14:textId="77777777" w:rsidTr="005976E5">
        <w:tc>
          <w:tcPr>
            <w:tcW w:w="858" w:type="dxa"/>
            <w:tcBorders>
              <w:left w:val="nil"/>
              <w:bottom w:val="single" w:sz="4" w:space="0" w:color="auto"/>
              <w:right w:val="nil"/>
            </w:tcBorders>
            <w:shd w:val="clear" w:color="auto" w:fill="auto"/>
            <w:noWrap/>
            <w:vAlign w:val="center"/>
          </w:tcPr>
          <w:p w14:paraId="15F65E66" w14:textId="77777777" w:rsidR="00335CF7" w:rsidRPr="009F7B05" w:rsidRDefault="00335CF7" w:rsidP="000F69BD">
            <w:pPr>
              <w:spacing w:after="0" w:line="240" w:lineRule="auto"/>
              <w:rPr>
                <w:rFonts w:asciiTheme="majorHAnsi" w:eastAsia="Times New Roman" w:hAnsiTheme="majorHAnsi" w:cstheme="majorHAnsi"/>
                <w:bCs/>
                <w:color w:val="000000"/>
                <w:sz w:val="18"/>
                <w:szCs w:val="18"/>
                <w:lang w:eastAsia="en-AU"/>
              </w:rPr>
            </w:pPr>
          </w:p>
        </w:tc>
        <w:tc>
          <w:tcPr>
            <w:tcW w:w="847" w:type="dxa"/>
            <w:tcBorders>
              <w:left w:val="nil"/>
              <w:bottom w:val="single" w:sz="4" w:space="0" w:color="auto"/>
              <w:right w:val="nil"/>
            </w:tcBorders>
            <w:shd w:val="clear" w:color="auto" w:fill="auto"/>
            <w:noWrap/>
            <w:vAlign w:val="center"/>
          </w:tcPr>
          <w:p w14:paraId="27902348" w14:textId="77777777" w:rsidR="00335CF7" w:rsidRPr="009F7B05" w:rsidRDefault="00335CF7" w:rsidP="000F69BD">
            <w:pPr>
              <w:spacing w:after="0" w:line="240" w:lineRule="auto"/>
              <w:rPr>
                <w:rFonts w:asciiTheme="majorHAnsi" w:hAnsiTheme="majorHAnsi" w:cstheme="majorHAnsi"/>
                <w:bCs/>
                <w:sz w:val="18"/>
                <w:szCs w:val="18"/>
              </w:rPr>
            </w:pPr>
          </w:p>
        </w:tc>
        <w:tc>
          <w:tcPr>
            <w:tcW w:w="2635" w:type="dxa"/>
            <w:tcBorders>
              <w:left w:val="nil"/>
              <w:bottom w:val="single" w:sz="4" w:space="0" w:color="auto"/>
              <w:right w:val="nil"/>
            </w:tcBorders>
            <w:shd w:val="clear" w:color="auto" w:fill="auto"/>
            <w:noWrap/>
            <w:vAlign w:val="center"/>
          </w:tcPr>
          <w:p w14:paraId="5FA64BC9" w14:textId="77777777" w:rsidR="00335CF7" w:rsidRPr="009F7B05" w:rsidRDefault="00335CF7" w:rsidP="000F69BD">
            <w:pPr>
              <w:spacing w:after="0" w:line="240" w:lineRule="auto"/>
              <w:rPr>
                <w:rFonts w:asciiTheme="majorHAnsi" w:eastAsia="Times New Roman" w:hAnsiTheme="majorHAnsi" w:cstheme="majorHAnsi"/>
                <w:bCs/>
                <w:color w:val="000000"/>
                <w:sz w:val="18"/>
                <w:szCs w:val="18"/>
                <w:lang w:eastAsia="en-AU"/>
              </w:rPr>
            </w:pPr>
            <w:r w:rsidRPr="009F7B05">
              <w:rPr>
                <w:rFonts w:asciiTheme="majorHAnsi" w:eastAsia="Times New Roman" w:hAnsiTheme="majorHAnsi" w:cstheme="majorHAnsi"/>
                <w:bCs/>
                <w:color w:val="000000"/>
                <w:sz w:val="18"/>
                <w:szCs w:val="18"/>
                <w:lang w:eastAsia="en-AU"/>
              </w:rPr>
              <w:t>all seafood commodities</w:t>
            </w:r>
          </w:p>
        </w:tc>
        <w:tc>
          <w:tcPr>
            <w:tcW w:w="1189" w:type="dxa"/>
            <w:tcBorders>
              <w:left w:val="nil"/>
              <w:bottom w:val="single" w:sz="4" w:space="0" w:color="auto"/>
              <w:right w:val="nil"/>
            </w:tcBorders>
            <w:shd w:val="clear" w:color="auto" w:fill="auto"/>
            <w:noWrap/>
            <w:vAlign w:val="center"/>
          </w:tcPr>
          <w:p w14:paraId="09B63491" w14:textId="77777777" w:rsidR="00335CF7" w:rsidRPr="009F7B05" w:rsidRDefault="00335CF7" w:rsidP="000F69BD">
            <w:pPr>
              <w:spacing w:after="0" w:line="240" w:lineRule="auto"/>
              <w:jc w:val="right"/>
              <w:rPr>
                <w:rFonts w:asciiTheme="majorHAnsi" w:hAnsiTheme="majorHAnsi" w:cstheme="majorHAnsi"/>
                <w:bCs/>
                <w:sz w:val="18"/>
                <w:szCs w:val="18"/>
              </w:rPr>
            </w:pPr>
            <w:r w:rsidRPr="009F7B05">
              <w:rPr>
                <w:rFonts w:asciiTheme="majorHAnsi" w:hAnsiTheme="majorHAnsi" w:cstheme="majorHAnsi"/>
                <w:sz w:val="18"/>
                <w:szCs w:val="18"/>
              </w:rPr>
              <w:t>0</w:t>
            </w:r>
          </w:p>
        </w:tc>
        <w:tc>
          <w:tcPr>
            <w:tcW w:w="1033" w:type="dxa"/>
            <w:tcBorders>
              <w:left w:val="nil"/>
              <w:bottom w:val="single" w:sz="4" w:space="0" w:color="auto"/>
              <w:right w:val="nil"/>
            </w:tcBorders>
            <w:shd w:val="clear" w:color="auto" w:fill="auto"/>
            <w:noWrap/>
            <w:vAlign w:val="center"/>
          </w:tcPr>
          <w:p w14:paraId="2E0B4A49" w14:textId="77777777" w:rsidR="00335CF7" w:rsidRPr="009F7B05" w:rsidRDefault="00335CF7" w:rsidP="000F69BD">
            <w:pPr>
              <w:spacing w:after="0" w:line="240" w:lineRule="auto"/>
              <w:jc w:val="right"/>
              <w:rPr>
                <w:rFonts w:asciiTheme="majorHAnsi" w:hAnsiTheme="majorHAnsi" w:cstheme="majorHAnsi"/>
                <w:bCs/>
                <w:sz w:val="18"/>
                <w:szCs w:val="18"/>
              </w:rPr>
            </w:pPr>
            <w:r w:rsidRPr="009F7B05">
              <w:rPr>
                <w:rFonts w:asciiTheme="majorHAnsi" w:hAnsiTheme="majorHAnsi" w:cstheme="majorHAnsi"/>
                <w:sz w:val="18"/>
                <w:szCs w:val="18"/>
              </w:rPr>
              <w:t>0.0%</w:t>
            </w:r>
          </w:p>
        </w:tc>
        <w:tc>
          <w:tcPr>
            <w:tcW w:w="613" w:type="dxa"/>
            <w:tcBorders>
              <w:left w:val="nil"/>
              <w:bottom w:val="single" w:sz="4" w:space="0" w:color="auto"/>
              <w:right w:val="nil"/>
            </w:tcBorders>
            <w:shd w:val="clear" w:color="auto" w:fill="auto"/>
            <w:noWrap/>
            <w:vAlign w:val="center"/>
          </w:tcPr>
          <w:p w14:paraId="022DA16C" w14:textId="77777777" w:rsidR="00335CF7" w:rsidRPr="009F7B05" w:rsidRDefault="00335CF7" w:rsidP="005976E5">
            <w:pPr>
              <w:spacing w:after="0" w:line="240" w:lineRule="auto"/>
              <w:jc w:val="center"/>
              <w:rPr>
                <w:rFonts w:asciiTheme="majorHAnsi" w:eastAsia="Times New Roman" w:hAnsiTheme="majorHAnsi" w:cstheme="majorHAnsi"/>
                <w:bCs/>
                <w:color w:val="000000"/>
                <w:sz w:val="18"/>
                <w:szCs w:val="18"/>
                <w:lang w:eastAsia="en-AU"/>
              </w:rPr>
            </w:pPr>
            <w:r w:rsidRPr="009F7B05">
              <w:rPr>
                <w:rFonts w:asciiTheme="majorHAnsi" w:hAnsiTheme="majorHAnsi" w:cstheme="majorHAnsi"/>
                <w:sz w:val="18"/>
                <w:szCs w:val="18"/>
              </w:rPr>
              <w:t>30</w:t>
            </w:r>
          </w:p>
        </w:tc>
        <w:tc>
          <w:tcPr>
            <w:tcW w:w="2026" w:type="dxa"/>
            <w:tcBorders>
              <w:left w:val="nil"/>
              <w:bottom w:val="single" w:sz="4" w:space="0" w:color="auto"/>
              <w:right w:val="nil"/>
            </w:tcBorders>
            <w:shd w:val="clear" w:color="auto" w:fill="auto"/>
            <w:noWrap/>
            <w:vAlign w:val="center"/>
          </w:tcPr>
          <w:p w14:paraId="2B9669FA" w14:textId="77777777" w:rsidR="00335CF7" w:rsidRPr="009F7B05" w:rsidRDefault="00335CF7" w:rsidP="000F69BD">
            <w:pPr>
              <w:spacing w:after="0" w:line="240" w:lineRule="auto"/>
              <w:rPr>
                <w:rFonts w:asciiTheme="majorHAnsi" w:eastAsia="Times New Roman" w:hAnsiTheme="majorHAnsi" w:cstheme="majorHAnsi"/>
                <w:bCs/>
                <w:sz w:val="16"/>
                <w:szCs w:val="16"/>
                <w:lang w:eastAsia="en-AU"/>
              </w:rPr>
            </w:pPr>
            <w:r w:rsidRPr="009F7B05">
              <w:rPr>
                <w:rFonts w:asciiTheme="majorHAnsi" w:hAnsiTheme="majorHAnsi" w:cstheme="majorHAnsi"/>
                <w:sz w:val="16"/>
                <w:szCs w:val="16"/>
              </w:rPr>
              <w:t>Excluded</w:t>
            </w:r>
          </w:p>
        </w:tc>
        <w:tc>
          <w:tcPr>
            <w:tcW w:w="1147" w:type="dxa"/>
            <w:tcBorders>
              <w:left w:val="nil"/>
              <w:bottom w:val="single" w:sz="4" w:space="0" w:color="auto"/>
              <w:right w:val="nil"/>
            </w:tcBorders>
            <w:shd w:val="clear" w:color="auto" w:fill="auto"/>
            <w:noWrap/>
            <w:vAlign w:val="center"/>
          </w:tcPr>
          <w:p w14:paraId="446C6913" w14:textId="77777777" w:rsidR="00335CF7" w:rsidRPr="009F7B05" w:rsidRDefault="00335CF7" w:rsidP="000F69BD">
            <w:pPr>
              <w:spacing w:after="0" w:line="240" w:lineRule="auto"/>
              <w:jc w:val="right"/>
              <w:rPr>
                <w:rFonts w:asciiTheme="majorHAnsi" w:hAnsiTheme="majorHAnsi" w:cstheme="majorHAnsi"/>
                <w:bCs/>
                <w:sz w:val="18"/>
                <w:szCs w:val="18"/>
              </w:rPr>
            </w:pPr>
            <w:r w:rsidRPr="009F7B05">
              <w:rPr>
                <w:rFonts w:asciiTheme="majorHAnsi" w:hAnsiTheme="majorHAnsi" w:cstheme="majorHAnsi"/>
                <w:sz w:val="18"/>
                <w:szCs w:val="18"/>
              </w:rPr>
              <w:t>0</w:t>
            </w:r>
          </w:p>
        </w:tc>
      </w:tr>
      <w:tr w:rsidR="00335CF7" w:rsidRPr="00BB596B" w14:paraId="530AC512" w14:textId="77777777" w:rsidTr="000F69BD">
        <w:tc>
          <w:tcPr>
            <w:tcW w:w="858" w:type="dxa"/>
            <w:tcBorders>
              <w:top w:val="single" w:sz="4" w:space="0" w:color="auto"/>
              <w:left w:val="nil"/>
              <w:bottom w:val="single" w:sz="4" w:space="0" w:color="auto"/>
              <w:right w:val="nil"/>
            </w:tcBorders>
            <w:shd w:val="clear" w:color="auto" w:fill="auto"/>
            <w:noWrap/>
            <w:vAlign w:val="center"/>
          </w:tcPr>
          <w:p w14:paraId="5D2EAE3B" w14:textId="77777777" w:rsidR="00335CF7" w:rsidRPr="009F7B05" w:rsidRDefault="00335CF7" w:rsidP="000F69BD">
            <w:pPr>
              <w:spacing w:after="0" w:line="240" w:lineRule="auto"/>
              <w:rPr>
                <w:rFonts w:asciiTheme="majorHAnsi" w:eastAsia="Times New Roman" w:hAnsiTheme="majorHAnsi" w:cstheme="majorHAnsi"/>
                <w:b/>
                <w:color w:val="000000"/>
                <w:sz w:val="18"/>
                <w:szCs w:val="18"/>
                <w:lang w:eastAsia="en-AU"/>
              </w:rPr>
            </w:pPr>
          </w:p>
        </w:tc>
        <w:tc>
          <w:tcPr>
            <w:tcW w:w="847" w:type="dxa"/>
            <w:tcBorders>
              <w:top w:val="single" w:sz="4" w:space="0" w:color="auto"/>
              <w:left w:val="nil"/>
              <w:bottom w:val="single" w:sz="4" w:space="0" w:color="auto"/>
              <w:right w:val="nil"/>
            </w:tcBorders>
            <w:shd w:val="clear" w:color="auto" w:fill="auto"/>
            <w:noWrap/>
            <w:vAlign w:val="center"/>
          </w:tcPr>
          <w:p w14:paraId="62DEEA45" w14:textId="77777777" w:rsidR="00335CF7" w:rsidRPr="009F7B05" w:rsidRDefault="00335CF7" w:rsidP="000F69BD">
            <w:pPr>
              <w:spacing w:after="0" w:line="240" w:lineRule="auto"/>
              <w:rPr>
                <w:rFonts w:asciiTheme="majorHAnsi" w:eastAsia="Times New Roman" w:hAnsiTheme="majorHAnsi" w:cstheme="majorHAnsi"/>
                <w:b/>
                <w:sz w:val="18"/>
                <w:szCs w:val="18"/>
                <w:lang w:eastAsia="en-AU"/>
              </w:rPr>
            </w:pPr>
            <w:r w:rsidRPr="009F7B05">
              <w:rPr>
                <w:rFonts w:asciiTheme="majorHAnsi" w:hAnsiTheme="majorHAnsi" w:cstheme="majorHAnsi"/>
                <w:b/>
                <w:sz w:val="18"/>
                <w:szCs w:val="18"/>
              </w:rPr>
              <w:t>Total</w:t>
            </w:r>
          </w:p>
        </w:tc>
        <w:tc>
          <w:tcPr>
            <w:tcW w:w="2635" w:type="dxa"/>
            <w:tcBorders>
              <w:top w:val="single" w:sz="4" w:space="0" w:color="auto"/>
              <w:left w:val="nil"/>
              <w:bottom w:val="single" w:sz="4" w:space="0" w:color="auto"/>
              <w:right w:val="nil"/>
            </w:tcBorders>
            <w:shd w:val="clear" w:color="auto" w:fill="auto"/>
            <w:noWrap/>
            <w:vAlign w:val="center"/>
          </w:tcPr>
          <w:p w14:paraId="1CCE34EE" w14:textId="77777777" w:rsidR="00335CF7" w:rsidRPr="009F7B05" w:rsidRDefault="00335CF7" w:rsidP="000F69BD">
            <w:pPr>
              <w:spacing w:after="0" w:line="240" w:lineRule="auto"/>
              <w:rPr>
                <w:rFonts w:asciiTheme="majorHAnsi" w:eastAsia="Times New Roman" w:hAnsiTheme="majorHAnsi" w:cstheme="majorHAnsi"/>
                <w:b/>
                <w:color w:val="000000"/>
                <w:sz w:val="18"/>
                <w:szCs w:val="18"/>
                <w:lang w:eastAsia="en-AU"/>
              </w:rPr>
            </w:pPr>
            <w:r w:rsidRPr="009F7B05">
              <w:rPr>
                <w:rFonts w:asciiTheme="majorHAnsi" w:eastAsia="Times New Roman" w:hAnsiTheme="majorHAnsi" w:cstheme="majorHAnsi"/>
                <w:b/>
                <w:color w:val="000000"/>
                <w:sz w:val="18"/>
                <w:szCs w:val="18"/>
                <w:lang w:eastAsia="en-AU"/>
              </w:rPr>
              <w:t>-</w:t>
            </w:r>
          </w:p>
        </w:tc>
        <w:tc>
          <w:tcPr>
            <w:tcW w:w="1189" w:type="dxa"/>
            <w:tcBorders>
              <w:top w:val="single" w:sz="4" w:space="0" w:color="auto"/>
              <w:left w:val="nil"/>
              <w:bottom w:val="single" w:sz="4" w:space="0" w:color="auto"/>
              <w:right w:val="nil"/>
            </w:tcBorders>
            <w:shd w:val="clear" w:color="auto" w:fill="auto"/>
            <w:noWrap/>
          </w:tcPr>
          <w:p w14:paraId="2DD15C76" w14:textId="77777777" w:rsidR="00335CF7" w:rsidRPr="009F7B05" w:rsidRDefault="00335CF7" w:rsidP="000F69BD">
            <w:pPr>
              <w:spacing w:after="0" w:line="240" w:lineRule="auto"/>
              <w:jc w:val="right"/>
              <w:rPr>
                <w:rFonts w:asciiTheme="majorHAnsi" w:hAnsiTheme="majorHAnsi" w:cstheme="majorHAnsi"/>
                <w:b/>
                <w:sz w:val="18"/>
                <w:szCs w:val="18"/>
              </w:rPr>
            </w:pPr>
            <w:r w:rsidRPr="009F7B05">
              <w:rPr>
                <w:rFonts w:asciiTheme="majorHAnsi" w:hAnsiTheme="majorHAnsi" w:cstheme="majorHAnsi"/>
                <w:b/>
                <w:sz w:val="18"/>
                <w:szCs w:val="18"/>
              </w:rPr>
              <w:t>69,240</w:t>
            </w:r>
          </w:p>
        </w:tc>
        <w:tc>
          <w:tcPr>
            <w:tcW w:w="1033" w:type="dxa"/>
            <w:tcBorders>
              <w:top w:val="single" w:sz="4" w:space="0" w:color="auto"/>
              <w:left w:val="nil"/>
              <w:bottom w:val="single" w:sz="4" w:space="0" w:color="auto"/>
              <w:right w:val="nil"/>
            </w:tcBorders>
            <w:shd w:val="clear" w:color="auto" w:fill="auto"/>
            <w:noWrap/>
          </w:tcPr>
          <w:p w14:paraId="53D4F814" w14:textId="77777777" w:rsidR="00335CF7" w:rsidRPr="009F7B05" w:rsidRDefault="00335CF7" w:rsidP="000F69BD">
            <w:pPr>
              <w:spacing w:after="0" w:line="240" w:lineRule="auto"/>
              <w:jc w:val="right"/>
              <w:rPr>
                <w:rFonts w:asciiTheme="majorHAnsi" w:hAnsiTheme="majorHAnsi" w:cstheme="majorHAnsi"/>
                <w:b/>
                <w:sz w:val="18"/>
                <w:szCs w:val="18"/>
              </w:rPr>
            </w:pPr>
            <w:r w:rsidRPr="009F7B05">
              <w:rPr>
                <w:rFonts w:asciiTheme="majorHAnsi" w:hAnsiTheme="majorHAnsi" w:cstheme="majorHAnsi"/>
                <w:b/>
                <w:sz w:val="18"/>
                <w:szCs w:val="18"/>
              </w:rPr>
              <w:t>0.0%</w:t>
            </w:r>
          </w:p>
        </w:tc>
        <w:tc>
          <w:tcPr>
            <w:tcW w:w="613" w:type="dxa"/>
            <w:tcBorders>
              <w:top w:val="single" w:sz="4" w:space="0" w:color="auto"/>
              <w:left w:val="nil"/>
              <w:bottom w:val="single" w:sz="4" w:space="0" w:color="auto"/>
              <w:right w:val="nil"/>
            </w:tcBorders>
            <w:shd w:val="clear" w:color="auto" w:fill="auto"/>
            <w:noWrap/>
            <w:vAlign w:val="center"/>
          </w:tcPr>
          <w:p w14:paraId="2C3DEF9C" w14:textId="77777777" w:rsidR="00335CF7" w:rsidRPr="009F7B05" w:rsidRDefault="00335CF7" w:rsidP="000F69BD">
            <w:pPr>
              <w:spacing w:after="0" w:line="240" w:lineRule="auto"/>
              <w:jc w:val="center"/>
              <w:rPr>
                <w:rFonts w:asciiTheme="majorHAnsi" w:eastAsia="Times New Roman" w:hAnsiTheme="majorHAnsi" w:cstheme="majorHAnsi"/>
                <w:b/>
                <w:color w:val="000000"/>
                <w:sz w:val="18"/>
                <w:szCs w:val="18"/>
                <w:lang w:eastAsia="en-AU"/>
              </w:rPr>
            </w:pPr>
            <w:r w:rsidRPr="009F7B05">
              <w:rPr>
                <w:rFonts w:asciiTheme="majorHAnsi" w:eastAsia="Times New Roman" w:hAnsiTheme="majorHAnsi" w:cstheme="majorHAnsi"/>
                <w:b/>
                <w:color w:val="000000"/>
                <w:sz w:val="18"/>
                <w:szCs w:val="18"/>
                <w:lang w:eastAsia="en-AU"/>
              </w:rPr>
              <w:t>-</w:t>
            </w:r>
          </w:p>
        </w:tc>
        <w:tc>
          <w:tcPr>
            <w:tcW w:w="2026" w:type="dxa"/>
            <w:tcBorders>
              <w:top w:val="single" w:sz="4" w:space="0" w:color="auto"/>
              <w:left w:val="nil"/>
              <w:bottom w:val="single" w:sz="4" w:space="0" w:color="auto"/>
              <w:right w:val="nil"/>
            </w:tcBorders>
            <w:shd w:val="clear" w:color="auto" w:fill="auto"/>
            <w:noWrap/>
            <w:vAlign w:val="center"/>
          </w:tcPr>
          <w:p w14:paraId="5F1DED11" w14:textId="77777777" w:rsidR="00335CF7" w:rsidRPr="009F7B05" w:rsidRDefault="00335CF7" w:rsidP="000F69BD">
            <w:pPr>
              <w:spacing w:after="0" w:line="240" w:lineRule="auto"/>
              <w:rPr>
                <w:rFonts w:asciiTheme="majorHAnsi" w:eastAsia="Times New Roman" w:hAnsiTheme="majorHAnsi" w:cstheme="majorHAnsi"/>
                <w:b/>
                <w:sz w:val="18"/>
                <w:szCs w:val="18"/>
                <w:lang w:eastAsia="en-AU"/>
              </w:rPr>
            </w:pPr>
            <w:r w:rsidRPr="009F7B05">
              <w:rPr>
                <w:rFonts w:asciiTheme="majorHAnsi" w:eastAsia="Times New Roman" w:hAnsiTheme="majorHAnsi" w:cstheme="majorHAnsi"/>
                <w:b/>
                <w:sz w:val="18"/>
                <w:szCs w:val="18"/>
                <w:lang w:eastAsia="en-AU"/>
              </w:rPr>
              <w:t>-</w:t>
            </w:r>
          </w:p>
        </w:tc>
        <w:tc>
          <w:tcPr>
            <w:tcW w:w="1147" w:type="dxa"/>
            <w:tcBorders>
              <w:top w:val="single" w:sz="4" w:space="0" w:color="auto"/>
              <w:left w:val="nil"/>
              <w:bottom w:val="single" w:sz="4" w:space="0" w:color="auto"/>
              <w:right w:val="nil"/>
            </w:tcBorders>
            <w:shd w:val="clear" w:color="auto" w:fill="auto"/>
            <w:noWrap/>
            <w:vAlign w:val="center"/>
          </w:tcPr>
          <w:p w14:paraId="1A1C8443" w14:textId="77777777" w:rsidR="00335CF7" w:rsidRPr="00BB596B" w:rsidRDefault="00335CF7" w:rsidP="000F69BD">
            <w:pPr>
              <w:spacing w:after="0" w:line="240" w:lineRule="auto"/>
              <w:jc w:val="right"/>
              <w:rPr>
                <w:rFonts w:asciiTheme="majorHAnsi" w:eastAsia="Times New Roman" w:hAnsiTheme="majorHAnsi" w:cstheme="majorHAnsi"/>
                <w:b/>
                <w:color w:val="000000"/>
                <w:sz w:val="18"/>
                <w:szCs w:val="18"/>
                <w:lang w:eastAsia="en-AU"/>
              </w:rPr>
            </w:pPr>
            <w:r w:rsidRPr="0069587E">
              <w:rPr>
                <w:rFonts w:asciiTheme="majorHAnsi" w:hAnsiTheme="majorHAnsi" w:cstheme="majorHAnsi"/>
                <w:b/>
                <w:sz w:val="18"/>
                <w:szCs w:val="18"/>
              </w:rPr>
              <w:t>20,772</w:t>
            </w:r>
          </w:p>
        </w:tc>
      </w:tr>
    </w:tbl>
    <w:p w14:paraId="75C21D59" w14:textId="77777777" w:rsidR="00335CF7" w:rsidRDefault="00335CF7" w:rsidP="00335CF7">
      <w:pPr>
        <w:spacing w:after="0"/>
        <w:rPr>
          <w:sz w:val="20"/>
          <w:szCs w:val="20"/>
        </w:rPr>
      </w:pPr>
      <w:r w:rsidRPr="00BB596B">
        <w:rPr>
          <w:sz w:val="20"/>
          <w:szCs w:val="20"/>
        </w:rPr>
        <w:t>Source: Trade Data Monitor</w:t>
      </w:r>
      <w:r>
        <w:rPr>
          <w:sz w:val="20"/>
          <w:szCs w:val="20"/>
        </w:rPr>
        <w:t>s, DFAT</w:t>
      </w:r>
      <w:r w:rsidRPr="00BB596B">
        <w:rPr>
          <w:sz w:val="20"/>
          <w:szCs w:val="20"/>
        </w:rPr>
        <w:br/>
        <w:t xml:space="preserve">Notes: Value of trade </w:t>
      </w:r>
      <w:r>
        <w:rPr>
          <w:sz w:val="20"/>
          <w:szCs w:val="20"/>
        </w:rPr>
        <w:t>estimates use</w:t>
      </w:r>
      <w:r w:rsidRPr="00BB596B">
        <w:rPr>
          <w:sz w:val="20"/>
          <w:szCs w:val="20"/>
        </w:rPr>
        <w:t xml:space="preserve"> annual average </w:t>
      </w:r>
      <w:r>
        <w:rPr>
          <w:sz w:val="20"/>
          <w:szCs w:val="20"/>
        </w:rPr>
        <w:t>data of</w:t>
      </w:r>
      <w:r w:rsidRPr="00BB596B">
        <w:rPr>
          <w:sz w:val="20"/>
          <w:szCs w:val="20"/>
        </w:rPr>
        <w:t xml:space="preserve"> Indian imports of merchandise between 2018 and 2020</w:t>
      </w:r>
      <w:r>
        <w:rPr>
          <w:sz w:val="20"/>
          <w:szCs w:val="20"/>
        </w:rPr>
        <w:t xml:space="preserve">. </w:t>
      </w:r>
      <w:r w:rsidRPr="0025188F">
        <w:rPr>
          <w:sz w:val="20"/>
          <w:szCs w:val="20"/>
        </w:rPr>
        <w:t xml:space="preserve">Tariff estimates are based on the value of average annual trade between 2018 and 2020 and the tariff rates </w:t>
      </w:r>
      <w:r>
        <w:rPr>
          <w:sz w:val="20"/>
          <w:szCs w:val="20"/>
        </w:rPr>
        <w:t>paid</w:t>
      </w:r>
      <w:r w:rsidRPr="0025188F">
        <w:rPr>
          <w:sz w:val="20"/>
          <w:szCs w:val="20"/>
        </w:rPr>
        <w:t>.</w:t>
      </w:r>
    </w:p>
    <w:p w14:paraId="7B0758AB" w14:textId="77777777" w:rsidR="00E04E9E" w:rsidRPr="0001716D" w:rsidRDefault="00E04E9E">
      <w:pPr>
        <w:keepNext/>
        <w:spacing w:after="0"/>
        <w:rPr>
          <w:highlight w:val="yellow"/>
        </w:rPr>
      </w:pPr>
    </w:p>
    <w:p w14:paraId="7E514E43" w14:textId="40FBB51B" w:rsidR="0004378F" w:rsidRPr="002102A0" w:rsidRDefault="0004378F" w:rsidP="0001716D">
      <w:pPr>
        <w:pStyle w:val="Heading3"/>
        <w:spacing w:before="0"/>
      </w:pPr>
      <w:bookmarkStart w:id="37" w:name="_Toc99370661"/>
      <w:r w:rsidRPr="00A30498">
        <w:t>Horticulture</w:t>
      </w:r>
      <w:bookmarkEnd w:id="37"/>
      <w:r w:rsidR="0072626B">
        <w:t xml:space="preserve"> </w:t>
      </w:r>
    </w:p>
    <w:p w14:paraId="2AF70EF4" w14:textId="77777777" w:rsidR="009614F4" w:rsidRPr="009968F8" w:rsidRDefault="009614F4">
      <w:pPr>
        <w:spacing w:after="0"/>
        <w:rPr>
          <w:sz w:val="24"/>
          <w:szCs w:val="24"/>
        </w:rPr>
      </w:pPr>
    </w:p>
    <w:p w14:paraId="266F56AA" w14:textId="55FDA470" w:rsidR="00637A40" w:rsidRPr="00637A40" w:rsidRDefault="0004378F">
      <w:pPr>
        <w:pStyle w:val="ListParagraph"/>
        <w:numPr>
          <w:ilvl w:val="0"/>
          <w:numId w:val="1"/>
        </w:numPr>
        <w:spacing w:after="0"/>
        <w:ind w:left="567" w:hanging="567"/>
        <w:rPr>
          <w:sz w:val="24"/>
          <w:szCs w:val="24"/>
        </w:rPr>
      </w:pPr>
      <w:r w:rsidRPr="543832D4">
        <w:rPr>
          <w:sz w:val="24"/>
          <w:szCs w:val="24"/>
        </w:rPr>
        <w:t xml:space="preserve">India will eliminate or reduce tariffs on a selection of Australian fruits and vegetables after either 5 or 7 years. Tariffs which will be </w:t>
      </w:r>
      <w:r w:rsidR="00F6122F">
        <w:rPr>
          <w:sz w:val="24"/>
          <w:szCs w:val="24"/>
        </w:rPr>
        <w:t>phased-out</w:t>
      </w:r>
      <w:r w:rsidRPr="543832D4">
        <w:rPr>
          <w:sz w:val="24"/>
          <w:szCs w:val="24"/>
        </w:rPr>
        <w:t xml:space="preserve"> or reduced include those on:</w:t>
      </w:r>
    </w:p>
    <w:p w14:paraId="5DADE1CF" w14:textId="77777777" w:rsidR="00CB4210" w:rsidRPr="0001716D" w:rsidRDefault="00CB4210" w:rsidP="00CB4210">
      <w:pPr>
        <w:pStyle w:val="ListParagraph"/>
        <w:numPr>
          <w:ilvl w:val="1"/>
          <w:numId w:val="4"/>
        </w:numPr>
        <w:spacing w:after="0"/>
        <w:rPr>
          <w:sz w:val="24"/>
          <w:szCs w:val="24"/>
        </w:rPr>
      </w:pPr>
      <w:r w:rsidRPr="0001716D">
        <w:rPr>
          <w:sz w:val="24"/>
          <w:szCs w:val="24"/>
        </w:rPr>
        <w:t>almonds (</w:t>
      </w:r>
      <w:r>
        <w:rPr>
          <w:sz w:val="24"/>
          <w:szCs w:val="24"/>
        </w:rPr>
        <w:t xml:space="preserve">preferential </w:t>
      </w:r>
      <w:r w:rsidRPr="0001716D">
        <w:rPr>
          <w:sz w:val="24"/>
          <w:szCs w:val="24"/>
        </w:rPr>
        <w:t>tariff rate quota)</w:t>
      </w:r>
    </w:p>
    <w:p w14:paraId="330CA60F" w14:textId="77777777" w:rsidR="00CB4210" w:rsidRPr="0001716D" w:rsidRDefault="00CB4210" w:rsidP="00CB4210">
      <w:pPr>
        <w:pStyle w:val="ListParagraph"/>
        <w:numPr>
          <w:ilvl w:val="1"/>
          <w:numId w:val="4"/>
        </w:numPr>
        <w:spacing w:after="0" w:line="257" w:lineRule="auto"/>
        <w:rPr>
          <w:rFonts w:eastAsiaTheme="minorEastAsia"/>
          <w:sz w:val="24"/>
          <w:szCs w:val="24"/>
        </w:rPr>
      </w:pPr>
      <w:r w:rsidRPr="0001716D">
        <w:rPr>
          <w:sz w:val="24"/>
          <w:szCs w:val="24"/>
        </w:rPr>
        <w:t>oranges (</w:t>
      </w:r>
      <w:r>
        <w:rPr>
          <w:sz w:val="24"/>
          <w:szCs w:val="24"/>
        </w:rPr>
        <w:t xml:space="preserve">preferential </w:t>
      </w:r>
      <w:r w:rsidRPr="0001716D">
        <w:rPr>
          <w:sz w:val="24"/>
          <w:szCs w:val="24"/>
        </w:rPr>
        <w:t>tariff rate quota)</w:t>
      </w:r>
    </w:p>
    <w:p w14:paraId="1F1A4C5B" w14:textId="49BCF4AD" w:rsidR="00CB4210" w:rsidRDefault="00CB4210" w:rsidP="00CB4210">
      <w:pPr>
        <w:pStyle w:val="ListParagraph"/>
        <w:numPr>
          <w:ilvl w:val="1"/>
          <w:numId w:val="4"/>
        </w:numPr>
        <w:spacing w:after="0"/>
        <w:rPr>
          <w:sz w:val="24"/>
          <w:szCs w:val="24"/>
        </w:rPr>
      </w:pPr>
      <w:r>
        <w:rPr>
          <w:sz w:val="24"/>
          <w:szCs w:val="24"/>
        </w:rPr>
        <w:t>mandarins (preferential tariff rat</w:t>
      </w:r>
      <w:r w:rsidR="003C68D9">
        <w:rPr>
          <w:sz w:val="24"/>
          <w:szCs w:val="24"/>
        </w:rPr>
        <w:t>e</w:t>
      </w:r>
      <w:r>
        <w:rPr>
          <w:sz w:val="24"/>
          <w:szCs w:val="24"/>
        </w:rPr>
        <w:t xml:space="preserve"> quota)</w:t>
      </w:r>
    </w:p>
    <w:p w14:paraId="55F58D69" w14:textId="1DED54E8" w:rsidR="00CB4210" w:rsidRPr="0085120F" w:rsidRDefault="00CB4210" w:rsidP="00CB4210">
      <w:pPr>
        <w:pStyle w:val="ListParagraph"/>
        <w:numPr>
          <w:ilvl w:val="1"/>
          <w:numId w:val="4"/>
        </w:numPr>
        <w:spacing w:after="0"/>
        <w:rPr>
          <w:sz w:val="24"/>
          <w:szCs w:val="24"/>
        </w:rPr>
      </w:pPr>
      <w:r w:rsidRPr="0001716D">
        <w:rPr>
          <w:sz w:val="24"/>
          <w:szCs w:val="24"/>
        </w:rPr>
        <w:t>pears (</w:t>
      </w:r>
      <w:r>
        <w:rPr>
          <w:sz w:val="24"/>
          <w:szCs w:val="24"/>
        </w:rPr>
        <w:t xml:space="preserve">preferential </w:t>
      </w:r>
      <w:r w:rsidRPr="0001716D">
        <w:rPr>
          <w:sz w:val="24"/>
          <w:szCs w:val="24"/>
        </w:rPr>
        <w:t>tariff rate quota)</w:t>
      </w:r>
    </w:p>
    <w:p w14:paraId="10841A49" w14:textId="77777777" w:rsidR="003C68D9" w:rsidRDefault="003C68D9" w:rsidP="00CB4210">
      <w:pPr>
        <w:pStyle w:val="ListParagraph"/>
        <w:numPr>
          <w:ilvl w:val="1"/>
          <w:numId w:val="4"/>
        </w:numPr>
        <w:spacing w:after="0"/>
        <w:rPr>
          <w:sz w:val="24"/>
          <w:szCs w:val="24"/>
        </w:rPr>
      </w:pPr>
      <w:r>
        <w:rPr>
          <w:sz w:val="24"/>
          <w:szCs w:val="24"/>
        </w:rPr>
        <w:t>apricots (reduced over 7 years)</w:t>
      </w:r>
    </w:p>
    <w:p w14:paraId="72F0718A" w14:textId="4725CF07" w:rsidR="0085120F" w:rsidRPr="0001716D" w:rsidRDefault="0085120F" w:rsidP="00CB4210">
      <w:pPr>
        <w:pStyle w:val="ListParagraph"/>
        <w:numPr>
          <w:ilvl w:val="1"/>
          <w:numId w:val="4"/>
        </w:numPr>
        <w:spacing w:after="0"/>
        <w:rPr>
          <w:sz w:val="24"/>
          <w:szCs w:val="24"/>
        </w:rPr>
      </w:pPr>
      <w:r w:rsidRPr="0001716D">
        <w:rPr>
          <w:sz w:val="24"/>
          <w:szCs w:val="24"/>
        </w:rPr>
        <w:t>cherries (eliminat</w:t>
      </w:r>
      <w:r w:rsidR="00F6122F">
        <w:rPr>
          <w:sz w:val="24"/>
          <w:szCs w:val="24"/>
        </w:rPr>
        <w:t>ed</w:t>
      </w:r>
      <w:r w:rsidRPr="0001716D">
        <w:rPr>
          <w:sz w:val="24"/>
          <w:szCs w:val="24"/>
        </w:rPr>
        <w:t xml:space="preserve"> after 7 years)</w:t>
      </w:r>
    </w:p>
    <w:p w14:paraId="0D40B21F" w14:textId="6E98B435" w:rsidR="0085120F" w:rsidRPr="0001716D" w:rsidRDefault="0085120F">
      <w:pPr>
        <w:pStyle w:val="ListParagraph"/>
        <w:numPr>
          <w:ilvl w:val="1"/>
          <w:numId w:val="4"/>
        </w:numPr>
        <w:spacing w:after="0"/>
        <w:rPr>
          <w:sz w:val="24"/>
          <w:szCs w:val="24"/>
        </w:rPr>
      </w:pPr>
      <w:r w:rsidRPr="0001716D">
        <w:rPr>
          <w:sz w:val="24"/>
          <w:szCs w:val="24"/>
        </w:rPr>
        <w:t>macadamia nuts (eliminat</w:t>
      </w:r>
      <w:r w:rsidR="00F6122F">
        <w:rPr>
          <w:sz w:val="24"/>
          <w:szCs w:val="24"/>
        </w:rPr>
        <w:t>ed</w:t>
      </w:r>
      <w:r w:rsidRPr="0001716D">
        <w:rPr>
          <w:sz w:val="24"/>
          <w:szCs w:val="24"/>
        </w:rPr>
        <w:t xml:space="preserve"> after 7 years)</w:t>
      </w:r>
    </w:p>
    <w:p w14:paraId="05FE13D3" w14:textId="734659F3" w:rsidR="0085120F" w:rsidRPr="0001716D" w:rsidRDefault="0085120F">
      <w:pPr>
        <w:pStyle w:val="ListParagraph"/>
        <w:numPr>
          <w:ilvl w:val="1"/>
          <w:numId w:val="4"/>
        </w:numPr>
        <w:spacing w:after="0"/>
        <w:rPr>
          <w:sz w:val="24"/>
          <w:szCs w:val="24"/>
        </w:rPr>
      </w:pPr>
      <w:r w:rsidRPr="0001716D">
        <w:rPr>
          <w:sz w:val="24"/>
          <w:szCs w:val="24"/>
        </w:rPr>
        <w:t>avocados (eliminat</w:t>
      </w:r>
      <w:r w:rsidR="00F6122F">
        <w:rPr>
          <w:sz w:val="24"/>
          <w:szCs w:val="24"/>
        </w:rPr>
        <w:t>ed</w:t>
      </w:r>
      <w:r w:rsidRPr="0001716D">
        <w:rPr>
          <w:sz w:val="24"/>
          <w:szCs w:val="24"/>
        </w:rPr>
        <w:t xml:space="preserve"> after 7 years)</w:t>
      </w:r>
    </w:p>
    <w:p w14:paraId="05038B58" w14:textId="28F3B820" w:rsidR="0085120F" w:rsidRPr="0001716D" w:rsidRDefault="0085120F">
      <w:pPr>
        <w:pStyle w:val="ListParagraph"/>
        <w:numPr>
          <w:ilvl w:val="1"/>
          <w:numId w:val="4"/>
        </w:numPr>
        <w:spacing w:after="0"/>
        <w:rPr>
          <w:sz w:val="24"/>
          <w:szCs w:val="24"/>
        </w:rPr>
      </w:pPr>
      <w:r w:rsidRPr="0001716D">
        <w:rPr>
          <w:sz w:val="24"/>
          <w:szCs w:val="24"/>
        </w:rPr>
        <w:t>strawberries (reduc</w:t>
      </w:r>
      <w:r w:rsidR="00F6122F">
        <w:rPr>
          <w:sz w:val="24"/>
          <w:szCs w:val="24"/>
        </w:rPr>
        <w:t>ed over</w:t>
      </w:r>
      <w:r w:rsidRPr="0001716D">
        <w:rPr>
          <w:sz w:val="24"/>
          <w:szCs w:val="24"/>
        </w:rPr>
        <w:t xml:space="preserve"> 7 years)</w:t>
      </w:r>
    </w:p>
    <w:p w14:paraId="74055F98" w14:textId="2EB99F14" w:rsidR="0085120F" w:rsidRPr="0001716D" w:rsidRDefault="00F6122F">
      <w:pPr>
        <w:pStyle w:val="ListParagraph"/>
        <w:numPr>
          <w:ilvl w:val="1"/>
          <w:numId w:val="4"/>
        </w:numPr>
        <w:spacing w:after="0"/>
        <w:rPr>
          <w:sz w:val="24"/>
          <w:szCs w:val="24"/>
        </w:rPr>
      </w:pPr>
      <w:r>
        <w:rPr>
          <w:sz w:val="24"/>
          <w:szCs w:val="24"/>
        </w:rPr>
        <w:t>blueberries, raspberries, blackberries, curr</w:t>
      </w:r>
      <w:r w:rsidR="007214E8">
        <w:rPr>
          <w:sz w:val="24"/>
          <w:szCs w:val="24"/>
        </w:rPr>
        <w:t>a</w:t>
      </w:r>
      <w:r>
        <w:rPr>
          <w:sz w:val="24"/>
          <w:szCs w:val="24"/>
        </w:rPr>
        <w:t>nts</w:t>
      </w:r>
      <w:r w:rsidR="0085120F" w:rsidRPr="0001716D">
        <w:rPr>
          <w:sz w:val="24"/>
          <w:szCs w:val="24"/>
        </w:rPr>
        <w:t xml:space="preserve"> (eliminat</w:t>
      </w:r>
      <w:r>
        <w:rPr>
          <w:sz w:val="24"/>
          <w:szCs w:val="24"/>
        </w:rPr>
        <w:t>ed</w:t>
      </w:r>
      <w:r w:rsidR="0085120F" w:rsidRPr="0001716D">
        <w:rPr>
          <w:sz w:val="24"/>
          <w:szCs w:val="24"/>
        </w:rPr>
        <w:t xml:space="preserve"> after 7 years)</w:t>
      </w:r>
      <w:r w:rsidR="003C68D9">
        <w:rPr>
          <w:sz w:val="24"/>
          <w:szCs w:val="24"/>
        </w:rPr>
        <w:t>,</w:t>
      </w:r>
    </w:p>
    <w:p w14:paraId="3BBE95E4" w14:textId="2218955D" w:rsidR="0075790E" w:rsidRDefault="003C68D9">
      <w:pPr>
        <w:pStyle w:val="ListParagraph"/>
        <w:numPr>
          <w:ilvl w:val="1"/>
          <w:numId w:val="4"/>
        </w:numPr>
        <w:spacing w:after="0"/>
        <w:rPr>
          <w:sz w:val="24"/>
          <w:szCs w:val="24"/>
        </w:rPr>
      </w:pPr>
      <w:r>
        <w:rPr>
          <w:sz w:val="24"/>
          <w:szCs w:val="24"/>
        </w:rPr>
        <w:t xml:space="preserve">shelled </w:t>
      </w:r>
      <w:r w:rsidR="0085120F" w:rsidRPr="0001716D">
        <w:rPr>
          <w:sz w:val="24"/>
          <w:szCs w:val="24"/>
        </w:rPr>
        <w:t>pistachios (</w:t>
      </w:r>
      <w:r>
        <w:rPr>
          <w:sz w:val="24"/>
          <w:szCs w:val="24"/>
        </w:rPr>
        <w:t>eliminate after 7 years</w:t>
      </w:r>
      <w:r w:rsidR="0085120F" w:rsidRPr="0001716D">
        <w:rPr>
          <w:sz w:val="24"/>
          <w:szCs w:val="24"/>
        </w:rPr>
        <w:t>)</w:t>
      </w:r>
    </w:p>
    <w:p w14:paraId="6193FEBF" w14:textId="550464EB" w:rsidR="0075790E" w:rsidRPr="00EE1619" w:rsidRDefault="0075790E" w:rsidP="0075790E">
      <w:pPr>
        <w:pStyle w:val="ListParagraph"/>
        <w:numPr>
          <w:ilvl w:val="1"/>
          <w:numId w:val="4"/>
        </w:numPr>
        <w:spacing w:after="0"/>
        <w:rPr>
          <w:sz w:val="24"/>
          <w:szCs w:val="24"/>
        </w:rPr>
      </w:pPr>
      <w:r>
        <w:rPr>
          <w:sz w:val="24"/>
          <w:szCs w:val="24"/>
        </w:rPr>
        <w:t>onions (eliminate after 7 years)</w:t>
      </w:r>
    </w:p>
    <w:p w14:paraId="0D314601" w14:textId="00CAD2EB" w:rsidR="0085120F" w:rsidRPr="0001716D" w:rsidRDefault="0075790E">
      <w:pPr>
        <w:pStyle w:val="ListParagraph"/>
        <w:numPr>
          <w:ilvl w:val="1"/>
          <w:numId w:val="4"/>
        </w:numPr>
        <w:spacing w:after="0"/>
        <w:rPr>
          <w:sz w:val="24"/>
          <w:szCs w:val="24"/>
        </w:rPr>
      </w:pPr>
      <w:r>
        <w:rPr>
          <w:sz w:val="24"/>
          <w:szCs w:val="24"/>
        </w:rPr>
        <w:t>kiwifruit (reduce</w:t>
      </w:r>
      <w:r w:rsidR="00AE6AF0">
        <w:rPr>
          <w:sz w:val="24"/>
          <w:szCs w:val="24"/>
        </w:rPr>
        <w:t>d</w:t>
      </w:r>
      <w:r>
        <w:rPr>
          <w:sz w:val="24"/>
          <w:szCs w:val="24"/>
        </w:rPr>
        <w:t xml:space="preserve"> over 7 years)</w:t>
      </w:r>
    </w:p>
    <w:p w14:paraId="3F55A592" w14:textId="77777777" w:rsidR="003C68D9" w:rsidRPr="003C68D9" w:rsidRDefault="003C68D9" w:rsidP="006873C3">
      <w:pPr>
        <w:pStyle w:val="ListParagraph"/>
        <w:spacing w:after="0"/>
        <w:ind w:left="567"/>
        <w:rPr>
          <w:sz w:val="24"/>
          <w:szCs w:val="24"/>
        </w:rPr>
      </w:pPr>
    </w:p>
    <w:p w14:paraId="5ABBCA4D" w14:textId="02A57F0A" w:rsidR="00D153CF" w:rsidRPr="00062118" w:rsidRDefault="543832D4" w:rsidP="00062118">
      <w:pPr>
        <w:pStyle w:val="ListParagraph"/>
        <w:numPr>
          <w:ilvl w:val="0"/>
          <w:numId w:val="1"/>
        </w:numPr>
        <w:spacing w:after="0"/>
        <w:ind w:left="567" w:hanging="567"/>
        <w:rPr>
          <w:sz w:val="24"/>
          <w:szCs w:val="24"/>
        </w:rPr>
      </w:pPr>
      <w:r w:rsidRPr="543832D4">
        <w:rPr>
          <w:sz w:val="24"/>
          <w:szCs w:val="24"/>
        </w:rPr>
        <w:t xml:space="preserve">In 2020-2021 Australia’s total horticulture production was valued at </w:t>
      </w:r>
      <w:r w:rsidR="0077337E">
        <w:rPr>
          <w:sz w:val="24"/>
          <w:szCs w:val="24"/>
        </w:rPr>
        <w:t>A</w:t>
      </w:r>
      <w:r w:rsidR="00612C81">
        <w:rPr>
          <w:sz w:val="24"/>
          <w:szCs w:val="24"/>
        </w:rPr>
        <w:t>U</w:t>
      </w:r>
      <w:r w:rsidRPr="543832D4">
        <w:rPr>
          <w:sz w:val="24"/>
          <w:szCs w:val="24"/>
        </w:rPr>
        <w:t>$11.</w:t>
      </w:r>
      <w:r w:rsidR="00182DDA" w:rsidRPr="543832D4">
        <w:rPr>
          <w:sz w:val="24"/>
          <w:szCs w:val="24"/>
        </w:rPr>
        <w:t>9</w:t>
      </w:r>
      <w:r w:rsidR="00182DDA">
        <w:rPr>
          <w:sz w:val="24"/>
          <w:szCs w:val="24"/>
        </w:rPr>
        <w:t> </w:t>
      </w:r>
      <w:r w:rsidRPr="543832D4">
        <w:rPr>
          <w:sz w:val="24"/>
          <w:szCs w:val="24"/>
        </w:rPr>
        <w:t xml:space="preserve">billion and employed over 60,000 people. </w:t>
      </w:r>
      <w:r w:rsidR="00D153CF" w:rsidRPr="003E2767">
        <w:rPr>
          <w:sz w:val="24"/>
          <w:szCs w:val="24"/>
        </w:rPr>
        <w:t>Averaged over the years 2018 through 2020, a</w:t>
      </w:r>
      <w:r w:rsidR="00D153CF" w:rsidRPr="00105B37">
        <w:rPr>
          <w:sz w:val="24"/>
          <w:szCs w:val="24"/>
        </w:rPr>
        <w:t>round</w:t>
      </w:r>
      <w:r w:rsidR="0025442D">
        <w:rPr>
          <w:sz w:val="24"/>
          <w:szCs w:val="24"/>
        </w:rPr>
        <w:t xml:space="preserve"> AU</w:t>
      </w:r>
      <w:r w:rsidR="0025442D" w:rsidRPr="009138F1">
        <w:rPr>
          <w:sz w:val="24"/>
          <w:szCs w:val="24"/>
        </w:rPr>
        <w:t>$4.1</w:t>
      </w:r>
      <w:r w:rsidR="0025442D">
        <w:rPr>
          <w:sz w:val="24"/>
          <w:szCs w:val="24"/>
        </w:rPr>
        <w:t>5</w:t>
      </w:r>
      <w:r w:rsidR="0025442D" w:rsidRPr="009138F1">
        <w:rPr>
          <w:sz w:val="24"/>
          <w:szCs w:val="24"/>
        </w:rPr>
        <w:t xml:space="preserve"> billion</w:t>
      </w:r>
      <w:r w:rsidR="0025442D" w:rsidRPr="00833E28">
        <w:rPr>
          <w:sz w:val="24"/>
          <w:szCs w:val="24"/>
        </w:rPr>
        <w:t xml:space="preserve"> of </w:t>
      </w:r>
      <w:r w:rsidR="0025442D" w:rsidRPr="003E2767">
        <w:rPr>
          <w:sz w:val="24"/>
          <w:szCs w:val="24"/>
        </w:rPr>
        <w:t>Australia’s annual horticultural production was exported.</w:t>
      </w:r>
      <w:r w:rsidR="0025442D" w:rsidRPr="00833E28">
        <w:rPr>
          <w:sz w:val="24"/>
          <w:szCs w:val="24"/>
        </w:rPr>
        <w:t xml:space="preserve"> </w:t>
      </w:r>
      <w:r w:rsidR="0025442D" w:rsidRPr="009138F1">
        <w:rPr>
          <w:sz w:val="24"/>
          <w:szCs w:val="24"/>
        </w:rPr>
        <w:t xml:space="preserve">Of these exports, China was the largest market with a value of </w:t>
      </w:r>
      <w:r w:rsidR="0025442D">
        <w:rPr>
          <w:sz w:val="24"/>
          <w:szCs w:val="24"/>
        </w:rPr>
        <w:t>AU</w:t>
      </w:r>
      <w:r w:rsidR="0025442D" w:rsidRPr="009138F1">
        <w:rPr>
          <w:sz w:val="24"/>
          <w:szCs w:val="24"/>
        </w:rPr>
        <w:t>$884 million (21 per cent), followed by Japan (</w:t>
      </w:r>
      <w:r w:rsidR="0025442D">
        <w:rPr>
          <w:sz w:val="24"/>
          <w:szCs w:val="24"/>
        </w:rPr>
        <w:t>AU</w:t>
      </w:r>
      <w:r w:rsidR="0025442D" w:rsidRPr="009138F1">
        <w:rPr>
          <w:sz w:val="24"/>
          <w:szCs w:val="24"/>
        </w:rPr>
        <w:t>$301 million, 7 per cent), and New Zealand (</w:t>
      </w:r>
      <w:r w:rsidR="0025442D">
        <w:rPr>
          <w:sz w:val="24"/>
          <w:szCs w:val="24"/>
        </w:rPr>
        <w:t>AU</w:t>
      </w:r>
      <w:r w:rsidR="0025442D" w:rsidRPr="009138F1">
        <w:rPr>
          <w:sz w:val="24"/>
          <w:szCs w:val="24"/>
        </w:rPr>
        <w:t>$214 million, 5 per cent)</w:t>
      </w:r>
      <w:r w:rsidR="0025442D" w:rsidRPr="00531032">
        <w:rPr>
          <w:sz w:val="24"/>
          <w:szCs w:val="24"/>
        </w:rPr>
        <w:t>.</w:t>
      </w:r>
      <w:r w:rsidR="0025442D" w:rsidRPr="009138F1">
        <w:rPr>
          <w:rStyle w:val="FootnoteReference"/>
          <w:sz w:val="24"/>
          <w:szCs w:val="24"/>
        </w:rPr>
        <w:footnoteReference w:id="48"/>
      </w:r>
    </w:p>
    <w:p w14:paraId="05ECCA67" w14:textId="30EC2AD2" w:rsidR="009614F4" w:rsidRPr="00D153CF" w:rsidRDefault="00D153CF">
      <w:pPr>
        <w:pStyle w:val="ListParagraph"/>
        <w:numPr>
          <w:ilvl w:val="0"/>
          <w:numId w:val="1"/>
        </w:numPr>
        <w:spacing w:after="0"/>
        <w:ind w:left="567" w:hanging="567"/>
        <w:rPr>
          <w:sz w:val="24"/>
          <w:szCs w:val="24"/>
        </w:rPr>
      </w:pPr>
      <w:r w:rsidRPr="00D153CF">
        <w:rPr>
          <w:sz w:val="24"/>
          <w:szCs w:val="24"/>
        </w:rPr>
        <w:lastRenderedPageBreak/>
        <w:t xml:space="preserve">Australia’s horticultural exports to India over this period averaged almost </w:t>
      </w:r>
      <w:r w:rsidR="003319D7">
        <w:rPr>
          <w:sz w:val="24"/>
          <w:szCs w:val="24"/>
        </w:rPr>
        <w:t>AU</w:t>
      </w:r>
      <w:r w:rsidRPr="00D153CF">
        <w:rPr>
          <w:sz w:val="24"/>
          <w:szCs w:val="24"/>
        </w:rPr>
        <w:t xml:space="preserve">$181 million </w:t>
      </w:r>
      <w:r w:rsidR="003319D7">
        <w:rPr>
          <w:sz w:val="24"/>
          <w:szCs w:val="24"/>
        </w:rPr>
        <w:br/>
      </w:r>
      <w:r w:rsidRPr="00D153CF">
        <w:rPr>
          <w:sz w:val="24"/>
          <w:szCs w:val="24"/>
        </w:rPr>
        <w:t>(4 per cent of Australia’s horticultural exports).</w:t>
      </w:r>
      <w:r w:rsidRPr="0001716D">
        <w:rPr>
          <w:vertAlign w:val="superscript"/>
        </w:rPr>
        <w:footnoteReference w:id="49"/>
      </w:r>
      <w:r w:rsidRPr="00D153CF">
        <w:rPr>
          <w:sz w:val="24"/>
          <w:szCs w:val="24"/>
        </w:rPr>
        <w:t xml:space="preserve"> Of the select horticultural goods covered by the </w:t>
      </w:r>
      <w:r w:rsidR="0025442D">
        <w:rPr>
          <w:sz w:val="24"/>
          <w:szCs w:val="24"/>
        </w:rPr>
        <w:t>AI</w:t>
      </w:r>
      <w:r w:rsidR="00217C26">
        <w:rPr>
          <w:sz w:val="24"/>
          <w:szCs w:val="24"/>
        </w:rPr>
        <w:t xml:space="preserve"> ECTA</w:t>
      </w:r>
      <w:r w:rsidRPr="00D153CF">
        <w:rPr>
          <w:sz w:val="24"/>
          <w:szCs w:val="24"/>
        </w:rPr>
        <w:t xml:space="preserve"> (listed above), our exports to India of these goods were worth over </w:t>
      </w:r>
      <w:r w:rsidR="003319D7">
        <w:rPr>
          <w:sz w:val="24"/>
          <w:szCs w:val="24"/>
        </w:rPr>
        <w:t>AU</w:t>
      </w:r>
      <w:r w:rsidRPr="00D153CF">
        <w:rPr>
          <w:sz w:val="24"/>
          <w:szCs w:val="24"/>
        </w:rPr>
        <w:t>$167 million on average (or 92 per cent of our horticultural exports to India) between 2018</w:t>
      </w:r>
      <w:r w:rsidRPr="00D153CF">
        <w:rPr>
          <w:sz w:val="24"/>
          <w:szCs w:val="24"/>
        </w:rPr>
        <w:noBreakHyphen/>
        <w:t xml:space="preserve">2020. </w:t>
      </w:r>
      <w:r w:rsidR="008F3719" w:rsidRPr="00D153CF">
        <w:rPr>
          <w:sz w:val="24"/>
          <w:szCs w:val="24"/>
        </w:rPr>
        <w:t xml:space="preserve"> </w:t>
      </w:r>
    </w:p>
    <w:p w14:paraId="616A2B08" w14:textId="6A2C07D1" w:rsidR="009614F4" w:rsidRDefault="009614F4">
      <w:pPr>
        <w:pStyle w:val="ListParagraph"/>
        <w:spacing w:after="0"/>
        <w:ind w:left="0"/>
        <w:rPr>
          <w:sz w:val="24"/>
          <w:szCs w:val="24"/>
        </w:rPr>
      </w:pPr>
    </w:p>
    <w:p w14:paraId="3CD4A171" w14:textId="6F33837E" w:rsidR="543832D4" w:rsidRPr="007A34F4" w:rsidRDefault="543832D4">
      <w:pPr>
        <w:pStyle w:val="ListParagraph"/>
        <w:numPr>
          <w:ilvl w:val="0"/>
          <w:numId w:val="1"/>
        </w:numPr>
        <w:spacing w:after="0"/>
        <w:ind w:left="567" w:hanging="567"/>
        <w:rPr>
          <w:sz w:val="24"/>
          <w:szCs w:val="24"/>
        </w:rPr>
      </w:pPr>
      <w:r w:rsidRPr="543832D4">
        <w:rPr>
          <w:rFonts w:ascii="Calibri" w:eastAsia="Calibri" w:hAnsi="Calibri" w:cs="Calibri"/>
          <w:sz w:val="24"/>
          <w:szCs w:val="24"/>
        </w:rPr>
        <w:t xml:space="preserve">The reduction in tariffs as set out by the proposed </w:t>
      </w:r>
      <w:r w:rsidR="0025442D">
        <w:rPr>
          <w:rFonts w:ascii="Calibri" w:eastAsia="Calibri" w:hAnsi="Calibri" w:cs="Calibri"/>
          <w:sz w:val="24"/>
          <w:szCs w:val="24"/>
        </w:rPr>
        <w:t>AI</w:t>
      </w:r>
      <w:r w:rsidR="00217C26">
        <w:rPr>
          <w:rFonts w:ascii="Calibri" w:eastAsia="Calibri" w:hAnsi="Calibri" w:cs="Calibri"/>
          <w:sz w:val="24"/>
          <w:szCs w:val="24"/>
        </w:rPr>
        <w:t xml:space="preserve"> ECTA</w:t>
      </w:r>
      <w:r w:rsidRPr="543832D4">
        <w:rPr>
          <w:rFonts w:ascii="Calibri" w:eastAsia="Calibri" w:hAnsi="Calibri" w:cs="Calibri"/>
          <w:sz w:val="24"/>
          <w:szCs w:val="24"/>
        </w:rPr>
        <w:t xml:space="preserve"> will enable the Australian horticulture industry to supply India’s growing food demand. For example, India’s demand for fruits and vegetables is expected to grow at 5–7 per cent by 2025.</w:t>
      </w:r>
      <w:r w:rsidR="008F3719">
        <w:rPr>
          <w:rStyle w:val="FootnoteReference"/>
          <w:rFonts w:ascii="Calibri" w:eastAsia="Calibri" w:hAnsi="Calibri" w:cs="Calibri"/>
          <w:sz w:val="24"/>
          <w:szCs w:val="24"/>
        </w:rPr>
        <w:footnoteReference w:id="50"/>
      </w:r>
      <w:r w:rsidRPr="543832D4">
        <w:rPr>
          <w:rFonts w:ascii="Calibri" w:eastAsia="Calibri" w:hAnsi="Calibri" w:cs="Calibri"/>
          <w:sz w:val="24"/>
          <w:szCs w:val="24"/>
        </w:rPr>
        <w:t xml:space="preserve"> Demand for nuts is also anticipated to grow given their nutritional benefits and consumer preferences. </w:t>
      </w:r>
    </w:p>
    <w:p w14:paraId="2B62296C" w14:textId="77777777" w:rsidR="00C24F33" w:rsidRPr="007A34F4" w:rsidRDefault="00C24F33" w:rsidP="007A34F4">
      <w:pPr>
        <w:pStyle w:val="ListParagraph"/>
        <w:rPr>
          <w:sz w:val="24"/>
          <w:szCs w:val="24"/>
        </w:rPr>
      </w:pPr>
    </w:p>
    <w:p w14:paraId="7F3A8858" w14:textId="2648645F" w:rsidR="00F25478" w:rsidRDefault="0004378F" w:rsidP="009F7B05">
      <w:pPr>
        <w:pStyle w:val="ListParagraph"/>
        <w:numPr>
          <w:ilvl w:val="0"/>
          <w:numId w:val="1"/>
        </w:numPr>
        <w:spacing w:after="0"/>
        <w:ind w:left="567" w:hanging="567"/>
        <w:rPr>
          <w:sz w:val="24"/>
          <w:szCs w:val="24"/>
        </w:rPr>
      </w:pPr>
      <w:r w:rsidRPr="543832D4">
        <w:rPr>
          <w:sz w:val="24"/>
          <w:szCs w:val="24"/>
        </w:rPr>
        <w:t xml:space="preserve">Beyond 2025, increasing income levels in India are likely to lead to increasingly sophisticated tastes associated with rising per person consumption of fruit, </w:t>
      </w:r>
      <w:proofErr w:type="gramStart"/>
      <w:r w:rsidRPr="543832D4">
        <w:rPr>
          <w:sz w:val="24"/>
          <w:szCs w:val="24"/>
        </w:rPr>
        <w:t>vegetables</w:t>
      </w:r>
      <w:proofErr w:type="gramEnd"/>
      <w:r w:rsidRPr="543832D4">
        <w:rPr>
          <w:sz w:val="24"/>
          <w:szCs w:val="24"/>
        </w:rPr>
        <w:t xml:space="preserve"> and other food products.  Removal of Indian tariffs on Australian horticultural goods, such as those</w:t>
      </w:r>
      <w:r w:rsidR="00526CAA" w:rsidRPr="543832D4">
        <w:rPr>
          <w:sz w:val="24"/>
          <w:szCs w:val="24"/>
        </w:rPr>
        <w:t xml:space="preserve"> in the proposed </w:t>
      </w:r>
      <w:r w:rsidR="0025442D">
        <w:rPr>
          <w:sz w:val="24"/>
          <w:szCs w:val="24"/>
        </w:rPr>
        <w:t>AI</w:t>
      </w:r>
      <w:r w:rsidR="00217C26">
        <w:rPr>
          <w:sz w:val="24"/>
          <w:szCs w:val="24"/>
        </w:rPr>
        <w:t xml:space="preserve"> ECTA</w:t>
      </w:r>
      <w:r w:rsidRPr="543832D4">
        <w:rPr>
          <w:sz w:val="24"/>
          <w:szCs w:val="24"/>
        </w:rPr>
        <w:t xml:space="preserve"> will benefit Indian consumers as they will enjoy greater access to a wider variety of horticultural products, at lower cost.  Australian products also have a reputation for being high-quality, reliable</w:t>
      </w:r>
      <w:r w:rsidR="00502440">
        <w:rPr>
          <w:sz w:val="24"/>
          <w:szCs w:val="24"/>
        </w:rPr>
        <w:t>,</w:t>
      </w:r>
      <w:r w:rsidRPr="543832D4">
        <w:rPr>
          <w:sz w:val="24"/>
          <w:szCs w:val="24"/>
        </w:rPr>
        <w:t xml:space="preserve"> and safe and will benefit Indian consumer health.</w:t>
      </w:r>
    </w:p>
    <w:p w14:paraId="0FE9FE43" w14:textId="77777777" w:rsidR="0072626B" w:rsidRDefault="0072626B" w:rsidP="005976E5">
      <w:pPr>
        <w:pStyle w:val="ListParagraph"/>
        <w:spacing w:after="0"/>
        <w:ind w:left="567"/>
        <w:rPr>
          <w:sz w:val="24"/>
          <w:szCs w:val="24"/>
        </w:rPr>
      </w:pPr>
    </w:p>
    <w:p w14:paraId="0A58FE44" w14:textId="7FDE582F" w:rsidR="0072626B" w:rsidRDefault="0072626B" w:rsidP="0072626B">
      <w:pPr>
        <w:pStyle w:val="ListParagraph"/>
        <w:numPr>
          <w:ilvl w:val="0"/>
          <w:numId w:val="1"/>
        </w:numPr>
        <w:spacing w:after="0"/>
        <w:ind w:left="567" w:hanging="567"/>
        <w:rPr>
          <w:sz w:val="24"/>
          <w:szCs w:val="24"/>
        </w:rPr>
      </w:pPr>
      <w:r w:rsidRPr="007A34F4">
        <w:rPr>
          <w:sz w:val="24"/>
          <w:szCs w:val="24"/>
        </w:rPr>
        <w:t>For some products (</w:t>
      </w:r>
      <w:proofErr w:type="gramStart"/>
      <w:r w:rsidRPr="007A34F4">
        <w:rPr>
          <w:sz w:val="24"/>
          <w:szCs w:val="24"/>
        </w:rPr>
        <w:t>e.g.</w:t>
      </w:r>
      <w:proofErr w:type="gramEnd"/>
      <w:r w:rsidRPr="007A34F4">
        <w:rPr>
          <w:sz w:val="24"/>
          <w:szCs w:val="24"/>
        </w:rPr>
        <w:t xml:space="preserve"> almonds) Australia is already a significant exporter to India.  Australia will become more competitive in the Indian market.  For other </w:t>
      </w:r>
      <w:r w:rsidRPr="543832D4">
        <w:rPr>
          <w:sz w:val="24"/>
          <w:szCs w:val="24"/>
        </w:rPr>
        <w:t>products (e.g.</w:t>
      </w:r>
      <w:r>
        <w:rPr>
          <w:sz w:val="24"/>
          <w:szCs w:val="24"/>
        </w:rPr>
        <w:t xml:space="preserve">, </w:t>
      </w:r>
      <w:r w:rsidRPr="543832D4">
        <w:rPr>
          <w:sz w:val="24"/>
          <w:szCs w:val="24"/>
        </w:rPr>
        <w:t>oranges</w:t>
      </w:r>
      <w:r>
        <w:rPr>
          <w:sz w:val="24"/>
          <w:szCs w:val="24"/>
        </w:rPr>
        <w:t>,</w:t>
      </w:r>
      <w:r w:rsidRPr="543832D4">
        <w:rPr>
          <w:sz w:val="24"/>
          <w:szCs w:val="24"/>
        </w:rPr>
        <w:t xml:space="preserve"> </w:t>
      </w:r>
      <w:r>
        <w:rPr>
          <w:sz w:val="24"/>
          <w:szCs w:val="24"/>
        </w:rPr>
        <w:t xml:space="preserve">mandarins, </w:t>
      </w:r>
      <w:r w:rsidRPr="543832D4">
        <w:rPr>
          <w:sz w:val="24"/>
          <w:szCs w:val="24"/>
        </w:rPr>
        <w:t>macadamias, cherries, berries, avocados) in which Australian exporters are already active globally, there is significant potential for Australian exporters to expand into the Indian market.</w:t>
      </w:r>
    </w:p>
    <w:p w14:paraId="131F21A4" w14:textId="77777777" w:rsidR="0072626B" w:rsidRDefault="0072626B" w:rsidP="0072626B">
      <w:pPr>
        <w:pStyle w:val="ListParagraph"/>
        <w:spacing w:after="0"/>
        <w:ind w:left="567"/>
        <w:rPr>
          <w:sz w:val="24"/>
          <w:szCs w:val="24"/>
        </w:rPr>
      </w:pPr>
    </w:p>
    <w:p w14:paraId="2C5A4721" w14:textId="423F640F" w:rsidR="0072626B" w:rsidRDefault="0072626B" w:rsidP="0072626B">
      <w:pPr>
        <w:pStyle w:val="ListParagraph"/>
        <w:numPr>
          <w:ilvl w:val="0"/>
          <w:numId w:val="1"/>
        </w:numPr>
        <w:spacing w:after="0"/>
        <w:ind w:left="567" w:hanging="567"/>
        <w:rPr>
          <w:sz w:val="24"/>
          <w:szCs w:val="24"/>
        </w:rPr>
      </w:pPr>
      <w:r w:rsidRPr="543832D4">
        <w:rPr>
          <w:sz w:val="24"/>
          <w:szCs w:val="24"/>
        </w:rPr>
        <w:t xml:space="preserve">The key outcomes under the proposed </w:t>
      </w:r>
      <w:r w:rsidR="0025442D">
        <w:rPr>
          <w:sz w:val="24"/>
          <w:szCs w:val="24"/>
        </w:rPr>
        <w:t>AI</w:t>
      </w:r>
      <w:r>
        <w:rPr>
          <w:sz w:val="24"/>
          <w:szCs w:val="24"/>
        </w:rPr>
        <w:t xml:space="preserve"> ECTA</w:t>
      </w:r>
      <w:r w:rsidRPr="543832D4">
        <w:rPr>
          <w:sz w:val="24"/>
          <w:szCs w:val="24"/>
        </w:rPr>
        <w:t xml:space="preserve"> in horticulture (see </w:t>
      </w:r>
      <w:r w:rsidRPr="543832D4">
        <w:rPr>
          <w:b/>
          <w:bCs/>
          <w:sz w:val="24"/>
          <w:szCs w:val="24"/>
          <w:u w:val="single"/>
        </w:rPr>
        <w:t xml:space="preserve">Table </w:t>
      </w:r>
      <w:r>
        <w:rPr>
          <w:b/>
          <w:bCs/>
          <w:sz w:val="24"/>
          <w:szCs w:val="24"/>
          <w:u w:val="single"/>
        </w:rPr>
        <w:t>7</w:t>
      </w:r>
      <w:r w:rsidRPr="543832D4">
        <w:rPr>
          <w:sz w:val="24"/>
          <w:szCs w:val="24"/>
        </w:rPr>
        <w:t xml:space="preserve">) </w:t>
      </w:r>
      <w:r>
        <w:rPr>
          <w:sz w:val="24"/>
          <w:szCs w:val="24"/>
        </w:rPr>
        <w:t xml:space="preserve">are </w:t>
      </w:r>
      <w:r w:rsidRPr="543832D4">
        <w:rPr>
          <w:sz w:val="24"/>
          <w:szCs w:val="24"/>
        </w:rPr>
        <w:t xml:space="preserve">also consistent with what industry has called for. The Australian Horticultural Exporters Association (AHEA) has noted that Australian fresh produce trade to India is currently small, primarily due to Australia’s lack of competitiveness on price.  Reducing </w:t>
      </w:r>
      <w:r>
        <w:rPr>
          <w:sz w:val="24"/>
          <w:szCs w:val="24"/>
        </w:rPr>
        <w:t xml:space="preserve">high </w:t>
      </w:r>
      <w:r w:rsidRPr="543832D4">
        <w:rPr>
          <w:sz w:val="24"/>
          <w:szCs w:val="24"/>
        </w:rPr>
        <w:t xml:space="preserve">tariffs will provide Australia with a competitive advantage, or at the very least, equal </w:t>
      </w:r>
      <w:r>
        <w:rPr>
          <w:sz w:val="24"/>
          <w:szCs w:val="24"/>
        </w:rPr>
        <w:t>access</w:t>
      </w:r>
      <w:r w:rsidRPr="543832D4">
        <w:rPr>
          <w:sz w:val="24"/>
          <w:szCs w:val="24"/>
        </w:rPr>
        <w:t xml:space="preserve"> to other countries with preferential access to the Indian market.  Advance Cairns (representing Tropical North Queensland) has highlighted the opportunities associated with tropical fruit in that region.  </w:t>
      </w:r>
    </w:p>
    <w:p w14:paraId="1E677975" w14:textId="77777777" w:rsidR="0072626B" w:rsidRDefault="0072626B" w:rsidP="0072626B">
      <w:pPr>
        <w:pStyle w:val="ListParagraph"/>
        <w:spacing w:after="0"/>
        <w:ind w:left="567"/>
        <w:rPr>
          <w:sz w:val="24"/>
          <w:szCs w:val="24"/>
        </w:rPr>
      </w:pPr>
    </w:p>
    <w:p w14:paraId="02AB4763" w14:textId="14EE5B3C" w:rsidR="0072626B" w:rsidRPr="0014704E" w:rsidRDefault="0072626B" w:rsidP="0072626B">
      <w:pPr>
        <w:pStyle w:val="ListParagraph"/>
        <w:numPr>
          <w:ilvl w:val="0"/>
          <w:numId w:val="1"/>
        </w:numPr>
        <w:spacing w:after="0"/>
        <w:ind w:left="567" w:hanging="567"/>
        <w:rPr>
          <w:sz w:val="24"/>
          <w:szCs w:val="24"/>
        </w:rPr>
      </w:pPr>
      <w:r w:rsidRPr="543832D4">
        <w:rPr>
          <w:sz w:val="24"/>
          <w:szCs w:val="24"/>
        </w:rPr>
        <w:t xml:space="preserve">In its submission, the Australian Nut Industry Council was supportive of lower tariffs being sought in the </w:t>
      </w:r>
      <w:r w:rsidR="0025442D">
        <w:rPr>
          <w:sz w:val="24"/>
          <w:szCs w:val="24"/>
        </w:rPr>
        <w:t>AI</w:t>
      </w:r>
      <w:r>
        <w:rPr>
          <w:sz w:val="24"/>
          <w:szCs w:val="24"/>
        </w:rPr>
        <w:t xml:space="preserve"> ECTA</w:t>
      </w:r>
      <w:r w:rsidRPr="543832D4">
        <w:rPr>
          <w:sz w:val="24"/>
          <w:szCs w:val="24"/>
        </w:rPr>
        <w:t xml:space="preserve">. The Council described the nut industry as being ‘ready to go for export to India with the elimination of the high tariffs that currently inhibit trade’. The Council also noted Australia’s nut exports would increase from around </w:t>
      </w:r>
      <w:r>
        <w:rPr>
          <w:sz w:val="24"/>
          <w:szCs w:val="24"/>
        </w:rPr>
        <w:t>AU</w:t>
      </w:r>
      <w:r w:rsidRPr="543832D4">
        <w:rPr>
          <w:sz w:val="24"/>
          <w:szCs w:val="24"/>
        </w:rPr>
        <w:t xml:space="preserve">$1 billion in </w:t>
      </w:r>
      <w:r>
        <w:rPr>
          <w:sz w:val="24"/>
          <w:szCs w:val="24"/>
        </w:rPr>
        <w:br/>
      </w:r>
      <w:r w:rsidRPr="543832D4">
        <w:rPr>
          <w:sz w:val="24"/>
          <w:szCs w:val="24"/>
        </w:rPr>
        <w:t xml:space="preserve">2020-21 to </w:t>
      </w:r>
      <w:r>
        <w:rPr>
          <w:sz w:val="24"/>
          <w:szCs w:val="24"/>
        </w:rPr>
        <w:t>AU</w:t>
      </w:r>
      <w:r w:rsidRPr="543832D4">
        <w:rPr>
          <w:sz w:val="24"/>
          <w:szCs w:val="24"/>
        </w:rPr>
        <w:t xml:space="preserve">$2.4 billion in 2030. While the nut industry had a history of developing its own export markets, a reduction in tariffs in a country like India would be a huge benefit.  </w:t>
      </w:r>
    </w:p>
    <w:p w14:paraId="2DC1210D" w14:textId="77777777" w:rsidR="0072626B" w:rsidRDefault="0072626B" w:rsidP="00F03F07"/>
    <w:p w14:paraId="5C3476E4" w14:textId="77777777" w:rsidR="000B337E" w:rsidRDefault="000B337E" w:rsidP="00F03F07">
      <w:bookmarkStart w:id="38" w:name="_Toc99370662"/>
    </w:p>
    <w:p w14:paraId="572D139A" w14:textId="7DD12990" w:rsidR="0072626B" w:rsidRDefault="0072626B" w:rsidP="0072626B">
      <w:pPr>
        <w:pStyle w:val="Heading3"/>
        <w:spacing w:before="0"/>
      </w:pPr>
      <w:r>
        <w:t>Pulses</w:t>
      </w:r>
      <w:bookmarkEnd w:id="38"/>
      <w:r>
        <w:t xml:space="preserve"> </w:t>
      </w:r>
    </w:p>
    <w:p w14:paraId="7755D36F" w14:textId="77777777" w:rsidR="0072626B" w:rsidRPr="0022082C" w:rsidRDefault="0072626B" w:rsidP="0072626B"/>
    <w:p w14:paraId="329D3705" w14:textId="77777777" w:rsidR="0072626B" w:rsidRDefault="0072626B" w:rsidP="0072626B">
      <w:pPr>
        <w:pStyle w:val="ListParagraph"/>
        <w:numPr>
          <w:ilvl w:val="0"/>
          <w:numId w:val="1"/>
        </w:numPr>
        <w:spacing w:after="0"/>
        <w:ind w:left="567" w:hanging="567"/>
        <w:rPr>
          <w:sz w:val="24"/>
          <w:szCs w:val="24"/>
        </w:rPr>
      </w:pPr>
      <w:r w:rsidRPr="543832D4">
        <w:rPr>
          <w:sz w:val="24"/>
          <w:szCs w:val="24"/>
        </w:rPr>
        <w:t xml:space="preserve">India will eliminate or reduce tariffs on </w:t>
      </w:r>
      <w:r>
        <w:rPr>
          <w:sz w:val="24"/>
          <w:szCs w:val="24"/>
        </w:rPr>
        <w:t>certain pulses. This includes:</w:t>
      </w:r>
    </w:p>
    <w:p w14:paraId="545491A8" w14:textId="77777777" w:rsidR="0072626B" w:rsidRDefault="0072626B" w:rsidP="00233790">
      <w:pPr>
        <w:pStyle w:val="ListParagraph"/>
        <w:numPr>
          <w:ilvl w:val="1"/>
          <w:numId w:val="27"/>
        </w:numPr>
        <w:spacing w:after="0"/>
        <w:rPr>
          <w:sz w:val="24"/>
          <w:szCs w:val="24"/>
        </w:rPr>
      </w:pPr>
      <w:r>
        <w:rPr>
          <w:sz w:val="24"/>
          <w:szCs w:val="24"/>
        </w:rPr>
        <w:t>certain beans (eliminated after 7 years)</w:t>
      </w:r>
    </w:p>
    <w:p w14:paraId="4B64C7E0" w14:textId="77777777" w:rsidR="0072626B" w:rsidRDefault="0072626B" w:rsidP="00233790">
      <w:pPr>
        <w:pStyle w:val="ListParagraph"/>
        <w:numPr>
          <w:ilvl w:val="1"/>
          <w:numId w:val="27"/>
        </w:numPr>
        <w:spacing w:after="0"/>
        <w:rPr>
          <w:sz w:val="24"/>
          <w:szCs w:val="24"/>
        </w:rPr>
      </w:pPr>
      <w:r>
        <w:rPr>
          <w:sz w:val="24"/>
          <w:szCs w:val="24"/>
        </w:rPr>
        <w:t>lentils (annual tariff rate quota)</w:t>
      </w:r>
    </w:p>
    <w:p w14:paraId="7454C127" w14:textId="77777777" w:rsidR="0072626B" w:rsidRPr="007A34F4" w:rsidRDefault="0072626B" w:rsidP="0072626B">
      <w:pPr>
        <w:spacing w:after="0"/>
        <w:ind w:left="567" w:hanging="567"/>
        <w:rPr>
          <w:sz w:val="24"/>
          <w:szCs w:val="24"/>
        </w:rPr>
      </w:pPr>
    </w:p>
    <w:p w14:paraId="7282DAC5" w14:textId="77777777" w:rsidR="0072626B" w:rsidRDefault="0072626B" w:rsidP="0072626B">
      <w:pPr>
        <w:pStyle w:val="ListParagraph"/>
        <w:numPr>
          <w:ilvl w:val="0"/>
          <w:numId w:val="1"/>
        </w:numPr>
        <w:spacing w:after="0"/>
        <w:ind w:left="567" w:hanging="567"/>
        <w:rPr>
          <w:sz w:val="24"/>
          <w:szCs w:val="24"/>
        </w:rPr>
      </w:pPr>
      <w:r w:rsidRPr="007A34F4">
        <w:rPr>
          <w:sz w:val="24"/>
          <w:szCs w:val="24"/>
        </w:rPr>
        <w:t>Australian pulse production has increased significantly since the 1990s. Total production amounted to only 1.3 million tonnes in 1990 and has since increased to more than 2 million tonnes annually. Over the same period Australian lentil production has similarly increased from less than 100,000 tonnes annually in the 1990s to more than 600,000 tonnes annually in 2020. In 2019-20 Australia exported AU$1,263 million worth of pulses.</w:t>
      </w:r>
      <w:r w:rsidRPr="007A34F4">
        <w:rPr>
          <w:sz w:val="24"/>
          <w:szCs w:val="24"/>
          <w:vertAlign w:val="superscript"/>
        </w:rPr>
        <w:footnoteReference w:id="51"/>
      </w:r>
      <w:r w:rsidRPr="007A34F4">
        <w:rPr>
          <w:sz w:val="24"/>
          <w:szCs w:val="24"/>
        </w:rPr>
        <w:t xml:space="preserve"> </w:t>
      </w:r>
    </w:p>
    <w:p w14:paraId="210F9D19" w14:textId="77777777" w:rsidR="0072626B" w:rsidRPr="007A34F4" w:rsidRDefault="0072626B" w:rsidP="0072626B">
      <w:pPr>
        <w:pStyle w:val="ListParagraph"/>
        <w:spacing w:after="0"/>
        <w:ind w:left="567"/>
        <w:rPr>
          <w:sz w:val="24"/>
          <w:szCs w:val="24"/>
        </w:rPr>
      </w:pPr>
    </w:p>
    <w:p w14:paraId="6F0A805A" w14:textId="77A44E53" w:rsidR="0072626B" w:rsidRPr="007A34F4" w:rsidRDefault="0072626B" w:rsidP="0072626B">
      <w:pPr>
        <w:pStyle w:val="ListParagraph"/>
        <w:numPr>
          <w:ilvl w:val="0"/>
          <w:numId w:val="1"/>
        </w:numPr>
        <w:spacing w:after="0"/>
        <w:ind w:left="567" w:hanging="567"/>
        <w:rPr>
          <w:sz w:val="24"/>
          <w:szCs w:val="24"/>
        </w:rPr>
      </w:pPr>
      <w:r w:rsidRPr="007A34F4">
        <w:rPr>
          <w:sz w:val="24"/>
          <w:szCs w:val="24"/>
        </w:rPr>
        <w:t>Despite growth in the Australian pulse industry, Australia remains a relatively small import source for India. Over the years 2018-20 India imported more than AU$1</w:t>
      </w:r>
      <w:r w:rsidR="007214E8">
        <w:rPr>
          <w:sz w:val="24"/>
          <w:szCs w:val="24"/>
        </w:rPr>
        <w:t>.</w:t>
      </w:r>
      <w:r w:rsidRPr="007A34F4">
        <w:rPr>
          <w:sz w:val="24"/>
          <w:szCs w:val="24"/>
        </w:rPr>
        <w:t>2</w:t>
      </w:r>
      <w:r w:rsidR="007214E8">
        <w:rPr>
          <w:sz w:val="24"/>
          <w:szCs w:val="24"/>
        </w:rPr>
        <w:t xml:space="preserve"> billion</w:t>
      </w:r>
      <w:r w:rsidRPr="007A34F4">
        <w:rPr>
          <w:sz w:val="24"/>
          <w:szCs w:val="24"/>
        </w:rPr>
        <w:t xml:space="preserve"> worth of pulses (including peas, chickpeas, </w:t>
      </w:r>
      <w:proofErr w:type="gramStart"/>
      <w:r w:rsidRPr="007A34F4">
        <w:rPr>
          <w:sz w:val="24"/>
          <w:szCs w:val="24"/>
        </w:rPr>
        <w:t>beans</w:t>
      </w:r>
      <w:proofErr w:type="gramEnd"/>
      <w:r w:rsidRPr="007A34F4">
        <w:rPr>
          <w:sz w:val="24"/>
          <w:szCs w:val="24"/>
        </w:rPr>
        <w:t xml:space="preserve"> and lentils) from all countries, of which only around AU$6</w:t>
      </w:r>
      <w:r w:rsidR="003A24AC">
        <w:rPr>
          <w:sz w:val="24"/>
          <w:szCs w:val="24"/>
        </w:rPr>
        <w:t>8</w:t>
      </w:r>
      <w:r w:rsidR="00541CDE">
        <w:rPr>
          <w:sz w:val="24"/>
          <w:szCs w:val="24"/>
        </w:rPr>
        <w:t>.9</w:t>
      </w:r>
      <w:r w:rsidRPr="007A34F4">
        <w:rPr>
          <w:sz w:val="24"/>
          <w:szCs w:val="24"/>
        </w:rPr>
        <w:t xml:space="preserve"> million </w:t>
      </w:r>
      <w:r w:rsidR="00541CDE">
        <w:rPr>
          <w:sz w:val="24"/>
          <w:szCs w:val="24"/>
        </w:rPr>
        <w:t xml:space="preserve">(or 4.1 per cent) </w:t>
      </w:r>
      <w:r w:rsidRPr="007A34F4">
        <w:rPr>
          <w:sz w:val="24"/>
          <w:szCs w:val="24"/>
        </w:rPr>
        <w:t>was imported from Australia.</w:t>
      </w:r>
      <w:r w:rsidR="00541CDE">
        <w:rPr>
          <w:sz w:val="24"/>
          <w:szCs w:val="24"/>
        </w:rPr>
        <w:t xml:space="preserve"> </w:t>
      </w:r>
      <w:r w:rsidR="000F4407">
        <w:rPr>
          <w:sz w:val="24"/>
          <w:szCs w:val="24"/>
        </w:rPr>
        <w:t xml:space="preserve">By contrast, Australia’s </w:t>
      </w:r>
      <w:r w:rsidR="005F5CE9">
        <w:rPr>
          <w:sz w:val="24"/>
          <w:szCs w:val="24"/>
        </w:rPr>
        <w:t xml:space="preserve">average </w:t>
      </w:r>
      <w:r w:rsidR="000F4407">
        <w:rPr>
          <w:sz w:val="24"/>
          <w:szCs w:val="24"/>
        </w:rPr>
        <w:t xml:space="preserve">global exports of these items amounted to </w:t>
      </w:r>
      <w:r w:rsidR="00321360">
        <w:rPr>
          <w:sz w:val="24"/>
          <w:szCs w:val="24"/>
        </w:rPr>
        <w:t>almost</w:t>
      </w:r>
      <w:r w:rsidR="000F4407">
        <w:rPr>
          <w:sz w:val="24"/>
          <w:szCs w:val="24"/>
        </w:rPr>
        <w:t xml:space="preserve"> $1.</w:t>
      </w:r>
      <w:r w:rsidR="00321360">
        <w:rPr>
          <w:sz w:val="24"/>
          <w:szCs w:val="24"/>
        </w:rPr>
        <w:t xml:space="preserve">064 billion per annum </w:t>
      </w:r>
      <w:r w:rsidR="005F5CE9">
        <w:rPr>
          <w:sz w:val="24"/>
          <w:szCs w:val="24"/>
        </w:rPr>
        <w:t>between 2018-2020.</w:t>
      </w:r>
    </w:p>
    <w:p w14:paraId="00EAE659" w14:textId="77777777" w:rsidR="0072626B" w:rsidRPr="007A34F4" w:rsidRDefault="0072626B" w:rsidP="0072626B">
      <w:pPr>
        <w:pStyle w:val="ListParagraph"/>
        <w:spacing w:after="0"/>
        <w:ind w:left="567"/>
        <w:rPr>
          <w:sz w:val="24"/>
          <w:szCs w:val="24"/>
        </w:rPr>
      </w:pPr>
    </w:p>
    <w:p w14:paraId="4E939C4E" w14:textId="755DAD2D" w:rsidR="0072626B" w:rsidRDefault="0072626B" w:rsidP="0072626B">
      <w:pPr>
        <w:pStyle w:val="ListParagraph"/>
        <w:numPr>
          <w:ilvl w:val="0"/>
          <w:numId w:val="1"/>
        </w:numPr>
        <w:spacing w:after="0"/>
        <w:ind w:left="567" w:hanging="567"/>
        <w:rPr>
          <w:sz w:val="24"/>
          <w:szCs w:val="24"/>
        </w:rPr>
      </w:pPr>
      <w:r w:rsidRPr="007A34F4">
        <w:rPr>
          <w:sz w:val="24"/>
          <w:szCs w:val="24"/>
        </w:rPr>
        <w:t xml:space="preserve"> There is therefore significant potential for Australian pulse producers to expand into the Indian market. </w:t>
      </w:r>
      <w:r>
        <w:rPr>
          <w:sz w:val="24"/>
          <w:szCs w:val="24"/>
        </w:rPr>
        <w:t xml:space="preserve">While peas and chickpeas are excluded from the </w:t>
      </w:r>
      <w:r w:rsidR="006E5E78">
        <w:rPr>
          <w:sz w:val="24"/>
          <w:szCs w:val="24"/>
        </w:rPr>
        <w:t>AI ECTA</w:t>
      </w:r>
      <w:r>
        <w:rPr>
          <w:sz w:val="24"/>
          <w:szCs w:val="24"/>
        </w:rPr>
        <w:t xml:space="preserve"> offer, the reduced barriers to Australian exporters of beans and lentils creates significant opportunities. </w:t>
      </w:r>
    </w:p>
    <w:p w14:paraId="73192E0E" w14:textId="77777777" w:rsidR="00006983" w:rsidRPr="0001716D" w:rsidRDefault="00006983" w:rsidP="0001716D">
      <w:pPr>
        <w:pStyle w:val="ListParagraph"/>
        <w:rPr>
          <w:sz w:val="24"/>
          <w:szCs w:val="24"/>
        </w:rPr>
      </w:pPr>
    </w:p>
    <w:p w14:paraId="6A26F1DA" w14:textId="3F1A3902" w:rsidR="00006983" w:rsidRDefault="00006983">
      <w:pPr>
        <w:pStyle w:val="ListParagraph"/>
        <w:numPr>
          <w:ilvl w:val="0"/>
          <w:numId w:val="1"/>
        </w:numPr>
        <w:spacing w:after="0"/>
        <w:ind w:left="567" w:hanging="567"/>
        <w:rPr>
          <w:sz w:val="24"/>
          <w:szCs w:val="24"/>
        </w:rPr>
      </w:pPr>
      <w:r w:rsidRPr="002612A4">
        <w:rPr>
          <w:b/>
          <w:bCs/>
          <w:sz w:val="24"/>
          <w:szCs w:val="24"/>
        </w:rPr>
        <w:t xml:space="preserve">Table </w:t>
      </w:r>
      <w:r w:rsidR="00AA64EE">
        <w:rPr>
          <w:b/>
          <w:bCs/>
          <w:sz w:val="24"/>
          <w:szCs w:val="24"/>
        </w:rPr>
        <w:t>7</w:t>
      </w:r>
      <w:r>
        <w:rPr>
          <w:sz w:val="24"/>
          <w:szCs w:val="24"/>
        </w:rPr>
        <w:t xml:space="preserve"> provides a summary of Australia’s horticultural products </w:t>
      </w:r>
      <w:r w:rsidR="0072626B">
        <w:rPr>
          <w:sz w:val="24"/>
          <w:szCs w:val="24"/>
        </w:rPr>
        <w:t xml:space="preserve">(including pulses) </w:t>
      </w:r>
      <w:r>
        <w:rPr>
          <w:sz w:val="24"/>
          <w:szCs w:val="24"/>
        </w:rPr>
        <w:t xml:space="preserve">with India and the </w:t>
      </w:r>
      <w:r w:rsidR="00286F08">
        <w:rPr>
          <w:sz w:val="24"/>
          <w:szCs w:val="24"/>
        </w:rPr>
        <w:t xml:space="preserve">tariff </w:t>
      </w:r>
      <w:r>
        <w:rPr>
          <w:sz w:val="24"/>
          <w:szCs w:val="24"/>
        </w:rPr>
        <w:t xml:space="preserve">outcomes from the proposed </w:t>
      </w:r>
      <w:r w:rsidR="0025442D">
        <w:rPr>
          <w:sz w:val="24"/>
          <w:szCs w:val="24"/>
        </w:rPr>
        <w:t>AI</w:t>
      </w:r>
      <w:r w:rsidR="00217C26">
        <w:rPr>
          <w:sz w:val="24"/>
          <w:szCs w:val="24"/>
        </w:rPr>
        <w:t xml:space="preserve"> ECTA</w:t>
      </w:r>
      <w:r>
        <w:rPr>
          <w:sz w:val="24"/>
          <w:szCs w:val="24"/>
        </w:rPr>
        <w:t>.</w:t>
      </w:r>
    </w:p>
    <w:p w14:paraId="496E8746" w14:textId="018F03FB" w:rsidR="00DB0807" w:rsidRDefault="00DB0807" w:rsidP="00DB0807">
      <w:pPr>
        <w:spacing w:after="0"/>
        <w:rPr>
          <w:sz w:val="24"/>
          <w:szCs w:val="24"/>
        </w:rPr>
      </w:pPr>
    </w:p>
    <w:p w14:paraId="66985A52" w14:textId="1EBF504F" w:rsidR="00DB0807" w:rsidRDefault="00DB0807" w:rsidP="00DB0807">
      <w:pPr>
        <w:spacing w:after="0"/>
        <w:rPr>
          <w:sz w:val="24"/>
          <w:szCs w:val="24"/>
        </w:rPr>
      </w:pPr>
    </w:p>
    <w:p w14:paraId="2C78A9B0" w14:textId="015FD27D" w:rsidR="00DB0807" w:rsidRDefault="00DB0807" w:rsidP="00DB0807">
      <w:pPr>
        <w:spacing w:after="0"/>
        <w:rPr>
          <w:sz w:val="24"/>
          <w:szCs w:val="24"/>
        </w:rPr>
      </w:pPr>
    </w:p>
    <w:p w14:paraId="541AB570" w14:textId="0D80A309" w:rsidR="00DB0807" w:rsidRDefault="00DB0807" w:rsidP="00DB0807">
      <w:pPr>
        <w:spacing w:after="0"/>
        <w:rPr>
          <w:sz w:val="24"/>
          <w:szCs w:val="24"/>
        </w:rPr>
      </w:pPr>
    </w:p>
    <w:p w14:paraId="1AFB507C" w14:textId="08C96058" w:rsidR="00DB0807" w:rsidRDefault="00DB0807" w:rsidP="00DB0807">
      <w:pPr>
        <w:spacing w:after="0"/>
        <w:rPr>
          <w:sz w:val="24"/>
          <w:szCs w:val="24"/>
        </w:rPr>
      </w:pPr>
    </w:p>
    <w:p w14:paraId="3081CC23" w14:textId="7C4C6BAC" w:rsidR="00DB0807" w:rsidRDefault="00DB0807" w:rsidP="00DB0807">
      <w:pPr>
        <w:spacing w:after="0"/>
        <w:rPr>
          <w:sz w:val="24"/>
          <w:szCs w:val="24"/>
        </w:rPr>
      </w:pPr>
    </w:p>
    <w:p w14:paraId="1ACB92F5" w14:textId="6437A0C5" w:rsidR="00DB0807" w:rsidRDefault="00DB0807" w:rsidP="00DB0807">
      <w:pPr>
        <w:spacing w:after="0"/>
        <w:rPr>
          <w:sz w:val="24"/>
          <w:szCs w:val="24"/>
        </w:rPr>
      </w:pPr>
    </w:p>
    <w:p w14:paraId="451F83FA" w14:textId="44FFD7C4" w:rsidR="00DB0807" w:rsidRDefault="00DB0807" w:rsidP="00DB0807">
      <w:pPr>
        <w:spacing w:after="0"/>
        <w:rPr>
          <w:sz w:val="24"/>
          <w:szCs w:val="24"/>
        </w:rPr>
      </w:pPr>
    </w:p>
    <w:p w14:paraId="26054A9A" w14:textId="6D477006" w:rsidR="00DB0807" w:rsidRDefault="00DB0807" w:rsidP="00DB0807">
      <w:pPr>
        <w:spacing w:after="0"/>
        <w:rPr>
          <w:sz w:val="24"/>
          <w:szCs w:val="24"/>
        </w:rPr>
      </w:pPr>
    </w:p>
    <w:p w14:paraId="68A19A6D" w14:textId="7FFCFB71" w:rsidR="00DB0807" w:rsidRDefault="00DB0807" w:rsidP="00DB0807">
      <w:pPr>
        <w:spacing w:after="0"/>
        <w:rPr>
          <w:sz w:val="24"/>
          <w:szCs w:val="24"/>
        </w:rPr>
      </w:pPr>
    </w:p>
    <w:p w14:paraId="27472E11" w14:textId="72491D63" w:rsidR="00DB0807" w:rsidRDefault="00DB0807" w:rsidP="00DB0807">
      <w:pPr>
        <w:spacing w:after="0"/>
        <w:rPr>
          <w:sz w:val="24"/>
          <w:szCs w:val="24"/>
        </w:rPr>
      </w:pPr>
    </w:p>
    <w:p w14:paraId="79F95785" w14:textId="606EE23B" w:rsidR="00DB0807" w:rsidRDefault="00DB0807" w:rsidP="00DB0807">
      <w:pPr>
        <w:spacing w:after="0"/>
        <w:rPr>
          <w:sz w:val="24"/>
          <w:szCs w:val="24"/>
        </w:rPr>
      </w:pPr>
    </w:p>
    <w:p w14:paraId="18E9CFD9" w14:textId="3757F525" w:rsidR="00DB0807" w:rsidRDefault="00DB0807" w:rsidP="00DB0807">
      <w:pPr>
        <w:spacing w:after="0"/>
        <w:rPr>
          <w:sz w:val="24"/>
          <w:szCs w:val="24"/>
        </w:rPr>
      </w:pPr>
    </w:p>
    <w:p w14:paraId="446469F4" w14:textId="6D6D343E" w:rsidR="00DB0807" w:rsidRDefault="00DB0807" w:rsidP="00DB0807">
      <w:pPr>
        <w:spacing w:after="0"/>
        <w:rPr>
          <w:sz w:val="24"/>
          <w:szCs w:val="24"/>
        </w:rPr>
      </w:pPr>
    </w:p>
    <w:p w14:paraId="117A2FDA" w14:textId="588BFA5B" w:rsidR="00DB0807" w:rsidRDefault="00DB0807" w:rsidP="00DB0807">
      <w:pPr>
        <w:spacing w:after="0"/>
        <w:rPr>
          <w:sz w:val="24"/>
          <w:szCs w:val="24"/>
        </w:rPr>
      </w:pPr>
    </w:p>
    <w:p w14:paraId="48D81364" w14:textId="02F971A2" w:rsidR="002C66FE" w:rsidRDefault="002C66FE">
      <w:pPr>
        <w:spacing w:after="0"/>
        <w:rPr>
          <w:sz w:val="24"/>
          <w:szCs w:val="24"/>
        </w:rPr>
      </w:pPr>
    </w:p>
    <w:p w14:paraId="545E19EA" w14:textId="5366C242" w:rsidR="004038A6" w:rsidRDefault="004038A6" w:rsidP="009F7B05">
      <w:pPr>
        <w:spacing w:after="0"/>
        <w:rPr>
          <w:b/>
        </w:rPr>
      </w:pPr>
      <w:bookmarkStart w:id="39" w:name="_Hlk97152653"/>
      <w:r w:rsidRPr="0001716D">
        <w:rPr>
          <w:b/>
          <w:u w:val="single"/>
        </w:rPr>
        <w:lastRenderedPageBreak/>
        <w:t xml:space="preserve">Table </w:t>
      </w:r>
      <w:r w:rsidR="00AA64EE">
        <w:rPr>
          <w:b/>
          <w:u w:val="single"/>
        </w:rPr>
        <w:t>7</w:t>
      </w:r>
      <w:r w:rsidRPr="009138F1">
        <w:rPr>
          <w:b/>
        </w:rPr>
        <w:t xml:space="preserve">: Summary of horticultural products trade </w:t>
      </w:r>
      <w:r w:rsidR="0072626B">
        <w:rPr>
          <w:b/>
        </w:rPr>
        <w:t xml:space="preserve">(including </w:t>
      </w:r>
      <w:r w:rsidR="00FF3A36">
        <w:rPr>
          <w:b/>
        </w:rPr>
        <w:t>pulses</w:t>
      </w:r>
      <w:r w:rsidR="0072626B">
        <w:rPr>
          <w:b/>
        </w:rPr>
        <w:t xml:space="preserve">) </w:t>
      </w:r>
      <w:r w:rsidRPr="009138F1">
        <w:rPr>
          <w:b/>
        </w:rPr>
        <w:t xml:space="preserve">and </w:t>
      </w:r>
      <w:r w:rsidR="001275D3">
        <w:rPr>
          <w:b/>
        </w:rPr>
        <w:t xml:space="preserve">proposed </w:t>
      </w:r>
      <w:r w:rsidR="0025442D">
        <w:rPr>
          <w:b/>
        </w:rPr>
        <w:t>AI</w:t>
      </w:r>
      <w:r w:rsidR="00217C26">
        <w:rPr>
          <w:b/>
        </w:rPr>
        <w:t xml:space="preserve"> ECTA</w:t>
      </w:r>
      <w:r w:rsidR="001275D3">
        <w:rPr>
          <w:b/>
        </w:rPr>
        <w:t xml:space="preserve"> </w:t>
      </w:r>
      <w:r w:rsidRPr="009138F1">
        <w:rPr>
          <w:b/>
        </w:rPr>
        <w:t xml:space="preserve">tariff outcomes </w:t>
      </w:r>
    </w:p>
    <w:tbl>
      <w:tblPr>
        <w:tblW w:w="10403" w:type="dxa"/>
        <w:tblLayout w:type="fixed"/>
        <w:tblLook w:val="04A0" w:firstRow="1" w:lastRow="0" w:firstColumn="1" w:lastColumn="0" w:noHBand="0" w:noVBand="1"/>
      </w:tblPr>
      <w:tblGrid>
        <w:gridCol w:w="709"/>
        <w:gridCol w:w="847"/>
        <w:gridCol w:w="2635"/>
        <w:gridCol w:w="1189"/>
        <w:gridCol w:w="1033"/>
        <w:gridCol w:w="809"/>
        <w:gridCol w:w="2026"/>
        <w:gridCol w:w="1155"/>
      </w:tblGrid>
      <w:tr w:rsidR="00335CF7" w:rsidRPr="00286F08" w14:paraId="0DFE554B" w14:textId="77777777" w:rsidTr="000F69BD">
        <w:tc>
          <w:tcPr>
            <w:tcW w:w="709" w:type="dxa"/>
            <w:tcBorders>
              <w:top w:val="single" w:sz="4" w:space="0" w:color="auto"/>
              <w:left w:val="nil"/>
              <w:bottom w:val="nil"/>
              <w:right w:val="nil"/>
            </w:tcBorders>
            <w:shd w:val="clear" w:color="auto" w:fill="auto"/>
            <w:noWrap/>
            <w:vAlign w:val="bottom"/>
            <w:hideMark/>
          </w:tcPr>
          <w:p w14:paraId="10C21D84" w14:textId="77777777" w:rsidR="00335CF7" w:rsidRPr="00286F08" w:rsidRDefault="00335CF7" w:rsidP="000F69BD">
            <w:pPr>
              <w:spacing w:after="0" w:line="240" w:lineRule="auto"/>
              <w:rPr>
                <w:rFonts w:asciiTheme="majorHAnsi" w:eastAsia="Times New Roman" w:hAnsiTheme="majorHAnsi" w:cstheme="majorHAnsi"/>
                <w:b/>
                <w:sz w:val="18"/>
                <w:szCs w:val="18"/>
                <w:lang w:eastAsia="en-AU"/>
              </w:rPr>
            </w:pPr>
          </w:p>
        </w:tc>
        <w:tc>
          <w:tcPr>
            <w:tcW w:w="3482" w:type="dxa"/>
            <w:gridSpan w:val="2"/>
            <w:tcBorders>
              <w:top w:val="single" w:sz="4" w:space="0" w:color="auto"/>
              <w:left w:val="nil"/>
              <w:bottom w:val="nil"/>
              <w:right w:val="nil"/>
            </w:tcBorders>
            <w:shd w:val="clear" w:color="auto" w:fill="auto"/>
            <w:noWrap/>
            <w:hideMark/>
          </w:tcPr>
          <w:p w14:paraId="01F313CB" w14:textId="77777777" w:rsidR="00335CF7" w:rsidRPr="00286F08" w:rsidRDefault="00335CF7" w:rsidP="000F69BD">
            <w:pPr>
              <w:spacing w:after="0" w:line="240" w:lineRule="auto"/>
              <w:rPr>
                <w:rFonts w:asciiTheme="majorHAnsi" w:eastAsia="Times New Roman" w:hAnsiTheme="majorHAnsi" w:cstheme="majorHAnsi"/>
                <w:b/>
                <w:color w:val="000000"/>
                <w:sz w:val="18"/>
                <w:szCs w:val="18"/>
                <w:lang w:eastAsia="en-AU"/>
              </w:rPr>
            </w:pPr>
            <w:r w:rsidRPr="00286F08">
              <w:rPr>
                <w:rFonts w:asciiTheme="majorHAnsi" w:eastAsia="Times New Roman" w:hAnsiTheme="majorHAnsi" w:cstheme="majorHAnsi"/>
                <w:b/>
                <w:color w:val="000000"/>
                <w:sz w:val="18"/>
                <w:szCs w:val="18"/>
                <w:lang w:eastAsia="en-AU"/>
              </w:rPr>
              <w:t>Commodity items (aggregated)</w:t>
            </w:r>
          </w:p>
        </w:tc>
        <w:tc>
          <w:tcPr>
            <w:tcW w:w="2222" w:type="dxa"/>
            <w:gridSpan w:val="2"/>
            <w:tcBorders>
              <w:top w:val="single" w:sz="4" w:space="0" w:color="auto"/>
              <w:left w:val="nil"/>
              <w:bottom w:val="nil"/>
              <w:right w:val="nil"/>
            </w:tcBorders>
            <w:shd w:val="clear" w:color="auto" w:fill="auto"/>
            <w:noWrap/>
            <w:vAlign w:val="bottom"/>
            <w:hideMark/>
          </w:tcPr>
          <w:p w14:paraId="654B129F" w14:textId="77777777" w:rsidR="00335CF7" w:rsidRPr="00286F08" w:rsidRDefault="00335CF7" w:rsidP="000F69BD">
            <w:pPr>
              <w:spacing w:after="0" w:line="240" w:lineRule="auto"/>
              <w:jc w:val="center"/>
              <w:rPr>
                <w:rFonts w:asciiTheme="majorHAnsi" w:eastAsia="Times New Roman" w:hAnsiTheme="majorHAnsi" w:cstheme="majorHAnsi"/>
                <w:b/>
                <w:color w:val="000000"/>
                <w:sz w:val="18"/>
                <w:szCs w:val="18"/>
                <w:lang w:eastAsia="en-AU"/>
              </w:rPr>
            </w:pPr>
            <w:r w:rsidRPr="00286F08">
              <w:rPr>
                <w:rFonts w:asciiTheme="majorHAnsi" w:eastAsia="Times New Roman" w:hAnsiTheme="majorHAnsi" w:cstheme="majorHAnsi"/>
                <w:b/>
                <w:color w:val="000000"/>
                <w:sz w:val="18"/>
                <w:szCs w:val="18"/>
                <w:lang w:eastAsia="en-AU"/>
              </w:rPr>
              <w:t>India's imports of Australian goods</w:t>
            </w:r>
            <w:r w:rsidRPr="00286F08">
              <w:rPr>
                <w:rFonts w:asciiTheme="majorHAnsi" w:eastAsia="Times New Roman" w:hAnsiTheme="majorHAnsi" w:cstheme="majorHAnsi"/>
                <w:b/>
                <w:color w:val="000000"/>
                <w:sz w:val="18"/>
                <w:szCs w:val="18"/>
                <w:lang w:eastAsia="en-AU"/>
              </w:rPr>
              <w:br/>
              <w:t>(average, 2018-2020)</w:t>
            </w:r>
          </w:p>
        </w:tc>
        <w:tc>
          <w:tcPr>
            <w:tcW w:w="809" w:type="dxa"/>
            <w:vMerge w:val="restart"/>
            <w:tcBorders>
              <w:top w:val="single" w:sz="4" w:space="0" w:color="auto"/>
              <w:left w:val="nil"/>
              <w:right w:val="nil"/>
            </w:tcBorders>
            <w:shd w:val="clear" w:color="auto" w:fill="auto"/>
            <w:noWrap/>
            <w:hideMark/>
          </w:tcPr>
          <w:p w14:paraId="0C1644FB" w14:textId="77777777" w:rsidR="00335CF7" w:rsidRPr="00286F08" w:rsidRDefault="00335CF7" w:rsidP="000F69BD">
            <w:pPr>
              <w:spacing w:after="0" w:line="240" w:lineRule="auto"/>
              <w:jc w:val="center"/>
              <w:rPr>
                <w:rFonts w:asciiTheme="majorHAnsi" w:eastAsia="Times New Roman" w:hAnsiTheme="majorHAnsi" w:cstheme="majorHAnsi"/>
                <w:b/>
                <w:color w:val="000000"/>
                <w:sz w:val="18"/>
                <w:szCs w:val="18"/>
                <w:lang w:eastAsia="en-AU"/>
              </w:rPr>
            </w:pPr>
            <w:r w:rsidRPr="00286F08">
              <w:rPr>
                <w:rFonts w:asciiTheme="majorHAnsi" w:eastAsia="Times New Roman" w:hAnsiTheme="majorHAnsi" w:cstheme="majorHAnsi"/>
                <w:b/>
                <w:color w:val="000000"/>
                <w:sz w:val="18"/>
                <w:szCs w:val="18"/>
                <w:lang w:eastAsia="en-AU"/>
              </w:rPr>
              <w:t>Base rate (%)</w:t>
            </w:r>
          </w:p>
        </w:tc>
        <w:tc>
          <w:tcPr>
            <w:tcW w:w="2026" w:type="dxa"/>
            <w:vMerge w:val="restart"/>
            <w:tcBorders>
              <w:top w:val="single" w:sz="4" w:space="0" w:color="auto"/>
              <w:left w:val="nil"/>
              <w:right w:val="nil"/>
            </w:tcBorders>
            <w:shd w:val="clear" w:color="auto" w:fill="auto"/>
            <w:noWrap/>
            <w:hideMark/>
          </w:tcPr>
          <w:p w14:paraId="4D61107F" w14:textId="77777777" w:rsidR="00335CF7" w:rsidRPr="00286F08" w:rsidRDefault="00335CF7" w:rsidP="000F69BD">
            <w:pPr>
              <w:spacing w:after="0" w:line="240" w:lineRule="auto"/>
              <w:rPr>
                <w:rFonts w:asciiTheme="majorHAnsi" w:eastAsia="Times New Roman" w:hAnsiTheme="majorHAnsi" w:cstheme="majorHAnsi"/>
                <w:b/>
                <w:color w:val="000000"/>
                <w:sz w:val="18"/>
                <w:szCs w:val="18"/>
                <w:lang w:eastAsia="en-AU"/>
              </w:rPr>
            </w:pPr>
            <w:r w:rsidRPr="00286F08">
              <w:rPr>
                <w:rFonts w:asciiTheme="majorHAnsi" w:eastAsia="Times New Roman" w:hAnsiTheme="majorHAnsi" w:cstheme="majorHAnsi"/>
                <w:b/>
                <w:color w:val="000000"/>
                <w:sz w:val="18"/>
                <w:szCs w:val="18"/>
                <w:lang w:eastAsia="en-AU"/>
              </w:rPr>
              <w:t>Tariff reduction outcome</w:t>
            </w:r>
          </w:p>
        </w:tc>
        <w:tc>
          <w:tcPr>
            <w:tcW w:w="1155" w:type="dxa"/>
            <w:vMerge w:val="restart"/>
            <w:tcBorders>
              <w:top w:val="single" w:sz="4" w:space="0" w:color="auto"/>
              <w:left w:val="nil"/>
              <w:right w:val="nil"/>
            </w:tcBorders>
            <w:shd w:val="clear" w:color="auto" w:fill="auto"/>
            <w:noWrap/>
            <w:hideMark/>
          </w:tcPr>
          <w:p w14:paraId="1FC2C4A3" w14:textId="77777777" w:rsidR="00335CF7" w:rsidRPr="00286F08" w:rsidRDefault="00335CF7" w:rsidP="000F69BD">
            <w:pPr>
              <w:spacing w:after="0" w:line="240" w:lineRule="auto"/>
              <w:jc w:val="right"/>
              <w:rPr>
                <w:rFonts w:asciiTheme="majorHAnsi" w:eastAsia="Times New Roman" w:hAnsiTheme="majorHAnsi" w:cstheme="majorHAnsi"/>
                <w:b/>
                <w:color w:val="000000"/>
                <w:sz w:val="18"/>
                <w:szCs w:val="18"/>
                <w:lang w:eastAsia="en-AU"/>
              </w:rPr>
            </w:pPr>
            <w:r>
              <w:rPr>
                <w:rFonts w:asciiTheme="majorHAnsi" w:eastAsia="Times New Roman" w:hAnsiTheme="majorHAnsi" w:cstheme="majorHAnsi"/>
                <w:b/>
                <w:color w:val="000000"/>
                <w:sz w:val="18"/>
                <w:szCs w:val="18"/>
                <w:lang w:eastAsia="en-AU"/>
              </w:rPr>
              <w:t>Tariff amount (average, 2018-</w:t>
            </w:r>
            <w:proofErr w:type="gramStart"/>
            <w:r>
              <w:rPr>
                <w:rFonts w:asciiTheme="majorHAnsi" w:eastAsia="Times New Roman" w:hAnsiTheme="majorHAnsi" w:cstheme="majorHAnsi"/>
                <w:b/>
                <w:color w:val="000000"/>
                <w:sz w:val="18"/>
                <w:szCs w:val="18"/>
                <w:lang w:eastAsia="en-AU"/>
              </w:rPr>
              <w:t>2020)</w:t>
            </w:r>
            <w:r w:rsidRPr="00894292">
              <w:rPr>
                <w:rFonts w:asciiTheme="majorHAnsi" w:eastAsia="Times New Roman" w:hAnsiTheme="majorHAnsi" w:cstheme="majorHAnsi"/>
                <w:b/>
                <w:color w:val="000000"/>
                <w:sz w:val="18"/>
                <w:szCs w:val="18"/>
                <w:lang w:eastAsia="en-AU"/>
              </w:rPr>
              <w:t>*</w:t>
            </w:r>
            <w:proofErr w:type="gramEnd"/>
            <w:r w:rsidRPr="00894292">
              <w:rPr>
                <w:rFonts w:asciiTheme="majorHAnsi" w:eastAsia="Times New Roman" w:hAnsiTheme="majorHAnsi" w:cstheme="majorHAnsi"/>
                <w:b/>
                <w:color w:val="000000"/>
                <w:sz w:val="18"/>
                <w:szCs w:val="18"/>
                <w:lang w:eastAsia="en-AU"/>
              </w:rPr>
              <w:br/>
            </w:r>
            <w:r w:rsidRPr="004C7621">
              <w:rPr>
                <w:rFonts w:asciiTheme="majorHAnsi" w:eastAsia="Times New Roman" w:hAnsiTheme="majorHAnsi" w:cstheme="majorHAnsi"/>
                <w:bCs/>
                <w:color w:val="000000"/>
                <w:sz w:val="18"/>
                <w:szCs w:val="18"/>
                <w:lang w:eastAsia="en-AU"/>
              </w:rPr>
              <w:t>($A)</w:t>
            </w:r>
          </w:p>
        </w:tc>
      </w:tr>
      <w:tr w:rsidR="007C01E6" w:rsidRPr="00286F08" w14:paraId="25691950" w14:textId="77777777" w:rsidTr="000F69BD">
        <w:tc>
          <w:tcPr>
            <w:tcW w:w="709" w:type="dxa"/>
            <w:tcBorders>
              <w:top w:val="nil"/>
              <w:left w:val="nil"/>
              <w:bottom w:val="single" w:sz="4" w:space="0" w:color="auto"/>
              <w:right w:val="nil"/>
            </w:tcBorders>
            <w:shd w:val="clear" w:color="auto" w:fill="auto"/>
            <w:noWrap/>
            <w:vAlign w:val="bottom"/>
            <w:hideMark/>
          </w:tcPr>
          <w:p w14:paraId="711ADAEF" w14:textId="77777777" w:rsidR="007C01E6" w:rsidRPr="00286F08" w:rsidRDefault="007C01E6" w:rsidP="007C01E6">
            <w:pPr>
              <w:spacing w:after="0" w:line="240" w:lineRule="auto"/>
              <w:rPr>
                <w:rFonts w:asciiTheme="majorHAnsi" w:eastAsia="Times New Roman" w:hAnsiTheme="majorHAnsi" w:cstheme="majorHAnsi"/>
                <w:color w:val="000000"/>
                <w:sz w:val="18"/>
                <w:szCs w:val="18"/>
                <w:lang w:eastAsia="en-AU"/>
              </w:rPr>
            </w:pPr>
          </w:p>
        </w:tc>
        <w:tc>
          <w:tcPr>
            <w:tcW w:w="847" w:type="dxa"/>
            <w:tcBorders>
              <w:top w:val="nil"/>
              <w:left w:val="nil"/>
              <w:bottom w:val="single" w:sz="4" w:space="0" w:color="auto"/>
              <w:right w:val="nil"/>
            </w:tcBorders>
            <w:shd w:val="clear" w:color="auto" w:fill="auto"/>
            <w:noWrap/>
            <w:vAlign w:val="bottom"/>
            <w:hideMark/>
          </w:tcPr>
          <w:p w14:paraId="2E4E07F9" w14:textId="77777777" w:rsidR="007C01E6" w:rsidRPr="00286F08" w:rsidRDefault="007C01E6" w:rsidP="007C01E6">
            <w:pPr>
              <w:spacing w:after="0" w:line="240" w:lineRule="auto"/>
              <w:rPr>
                <w:rFonts w:asciiTheme="majorHAnsi" w:eastAsia="Times New Roman" w:hAnsiTheme="majorHAnsi" w:cstheme="majorHAnsi"/>
                <w:color w:val="000000"/>
                <w:sz w:val="18"/>
                <w:szCs w:val="18"/>
                <w:lang w:eastAsia="en-AU"/>
              </w:rPr>
            </w:pPr>
          </w:p>
        </w:tc>
        <w:tc>
          <w:tcPr>
            <w:tcW w:w="2635" w:type="dxa"/>
            <w:tcBorders>
              <w:top w:val="nil"/>
              <w:left w:val="nil"/>
              <w:bottom w:val="single" w:sz="4" w:space="0" w:color="auto"/>
              <w:right w:val="nil"/>
            </w:tcBorders>
            <w:shd w:val="clear" w:color="auto" w:fill="auto"/>
            <w:noWrap/>
            <w:vAlign w:val="bottom"/>
            <w:hideMark/>
          </w:tcPr>
          <w:p w14:paraId="0294ACC2" w14:textId="77777777" w:rsidR="007C01E6" w:rsidRPr="00286F08" w:rsidRDefault="007C01E6" w:rsidP="007C01E6">
            <w:pPr>
              <w:spacing w:after="0" w:line="240" w:lineRule="auto"/>
              <w:rPr>
                <w:rFonts w:asciiTheme="majorHAnsi" w:eastAsia="Times New Roman" w:hAnsiTheme="majorHAnsi" w:cstheme="majorHAnsi"/>
                <w:color w:val="000000"/>
                <w:sz w:val="18"/>
                <w:szCs w:val="18"/>
                <w:lang w:eastAsia="en-AU"/>
              </w:rPr>
            </w:pPr>
            <w:r w:rsidRPr="00286F08">
              <w:rPr>
                <w:rFonts w:asciiTheme="majorHAnsi" w:eastAsia="Times New Roman" w:hAnsiTheme="majorHAnsi" w:cstheme="majorHAnsi"/>
                <w:color w:val="000000"/>
                <w:sz w:val="18"/>
                <w:szCs w:val="18"/>
                <w:lang w:eastAsia="en-AU"/>
              </w:rPr>
              <w:t>Description</w:t>
            </w:r>
          </w:p>
        </w:tc>
        <w:tc>
          <w:tcPr>
            <w:tcW w:w="1189" w:type="dxa"/>
            <w:tcBorders>
              <w:top w:val="nil"/>
              <w:left w:val="nil"/>
              <w:bottom w:val="single" w:sz="4" w:space="0" w:color="auto"/>
              <w:right w:val="nil"/>
            </w:tcBorders>
            <w:shd w:val="clear" w:color="auto" w:fill="auto"/>
            <w:noWrap/>
            <w:vAlign w:val="bottom"/>
            <w:hideMark/>
          </w:tcPr>
          <w:p w14:paraId="1CB44507" w14:textId="77777777" w:rsidR="007C01E6" w:rsidRPr="00286F08" w:rsidRDefault="007C01E6" w:rsidP="007C01E6">
            <w:pPr>
              <w:spacing w:after="0" w:line="240" w:lineRule="auto"/>
              <w:rPr>
                <w:rFonts w:asciiTheme="majorHAnsi" w:eastAsia="Times New Roman" w:hAnsiTheme="majorHAnsi" w:cstheme="majorHAnsi"/>
                <w:sz w:val="18"/>
                <w:szCs w:val="18"/>
                <w:lang w:eastAsia="en-AU"/>
              </w:rPr>
            </w:pPr>
            <w:r w:rsidRPr="00286F08">
              <w:rPr>
                <w:rFonts w:asciiTheme="majorHAnsi" w:eastAsia="Times New Roman" w:hAnsiTheme="majorHAnsi" w:cstheme="majorHAnsi"/>
                <w:sz w:val="18"/>
                <w:szCs w:val="18"/>
                <w:lang w:eastAsia="en-AU"/>
              </w:rPr>
              <w:t>Value ($A)</w:t>
            </w:r>
          </w:p>
        </w:tc>
        <w:tc>
          <w:tcPr>
            <w:tcW w:w="1033" w:type="dxa"/>
            <w:tcBorders>
              <w:top w:val="nil"/>
              <w:left w:val="nil"/>
              <w:bottom w:val="single" w:sz="4" w:space="0" w:color="auto"/>
              <w:right w:val="nil"/>
            </w:tcBorders>
            <w:shd w:val="clear" w:color="auto" w:fill="auto"/>
            <w:noWrap/>
            <w:vAlign w:val="bottom"/>
            <w:hideMark/>
          </w:tcPr>
          <w:p w14:paraId="4AC8DA03" w14:textId="28373D83" w:rsidR="007C01E6" w:rsidRPr="00286F08" w:rsidRDefault="007C01E6" w:rsidP="007C01E6">
            <w:pPr>
              <w:spacing w:after="0" w:line="240" w:lineRule="auto"/>
              <w:rPr>
                <w:rFonts w:asciiTheme="majorHAnsi" w:eastAsia="Times New Roman" w:hAnsiTheme="majorHAnsi" w:cstheme="majorHAnsi"/>
                <w:sz w:val="18"/>
                <w:szCs w:val="18"/>
                <w:lang w:eastAsia="en-AU"/>
              </w:rPr>
            </w:pPr>
            <w:r w:rsidRPr="00894292">
              <w:rPr>
                <w:rFonts w:asciiTheme="majorHAnsi" w:eastAsia="Times New Roman" w:hAnsiTheme="majorHAnsi" w:cstheme="majorHAnsi"/>
                <w:color w:val="000000"/>
                <w:sz w:val="18"/>
                <w:szCs w:val="18"/>
                <w:lang w:eastAsia="en-AU"/>
              </w:rPr>
              <w:t xml:space="preserve">% </w:t>
            </w:r>
            <w:proofErr w:type="gramStart"/>
            <w:r w:rsidRPr="00894292">
              <w:rPr>
                <w:rFonts w:asciiTheme="majorHAnsi" w:eastAsia="Times New Roman" w:hAnsiTheme="majorHAnsi" w:cstheme="majorHAnsi"/>
                <w:color w:val="000000"/>
                <w:sz w:val="18"/>
                <w:szCs w:val="18"/>
                <w:lang w:eastAsia="en-AU"/>
              </w:rPr>
              <w:t>of</w:t>
            </w:r>
            <w:proofErr w:type="gramEnd"/>
            <w:r w:rsidRPr="00894292">
              <w:rPr>
                <w:rFonts w:asciiTheme="majorHAnsi" w:eastAsia="Times New Roman" w:hAnsiTheme="majorHAnsi" w:cstheme="majorHAnsi"/>
                <w:color w:val="000000"/>
                <w:sz w:val="18"/>
                <w:szCs w:val="18"/>
                <w:lang w:eastAsia="en-AU"/>
              </w:rPr>
              <w:t xml:space="preserve"> </w:t>
            </w:r>
            <w:r>
              <w:rPr>
                <w:rFonts w:asciiTheme="majorHAnsi" w:eastAsia="Times New Roman" w:hAnsiTheme="majorHAnsi" w:cstheme="majorHAnsi"/>
                <w:color w:val="000000"/>
                <w:sz w:val="18"/>
                <w:szCs w:val="18"/>
                <w:lang w:eastAsia="en-AU"/>
              </w:rPr>
              <w:t>India’s global</w:t>
            </w:r>
            <w:r w:rsidRPr="00894292">
              <w:rPr>
                <w:rFonts w:asciiTheme="majorHAnsi" w:eastAsia="Times New Roman" w:hAnsiTheme="majorHAnsi" w:cstheme="majorHAnsi"/>
                <w:color w:val="000000"/>
                <w:sz w:val="18"/>
                <w:szCs w:val="18"/>
                <w:lang w:eastAsia="en-AU"/>
              </w:rPr>
              <w:t xml:space="preserve"> imports</w:t>
            </w:r>
          </w:p>
        </w:tc>
        <w:tc>
          <w:tcPr>
            <w:tcW w:w="809" w:type="dxa"/>
            <w:vMerge/>
            <w:tcBorders>
              <w:left w:val="nil"/>
              <w:bottom w:val="single" w:sz="4" w:space="0" w:color="auto"/>
              <w:right w:val="nil"/>
            </w:tcBorders>
            <w:shd w:val="clear" w:color="auto" w:fill="auto"/>
            <w:noWrap/>
            <w:vAlign w:val="bottom"/>
            <w:hideMark/>
          </w:tcPr>
          <w:p w14:paraId="166085FA" w14:textId="77777777" w:rsidR="007C01E6" w:rsidRPr="00286F08" w:rsidRDefault="007C01E6" w:rsidP="007C01E6">
            <w:pPr>
              <w:spacing w:after="0" w:line="240" w:lineRule="auto"/>
              <w:rPr>
                <w:rFonts w:asciiTheme="majorHAnsi" w:eastAsia="Times New Roman" w:hAnsiTheme="majorHAnsi" w:cstheme="majorHAnsi"/>
                <w:sz w:val="18"/>
                <w:szCs w:val="18"/>
                <w:lang w:eastAsia="en-AU"/>
              </w:rPr>
            </w:pPr>
          </w:p>
        </w:tc>
        <w:tc>
          <w:tcPr>
            <w:tcW w:w="2026" w:type="dxa"/>
            <w:vMerge/>
            <w:tcBorders>
              <w:left w:val="nil"/>
              <w:bottom w:val="single" w:sz="4" w:space="0" w:color="auto"/>
              <w:right w:val="nil"/>
            </w:tcBorders>
            <w:shd w:val="clear" w:color="auto" w:fill="auto"/>
            <w:noWrap/>
            <w:vAlign w:val="bottom"/>
            <w:hideMark/>
          </w:tcPr>
          <w:p w14:paraId="100075FB" w14:textId="77777777" w:rsidR="007C01E6" w:rsidRPr="00286F08" w:rsidRDefault="007C01E6" w:rsidP="007C01E6">
            <w:pPr>
              <w:spacing w:after="0" w:line="240" w:lineRule="auto"/>
              <w:rPr>
                <w:rFonts w:asciiTheme="majorHAnsi" w:eastAsia="Times New Roman" w:hAnsiTheme="majorHAnsi" w:cstheme="majorHAnsi"/>
                <w:sz w:val="18"/>
                <w:szCs w:val="18"/>
                <w:lang w:eastAsia="en-AU"/>
              </w:rPr>
            </w:pPr>
          </w:p>
        </w:tc>
        <w:tc>
          <w:tcPr>
            <w:tcW w:w="1155" w:type="dxa"/>
            <w:vMerge/>
            <w:tcBorders>
              <w:left w:val="nil"/>
              <w:bottom w:val="single" w:sz="4" w:space="0" w:color="auto"/>
              <w:right w:val="nil"/>
            </w:tcBorders>
            <w:shd w:val="clear" w:color="auto" w:fill="auto"/>
            <w:noWrap/>
            <w:vAlign w:val="bottom"/>
            <w:hideMark/>
          </w:tcPr>
          <w:p w14:paraId="7CBACD76" w14:textId="77777777" w:rsidR="007C01E6" w:rsidRPr="00286F08" w:rsidRDefault="007C01E6" w:rsidP="007C01E6">
            <w:pPr>
              <w:spacing w:after="0" w:line="240" w:lineRule="auto"/>
              <w:rPr>
                <w:rFonts w:asciiTheme="majorHAnsi" w:eastAsia="Times New Roman" w:hAnsiTheme="majorHAnsi" w:cstheme="majorHAnsi"/>
                <w:sz w:val="18"/>
                <w:szCs w:val="18"/>
                <w:lang w:eastAsia="en-AU"/>
              </w:rPr>
            </w:pPr>
          </w:p>
        </w:tc>
      </w:tr>
      <w:tr w:rsidR="00335CF7" w:rsidRPr="00286F08" w14:paraId="3B3E904A" w14:textId="77777777" w:rsidTr="000F69BD">
        <w:tc>
          <w:tcPr>
            <w:tcW w:w="10403" w:type="dxa"/>
            <w:gridSpan w:val="8"/>
            <w:tcBorders>
              <w:top w:val="single" w:sz="4" w:space="0" w:color="auto"/>
              <w:left w:val="nil"/>
              <w:bottom w:val="single" w:sz="4" w:space="0" w:color="auto"/>
              <w:right w:val="nil"/>
            </w:tcBorders>
            <w:shd w:val="clear" w:color="auto" w:fill="auto"/>
            <w:noWrap/>
            <w:vAlign w:val="bottom"/>
            <w:hideMark/>
          </w:tcPr>
          <w:p w14:paraId="4BFCC5D6" w14:textId="77777777" w:rsidR="00335CF7" w:rsidRPr="00286F08" w:rsidRDefault="00335CF7" w:rsidP="000F69BD">
            <w:pPr>
              <w:spacing w:after="0" w:line="240" w:lineRule="auto"/>
              <w:rPr>
                <w:rFonts w:asciiTheme="majorHAnsi" w:eastAsia="Times New Roman" w:hAnsiTheme="majorHAnsi" w:cstheme="majorHAnsi"/>
                <w:b/>
                <w:sz w:val="18"/>
                <w:szCs w:val="18"/>
                <w:lang w:eastAsia="en-AU"/>
              </w:rPr>
            </w:pPr>
            <w:r w:rsidRPr="00286F08">
              <w:rPr>
                <w:rFonts w:asciiTheme="majorHAnsi" w:eastAsia="Times New Roman" w:hAnsiTheme="majorHAnsi" w:cstheme="majorHAnsi"/>
                <w:b/>
                <w:color w:val="000000"/>
                <w:sz w:val="18"/>
                <w:szCs w:val="18"/>
                <w:lang w:eastAsia="en-AU"/>
              </w:rPr>
              <w:t>Legumes, Almonds, Avocados, Macadamias</w:t>
            </w:r>
            <w:proofErr w:type="gramStart"/>
            <w:r w:rsidRPr="00286F08">
              <w:rPr>
                <w:rFonts w:asciiTheme="majorHAnsi" w:eastAsia="Times New Roman" w:hAnsiTheme="majorHAnsi" w:cstheme="majorHAnsi"/>
                <w:b/>
                <w:color w:val="000000"/>
                <w:sz w:val="18"/>
                <w:szCs w:val="18"/>
                <w:lang w:eastAsia="en-AU"/>
              </w:rPr>
              <w:t>, ,</w:t>
            </w:r>
            <w:proofErr w:type="gramEnd"/>
            <w:r w:rsidRPr="00286F08">
              <w:rPr>
                <w:rFonts w:asciiTheme="majorHAnsi" w:eastAsia="Times New Roman" w:hAnsiTheme="majorHAnsi" w:cstheme="majorHAnsi"/>
                <w:b/>
                <w:color w:val="000000"/>
                <w:sz w:val="18"/>
                <w:szCs w:val="18"/>
                <w:lang w:eastAsia="en-AU"/>
              </w:rPr>
              <w:t xml:space="preserve"> and other nuts</w:t>
            </w:r>
          </w:p>
        </w:tc>
      </w:tr>
      <w:tr w:rsidR="00335CF7" w:rsidRPr="00286F08" w14:paraId="038FB277" w14:textId="77777777" w:rsidTr="000F69BD">
        <w:tc>
          <w:tcPr>
            <w:tcW w:w="709" w:type="dxa"/>
            <w:tcBorders>
              <w:top w:val="single" w:sz="4" w:space="0" w:color="auto"/>
              <w:left w:val="nil"/>
              <w:bottom w:val="nil"/>
              <w:right w:val="nil"/>
            </w:tcBorders>
            <w:shd w:val="clear" w:color="auto" w:fill="auto"/>
            <w:noWrap/>
            <w:hideMark/>
          </w:tcPr>
          <w:p w14:paraId="6A322FC9" w14:textId="77777777" w:rsidR="00335CF7" w:rsidRPr="00286F08" w:rsidRDefault="00335CF7" w:rsidP="000F69BD">
            <w:pPr>
              <w:spacing w:after="0" w:line="240" w:lineRule="auto"/>
              <w:rPr>
                <w:rFonts w:asciiTheme="majorHAnsi" w:eastAsia="Times New Roman" w:hAnsiTheme="majorHAnsi" w:cstheme="majorHAnsi"/>
                <w:color w:val="000000"/>
                <w:sz w:val="18"/>
                <w:szCs w:val="18"/>
                <w:lang w:eastAsia="en-AU"/>
              </w:rPr>
            </w:pPr>
            <w:r w:rsidRPr="00286F08">
              <w:rPr>
                <w:rFonts w:asciiTheme="majorHAnsi" w:hAnsiTheme="majorHAnsi" w:cstheme="majorHAnsi"/>
                <w:sz w:val="18"/>
                <w:szCs w:val="18"/>
              </w:rPr>
              <w:t>CH7</w:t>
            </w:r>
          </w:p>
        </w:tc>
        <w:tc>
          <w:tcPr>
            <w:tcW w:w="847" w:type="dxa"/>
            <w:tcBorders>
              <w:top w:val="single" w:sz="4" w:space="0" w:color="auto"/>
              <w:left w:val="nil"/>
              <w:bottom w:val="nil"/>
              <w:right w:val="nil"/>
            </w:tcBorders>
            <w:shd w:val="clear" w:color="auto" w:fill="auto"/>
            <w:noWrap/>
            <w:hideMark/>
          </w:tcPr>
          <w:p w14:paraId="2260281C" w14:textId="77777777" w:rsidR="00335CF7" w:rsidRPr="00286F08" w:rsidRDefault="00335CF7" w:rsidP="000F69BD">
            <w:pPr>
              <w:spacing w:after="0" w:line="240" w:lineRule="auto"/>
              <w:rPr>
                <w:rFonts w:asciiTheme="majorHAnsi" w:eastAsia="Times New Roman" w:hAnsiTheme="majorHAnsi" w:cstheme="majorHAnsi"/>
                <w:color w:val="000000"/>
                <w:sz w:val="18"/>
                <w:szCs w:val="18"/>
                <w:lang w:eastAsia="en-AU"/>
              </w:rPr>
            </w:pPr>
          </w:p>
        </w:tc>
        <w:tc>
          <w:tcPr>
            <w:tcW w:w="2635" w:type="dxa"/>
            <w:tcBorders>
              <w:top w:val="single" w:sz="4" w:space="0" w:color="auto"/>
              <w:left w:val="nil"/>
              <w:bottom w:val="nil"/>
              <w:right w:val="nil"/>
            </w:tcBorders>
            <w:shd w:val="clear" w:color="auto" w:fill="auto"/>
            <w:noWrap/>
            <w:hideMark/>
          </w:tcPr>
          <w:p w14:paraId="5DEF77D6" w14:textId="6A3F94C4" w:rsidR="00335CF7" w:rsidRPr="00286F08" w:rsidRDefault="00335CF7" w:rsidP="000F69BD">
            <w:pPr>
              <w:spacing w:after="0" w:line="240" w:lineRule="auto"/>
              <w:rPr>
                <w:rFonts w:asciiTheme="majorHAnsi" w:eastAsia="Times New Roman" w:hAnsiTheme="majorHAnsi" w:cstheme="majorHAnsi"/>
                <w:color w:val="000000"/>
                <w:sz w:val="18"/>
                <w:szCs w:val="18"/>
                <w:lang w:eastAsia="en-AU"/>
              </w:rPr>
            </w:pPr>
            <w:r w:rsidRPr="00286F08">
              <w:rPr>
                <w:rFonts w:asciiTheme="majorHAnsi" w:hAnsiTheme="majorHAnsi" w:cstheme="majorHAnsi"/>
                <w:sz w:val="18"/>
                <w:szCs w:val="18"/>
              </w:rPr>
              <w:t xml:space="preserve">Dried leguminous </w:t>
            </w:r>
            <w:r w:rsidR="008A42AC">
              <w:rPr>
                <w:rFonts w:asciiTheme="majorHAnsi" w:hAnsiTheme="majorHAnsi" w:cstheme="majorHAnsi"/>
                <w:sz w:val="18"/>
                <w:szCs w:val="18"/>
              </w:rPr>
              <w:t>v</w:t>
            </w:r>
            <w:r w:rsidRPr="00286F08">
              <w:rPr>
                <w:rFonts w:asciiTheme="majorHAnsi" w:hAnsiTheme="majorHAnsi" w:cstheme="majorHAnsi"/>
                <w:sz w:val="18"/>
                <w:szCs w:val="18"/>
              </w:rPr>
              <w:t>eg</w:t>
            </w:r>
            <w:r w:rsidR="008A42AC">
              <w:rPr>
                <w:rFonts w:asciiTheme="majorHAnsi" w:hAnsiTheme="majorHAnsi" w:cstheme="majorHAnsi"/>
                <w:sz w:val="18"/>
                <w:szCs w:val="18"/>
              </w:rPr>
              <w:t>.</w:t>
            </w:r>
          </w:p>
        </w:tc>
        <w:tc>
          <w:tcPr>
            <w:tcW w:w="1189" w:type="dxa"/>
            <w:tcBorders>
              <w:top w:val="single" w:sz="4" w:space="0" w:color="auto"/>
              <w:left w:val="nil"/>
              <w:bottom w:val="nil"/>
              <w:right w:val="nil"/>
            </w:tcBorders>
            <w:shd w:val="clear" w:color="auto" w:fill="auto"/>
            <w:noWrap/>
            <w:vAlign w:val="center"/>
            <w:hideMark/>
          </w:tcPr>
          <w:p w14:paraId="46D53963" w14:textId="77777777" w:rsidR="00335CF7" w:rsidRPr="00DE46B1"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68,894,783</w:t>
            </w:r>
          </w:p>
        </w:tc>
        <w:tc>
          <w:tcPr>
            <w:tcW w:w="1033" w:type="dxa"/>
            <w:tcBorders>
              <w:top w:val="single" w:sz="4" w:space="0" w:color="auto"/>
              <w:left w:val="nil"/>
              <w:bottom w:val="nil"/>
              <w:right w:val="nil"/>
            </w:tcBorders>
            <w:shd w:val="clear" w:color="auto" w:fill="auto"/>
            <w:noWrap/>
            <w:vAlign w:val="center"/>
            <w:hideMark/>
          </w:tcPr>
          <w:p w14:paraId="7D077356" w14:textId="77777777" w:rsidR="00335CF7" w:rsidRPr="00DE46B1"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4.1%</w:t>
            </w:r>
          </w:p>
        </w:tc>
        <w:tc>
          <w:tcPr>
            <w:tcW w:w="809" w:type="dxa"/>
            <w:tcBorders>
              <w:top w:val="single" w:sz="4" w:space="0" w:color="auto"/>
              <w:left w:val="nil"/>
              <w:bottom w:val="nil"/>
              <w:right w:val="nil"/>
            </w:tcBorders>
            <w:shd w:val="clear" w:color="auto" w:fill="auto"/>
            <w:noWrap/>
            <w:hideMark/>
          </w:tcPr>
          <w:p w14:paraId="21E0AB6C" w14:textId="77777777" w:rsidR="00335CF7" w:rsidRPr="00286F08" w:rsidRDefault="00335CF7" w:rsidP="000F69BD">
            <w:pPr>
              <w:tabs>
                <w:tab w:val="center" w:pos="198"/>
              </w:tabs>
              <w:spacing w:after="0" w:line="240" w:lineRule="auto"/>
              <w:jc w:val="center"/>
              <w:rPr>
                <w:rFonts w:asciiTheme="majorHAnsi" w:eastAsia="Times New Roman" w:hAnsiTheme="majorHAnsi" w:cstheme="majorHAnsi"/>
                <w:color w:val="000000"/>
                <w:sz w:val="18"/>
                <w:szCs w:val="18"/>
                <w:lang w:eastAsia="en-AU"/>
              </w:rPr>
            </w:pPr>
            <w:r w:rsidRPr="00286F08">
              <w:rPr>
                <w:rFonts w:asciiTheme="majorHAnsi" w:eastAsia="Times New Roman" w:hAnsiTheme="majorHAnsi" w:cstheme="majorHAnsi"/>
                <w:color w:val="000000"/>
                <w:sz w:val="18"/>
                <w:szCs w:val="18"/>
                <w:lang w:eastAsia="en-AU"/>
              </w:rPr>
              <w:t>-</w:t>
            </w:r>
          </w:p>
        </w:tc>
        <w:tc>
          <w:tcPr>
            <w:tcW w:w="2026" w:type="dxa"/>
            <w:tcBorders>
              <w:top w:val="single" w:sz="4" w:space="0" w:color="auto"/>
              <w:left w:val="nil"/>
              <w:bottom w:val="nil"/>
              <w:right w:val="nil"/>
            </w:tcBorders>
            <w:shd w:val="clear" w:color="auto" w:fill="auto"/>
            <w:noWrap/>
            <w:hideMark/>
          </w:tcPr>
          <w:p w14:paraId="431D0768" w14:textId="77777777" w:rsidR="00335CF7" w:rsidRPr="00286F08"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6F08">
              <w:rPr>
                <w:rFonts w:asciiTheme="majorHAnsi" w:eastAsia="Times New Roman" w:hAnsiTheme="majorHAnsi" w:cstheme="majorHAnsi"/>
                <w:color w:val="000000"/>
                <w:sz w:val="18"/>
                <w:szCs w:val="18"/>
                <w:lang w:eastAsia="en-AU"/>
              </w:rPr>
              <w:t>-</w:t>
            </w:r>
          </w:p>
        </w:tc>
        <w:tc>
          <w:tcPr>
            <w:tcW w:w="1155" w:type="dxa"/>
            <w:tcBorders>
              <w:top w:val="single" w:sz="4" w:space="0" w:color="auto"/>
              <w:left w:val="nil"/>
              <w:bottom w:val="nil"/>
              <w:right w:val="nil"/>
            </w:tcBorders>
            <w:shd w:val="clear" w:color="auto" w:fill="auto"/>
            <w:noWrap/>
            <w:hideMark/>
          </w:tcPr>
          <w:p w14:paraId="4BB1EAF6" w14:textId="77777777" w:rsidR="00335CF7" w:rsidRPr="00284549"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22,148,763</w:t>
            </w:r>
          </w:p>
        </w:tc>
      </w:tr>
      <w:tr w:rsidR="00335CF7" w:rsidRPr="00286F08" w14:paraId="500A1882" w14:textId="77777777" w:rsidTr="000F69BD">
        <w:tc>
          <w:tcPr>
            <w:tcW w:w="709" w:type="dxa"/>
            <w:tcBorders>
              <w:top w:val="nil"/>
              <w:left w:val="nil"/>
              <w:bottom w:val="nil"/>
              <w:right w:val="nil"/>
            </w:tcBorders>
            <w:shd w:val="clear" w:color="auto" w:fill="auto"/>
            <w:noWrap/>
            <w:hideMark/>
          </w:tcPr>
          <w:p w14:paraId="3ABE4391" w14:textId="77777777" w:rsidR="00335CF7" w:rsidRPr="00286F08" w:rsidRDefault="00335CF7" w:rsidP="000F69BD">
            <w:pPr>
              <w:spacing w:after="0" w:line="240" w:lineRule="auto"/>
              <w:rPr>
                <w:rFonts w:asciiTheme="majorHAnsi" w:eastAsia="Times New Roman" w:hAnsiTheme="majorHAnsi" w:cstheme="majorHAnsi"/>
                <w:color w:val="000000"/>
                <w:sz w:val="18"/>
                <w:szCs w:val="18"/>
                <w:lang w:eastAsia="en-AU"/>
              </w:rPr>
            </w:pPr>
            <w:r w:rsidRPr="00286F08">
              <w:rPr>
                <w:rFonts w:asciiTheme="majorHAnsi" w:hAnsiTheme="majorHAnsi" w:cstheme="majorHAnsi"/>
                <w:sz w:val="18"/>
                <w:szCs w:val="18"/>
              </w:rPr>
              <w:t>CH8</w:t>
            </w:r>
          </w:p>
        </w:tc>
        <w:tc>
          <w:tcPr>
            <w:tcW w:w="847" w:type="dxa"/>
            <w:tcBorders>
              <w:top w:val="nil"/>
              <w:left w:val="nil"/>
              <w:bottom w:val="nil"/>
              <w:right w:val="nil"/>
            </w:tcBorders>
            <w:shd w:val="clear" w:color="auto" w:fill="auto"/>
            <w:noWrap/>
            <w:hideMark/>
          </w:tcPr>
          <w:p w14:paraId="3032DE54" w14:textId="77777777" w:rsidR="00335CF7" w:rsidRPr="00286F08" w:rsidRDefault="00335CF7" w:rsidP="000F69BD">
            <w:pPr>
              <w:spacing w:after="0" w:line="240" w:lineRule="auto"/>
              <w:rPr>
                <w:rFonts w:asciiTheme="majorHAnsi" w:eastAsia="Times New Roman" w:hAnsiTheme="majorHAnsi" w:cstheme="majorHAnsi"/>
                <w:color w:val="000000"/>
                <w:sz w:val="18"/>
                <w:szCs w:val="18"/>
                <w:lang w:eastAsia="en-AU"/>
              </w:rPr>
            </w:pPr>
          </w:p>
        </w:tc>
        <w:tc>
          <w:tcPr>
            <w:tcW w:w="2635" w:type="dxa"/>
            <w:tcBorders>
              <w:top w:val="nil"/>
              <w:left w:val="nil"/>
              <w:bottom w:val="nil"/>
              <w:right w:val="nil"/>
            </w:tcBorders>
            <w:shd w:val="clear" w:color="auto" w:fill="auto"/>
            <w:noWrap/>
            <w:hideMark/>
          </w:tcPr>
          <w:p w14:paraId="2A880F63" w14:textId="77777777" w:rsidR="00335CF7" w:rsidRPr="00286F08" w:rsidRDefault="00335CF7" w:rsidP="000F69BD">
            <w:pPr>
              <w:spacing w:after="0" w:line="240" w:lineRule="auto"/>
              <w:rPr>
                <w:rFonts w:asciiTheme="majorHAnsi" w:eastAsia="Times New Roman" w:hAnsiTheme="majorHAnsi" w:cstheme="majorHAnsi"/>
                <w:color w:val="000000"/>
                <w:sz w:val="18"/>
                <w:szCs w:val="18"/>
                <w:lang w:eastAsia="en-AU"/>
              </w:rPr>
            </w:pPr>
            <w:r w:rsidRPr="00286F08">
              <w:rPr>
                <w:rFonts w:asciiTheme="majorHAnsi" w:hAnsiTheme="majorHAnsi" w:cstheme="majorHAnsi"/>
                <w:sz w:val="18"/>
                <w:szCs w:val="18"/>
              </w:rPr>
              <w:t>Almonds</w:t>
            </w:r>
          </w:p>
        </w:tc>
        <w:tc>
          <w:tcPr>
            <w:tcW w:w="1189" w:type="dxa"/>
            <w:tcBorders>
              <w:top w:val="nil"/>
              <w:left w:val="nil"/>
              <w:bottom w:val="nil"/>
              <w:right w:val="nil"/>
            </w:tcBorders>
            <w:shd w:val="clear" w:color="auto" w:fill="auto"/>
            <w:noWrap/>
            <w:vAlign w:val="center"/>
            <w:hideMark/>
          </w:tcPr>
          <w:p w14:paraId="40C31EC2" w14:textId="77777777" w:rsidR="00335CF7" w:rsidRPr="00DE46B1"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99,692,193</w:t>
            </w:r>
          </w:p>
        </w:tc>
        <w:tc>
          <w:tcPr>
            <w:tcW w:w="1033" w:type="dxa"/>
            <w:tcBorders>
              <w:top w:val="nil"/>
              <w:left w:val="nil"/>
              <w:bottom w:val="nil"/>
              <w:right w:val="nil"/>
            </w:tcBorders>
            <w:shd w:val="clear" w:color="auto" w:fill="auto"/>
            <w:noWrap/>
            <w:vAlign w:val="center"/>
            <w:hideMark/>
          </w:tcPr>
          <w:p w14:paraId="187FD17E" w14:textId="77777777" w:rsidR="00335CF7" w:rsidRPr="00DE46B1"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8.2%</w:t>
            </w:r>
          </w:p>
        </w:tc>
        <w:tc>
          <w:tcPr>
            <w:tcW w:w="809" w:type="dxa"/>
            <w:tcBorders>
              <w:top w:val="nil"/>
              <w:left w:val="nil"/>
              <w:bottom w:val="nil"/>
              <w:right w:val="nil"/>
            </w:tcBorders>
            <w:shd w:val="clear" w:color="auto" w:fill="auto"/>
            <w:noWrap/>
            <w:hideMark/>
          </w:tcPr>
          <w:p w14:paraId="7A94A084" w14:textId="77777777" w:rsidR="00335CF7" w:rsidRPr="00286F08"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6F08">
              <w:rPr>
                <w:rFonts w:asciiTheme="majorHAnsi" w:eastAsia="Times New Roman" w:hAnsiTheme="majorHAnsi" w:cstheme="majorHAnsi"/>
                <w:color w:val="000000"/>
                <w:sz w:val="18"/>
                <w:szCs w:val="18"/>
                <w:lang w:eastAsia="en-AU"/>
              </w:rPr>
              <w:t>-</w:t>
            </w:r>
          </w:p>
        </w:tc>
        <w:tc>
          <w:tcPr>
            <w:tcW w:w="2026" w:type="dxa"/>
            <w:tcBorders>
              <w:top w:val="nil"/>
              <w:left w:val="nil"/>
              <w:bottom w:val="nil"/>
              <w:right w:val="nil"/>
            </w:tcBorders>
            <w:shd w:val="clear" w:color="auto" w:fill="auto"/>
            <w:noWrap/>
            <w:hideMark/>
          </w:tcPr>
          <w:p w14:paraId="32DEEEAD" w14:textId="77777777" w:rsidR="00335CF7" w:rsidRPr="00286F08"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6F08">
              <w:rPr>
                <w:rFonts w:asciiTheme="majorHAnsi" w:eastAsia="Times New Roman" w:hAnsiTheme="majorHAnsi" w:cstheme="majorHAnsi"/>
                <w:color w:val="000000"/>
                <w:sz w:val="18"/>
                <w:szCs w:val="18"/>
                <w:lang w:eastAsia="en-AU"/>
              </w:rPr>
              <w:t>-</w:t>
            </w:r>
          </w:p>
        </w:tc>
        <w:tc>
          <w:tcPr>
            <w:tcW w:w="1155" w:type="dxa"/>
            <w:tcBorders>
              <w:top w:val="nil"/>
              <w:left w:val="nil"/>
              <w:bottom w:val="nil"/>
              <w:right w:val="nil"/>
            </w:tcBorders>
            <w:shd w:val="clear" w:color="auto" w:fill="auto"/>
            <w:noWrap/>
            <w:hideMark/>
          </w:tcPr>
          <w:p w14:paraId="2D772D1A" w14:textId="77777777" w:rsidR="00335CF7" w:rsidRPr="00284549"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0</w:t>
            </w:r>
          </w:p>
        </w:tc>
      </w:tr>
      <w:tr w:rsidR="00335CF7" w:rsidRPr="00286F08" w14:paraId="785430A6" w14:textId="77777777" w:rsidTr="000F69BD">
        <w:tc>
          <w:tcPr>
            <w:tcW w:w="709" w:type="dxa"/>
            <w:tcBorders>
              <w:top w:val="nil"/>
              <w:left w:val="nil"/>
              <w:bottom w:val="nil"/>
              <w:right w:val="nil"/>
            </w:tcBorders>
            <w:shd w:val="clear" w:color="auto" w:fill="auto"/>
            <w:noWrap/>
            <w:hideMark/>
          </w:tcPr>
          <w:p w14:paraId="2E5B19CE" w14:textId="77777777" w:rsidR="00335CF7" w:rsidRPr="00286F08" w:rsidRDefault="00335CF7" w:rsidP="000F69BD">
            <w:pPr>
              <w:spacing w:after="0" w:line="240" w:lineRule="auto"/>
              <w:rPr>
                <w:rFonts w:asciiTheme="majorHAnsi" w:eastAsia="Times New Roman" w:hAnsiTheme="majorHAnsi" w:cstheme="majorHAnsi"/>
                <w:color w:val="000000"/>
                <w:sz w:val="18"/>
                <w:szCs w:val="18"/>
                <w:lang w:eastAsia="en-AU"/>
              </w:rPr>
            </w:pPr>
            <w:r w:rsidRPr="00286F08">
              <w:rPr>
                <w:rFonts w:asciiTheme="majorHAnsi" w:hAnsiTheme="majorHAnsi" w:cstheme="majorHAnsi"/>
                <w:sz w:val="18"/>
                <w:szCs w:val="18"/>
              </w:rPr>
              <w:t>CH8</w:t>
            </w:r>
          </w:p>
        </w:tc>
        <w:tc>
          <w:tcPr>
            <w:tcW w:w="847" w:type="dxa"/>
            <w:tcBorders>
              <w:top w:val="nil"/>
              <w:left w:val="nil"/>
              <w:bottom w:val="nil"/>
              <w:right w:val="nil"/>
            </w:tcBorders>
            <w:shd w:val="clear" w:color="auto" w:fill="auto"/>
            <w:noWrap/>
            <w:hideMark/>
          </w:tcPr>
          <w:p w14:paraId="77F9C0DC" w14:textId="77777777" w:rsidR="00335CF7" w:rsidRPr="00286F08" w:rsidRDefault="00335CF7" w:rsidP="000F69BD">
            <w:pPr>
              <w:spacing w:after="0" w:line="240" w:lineRule="auto"/>
              <w:rPr>
                <w:rFonts w:asciiTheme="majorHAnsi" w:eastAsia="Times New Roman" w:hAnsiTheme="majorHAnsi" w:cstheme="majorHAnsi"/>
                <w:color w:val="000000"/>
                <w:sz w:val="18"/>
                <w:szCs w:val="18"/>
                <w:lang w:eastAsia="en-AU"/>
              </w:rPr>
            </w:pPr>
          </w:p>
        </w:tc>
        <w:tc>
          <w:tcPr>
            <w:tcW w:w="2635" w:type="dxa"/>
            <w:tcBorders>
              <w:top w:val="nil"/>
              <w:left w:val="nil"/>
              <w:bottom w:val="nil"/>
              <w:right w:val="nil"/>
            </w:tcBorders>
            <w:shd w:val="clear" w:color="auto" w:fill="auto"/>
            <w:noWrap/>
            <w:hideMark/>
          </w:tcPr>
          <w:p w14:paraId="4368ADA2" w14:textId="77777777" w:rsidR="00335CF7" w:rsidRPr="00286F08" w:rsidRDefault="00335CF7" w:rsidP="000F69BD">
            <w:pPr>
              <w:spacing w:after="0" w:line="240" w:lineRule="auto"/>
              <w:rPr>
                <w:rFonts w:asciiTheme="majorHAnsi" w:eastAsia="Times New Roman" w:hAnsiTheme="majorHAnsi" w:cstheme="majorHAnsi"/>
                <w:color w:val="000000"/>
                <w:sz w:val="18"/>
                <w:szCs w:val="18"/>
                <w:lang w:eastAsia="en-AU"/>
              </w:rPr>
            </w:pPr>
            <w:r w:rsidRPr="00286F08">
              <w:rPr>
                <w:rFonts w:asciiTheme="majorHAnsi" w:hAnsiTheme="majorHAnsi" w:cstheme="majorHAnsi"/>
                <w:sz w:val="18"/>
                <w:szCs w:val="18"/>
              </w:rPr>
              <w:t>Walnuts</w:t>
            </w:r>
          </w:p>
        </w:tc>
        <w:tc>
          <w:tcPr>
            <w:tcW w:w="1189" w:type="dxa"/>
            <w:tcBorders>
              <w:top w:val="nil"/>
              <w:left w:val="nil"/>
              <w:bottom w:val="nil"/>
              <w:right w:val="nil"/>
            </w:tcBorders>
            <w:shd w:val="clear" w:color="auto" w:fill="auto"/>
            <w:noWrap/>
            <w:vAlign w:val="center"/>
            <w:hideMark/>
          </w:tcPr>
          <w:p w14:paraId="21DA077B" w14:textId="77777777" w:rsidR="00335CF7" w:rsidRPr="00DE46B1"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1,322,183</w:t>
            </w:r>
          </w:p>
        </w:tc>
        <w:tc>
          <w:tcPr>
            <w:tcW w:w="1033" w:type="dxa"/>
            <w:tcBorders>
              <w:top w:val="nil"/>
              <w:left w:val="nil"/>
              <w:bottom w:val="nil"/>
              <w:right w:val="nil"/>
            </w:tcBorders>
            <w:shd w:val="clear" w:color="auto" w:fill="auto"/>
            <w:noWrap/>
            <w:vAlign w:val="center"/>
            <w:hideMark/>
          </w:tcPr>
          <w:p w14:paraId="445DB52D" w14:textId="77777777" w:rsidR="00335CF7" w:rsidRPr="00DE46B1"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1.6%</w:t>
            </w:r>
          </w:p>
        </w:tc>
        <w:tc>
          <w:tcPr>
            <w:tcW w:w="809" w:type="dxa"/>
            <w:tcBorders>
              <w:top w:val="nil"/>
              <w:left w:val="nil"/>
              <w:bottom w:val="nil"/>
              <w:right w:val="nil"/>
            </w:tcBorders>
            <w:shd w:val="clear" w:color="auto" w:fill="auto"/>
            <w:noWrap/>
            <w:hideMark/>
          </w:tcPr>
          <w:p w14:paraId="59FC61BA" w14:textId="77777777" w:rsidR="00335CF7" w:rsidRPr="00286F08"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6F08">
              <w:rPr>
                <w:rFonts w:asciiTheme="majorHAnsi" w:eastAsia="Times New Roman" w:hAnsiTheme="majorHAnsi" w:cstheme="majorHAnsi"/>
                <w:color w:val="000000"/>
                <w:sz w:val="18"/>
                <w:szCs w:val="18"/>
                <w:lang w:eastAsia="en-AU"/>
              </w:rPr>
              <w:t>-</w:t>
            </w:r>
          </w:p>
        </w:tc>
        <w:tc>
          <w:tcPr>
            <w:tcW w:w="2026" w:type="dxa"/>
            <w:tcBorders>
              <w:top w:val="nil"/>
              <w:left w:val="nil"/>
              <w:bottom w:val="nil"/>
              <w:right w:val="nil"/>
            </w:tcBorders>
            <w:shd w:val="clear" w:color="auto" w:fill="auto"/>
            <w:noWrap/>
            <w:hideMark/>
          </w:tcPr>
          <w:p w14:paraId="423E095E" w14:textId="77777777" w:rsidR="00335CF7" w:rsidRPr="00286F08"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6F08">
              <w:rPr>
                <w:rFonts w:asciiTheme="majorHAnsi" w:eastAsia="Times New Roman" w:hAnsiTheme="majorHAnsi" w:cstheme="majorHAnsi"/>
                <w:color w:val="000000"/>
                <w:sz w:val="18"/>
                <w:szCs w:val="18"/>
                <w:lang w:eastAsia="en-AU"/>
              </w:rPr>
              <w:t>-</w:t>
            </w:r>
          </w:p>
        </w:tc>
        <w:tc>
          <w:tcPr>
            <w:tcW w:w="1155" w:type="dxa"/>
            <w:tcBorders>
              <w:top w:val="nil"/>
              <w:left w:val="nil"/>
              <w:bottom w:val="nil"/>
              <w:right w:val="nil"/>
            </w:tcBorders>
            <w:shd w:val="clear" w:color="auto" w:fill="auto"/>
            <w:noWrap/>
            <w:hideMark/>
          </w:tcPr>
          <w:p w14:paraId="60FA2B18" w14:textId="77777777" w:rsidR="00335CF7" w:rsidRPr="00284549"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1,586,620</w:t>
            </w:r>
          </w:p>
        </w:tc>
      </w:tr>
      <w:tr w:rsidR="00335CF7" w:rsidRPr="00286F08" w14:paraId="095CF5B9" w14:textId="77777777" w:rsidTr="000F69BD">
        <w:tc>
          <w:tcPr>
            <w:tcW w:w="709" w:type="dxa"/>
            <w:tcBorders>
              <w:top w:val="nil"/>
              <w:left w:val="nil"/>
              <w:bottom w:val="nil"/>
              <w:right w:val="nil"/>
            </w:tcBorders>
            <w:shd w:val="clear" w:color="auto" w:fill="auto"/>
            <w:noWrap/>
            <w:hideMark/>
          </w:tcPr>
          <w:p w14:paraId="50DB56F3" w14:textId="77777777" w:rsidR="00335CF7" w:rsidRPr="00286F08" w:rsidRDefault="00335CF7" w:rsidP="000F69BD">
            <w:pPr>
              <w:spacing w:after="0" w:line="240" w:lineRule="auto"/>
              <w:rPr>
                <w:rFonts w:asciiTheme="majorHAnsi" w:eastAsia="Times New Roman" w:hAnsiTheme="majorHAnsi" w:cstheme="majorHAnsi"/>
                <w:color w:val="000000"/>
                <w:sz w:val="18"/>
                <w:szCs w:val="18"/>
                <w:lang w:eastAsia="en-AU"/>
              </w:rPr>
            </w:pPr>
            <w:r w:rsidRPr="00286F08">
              <w:rPr>
                <w:rFonts w:asciiTheme="majorHAnsi" w:hAnsiTheme="majorHAnsi" w:cstheme="majorHAnsi"/>
                <w:sz w:val="18"/>
                <w:szCs w:val="18"/>
              </w:rPr>
              <w:t>CH8</w:t>
            </w:r>
          </w:p>
        </w:tc>
        <w:tc>
          <w:tcPr>
            <w:tcW w:w="847" w:type="dxa"/>
            <w:tcBorders>
              <w:top w:val="nil"/>
              <w:left w:val="nil"/>
              <w:bottom w:val="nil"/>
              <w:right w:val="nil"/>
            </w:tcBorders>
            <w:shd w:val="clear" w:color="auto" w:fill="auto"/>
            <w:noWrap/>
            <w:hideMark/>
          </w:tcPr>
          <w:p w14:paraId="09A391DB" w14:textId="77777777" w:rsidR="00335CF7" w:rsidRPr="00286F08" w:rsidRDefault="00335CF7" w:rsidP="000F69BD">
            <w:pPr>
              <w:spacing w:after="0" w:line="240" w:lineRule="auto"/>
              <w:rPr>
                <w:rFonts w:asciiTheme="majorHAnsi" w:eastAsia="Times New Roman" w:hAnsiTheme="majorHAnsi" w:cstheme="majorHAnsi"/>
                <w:color w:val="000000"/>
                <w:sz w:val="18"/>
                <w:szCs w:val="18"/>
                <w:lang w:eastAsia="en-AU"/>
              </w:rPr>
            </w:pPr>
          </w:p>
        </w:tc>
        <w:tc>
          <w:tcPr>
            <w:tcW w:w="2635" w:type="dxa"/>
            <w:tcBorders>
              <w:top w:val="nil"/>
              <w:left w:val="nil"/>
              <w:bottom w:val="nil"/>
              <w:right w:val="nil"/>
            </w:tcBorders>
            <w:shd w:val="clear" w:color="auto" w:fill="auto"/>
            <w:noWrap/>
            <w:hideMark/>
          </w:tcPr>
          <w:p w14:paraId="631F2F69" w14:textId="77777777" w:rsidR="00335CF7" w:rsidRPr="00286F08" w:rsidRDefault="00335CF7" w:rsidP="000F69BD">
            <w:pPr>
              <w:spacing w:after="0" w:line="240" w:lineRule="auto"/>
              <w:rPr>
                <w:rFonts w:asciiTheme="majorHAnsi" w:eastAsia="Times New Roman" w:hAnsiTheme="majorHAnsi" w:cstheme="majorHAnsi"/>
                <w:color w:val="000000"/>
                <w:sz w:val="18"/>
                <w:szCs w:val="18"/>
                <w:lang w:eastAsia="en-AU"/>
              </w:rPr>
            </w:pPr>
            <w:r w:rsidRPr="00286F08">
              <w:rPr>
                <w:rFonts w:asciiTheme="majorHAnsi" w:hAnsiTheme="majorHAnsi" w:cstheme="majorHAnsi"/>
                <w:sz w:val="18"/>
                <w:szCs w:val="18"/>
              </w:rPr>
              <w:t>Pistachios</w:t>
            </w:r>
          </w:p>
        </w:tc>
        <w:tc>
          <w:tcPr>
            <w:tcW w:w="1189" w:type="dxa"/>
            <w:tcBorders>
              <w:top w:val="nil"/>
              <w:left w:val="nil"/>
              <w:bottom w:val="nil"/>
              <w:right w:val="nil"/>
            </w:tcBorders>
            <w:shd w:val="clear" w:color="auto" w:fill="auto"/>
            <w:noWrap/>
            <w:vAlign w:val="center"/>
            <w:hideMark/>
          </w:tcPr>
          <w:p w14:paraId="3E6AB978" w14:textId="77777777" w:rsidR="00335CF7" w:rsidRPr="00DE46B1"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963,606</w:t>
            </w:r>
          </w:p>
        </w:tc>
        <w:tc>
          <w:tcPr>
            <w:tcW w:w="1033" w:type="dxa"/>
            <w:tcBorders>
              <w:top w:val="nil"/>
              <w:left w:val="nil"/>
              <w:bottom w:val="nil"/>
              <w:right w:val="nil"/>
            </w:tcBorders>
            <w:shd w:val="clear" w:color="auto" w:fill="auto"/>
            <w:noWrap/>
            <w:vAlign w:val="center"/>
            <w:hideMark/>
          </w:tcPr>
          <w:p w14:paraId="1F5A00C5" w14:textId="77777777" w:rsidR="00335CF7" w:rsidRPr="00DE46B1"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0.4%</w:t>
            </w:r>
          </w:p>
        </w:tc>
        <w:tc>
          <w:tcPr>
            <w:tcW w:w="809" w:type="dxa"/>
            <w:tcBorders>
              <w:top w:val="nil"/>
              <w:left w:val="nil"/>
              <w:bottom w:val="nil"/>
              <w:right w:val="nil"/>
            </w:tcBorders>
            <w:shd w:val="clear" w:color="auto" w:fill="auto"/>
            <w:noWrap/>
            <w:hideMark/>
          </w:tcPr>
          <w:p w14:paraId="5ADC46AE" w14:textId="77777777" w:rsidR="00335CF7" w:rsidRPr="00286F08"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6F08">
              <w:rPr>
                <w:rFonts w:asciiTheme="majorHAnsi" w:eastAsia="Times New Roman" w:hAnsiTheme="majorHAnsi" w:cstheme="majorHAnsi"/>
                <w:color w:val="000000"/>
                <w:sz w:val="18"/>
                <w:szCs w:val="18"/>
                <w:lang w:eastAsia="en-AU"/>
              </w:rPr>
              <w:t>-</w:t>
            </w:r>
          </w:p>
        </w:tc>
        <w:tc>
          <w:tcPr>
            <w:tcW w:w="2026" w:type="dxa"/>
            <w:tcBorders>
              <w:top w:val="nil"/>
              <w:left w:val="nil"/>
              <w:bottom w:val="nil"/>
              <w:right w:val="nil"/>
            </w:tcBorders>
            <w:shd w:val="clear" w:color="auto" w:fill="auto"/>
            <w:noWrap/>
            <w:hideMark/>
          </w:tcPr>
          <w:p w14:paraId="4F905521" w14:textId="77777777" w:rsidR="00335CF7" w:rsidRPr="00286F08"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6F08">
              <w:rPr>
                <w:rFonts w:asciiTheme="majorHAnsi" w:eastAsia="Times New Roman" w:hAnsiTheme="majorHAnsi" w:cstheme="majorHAnsi"/>
                <w:color w:val="000000"/>
                <w:sz w:val="18"/>
                <w:szCs w:val="18"/>
                <w:lang w:eastAsia="en-AU"/>
              </w:rPr>
              <w:t>-</w:t>
            </w:r>
          </w:p>
        </w:tc>
        <w:tc>
          <w:tcPr>
            <w:tcW w:w="1155" w:type="dxa"/>
            <w:tcBorders>
              <w:top w:val="nil"/>
              <w:left w:val="nil"/>
              <w:bottom w:val="nil"/>
              <w:right w:val="nil"/>
            </w:tcBorders>
            <w:shd w:val="clear" w:color="auto" w:fill="auto"/>
            <w:noWrap/>
            <w:hideMark/>
          </w:tcPr>
          <w:p w14:paraId="6F1EBD9C" w14:textId="77777777" w:rsidR="00335CF7" w:rsidRPr="00284549"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289,082</w:t>
            </w:r>
          </w:p>
        </w:tc>
      </w:tr>
      <w:tr w:rsidR="00335CF7" w:rsidRPr="00286F08" w14:paraId="275FD0DB" w14:textId="77777777" w:rsidTr="000F69BD">
        <w:tc>
          <w:tcPr>
            <w:tcW w:w="709" w:type="dxa"/>
            <w:tcBorders>
              <w:top w:val="nil"/>
              <w:left w:val="nil"/>
              <w:bottom w:val="nil"/>
              <w:right w:val="nil"/>
            </w:tcBorders>
            <w:shd w:val="clear" w:color="auto" w:fill="auto"/>
            <w:noWrap/>
            <w:hideMark/>
          </w:tcPr>
          <w:p w14:paraId="4E4B6AFC" w14:textId="77777777" w:rsidR="00335CF7" w:rsidRPr="00286F08" w:rsidRDefault="00335CF7" w:rsidP="000F69BD">
            <w:pPr>
              <w:spacing w:after="0" w:line="240" w:lineRule="auto"/>
              <w:rPr>
                <w:rFonts w:asciiTheme="majorHAnsi" w:eastAsia="Times New Roman" w:hAnsiTheme="majorHAnsi" w:cstheme="majorHAnsi"/>
                <w:color w:val="000000"/>
                <w:sz w:val="18"/>
                <w:szCs w:val="18"/>
                <w:lang w:eastAsia="en-AU"/>
              </w:rPr>
            </w:pPr>
            <w:r w:rsidRPr="00286F08">
              <w:rPr>
                <w:rFonts w:asciiTheme="majorHAnsi" w:hAnsiTheme="majorHAnsi" w:cstheme="majorHAnsi"/>
                <w:sz w:val="18"/>
                <w:szCs w:val="18"/>
              </w:rPr>
              <w:t>CH8</w:t>
            </w:r>
          </w:p>
        </w:tc>
        <w:tc>
          <w:tcPr>
            <w:tcW w:w="847" w:type="dxa"/>
            <w:tcBorders>
              <w:top w:val="nil"/>
              <w:left w:val="nil"/>
              <w:bottom w:val="nil"/>
              <w:right w:val="nil"/>
            </w:tcBorders>
            <w:shd w:val="clear" w:color="auto" w:fill="auto"/>
            <w:noWrap/>
            <w:hideMark/>
          </w:tcPr>
          <w:p w14:paraId="3E5428E7" w14:textId="77777777" w:rsidR="00335CF7" w:rsidRPr="00286F08" w:rsidRDefault="00335CF7" w:rsidP="000F69BD">
            <w:pPr>
              <w:spacing w:after="0" w:line="240" w:lineRule="auto"/>
              <w:rPr>
                <w:rFonts w:asciiTheme="majorHAnsi" w:eastAsia="Times New Roman" w:hAnsiTheme="majorHAnsi" w:cstheme="majorHAnsi"/>
                <w:color w:val="000000"/>
                <w:sz w:val="18"/>
                <w:szCs w:val="18"/>
                <w:lang w:eastAsia="en-AU"/>
              </w:rPr>
            </w:pPr>
          </w:p>
        </w:tc>
        <w:tc>
          <w:tcPr>
            <w:tcW w:w="2635" w:type="dxa"/>
            <w:tcBorders>
              <w:top w:val="nil"/>
              <w:left w:val="nil"/>
              <w:bottom w:val="nil"/>
              <w:right w:val="nil"/>
            </w:tcBorders>
            <w:shd w:val="clear" w:color="auto" w:fill="auto"/>
            <w:noWrap/>
            <w:hideMark/>
          </w:tcPr>
          <w:p w14:paraId="3DB1FA36" w14:textId="77777777" w:rsidR="00335CF7" w:rsidRPr="00286F08" w:rsidRDefault="00335CF7" w:rsidP="000F69BD">
            <w:pPr>
              <w:spacing w:after="0" w:line="240" w:lineRule="auto"/>
              <w:rPr>
                <w:rFonts w:asciiTheme="majorHAnsi" w:eastAsia="Times New Roman" w:hAnsiTheme="majorHAnsi" w:cstheme="majorHAnsi"/>
                <w:color w:val="000000"/>
                <w:sz w:val="18"/>
                <w:szCs w:val="18"/>
                <w:lang w:eastAsia="en-AU"/>
              </w:rPr>
            </w:pPr>
            <w:r w:rsidRPr="00286F08">
              <w:rPr>
                <w:rFonts w:asciiTheme="majorHAnsi" w:hAnsiTheme="majorHAnsi" w:cstheme="majorHAnsi"/>
                <w:sz w:val="18"/>
                <w:szCs w:val="18"/>
              </w:rPr>
              <w:t>Macadamias</w:t>
            </w:r>
          </w:p>
        </w:tc>
        <w:tc>
          <w:tcPr>
            <w:tcW w:w="1189" w:type="dxa"/>
            <w:tcBorders>
              <w:top w:val="nil"/>
              <w:left w:val="nil"/>
              <w:bottom w:val="nil"/>
              <w:right w:val="nil"/>
            </w:tcBorders>
            <w:shd w:val="clear" w:color="auto" w:fill="auto"/>
            <w:noWrap/>
            <w:vAlign w:val="center"/>
            <w:hideMark/>
          </w:tcPr>
          <w:p w14:paraId="6FD8D0B7" w14:textId="77777777" w:rsidR="00335CF7" w:rsidRPr="00DE46B1"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1,935</w:t>
            </w:r>
          </w:p>
        </w:tc>
        <w:tc>
          <w:tcPr>
            <w:tcW w:w="1033" w:type="dxa"/>
            <w:tcBorders>
              <w:top w:val="nil"/>
              <w:left w:val="nil"/>
              <w:bottom w:val="nil"/>
              <w:right w:val="nil"/>
            </w:tcBorders>
            <w:shd w:val="clear" w:color="auto" w:fill="auto"/>
            <w:noWrap/>
            <w:vAlign w:val="center"/>
            <w:hideMark/>
          </w:tcPr>
          <w:p w14:paraId="6BCBFA48" w14:textId="77777777" w:rsidR="00335CF7" w:rsidRPr="00DE46B1"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3.3%</w:t>
            </w:r>
          </w:p>
        </w:tc>
        <w:tc>
          <w:tcPr>
            <w:tcW w:w="809" w:type="dxa"/>
            <w:tcBorders>
              <w:top w:val="nil"/>
              <w:left w:val="nil"/>
              <w:bottom w:val="nil"/>
              <w:right w:val="nil"/>
            </w:tcBorders>
            <w:shd w:val="clear" w:color="auto" w:fill="auto"/>
            <w:noWrap/>
            <w:hideMark/>
          </w:tcPr>
          <w:p w14:paraId="0B4D9B77" w14:textId="77777777" w:rsidR="00335CF7" w:rsidRPr="00286F08"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6F08">
              <w:rPr>
                <w:rFonts w:asciiTheme="majorHAnsi" w:eastAsia="Times New Roman" w:hAnsiTheme="majorHAnsi" w:cstheme="majorHAnsi"/>
                <w:color w:val="000000"/>
                <w:sz w:val="18"/>
                <w:szCs w:val="18"/>
                <w:lang w:eastAsia="en-AU"/>
              </w:rPr>
              <w:t>-</w:t>
            </w:r>
          </w:p>
        </w:tc>
        <w:tc>
          <w:tcPr>
            <w:tcW w:w="2026" w:type="dxa"/>
            <w:tcBorders>
              <w:top w:val="nil"/>
              <w:left w:val="nil"/>
              <w:bottom w:val="nil"/>
              <w:right w:val="nil"/>
            </w:tcBorders>
            <w:shd w:val="clear" w:color="auto" w:fill="auto"/>
            <w:noWrap/>
            <w:hideMark/>
          </w:tcPr>
          <w:p w14:paraId="3B51C8B9" w14:textId="77777777" w:rsidR="00335CF7" w:rsidRPr="00286F08"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6F08">
              <w:rPr>
                <w:rFonts w:asciiTheme="majorHAnsi" w:eastAsia="Times New Roman" w:hAnsiTheme="majorHAnsi" w:cstheme="majorHAnsi"/>
                <w:color w:val="000000"/>
                <w:sz w:val="18"/>
                <w:szCs w:val="18"/>
                <w:lang w:eastAsia="en-AU"/>
              </w:rPr>
              <w:t>-</w:t>
            </w:r>
          </w:p>
        </w:tc>
        <w:tc>
          <w:tcPr>
            <w:tcW w:w="1155" w:type="dxa"/>
            <w:tcBorders>
              <w:top w:val="nil"/>
              <w:left w:val="nil"/>
              <w:bottom w:val="nil"/>
              <w:right w:val="nil"/>
            </w:tcBorders>
            <w:shd w:val="clear" w:color="auto" w:fill="auto"/>
            <w:noWrap/>
            <w:hideMark/>
          </w:tcPr>
          <w:p w14:paraId="4B8E264A" w14:textId="77777777" w:rsidR="00335CF7" w:rsidRPr="00284549"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580</w:t>
            </w:r>
          </w:p>
        </w:tc>
      </w:tr>
      <w:tr w:rsidR="00335CF7" w:rsidRPr="00286F08" w14:paraId="1496980F" w14:textId="77777777" w:rsidTr="000F69BD">
        <w:tc>
          <w:tcPr>
            <w:tcW w:w="709" w:type="dxa"/>
            <w:tcBorders>
              <w:top w:val="nil"/>
              <w:left w:val="nil"/>
              <w:bottom w:val="nil"/>
              <w:right w:val="nil"/>
            </w:tcBorders>
            <w:shd w:val="clear" w:color="auto" w:fill="auto"/>
            <w:noWrap/>
            <w:hideMark/>
          </w:tcPr>
          <w:p w14:paraId="21DC3196" w14:textId="77777777" w:rsidR="00335CF7" w:rsidRPr="00286F08" w:rsidRDefault="00335CF7" w:rsidP="000F69BD">
            <w:pPr>
              <w:spacing w:after="0" w:line="240" w:lineRule="auto"/>
              <w:rPr>
                <w:rFonts w:asciiTheme="majorHAnsi" w:eastAsia="Times New Roman" w:hAnsiTheme="majorHAnsi" w:cstheme="majorHAnsi"/>
                <w:color w:val="000000"/>
                <w:sz w:val="18"/>
                <w:szCs w:val="18"/>
                <w:lang w:eastAsia="en-AU"/>
              </w:rPr>
            </w:pPr>
            <w:r w:rsidRPr="00286F08">
              <w:rPr>
                <w:rFonts w:asciiTheme="majorHAnsi" w:hAnsiTheme="majorHAnsi" w:cstheme="majorHAnsi"/>
                <w:sz w:val="18"/>
                <w:szCs w:val="18"/>
              </w:rPr>
              <w:t>CH8</w:t>
            </w:r>
          </w:p>
        </w:tc>
        <w:tc>
          <w:tcPr>
            <w:tcW w:w="847" w:type="dxa"/>
            <w:tcBorders>
              <w:top w:val="nil"/>
              <w:left w:val="nil"/>
              <w:bottom w:val="nil"/>
              <w:right w:val="nil"/>
            </w:tcBorders>
            <w:shd w:val="clear" w:color="auto" w:fill="auto"/>
            <w:noWrap/>
            <w:hideMark/>
          </w:tcPr>
          <w:p w14:paraId="1766FAAC" w14:textId="77777777" w:rsidR="00335CF7" w:rsidRPr="00286F08" w:rsidRDefault="00335CF7" w:rsidP="000F69BD">
            <w:pPr>
              <w:spacing w:after="0" w:line="240" w:lineRule="auto"/>
              <w:rPr>
                <w:rFonts w:asciiTheme="majorHAnsi" w:eastAsia="Times New Roman" w:hAnsiTheme="majorHAnsi" w:cstheme="majorHAnsi"/>
                <w:color w:val="000000"/>
                <w:sz w:val="18"/>
                <w:szCs w:val="18"/>
                <w:lang w:eastAsia="en-AU"/>
              </w:rPr>
            </w:pPr>
          </w:p>
        </w:tc>
        <w:tc>
          <w:tcPr>
            <w:tcW w:w="2635" w:type="dxa"/>
            <w:tcBorders>
              <w:top w:val="nil"/>
              <w:left w:val="nil"/>
              <w:bottom w:val="nil"/>
              <w:right w:val="nil"/>
            </w:tcBorders>
            <w:shd w:val="clear" w:color="auto" w:fill="auto"/>
            <w:noWrap/>
            <w:hideMark/>
          </w:tcPr>
          <w:p w14:paraId="64AB4E48" w14:textId="77777777" w:rsidR="00335CF7" w:rsidRPr="00286F08" w:rsidRDefault="00335CF7" w:rsidP="000F69BD">
            <w:pPr>
              <w:spacing w:after="0" w:line="240" w:lineRule="auto"/>
              <w:rPr>
                <w:rFonts w:asciiTheme="majorHAnsi" w:eastAsia="Times New Roman" w:hAnsiTheme="majorHAnsi" w:cstheme="majorHAnsi"/>
                <w:color w:val="000000"/>
                <w:sz w:val="18"/>
                <w:szCs w:val="18"/>
                <w:lang w:eastAsia="en-AU"/>
              </w:rPr>
            </w:pPr>
            <w:r w:rsidRPr="00286F08">
              <w:rPr>
                <w:rFonts w:asciiTheme="majorHAnsi" w:hAnsiTheme="majorHAnsi" w:cstheme="majorHAnsi"/>
                <w:sz w:val="18"/>
                <w:szCs w:val="18"/>
              </w:rPr>
              <w:t>Avocados</w:t>
            </w:r>
          </w:p>
        </w:tc>
        <w:tc>
          <w:tcPr>
            <w:tcW w:w="1189" w:type="dxa"/>
            <w:tcBorders>
              <w:top w:val="nil"/>
              <w:left w:val="nil"/>
              <w:bottom w:val="nil"/>
              <w:right w:val="nil"/>
            </w:tcBorders>
            <w:shd w:val="clear" w:color="auto" w:fill="auto"/>
            <w:noWrap/>
            <w:vAlign w:val="center"/>
            <w:hideMark/>
          </w:tcPr>
          <w:p w14:paraId="1AE70A08" w14:textId="77777777" w:rsidR="00335CF7" w:rsidRPr="00DE46B1"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11</w:t>
            </w:r>
          </w:p>
        </w:tc>
        <w:tc>
          <w:tcPr>
            <w:tcW w:w="1033" w:type="dxa"/>
            <w:tcBorders>
              <w:top w:val="nil"/>
              <w:left w:val="nil"/>
              <w:bottom w:val="nil"/>
              <w:right w:val="nil"/>
            </w:tcBorders>
            <w:shd w:val="clear" w:color="auto" w:fill="auto"/>
            <w:noWrap/>
            <w:vAlign w:val="center"/>
            <w:hideMark/>
          </w:tcPr>
          <w:p w14:paraId="2C78A1A2" w14:textId="77777777" w:rsidR="00335CF7" w:rsidRPr="00DE46B1"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0.0%</w:t>
            </w:r>
          </w:p>
        </w:tc>
        <w:tc>
          <w:tcPr>
            <w:tcW w:w="809" w:type="dxa"/>
            <w:tcBorders>
              <w:top w:val="nil"/>
              <w:left w:val="nil"/>
              <w:bottom w:val="nil"/>
              <w:right w:val="nil"/>
            </w:tcBorders>
            <w:shd w:val="clear" w:color="auto" w:fill="auto"/>
            <w:noWrap/>
            <w:hideMark/>
          </w:tcPr>
          <w:p w14:paraId="2ADD9DB1" w14:textId="77777777" w:rsidR="00335CF7" w:rsidRPr="00286F08"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6F08">
              <w:rPr>
                <w:rFonts w:asciiTheme="majorHAnsi" w:eastAsia="Times New Roman" w:hAnsiTheme="majorHAnsi" w:cstheme="majorHAnsi"/>
                <w:color w:val="000000"/>
                <w:sz w:val="18"/>
                <w:szCs w:val="18"/>
                <w:lang w:eastAsia="en-AU"/>
              </w:rPr>
              <w:t>-</w:t>
            </w:r>
          </w:p>
        </w:tc>
        <w:tc>
          <w:tcPr>
            <w:tcW w:w="2026" w:type="dxa"/>
            <w:tcBorders>
              <w:top w:val="nil"/>
              <w:left w:val="nil"/>
              <w:bottom w:val="nil"/>
              <w:right w:val="nil"/>
            </w:tcBorders>
            <w:shd w:val="clear" w:color="auto" w:fill="auto"/>
            <w:noWrap/>
            <w:hideMark/>
          </w:tcPr>
          <w:p w14:paraId="12F760FA" w14:textId="77777777" w:rsidR="00335CF7" w:rsidRPr="00286F08"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6F08">
              <w:rPr>
                <w:rFonts w:asciiTheme="majorHAnsi" w:eastAsia="Times New Roman" w:hAnsiTheme="majorHAnsi" w:cstheme="majorHAnsi"/>
                <w:color w:val="000000"/>
                <w:sz w:val="18"/>
                <w:szCs w:val="18"/>
                <w:lang w:eastAsia="en-AU"/>
              </w:rPr>
              <w:t>-</w:t>
            </w:r>
          </w:p>
        </w:tc>
        <w:tc>
          <w:tcPr>
            <w:tcW w:w="1155" w:type="dxa"/>
            <w:tcBorders>
              <w:top w:val="nil"/>
              <w:left w:val="nil"/>
              <w:bottom w:val="nil"/>
              <w:right w:val="nil"/>
            </w:tcBorders>
            <w:shd w:val="clear" w:color="auto" w:fill="auto"/>
            <w:noWrap/>
            <w:hideMark/>
          </w:tcPr>
          <w:p w14:paraId="375009D9" w14:textId="77777777" w:rsidR="00335CF7" w:rsidRPr="00284549"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3</w:t>
            </w:r>
          </w:p>
        </w:tc>
      </w:tr>
      <w:tr w:rsidR="00335CF7" w:rsidRPr="00286F08" w14:paraId="3F985F7C" w14:textId="77777777" w:rsidTr="000F69BD">
        <w:tc>
          <w:tcPr>
            <w:tcW w:w="709" w:type="dxa"/>
            <w:tcBorders>
              <w:top w:val="nil"/>
              <w:left w:val="nil"/>
              <w:bottom w:val="nil"/>
              <w:right w:val="nil"/>
            </w:tcBorders>
            <w:shd w:val="clear" w:color="auto" w:fill="auto"/>
            <w:noWrap/>
            <w:hideMark/>
          </w:tcPr>
          <w:p w14:paraId="70544333" w14:textId="77777777" w:rsidR="00335CF7" w:rsidRPr="00286F08" w:rsidRDefault="00335CF7" w:rsidP="000F69BD">
            <w:pPr>
              <w:spacing w:after="0" w:line="240" w:lineRule="auto"/>
              <w:rPr>
                <w:rFonts w:asciiTheme="majorHAnsi" w:eastAsia="Times New Roman" w:hAnsiTheme="majorHAnsi" w:cstheme="majorHAnsi"/>
                <w:color w:val="000000"/>
                <w:sz w:val="18"/>
                <w:szCs w:val="18"/>
                <w:lang w:eastAsia="en-AU"/>
              </w:rPr>
            </w:pPr>
          </w:p>
        </w:tc>
        <w:tc>
          <w:tcPr>
            <w:tcW w:w="847" w:type="dxa"/>
            <w:tcBorders>
              <w:top w:val="nil"/>
              <w:left w:val="nil"/>
              <w:bottom w:val="nil"/>
              <w:right w:val="nil"/>
            </w:tcBorders>
            <w:shd w:val="clear" w:color="auto" w:fill="auto"/>
            <w:noWrap/>
            <w:hideMark/>
          </w:tcPr>
          <w:p w14:paraId="6BA2EDDE" w14:textId="77777777" w:rsidR="00335CF7" w:rsidRPr="00286F08" w:rsidRDefault="00335CF7" w:rsidP="000F69BD">
            <w:pPr>
              <w:spacing w:after="0" w:line="240" w:lineRule="auto"/>
              <w:rPr>
                <w:rFonts w:asciiTheme="majorHAnsi" w:eastAsia="Times New Roman" w:hAnsiTheme="majorHAnsi" w:cstheme="majorHAnsi"/>
                <w:color w:val="000000"/>
                <w:sz w:val="18"/>
                <w:szCs w:val="18"/>
                <w:lang w:eastAsia="en-AU"/>
              </w:rPr>
            </w:pPr>
          </w:p>
        </w:tc>
        <w:tc>
          <w:tcPr>
            <w:tcW w:w="2635" w:type="dxa"/>
            <w:tcBorders>
              <w:top w:val="nil"/>
              <w:left w:val="nil"/>
              <w:bottom w:val="nil"/>
              <w:right w:val="nil"/>
            </w:tcBorders>
            <w:shd w:val="clear" w:color="auto" w:fill="auto"/>
            <w:noWrap/>
            <w:hideMark/>
          </w:tcPr>
          <w:p w14:paraId="648C3EAE" w14:textId="77777777" w:rsidR="00335CF7" w:rsidRPr="00286F08" w:rsidRDefault="00335CF7" w:rsidP="000F69BD">
            <w:pPr>
              <w:spacing w:after="0" w:line="240" w:lineRule="auto"/>
              <w:rPr>
                <w:rFonts w:asciiTheme="majorHAnsi" w:eastAsia="Times New Roman" w:hAnsiTheme="majorHAnsi" w:cstheme="majorHAnsi"/>
                <w:color w:val="000000"/>
                <w:sz w:val="18"/>
                <w:szCs w:val="18"/>
                <w:lang w:eastAsia="en-AU"/>
              </w:rPr>
            </w:pPr>
            <w:r w:rsidRPr="00286F08">
              <w:rPr>
                <w:rFonts w:asciiTheme="majorHAnsi" w:hAnsiTheme="majorHAnsi" w:cstheme="majorHAnsi"/>
                <w:sz w:val="18"/>
                <w:szCs w:val="18"/>
              </w:rPr>
              <w:t xml:space="preserve">Remaining industry </w:t>
            </w:r>
            <w:proofErr w:type="spellStart"/>
            <w:r w:rsidRPr="00286F08">
              <w:rPr>
                <w:rFonts w:asciiTheme="majorHAnsi" w:hAnsiTheme="majorHAnsi" w:cstheme="majorHAnsi"/>
                <w:sz w:val="18"/>
                <w:szCs w:val="18"/>
              </w:rPr>
              <w:t>n.e.c</w:t>
            </w:r>
            <w:proofErr w:type="spellEnd"/>
          </w:p>
        </w:tc>
        <w:tc>
          <w:tcPr>
            <w:tcW w:w="1189" w:type="dxa"/>
            <w:tcBorders>
              <w:top w:val="nil"/>
              <w:left w:val="nil"/>
              <w:bottom w:val="nil"/>
              <w:right w:val="nil"/>
            </w:tcBorders>
            <w:shd w:val="clear" w:color="auto" w:fill="auto"/>
            <w:noWrap/>
            <w:vAlign w:val="center"/>
            <w:hideMark/>
          </w:tcPr>
          <w:p w14:paraId="734D7BBD" w14:textId="77777777" w:rsidR="00335CF7" w:rsidRPr="00DE46B1" w:rsidRDefault="00335CF7" w:rsidP="000F69BD">
            <w:pPr>
              <w:spacing w:after="0" w:line="240" w:lineRule="auto"/>
              <w:jc w:val="right"/>
              <w:rPr>
                <w:rFonts w:asciiTheme="majorHAnsi" w:eastAsia="Times New Roman" w:hAnsiTheme="majorHAnsi" w:cstheme="majorHAnsi"/>
                <w:color w:val="000000"/>
                <w:sz w:val="18"/>
                <w:szCs w:val="18"/>
                <w:lang w:eastAsia="en-AU"/>
              </w:rPr>
            </w:pPr>
            <w:r w:rsidRPr="00284549">
              <w:rPr>
                <w:rFonts w:asciiTheme="majorHAnsi" w:hAnsiTheme="majorHAnsi" w:cstheme="majorHAnsi"/>
                <w:sz w:val="18"/>
                <w:szCs w:val="18"/>
              </w:rPr>
              <w:t>174,528</w:t>
            </w:r>
          </w:p>
        </w:tc>
        <w:tc>
          <w:tcPr>
            <w:tcW w:w="1033" w:type="dxa"/>
            <w:tcBorders>
              <w:top w:val="nil"/>
              <w:left w:val="nil"/>
              <w:bottom w:val="nil"/>
              <w:right w:val="nil"/>
            </w:tcBorders>
            <w:shd w:val="clear" w:color="auto" w:fill="auto"/>
            <w:noWrap/>
            <w:vAlign w:val="center"/>
            <w:hideMark/>
          </w:tcPr>
          <w:p w14:paraId="7E90FC64" w14:textId="77777777" w:rsidR="00335CF7" w:rsidRPr="00DE46B1"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0.0%</w:t>
            </w:r>
          </w:p>
        </w:tc>
        <w:tc>
          <w:tcPr>
            <w:tcW w:w="809" w:type="dxa"/>
            <w:tcBorders>
              <w:top w:val="nil"/>
              <w:left w:val="nil"/>
              <w:bottom w:val="nil"/>
              <w:right w:val="nil"/>
            </w:tcBorders>
            <w:shd w:val="clear" w:color="auto" w:fill="auto"/>
            <w:noWrap/>
            <w:hideMark/>
          </w:tcPr>
          <w:p w14:paraId="1B2F768D" w14:textId="77777777" w:rsidR="00335CF7" w:rsidRPr="00286F08"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6F08">
              <w:rPr>
                <w:rFonts w:asciiTheme="majorHAnsi" w:eastAsia="Times New Roman" w:hAnsiTheme="majorHAnsi" w:cstheme="majorHAnsi"/>
                <w:color w:val="000000"/>
                <w:sz w:val="18"/>
                <w:szCs w:val="18"/>
                <w:lang w:eastAsia="en-AU"/>
              </w:rPr>
              <w:t>-</w:t>
            </w:r>
          </w:p>
        </w:tc>
        <w:tc>
          <w:tcPr>
            <w:tcW w:w="2026" w:type="dxa"/>
            <w:tcBorders>
              <w:top w:val="nil"/>
              <w:left w:val="nil"/>
              <w:bottom w:val="nil"/>
              <w:right w:val="nil"/>
            </w:tcBorders>
            <w:shd w:val="clear" w:color="auto" w:fill="auto"/>
            <w:noWrap/>
            <w:hideMark/>
          </w:tcPr>
          <w:p w14:paraId="06E3BA32" w14:textId="77777777" w:rsidR="00335CF7" w:rsidRPr="00286F08"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6F08">
              <w:rPr>
                <w:rFonts w:asciiTheme="majorHAnsi" w:eastAsia="Times New Roman" w:hAnsiTheme="majorHAnsi" w:cstheme="majorHAnsi"/>
                <w:color w:val="000000"/>
                <w:sz w:val="18"/>
                <w:szCs w:val="18"/>
                <w:lang w:eastAsia="en-AU"/>
              </w:rPr>
              <w:t>-</w:t>
            </w:r>
          </w:p>
        </w:tc>
        <w:tc>
          <w:tcPr>
            <w:tcW w:w="1155" w:type="dxa"/>
            <w:tcBorders>
              <w:top w:val="nil"/>
              <w:left w:val="nil"/>
              <w:bottom w:val="nil"/>
              <w:right w:val="nil"/>
            </w:tcBorders>
            <w:shd w:val="clear" w:color="auto" w:fill="auto"/>
            <w:noWrap/>
            <w:hideMark/>
          </w:tcPr>
          <w:p w14:paraId="696AC1C4" w14:textId="77777777" w:rsidR="00335CF7" w:rsidRPr="00284549"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57,293</w:t>
            </w:r>
          </w:p>
        </w:tc>
      </w:tr>
      <w:tr w:rsidR="00335CF7" w:rsidRPr="00286F08" w14:paraId="134B09C4" w14:textId="77777777" w:rsidTr="000F69BD">
        <w:tc>
          <w:tcPr>
            <w:tcW w:w="709" w:type="dxa"/>
            <w:tcBorders>
              <w:top w:val="nil"/>
              <w:left w:val="nil"/>
              <w:bottom w:val="single" w:sz="4" w:space="0" w:color="auto"/>
              <w:right w:val="nil"/>
            </w:tcBorders>
            <w:shd w:val="clear" w:color="auto" w:fill="auto"/>
            <w:noWrap/>
            <w:hideMark/>
          </w:tcPr>
          <w:p w14:paraId="5393E55F" w14:textId="77777777" w:rsidR="00335CF7" w:rsidRPr="00286F08" w:rsidRDefault="00335CF7" w:rsidP="000F69BD">
            <w:pPr>
              <w:spacing w:after="0" w:line="240" w:lineRule="auto"/>
              <w:rPr>
                <w:rFonts w:asciiTheme="majorHAnsi" w:eastAsia="Times New Roman" w:hAnsiTheme="majorHAnsi" w:cstheme="majorHAnsi"/>
                <w:b/>
                <w:color w:val="000000"/>
                <w:sz w:val="18"/>
                <w:szCs w:val="18"/>
                <w:lang w:eastAsia="en-AU"/>
              </w:rPr>
            </w:pPr>
          </w:p>
        </w:tc>
        <w:tc>
          <w:tcPr>
            <w:tcW w:w="847" w:type="dxa"/>
            <w:tcBorders>
              <w:top w:val="nil"/>
              <w:left w:val="nil"/>
              <w:bottom w:val="single" w:sz="4" w:space="0" w:color="auto"/>
              <w:right w:val="nil"/>
            </w:tcBorders>
            <w:shd w:val="clear" w:color="auto" w:fill="auto"/>
            <w:noWrap/>
            <w:hideMark/>
          </w:tcPr>
          <w:p w14:paraId="6BD358BB" w14:textId="77777777" w:rsidR="00335CF7" w:rsidRPr="00286F08" w:rsidRDefault="00335CF7" w:rsidP="000F69BD">
            <w:pPr>
              <w:spacing w:after="0" w:line="240" w:lineRule="auto"/>
              <w:rPr>
                <w:rFonts w:asciiTheme="majorHAnsi" w:eastAsia="Times New Roman" w:hAnsiTheme="majorHAnsi" w:cstheme="majorHAnsi"/>
                <w:b/>
                <w:sz w:val="18"/>
                <w:szCs w:val="18"/>
                <w:lang w:eastAsia="en-AU"/>
              </w:rPr>
            </w:pPr>
          </w:p>
        </w:tc>
        <w:tc>
          <w:tcPr>
            <w:tcW w:w="2635" w:type="dxa"/>
            <w:tcBorders>
              <w:top w:val="nil"/>
              <w:left w:val="nil"/>
              <w:bottom w:val="single" w:sz="4" w:space="0" w:color="auto"/>
              <w:right w:val="nil"/>
            </w:tcBorders>
            <w:shd w:val="clear" w:color="auto" w:fill="auto"/>
            <w:noWrap/>
            <w:hideMark/>
          </w:tcPr>
          <w:p w14:paraId="25FFFB5E" w14:textId="77777777" w:rsidR="00335CF7" w:rsidRPr="00286F08" w:rsidRDefault="00335CF7" w:rsidP="000F69BD">
            <w:pPr>
              <w:spacing w:after="0" w:line="240" w:lineRule="auto"/>
              <w:rPr>
                <w:rFonts w:asciiTheme="majorHAnsi" w:eastAsia="Times New Roman" w:hAnsiTheme="majorHAnsi" w:cstheme="majorHAnsi"/>
                <w:b/>
                <w:color w:val="000000"/>
                <w:sz w:val="18"/>
                <w:szCs w:val="18"/>
                <w:lang w:eastAsia="en-AU"/>
              </w:rPr>
            </w:pPr>
            <w:r w:rsidRPr="00286F08">
              <w:rPr>
                <w:rFonts w:asciiTheme="majorHAnsi" w:hAnsiTheme="majorHAnsi" w:cstheme="majorHAnsi"/>
                <w:b/>
                <w:sz w:val="18"/>
                <w:szCs w:val="18"/>
              </w:rPr>
              <w:t>Subtotal</w:t>
            </w:r>
          </w:p>
        </w:tc>
        <w:tc>
          <w:tcPr>
            <w:tcW w:w="1189" w:type="dxa"/>
            <w:tcBorders>
              <w:top w:val="nil"/>
              <w:left w:val="nil"/>
              <w:bottom w:val="single" w:sz="4" w:space="0" w:color="auto"/>
              <w:right w:val="nil"/>
            </w:tcBorders>
            <w:shd w:val="clear" w:color="auto" w:fill="auto"/>
            <w:noWrap/>
            <w:vAlign w:val="center"/>
            <w:hideMark/>
          </w:tcPr>
          <w:p w14:paraId="685AFB52" w14:textId="77777777" w:rsidR="00335CF7" w:rsidRPr="00284549" w:rsidRDefault="00335CF7" w:rsidP="000F69BD">
            <w:pPr>
              <w:spacing w:after="0" w:line="240" w:lineRule="auto"/>
              <w:jc w:val="right"/>
              <w:rPr>
                <w:rFonts w:asciiTheme="majorHAnsi" w:hAnsiTheme="majorHAnsi" w:cstheme="majorHAnsi"/>
                <w:b/>
                <w:sz w:val="18"/>
                <w:szCs w:val="18"/>
              </w:rPr>
            </w:pPr>
            <w:r w:rsidRPr="00284549">
              <w:rPr>
                <w:rFonts w:asciiTheme="majorHAnsi" w:hAnsiTheme="majorHAnsi" w:cstheme="majorHAnsi"/>
                <w:b/>
                <w:sz w:val="18"/>
                <w:szCs w:val="18"/>
              </w:rPr>
              <w:t>171,049,239</w:t>
            </w:r>
          </w:p>
        </w:tc>
        <w:tc>
          <w:tcPr>
            <w:tcW w:w="1033" w:type="dxa"/>
            <w:tcBorders>
              <w:top w:val="nil"/>
              <w:left w:val="nil"/>
              <w:bottom w:val="single" w:sz="4" w:space="0" w:color="auto"/>
              <w:right w:val="nil"/>
            </w:tcBorders>
            <w:shd w:val="clear" w:color="auto" w:fill="auto"/>
            <w:noWrap/>
            <w:vAlign w:val="center"/>
            <w:hideMark/>
          </w:tcPr>
          <w:p w14:paraId="05685F25" w14:textId="77777777" w:rsidR="00335CF7" w:rsidRPr="00284549" w:rsidRDefault="00335CF7" w:rsidP="000F69BD">
            <w:pPr>
              <w:spacing w:after="0" w:line="240" w:lineRule="auto"/>
              <w:jc w:val="right"/>
              <w:rPr>
                <w:rFonts w:asciiTheme="majorHAnsi" w:hAnsiTheme="majorHAnsi" w:cstheme="majorHAnsi"/>
                <w:b/>
                <w:sz w:val="18"/>
                <w:szCs w:val="18"/>
              </w:rPr>
            </w:pPr>
            <w:r w:rsidRPr="00284549">
              <w:rPr>
                <w:rFonts w:asciiTheme="majorHAnsi" w:hAnsiTheme="majorHAnsi" w:cstheme="majorHAnsi"/>
                <w:b/>
                <w:sz w:val="18"/>
                <w:szCs w:val="18"/>
              </w:rPr>
              <w:t>3.0%</w:t>
            </w:r>
          </w:p>
        </w:tc>
        <w:tc>
          <w:tcPr>
            <w:tcW w:w="809" w:type="dxa"/>
            <w:tcBorders>
              <w:top w:val="nil"/>
              <w:left w:val="nil"/>
              <w:bottom w:val="single" w:sz="4" w:space="0" w:color="auto"/>
              <w:right w:val="nil"/>
            </w:tcBorders>
            <w:shd w:val="clear" w:color="auto" w:fill="auto"/>
            <w:noWrap/>
            <w:hideMark/>
          </w:tcPr>
          <w:p w14:paraId="1016C691" w14:textId="77777777" w:rsidR="00335CF7" w:rsidRPr="00286F08" w:rsidRDefault="00335CF7" w:rsidP="000F69BD">
            <w:pPr>
              <w:spacing w:after="0" w:line="240" w:lineRule="auto"/>
              <w:jc w:val="center"/>
              <w:rPr>
                <w:rFonts w:asciiTheme="majorHAnsi" w:eastAsia="Times New Roman" w:hAnsiTheme="majorHAnsi" w:cstheme="majorHAnsi"/>
                <w:b/>
                <w:color w:val="000000"/>
                <w:sz w:val="18"/>
                <w:szCs w:val="18"/>
                <w:lang w:eastAsia="en-AU"/>
              </w:rPr>
            </w:pPr>
            <w:r w:rsidRPr="00286F08">
              <w:rPr>
                <w:rFonts w:asciiTheme="majorHAnsi" w:eastAsia="Times New Roman" w:hAnsiTheme="majorHAnsi" w:cstheme="majorHAnsi"/>
                <w:b/>
                <w:bCs/>
                <w:color w:val="000000"/>
                <w:sz w:val="18"/>
                <w:szCs w:val="18"/>
                <w:lang w:eastAsia="en-AU"/>
              </w:rPr>
              <w:t>-</w:t>
            </w:r>
          </w:p>
        </w:tc>
        <w:tc>
          <w:tcPr>
            <w:tcW w:w="2026" w:type="dxa"/>
            <w:tcBorders>
              <w:top w:val="nil"/>
              <w:left w:val="nil"/>
              <w:bottom w:val="single" w:sz="4" w:space="0" w:color="auto"/>
              <w:right w:val="nil"/>
            </w:tcBorders>
            <w:shd w:val="clear" w:color="auto" w:fill="auto"/>
            <w:noWrap/>
            <w:hideMark/>
          </w:tcPr>
          <w:p w14:paraId="54CC5E06" w14:textId="77777777" w:rsidR="00335CF7" w:rsidRPr="00286F08" w:rsidRDefault="00335CF7" w:rsidP="000F69BD">
            <w:pPr>
              <w:spacing w:after="0" w:line="240" w:lineRule="auto"/>
              <w:jc w:val="center"/>
              <w:rPr>
                <w:rFonts w:asciiTheme="majorHAnsi" w:eastAsia="Times New Roman" w:hAnsiTheme="majorHAnsi" w:cstheme="majorHAnsi"/>
                <w:b/>
                <w:sz w:val="18"/>
                <w:szCs w:val="18"/>
                <w:lang w:eastAsia="en-AU"/>
              </w:rPr>
            </w:pPr>
            <w:r w:rsidRPr="00286F08">
              <w:rPr>
                <w:rFonts w:asciiTheme="majorHAnsi" w:eastAsia="Times New Roman" w:hAnsiTheme="majorHAnsi" w:cstheme="majorHAnsi"/>
                <w:b/>
                <w:bCs/>
                <w:color w:val="000000"/>
                <w:sz w:val="18"/>
                <w:szCs w:val="18"/>
                <w:lang w:eastAsia="en-AU"/>
              </w:rPr>
              <w:t>-</w:t>
            </w:r>
          </w:p>
        </w:tc>
        <w:tc>
          <w:tcPr>
            <w:tcW w:w="1155" w:type="dxa"/>
            <w:tcBorders>
              <w:top w:val="nil"/>
              <w:left w:val="nil"/>
              <w:bottom w:val="single" w:sz="4" w:space="0" w:color="auto"/>
              <w:right w:val="nil"/>
            </w:tcBorders>
            <w:shd w:val="clear" w:color="auto" w:fill="auto"/>
            <w:noWrap/>
            <w:hideMark/>
          </w:tcPr>
          <w:p w14:paraId="3F3FF29B" w14:textId="77777777" w:rsidR="00335CF7" w:rsidRPr="00284549" w:rsidRDefault="00335CF7" w:rsidP="000F69BD">
            <w:pPr>
              <w:spacing w:after="0" w:line="240" w:lineRule="auto"/>
              <w:jc w:val="right"/>
              <w:rPr>
                <w:rFonts w:asciiTheme="majorHAnsi" w:hAnsiTheme="majorHAnsi" w:cstheme="majorHAnsi"/>
                <w:b/>
                <w:sz w:val="18"/>
                <w:szCs w:val="18"/>
              </w:rPr>
            </w:pPr>
            <w:r w:rsidRPr="00284549">
              <w:rPr>
                <w:rFonts w:asciiTheme="majorHAnsi" w:hAnsiTheme="majorHAnsi" w:cstheme="majorHAnsi"/>
                <w:b/>
                <w:sz w:val="18"/>
                <w:szCs w:val="18"/>
              </w:rPr>
              <w:t>24,082,341</w:t>
            </w:r>
          </w:p>
        </w:tc>
      </w:tr>
      <w:tr w:rsidR="00335CF7" w:rsidRPr="00286F08" w14:paraId="7A5443C2" w14:textId="77777777" w:rsidTr="000F69BD">
        <w:tc>
          <w:tcPr>
            <w:tcW w:w="10403" w:type="dxa"/>
            <w:gridSpan w:val="8"/>
            <w:tcBorders>
              <w:top w:val="single" w:sz="4" w:space="0" w:color="auto"/>
              <w:left w:val="nil"/>
              <w:bottom w:val="single" w:sz="4" w:space="0" w:color="auto"/>
              <w:right w:val="nil"/>
            </w:tcBorders>
            <w:shd w:val="clear" w:color="auto" w:fill="auto"/>
            <w:noWrap/>
            <w:vAlign w:val="bottom"/>
          </w:tcPr>
          <w:p w14:paraId="40C2556E" w14:textId="77777777" w:rsidR="00335CF7" w:rsidRPr="00286F08" w:rsidRDefault="00335CF7" w:rsidP="000F69BD">
            <w:pPr>
              <w:spacing w:after="0" w:line="240" w:lineRule="auto"/>
              <w:rPr>
                <w:rFonts w:asciiTheme="majorHAnsi" w:eastAsia="Times New Roman" w:hAnsiTheme="majorHAnsi" w:cstheme="majorHAnsi"/>
                <w:b/>
                <w:color w:val="000000"/>
                <w:sz w:val="18"/>
                <w:szCs w:val="18"/>
                <w:lang w:eastAsia="en-AU"/>
              </w:rPr>
            </w:pPr>
            <w:r w:rsidRPr="00286F08">
              <w:rPr>
                <w:rFonts w:asciiTheme="majorHAnsi" w:eastAsia="Times New Roman" w:hAnsiTheme="majorHAnsi" w:cstheme="majorHAnsi"/>
                <w:b/>
                <w:color w:val="000000"/>
                <w:sz w:val="18"/>
                <w:szCs w:val="18"/>
                <w:lang w:eastAsia="en-AU"/>
              </w:rPr>
              <w:t xml:space="preserve">Oranges and other citrus, Grapes, Apples and Pears, Cherries, Peach, </w:t>
            </w:r>
            <w:proofErr w:type="gramStart"/>
            <w:r w:rsidRPr="00286F08">
              <w:rPr>
                <w:rFonts w:asciiTheme="majorHAnsi" w:eastAsia="Times New Roman" w:hAnsiTheme="majorHAnsi" w:cstheme="majorHAnsi"/>
                <w:b/>
                <w:color w:val="000000"/>
                <w:sz w:val="18"/>
                <w:szCs w:val="18"/>
                <w:lang w:eastAsia="en-AU"/>
              </w:rPr>
              <w:t>Plums</w:t>
            </w:r>
            <w:proofErr w:type="gramEnd"/>
            <w:r w:rsidRPr="00286F08">
              <w:rPr>
                <w:rFonts w:asciiTheme="majorHAnsi" w:eastAsia="Times New Roman" w:hAnsiTheme="majorHAnsi" w:cstheme="majorHAnsi"/>
                <w:b/>
                <w:color w:val="000000"/>
                <w:sz w:val="18"/>
                <w:szCs w:val="18"/>
                <w:lang w:eastAsia="en-AU"/>
              </w:rPr>
              <w:t xml:space="preserve"> and other stone fruit</w:t>
            </w:r>
          </w:p>
        </w:tc>
      </w:tr>
      <w:tr w:rsidR="00335CF7" w:rsidRPr="00286F08" w14:paraId="1ABB2FC2" w14:textId="77777777" w:rsidTr="000F69BD">
        <w:tc>
          <w:tcPr>
            <w:tcW w:w="709" w:type="dxa"/>
            <w:tcBorders>
              <w:top w:val="single" w:sz="4" w:space="0" w:color="auto"/>
              <w:left w:val="nil"/>
              <w:bottom w:val="nil"/>
              <w:right w:val="nil"/>
            </w:tcBorders>
            <w:shd w:val="clear" w:color="auto" w:fill="auto"/>
            <w:noWrap/>
          </w:tcPr>
          <w:p w14:paraId="0DB871C6" w14:textId="77777777" w:rsidR="00335CF7" w:rsidRPr="00286F08" w:rsidRDefault="00335CF7" w:rsidP="000F69BD">
            <w:pPr>
              <w:spacing w:after="0" w:line="240" w:lineRule="auto"/>
              <w:rPr>
                <w:rFonts w:asciiTheme="majorHAnsi" w:eastAsia="Times New Roman" w:hAnsiTheme="majorHAnsi" w:cstheme="majorHAnsi"/>
                <w:color w:val="000000"/>
                <w:sz w:val="18"/>
                <w:szCs w:val="18"/>
                <w:lang w:eastAsia="en-AU"/>
              </w:rPr>
            </w:pPr>
            <w:r w:rsidRPr="00286F08">
              <w:rPr>
                <w:rFonts w:asciiTheme="majorHAnsi" w:hAnsiTheme="majorHAnsi" w:cstheme="majorHAnsi"/>
                <w:sz w:val="18"/>
                <w:szCs w:val="18"/>
              </w:rPr>
              <w:t>CH8</w:t>
            </w:r>
          </w:p>
        </w:tc>
        <w:tc>
          <w:tcPr>
            <w:tcW w:w="847" w:type="dxa"/>
            <w:tcBorders>
              <w:top w:val="single" w:sz="4" w:space="0" w:color="auto"/>
              <w:left w:val="nil"/>
              <w:bottom w:val="nil"/>
              <w:right w:val="nil"/>
            </w:tcBorders>
            <w:shd w:val="clear" w:color="auto" w:fill="auto"/>
            <w:noWrap/>
          </w:tcPr>
          <w:p w14:paraId="77F17BFD" w14:textId="77777777" w:rsidR="00335CF7" w:rsidRPr="00286F08" w:rsidRDefault="00335CF7" w:rsidP="000F69BD">
            <w:pPr>
              <w:spacing w:after="0" w:line="240" w:lineRule="auto"/>
              <w:rPr>
                <w:rFonts w:asciiTheme="majorHAnsi" w:eastAsia="Times New Roman" w:hAnsiTheme="majorHAnsi" w:cstheme="majorHAnsi"/>
                <w:color w:val="000000"/>
                <w:sz w:val="18"/>
                <w:szCs w:val="18"/>
                <w:lang w:eastAsia="en-AU"/>
              </w:rPr>
            </w:pPr>
          </w:p>
        </w:tc>
        <w:tc>
          <w:tcPr>
            <w:tcW w:w="2635" w:type="dxa"/>
            <w:tcBorders>
              <w:top w:val="single" w:sz="4" w:space="0" w:color="auto"/>
              <w:left w:val="nil"/>
              <w:bottom w:val="nil"/>
              <w:right w:val="nil"/>
            </w:tcBorders>
            <w:shd w:val="clear" w:color="auto" w:fill="auto"/>
            <w:noWrap/>
          </w:tcPr>
          <w:p w14:paraId="062E888F" w14:textId="77777777" w:rsidR="00335CF7" w:rsidRPr="00286F08" w:rsidRDefault="00335CF7" w:rsidP="000F69BD">
            <w:pPr>
              <w:spacing w:after="0" w:line="240" w:lineRule="auto"/>
              <w:rPr>
                <w:rFonts w:asciiTheme="majorHAnsi" w:eastAsia="Times New Roman" w:hAnsiTheme="majorHAnsi" w:cstheme="majorHAnsi"/>
                <w:color w:val="000000"/>
                <w:sz w:val="18"/>
                <w:szCs w:val="18"/>
                <w:lang w:eastAsia="en-AU"/>
              </w:rPr>
            </w:pPr>
            <w:r w:rsidRPr="00286F08">
              <w:rPr>
                <w:rFonts w:asciiTheme="majorHAnsi" w:hAnsiTheme="majorHAnsi" w:cstheme="majorHAnsi"/>
                <w:sz w:val="18"/>
                <w:szCs w:val="18"/>
              </w:rPr>
              <w:t>Oranges</w:t>
            </w:r>
          </w:p>
        </w:tc>
        <w:tc>
          <w:tcPr>
            <w:tcW w:w="1189" w:type="dxa"/>
            <w:tcBorders>
              <w:top w:val="single" w:sz="4" w:space="0" w:color="auto"/>
              <w:left w:val="nil"/>
              <w:bottom w:val="nil"/>
              <w:right w:val="nil"/>
            </w:tcBorders>
            <w:shd w:val="clear" w:color="auto" w:fill="auto"/>
            <w:noWrap/>
          </w:tcPr>
          <w:p w14:paraId="42397BF0" w14:textId="77777777" w:rsidR="00335CF7" w:rsidRPr="00284549"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3,975,773</w:t>
            </w:r>
          </w:p>
        </w:tc>
        <w:tc>
          <w:tcPr>
            <w:tcW w:w="1033" w:type="dxa"/>
            <w:tcBorders>
              <w:top w:val="single" w:sz="4" w:space="0" w:color="auto"/>
              <w:left w:val="nil"/>
              <w:bottom w:val="nil"/>
              <w:right w:val="nil"/>
            </w:tcBorders>
            <w:shd w:val="clear" w:color="auto" w:fill="auto"/>
            <w:noWrap/>
          </w:tcPr>
          <w:p w14:paraId="3254838D" w14:textId="77777777" w:rsidR="00335CF7" w:rsidRPr="00286F08"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7.3%</w:t>
            </w:r>
          </w:p>
        </w:tc>
        <w:tc>
          <w:tcPr>
            <w:tcW w:w="809" w:type="dxa"/>
            <w:tcBorders>
              <w:top w:val="single" w:sz="4" w:space="0" w:color="auto"/>
              <w:left w:val="nil"/>
              <w:bottom w:val="nil"/>
              <w:right w:val="nil"/>
            </w:tcBorders>
            <w:shd w:val="clear" w:color="auto" w:fill="auto"/>
            <w:noWrap/>
          </w:tcPr>
          <w:p w14:paraId="6F477822" w14:textId="77777777" w:rsidR="00335CF7" w:rsidRPr="00286F08" w:rsidRDefault="00335CF7" w:rsidP="000F69BD">
            <w:pPr>
              <w:tabs>
                <w:tab w:val="center" w:pos="198"/>
              </w:tabs>
              <w:spacing w:after="0" w:line="240" w:lineRule="auto"/>
              <w:jc w:val="center"/>
              <w:rPr>
                <w:rFonts w:asciiTheme="majorHAnsi" w:eastAsia="Times New Roman" w:hAnsiTheme="majorHAnsi" w:cstheme="majorHAnsi"/>
                <w:color w:val="000000"/>
                <w:sz w:val="18"/>
                <w:szCs w:val="18"/>
                <w:lang w:eastAsia="en-AU"/>
              </w:rPr>
            </w:pPr>
            <w:r w:rsidRPr="00286F08">
              <w:rPr>
                <w:rFonts w:asciiTheme="majorHAnsi" w:eastAsia="Times New Roman" w:hAnsiTheme="majorHAnsi" w:cstheme="majorHAnsi"/>
                <w:color w:val="000000"/>
                <w:sz w:val="18"/>
                <w:szCs w:val="18"/>
                <w:lang w:eastAsia="en-AU"/>
              </w:rPr>
              <w:t>-</w:t>
            </w:r>
          </w:p>
        </w:tc>
        <w:tc>
          <w:tcPr>
            <w:tcW w:w="2026" w:type="dxa"/>
            <w:tcBorders>
              <w:top w:val="single" w:sz="4" w:space="0" w:color="auto"/>
              <w:left w:val="nil"/>
              <w:bottom w:val="nil"/>
              <w:right w:val="nil"/>
            </w:tcBorders>
            <w:shd w:val="clear" w:color="auto" w:fill="auto"/>
            <w:noWrap/>
          </w:tcPr>
          <w:p w14:paraId="23D8AE3C" w14:textId="77777777" w:rsidR="00335CF7" w:rsidRPr="00286F08" w:rsidRDefault="00335CF7" w:rsidP="000F69BD">
            <w:pPr>
              <w:tabs>
                <w:tab w:val="center" w:pos="198"/>
              </w:tabs>
              <w:spacing w:after="0" w:line="240" w:lineRule="auto"/>
              <w:jc w:val="center"/>
              <w:rPr>
                <w:rFonts w:asciiTheme="majorHAnsi" w:eastAsia="Times New Roman" w:hAnsiTheme="majorHAnsi" w:cstheme="majorHAnsi"/>
                <w:color w:val="000000"/>
                <w:sz w:val="18"/>
                <w:szCs w:val="18"/>
                <w:lang w:eastAsia="en-AU"/>
              </w:rPr>
            </w:pPr>
            <w:r w:rsidRPr="00286F08">
              <w:rPr>
                <w:rFonts w:asciiTheme="majorHAnsi" w:eastAsia="Times New Roman" w:hAnsiTheme="majorHAnsi" w:cstheme="majorHAnsi"/>
                <w:color w:val="000000"/>
                <w:sz w:val="18"/>
                <w:szCs w:val="18"/>
                <w:lang w:eastAsia="en-AU"/>
              </w:rPr>
              <w:t>-</w:t>
            </w:r>
          </w:p>
        </w:tc>
        <w:tc>
          <w:tcPr>
            <w:tcW w:w="1155" w:type="dxa"/>
            <w:tcBorders>
              <w:top w:val="single" w:sz="4" w:space="0" w:color="auto"/>
              <w:left w:val="nil"/>
              <w:bottom w:val="nil"/>
              <w:right w:val="nil"/>
            </w:tcBorders>
            <w:shd w:val="clear" w:color="auto" w:fill="auto"/>
            <w:noWrap/>
          </w:tcPr>
          <w:p w14:paraId="4AA0ED44" w14:textId="77777777" w:rsidR="00335CF7" w:rsidRPr="00284549"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1,590,309</w:t>
            </w:r>
          </w:p>
        </w:tc>
      </w:tr>
      <w:tr w:rsidR="00335CF7" w:rsidRPr="00286F08" w14:paraId="1ECC8351" w14:textId="77777777" w:rsidTr="000F69BD">
        <w:tc>
          <w:tcPr>
            <w:tcW w:w="709" w:type="dxa"/>
            <w:tcBorders>
              <w:top w:val="nil"/>
              <w:left w:val="nil"/>
              <w:bottom w:val="nil"/>
              <w:right w:val="nil"/>
            </w:tcBorders>
            <w:shd w:val="clear" w:color="auto" w:fill="auto"/>
            <w:noWrap/>
          </w:tcPr>
          <w:p w14:paraId="1A23E817" w14:textId="77777777" w:rsidR="00335CF7" w:rsidRPr="00286F08" w:rsidRDefault="00335CF7" w:rsidP="000F69BD">
            <w:pPr>
              <w:spacing w:after="0" w:line="240" w:lineRule="auto"/>
              <w:rPr>
                <w:rFonts w:asciiTheme="majorHAnsi" w:eastAsia="Times New Roman" w:hAnsiTheme="majorHAnsi" w:cstheme="majorHAnsi"/>
                <w:color w:val="000000"/>
                <w:sz w:val="18"/>
                <w:szCs w:val="18"/>
                <w:lang w:eastAsia="en-AU"/>
              </w:rPr>
            </w:pPr>
            <w:r w:rsidRPr="00286F08">
              <w:rPr>
                <w:rFonts w:asciiTheme="majorHAnsi" w:hAnsiTheme="majorHAnsi" w:cstheme="majorHAnsi"/>
                <w:sz w:val="18"/>
                <w:szCs w:val="18"/>
              </w:rPr>
              <w:t>CH8</w:t>
            </w:r>
          </w:p>
        </w:tc>
        <w:tc>
          <w:tcPr>
            <w:tcW w:w="847" w:type="dxa"/>
            <w:tcBorders>
              <w:top w:val="nil"/>
              <w:left w:val="nil"/>
              <w:bottom w:val="nil"/>
              <w:right w:val="nil"/>
            </w:tcBorders>
            <w:shd w:val="clear" w:color="auto" w:fill="auto"/>
            <w:noWrap/>
          </w:tcPr>
          <w:p w14:paraId="6E8B8030" w14:textId="77777777" w:rsidR="00335CF7" w:rsidRPr="00286F08" w:rsidRDefault="00335CF7" w:rsidP="000F69BD">
            <w:pPr>
              <w:spacing w:after="0" w:line="240" w:lineRule="auto"/>
              <w:rPr>
                <w:rFonts w:asciiTheme="majorHAnsi" w:eastAsia="Times New Roman" w:hAnsiTheme="majorHAnsi" w:cstheme="majorHAnsi"/>
                <w:color w:val="000000"/>
                <w:sz w:val="18"/>
                <w:szCs w:val="18"/>
                <w:lang w:eastAsia="en-AU"/>
              </w:rPr>
            </w:pPr>
          </w:p>
        </w:tc>
        <w:tc>
          <w:tcPr>
            <w:tcW w:w="2635" w:type="dxa"/>
            <w:tcBorders>
              <w:top w:val="nil"/>
              <w:left w:val="nil"/>
              <w:bottom w:val="nil"/>
              <w:right w:val="nil"/>
            </w:tcBorders>
            <w:shd w:val="clear" w:color="auto" w:fill="auto"/>
            <w:noWrap/>
          </w:tcPr>
          <w:p w14:paraId="78C1965D" w14:textId="77777777" w:rsidR="00335CF7" w:rsidRPr="00286F08" w:rsidRDefault="00335CF7" w:rsidP="000F69BD">
            <w:pPr>
              <w:spacing w:after="0" w:line="240" w:lineRule="auto"/>
              <w:rPr>
                <w:rFonts w:asciiTheme="majorHAnsi" w:eastAsia="Times New Roman" w:hAnsiTheme="majorHAnsi" w:cstheme="majorHAnsi"/>
                <w:color w:val="000000"/>
                <w:sz w:val="18"/>
                <w:szCs w:val="18"/>
                <w:lang w:eastAsia="en-AU"/>
              </w:rPr>
            </w:pPr>
            <w:r w:rsidRPr="00286F08">
              <w:rPr>
                <w:rFonts w:asciiTheme="majorHAnsi" w:hAnsiTheme="majorHAnsi" w:cstheme="majorHAnsi"/>
                <w:sz w:val="18"/>
                <w:szCs w:val="18"/>
              </w:rPr>
              <w:t>Grapes</w:t>
            </w:r>
          </w:p>
        </w:tc>
        <w:tc>
          <w:tcPr>
            <w:tcW w:w="1189" w:type="dxa"/>
            <w:tcBorders>
              <w:top w:val="nil"/>
              <w:left w:val="nil"/>
              <w:bottom w:val="nil"/>
              <w:right w:val="nil"/>
            </w:tcBorders>
            <w:shd w:val="clear" w:color="auto" w:fill="auto"/>
            <w:noWrap/>
          </w:tcPr>
          <w:p w14:paraId="35B26167" w14:textId="77777777" w:rsidR="00335CF7" w:rsidRPr="00284549"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715,512</w:t>
            </w:r>
          </w:p>
        </w:tc>
        <w:tc>
          <w:tcPr>
            <w:tcW w:w="1033" w:type="dxa"/>
            <w:tcBorders>
              <w:top w:val="nil"/>
              <w:left w:val="nil"/>
              <w:bottom w:val="nil"/>
              <w:right w:val="nil"/>
            </w:tcBorders>
            <w:shd w:val="clear" w:color="auto" w:fill="auto"/>
            <w:noWrap/>
          </w:tcPr>
          <w:p w14:paraId="174F6A63" w14:textId="77777777" w:rsidR="00335CF7" w:rsidRPr="00286F08"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0.5%</w:t>
            </w:r>
          </w:p>
        </w:tc>
        <w:tc>
          <w:tcPr>
            <w:tcW w:w="809" w:type="dxa"/>
            <w:tcBorders>
              <w:top w:val="nil"/>
              <w:left w:val="nil"/>
              <w:bottom w:val="nil"/>
              <w:right w:val="nil"/>
            </w:tcBorders>
            <w:shd w:val="clear" w:color="auto" w:fill="auto"/>
            <w:noWrap/>
          </w:tcPr>
          <w:p w14:paraId="5CB113C2" w14:textId="77777777" w:rsidR="00335CF7" w:rsidRPr="00286F08" w:rsidRDefault="00335CF7" w:rsidP="000F69BD">
            <w:pPr>
              <w:tabs>
                <w:tab w:val="center" w:pos="198"/>
              </w:tabs>
              <w:spacing w:after="0" w:line="240" w:lineRule="auto"/>
              <w:jc w:val="center"/>
              <w:rPr>
                <w:rFonts w:asciiTheme="majorHAnsi" w:eastAsia="Times New Roman" w:hAnsiTheme="majorHAnsi" w:cstheme="majorHAnsi"/>
                <w:color w:val="000000"/>
                <w:sz w:val="18"/>
                <w:szCs w:val="18"/>
                <w:lang w:eastAsia="en-AU"/>
              </w:rPr>
            </w:pPr>
            <w:r w:rsidRPr="00286F08">
              <w:rPr>
                <w:rFonts w:asciiTheme="majorHAnsi" w:eastAsia="Times New Roman" w:hAnsiTheme="majorHAnsi" w:cstheme="majorHAnsi"/>
                <w:color w:val="000000"/>
                <w:sz w:val="18"/>
                <w:szCs w:val="18"/>
                <w:lang w:eastAsia="en-AU"/>
              </w:rPr>
              <w:t>-</w:t>
            </w:r>
          </w:p>
        </w:tc>
        <w:tc>
          <w:tcPr>
            <w:tcW w:w="2026" w:type="dxa"/>
            <w:tcBorders>
              <w:top w:val="nil"/>
              <w:left w:val="nil"/>
              <w:bottom w:val="nil"/>
              <w:right w:val="nil"/>
            </w:tcBorders>
            <w:shd w:val="clear" w:color="auto" w:fill="auto"/>
            <w:noWrap/>
          </w:tcPr>
          <w:p w14:paraId="104FD15F" w14:textId="77777777" w:rsidR="00335CF7" w:rsidRPr="00286F08" w:rsidRDefault="00335CF7" w:rsidP="000F69BD">
            <w:pPr>
              <w:tabs>
                <w:tab w:val="center" w:pos="198"/>
              </w:tabs>
              <w:spacing w:after="0" w:line="240" w:lineRule="auto"/>
              <w:jc w:val="center"/>
              <w:rPr>
                <w:rFonts w:asciiTheme="majorHAnsi" w:eastAsia="Times New Roman" w:hAnsiTheme="majorHAnsi" w:cstheme="majorHAnsi"/>
                <w:color w:val="000000"/>
                <w:sz w:val="18"/>
                <w:szCs w:val="18"/>
                <w:lang w:eastAsia="en-AU"/>
              </w:rPr>
            </w:pPr>
            <w:r w:rsidRPr="00286F08">
              <w:rPr>
                <w:rFonts w:asciiTheme="majorHAnsi" w:eastAsia="Times New Roman" w:hAnsiTheme="majorHAnsi" w:cstheme="majorHAnsi"/>
                <w:color w:val="000000"/>
                <w:sz w:val="18"/>
                <w:szCs w:val="18"/>
                <w:lang w:eastAsia="en-AU"/>
              </w:rPr>
              <w:t>-</w:t>
            </w:r>
          </w:p>
        </w:tc>
        <w:tc>
          <w:tcPr>
            <w:tcW w:w="1155" w:type="dxa"/>
            <w:tcBorders>
              <w:top w:val="nil"/>
              <w:left w:val="nil"/>
              <w:bottom w:val="nil"/>
              <w:right w:val="nil"/>
            </w:tcBorders>
            <w:shd w:val="clear" w:color="auto" w:fill="auto"/>
            <w:noWrap/>
          </w:tcPr>
          <w:p w14:paraId="611FDF75" w14:textId="77777777" w:rsidR="00335CF7" w:rsidRPr="00284549"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286,205</w:t>
            </w:r>
          </w:p>
        </w:tc>
      </w:tr>
      <w:tr w:rsidR="00335CF7" w:rsidRPr="00286F08" w14:paraId="1A3CB675" w14:textId="77777777" w:rsidTr="000F69BD">
        <w:tc>
          <w:tcPr>
            <w:tcW w:w="709" w:type="dxa"/>
            <w:tcBorders>
              <w:top w:val="nil"/>
              <w:left w:val="nil"/>
              <w:bottom w:val="nil"/>
              <w:right w:val="nil"/>
            </w:tcBorders>
            <w:shd w:val="clear" w:color="auto" w:fill="auto"/>
            <w:noWrap/>
          </w:tcPr>
          <w:p w14:paraId="26D67EE9" w14:textId="77777777" w:rsidR="00335CF7" w:rsidRPr="00286F08" w:rsidRDefault="00335CF7" w:rsidP="000F69BD">
            <w:pPr>
              <w:spacing w:after="0" w:line="240" w:lineRule="auto"/>
              <w:rPr>
                <w:rFonts w:asciiTheme="majorHAnsi" w:eastAsia="Times New Roman" w:hAnsiTheme="majorHAnsi" w:cstheme="majorHAnsi"/>
                <w:color w:val="000000"/>
                <w:sz w:val="18"/>
                <w:szCs w:val="18"/>
                <w:lang w:eastAsia="en-AU"/>
              </w:rPr>
            </w:pPr>
            <w:r w:rsidRPr="00286F08">
              <w:rPr>
                <w:rFonts w:asciiTheme="majorHAnsi" w:hAnsiTheme="majorHAnsi" w:cstheme="majorHAnsi"/>
                <w:sz w:val="18"/>
                <w:szCs w:val="18"/>
              </w:rPr>
              <w:t>CH8</w:t>
            </w:r>
          </w:p>
        </w:tc>
        <w:tc>
          <w:tcPr>
            <w:tcW w:w="847" w:type="dxa"/>
            <w:tcBorders>
              <w:top w:val="nil"/>
              <w:left w:val="nil"/>
              <w:bottom w:val="nil"/>
              <w:right w:val="nil"/>
            </w:tcBorders>
            <w:shd w:val="clear" w:color="auto" w:fill="auto"/>
            <w:noWrap/>
          </w:tcPr>
          <w:p w14:paraId="0DCF8B3C" w14:textId="77777777" w:rsidR="00335CF7" w:rsidRPr="00286F08" w:rsidRDefault="00335CF7" w:rsidP="000F69BD">
            <w:pPr>
              <w:spacing w:after="0" w:line="240" w:lineRule="auto"/>
              <w:rPr>
                <w:rFonts w:asciiTheme="majorHAnsi" w:eastAsia="Times New Roman" w:hAnsiTheme="majorHAnsi" w:cstheme="majorHAnsi"/>
                <w:color w:val="000000"/>
                <w:sz w:val="18"/>
                <w:szCs w:val="18"/>
                <w:lang w:eastAsia="en-AU"/>
              </w:rPr>
            </w:pPr>
          </w:p>
        </w:tc>
        <w:tc>
          <w:tcPr>
            <w:tcW w:w="2635" w:type="dxa"/>
            <w:tcBorders>
              <w:top w:val="nil"/>
              <w:left w:val="nil"/>
              <w:bottom w:val="nil"/>
              <w:right w:val="nil"/>
            </w:tcBorders>
            <w:shd w:val="clear" w:color="auto" w:fill="auto"/>
            <w:noWrap/>
          </w:tcPr>
          <w:p w14:paraId="6E1D476C" w14:textId="77777777" w:rsidR="00335CF7" w:rsidRPr="00286F08" w:rsidRDefault="00335CF7" w:rsidP="000F69BD">
            <w:pPr>
              <w:spacing w:after="0" w:line="240" w:lineRule="auto"/>
              <w:rPr>
                <w:rFonts w:asciiTheme="majorHAnsi" w:eastAsia="Times New Roman" w:hAnsiTheme="majorHAnsi" w:cstheme="majorHAnsi"/>
                <w:color w:val="000000"/>
                <w:sz w:val="18"/>
                <w:szCs w:val="18"/>
                <w:lang w:eastAsia="en-AU"/>
              </w:rPr>
            </w:pPr>
            <w:r w:rsidRPr="00286F08">
              <w:rPr>
                <w:rFonts w:asciiTheme="majorHAnsi" w:hAnsiTheme="majorHAnsi" w:cstheme="majorHAnsi"/>
                <w:sz w:val="18"/>
                <w:szCs w:val="18"/>
              </w:rPr>
              <w:t>Apples</w:t>
            </w:r>
          </w:p>
        </w:tc>
        <w:tc>
          <w:tcPr>
            <w:tcW w:w="1189" w:type="dxa"/>
            <w:tcBorders>
              <w:top w:val="nil"/>
              <w:left w:val="nil"/>
              <w:bottom w:val="nil"/>
              <w:right w:val="nil"/>
            </w:tcBorders>
            <w:shd w:val="clear" w:color="auto" w:fill="auto"/>
            <w:noWrap/>
          </w:tcPr>
          <w:p w14:paraId="7449F723" w14:textId="77777777" w:rsidR="00335CF7" w:rsidRPr="00284549"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102,145</w:t>
            </w:r>
          </w:p>
        </w:tc>
        <w:tc>
          <w:tcPr>
            <w:tcW w:w="1033" w:type="dxa"/>
            <w:tcBorders>
              <w:top w:val="nil"/>
              <w:left w:val="nil"/>
              <w:bottom w:val="nil"/>
              <w:right w:val="nil"/>
            </w:tcBorders>
            <w:shd w:val="clear" w:color="auto" w:fill="auto"/>
            <w:noWrap/>
          </w:tcPr>
          <w:p w14:paraId="549AF220" w14:textId="77777777" w:rsidR="00335CF7" w:rsidRPr="00286F08"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0.0%</w:t>
            </w:r>
          </w:p>
        </w:tc>
        <w:tc>
          <w:tcPr>
            <w:tcW w:w="809" w:type="dxa"/>
            <w:tcBorders>
              <w:top w:val="nil"/>
              <w:left w:val="nil"/>
              <w:bottom w:val="nil"/>
              <w:right w:val="nil"/>
            </w:tcBorders>
            <w:shd w:val="clear" w:color="auto" w:fill="auto"/>
            <w:noWrap/>
          </w:tcPr>
          <w:p w14:paraId="57478B91" w14:textId="77777777" w:rsidR="00335CF7" w:rsidRPr="00286F08" w:rsidRDefault="00335CF7" w:rsidP="000F69BD">
            <w:pPr>
              <w:tabs>
                <w:tab w:val="center" w:pos="198"/>
              </w:tabs>
              <w:spacing w:after="0" w:line="240" w:lineRule="auto"/>
              <w:jc w:val="center"/>
              <w:rPr>
                <w:rFonts w:asciiTheme="majorHAnsi" w:eastAsia="Times New Roman" w:hAnsiTheme="majorHAnsi" w:cstheme="majorHAnsi"/>
                <w:color w:val="000000"/>
                <w:sz w:val="18"/>
                <w:szCs w:val="18"/>
                <w:lang w:eastAsia="en-AU"/>
              </w:rPr>
            </w:pPr>
            <w:r w:rsidRPr="00286F08">
              <w:rPr>
                <w:rFonts w:asciiTheme="majorHAnsi" w:eastAsia="Times New Roman" w:hAnsiTheme="majorHAnsi" w:cstheme="majorHAnsi"/>
                <w:color w:val="000000"/>
                <w:sz w:val="18"/>
                <w:szCs w:val="18"/>
                <w:lang w:eastAsia="en-AU"/>
              </w:rPr>
              <w:t>-</w:t>
            </w:r>
          </w:p>
        </w:tc>
        <w:tc>
          <w:tcPr>
            <w:tcW w:w="2026" w:type="dxa"/>
            <w:tcBorders>
              <w:top w:val="nil"/>
              <w:left w:val="nil"/>
              <w:bottom w:val="nil"/>
              <w:right w:val="nil"/>
            </w:tcBorders>
            <w:shd w:val="clear" w:color="auto" w:fill="auto"/>
            <w:noWrap/>
          </w:tcPr>
          <w:p w14:paraId="6EC220A0" w14:textId="77777777" w:rsidR="00335CF7" w:rsidRPr="00286F08" w:rsidRDefault="00335CF7" w:rsidP="000F69BD">
            <w:pPr>
              <w:tabs>
                <w:tab w:val="center" w:pos="198"/>
              </w:tabs>
              <w:spacing w:after="0" w:line="240" w:lineRule="auto"/>
              <w:jc w:val="center"/>
              <w:rPr>
                <w:rFonts w:asciiTheme="majorHAnsi" w:eastAsia="Times New Roman" w:hAnsiTheme="majorHAnsi" w:cstheme="majorHAnsi"/>
                <w:color w:val="000000"/>
                <w:sz w:val="18"/>
                <w:szCs w:val="18"/>
                <w:lang w:eastAsia="en-AU"/>
              </w:rPr>
            </w:pPr>
            <w:r w:rsidRPr="00286F08">
              <w:rPr>
                <w:rFonts w:asciiTheme="majorHAnsi" w:eastAsia="Times New Roman" w:hAnsiTheme="majorHAnsi" w:cstheme="majorHAnsi"/>
                <w:color w:val="000000"/>
                <w:sz w:val="18"/>
                <w:szCs w:val="18"/>
                <w:lang w:eastAsia="en-AU"/>
              </w:rPr>
              <w:t>-</w:t>
            </w:r>
          </w:p>
        </w:tc>
        <w:tc>
          <w:tcPr>
            <w:tcW w:w="1155" w:type="dxa"/>
            <w:tcBorders>
              <w:top w:val="nil"/>
              <w:left w:val="nil"/>
              <w:bottom w:val="nil"/>
              <w:right w:val="nil"/>
            </w:tcBorders>
            <w:shd w:val="clear" w:color="auto" w:fill="auto"/>
            <w:noWrap/>
          </w:tcPr>
          <w:p w14:paraId="286A89FF" w14:textId="77777777" w:rsidR="00335CF7" w:rsidRPr="00284549"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51,073</w:t>
            </w:r>
          </w:p>
        </w:tc>
      </w:tr>
      <w:tr w:rsidR="00335CF7" w:rsidRPr="00286F08" w14:paraId="10DC546E" w14:textId="77777777" w:rsidTr="000F69BD">
        <w:tc>
          <w:tcPr>
            <w:tcW w:w="709" w:type="dxa"/>
            <w:tcBorders>
              <w:top w:val="nil"/>
              <w:left w:val="nil"/>
              <w:bottom w:val="nil"/>
              <w:right w:val="nil"/>
            </w:tcBorders>
            <w:shd w:val="clear" w:color="auto" w:fill="auto"/>
            <w:noWrap/>
          </w:tcPr>
          <w:p w14:paraId="26307089" w14:textId="77777777" w:rsidR="00335CF7" w:rsidRPr="00286F08" w:rsidRDefault="00335CF7" w:rsidP="000F69BD">
            <w:pPr>
              <w:spacing w:after="0" w:line="240" w:lineRule="auto"/>
              <w:rPr>
                <w:rFonts w:asciiTheme="majorHAnsi" w:eastAsia="Times New Roman" w:hAnsiTheme="majorHAnsi" w:cstheme="majorHAnsi"/>
                <w:color w:val="000000"/>
                <w:sz w:val="18"/>
                <w:szCs w:val="18"/>
                <w:lang w:eastAsia="en-AU"/>
              </w:rPr>
            </w:pPr>
            <w:r w:rsidRPr="00286F08">
              <w:rPr>
                <w:rFonts w:asciiTheme="majorHAnsi" w:hAnsiTheme="majorHAnsi" w:cstheme="majorHAnsi"/>
                <w:sz w:val="18"/>
                <w:szCs w:val="18"/>
              </w:rPr>
              <w:t>CH8</w:t>
            </w:r>
          </w:p>
        </w:tc>
        <w:tc>
          <w:tcPr>
            <w:tcW w:w="847" w:type="dxa"/>
            <w:tcBorders>
              <w:top w:val="nil"/>
              <w:left w:val="nil"/>
              <w:bottom w:val="nil"/>
              <w:right w:val="nil"/>
            </w:tcBorders>
            <w:shd w:val="clear" w:color="auto" w:fill="auto"/>
            <w:noWrap/>
          </w:tcPr>
          <w:p w14:paraId="2B59FCEE" w14:textId="77777777" w:rsidR="00335CF7" w:rsidRPr="00286F08" w:rsidRDefault="00335CF7" w:rsidP="000F69BD">
            <w:pPr>
              <w:spacing w:after="0" w:line="240" w:lineRule="auto"/>
              <w:rPr>
                <w:rFonts w:asciiTheme="majorHAnsi" w:eastAsia="Times New Roman" w:hAnsiTheme="majorHAnsi" w:cstheme="majorHAnsi"/>
                <w:color w:val="000000"/>
                <w:sz w:val="18"/>
                <w:szCs w:val="18"/>
                <w:lang w:eastAsia="en-AU"/>
              </w:rPr>
            </w:pPr>
          </w:p>
        </w:tc>
        <w:tc>
          <w:tcPr>
            <w:tcW w:w="2635" w:type="dxa"/>
            <w:tcBorders>
              <w:top w:val="nil"/>
              <w:left w:val="nil"/>
              <w:bottom w:val="nil"/>
              <w:right w:val="nil"/>
            </w:tcBorders>
            <w:shd w:val="clear" w:color="auto" w:fill="auto"/>
            <w:noWrap/>
          </w:tcPr>
          <w:p w14:paraId="3649030A" w14:textId="77777777" w:rsidR="00335CF7" w:rsidRPr="00286F08" w:rsidRDefault="00335CF7" w:rsidP="000F69BD">
            <w:pPr>
              <w:spacing w:after="0" w:line="240" w:lineRule="auto"/>
              <w:rPr>
                <w:rFonts w:asciiTheme="majorHAnsi" w:eastAsia="Times New Roman" w:hAnsiTheme="majorHAnsi" w:cstheme="majorHAnsi"/>
                <w:color w:val="000000"/>
                <w:sz w:val="18"/>
                <w:szCs w:val="18"/>
                <w:lang w:eastAsia="en-AU"/>
              </w:rPr>
            </w:pPr>
            <w:r w:rsidRPr="00286F08">
              <w:rPr>
                <w:rFonts w:asciiTheme="majorHAnsi" w:hAnsiTheme="majorHAnsi" w:cstheme="majorHAnsi"/>
                <w:sz w:val="18"/>
                <w:szCs w:val="18"/>
              </w:rPr>
              <w:t>Pears</w:t>
            </w:r>
          </w:p>
        </w:tc>
        <w:tc>
          <w:tcPr>
            <w:tcW w:w="1189" w:type="dxa"/>
            <w:tcBorders>
              <w:top w:val="nil"/>
              <w:left w:val="nil"/>
              <w:bottom w:val="nil"/>
              <w:right w:val="nil"/>
            </w:tcBorders>
            <w:shd w:val="clear" w:color="auto" w:fill="auto"/>
            <w:noWrap/>
          </w:tcPr>
          <w:p w14:paraId="2A066289" w14:textId="77777777" w:rsidR="00335CF7" w:rsidRPr="00284549"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464,418</w:t>
            </w:r>
          </w:p>
        </w:tc>
        <w:tc>
          <w:tcPr>
            <w:tcW w:w="1033" w:type="dxa"/>
            <w:tcBorders>
              <w:top w:val="nil"/>
              <w:left w:val="nil"/>
              <w:bottom w:val="nil"/>
              <w:right w:val="nil"/>
            </w:tcBorders>
            <w:shd w:val="clear" w:color="auto" w:fill="auto"/>
            <w:noWrap/>
          </w:tcPr>
          <w:p w14:paraId="51FEFBAF" w14:textId="77777777" w:rsidR="00335CF7" w:rsidRPr="00286F08"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1.5%</w:t>
            </w:r>
          </w:p>
        </w:tc>
        <w:tc>
          <w:tcPr>
            <w:tcW w:w="809" w:type="dxa"/>
            <w:tcBorders>
              <w:top w:val="nil"/>
              <w:left w:val="nil"/>
              <w:bottom w:val="nil"/>
              <w:right w:val="nil"/>
            </w:tcBorders>
            <w:shd w:val="clear" w:color="auto" w:fill="auto"/>
            <w:noWrap/>
          </w:tcPr>
          <w:p w14:paraId="3E0A4137" w14:textId="77777777" w:rsidR="00335CF7" w:rsidRPr="00286F08" w:rsidRDefault="00335CF7" w:rsidP="000F69BD">
            <w:pPr>
              <w:tabs>
                <w:tab w:val="center" w:pos="198"/>
              </w:tabs>
              <w:spacing w:after="0" w:line="240" w:lineRule="auto"/>
              <w:jc w:val="center"/>
              <w:rPr>
                <w:rFonts w:asciiTheme="majorHAnsi" w:eastAsia="Times New Roman" w:hAnsiTheme="majorHAnsi" w:cstheme="majorHAnsi"/>
                <w:color w:val="000000"/>
                <w:sz w:val="18"/>
                <w:szCs w:val="18"/>
                <w:lang w:eastAsia="en-AU"/>
              </w:rPr>
            </w:pPr>
            <w:r w:rsidRPr="00286F08">
              <w:rPr>
                <w:rFonts w:asciiTheme="majorHAnsi" w:eastAsia="Times New Roman" w:hAnsiTheme="majorHAnsi" w:cstheme="majorHAnsi"/>
                <w:color w:val="000000"/>
                <w:sz w:val="18"/>
                <w:szCs w:val="18"/>
                <w:lang w:eastAsia="en-AU"/>
              </w:rPr>
              <w:t>-</w:t>
            </w:r>
          </w:p>
        </w:tc>
        <w:tc>
          <w:tcPr>
            <w:tcW w:w="2026" w:type="dxa"/>
            <w:tcBorders>
              <w:top w:val="nil"/>
              <w:left w:val="nil"/>
              <w:bottom w:val="nil"/>
              <w:right w:val="nil"/>
            </w:tcBorders>
            <w:shd w:val="clear" w:color="auto" w:fill="auto"/>
            <w:noWrap/>
          </w:tcPr>
          <w:p w14:paraId="2A74B040" w14:textId="77777777" w:rsidR="00335CF7" w:rsidRPr="00286F08" w:rsidRDefault="00335CF7" w:rsidP="000F69BD">
            <w:pPr>
              <w:tabs>
                <w:tab w:val="center" w:pos="198"/>
              </w:tabs>
              <w:spacing w:after="0" w:line="240" w:lineRule="auto"/>
              <w:jc w:val="center"/>
              <w:rPr>
                <w:rFonts w:asciiTheme="majorHAnsi" w:eastAsia="Times New Roman" w:hAnsiTheme="majorHAnsi" w:cstheme="majorHAnsi"/>
                <w:color w:val="000000"/>
                <w:sz w:val="18"/>
                <w:szCs w:val="18"/>
                <w:lang w:eastAsia="en-AU"/>
              </w:rPr>
            </w:pPr>
            <w:r w:rsidRPr="00286F08">
              <w:rPr>
                <w:rFonts w:asciiTheme="majorHAnsi" w:eastAsia="Times New Roman" w:hAnsiTheme="majorHAnsi" w:cstheme="majorHAnsi"/>
                <w:color w:val="000000"/>
                <w:sz w:val="18"/>
                <w:szCs w:val="18"/>
                <w:lang w:eastAsia="en-AU"/>
              </w:rPr>
              <w:t>-</w:t>
            </w:r>
          </w:p>
        </w:tc>
        <w:tc>
          <w:tcPr>
            <w:tcW w:w="1155" w:type="dxa"/>
            <w:tcBorders>
              <w:top w:val="nil"/>
              <w:left w:val="nil"/>
              <w:bottom w:val="nil"/>
              <w:right w:val="nil"/>
            </w:tcBorders>
            <w:shd w:val="clear" w:color="auto" w:fill="auto"/>
            <w:noWrap/>
          </w:tcPr>
          <w:p w14:paraId="599A55D9" w14:textId="77777777" w:rsidR="00335CF7" w:rsidRPr="00284549"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162,546</w:t>
            </w:r>
          </w:p>
        </w:tc>
      </w:tr>
      <w:tr w:rsidR="00335CF7" w:rsidRPr="00286F08" w14:paraId="3BD94BA9" w14:textId="77777777" w:rsidTr="000F69BD">
        <w:tc>
          <w:tcPr>
            <w:tcW w:w="709" w:type="dxa"/>
            <w:tcBorders>
              <w:top w:val="nil"/>
              <w:left w:val="nil"/>
              <w:bottom w:val="nil"/>
              <w:right w:val="nil"/>
            </w:tcBorders>
            <w:shd w:val="clear" w:color="auto" w:fill="auto"/>
            <w:noWrap/>
          </w:tcPr>
          <w:p w14:paraId="6F9FB755" w14:textId="77777777" w:rsidR="00335CF7" w:rsidRPr="00286F08" w:rsidRDefault="00335CF7" w:rsidP="000F69BD">
            <w:pPr>
              <w:spacing w:after="0" w:line="240" w:lineRule="auto"/>
              <w:rPr>
                <w:rFonts w:asciiTheme="majorHAnsi" w:eastAsia="Times New Roman" w:hAnsiTheme="majorHAnsi" w:cstheme="majorHAnsi"/>
                <w:color w:val="000000"/>
                <w:sz w:val="18"/>
                <w:szCs w:val="18"/>
                <w:lang w:eastAsia="en-AU"/>
              </w:rPr>
            </w:pPr>
            <w:r w:rsidRPr="00286F08">
              <w:rPr>
                <w:rFonts w:asciiTheme="majorHAnsi" w:hAnsiTheme="majorHAnsi" w:cstheme="majorHAnsi"/>
                <w:sz w:val="18"/>
                <w:szCs w:val="18"/>
              </w:rPr>
              <w:t>CH8</w:t>
            </w:r>
          </w:p>
        </w:tc>
        <w:tc>
          <w:tcPr>
            <w:tcW w:w="847" w:type="dxa"/>
            <w:tcBorders>
              <w:top w:val="nil"/>
              <w:left w:val="nil"/>
              <w:bottom w:val="nil"/>
              <w:right w:val="nil"/>
            </w:tcBorders>
            <w:shd w:val="clear" w:color="auto" w:fill="auto"/>
            <w:noWrap/>
          </w:tcPr>
          <w:p w14:paraId="5D491AA2" w14:textId="77777777" w:rsidR="00335CF7" w:rsidRPr="00286F08" w:rsidRDefault="00335CF7" w:rsidP="000F69BD">
            <w:pPr>
              <w:spacing w:after="0" w:line="240" w:lineRule="auto"/>
              <w:rPr>
                <w:rFonts w:asciiTheme="majorHAnsi" w:eastAsia="Times New Roman" w:hAnsiTheme="majorHAnsi" w:cstheme="majorHAnsi"/>
                <w:color w:val="000000"/>
                <w:sz w:val="18"/>
                <w:szCs w:val="18"/>
                <w:lang w:eastAsia="en-AU"/>
              </w:rPr>
            </w:pPr>
          </w:p>
        </w:tc>
        <w:tc>
          <w:tcPr>
            <w:tcW w:w="2635" w:type="dxa"/>
            <w:tcBorders>
              <w:top w:val="nil"/>
              <w:left w:val="nil"/>
              <w:bottom w:val="nil"/>
              <w:right w:val="nil"/>
            </w:tcBorders>
            <w:shd w:val="clear" w:color="auto" w:fill="auto"/>
            <w:noWrap/>
          </w:tcPr>
          <w:p w14:paraId="588FA246" w14:textId="77777777" w:rsidR="00335CF7" w:rsidRPr="00286F08" w:rsidRDefault="00335CF7" w:rsidP="000F69BD">
            <w:pPr>
              <w:spacing w:after="0" w:line="240" w:lineRule="auto"/>
              <w:rPr>
                <w:rFonts w:asciiTheme="majorHAnsi" w:eastAsia="Times New Roman" w:hAnsiTheme="majorHAnsi" w:cstheme="majorHAnsi"/>
                <w:color w:val="000000"/>
                <w:sz w:val="18"/>
                <w:szCs w:val="18"/>
                <w:lang w:eastAsia="en-AU"/>
              </w:rPr>
            </w:pPr>
            <w:r w:rsidRPr="00286F08">
              <w:rPr>
                <w:rFonts w:asciiTheme="majorHAnsi" w:hAnsiTheme="majorHAnsi" w:cstheme="majorHAnsi"/>
                <w:sz w:val="18"/>
                <w:szCs w:val="18"/>
              </w:rPr>
              <w:t>Cherries</w:t>
            </w:r>
          </w:p>
        </w:tc>
        <w:tc>
          <w:tcPr>
            <w:tcW w:w="1189" w:type="dxa"/>
            <w:tcBorders>
              <w:top w:val="nil"/>
              <w:left w:val="nil"/>
              <w:bottom w:val="nil"/>
              <w:right w:val="nil"/>
            </w:tcBorders>
            <w:shd w:val="clear" w:color="auto" w:fill="auto"/>
            <w:noWrap/>
          </w:tcPr>
          <w:p w14:paraId="19514713" w14:textId="77777777" w:rsidR="00335CF7" w:rsidRPr="00284549"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254,029</w:t>
            </w:r>
          </w:p>
        </w:tc>
        <w:tc>
          <w:tcPr>
            <w:tcW w:w="1033" w:type="dxa"/>
            <w:tcBorders>
              <w:top w:val="nil"/>
              <w:left w:val="nil"/>
              <w:bottom w:val="nil"/>
              <w:right w:val="nil"/>
            </w:tcBorders>
            <w:shd w:val="clear" w:color="auto" w:fill="auto"/>
            <w:noWrap/>
          </w:tcPr>
          <w:p w14:paraId="5E20701A" w14:textId="77777777" w:rsidR="00335CF7" w:rsidRPr="00286F08"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9.2%</w:t>
            </w:r>
          </w:p>
        </w:tc>
        <w:tc>
          <w:tcPr>
            <w:tcW w:w="809" w:type="dxa"/>
            <w:tcBorders>
              <w:top w:val="nil"/>
              <w:left w:val="nil"/>
              <w:bottom w:val="nil"/>
              <w:right w:val="nil"/>
            </w:tcBorders>
            <w:shd w:val="clear" w:color="auto" w:fill="auto"/>
            <w:noWrap/>
          </w:tcPr>
          <w:p w14:paraId="1D798B3C" w14:textId="77777777" w:rsidR="00335CF7" w:rsidRPr="00286F08" w:rsidRDefault="00335CF7" w:rsidP="000F69BD">
            <w:pPr>
              <w:tabs>
                <w:tab w:val="center" w:pos="198"/>
              </w:tabs>
              <w:spacing w:after="0" w:line="240" w:lineRule="auto"/>
              <w:jc w:val="center"/>
              <w:rPr>
                <w:rFonts w:asciiTheme="majorHAnsi" w:eastAsia="Times New Roman" w:hAnsiTheme="majorHAnsi" w:cstheme="majorHAnsi"/>
                <w:color w:val="000000"/>
                <w:sz w:val="18"/>
                <w:szCs w:val="18"/>
                <w:lang w:eastAsia="en-AU"/>
              </w:rPr>
            </w:pPr>
            <w:r w:rsidRPr="00286F08">
              <w:rPr>
                <w:rFonts w:asciiTheme="majorHAnsi" w:eastAsia="Times New Roman" w:hAnsiTheme="majorHAnsi" w:cstheme="majorHAnsi"/>
                <w:color w:val="000000"/>
                <w:sz w:val="18"/>
                <w:szCs w:val="18"/>
                <w:lang w:eastAsia="en-AU"/>
              </w:rPr>
              <w:t>-</w:t>
            </w:r>
          </w:p>
        </w:tc>
        <w:tc>
          <w:tcPr>
            <w:tcW w:w="2026" w:type="dxa"/>
            <w:tcBorders>
              <w:top w:val="nil"/>
              <w:left w:val="nil"/>
              <w:bottom w:val="nil"/>
              <w:right w:val="nil"/>
            </w:tcBorders>
            <w:shd w:val="clear" w:color="auto" w:fill="auto"/>
            <w:noWrap/>
          </w:tcPr>
          <w:p w14:paraId="5ADF44F4" w14:textId="77777777" w:rsidR="00335CF7" w:rsidRPr="00286F08" w:rsidRDefault="00335CF7" w:rsidP="000F69BD">
            <w:pPr>
              <w:tabs>
                <w:tab w:val="center" w:pos="198"/>
              </w:tabs>
              <w:spacing w:after="0" w:line="240" w:lineRule="auto"/>
              <w:jc w:val="center"/>
              <w:rPr>
                <w:rFonts w:asciiTheme="majorHAnsi" w:eastAsia="Times New Roman" w:hAnsiTheme="majorHAnsi" w:cstheme="majorHAnsi"/>
                <w:color w:val="000000"/>
                <w:sz w:val="18"/>
                <w:szCs w:val="18"/>
                <w:lang w:eastAsia="en-AU"/>
              </w:rPr>
            </w:pPr>
            <w:r w:rsidRPr="00286F08">
              <w:rPr>
                <w:rFonts w:asciiTheme="majorHAnsi" w:eastAsia="Times New Roman" w:hAnsiTheme="majorHAnsi" w:cstheme="majorHAnsi"/>
                <w:color w:val="000000"/>
                <w:sz w:val="18"/>
                <w:szCs w:val="18"/>
                <w:lang w:eastAsia="en-AU"/>
              </w:rPr>
              <w:t>-</w:t>
            </w:r>
          </w:p>
        </w:tc>
        <w:tc>
          <w:tcPr>
            <w:tcW w:w="1155" w:type="dxa"/>
            <w:tcBorders>
              <w:top w:val="nil"/>
              <w:left w:val="nil"/>
              <w:bottom w:val="nil"/>
              <w:right w:val="nil"/>
            </w:tcBorders>
            <w:shd w:val="clear" w:color="auto" w:fill="auto"/>
            <w:noWrap/>
          </w:tcPr>
          <w:p w14:paraId="42651B68" w14:textId="77777777" w:rsidR="00335CF7" w:rsidRPr="00284549"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76,209</w:t>
            </w:r>
          </w:p>
        </w:tc>
      </w:tr>
      <w:tr w:rsidR="00335CF7" w:rsidRPr="00286F08" w14:paraId="5885DB24" w14:textId="77777777" w:rsidTr="000F69BD">
        <w:tc>
          <w:tcPr>
            <w:tcW w:w="709" w:type="dxa"/>
            <w:tcBorders>
              <w:top w:val="nil"/>
              <w:left w:val="nil"/>
              <w:bottom w:val="nil"/>
              <w:right w:val="nil"/>
            </w:tcBorders>
            <w:shd w:val="clear" w:color="auto" w:fill="auto"/>
            <w:noWrap/>
          </w:tcPr>
          <w:p w14:paraId="1A3854EF" w14:textId="77777777" w:rsidR="00335CF7" w:rsidRPr="00286F08" w:rsidRDefault="00335CF7" w:rsidP="000F69BD">
            <w:pPr>
              <w:spacing w:after="0" w:line="240" w:lineRule="auto"/>
              <w:rPr>
                <w:rFonts w:asciiTheme="majorHAnsi" w:eastAsia="Times New Roman" w:hAnsiTheme="majorHAnsi" w:cstheme="majorHAnsi"/>
                <w:color w:val="000000"/>
                <w:sz w:val="18"/>
                <w:szCs w:val="18"/>
                <w:lang w:eastAsia="en-AU"/>
              </w:rPr>
            </w:pPr>
            <w:r w:rsidRPr="00286F08">
              <w:rPr>
                <w:rFonts w:asciiTheme="majorHAnsi" w:hAnsiTheme="majorHAnsi" w:cstheme="majorHAnsi"/>
                <w:sz w:val="18"/>
                <w:szCs w:val="18"/>
              </w:rPr>
              <w:t>CH8</w:t>
            </w:r>
          </w:p>
        </w:tc>
        <w:tc>
          <w:tcPr>
            <w:tcW w:w="847" w:type="dxa"/>
            <w:tcBorders>
              <w:top w:val="nil"/>
              <w:left w:val="nil"/>
              <w:bottom w:val="nil"/>
              <w:right w:val="nil"/>
            </w:tcBorders>
            <w:shd w:val="clear" w:color="auto" w:fill="auto"/>
            <w:noWrap/>
          </w:tcPr>
          <w:p w14:paraId="7E1F13B0" w14:textId="77777777" w:rsidR="00335CF7" w:rsidRPr="00286F08" w:rsidRDefault="00335CF7" w:rsidP="000F69BD">
            <w:pPr>
              <w:spacing w:after="0" w:line="240" w:lineRule="auto"/>
              <w:rPr>
                <w:rFonts w:asciiTheme="majorHAnsi" w:eastAsia="Times New Roman" w:hAnsiTheme="majorHAnsi" w:cstheme="majorHAnsi"/>
                <w:color w:val="000000"/>
                <w:sz w:val="18"/>
                <w:szCs w:val="18"/>
                <w:lang w:eastAsia="en-AU"/>
              </w:rPr>
            </w:pPr>
          </w:p>
        </w:tc>
        <w:tc>
          <w:tcPr>
            <w:tcW w:w="2635" w:type="dxa"/>
            <w:tcBorders>
              <w:top w:val="nil"/>
              <w:left w:val="nil"/>
              <w:bottom w:val="nil"/>
              <w:right w:val="nil"/>
            </w:tcBorders>
            <w:shd w:val="clear" w:color="auto" w:fill="auto"/>
            <w:noWrap/>
          </w:tcPr>
          <w:p w14:paraId="09432FFE" w14:textId="77777777" w:rsidR="00335CF7" w:rsidRPr="00286F08" w:rsidRDefault="00335CF7" w:rsidP="000F69BD">
            <w:pPr>
              <w:spacing w:after="0" w:line="240" w:lineRule="auto"/>
              <w:rPr>
                <w:rFonts w:asciiTheme="majorHAnsi" w:eastAsia="Times New Roman" w:hAnsiTheme="majorHAnsi" w:cstheme="majorHAnsi"/>
                <w:color w:val="000000"/>
                <w:sz w:val="18"/>
                <w:szCs w:val="18"/>
                <w:lang w:eastAsia="en-AU"/>
              </w:rPr>
            </w:pPr>
            <w:r w:rsidRPr="00286F08">
              <w:rPr>
                <w:rFonts w:asciiTheme="majorHAnsi" w:hAnsiTheme="majorHAnsi" w:cstheme="majorHAnsi"/>
                <w:sz w:val="18"/>
                <w:szCs w:val="18"/>
              </w:rPr>
              <w:t>Peaches</w:t>
            </w:r>
          </w:p>
        </w:tc>
        <w:tc>
          <w:tcPr>
            <w:tcW w:w="1189" w:type="dxa"/>
            <w:tcBorders>
              <w:top w:val="nil"/>
              <w:left w:val="nil"/>
              <w:bottom w:val="nil"/>
              <w:right w:val="nil"/>
            </w:tcBorders>
            <w:shd w:val="clear" w:color="auto" w:fill="auto"/>
            <w:noWrap/>
          </w:tcPr>
          <w:p w14:paraId="7194C9DC" w14:textId="77777777" w:rsidR="00335CF7" w:rsidRPr="00284549"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125,098</w:t>
            </w:r>
          </w:p>
        </w:tc>
        <w:tc>
          <w:tcPr>
            <w:tcW w:w="1033" w:type="dxa"/>
            <w:tcBorders>
              <w:top w:val="nil"/>
              <w:left w:val="nil"/>
              <w:bottom w:val="nil"/>
              <w:right w:val="nil"/>
            </w:tcBorders>
            <w:shd w:val="clear" w:color="auto" w:fill="auto"/>
            <w:noWrap/>
          </w:tcPr>
          <w:p w14:paraId="7410EBAA" w14:textId="77777777" w:rsidR="00335CF7" w:rsidRPr="00286F08"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29.0%</w:t>
            </w:r>
          </w:p>
        </w:tc>
        <w:tc>
          <w:tcPr>
            <w:tcW w:w="809" w:type="dxa"/>
            <w:tcBorders>
              <w:top w:val="nil"/>
              <w:left w:val="nil"/>
              <w:bottom w:val="nil"/>
              <w:right w:val="nil"/>
            </w:tcBorders>
            <w:shd w:val="clear" w:color="auto" w:fill="auto"/>
            <w:noWrap/>
          </w:tcPr>
          <w:p w14:paraId="482DC494" w14:textId="77777777" w:rsidR="00335CF7" w:rsidRPr="00286F08" w:rsidRDefault="00335CF7" w:rsidP="000F69BD">
            <w:pPr>
              <w:tabs>
                <w:tab w:val="center" w:pos="198"/>
              </w:tabs>
              <w:spacing w:after="0" w:line="240" w:lineRule="auto"/>
              <w:jc w:val="center"/>
              <w:rPr>
                <w:rFonts w:asciiTheme="majorHAnsi" w:eastAsia="Times New Roman" w:hAnsiTheme="majorHAnsi" w:cstheme="majorHAnsi"/>
                <w:color w:val="000000"/>
                <w:sz w:val="18"/>
                <w:szCs w:val="18"/>
                <w:lang w:eastAsia="en-AU"/>
              </w:rPr>
            </w:pPr>
            <w:r w:rsidRPr="00286F08">
              <w:rPr>
                <w:rFonts w:asciiTheme="majorHAnsi" w:eastAsia="Times New Roman" w:hAnsiTheme="majorHAnsi" w:cstheme="majorHAnsi"/>
                <w:color w:val="000000"/>
                <w:sz w:val="18"/>
                <w:szCs w:val="18"/>
                <w:lang w:eastAsia="en-AU"/>
              </w:rPr>
              <w:t>-</w:t>
            </w:r>
          </w:p>
        </w:tc>
        <w:tc>
          <w:tcPr>
            <w:tcW w:w="2026" w:type="dxa"/>
            <w:tcBorders>
              <w:top w:val="nil"/>
              <w:left w:val="nil"/>
              <w:bottom w:val="nil"/>
              <w:right w:val="nil"/>
            </w:tcBorders>
            <w:shd w:val="clear" w:color="auto" w:fill="auto"/>
            <w:noWrap/>
          </w:tcPr>
          <w:p w14:paraId="1EDB4A4B" w14:textId="77777777" w:rsidR="00335CF7" w:rsidRPr="00286F08" w:rsidRDefault="00335CF7" w:rsidP="000F69BD">
            <w:pPr>
              <w:tabs>
                <w:tab w:val="center" w:pos="198"/>
              </w:tabs>
              <w:spacing w:after="0" w:line="240" w:lineRule="auto"/>
              <w:jc w:val="center"/>
              <w:rPr>
                <w:rFonts w:asciiTheme="majorHAnsi" w:eastAsia="Times New Roman" w:hAnsiTheme="majorHAnsi" w:cstheme="majorHAnsi"/>
                <w:color w:val="000000"/>
                <w:sz w:val="18"/>
                <w:szCs w:val="18"/>
                <w:lang w:eastAsia="en-AU"/>
              </w:rPr>
            </w:pPr>
            <w:r w:rsidRPr="00286F08">
              <w:rPr>
                <w:rFonts w:asciiTheme="majorHAnsi" w:eastAsia="Times New Roman" w:hAnsiTheme="majorHAnsi" w:cstheme="majorHAnsi"/>
                <w:color w:val="000000"/>
                <w:sz w:val="18"/>
                <w:szCs w:val="18"/>
                <w:lang w:eastAsia="en-AU"/>
              </w:rPr>
              <w:t>-</w:t>
            </w:r>
          </w:p>
        </w:tc>
        <w:tc>
          <w:tcPr>
            <w:tcW w:w="1155" w:type="dxa"/>
            <w:tcBorders>
              <w:top w:val="nil"/>
              <w:left w:val="nil"/>
              <w:bottom w:val="nil"/>
              <w:right w:val="nil"/>
            </w:tcBorders>
            <w:shd w:val="clear" w:color="auto" w:fill="auto"/>
            <w:noWrap/>
          </w:tcPr>
          <w:p w14:paraId="5DBDE1A2" w14:textId="77777777" w:rsidR="00335CF7" w:rsidRPr="00284549"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37,529</w:t>
            </w:r>
          </w:p>
        </w:tc>
      </w:tr>
      <w:tr w:rsidR="00335CF7" w:rsidRPr="00286F08" w14:paraId="544C43AE" w14:textId="77777777" w:rsidTr="000F69BD">
        <w:tc>
          <w:tcPr>
            <w:tcW w:w="709" w:type="dxa"/>
            <w:tcBorders>
              <w:top w:val="nil"/>
              <w:left w:val="nil"/>
              <w:bottom w:val="nil"/>
              <w:right w:val="nil"/>
            </w:tcBorders>
            <w:shd w:val="clear" w:color="auto" w:fill="auto"/>
            <w:noWrap/>
          </w:tcPr>
          <w:p w14:paraId="2234E55F" w14:textId="77777777" w:rsidR="00335CF7" w:rsidRPr="00286F08" w:rsidRDefault="00335CF7" w:rsidP="000F69BD">
            <w:pPr>
              <w:spacing w:after="0" w:line="240" w:lineRule="auto"/>
              <w:rPr>
                <w:rFonts w:asciiTheme="majorHAnsi" w:eastAsia="Times New Roman" w:hAnsiTheme="majorHAnsi" w:cstheme="majorHAnsi"/>
                <w:color w:val="000000"/>
                <w:sz w:val="18"/>
                <w:szCs w:val="18"/>
                <w:lang w:eastAsia="en-AU"/>
              </w:rPr>
            </w:pPr>
            <w:r w:rsidRPr="00286F08">
              <w:rPr>
                <w:rFonts w:asciiTheme="majorHAnsi" w:hAnsiTheme="majorHAnsi" w:cstheme="majorHAnsi"/>
                <w:sz w:val="18"/>
                <w:szCs w:val="18"/>
              </w:rPr>
              <w:t>CH8</w:t>
            </w:r>
          </w:p>
        </w:tc>
        <w:tc>
          <w:tcPr>
            <w:tcW w:w="847" w:type="dxa"/>
            <w:tcBorders>
              <w:top w:val="nil"/>
              <w:left w:val="nil"/>
              <w:bottom w:val="nil"/>
              <w:right w:val="nil"/>
            </w:tcBorders>
            <w:shd w:val="clear" w:color="auto" w:fill="auto"/>
            <w:noWrap/>
          </w:tcPr>
          <w:p w14:paraId="62503990" w14:textId="77777777" w:rsidR="00335CF7" w:rsidRPr="00286F08" w:rsidRDefault="00335CF7" w:rsidP="000F69BD">
            <w:pPr>
              <w:spacing w:after="0" w:line="240" w:lineRule="auto"/>
              <w:rPr>
                <w:rFonts w:asciiTheme="majorHAnsi" w:eastAsia="Times New Roman" w:hAnsiTheme="majorHAnsi" w:cstheme="majorHAnsi"/>
                <w:color w:val="000000"/>
                <w:sz w:val="18"/>
                <w:szCs w:val="18"/>
                <w:lang w:eastAsia="en-AU"/>
              </w:rPr>
            </w:pPr>
          </w:p>
        </w:tc>
        <w:tc>
          <w:tcPr>
            <w:tcW w:w="2635" w:type="dxa"/>
            <w:tcBorders>
              <w:top w:val="nil"/>
              <w:left w:val="nil"/>
              <w:bottom w:val="nil"/>
              <w:right w:val="nil"/>
            </w:tcBorders>
            <w:shd w:val="clear" w:color="auto" w:fill="auto"/>
            <w:noWrap/>
          </w:tcPr>
          <w:p w14:paraId="3ABD312A" w14:textId="77777777" w:rsidR="00335CF7" w:rsidRPr="00286F08" w:rsidRDefault="00335CF7" w:rsidP="000F69BD">
            <w:pPr>
              <w:spacing w:after="0" w:line="240" w:lineRule="auto"/>
              <w:rPr>
                <w:rFonts w:asciiTheme="majorHAnsi" w:eastAsia="Times New Roman" w:hAnsiTheme="majorHAnsi" w:cstheme="majorHAnsi"/>
                <w:color w:val="000000"/>
                <w:sz w:val="18"/>
                <w:szCs w:val="18"/>
                <w:lang w:eastAsia="en-AU"/>
              </w:rPr>
            </w:pPr>
            <w:r w:rsidRPr="00286F08">
              <w:rPr>
                <w:rFonts w:asciiTheme="majorHAnsi" w:hAnsiTheme="majorHAnsi" w:cstheme="majorHAnsi"/>
                <w:sz w:val="18"/>
                <w:szCs w:val="18"/>
              </w:rPr>
              <w:t>Plums</w:t>
            </w:r>
          </w:p>
        </w:tc>
        <w:tc>
          <w:tcPr>
            <w:tcW w:w="1189" w:type="dxa"/>
            <w:tcBorders>
              <w:top w:val="nil"/>
              <w:left w:val="nil"/>
              <w:bottom w:val="nil"/>
              <w:right w:val="nil"/>
            </w:tcBorders>
            <w:shd w:val="clear" w:color="auto" w:fill="auto"/>
            <w:noWrap/>
          </w:tcPr>
          <w:p w14:paraId="0713E8A9" w14:textId="77777777" w:rsidR="00335CF7" w:rsidRPr="00284549"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93,657</w:t>
            </w:r>
          </w:p>
        </w:tc>
        <w:tc>
          <w:tcPr>
            <w:tcW w:w="1033" w:type="dxa"/>
            <w:tcBorders>
              <w:top w:val="nil"/>
              <w:left w:val="nil"/>
              <w:bottom w:val="nil"/>
              <w:right w:val="nil"/>
            </w:tcBorders>
            <w:shd w:val="clear" w:color="auto" w:fill="auto"/>
            <w:noWrap/>
          </w:tcPr>
          <w:p w14:paraId="21D14B0D" w14:textId="77777777" w:rsidR="00335CF7" w:rsidRPr="00286F08"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1.2%</w:t>
            </w:r>
          </w:p>
        </w:tc>
        <w:tc>
          <w:tcPr>
            <w:tcW w:w="809" w:type="dxa"/>
            <w:tcBorders>
              <w:top w:val="nil"/>
              <w:left w:val="nil"/>
              <w:bottom w:val="nil"/>
              <w:right w:val="nil"/>
            </w:tcBorders>
            <w:shd w:val="clear" w:color="auto" w:fill="auto"/>
            <w:noWrap/>
          </w:tcPr>
          <w:p w14:paraId="7538F947" w14:textId="77777777" w:rsidR="00335CF7" w:rsidRPr="00286F08" w:rsidRDefault="00335CF7" w:rsidP="000F69BD">
            <w:pPr>
              <w:tabs>
                <w:tab w:val="center" w:pos="198"/>
              </w:tabs>
              <w:spacing w:after="0" w:line="240" w:lineRule="auto"/>
              <w:jc w:val="center"/>
              <w:rPr>
                <w:rFonts w:asciiTheme="majorHAnsi" w:eastAsia="Times New Roman" w:hAnsiTheme="majorHAnsi" w:cstheme="majorHAnsi"/>
                <w:color w:val="000000"/>
                <w:sz w:val="18"/>
                <w:szCs w:val="18"/>
                <w:lang w:eastAsia="en-AU"/>
              </w:rPr>
            </w:pPr>
            <w:r w:rsidRPr="00286F08">
              <w:rPr>
                <w:rFonts w:asciiTheme="majorHAnsi" w:eastAsia="Times New Roman" w:hAnsiTheme="majorHAnsi" w:cstheme="majorHAnsi"/>
                <w:color w:val="000000"/>
                <w:sz w:val="18"/>
                <w:szCs w:val="18"/>
                <w:lang w:eastAsia="en-AU"/>
              </w:rPr>
              <w:t>-</w:t>
            </w:r>
          </w:p>
        </w:tc>
        <w:tc>
          <w:tcPr>
            <w:tcW w:w="2026" w:type="dxa"/>
            <w:tcBorders>
              <w:top w:val="nil"/>
              <w:left w:val="nil"/>
              <w:bottom w:val="nil"/>
              <w:right w:val="nil"/>
            </w:tcBorders>
            <w:shd w:val="clear" w:color="auto" w:fill="auto"/>
            <w:noWrap/>
          </w:tcPr>
          <w:p w14:paraId="25C0048B" w14:textId="77777777" w:rsidR="00335CF7" w:rsidRPr="00286F08" w:rsidRDefault="00335CF7" w:rsidP="000F69BD">
            <w:pPr>
              <w:tabs>
                <w:tab w:val="center" w:pos="198"/>
              </w:tabs>
              <w:spacing w:after="0" w:line="240" w:lineRule="auto"/>
              <w:jc w:val="center"/>
              <w:rPr>
                <w:rFonts w:asciiTheme="majorHAnsi" w:eastAsia="Times New Roman" w:hAnsiTheme="majorHAnsi" w:cstheme="majorHAnsi"/>
                <w:color w:val="000000"/>
                <w:sz w:val="18"/>
                <w:szCs w:val="18"/>
                <w:lang w:eastAsia="en-AU"/>
              </w:rPr>
            </w:pPr>
            <w:r w:rsidRPr="00286F08">
              <w:rPr>
                <w:rFonts w:asciiTheme="majorHAnsi" w:eastAsia="Times New Roman" w:hAnsiTheme="majorHAnsi" w:cstheme="majorHAnsi"/>
                <w:color w:val="000000"/>
                <w:sz w:val="18"/>
                <w:szCs w:val="18"/>
                <w:lang w:eastAsia="en-AU"/>
              </w:rPr>
              <w:t>-</w:t>
            </w:r>
          </w:p>
        </w:tc>
        <w:tc>
          <w:tcPr>
            <w:tcW w:w="1155" w:type="dxa"/>
            <w:tcBorders>
              <w:top w:val="nil"/>
              <w:left w:val="nil"/>
              <w:bottom w:val="nil"/>
              <w:right w:val="nil"/>
            </w:tcBorders>
            <w:shd w:val="clear" w:color="auto" w:fill="auto"/>
            <w:noWrap/>
          </w:tcPr>
          <w:p w14:paraId="527B03C3" w14:textId="77777777" w:rsidR="00335CF7" w:rsidRPr="00284549"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23,414</w:t>
            </w:r>
          </w:p>
        </w:tc>
      </w:tr>
      <w:tr w:rsidR="00335CF7" w:rsidRPr="00286F08" w14:paraId="74CD704E" w14:textId="77777777" w:rsidTr="000F69BD">
        <w:tc>
          <w:tcPr>
            <w:tcW w:w="709" w:type="dxa"/>
            <w:tcBorders>
              <w:top w:val="nil"/>
              <w:left w:val="nil"/>
              <w:bottom w:val="nil"/>
              <w:right w:val="nil"/>
            </w:tcBorders>
            <w:shd w:val="clear" w:color="auto" w:fill="auto"/>
            <w:noWrap/>
          </w:tcPr>
          <w:p w14:paraId="0CCD3D03" w14:textId="77777777" w:rsidR="00335CF7" w:rsidRPr="00286F08" w:rsidRDefault="00335CF7" w:rsidP="000F69BD">
            <w:pPr>
              <w:spacing w:after="0" w:line="240" w:lineRule="auto"/>
              <w:rPr>
                <w:rFonts w:asciiTheme="majorHAnsi" w:eastAsia="Times New Roman" w:hAnsiTheme="majorHAnsi" w:cstheme="majorHAnsi"/>
                <w:color w:val="000000"/>
                <w:sz w:val="18"/>
                <w:szCs w:val="18"/>
                <w:lang w:eastAsia="en-AU"/>
              </w:rPr>
            </w:pPr>
          </w:p>
        </w:tc>
        <w:tc>
          <w:tcPr>
            <w:tcW w:w="847" w:type="dxa"/>
            <w:tcBorders>
              <w:top w:val="nil"/>
              <w:left w:val="nil"/>
              <w:bottom w:val="nil"/>
              <w:right w:val="nil"/>
            </w:tcBorders>
            <w:shd w:val="clear" w:color="auto" w:fill="auto"/>
            <w:noWrap/>
          </w:tcPr>
          <w:p w14:paraId="38AA448D" w14:textId="77777777" w:rsidR="00335CF7" w:rsidRPr="00286F08" w:rsidRDefault="00335CF7" w:rsidP="000F69BD">
            <w:pPr>
              <w:spacing w:after="0" w:line="240" w:lineRule="auto"/>
              <w:rPr>
                <w:rFonts w:asciiTheme="majorHAnsi" w:eastAsia="Times New Roman" w:hAnsiTheme="majorHAnsi" w:cstheme="majorHAnsi"/>
                <w:color w:val="000000"/>
                <w:sz w:val="18"/>
                <w:szCs w:val="18"/>
                <w:lang w:eastAsia="en-AU"/>
              </w:rPr>
            </w:pPr>
          </w:p>
        </w:tc>
        <w:tc>
          <w:tcPr>
            <w:tcW w:w="2635" w:type="dxa"/>
            <w:tcBorders>
              <w:top w:val="nil"/>
              <w:left w:val="nil"/>
              <w:bottom w:val="nil"/>
              <w:right w:val="nil"/>
            </w:tcBorders>
            <w:shd w:val="clear" w:color="auto" w:fill="auto"/>
            <w:noWrap/>
          </w:tcPr>
          <w:p w14:paraId="7714B25B" w14:textId="77777777" w:rsidR="00335CF7" w:rsidRPr="00286F08" w:rsidRDefault="00335CF7" w:rsidP="000F69BD">
            <w:pPr>
              <w:spacing w:after="0" w:line="240" w:lineRule="auto"/>
              <w:rPr>
                <w:rFonts w:asciiTheme="majorHAnsi" w:eastAsia="Times New Roman" w:hAnsiTheme="majorHAnsi" w:cstheme="majorHAnsi"/>
                <w:color w:val="000000"/>
                <w:sz w:val="18"/>
                <w:szCs w:val="18"/>
                <w:lang w:eastAsia="en-AU"/>
              </w:rPr>
            </w:pPr>
            <w:r w:rsidRPr="00286F08">
              <w:rPr>
                <w:rFonts w:asciiTheme="majorHAnsi" w:hAnsiTheme="majorHAnsi" w:cstheme="majorHAnsi"/>
                <w:sz w:val="18"/>
                <w:szCs w:val="18"/>
              </w:rPr>
              <w:t xml:space="preserve">Remaining industry </w:t>
            </w:r>
            <w:proofErr w:type="spellStart"/>
            <w:r w:rsidRPr="00286F08">
              <w:rPr>
                <w:rFonts w:asciiTheme="majorHAnsi" w:hAnsiTheme="majorHAnsi" w:cstheme="majorHAnsi"/>
                <w:sz w:val="18"/>
                <w:szCs w:val="18"/>
              </w:rPr>
              <w:t>n.e.c</w:t>
            </w:r>
            <w:proofErr w:type="spellEnd"/>
          </w:p>
        </w:tc>
        <w:tc>
          <w:tcPr>
            <w:tcW w:w="1189" w:type="dxa"/>
            <w:tcBorders>
              <w:top w:val="nil"/>
              <w:left w:val="nil"/>
              <w:bottom w:val="nil"/>
              <w:right w:val="nil"/>
            </w:tcBorders>
            <w:shd w:val="clear" w:color="auto" w:fill="auto"/>
            <w:noWrap/>
          </w:tcPr>
          <w:p w14:paraId="700B44CB" w14:textId="77777777" w:rsidR="00335CF7" w:rsidRPr="00284549"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1,118,765</w:t>
            </w:r>
          </w:p>
        </w:tc>
        <w:tc>
          <w:tcPr>
            <w:tcW w:w="1033" w:type="dxa"/>
            <w:tcBorders>
              <w:top w:val="nil"/>
              <w:left w:val="nil"/>
              <w:bottom w:val="nil"/>
              <w:right w:val="nil"/>
            </w:tcBorders>
            <w:shd w:val="clear" w:color="auto" w:fill="auto"/>
            <w:noWrap/>
          </w:tcPr>
          <w:p w14:paraId="7B5B03C6" w14:textId="77777777" w:rsidR="00335CF7" w:rsidRPr="00286F08"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17.2%</w:t>
            </w:r>
          </w:p>
        </w:tc>
        <w:tc>
          <w:tcPr>
            <w:tcW w:w="809" w:type="dxa"/>
            <w:tcBorders>
              <w:top w:val="nil"/>
              <w:left w:val="nil"/>
              <w:bottom w:val="nil"/>
              <w:right w:val="nil"/>
            </w:tcBorders>
            <w:shd w:val="clear" w:color="auto" w:fill="auto"/>
            <w:noWrap/>
          </w:tcPr>
          <w:p w14:paraId="6DACAFA6" w14:textId="77777777" w:rsidR="00335CF7" w:rsidRPr="00286F08" w:rsidRDefault="00335CF7" w:rsidP="000F69BD">
            <w:pPr>
              <w:tabs>
                <w:tab w:val="center" w:pos="198"/>
              </w:tabs>
              <w:spacing w:after="0" w:line="240" w:lineRule="auto"/>
              <w:jc w:val="center"/>
              <w:rPr>
                <w:rFonts w:asciiTheme="majorHAnsi" w:eastAsia="Times New Roman" w:hAnsiTheme="majorHAnsi" w:cstheme="majorHAnsi"/>
                <w:color w:val="000000"/>
                <w:sz w:val="18"/>
                <w:szCs w:val="18"/>
                <w:lang w:eastAsia="en-AU"/>
              </w:rPr>
            </w:pPr>
            <w:r w:rsidRPr="00286F08">
              <w:rPr>
                <w:rFonts w:asciiTheme="majorHAnsi" w:eastAsia="Times New Roman" w:hAnsiTheme="majorHAnsi" w:cstheme="majorHAnsi"/>
                <w:color w:val="000000"/>
                <w:sz w:val="18"/>
                <w:szCs w:val="18"/>
                <w:lang w:eastAsia="en-AU"/>
              </w:rPr>
              <w:t>-</w:t>
            </w:r>
          </w:p>
        </w:tc>
        <w:tc>
          <w:tcPr>
            <w:tcW w:w="2026" w:type="dxa"/>
            <w:tcBorders>
              <w:top w:val="nil"/>
              <w:left w:val="nil"/>
              <w:bottom w:val="nil"/>
              <w:right w:val="nil"/>
            </w:tcBorders>
            <w:shd w:val="clear" w:color="auto" w:fill="auto"/>
            <w:noWrap/>
          </w:tcPr>
          <w:p w14:paraId="14DB62BA" w14:textId="77777777" w:rsidR="00335CF7" w:rsidRPr="00286F08" w:rsidRDefault="00335CF7" w:rsidP="000F69BD">
            <w:pPr>
              <w:tabs>
                <w:tab w:val="center" w:pos="198"/>
              </w:tabs>
              <w:spacing w:after="0" w:line="240" w:lineRule="auto"/>
              <w:jc w:val="center"/>
              <w:rPr>
                <w:rFonts w:asciiTheme="majorHAnsi" w:eastAsia="Times New Roman" w:hAnsiTheme="majorHAnsi" w:cstheme="majorHAnsi"/>
                <w:color w:val="000000"/>
                <w:sz w:val="18"/>
                <w:szCs w:val="18"/>
                <w:lang w:eastAsia="en-AU"/>
              </w:rPr>
            </w:pPr>
            <w:r w:rsidRPr="00286F08">
              <w:rPr>
                <w:rFonts w:asciiTheme="majorHAnsi" w:eastAsia="Times New Roman" w:hAnsiTheme="majorHAnsi" w:cstheme="majorHAnsi"/>
                <w:color w:val="000000"/>
                <w:sz w:val="18"/>
                <w:szCs w:val="18"/>
                <w:lang w:eastAsia="en-AU"/>
              </w:rPr>
              <w:t>-</w:t>
            </w:r>
          </w:p>
        </w:tc>
        <w:tc>
          <w:tcPr>
            <w:tcW w:w="1155" w:type="dxa"/>
            <w:tcBorders>
              <w:top w:val="nil"/>
              <w:left w:val="nil"/>
              <w:bottom w:val="nil"/>
              <w:right w:val="nil"/>
            </w:tcBorders>
            <w:shd w:val="clear" w:color="auto" w:fill="auto"/>
            <w:noWrap/>
          </w:tcPr>
          <w:p w14:paraId="3F6730F1" w14:textId="77777777" w:rsidR="00335CF7" w:rsidRPr="00284549"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335,852</w:t>
            </w:r>
          </w:p>
        </w:tc>
      </w:tr>
      <w:tr w:rsidR="00335CF7" w:rsidRPr="00286F08" w14:paraId="6254EA00" w14:textId="77777777" w:rsidTr="000F69BD">
        <w:tc>
          <w:tcPr>
            <w:tcW w:w="709" w:type="dxa"/>
            <w:tcBorders>
              <w:top w:val="nil"/>
              <w:left w:val="nil"/>
              <w:bottom w:val="single" w:sz="4" w:space="0" w:color="auto"/>
              <w:right w:val="nil"/>
            </w:tcBorders>
            <w:shd w:val="clear" w:color="auto" w:fill="auto"/>
            <w:noWrap/>
          </w:tcPr>
          <w:p w14:paraId="085A499D" w14:textId="77777777" w:rsidR="00335CF7" w:rsidRPr="00286F08" w:rsidRDefault="00335CF7" w:rsidP="000F69BD">
            <w:pPr>
              <w:spacing w:after="0" w:line="240" w:lineRule="auto"/>
              <w:rPr>
                <w:rFonts w:asciiTheme="majorHAnsi" w:eastAsia="Times New Roman" w:hAnsiTheme="majorHAnsi" w:cstheme="majorHAnsi"/>
                <w:b/>
                <w:color w:val="000000"/>
                <w:sz w:val="18"/>
                <w:szCs w:val="18"/>
                <w:lang w:eastAsia="en-AU"/>
              </w:rPr>
            </w:pPr>
          </w:p>
        </w:tc>
        <w:tc>
          <w:tcPr>
            <w:tcW w:w="847" w:type="dxa"/>
            <w:tcBorders>
              <w:top w:val="nil"/>
              <w:left w:val="nil"/>
              <w:bottom w:val="single" w:sz="4" w:space="0" w:color="auto"/>
              <w:right w:val="nil"/>
            </w:tcBorders>
            <w:shd w:val="clear" w:color="auto" w:fill="auto"/>
            <w:noWrap/>
          </w:tcPr>
          <w:p w14:paraId="0AC6C775" w14:textId="77777777" w:rsidR="00335CF7" w:rsidRPr="00286F08" w:rsidRDefault="00335CF7" w:rsidP="000F69BD">
            <w:pPr>
              <w:spacing w:after="0" w:line="240" w:lineRule="auto"/>
              <w:rPr>
                <w:rFonts w:asciiTheme="majorHAnsi" w:eastAsia="Times New Roman" w:hAnsiTheme="majorHAnsi" w:cstheme="majorHAnsi"/>
                <w:b/>
                <w:color w:val="000000"/>
                <w:sz w:val="18"/>
                <w:szCs w:val="18"/>
                <w:lang w:eastAsia="en-AU"/>
              </w:rPr>
            </w:pPr>
          </w:p>
        </w:tc>
        <w:tc>
          <w:tcPr>
            <w:tcW w:w="2635" w:type="dxa"/>
            <w:tcBorders>
              <w:top w:val="nil"/>
              <w:left w:val="nil"/>
              <w:bottom w:val="single" w:sz="4" w:space="0" w:color="auto"/>
              <w:right w:val="nil"/>
            </w:tcBorders>
            <w:shd w:val="clear" w:color="auto" w:fill="auto"/>
            <w:noWrap/>
          </w:tcPr>
          <w:p w14:paraId="06DE888F" w14:textId="77777777" w:rsidR="00335CF7" w:rsidRPr="00286F08" w:rsidRDefault="00335CF7" w:rsidP="000F69BD">
            <w:pPr>
              <w:spacing w:after="0" w:line="240" w:lineRule="auto"/>
              <w:rPr>
                <w:rFonts w:asciiTheme="majorHAnsi" w:eastAsia="Times New Roman" w:hAnsiTheme="majorHAnsi" w:cstheme="majorHAnsi"/>
                <w:b/>
                <w:color w:val="000000"/>
                <w:sz w:val="18"/>
                <w:szCs w:val="18"/>
                <w:lang w:eastAsia="en-AU"/>
              </w:rPr>
            </w:pPr>
            <w:r w:rsidRPr="00286F08">
              <w:rPr>
                <w:rFonts w:asciiTheme="majorHAnsi" w:hAnsiTheme="majorHAnsi" w:cstheme="majorHAnsi"/>
                <w:b/>
                <w:sz w:val="18"/>
                <w:szCs w:val="18"/>
              </w:rPr>
              <w:t>Subtotal</w:t>
            </w:r>
          </w:p>
        </w:tc>
        <w:tc>
          <w:tcPr>
            <w:tcW w:w="1189" w:type="dxa"/>
            <w:tcBorders>
              <w:top w:val="nil"/>
              <w:left w:val="nil"/>
              <w:bottom w:val="single" w:sz="4" w:space="0" w:color="auto"/>
              <w:right w:val="nil"/>
            </w:tcBorders>
            <w:shd w:val="clear" w:color="auto" w:fill="auto"/>
            <w:noWrap/>
          </w:tcPr>
          <w:p w14:paraId="22297A24" w14:textId="77777777" w:rsidR="00335CF7" w:rsidRPr="00284549" w:rsidRDefault="00335CF7" w:rsidP="000F69BD">
            <w:pPr>
              <w:spacing w:after="0" w:line="240" w:lineRule="auto"/>
              <w:jc w:val="right"/>
              <w:rPr>
                <w:rFonts w:asciiTheme="majorHAnsi" w:hAnsiTheme="majorHAnsi" w:cstheme="majorHAnsi"/>
                <w:b/>
                <w:sz w:val="18"/>
                <w:szCs w:val="18"/>
              </w:rPr>
            </w:pPr>
            <w:r w:rsidRPr="00284549">
              <w:rPr>
                <w:rFonts w:asciiTheme="majorHAnsi" w:hAnsiTheme="majorHAnsi" w:cstheme="majorHAnsi"/>
                <w:b/>
                <w:sz w:val="18"/>
                <w:szCs w:val="18"/>
              </w:rPr>
              <w:t>6,849,398</w:t>
            </w:r>
          </w:p>
        </w:tc>
        <w:tc>
          <w:tcPr>
            <w:tcW w:w="1033" w:type="dxa"/>
            <w:tcBorders>
              <w:top w:val="nil"/>
              <w:left w:val="nil"/>
              <w:bottom w:val="single" w:sz="4" w:space="0" w:color="auto"/>
              <w:right w:val="nil"/>
            </w:tcBorders>
            <w:shd w:val="clear" w:color="auto" w:fill="auto"/>
            <w:noWrap/>
          </w:tcPr>
          <w:p w14:paraId="2C3F86A7" w14:textId="77777777" w:rsidR="00335CF7" w:rsidRPr="00284549" w:rsidRDefault="00335CF7" w:rsidP="000F69BD">
            <w:pPr>
              <w:spacing w:after="0" w:line="240" w:lineRule="auto"/>
              <w:jc w:val="right"/>
              <w:rPr>
                <w:rFonts w:asciiTheme="majorHAnsi" w:hAnsiTheme="majorHAnsi" w:cstheme="majorHAnsi"/>
                <w:b/>
                <w:sz w:val="18"/>
                <w:szCs w:val="18"/>
              </w:rPr>
            </w:pPr>
            <w:r w:rsidRPr="00284549">
              <w:rPr>
                <w:rFonts w:asciiTheme="majorHAnsi" w:hAnsiTheme="majorHAnsi" w:cstheme="majorHAnsi"/>
                <w:b/>
                <w:sz w:val="18"/>
                <w:szCs w:val="18"/>
              </w:rPr>
              <w:t>1.1%</w:t>
            </w:r>
          </w:p>
        </w:tc>
        <w:tc>
          <w:tcPr>
            <w:tcW w:w="809" w:type="dxa"/>
            <w:tcBorders>
              <w:top w:val="nil"/>
              <w:left w:val="nil"/>
              <w:bottom w:val="single" w:sz="4" w:space="0" w:color="auto"/>
              <w:right w:val="nil"/>
            </w:tcBorders>
            <w:shd w:val="clear" w:color="auto" w:fill="auto"/>
            <w:noWrap/>
          </w:tcPr>
          <w:p w14:paraId="1C1D8AC3" w14:textId="77777777" w:rsidR="00335CF7" w:rsidRPr="00286F08" w:rsidRDefault="00335CF7" w:rsidP="000F69BD">
            <w:pPr>
              <w:spacing w:after="0" w:line="240" w:lineRule="auto"/>
              <w:jc w:val="center"/>
              <w:rPr>
                <w:rFonts w:asciiTheme="majorHAnsi" w:eastAsia="Times New Roman" w:hAnsiTheme="majorHAnsi" w:cstheme="majorHAnsi"/>
                <w:b/>
                <w:bCs/>
                <w:color w:val="000000"/>
                <w:sz w:val="18"/>
                <w:szCs w:val="18"/>
                <w:lang w:eastAsia="en-AU"/>
              </w:rPr>
            </w:pPr>
            <w:r w:rsidRPr="00286F08">
              <w:rPr>
                <w:rFonts w:asciiTheme="majorHAnsi" w:eastAsia="Times New Roman" w:hAnsiTheme="majorHAnsi" w:cstheme="majorHAnsi"/>
                <w:b/>
                <w:bCs/>
                <w:color w:val="000000"/>
                <w:sz w:val="18"/>
                <w:szCs w:val="18"/>
                <w:lang w:eastAsia="en-AU"/>
              </w:rPr>
              <w:t>-</w:t>
            </w:r>
          </w:p>
        </w:tc>
        <w:tc>
          <w:tcPr>
            <w:tcW w:w="2026" w:type="dxa"/>
            <w:tcBorders>
              <w:top w:val="nil"/>
              <w:left w:val="nil"/>
              <w:bottom w:val="single" w:sz="4" w:space="0" w:color="auto"/>
              <w:right w:val="nil"/>
            </w:tcBorders>
            <w:shd w:val="clear" w:color="auto" w:fill="auto"/>
            <w:noWrap/>
          </w:tcPr>
          <w:p w14:paraId="3461295E" w14:textId="77777777" w:rsidR="00335CF7" w:rsidRPr="00286F08" w:rsidRDefault="00335CF7" w:rsidP="000F69BD">
            <w:pPr>
              <w:spacing w:after="0" w:line="240" w:lineRule="auto"/>
              <w:jc w:val="center"/>
              <w:rPr>
                <w:rFonts w:asciiTheme="majorHAnsi" w:eastAsia="Times New Roman" w:hAnsiTheme="majorHAnsi" w:cstheme="majorHAnsi"/>
                <w:b/>
                <w:bCs/>
                <w:sz w:val="18"/>
                <w:szCs w:val="18"/>
                <w:lang w:eastAsia="en-AU"/>
              </w:rPr>
            </w:pPr>
            <w:r w:rsidRPr="00286F08">
              <w:rPr>
                <w:rFonts w:asciiTheme="majorHAnsi" w:eastAsia="Times New Roman" w:hAnsiTheme="majorHAnsi" w:cstheme="majorHAnsi"/>
                <w:b/>
                <w:bCs/>
                <w:color w:val="000000"/>
                <w:sz w:val="18"/>
                <w:szCs w:val="18"/>
                <w:lang w:eastAsia="en-AU"/>
              </w:rPr>
              <w:t>-</w:t>
            </w:r>
          </w:p>
        </w:tc>
        <w:tc>
          <w:tcPr>
            <w:tcW w:w="1155" w:type="dxa"/>
            <w:tcBorders>
              <w:top w:val="nil"/>
              <w:left w:val="nil"/>
              <w:bottom w:val="single" w:sz="4" w:space="0" w:color="auto"/>
              <w:right w:val="nil"/>
            </w:tcBorders>
            <w:shd w:val="clear" w:color="auto" w:fill="auto"/>
            <w:noWrap/>
          </w:tcPr>
          <w:p w14:paraId="0E7CBC6A" w14:textId="77777777" w:rsidR="00335CF7" w:rsidRPr="00284549" w:rsidRDefault="00335CF7" w:rsidP="000F69BD">
            <w:pPr>
              <w:spacing w:after="0" w:line="240" w:lineRule="auto"/>
              <w:jc w:val="right"/>
              <w:rPr>
                <w:rFonts w:asciiTheme="majorHAnsi" w:hAnsiTheme="majorHAnsi" w:cstheme="majorHAnsi"/>
                <w:b/>
                <w:sz w:val="18"/>
                <w:szCs w:val="18"/>
              </w:rPr>
            </w:pPr>
            <w:r w:rsidRPr="00284549">
              <w:rPr>
                <w:rFonts w:asciiTheme="majorHAnsi" w:hAnsiTheme="majorHAnsi" w:cstheme="majorHAnsi"/>
                <w:b/>
                <w:sz w:val="18"/>
                <w:szCs w:val="18"/>
              </w:rPr>
              <w:t>2,563,138</w:t>
            </w:r>
          </w:p>
        </w:tc>
      </w:tr>
      <w:tr w:rsidR="00335CF7" w:rsidRPr="00286F08" w14:paraId="53C34A09" w14:textId="77777777" w:rsidTr="000F69BD">
        <w:tc>
          <w:tcPr>
            <w:tcW w:w="10403" w:type="dxa"/>
            <w:gridSpan w:val="8"/>
            <w:tcBorders>
              <w:top w:val="single" w:sz="4" w:space="0" w:color="auto"/>
              <w:left w:val="nil"/>
              <w:bottom w:val="single" w:sz="4" w:space="0" w:color="auto"/>
              <w:right w:val="nil"/>
            </w:tcBorders>
            <w:shd w:val="clear" w:color="auto" w:fill="auto"/>
            <w:noWrap/>
            <w:vAlign w:val="center"/>
          </w:tcPr>
          <w:p w14:paraId="6EA1E461" w14:textId="77777777" w:rsidR="00335CF7" w:rsidRPr="00286F08" w:rsidRDefault="00335CF7" w:rsidP="000F69BD">
            <w:pPr>
              <w:spacing w:after="0" w:line="240" w:lineRule="auto"/>
              <w:rPr>
                <w:rFonts w:asciiTheme="majorHAnsi" w:hAnsiTheme="majorHAnsi" w:cstheme="majorHAnsi"/>
                <w:b/>
                <w:sz w:val="18"/>
                <w:szCs w:val="18"/>
              </w:rPr>
            </w:pPr>
            <w:r w:rsidRPr="00286F08">
              <w:rPr>
                <w:rFonts w:asciiTheme="majorHAnsi" w:hAnsiTheme="majorHAnsi" w:cstheme="majorHAnsi"/>
                <w:b/>
                <w:sz w:val="18"/>
                <w:szCs w:val="18"/>
              </w:rPr>
              <w:t>Processed horticultural products</w:t>
            </w:r>
          </w:p>
        </w:tc>
      </w:tr>
      <w:tr w:rsidR="00335CF7" w:rsidRPr="00286F08" w14:paraId="0E392DB9" w14:textId="77777777" w:rsidTr="000F69BD">
        <w:tc>
          <w:tcPr>
            <w:tcW w:w="709" w:type="dxa"/>
            <w:tcBorders>
              <w:top w:val="single" w:sz="4" w:space="0" w:color="auto"/>
              <w:left w:val="nil"/>
              <w:right w:val="nil"/>
            </w:tcBorders>
            <w:shd w:val="clear" w:color="auto" w:fill="auto"/>
            <w:noWrap/>
          </w:tcPr>
          <w:p w14:paraId="05FC0B39" w14:textId="77777777" w:rsidR="00335CF7" w:rsidRPr="00286F08" w:rsidRDefault="00335CF7" w:rsidP="000F69BD">
            <w:pPr>
              <w:spacing w:after="0" w:line="240" w:lineRule="auto"/>
              <w:rPr>
                <w:rFonts w:asciiTheme="majorHAnsi" w:eastAsia="Times New Roman" w:hAnsiTheme="majorHAnsi" w:cstheme="majorHAnsi"/>
                <w:color w:val="000000"/>
                <w:sz w:val="18"/>
                <w:szCs w:val="18"/>
                <w:lang w:eastAsia="en-AU"/>
              </w:rPr>
            </w:pPr>
            <w:r w:rsidRPr="00286F08">
              <w:rPr>
                <w:rFonts w:asciiTheme="majorHAnsi" w:hAnsiTheme="majorHAnsi" w:cstheme="majorHAnsi"/>
                <w:sz w:val="18"/>
                <w:szCs w:val="18"/>
              </w:rPr>
              <w:t>CH11</w:t>
            </w:r>
          </w:p>
        </w:tc>
        <w:tc>
          <w:tcPr>
            <w:tcW w:w="847" w:type="dxa"/>
            <w:tcBorders>
              <w:top w:val="single" w:sz="4" w:space="0" w:color="auto"/>
              <w:left w:val="nil"/>
              <w:right w:val="nil"/>
            </w:tcBorders>
            <w:shd w:val="clear" w:color="auto" w:fill="auto"/>
            <w:noWrap/>
          </w:tcPr>
          <w:p w14:paraId="314735EA" w14:textId="77777777" w:rsidR="00335CF7" w:rsidRPr="00286F08" w:rsidRDefault="00335CF7" w:rsidP="000F69BD">
            <w:pPr>
              <w:spacing w:after="0" w:line="240" w:lineRule="auto"/>
              <w:rPr>
                <w:rFonts w:asciiTheme="majorHAnsi" w:eastAsia="Times New Roman" w:hAnsiTheme="majorHAnsi" w:cstheme="majorHAnsi"/>
                <w:color w:val="000000"/>
                <w:sz w:val="18"/>
                <w:szCs w:val="18"/>
                <w:lang w:eastAsia="en-AU"/>
              </w:rPr>
            </w:pPr>
          </w:p>
        </w:tc>
        <w:tc>
          <w:tcPr>
            <w:tcW w:w="2635" w:type="dxa"/>
            <w:tcBorders>
              <w:top w:val="single" w:sz="4" w:space="0" w:color="auto"/>
              <w:left w:val="nil"/>
              <w:right w:val="nil"/>
            </w:tcBorders>
            <w:shd w:val="clear" w:color="auto" w:fill="auto"/>
            <w:noWrap/>
          </w:tcPr>
          <w:p w14:paraId="13EC324B" w14:textId="77777777" w:rsidR="00335CF7" w:rsidRPr="00286F08" w:rsidRDefault="00335CF7" w:rsidP="000F69BD">
            <w:pPr>
              <w:spacing w:after="0" w:line="240" w:lineRule="auto"/>
              <w:rPr>
                <w:rFonts w:asciiTheme="majorHAnsi" w:hAnsiTheme="majorHAnsi" w:cstheme="majorHAnsi"/>
                <w:sz w:val="18"/>
                <w:szCs w:val="18"/>
              </w:rPr>
            </w:pPr>
            <w:r w:rsidRPr="00286F08">
              <w:rPr>
                <w:rFonts w:asciiTheme="majorHAnsi" w:hAnsiTheme="majorHAnsi" w:cstheme="majorHAnsi"/>
                <w:sz w:val="18"/>
                <w:szCs w:val="18"/>
              </w:rPr>
              <w:t>Products Milling industry</w:t>
            </w:r>
          </w:p>
        </w:tc>
        <w:tc>
          <w:tcPr>
            <w:tcW w:w="1189" w:type="dxa"/>
            <w:tcBorders>
              <w:top w:val="single" w:sz="4" w:space="0" w:color="auto"/>
              <w:left w:val="nil"/>
              <w:right w:val="nil"/>
            </w:tcBorders>
            <w:shd w:val="clear" w:color="auto" w:fill="auto"/>
            <w:noWrap/>
          </w:tcPr>
          <w:p w14:paraId="67522A61" w14:textId="77777777" w:rsidR="00335CF7" w:rsidRPr="00284549"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0</w:t>
            </w:r>
          </w:p>
        </w:tc>
        <w:tc>
          <w:tcPr>
            <w:tcW w:w="1033" w:type="dxa"/>
            <w:tcBorders>
              <w:top w:val="single" w:sz="4" w:space="0" w:color="auto"/>
              <w:left w:val="nil"/>
              <w:right w:val="nil"/>
            </w:tcBorders>
            <w:shd w:val="clear" w:color="auto" w:fill="auto"/>
            <w:noWrap/>
          </w:tcPr>
          <w:p w14:paraId="5630C1D9" w14:textId="77777777" w:rsidR="00335CF7" w:rsidRPr="00286F08"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0.0%</w:t>
            </w:r>
          </w:p>
        </w:tc>
        <w:tc>
          <w:tcPr>
            <w:tcW w:w="809" w:type="dxa"/>
            <w:tcBorders>
              <w:top w:val="single" w:sz="4" w:space="0" w:color="auto"/>
              <w:left w:val="nil"/>
              <w:right w:val="nil"/>
            </w:tcBorders>
            <w:shd w:val="clear" w:color="auto" w:fill="auto"/>
            <w:noWrap/>
          </w:tcPr>
          <w:p w14:paraId="27899047" w14:textId="77777777" w:rsidR="00335CF7" w:rsidRPr="00286F08"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6F08">
              <w:rPr>
                <w:rFonts w:asciiTheme="majorHAnsi" w:eastAsia="Times New Roman" w:hAnsiTheme="majorHAnsi" w:cstheme="majorHAnsi"/>
                <w:color w:val="000000"/>
                <w:sz w:val="18"/>
                <w:szCs w:val="18"/>
                <w:lang w:eastAsia="en-AU"/>
              </w:rPr>
              <w:t>-</w:t>
            </w:r>
          </w:p>
        </w:tc>
        <w:tc>
          <w:tcPr>
            <w:tcW w:w="2026" w:type="dxa"/>
            <w:tcBorders>
              <w:top w:val="single" w:sz="4" w:space="0" w:color="auto"/>
              <w:left w:val="nil"/>
              <w:right w:val="nil"/>
            </w:tcBorders>
            <w:shd w:val="clear" w:color="auto" w:fill="auto"/>
            <w:noWrap/>
          </w:tcPr>
          <w:p w14:paraId="6370C397" w14:textId="77777777" w:rsidR="00335CF7" w:rsidRPr="00286F08"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6F08">
              <w:rPr>
                <w:rFonts w:asciiTheme="majorHAnsi" w:eastAsia="Times New Roman" w:hAnsiTheme="majorHAnsi" w:cstheme="majorHAnsi"/>
                <w:color w:val="000000"/>
                <w:sz w:val="18"/>
                <w:szCs w:val="18"/>
                <w:lang w:eastAsia="en-AU"/>
              </w:rPr>
              <w:t>-</w:t>
            </w:r>
          </w:p>
        </w:tc>
        <w:tc>
          <w:tcPr>
            <w:tcW w:w="1155" w:type="dxa"/>
            <w:tcBorders>
              <w:top w:val="single" w:sz="4" w:space="0" w:color="auto"/>
              <w:left w:val="nil"/>
              <w:right w:val="nil"/>
            </w:tcBorders>
            <w:shd w:val="clear" w:color="auto" w:fill="auto"/>
            <w:noWrap/>
          </w:tcPr>
          <w:p w14:paraId="780C62DA" w14:textId="77777777" w:rsidR="00335CF7" w:rsidRPr="00286F08"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0</w:t>
            </w:r>
          </w:p>
        </w:tc>
      </w:tr>
      <w:tr w:rsidR="00335CF7" w:rsidRPr="00286F08" w14:paraId="7C9E89F4" w14:textId="77777777" w:rsidTr="000F69BD">
        <w:tc>
          <w:tcPr>
            <w:tcW w:w="709" w:type="dxa"/>
            <w:tcBorders>
              <w:top w:val="nil"/>
              <w:left w:val="nil"/>
              <w:right w:val="nil"/>
            </w:tcBorders>
            <w:shd w:val="clear" w:color="auto" w:fill="auto"/>
            <w:noWrap/>
          </w:tcPr>
          <w:p w14:paraId="429BD4AB" w14:textId="77777777" w:rsidR="00335CF7" w:rsidRPr="00286F08" w:rsidRDefault="00335CF7" w:rsidP="000F69BD">
            <w:pPr>
              <w:spacing w:after="0" w:line="240" w:lineRule="auto"/>
              <w:rPr>
                <w:rFonts w:asciiTheme="majorHAnsi" w:eastAsia="Times New Roman" w:hAnsiTheme="majorHAnsi" w:cstheme="majorHAnsi"/>
                <w:color w:val="000000"/>
                <w:sz w:val="18"/>
                <w:szCs w:val="18"/>
                <w:lang w:eastAsia="en-AU"/>
              </w:rPr>
            </w:pPr>
            <w:r w:rsidRPr="00286F08">
              <w:rPr>
                <w:rFonts w:asciiTheme="majorHAnsi" w:hAnsiTheme="majorHAnsi" w:cstheme="majorHAnsi"/>
                <w:sz w:val="18"/>
                <w:szCs w:val="18"/>
              </w:rPr>
              <w:t>CH20</w:t>
            </w:r>
          </w:p>
        </w:tc>
        <w:tc>
          <w:tcPr>
            <w:tcW w:w="847" w:type="dxa"/>
            <w:tcBorders>
              <w:top w:val="nil"/>
              <w:left w:val="nil"/>
              <w:right w:val="nil"/>
            </w:tcBorders>
            <w:shd w:val="clear" w:color="auto" w:fill="auto"/>
            <w:noWrap/>
          </w:tcPr>
          <w:p w14:paraId="6F3A8261" w14:textId="77777777" w:rsidR="00335CF7" w:rsidRPr="00286F08" w:rsidRDefault="00335CF7" w:rsidP="000F69BD">
            <w:pPr>
              <w:spacing w:after="0" w:line="240" w:lineRule="auto"/>
              <w:rPr>
                <w:rFonts w:asciiTheme="majorHAnsi" w:eastAsia="Times New Roman" w:hAnsiTheme="majorHAnsi" w:cstheme="majorHAnsi"/>
                <w:color w:val="000000"/>
                <w:sz w:val="18"/>
                <w:szCs w:val="18"/>
                <w:lang w:eastAsia="en-AU"/>
              </w:rPr>
            </w:pPr>
          </w:p>
        </w:tc>
        <w:tc>
          <w:tcPr>
            <w:tcW w:w="2635" w:type="dxa"/>
            <w:tcBorders>
              <w:top w:val="nil"/>
              <w:left w:val="nil"/>
              <w:right w:val="nil"/>
            </w:tcBorders>
            <w:shd w:val="clear" w:color="auto" w:fill="auto"/>
            <w:noWrap/>
          </w:tcPr>
          <w:p w14:paraId="32A8B069" w14:textId="77777777" w:rsidR="00335CF7" w:rsidRPr="00286F08" w:rsidRDefault="00335CF7" w:rsidP="000F69BD">
            <w:pPr>
              <w:spacing w:after="0" w:line="240" w:lineRule="auto"/>
              <w:rPr>
                <w:rFonts w:asciiTheme="majorHAnsi" w:hAnsiTheme="majorHAnsi" w:cstheme="majorHAnsi"/>
                <w:sz w:val="18"/>
                <w:szCs w:val="18"/>
              </w:rPr>
            </w:pPr>
            <w:r w:rsidRPr="00286F08">
              <w:rPr>
                <w:rFonts w:asciiTheme="majorHAnsi" w:hAnsiTheme="majorHAnsi" w:cstheme="majorHAnsi"/>
                <w:sz w:val="18"/>
                <w:szCs w:val="18"/>
              </w:rPr>
              <w:t>Prep Veg., fruit, nuts …</w:t>
            </w:r>
          </w:p>
        </w:tc>
        <w:tc>
          <w:tcPr>
            <w:tcW w:w="1189" w:type="dxa"/>
            <w:tcBorders>
              <w:top w:val="nil"/>
              <w:left w:val="nil"/>
              <w:right w:val="nil"/>
            </w:tcBorders>
            <w:shd w:val="clear" w:color="auto" w:fill="auto"/>
            <w:noWrap/>
          </w:tcPr>
          <w:p w14:paraId="0C8478A6" w14:textId="77777777" w:rsidR="00335CF7" w:rsidRPr="00284549"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2,153,446</w:t>
            </w:r>
          </w:p>
        </w:tc>
        <w:tc>
          <w:tcPr>
            <w:tcW w:w="1033" w:type="dxa"/>
            <w:tcBorders>
              <w:top w:val="nil"/>
              <w:left w:val="nil"/>
              <w:right w:val="nil"/>
            </w:tcBorders>
            <w:shd w:val="clear" w:color="auto" w:fill="auto"/>
            <w:noWrap/>
          </w:tcPr>
          <w:p w14:paraId="51153D3D" w14:textId="77777777" w:rsidR="00335CF7" w:rsidRPr="00286F08"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1.4%</w:t>
            </w:r>
          </w:p>
        </w:tc>
        <w:tc>
          <w:tcPr>
            <w:tcW w:w="809" w:type="dxa"/>
            <w:tcBorders>
              <w:top w:val="nil"/>
              <w:left w:val="nil"/>
              <w:right w:val="nil"/>
            </w:tcBorders>
            <w:shd w:val="clear" w:color="auto" w:fill="auto"/>
            <w:noWrap/>
          </w:tcPr>
          <w:p w14:paraId="36DB2B32" w14:textId="77777777" w:rsidR="00335CF7" w:rsidRPr="00286F08"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6F08">
              <w:rPr>
                <w:rFonts w:asciiTheme="majorHAnsi" w:eastAsia="Times New Roman" w:hAnsiTheme="majorHAnsi" w:cstheme="majorHAnsi"/>
                <w:color w:val="000000"/>
                <w:sz w:val="18"/>
                <w:szCs w:val="18"/>
                <w:lang w:eastAsia="en-AU"/>
              </w:rPr>
              <w:t>-</w:t>
            </w:r>
          </w:p>
        </w:tc>
        <w:tc>
          <w:tcPr>
            <w:tcW w:w="2026" w:type="dxa"/>
            <w:tcBorders>
              <w:top w:val="nil"/>
              <w:left w:val="nil"/>
              <w:right w:val="nil"/>
            </w:tcBorders>
            <w:shd w:val="clear" w:color="auto" w:fill="auto"/>
            <w:noWrap/>
          </w:tcPr>
          <w:p w14:paraId="1114F56F" w14:textId="77777777" w:rsidR="00335CF7" w:rsidRPr="00286F08"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6F08">
              <w:rPr>
                <w:rFonts w:asciiTheme="majorHAnsi" w:eastAsia="Times New Roman" w:hAnsiTheme="majorHAnsi" w:cstheme="majorHAnsi"/>
                <w:color w:val="000000"/>
                <w:sz w:val="18"/>
                <w:szCs w:val="18"/>
                <w:lang w:eastAsia="en-AU"/>
              </w:rPr>
              <w:t>-</w:t>
            </w:r>
          </w:p>
        </w:tc>
        <w:tc>
          <w:tcPr>
            <w:tcW w:w="1155" w:type="dxa"/>
            <w:tcBorders>
              <w:top w:val="nil"/>
              <w:left w:val="nil"/>
              <w:right w:val="nil"/>
            </w:tcBorders>
            <w:shd w:val="clear" w:color="auto" w:fill="auto"/>
            <w:noWrap/>
          </w:tcPr>
          <w:p w14:paraId="6C1855C0" w14:textId="77777777" w:rsidR="00335CF7" w:rsidRPr="00286F08"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650,418</w:t>
            </w:r>
          </w:p>
        </w:tc>
      </w:tr>
      <w:tr w:rsidR="00335CF7" w:rsidRPr="00286F08" w14:paraId="18C8D0A5" w14:textId="77777777" w:rsidTr="000F69BD">
        <w:tc>
          <w:tcPr>
            <w:tcW w:w="709" w:type="dxa"/>
            <w:tcBorders>
              <w:top w:val="nil"/>
              <w:left w:val="nil"/>
              <w:right w:val="nil"/>
            </w:tcBorders>
            <w:shd w:val="clear" w:color="auto" w:fill="auto"/>
            <w:noWrap/>
          </w:tcPr>
          <w:p w14:paraId="691F425C" w14:textId="77777777" w:rsidR="00335CF7" w:rsidRPr="00286F08" w:rsidRDefault="00335CF7" w:rsidP="000F69BD">
            <w:pPr>
              <w:spacing w:after="0" w:line="240" w:lineRule="auto"/>
              <w:rPr>
                <w:rFonts w:asciiTheme="majorHAnsi" w:eastAsia="Times New Roman" w:hAnsiTheme="majorHAnsi" w:cstheme="majorHAnsi"/>
                <w:color w:val="000000"/>
                <w:sz w:val="18"/>
                <w:szCs w:val="18"/>
                <w:lang w:eastAsia="en-AU"/>
              </w:rPr>
            </w:pPr>
            <w:r w:rsidRPr="00286F08">
              <w:rPr>
                <w:rFonts w:asciiTheme="majorHAnsi" w:hAnsiTheme="majorHAnsi" w:cstheme="majorHAnsi"/>
                <w:sz w:val="18"/>
                <w:szCs w:val="18"/>
              </w:rPr>
              <w:t>CH21</w:t>
            </w:r>
          </w:p>
        </w:tc>
        <w:tc>
          <w:tcPr>
            <w:tcW w:w="847" w:type="dxa"/>
            <w:tcBorders>
              <w:top w:val="nil"/>
              <w:left w:val="nil"/>
              <w:right w:val="nil"/>
            </w:tcBorders>
            <w:shd w:val="clear" w:color="auto" w:fill="auto"/>
            <w:noWrap/>
          </w:tcPr>
          <w:p w14:paraId="6F41B2D6" w14:textId="77777777" w:rsidR="00335CF7" w:rsidRPr="00286F08" w:rsidRDefault="00335CF7" w:rsidP="000F69BD">
            <w:pPr>
              <w:spacing w:after="0" w:line="240" w:lineRule="auto"/>
              <w:rPr>
                <w:rFonts w:asciiTheme="majorHAnsi" w:eastAsia="Times New Roman" w:hAnsiTheme="majorHAnsi" w:cstheme="majorHAnsi"/>
                <w:color w:val="000000"/>
                <w:sz w:val="18"/>
                <w:szCs w:val="18"/>
                <w:lang w:eastAsia="en-AU"/>
              </w:rPr>
            </w:pPr>
          </w:p>
        </w:tc>
        <w:tc>
          <w:tcPr>
            <w:tcW w:w="2635" w:type="dxa"/>
            <w:tcBorders>
              <w:top w:val="nil"/>
              <w:left w:val="nil"/>
              <w:right w:val="nil"/>
            </w:tcBorders>
            <w:shd w:val="clear" w:color="auto" w:fill="auto"/>
            <w:noWrap/>
          </w:tcPr>
          <w:p w14:paraId="4676BFC4" w14:textId="77777777" w:rsidR="00335CF7" w:rsidRPr="00286F08" w:rsidRDefault="00335CF7" w:rsidP="000F69BD">
            <w:pPr>
              <w:spacing w:after="0" w:line="240" w:lineRule="auto"/>
              <w:rPr>
                <w:rFonts w:asciiTheme="majorHAnsi" w:hAnsiTheme="majorHAnsi" w:cstheme="majorHAnsi"/>
                <w:sz w:val="18"/>
                <w:szCs w:val="18"/>
              </w:rPr>
            </w:pPr>
            <w:r w:rsidRPr="00286F08">
              <w:rPr>
                <w:rFonts w:asciiTheme="majorHAnsi" w:hAnsiTheme="majorHAnsi" w:cstheme="majorHAnsi"/>
                <w:sz w:val="18"/>
                <w:szCs w:val="18"/>
              </w:rPr>
              <w:t>Misc. Edible Prep</w:t>
            </w:r>
          </w:p>
        </w:tc>
        <w:tc>
          <w:tcPr>
            <w:tcW w:w="1189" w:type="dxa"/>
            <w:tcBorders>
              <w:top w:val="nil"/>
              <w:left w:val="nil"/>
              <w:right w:val="nil"/>
            </w:tcBorders>
            <w:shd w:val="clear" w:color="auto" w:fill="auto"/>
            <w:noWrap/>
          </w:tcPr>
          <w:p w14:paraId="54A79E24" w14:textId="77777777" w:rsidR="00335CF7" w:rsidRPr="00284549"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95,694</w:t>
            </w:r>
          </w:p>
        </w:tc>
        <w:tc>
          <w:tcPr>
            <w:tcW w:w="1033" w:type="dxa"/>
            <w:tcBorders>
              <w:top w:val="nil"/>
              <w:left w:val="nil"/>
              <w:right w:val="nil"/>
            </w:tcBorders>
            <w:shd w:val="clear" w:color="auto" w:fill="auto"/>
            <w:noWrap/>
          </w:tcPr>
          <w:p w14:paraId="3D6AA00C" w14:textId="77777777" w:rsidR="00335CF7" w:rsidRPr="00286F08"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0.4%</w:t>
            </w:r>
          </w:p>
        </w:tc>
        <w:tc>
          <w:tcPr>
            <w:tcW w:w="809" w:type="dxa"/>
            <w:tcBorders>
              <w:top w:val="nil"/>
              <w:left w:val="nil"/>
              <w:right w:val="nil"/>
            </w:tcBorders>
            <w:shd w:val="clear" w:color="auto" w:fill="auto"/>
            <w:noWrap/>
          </w:tcPr>
          <w:p w14:paraId="3E8AC573" w14:textId="77777777" w:rsidR="00335CF7" w:rsidRPr="00286F08"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6F08">
              <w:rPr>
                <w:rFonts w:asciiTheme="majorHAnsi" w:eastAsia="Times New Roman" w:hAnsiTheme="majorHAnsi" w:cstheme="majorHAnsi"/>
                <w:color w:val="000000"/>
                <w:sz w:val="18"/>
                <w:szCs w:val="18"/>
                <w:lang w:eastAsia="en-AU"/>
              </w:rPr>
              <w:t>-</w:t>
            </w:r>
          </w:p>
        </w:tc>
        <w:tc>
          <w:tcPr>
            <w:tcW w:w="2026" w:type="dxa"/>
            <w:tcBorders>
              <w:top w:val="nil"/>
              <w:left w:val="nil"/>
              <w:right w:val="nil"/>
            </w:tcBorders>
            <w:shd w:val="clear" w:color="auto" w:fill="auto"/>
            <w:noWrap/>
          </w:tcPr>
          <w:p w14:paraId="6CC5A57D" w14:textId="77777777" w:rsidR="00335CF7" w:rsidRPr="00286F08"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6F08">
              <w:rPr>
                <w:rFonts w:asciiTheme="majorHAnsi" w:eastAsia="Times New Roman" w:hAnsiTheme="majorHAnsi" w:cstheme="majorHAnsi"/>
                <w:color w:val="000000"/>
                <w:sz w:val="18"/>
                <w:szCs w:val="18"/>
                <w:lang w:eastAsia="en-AU"/>
              </w:rPr>
              <w:t>-</w:t>
            </w:r>
          </w:p>
        </w:tc>
        <w:tc>
          <w:tcPr>
            <w:tcW w:w="1155" w:type="dxa"/>
            <w:tcBorders>
              <w:top w:val="nil"/>
              <w:left w:val="nil"/>
              <w:right w:val="nil"/>
            </w:tcBorders>
            <w:shd w:val="clear" w:color="auto" w:fill="auto"/>
            <w:noWrap/>
          </w:tcPr>
          <w:p w14:paraId="756AAF02" w14:textId="77777777" w:rsidR="00335CF7" w:rsidRPr="00286F08"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28,708</w:t>
            </w:r>
          </w:p>
        </w:tc>
      </w:tr>
      <w:tr w:rsidR="00335CF7" w:rsidRPr="00286F08" w14:paraId="60A8B3EA" w14:textId="77777777" w:rsidTr="000F69BD">
        <w:tc>
          <w:tcPr>
            <w:tcW w:w="709" w:type="dxa"/>
            <w:tcBorders>
              <w:top w:val="nil"/>
              <w:left w:val="nil"/>
              <w:right w:val="nil"/>
            </w:tcBorders>
            <w:shd w:val="clear" w:color="auto" w:fill="auto"/>
            <w:noWrap/>
          </w:tcPr>
          <w:p w14:paraId="6AF91996" w14:textId="77777777" w:rsidR="00335CF7" w:rsidRPr="00286F08" w:rsidRDefault="00335CF7" w:rsidP="000F69BD">
            <w:pPr>
              <w:spacing w:after="0" w:line="240" w:lineRule="auto"/>
              <w:rPr>
                <w:rFonts w:asciiTheme="majorHAnsi" w:eastAsia="Times New Roman" w:hAnsiTheme="majorHAnsi" w:cstheme="majorHAnsi"/>
                <w:b/>
                <w:color w:val="000000"/>
                <w:sz w:val="18"/>
                <w:szCs w:val="18"/>
                <w:lang w:eastAsia="en-AU"/>
              </w:rPr>
            </w:pPr>
          </w:p>
        </w:tc>
        <w:tc>
          <w:tcPr>
            <w:tcW w:w="847" w:type="dxa"/>
            <w:tcBorders>
              <w:top w:val="nil"/>
              <w:left w:val="nil"/>
              <w:right w:val="nil"/>
            </w:tcBorders>
            <w:shd w:val="clear" w:color="auto" w:fill="auto"/>
            <w:noWrap/>
          </w:tcPr>
          <w:p w14:paraId="715792EA" w14:textId="77777777" w:rsidR="00335CF7" w:rsidRPr="00286F08" w:rsidRDefault="00335CF7" w:rsidP="000F69BD">
            <w:pPr>
              <w:spacing w:after="0" w:line="240" w:lineRule="auto"/>
              <w:rPr>
                <w:rFonts w:asciiTheme="majorHAnsi" w:eastAsia="Times New Roman" w:hAnsiTheme="majorHAnsi" w:cstheme="majorHAnsi"/>
                <w:b/>
                <w:color w:val="000000"/>
                <w:sz w:val="18"/>
                <w:szCs w:val="18"/>
                <w:lang w:eastAsia="en-AU"/>
              </w:rPr>
            </w:pPr>
          </w:p>
        </w:tc>
        <w:tc>
          <w:tcPr>
            <w:tcW w:w="2635" w:type="dxa"/>
            <w:tcBorders>
              <w:top w:val="nil"/>
              <w:left w:val="nil"/>
              <w:right w:val="nil"/>
            </w:tcBorders>
            <w:shd w:val="clear" w:color="auto" w:fill="auto"/>
            <w:noWrap/>
          </w:tcPr>
          <w:p w14:paraId="47AC0BED" w14:textId="77777777" w:rsidR="00335CF7" w:rsidRPr="00286F08" w:rsidRDefault="00335CF7" w:rsidP="000F69BD">
            <w:pPr>
              <w:spacing w:after="0" w:line="240" w:lineRule="auto"/>
              <w:rPr>
                <w:rFonts w:asciiTheme="majorHAnsi" w:hAnsiTheme="majorHAnsi" w:cstheme="majorHAnsi"/>
                <w:b/>
                <w:sz w:val="18"/>
                <w:szCs w:val="18"/>
              </w:rPr>
            </w:pPr>
            <w:r w:rsidRPr="00286F08">
              <w:rPr>
                <w:rFonts w:asciiTheme="majorHAnsi" w:hAnsiTheme="majorHAnsi" w:cstheme="majorHAnsi"/>
                <w:b/>
                <w:sz w:val="18"/>
                <w:szCs w:val="18"/>
              </w:rPr>
              <w:t>Subtotal</w:t>
            </w:r>
          </w:p>
        </w:tc>
        <w:tc>
          <w:tcPr>
            <w:tcW w:w="1189" w:type="dxa"/>
            <w:tcBorders>
              <w:top w:val="nil"/>
              <w:left w:val="nil"/>
              <w:right w:val="nil"/>
            </w:tcBorders>
            <w:shd w:val="clear" w:color="auto" w:fill="auto"/>
            <w:noWrap/>
          </w:tcPr>
          <w:p w14:paraId="2E5252BF" w14:textId="77777777" w:rsidR="00335CF7" w:rsidRPr="00284549" w:rsidRDefault="00335CF7" w:rsidP="000F69BD">
            <w:pPr>
              <w:spacing w:after="0" w:line="240" w:lineRule="auto"/>
              <w:jc w:val="right"/>
              <w:rPr>
                <w:rFonts w:asciiTheme="majorHAnsi" w:hAnsiTheme="majorHAnsi" w:cstheme="majorHAnsi"/>
                <w:b/>
                <w:sz w:val="18"/>
                <w:szCs w:val="18"/>
              </w:rPr>
            </w:pPr>
            <w:r w:rsidRPr="00284549">
              <w:rPr>
                <w:rFonts w:asciiTheme="majorHAnsi" w:hAnsiTheme="majorHAnsi" w:cstheme="majorHAnsi"/>
                <w:b/>
                <w:sz w:val="18"/>
                <w:szCs w:val="18"/>
              </w:rPr>
              <w:t>2,249,140</w:t>
            </w:r>
          </w:p>
        </w:tc>
        <w:tc>
          <w:tcPr>
            <w:tcW w:w="1033" w:type="dxa"/>
            <w:tcBorders>
              <w:top w:val="nil"/>
              <w:left w:val="nil"/>
              <w:right w:val="nil"/>
            </w:tcBorders>
            <w:shd w:val="clear" w:color="auto" w:fill="auto"/>
            <w:noWrap/>
          </w:tcPr>
          <w:p w14:paraId="273D4673" w14:textId="77777777" w:rsidR="00335CF7" w:rsidRPr="00284549" w:rsidRDefault="00335CF7" w:rsidP="000F69BD">
            <w:pPr>
              <w:spacing w:after="0" w:line="240" w:lineRule="auto"/>
              <w:jc w:val="right"/>
              <w:rPr>
                <w:rFonts w:asciiTheme="majorHAnsi" w:hAnsiTheme="majorHAnsi" w:cstheme="majorHAnsi"/>
                <w:b/>
                <w:sz w:val="18"/>
                <w:szCs w:val="18"/>
              </w:rPr>
            </w:pPr>
            <w:r w:rsidRPr="00284549">
              <w:rPr>
                <w:rFonts w:asciiTheme="majorHAnsi" w:hAnsiTheme="majorHAnsi" w:cstheme="majorHAnsi"/>
                <w:b/>
                <w:sz w:val="18"/>
                <w:szCs w:val="18"/>
              </w:rPr>
              <w:t>1.3%</w:t>
            </w:r>
          </w:p>
        </w:tc>
        <w:tc>
          <w:tcPr>
            <w:tcW w:w="809" w:type="dxa"/>
            <w:tcBorders>
              <w:top w:val="nil"/>
              <w:left w:val="nil"/>
              <w:right w:val="nil"/>
            </w:tcBorders>
            <w:shd w:val="clear" w:color="auto" w:fill="auto"/>
            <w:noWrap/>
          </w:tcPr>
          <w:p w14:paraId="74C4742E" w14:textId="77777777" w:rsidR="00335CF7" w:rsidRPr="00286F08" w:rsidRDefault="00335CF7" w:rsidP="000F69BD">
            <w:pPr>
              <w:spacing w:after="0" w:line="240" w:lineRule="auto"/>
              <w:jc w:val="center"/>
              <w:rPr>
                <w:rFonts w:asciiTheme="majorHAnsi" w:eastAsia="Times New Roman" w:hAnsiTheme="majorHAnsi" w:cstheme="majorHAnsi"/>
                <w:b/>
                <w:bCs/>
                <w:color w:val="000000"/>
                <w:sz w:val="18"/>
                <w:szCs w:val="18"/>
                <w:lang w:eastAsia="en-AU"/>
              </w:rPr>
            </w:pPr>
            <w:r w:rsidRPr="00286F08">
              <w:rPr>
                <w:rFonts w:asciiTheme="majorHAnsi" w:eastAsia="Times New Roman" w:hAnsiTheme="majorHAnsi" w:cstheme="majorHAnsi"/>
                <w:b/>
                <w:bCs/>
                <w:color w:val="000000"/>
                <w:sz w:val="18"/>
                <w:szCs w:val="18"/>
                <w:lang w:eastAsia="en-AU"/>
              </w:rPr>
              <w:t>-</w:t>
            </w:r>
          </w:p>
        </w:tc>
        <w:tc>
          <w:tcPr>
            <w:tcW w:w="2026" w:type="dxa"/>
            <w:tcBorders>
              <w:top w:val="nil"/>
              <w:left w:val="nil"/>
              <w:right w:val="nil"/>
            </w:tcBorders>
            <w:shd w:val="clear" w:color="auto" w:fill="auto"/>
            <w:noWrap/>
          </w:tcPr>
          <w:p w14:paraId="2FA9F0B6" w14:textId="77777777" w:rsidR="00335CF7" w:rsidRPr="00286F08" w:rsidRDefault="00335CF7" w:rsidP="000F69BD">
            <w:pPr>
              <w:spacing w:after="0" w:line="240" w:lineRule="auto"/>
              <w:jc w:val="center"/>
              <w:rPr>
                <w:rFonts w:asciiTheme="majorHAnsi" w:eastAsia="Times New Roman" w:hAnsiTheme="majorHAnsi" w:cstheme="majorHAnsi"/>
                <w:b/>
                <w:bCs/>
                <w:color w:val="000000"/>
                <w:sz w:val="18"/>
                <w:szCs w:val="18"/>
                <w:lang w:eastAsia="en-AU"/>
              </w:rPr>
            </w:pPr>
            <w:r w:rsidRPr="00286F08">
              <w:rPr>
                <w:rFonts w:asciiTheme="majorHAnsi" w:eastAsia="Times New Roman" w:hAnsiTheme="majorHAnsi" w:cstheme="majorHAnsi"/>
                <w:b/>
                <w:bCs/>
                <w:color w:val="000000"/>
                <w:sz w:val="18"/>
                <w:szCs w:val="18"/>
                <w:lang w:eastAsia="en-AU"/>
              </w:rPr>
              <w:t>-</w:t>
            </w:r>
          </w:p>
        </w:tc>
        <w:tc>
          <w:tcPr>
            <w:tcW w:w="1155" w:type="dxa"/>
            <w:tcBorders>
              <w:top w:val="nil"/>
              <w:left w:val="nil"/>
              <w:right w:val="nil"/>
            </w:tcBorders>
            <w:shd w:val="clear" w:color="auto" w:fill="auto"/>
            <w:noWrap/>
          </w:tcPr>
          <w:p w14:paraId="25845474" w14:textId="77777777" w:rsidR="00335CF7" w:rsidRPr="00286F08" w:rsidRDefault="00335CF7" w:rsidP="000F69BD">
            <w:pPr>
              <w:spacing w:after="0" w:line="240" w:lineRule="auto"/>
              <w:jc w:val="right"/>
              <w:rPr>
                <w:rFonts w:asciiTheme="majorHAnsi" w:hAnsiTheme="majorHAnsi" w:cstheme="majorHAnsi"/>
                <w:b/>
                <w:sz w:val="18"/>
                <w:szCs w:val="18"/>
              </w:rPr>
            </w:pPr>
            <w:r w:rsidRPr="00284549">
              <w:rPr>
                <w:rFonts w:asciiTheme="majorHAnsi" w:hAnsiTheme="majorHAnsi" w:cstheme="majorHAnsi"/>
                <w:b/>
                <w:sz w:val="18"/>
                <w:szCs w:val="18"/>
              </w:rPr>
              <w:t>679,126</w:t>
            </w:r>
          </w:p>
        </w:tc>
      </w:tr>
      <w:tr w:rsidR="00335CF7" w:rsidRPr="00286F08" w14:paraId="190BFF8E" w14:textId="77777777" w:rsidTr="000F69BD">
        <w:tc>
          <w:tcPr>
            <w:tcW w:w="10403" w:type="dxa"/>
            <w:gridSpan w:val="8"/>
            <w:tcBorders>
              <w:top w:val="single" w:sz="4" w:space="0" w:color="auto"/>
              <w:left w:val="nil"/>
              <w:bottom w:val="single" w:sz="4" w:space="0" w:color="auto"/>
              <w:right w:val="nil"/>
            </w:tcBorders>
            <w:shd w:val="clear" w:color="auto" w:fill="auto"/>
            <w:noWrap/>
            <w:vAlign w:val="center"/>
          </w:tcPr>
          <w:p w14:paraId="430B06AD" w14:textId="77777777" w:rsidR="00335CF7" w:rsidRPr="00286F08" w:rsidRDefault="00335CF7" w:rsidP="000F69BD">
            <w:pPr>
              <w:spacing w:after="0" w:line="240" w:lineRule="auto"/>
              <w:rPr>
                <w:rFonts w:asciiTheme="majorHAnsi" w:eastAsia="Times New Roman" w:hAnsiTheme="majorHAnsi" w:cstheme="majorHAnsi"/>
                <w:b/>
                <w:color w:val="000000"/>
                <w:sz w:val="18"/>
                <w:szCs w:val="18"/>
                <w:lang w:eastAsia="en-AU"/>
              </w:rPr>
            </w:pPr>
            <w:r w:rsidRPr="00286F08">
              <w:rPr>
                <w:rFonts w:asciiTheme="majorHAnsi" w:eastAsia="Times New Roman" w:hAnsiTheme="majorHAnsi" w:cstheme="majorHAnsi"/>
                <w:b/>
                <w:color w:val="000000"/>
                <w:sz w:val="18"/>
                <w:szCs w:val="18"/>
                <w:lang w:eastAsia="en-AU"/>
              </w:rPr>
              <w:t>Other horticultural (incl. Nursery and Floriculture products, Mushroom and Vegetables, Kiwifruit, Berries, and Olives)</w:t>
            </w:r>
          </w:p>
        </w:tc>
      </w:tr>
      <w:tr w:rsidR="00335CF7" w:rsidRPr="00286F08" w14:paraId="0CBA2E78" w14:textId="77777777" w:rsidTr="000F69BD">
        <w:tc>
          <w:tcPr>
            <w:tcW w:w="709" w:type="dxa"/>
            <w:tcBorders>
              <w:top w:val="single" w:sz="4" w:space="0" w:color="auto"/>
              <w:left w:val="nil"/>
              <w:bottom w:val="single" w:sz="4" w:space="0" w:color="auto"/>
              <w:right w:val="nil"/>
            </w:tcBorders>
            <w:shd w:val="clear" w:color="auto" w:fill="auto"/>
            <w:noWrap/>
          </w:tcPr>
          <w:p w14:paraId="7C57A2DB" w14:textId="77777777" w:rsidR="00335CF7" w:rsidRPr="00286F08" w:rsidRDefault="00335CF7" w:rsidP="000F69BD">
            <w:pPr>
              <w:spacing w:after="0" w:line="240" w:lineRule="auto"/>
              <w:rPr>
                <w:rFonts w:asciiTheme="majorHAnsi" w:eastAsia="Times New Roman" w:hAnsiTheme="majorHAnsi" w:cstheme="majorHAnsi"/>
                <w:b/>
                <w:color w:val="000000"/>
                <w:sz w:val="18"/>
                <w:szCs w:val="18"/>
                <w:lang w:eastAsia="en-AU"/>
              </w:rPr>
            </w:pPr>
          </w:p>
        </w:tc>
        <w:tc>
          <w:tcPr>
            <w:tcW w:w="847" w:type="dxa"/>
            <w:tcBorders>
              <w:top w:val="single" w:sz="4" w:space="0" w:color="auto"/>
              <w:left w:val="nil"/>
              <w:bottom w:val="single" w:sz="4" w:space="0" w:color="auto"/>
              <w:right w:val="nil"/>
            </w:tcBorders>
            <w:shd w:val="clear" w:color="auto" w:fill="auto"/>
            <w:noWrap/>
          </w:tcPr>
          <w:p w14:paraId="490F9535" w14:textId="77777777" w:rsidR="00335CF7" w:rsidRPr="00286F08" w:rsidRDefault="00335CF7" w:rsidP="000F69BD">
            <w:pPr>
              <w:spacing w:after="0" w:line="240" w:lineRule="auto"/>
              <w:rPr>
                <w:rFonts w:asciiTheme="majorHAnsi" w:eastAsia="Times New Roman" w:hAnsiTheme="majorHAnsi" w:cstheme="majorHAnsi"/>
                <w:b/>
                <w:color w:val="000000"/>
                <w:sz w:val="18"/>
                <w:szCs w:val="18"/>
                <w:lang w:eastAsia="en-AU"/>
              </w:rPr>
            </w:pPr>
          </w:p>
        </w:tc>
        <w:tc>
          <w:tcPr>
            <w:tcW w:w="2635" w:type="dxa"/>
            <w:tcBorders>
              <w:top w:val="single" w:sz="4" w:space="0" w:color="auto"/>
              <w:left w:val="nil"/>
              <w:bottom w:val="single" w:sz="4" w:space="0" w:color="auto"/>
              <w:right w:val="nil"/>
            </w:tcBorders>
            <w:shd w:val="clear" w:color="auto" w:fill="auto"/>
            <w:noWrap/>
          </w:tcPr>
          <w:p w14:paraId="75DBF096" w14:textId="77777777" w:rsidR="00335CF7" w:rsidRPr="00286F08" w:rsidRDefault="00335CF7" w:rsidP="000F69BD">
            <w:pPr>
              <w:spacing w:after="0" w:line="240" w:lineRule="auto"/>
              <w:rPr>
                <w:rFonts w:asciiTheme="majorHAnsi" w:eastAsia="Times New Roman" w:hAnsiTheme="majorHAnsi" w:cstheme="majorHAnsi"/>
                <w:b/>
                <w:color w:val="000000"/>
                <w:sz w:val="18"/>
                <w:szCs w:val="18"/>
                <w:lang w:eastAsia="en-AU"/>
              </w:rPr>
            </w:pPr>
            <w:r w:rsidRPr="00286F08">
              <w:rPr>
                <w:rFonts w:asciiTheme="majorHAnsi" w:hAnsiTheme="majorHAnsi" w:cstheme="majorHAnsi"/>
                <w:b/>
                <w:sz w:val="18"/>
                <w:szCs w:val="18"/>
              </w:rPr>
              <w:t>Subtotal</w:t>
            </w:r>
          </w:p>
        </w:tc>
        <w:tc>
          <w:tcPr>
            <w:tcW w:w="1189" w:type="dxa"/>
            <w:tcBorders>
              <w:top w:val="single" w:sz="4" w:space="0" w:color="auto"/>
              <w:left w:val="nil"/>
              <w:bottom w:val="single" w:sz="4" w:space="0" w:color="auto"/>
              <w:right w:val="nil"/>
            </w:tcBorders>
            <w:shd w:val="clear" w:color="auto" w:fill="auto"/>
            <w:noWrap/>
          </w:tcPr>
          <w:p w14:paraId="11A99EA2" w14:textId="77777777" w:rsidR="00335CF7" w:rsidRPr="00286F08" w:rsidRDefault="00335CF7" w:rsidP="000F69BD">
            <w:pPr>
              <w:spacing w:after="0" w:line="240" w:lineRule="auto"/>
              <w:jc w:val="right"/>
              <w:rPr>
                <w:rFonts w:asciiTheme="majorHAnsi" w:eastAsia="Times New Roman" w:hAnsiTheme="majorHAnsi" w:cstheme="majorHAnsi"/>
                <w:b/>
                <w:color w:val="000000"/>
                <w:sz w:val="18"/>
                <w:szCs w:val="18"/>
                <w:lang w:eastAsia="en-AU"/>
              </w:rPr>
            </w:pPr>
            <w:r w:rsidRPr="00286F08">
              <w:rPr>
                <w:rFonts w:asciiTheme="majorHAnsi" w:hAnsiTheme="majorHAnsi" w:cstheme="majorHAnsi"/>
                <w:b/>
                <w:sz w:val="18"/>
                <w:szCs w:val="18"/>
              </w:rPr>
              <w:t>461,551</w:t>
            </w:r>
          </w:p>
        </w:tc>
        <w:tc>
          <w:tcPr>
            <w:tcW w:w="1033" w:type="dxa"/>
            <w:tcBorders>
              <w:top w:val="single" w:sz="4" w:space="0" w:color="auto"/>
              <w:left w:val="nil"/>
              <w:bottom w:val="single" w:sz="4" w:space="0" w:color="auto"/>
              <w:right w:val="nil"/>
            </w:tcBorders>
            <w:shd w:val="clear" w:color="auto" w:fill="auto"/>
            <w:noWrap/>
          </w:tcPr>
          <w:p w14:paraId="3337754F" w14:textId="77777777" w:rsidR="00335CF7" w:rsidRPr="00286F08" w:rsidRDefault="00335CF7" w:rsidP="000F69BD">
            <w:pPr>
              <w:spacing w:after="0" w:line="240" w:lineRule="auto"/>
              <w:jc w:val="right"/>
              <w:rPr>
                <w:rFonts w:asciiTheme="majorHAnsi" w:eastAsia="Times New Roman" w:hAnsiTheme="majorHAnsi" w:cstheme="majorHAnsi"/>
                <w:b/>
                <w:color w:val="000000"/>
                <w:sz w:val="18"/>
                <w:szCs w:val="18"/>
                <w:lang w:eastAsia="en-AU"/>
              </w:rPr>
            </w:pPr>
            <w:r w:rsidRPr="00286F08">
              <w:rPr>
                <w:rFonts w:asciiTheme="majorHAnsi" w:hAnsiTheme="majorHAnsi" w:cstheme="majorHAnsi"/>
                <w:b/>
                <w:sz w:val="18"/>
                <w:szCs w:val="18"/>
              </w:rPr>
              <w:t>0.1%</w:t>
            </w:r>
          </w:p>
        </w:tc>
        <w:tc>
          <w:tcPr>
            <w:tcW w:w="809" w:type="dxa"/>
            <w:tcBorders>
              <w:top w:val="single" w:sz="4" w:space="0" w:color="auto"/>
              <w:left w:val="nil"/>
              <w:bottom w:val="single" w:sz="4" w:space="0" w:color="auto"/>
              <w:right w:val="nil"/>
            </w:tcBorders>
            <w:shd w:val="clear" w:color="auto" w:fill="auto"/>
            <w:noWrap/>
          </w:tcPr>
          <w:p w14:paraId="719C23F9" w14:textId="77777777" w:rsidR="00335CF7" w:rsidRPr="00286F08" w:rsidRDefault="00335CF7" w:rsidP="000F69BD">
            <w:pPr>
              <w:spacing w:after="0" w:line="240" w:lineRule="auto"/>
              <w:jc w:val="center"/>
              <w:rPr>
                <w:rFonts w:asciiTheme="majorHAnsi" w:eastAsia="Times New Roman" w:hAnsiTheme="majorHAnsi" w:cstheme="majorHAnsi"/>
                <w:b/>
                <w:color w:val="000000"/>
                <w:sz w:val="18"/>
                <w:szCs w:val="18"/>
                <w:lang w:eastAsia="en-AU"/>
              </w:rPr>
            </w:pPr>
          </w:p>
        </w:tc>
        <w:tc>
          <w:tcPr>
            <w:tcW w:w="2026" w:type="dxa"/>
            <w:tcBorders>
              <w:top w:val="single" w:sz="4" w:space="0" w:color="auto"/>
              <w:left w:val="nil"/>
              <w:bottom w:val="single" w:sz="4" w:space="0" w:color="auto"/>
              <w:right w:val="nil"/>
            </w:tcBorders>
            <w:shd w:val="clear" w:color="auto" w:fill="auto"/>
            <w:noWrap/>
          </w:tcPr>
          <w:p w14:paraId="0E1D0437" w14:textId="77777777" w:rsidR="00335CF7" w:rsidRPr="00286F08" w:rsidRDefault="00335CF7" w:rsidP="000F69BD">
            <w:pPr>
              <w:spacing w:after="0" w:line="240" w:lineRule="auto"/>
              <w:rPr>
                <w:rFonts w:asciiTheme="majorHAnsi" w:eastAsia="Times New Roman" w:hAnsiTheme="majorHAnsi" w:cstheme="majorHAnsi"/>
                <w:b/>
                <w:sz w:val="18"/>
                <w:szCs w:val="18"/>
                <w:lang w:eastAsia="en-AU"/>
              </w:rPr>
            </w:pPr>
          </w:p>
        </w:tc>
        <w:tc>
          <w:tcPr>
            <w:tcW w:w="1155" w:type="dxa"/>
            <w:tcBorders>
              <w:top w:val="single" w:sz="4" w:space="0" w:color="auto"/>
              <w:left w:val="nil"/>
              <w:bottom w:val="single" w:sz="4" w:space="0" w:color="auto"/>
              <w:right w:val="nil"/>
            </w:tcBorders>
            <w:shd w:val="clear" w:color="auto" w:fill="auto"/>
            <w:noWrap/>
          </w:tcPr>
          <w:p w14:paraId="0A377618" w14:textId="77777777" w:rsidR="00335CF7" w:rsidRPr="00286F08" w:rsidRDefault="00335CF7" w:rsidP="000F69BD">
            <w:pPr>
              <w:spacing w:after="0" w:line="240" w:lineRule="auto"/>
              <w:jc w:val="right"/>
              <w:rPr>
                <w:rFonts w:asciiTheme="majorHAnsi" w:eastAsia="Times New Roman" w:hAnsiTheme="majorHAnsi" w:cstheme="majorHAnsi"/>
                <w:b/>
                <w:color w:val="000000"/>
                <w:sz w:val="18"/>
                <w:szCs w:val="18"/>
                <w:lang w:eastAsia="en-AU"/>
              </w:rPr>
            </w:pPr>
            <w:r w:rsidRPr="008E1C0A">
              <w:rPr>
                <w:rFonts w:asciiTheme="majorHAnsi" w:hAnsiTheme="majorHAnsi" w:cstheme="majorHAnsi"/>
                <w:b/>
                <w:sz w:val="18"/>
                <w:szCs w:val="18"/>
              </w:rPr>
              <w:t>65,738</w:t>
            </w:r>
          </w:p>
        </w:tc>
      </w:tr>
      <w:tr w:rsidR="00335CF7" w:rsidRPr="00286F08" w14:paraId="48222BE6" w14:textId="77777777" w:rsidTr="000F69BD">
        <w:tc>
          <w:tcPr>
            <w:tcW w:w="10403" w:type="dxa"/>
            <w:gridSpan w:val="8"/>
            <w:tcBorders>
              <w:top w:val="single" w:sz="4" w:space="0" w:color="auto"/>
              <w:left w:val="nil"/>
              <w:bottom w:val="single" w:sz="4" w:space="0" w:color="auto"/>
              <w:right w:val="nil"/>
            </w:tcBorders>
            <w:shd w:val="clear" w:color="auto" w:fill="auto"/>
            <w:noWrap/>
            <w:vAlign w:val="bottom"/>
          </w:tcPr>
          <w:p w14:paraId="5D956A76" w14:textId="77777777" w:rsidR="00335CF7" w:rsidRPr="00286F08" w:rsidRDefault="00335CF7" w:rsidP="000F69BD">
            <w:pPr>
              <w:spacing w:after="0" w:line="240" w:lineRule="auto"/>
              <w:rPr>
                <w:rFonts w:asciiTheme="majorHAnsi" w:eastAsia="Times New Roman" w:hAnsiTheme="majorHAnsi" w:cstheme="majorHAnsi"/>
                <w:b/>
                <w:color w:val="000000"/>
                <w:sz w:val="18"/>
                <w:szCs w:val="18"/>
                <w:lang w:eastAsia="en-AU"/>
              </w:rPr>
            </w:pPr>
            <w:r w:rsidRPr="00286F08">
              <w:rPr>
                <w:rFonts w:asciiTheme="majorHAnsi" w:hAnsiTheme="majorHAnsi" w:cstheme="majorHAnsi"/>
                <w:b/>
                <w:sz w:val="18"/>
                <w:szCs w:val="18"/>
              </w:rPr>
              <w:t>All horticultural products</w:t>
            </w:r>
          </w:p>
        </w:tc>
      </w:tr>
      <w:tr w:rsidR="00335CF7" w:rsidRPr="00286F08" w14:paraId="3D612092" w14:textId="77777777" w:rsidTr="000F69BD">
        <w:tc>
          <w:tcPr>
            <w:tcW w:w="709" w:type="dxa"/>
            <w:tcBorders>
              <w:top w:val="single" w:sz="4" w:space="0" w:color="auto"/>
              <w:left w:val="nil"/>
              <w:right w:val="nil"/>
            </w:tcBorders>
            <w:shd w:val="clear" w:color="auto" w:fill="auto"/>
            <w:noWrap/>
          </w:tcPr>
          <w:p w14:paraId="61FAFA22" w14:textId="77777777" w:rsidR="00335CF7" w:rsidRPr="00286F08" w:rsidRDefault="00335CF7" w:rsidP="000F69BD">
            <w:pPr>
              <w:spacing w:after="0" w:line="240" w:lineRule="auto"/>
              <w:rPr>
                <w:rFonts w:asciiTheme="majorHAnsi" w:eastAsia="Times New Roman" w:hAnsiTheme="majorHAnsi" w:cstheme="majorHAnsi"/>
                <w:bCs/>
                <w:color w:val="000000"/>
                <w:sz w:val="18"/>
                <w:szCs w:val="18"/>
                <w:lang w:eastAsia="en-AU"/>
              </w:rPr>
            </w:pPr>
          </w:p>
        </w:tc>
        <w:tc>
          <w:tcPr>
            <w:tcW w:w="847" w:type="dxa"/>
            <w:tcBorders>
              <w:top w:val="single" w:sz="4" w:space="0" w:color="auto"/>
              <w:left w:val="nil"/>
              <w:right w:val="nil"/>
            </w:tcBorders>
            <w:shd w:val="clear" w:color="auto" w:fill="auto"/>
            <w:noWrap/>
          </w:tcPr>
          <w:p w14:paraId="745AD38C" w14:textId="77777777" w:rsidR="00335CF7" w:rsidRPr="00286F08" w:rsidDel="00A97380" w:rsidRDefault="00335CF7" w:rsidP="000F69BD">
            <w:pPr>
              <w:spacing w:after="0" w:line="240" w:lineRule="auto"/>
              <w:rPr>
                <w:rFonts w:asciiTheme="majorHAnsi" w:hAnsiTheme="majorHAnsi" w:cstheme="majorHAnsi"/>
                <w:bCs/>
                <w:sz w:val="18"/>
                <w:szCs w:val="18"/>
              </w:rPr>
            </w:pPr>
          </w:p>
        </w:tc>
        <w:tc>
          <w:tcPr>
            <w:tcW w:w="2635" w:type="dxa"/>
            <w:tcBorders>
              <w:top w:val="single" w:sz="4" w:space="0" w:color="auto"/>
              <w:left w:val="nil"/>
              <w:right w:val="nil"/>
            </w:tcBorders>
            <w:shd w:val="clear" w:color="auto" w:fill="auto"/>
            <w:noWrap/>
            <w:vAlign w:val="center"/>
          </w:tcPr>
          <w:p w14:paraId="5B72A2F6" w14:textId="77777777" w:rsidR="00335CF7" w:rsidRPr="00286F08" w:rsidRDefault="00335CF7" w:rsidP="000F69BD">
            <w:pPr>
              <w:spacing w:after="0" w:line="240" w:lineRule="auto"/>
              <w:rPr>
                <w:rFonts w:asciiTheme="majorHAnsi" w:hAnsiTheme="majorHAnsi" w:cstheme="majorHAnsi"/>
                <w:bCs/>
                <w:sz w:val="18"/>
                <w:szCs w:val="18"/>
              </w:rPr>
            </w:pPr>
            <w:r w:rsidRPr="00286F08">
              <w:rPr>
                <w:rFonts w:asciiTheme="majorHAnsi" w:eastAsia="Times New Roman" w:hAnsiTheme="majorHAnsi" w:cstheme="majorHAnsi"/>
                <w:bCs/>
                <w:color w:val="000000"/>
                <w:sz w:val="18"/>
                <w:szCs w:val="18"/>
                <w:lang w:eastAsia="en-AU"/>
              </w:rPr>
              <w:t>all horticultural commodities</w:t>
            </w:r>
          </w:p>
        </w:tc>
        <w:tc>
          <w:tcPr>
            <w:tcW w:w="1189" w:type="dxa"/>
            <w:tcBorders>
              <w:top w:val="single" w:sz="4" w:space="0" w:color="auto"/>
              <w:left w:val="nil"/>
              <w:right w:val="nil"/>
            </w:tcBorders>
            <w:shd w:val="clear" w:color="auto" w:fill="auto"/>
            <w:noWrap/>
            <w:vAlign w:val="center"/>
          </w:tcPr>
          <w:p w14:paraId="57E29002" w14:textId="77777777" w:rsidR="00335CF7" w:rsidRPr="00284549"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4,662,447</w:t>
            </w:r>
          </w:p>
        </w:tc>
        <w:tc>
          <w:tcPr>
            <w:tcW w:w="1033" w:type="dxa"/>
            <w:tcBorders>
              <w:top w:val="single" w:sz="4" w:space="0" w:color="auto"/>
              <w:left w:val="nil"/>
              <w:right w:val="nil"/>
            </w:tcBorders>
            <w:shd w:val="clear" w:color="auto" w:fill="auto"/>
            <w:noWrap/>
            <w:vAlign w:val="center"/>
          </w:tcPr>
          <w:p w14:paraId="29BB71FF" w14:textId="77777777" w:rsidR="00335CF7" w:rsidRPr="00284549"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0.2%</w:t>
            </w:r>
          </w:p>
        </w:tc>
        <w:tc>
          <w:tcPr>
            <w:tcW w:w="809" w:type="dxa"/>
            <w:tcBorders>
              <w:top w:val="single" w:sz="4" w:space="0" w:color="auto"/>
              <w:left w:val="nil"/>
              <w:right w:val="nil"/>
            </w:tcBorders>
            <w:shd w:val="clear" w:color="auto" w:fill="auto"/>
            <w:noWrap/>
            <w:vAlign w:val="center"/>
          </w:tcPr>
          <w:p w14:paraId="1711123D" w14:textId="77777777" w:rsidR="00335CF7" w:rsidRPr="00284549" w:rsidDel="00A97380"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4549">
              <w:rPr>
                <w:rFonts w:asciiTheme="majorHAnsi" w:eastAsia="Times New Roman" w:hAnsiTheme="majorHAnsi" w:cstheme="majorHAnsi"/>
                <w:color w:val="000000"/>
                <w:sz w:val="18"/>
                <w:szCs w:val="18"/>
                <w:lang w:eastAsia="en-AU"/>
              </w:rPr>
              <w:t>10-45</w:t>
            </w:r>
          </w:p>
        </w:tc>
        <w:tc>
          <w:tcPr>
            <w:tcW w:w="2026" w:type="dxa"/>
            <w:tcBorders>
              <w:top w:val="single" w:sz="4" w:space="0" w:color="auto"/>
              <w:left w:val="nil"/>
              <w:right w:val="nil"/>
            </w:tcBorders>
            <w:shd w:val="clear" w:color="auto" w:fill="auto"/>
            <w:noWrap/>
            <w:vAlign w:val="center"/>
          </w:tcPr>
          <w:p w14:paraId="04F57665" w14:textId="77777777" w:rsidR="00335CF7" w:rsidRPr="00284549" w:rsidDel="00A97380" w:rsidRDefault="00335CF7" w:rsidP="000F69BD">
            <w:pPr>
              <w:spacing w:after="0" w:line="240" w:lineRule="auto"/>
              <w:rPr>
                <w:rFonts w:asciiTheme="majorHAnsi" w:hAnsiTheme="majorHAnsi" w:cstheme="majorHAnsi"/>
                <w:sz w:val="16"/>
                <w:szCs w:val="16"/>
              </w:rPr>
            </w:pPr>
            <w:r w:rsidRPr="00284549">
              <w:rPr>
                <w:rFonts w:asciiTheme="majorHAnsi" w:hAnsiTheme="majorHAnsi" w:cstheme="majorHAnsi"/>
                <w:sz w:val="16"/>
                <w:szCs w:val="16"/>
              </w:rPr>
              <w:t>Eliminated by the 7th year without conditions</w:t>
            </w:r>
          </w:p>
        </w:tc>
        <w:tc>
          <w:tcPr>
            <w:tcW w:w="1155" w:type="dxa"/>
            <w:tcBorders>
              <w:top w:val="single" w:sz="4" w:space="0" w:color="auto"/>
              <w:left w:val="nil"/>
              <w:right w:val="nil"/>
            </w:tcBorders>
            <w:shd w:val="clear" w:color="auto" w:fill="auto"/>
            <w:noWrap/>
            <w:vAlign w:val="center"/>
          </w:tcPr>
          <w:p w14:paraId="57CBB810" w14:textId="77777777" w:rsidR="00335CF7" w:rsidRPr="00284549"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1,325,353</w:t>
            </w:r>
          </w:p>
        </w:tc>
      </w:tr>
      <w:tr w:rsidR="00335CF7" w:rsidRPr="00286F08" w14:paraId="682B15CA" w14:textId="77777777" w:rsidTr="000F69BD">
        <w:tc>
          <w:tcPr>
            <w:tcW w:w="709" w:type="dxa"/>
            <w:tcBorders>
              <w:left w:val="nil"/>
              <w:right w:val="nil"/>
            </w:tcBorders>
            <w:shd w:val="clear" w:color="auto" w:fill="auto"/>
            <w:noWrap/>
          </w:tcPr>
          <w:p w14:paraId="522B43F3" w14:textId="77777777" w:rsidR="00335CF7" w:rsidRPr="00286F08" w:rsidRDefault="00335CF7" w:rsidP="000F69BD">
            <w:pPr>
              <w:spacing w:after="0" w:line="240" w:lineRule="auto"/>
              <w:rPr>
                <w:rFonts w:asciiTheme="majorHAnsi" w:eastAsia="Times New Roman" w:hAnsiTheme="majorHAnsi" w:cstheme="majorHAnsi"/>
                <w:bCs/>
                <w:color w:val="000000"/>
                <w:sz w:val="18"/>
                <w:szCs w:val="18"/>
                <w:lang w:eastAsia="en-AU"/>
              </w:rPr>
            </w:pPr>
          </w:p>
        </w:tc>
        <w:tc>
          <w:tcPr>
            <w:tcW w:w="847" w:type="dxa"/>
            <w:tcBorders>
              <w:left w:val="nil"/>
              <w:right w:val="nil"/>
            </w:tcBorders>
            <w:shd w:val="clear" w:color="auto" w:fill="auto"/>
            <w:noWrap/>
          </w:tcPr>
          <w:p w14:paraId="60DAA2FB" w14:textId="77777777" w:rsidR="00335CF7" w:rsidRPr="00286F08" w:rsidDel="00A97380" w:rsidRDefault="00335CF7" w:rsidP="000F69BD">
            <w:pPr>
              <w:spacing w:after="0" w:line="240" w:lineRule="auto"/>
              <w:rPr>
                <w:rFonts w:asciiTheme="majorHAnsi" w:hAnsiTheme="majorHAnsi" w:cstheme="majorHAnsi"/>
                <w:bCs/>
                <w:sz w:val="18"/>
                <w:szCs w:val="18"/>
              </w:rPr>
            </w:pPr>
          </w:p>
        </w:tc>
        <w:tc>
          <w:tcPr>
            <w:tcW w:w="2635" w:type="dxa"/>
            <w:tcBorders>
              <w:left w:val="nil"/>
              <w:right w:val="nil"/>
            </w:tcBorders>
            <w:shd w:val="clear" w:color="auto" w:fill="auto"/>
            <w:noWrap/>
            <w:vAlign w:val="center"/>
          </w:tcPr>
          <w:p w14:paraId="3EAB71FE" w14:textId="77777777" w:rsidR="00335CF7" w:rsidRPr="00286F08" w:rsidRDefault="00335CF7" w:rsidP="000F69BD">
            <w:pPr>
              <w:spacing w:after="0" w:line="240" w:lineRule="auto"/>
              <w:rPr>
                <w:rFonts w:asciiTheme="majorHAnsi" w:eastAsia="Times New Roman" w:hAnsiTheme="majorHAnsi" w:cstheme="majorHAnsi"/>
                <w:bCs/>
                <w:color w:val="000000"/>
                <w:sz w:val="18"/>
                <w:szCs w:val="18"/>
                <w:lang w:eastAsia="en-AU"/>
              </w:rPr>
            </w:pPr>
            <w:r w:rsidRPr="00286F08">
              <w:rPr>
                <w:rFonts w:asciiTheme="majorHAnsi" w:eastAsia="Times New Roman" w:hAnsiTheme="majorHAnsi" w:cstheme="majorHAnsi"/>
                <w:bCs/>
                <w:color w:val="000000"/>
                <w:sz w:val="18"/>
                <w:szCs w:val="18"/>
                <w:lang w:eastAsia="en-AU"/>
              </w:rPr>
              <w:t>all horticultural commodities</w:t>
            </w:r>
          </w:p>
        </w:tc>
        <w:tc>
          <w:tcPr>
            <w:tcW w:w="1189" w:type="dxa"/>
            <w:tcBorders>
              <w:left w:val="nil"/>
              <w:right w:val="nil"/>
            </w:tcBorders>
            <w:shd w:val="clear" w:color="auto" w:fill="auto"/>
            <w:noWrap/>
            <w:vAlign w:val="center"/>
          </w:tcPr>
          <w:p w14:paraId="5240EBF3" w14:textId="77777777" w:rsidR="00335CF7" w:rsidRPr="00286F08"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47,009</w:t>
            </w:r>
          </w:p>
        </w:tc>
        <w:tc>
          <w:tcPr>
            <w:tcW w:w="1033" w:type="dxa"/>
            <w:tcBorders>
              <w:left w:val="nil"/>
              <w:right w:val="nil"/>
            </w:tcBorders>
            <w:shd w:val="clear" w:color="auto" w:fill="auto"/>
            <w:noWrap/>
            <w:vAlign w:val="center"/>
          </w:tcPr>
          <w:p w14:paraId="1FA8987B" w14:textId="77777777" w:rsidR="00335CF7" w:rsidRPr="00286F08"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0.0%</w:t>
            </w:r>
          </w:p>
        </w:tc>
        <w:tc>
          <w:tcPr>
            <w:tcW w:w="809" w:type="dxa"/>
            <w:tcBorders>
              <w:left w:val="nil"/>
              <w:right w:val="nil"/>
            </w:tcBorders>
            <w:shd w:val="clear" w:color="auto" w:fill="auto"/>
            <w:noWrap/>
            <w:vAlign w:val="center"/>
          </w:tcPr>
          <w:p w14:paraId="21EE59F0" w14:textId="77777777" w:rsidR="00335CF7" w:rsidRPr="00284549"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4549">
              <w:rPr>
                <w:rFonts w:asciiTheme="majorHAnsi" w:eastAsia="Times New Roman" w:hAnsiTheme="majorHAnsi" w:cstheme="majorHAnsi"/>
                <w:color w:val="000000"/>
                <w:sz w:val="18"/>
                <w:szCs w:val="18"/>
                <w:lang w:eastAsia="en-AU"/>
              </w:rPr>
              <w:t>30-100</w:t>
            </w:r>
          </w:p>
        </w:tc>
        <w:tc>
          <w:tcPr>
            <w:tcW w:w="2026" w:type="dxa"/>
            <w:tcBorders>
              <w:left w:val="nil"/>
              <w:right w:val="nil"/>
            </w:tcBorders>
            <w:shd w:val="clear" w:color="auto" w:fill="auto"/>
            <w:noWrap/>
            <w:vAlign w:val="center"/>
          </w:tcPr>
          <w:p w14:paraId="4FFD08F4" w14:textId="77777777" w:rsidR="00335CF7" w:rsidRPr="00286F08" w:rsidRDefault="00335CF7" w:rsidP="000F69BD">
            <w:pPr>
              <w:spacing w:after="0" w:line="240" w:lineRule="auto"/>
              <w:rPr>
                <w:rFonts w:asciiTheme="majorHAnsi" w:hAnsiTheme="majorHAnsi" w:cstheme="majorHAnsi"/>
                <w:sz w:val="16"/>
                <w:szCs w:val="16"/>
              </w:rPr>
            </w:pPr>
            <w:r w:rsidRPr="00284549">
              <w:rPr>
                <w:rFonts w:asciiTheme="majorHAnsi" w:hAnsiTheme="majorHAnsi" w:cstheme="majorHAnsi"/>
                <w:sz w:val="16"/>
                <w:szCs w:val="16"/>
              </w:rPr>
              <w:t>Reduction by 7th year without conditions</w:t>
            </w:r>
          </w:p>
        </w:tc>
        <w:tc>
          <w:tcPr>
            <w:tcW w:w="1155" w:type="dxa"/>
            <w:tcBorders>
              <w:left w:val="nil"/>
              <w:right w:val="nil"/>
            </w:tcBorders>
            <w:shd w:val="clear" w:color="auto" w:fill="auto"/>
            <w:noWrap/>
            <w:vAlign w:val="center"/>
          </w:tcPr>
          <w:p w14:paraId="394D5E65" w14:textId="77777777" w:rsidR="00335CF7" w:rsidRPr="00286F08"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14,103</w:t>
            </w:r>
          </w:p>
        </w:tc>
      </w:tr>
      <w:tr w:rsidR="00335CF7" w:rsidRPr="00286F08" w14:paraId="0196E802" w14:textId="77777777" w:rsidTr="000F69BD">
        <w:tc>
          <w:tcPr>
            <w:tcW w:w="709" w:type="dxa"/>
            <w:tcBorders>
              <w:left w:val="nil"/>
              <w:right w:val="nil"/>
            </w:tcBorders>
            <w:shd w:val="clear" w:color="auto" w:fill="auto"/>
            <w:noWrap/>
          </w:tcPr>
          <w:p w14:paraId="57EFE310" w14:textId="77777777" w:rsidR="00335CF7" w:rsidRPr="00286F08" w:rsidRDefault="00335CF7" w:rsidP="000F69BD">
            <w:pPr>
              <w:spacing w:after="0" w:line="240" w:lineRule="auto"/>
              <w:rPr>
                <w:rFonts w:asciiTheme="majorHAnsi" w:eastAsia="Times New Roman" w:hAnsiTheme="majorHAnsi" w:cstheme="majorHAnsi"/>
                <w:bCs/>
                <w:color w:val="000000"/>
                <w:sz w:val="18"/>
                <w:szCs w:val="18"/>
                <w:lang w:eastAsia="en-AU"/>
              </w:rPr>
            </w:pPr>
          </w:p>
        </w:tc>
        <w:tc>
          <w:tcPr>
            <w:tcW w:w="847" w:type="dxa"/>
            <w:tcBorders>
              <w:left w:val="nil"/>
              <w:right w:val="nil"/>
            </w:tcBorders>
            <w:shd w:val="clear" w:color="auto" w:fill="auto"/>
            <w:noWrap/>
          </w:tcPr>
          <w:p w14:paraId="28E6C03E" w14:textId="77777777" w:rsidR="00335CF7" w:rsidRPr="00286F08" w:rsidDel="00A97380" w:rsidRDefault="00335CF7" w:rsidP="000F69BD">
            <w:pPr>
              <w:spacing w:after="0" w:line="240" w:lineRule="auto"/>
              <w:rPr>
                <w:rFonts w:asciiTheme="majorHAnsi" w:hAnsiTheme="majorHAnsi" w:cstheme="majorHAnsi"/>
                <w:bCs/>
                <w:sz w:val="18"/>
                <w:szCs w:val="18"/>
              </w:rPr>
            </w:pPr>
          </w:p>
        </w:tc>
        <w:tc>
          <w:tcPr>
            <w:tcW w:w="2635" w:type="dxa"/>
            <w:tcBorders>
              <w:left w:val="nil"/>
              <w:right w:val="nil"/>
            </w:tcBorders>
            <w:shd w:val="clear" w:color="auto" w:fill="auto"/>
            <w:noWrap/>
            <w:vAlign w:val="center"/>
          </w:tcPr>
          <w:p w14:paraId="3769E5C9" w14:textId="77777777" w:rsidR="00335CF7" w:rsidRPr="00286F08" w:rsidRDefault="00335CF7" w:rsidP="000F69BD">
            <w:pPr>
              <w:spacing w:after="0" w:line="240" w:lineRule="auto"/>
              <w:rPr>
                <w:rFonts w:asciiTheme="majorHAnsi" w:hAnsiTheme="majorHAnsi" w:cstheme="majorHAnsi"/>
                <w:bCs/>
                <w:sz w:val="18"/>
                <w:szCs w:val="18"/>
              </w:rPr>
            </w:pPr>
            <w:r w:rsidRPr="00286F08">
              <w:rPr>
                <w:rFonts w:asciiTheme="majorHAnsi" w:eastAsia="Times New Roman" w:hAnsiTheme="majorHAnsi" w:cstheme="majorHAnsi"/>
                <w:bCs/>
                <w:color w:val="000000"/>
                <w:sz w:val="18"/>
                <w:szCs w:val="18"/>
                <w:lang w:eastAsia="en-AU"/>
              </w:rPr>
              <w:t>all horticultural commodities</w:t>
            </w:r>
          </w:p>
        </w:tc>
        <w:tc>
          <w:tcPr>
            <w:tcW w:w="1189" w:type="dxa"/>
            <w:tcBorders>
              <w:left w:val="nil"/>
              <w:right w:val="nil"/>
            </w:tcBorders>
            <w:shd w:val="clear" w:color="auto" w:fill="auto"/>
            <w:noWrap/>
            <w:vAlign w:val="center"/>
          </w:tcPr>
          <w:p w14:paraId="74A132FF" w14:textId="77777777" w:rsidR="00335CF7" w:rsidRPr="00284549"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163,408,359</w:t>
            </w:r>
          </w:p>
        </w:tc>
        <w:tc>
          <w:tcPr>
            <w:tcW w:w="1033" w:type="dxa"/>
            <w:tcBorders>
              <w:left w:val="nil"/>
              <w:right w:val="nil"/>
            </w:tcBorders>
            <w:shd w:val="clear" w:color="auto" w:fill="auto"/>
            <w:noWrap/>
            <w:vAlign w:val="center"/>
          </w:tcPr>
          <w:p w14:paraId="672E5ED0" w14:textId="77777777" w:rsidR="00335CF7" w:rsidRPr="00284549"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9.2%</w:t>
            </w:r>
          </w:p>
        </w:tc>
        <w:tc>
          <w:tcPr>
            <w:tcW w:w="809" w:type="dxa"/>
            <w:tcBorders>
              <w:left w:val="nil"/>
              <w:right w:val="nil"/>
            </w:tcBorders>
            <w:shd w:val="clear" w:color="auto" w:fill="auto"/>
            <w:noWrap/>
            <w:vAlign w:val="center"/>
          </w:tcPr>
          <w:p w14:paraId="78F84D44" w14:textId="77777777" w:rsidR="00335CF7" w:rsidRPr="00284549" w:rsidDel="00A97380"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4549">
              <w:rPr>
                <w:rFonts w:asciiTheme="majorHAnsi" w:eastAsia="Times New Roman" w:hAnsiTheme="majorHAnsi" w:cstheme="majorHAnsi"/>
                <w:color w:val="000000"/>
                <w:sz w:val="18"/>
                <w:szCs w:val="18"/>
                <w:lang w:eastAsia="en-AU"/>
              </w:rPr>
              <w:t>30-40</w:t>
            </w:r>
          </w:p>
        </w:tc>
        <w:tc>
          <w:tcPr>
            <w:tcW w:w="2026" w:type="dxa"/>
            <w:tcBorders>
              <w:left w:val="nil"/>
              <w:right w:val="nil"/>
            </w:tcBorders>
            <w:shd w:val="clear" w:color="auto" w:fill="auto"/>
            <w:noWrap/>
            <w:vAlign w:val="center"/>
          </w:tcPr>
          <w:p w14:paraId="68B925A2" w14:textId="77777777" w:rsidR="00335CF7" w:rsidRPr="00284549" w:rsidDel="00A97380" w:rsidRDefault="00335CF7" w:rsidP="000F69BD">
            <w:pPr>
              <w:spacing w:after="0" w:line="240" w:lineRule="auto"/>
              <w:rPr>
                <w:rFonts w:asciiTheme="majorHAnsi" w:hAnsiTheme="majorHAnsi" w:cstheme="majorHAnsi"/>
                <w:sz w:val="16"/>
                <w:szCs w:val="16"/>
              </w:rPr>
            </w:pPr>
            <w:r w:rsidRPr="00284549">
              <w:rPr>
                <w:rFonts w:asciiTheme="majorHAnsi" w:hAnsiTheme="majorHAnsi" w:cstheme="majorHAnsi"/>
                <w:sz w:val="16"/>
                <w:szCs w:val="16"/>
              </w:rPr>
              <w:t>Reduction involving quotas</w:t>
            </w:r>
          </w:p>
        </w:tc>
        <w:tc>
          <w:tcPr>
            <w:tcW w:w="1155" w:type="dxa"/>
            <w:tcBorders>
              <w:left w:val="nil"/>
              <w:right w:val="nil"/>
            </w:tcBorders>
            <w:shd w:val="clear" w:color="auto" w:fill="auto"/>
            <w:noWrap/>
            <w:vAlign w:val="center"/>
          </w:tcPr>
          <w:p w14:paraId="21E5A27A" w14:textId="77777777" w:rsidR="00335CF7" w:rsidRPr="00284549"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19,535,648</w:t>
            </w:r>
          </w:p>
        </w:tc>
      </w:tr>
      <w:tr w:rsidR="00335CF7" w:rsidRPr="00286F08" w14:paraId="4F0E287B" w14:textId="77777777" w:rsidTr="000F69BD">
        <w:tc>
          <w:tcPr>
            <w:tcW w:w="709" w:type="dxa"/>
            <w:tcBorders>
              <w:left w:val="nil"/>
              <w:bottom w:val="single" w:sz="4" w:space="0" w:color="auto"/>
              <w:right w:val="nil"/>
            </w:tcBorders>
            <w:shd w:val="clear" w:color="auto" w:fill="auto"/>
            <w:noWrap/>
          </w:tcPr>
          <w:p w14:paraId="154F455C" w14:textId="77777777" w:rsidR="00335CF7" w:rsidRPr="00286F08" w:rsidRDefault="00335CF7" w:rsidP="000F69BD">
            <w:pPr>
              <w:spacing w:after="0" w:line="240" w:lineRule="auto"/>
              <w:rPr>
                <w:rFonts w:asciiTheme="majorHAnsi" w:eastAsia="Times New Roman" w:hAnsiTheme="majorHAnsi" w:cstheme="majorHAnsi"/>
                <w:bCs/>
                <w:color w:val="000000"/>
                <w:sz w:val="18"/>
                <w:szCs w:val="18"/>
                <w:lang w:eastAsia="en-AU"/>
              </w:rPr>
            </w:pPr>
          </w:p>
        </w:tc>
        <w:tc>
          <w:tcPr>
            <w:tcW w:w="847" w:type="dxa"/>
            <w:tcBorders>
              <w:left w:val="nil"/>
              <w:bottom w:val="single" w:sz="4" w:space="0" w:color="auto"/>
              <w:right w:val="nil"/>
            </w:tcBorders>
            <w:shd w:val="clear" w:color="auto" w:fill="auto"/>
            <w:noWrap/>
          </w:tcPr>
          <w:p w14:paraId="1D24897B" w14:textId="77777777" w:rsidR="00335CF7" w:rsidRPr="00286F08" w:rsidDel="00A97380" w:rsidRDefault="00335CF7" w:rsidP="000F69BD">
            <w:pPr>
              <w:spacing w:after="0" w:line="240" w:lineRule="auto"/>
              <w:rPr>
                <w:rFonts w:asciiTheme="majorHAnsi" w:hAnsiTheme="majorHAnsi" w:cstheme="majorHAnsi"/>
                <w:bCs/>
                <w:sz w:val="18"/>
                <w:szCs w:val="18"/>
              </w:rPr>
            </w:pPr>
          </w:p>
        </w:tc>
        <w:tc>
          <w:tcPr>
            <w:tcW w:w="2635" w:type="dxa"/>
            <w:tcBorders>
              <w:left w:val="nil"/>
              <w:bottom w:val="single" w:sz="4" w:space="0" w:color="auto"/>
              <w:right w:val="nil"/>
            </w:tcBorders>
            <w:shd w:val="clear" w:color="auto" w:fill="auto"/>
            <w:noWrap/>
            <w:vAlign w:val="center"/>
          </w:tcPr>
          <w:p w14:paraId="1DBAF55C" w14:textId="77777777" w:rsidR="00335CF7" w:rsidRPr="00286F08" w:rsidRDefault="00335CF7" w:rsidP="000F69BD">
            <w:pPr>
              <w:spacing w:after="0" w:line="240" w:lineRule="auto"/>
              <w:rPr>
                <w:rFonts w:asciiTheme="majorHAnsi" w:hAnsiTheme="majorHAnsi" w:cstheme="majorHAnsi"/>
                <w:bCs/>
                <w:sz w:val="18"/>
                <w:szCs w:val="18"/>
              </w:rPr>
            </w:pPr>
            <w:r w:rsidRPr="00286F08">
              <w:rPr>
                <w:rFonts w:asciiTheme="majorHAnsi" w:eastAsia="Times New Roman" w:hAnsiTheme="majorHAnsi" w:cstheme="majorHAnsi"/>
                <w:bCs/>
                <w:color w:val="000000"/>
                <w:sz w:val="18"/>
                <w:szCs w:val="18"/>
                <w:lang w:eastAsia="en-AU"/>
              </w:rPr>
              <w:t>all horticultural commodities</w:t>
            </w:r>
          </w:p>
        </w:tc>
        <w:tc>
          <w:tcPr>
            <w:tcW w:w="1189" w:type="dxa"/>
            <w:tcBorders>
              <w:left w:val="nil"/>
              <w:bottom w:val="single" w:sz="4" w:space="0" w:color="auto"/>
              <w:right w:val="nil"/>
            </w:tcBorders>
            <w:shd w:val="clear" w:color="auto" w:fill="auto"/>
            <w:noWrap/>
            <w:vAlign w:val="center"/>
          </w:tcPr>
          <w:p w14:paraId="28639910" w14:textId="77777777" w:rsidR="00335CF7" w:rsidRPr="00284549"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12,491,512</w:t>
            </w:r>
          </w:p>
        </w:tc>
        <w:tc>
          <w:tcPr>
            <w:tcW w:w="1033" w:type="dxa"/>
            <w:tcBorders>
              <w:left w:val="nil"/>
              <w:bottom w:val="single" w:sz="4" w:space="0" w:color="auto"/>
              <w:right w:val="nil"/>
            </w:tcBorders>
            <w:shd w:val="clear" w:color="auto" w:fill="auto"/>
            <w:noWrap/>
            <w:vAlign w:val="center"/>
          </w:tcPr>
          <w:p w14:paraId="0FF3B359" w14:textId="77777777" w:rsidR="00335CF7" w:rsidRPr="00284549"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0.6%</w:t>
            </w:r>
          </w:p>
        </w:tc>
        <w:tc>
          <w:tcPr>
            <w:tcW w:w="809" w:type="dxa"/>
            <w:tcBorders>
              <w:left w:val="nil"/>
              <w:bottom w:val="single" w:sz="4" w:space="0" w:color="auto"/>
              <w:right w:val="nil"/>
            </w:tcBorders>
            <w:shd w:val="clear" w:color="auto" w:fill="auto"/>
            <w:noWrap/>
            <w:vAlign w:val="center"/>
          </w:tcPr>
          <w:p w14:paraId="133425D4" w14:textId="77777777" w:rsidR="00335CF7" w:rsidRPr="00284549" w:rsidDel="00A97380" w:rsidRDefault="00335CF7" w:rsidP="000F69BD">
            <w:pPr>
              <w:spacing w:after="0" w:line="240" w:lineRule="auto"/>
              <w:jc w:val="center"/>
              <w:rPr>
                <w:rFonts w:asciiTheme="majorHAnsi" w:eastAsia="Times New Roman" w:hAnsiTheme="majorHAnsi" w:cstheme="majorHAnsi"/>
                <w:color w:val="000000"/>
                <w:sz w:val="18"/>
                <w:szCs w:val="18"/>
                <w:lang w:eastAsia="en-AU"/>
              </w:rPr>
            </w:pPr>
            <w:r w:rsidRPr="00284549">
              <w:rPr>
                <w:rFonts w:asciiTheme="majorHAnsi" w:eastAsia="Times New Roman" w:hAnsiTheme="majorHAnsi" w:cstheme="majorHAnsi"/>
                <w:color w:val="000000"/>
                <w:sz w:val="18"/>
                <w:szCs w:val="18"/>
                <w:lang w:eastAsia="en-AU"/>
              </w:rPr>
              <w:t>10-120</w:t>
            </w:r>
          </w:p>
        </w:tc>
        <w:tc>
          <w:tcPr>
            <w:tcW w:w="2026" w:type="dxa"/>
            <w:tcBorders>
              <w:left w:val="nil"/>
              <w:bottom w:val="single" w:sz="4" w:space="0" w:color="auto"/>
              <w:right w:val="nil"/>
            </w:tcBorders>
            <w:shd w:val="clear" w:color="auto" w:fill="auto"/>
            <w:noWrap/>
            <w:vAlign w:val="center"/>
          </w:tcPr>
          <w:p w14:paraId="529BF298" w14:textId="77777777" w:rsidR="00335CF7" w:rsidRPr="00286F08" w:rsidDel="00A97380" w:rsidRDefault="00335CF7" w:rsidP="000F69BD">
            <w:pPr>
              <w:spacing w:after="0" w:line="240" w:lineRule="auto"/>
              <w:rPr>
                <w:rFonts w:asciiTheme="majorHAnsi" w:eastAsia="Times New Roman" w:hAnsiTheme="majorHAnsi" w:cstheme="majorHAnsi"/>
                <w:bCs/>
                <w:color w:val="000000"/>
                <w:sz w:val="16"/>
                <w:szCs w:val="16"/>
                <w:lang w:eastAsia="en-AU"/>
              </w:rPr>
            </w:pPr>
            <w:r w:rsidRPr="00286F08">
              <w:rPr>
                <w:rFonts w:asciiTheme="majorHAnsi" w:hAnsiTheme="majorHAnsi" w:cstheme="majorHAnsi"/>
                <w:sz w:val="16"/>
                <w:szCs w:val="16"/>
              </w:rPr>
              <w:t>Excluded</w:t>
            </w:r>
          </w:p>
        </w:tc>
        <w:tc>
          <w:tcPr>
            <w:tcW w:w="1155" w:type="dxa"/>
            <w:tcBorders>
              <w:left w:val="nil"/>
              <w:bottom w:val="single" w:sz="4" w:space="0" w:color="auto"/>
              <w:right w:val="nil"/>
            </w:tcBorders>
            <w:shd w:val="clear" w:color="auto" w:fill="auto"/>
            <w:noWrap/>
            <w:vAlign w:val="center"/>
          </w:tcPr>
          <w:p w14:paraId="43B698BB" w14:textId="77777777" w:rsidR="00335CF7" w:rsidRPr="00284549" w:rsidRDefault="00335CF7" w:rsidP="000F69BD">
            <w:pPr>
              <w:spacing w:after="0" w:line="240" w:lineRule="auto"/>
              <w:jc w:val="right"/>
              <w:rPr>
                <w:rFonts w:asciiTheme="majorHAnsi" w:hAnsiTheme="majorHAnsi" w:cstheme="majorHAnsi"/>
                <w:sz w:val="18"/>
                <w:szCs w:val="18"/>
              </w:rPr>
            </w:pPr>
            <w:r w:rsidRPr="00757D1C">
              <w:rPr>
                <w:rFonts w:asciiTheme="majorHAnsi" w:hAnsiTheme="majorHAnsi" w:cstheme="majorHAnsi"/>
                <w:sz w:val="18"/>
                <w:szCs w:val="18"/>
              </w:rPr>
              <w:t>6,515,239</w:t>
            </w:r>
          </w:p>
        </w:tc>
      </w:tr>
      <w:tr w:rsidR="00335CF7" w:rsidRPr="00286F08" w14:paraId="1AFCE148" w14:textId="77777777" w:rsidTr="000F69BD">
        <w:tc>
          <w:tcPr>
            <w:tcW w:w="709" w:type="dxa"/>
            <w:tcBorders>
              <w:top w:val="single" w:sz="4" w:space="0" w:color="auto"/>
              <w:left w:val="nil"/>
              <w:bottom w:val="single" w:sz="4" w:space="0" w:color="auto"/>
              <w:right w:val="nil"/>
            </w:tcBorders>
            <w:shd w:val="clear" w:color="auto" w:fill="auto"/>
            <w:noWrap/>
          </w:tcPr>
          <w:p w14:paraId="6D33DBC2" w14:textId="77777777" w:rsidR="00335CF7" w:rsidRPr="00286F08" w:rsidRDefault="00335CF7" w:rsidP="000F69BD">
            <w:pPr>
              <w:spacing w:after="0" w:line="240" w:lineRule="auto"/>
              <w:rPr>
                <w:rFonts w:asciiTheme="majorHAnsi" w:eastAsia="Times New Roman" w:hAnsiTheme="majorHAnsi" w:cstheme="majorHAnsi"/>
                <w:b/>
                <w:color w:val="000000"/>
                <w:sz w:val="18"/>
                <w:szCs w:val="18"/>
                <w:lang w:eastAsia="en-AU"/>
              </w:rPr>
            </w:pPr>
          </w:p>
        </w:tc>
        <w:tc>
          <w:tcPr>
            <w:tcW w:w="847" w:type="dxa"/>
            <w:tcBorders>
              <w:top w:val="single" w:sz="4" w:space="0" w:color="auto"/>
              <w:left w:val="nil"/>
              <w:bottom w:val="single" w:sz="4" w:space="0" w:color="auto"/>
              <w:right w:val="nil"/>
            </w:tcBorders>
            <w:shd w:val="clear" w:color="auto" w:fill="auto"/>
            <w:noWrap/>
          </w:tcPr>
          <w:p w14:paraId="7982A2F3" w14:textId="77777777" w:rsidR="00335CF7" w:rsidRPr="00286F08" w:rsidRDefault="00335CF7" w:rsidP="000F69BD">
            <w:pPr>
              <w:spacing w:after="0" w:line="240" w:lineRule="auto"/>
              <w:rPr>
                <w:rFonts w:asciiTheme="majorHAnsi" w:eastAsia="Times New Roman" w:hAnsiTheme="majorHAnsi" w:cstheme="majorHAnsi"/>
                <w:b/>
                <w:sz w:val="18"/>
                <w:szCs w:val="18"/>
                <w:lang w:eastAsia="en-AU"/>
              </w:rPr>
            </w:pPr>
          </w:p>
        </w:tc>
        <w:tc>
          <w:tcPr>
            <w:tcW w:w="2635" w:type="dxa"/>
            <w:tcBorders>
              <w:top w:val="single" w:sz="4" w:space="0" w:color="auto"/>
              <w:left w:val="nil"/>
              <w:bottom w:val="single" w:sz="4" w:space="0" w:color="auto"/>
              <w:right w:val="nil"/>
            </w:tcBorders>
            <w:shd w:val="clear" w:color="auto" w:fill="auto"/>
            <w:noWrap/>
          </w:tcPr>
          <w:p w14:paraId="23B23FB0" w14:textId="77777777" w:rsidR="00335CF7" w:rsidRPr="00286F08" w:rsidRDefault="00335CF7" w:rsidP="000F69BD">
            <w:pPr>
              <w:spacing w:after="0" w:line="240" w:lineRule="auto"/>
              <w:rPr>
                <w:rFonts w:asciiTheme="majorHAnsi" w:eastAsia="Times New Roman" w:hAnsiTheme="majorHAnsi" w:cstheme="majorHAnsi"/>
                <w:b/>
                <w:color w:val="000000"/>
                <w:sz w:val="18"/>
                <w:szCs w:val="18"/>
                <w:lang w:eastAsia="en-AU"/>
              </w:rPr>
            </w:pPr>
            <w:r w:rsidRPr="00286F08">
              <w:rPr>
                <w:rFonts w:asciiTheme="majorHAnsi" w:hAnsiTheme="majorHAnsi" w:cstheme="majorHAnsi"/>
                <w:b/>
                <w:sz w:val="18"/>
                <w:szCs w:val="18"/>
              </w:rPr>
              <w:t>Total</w:t>
            </w:r>
          </w:p>
        </w:tc>
        <w:tc>
          <w:tcPr>
            <w:tcW w:w="1189" w:type="dxa"/>
            <w:tcBorders>
              <w:top w:val="single" w:sz="4" w:space="0" w:color="auto"/>
              <w:left w:val="nil"/>
              <w:bottom w:val="single" w:sz="4" w:space="0" w:color="auto"/>
              <w:right w:val="nil"/>
            </w:tcBorders>
            <w:shd w:val="clear" w:color="auto" w:fill="auto"/>
            <w:noWrap/>
          </w:tcPr>
          <w:p w14:paraId="0841FCB6" w14:textId="77777777" w:rsidR="00335CF7" w:rsidRPr="00286F08" w:rsidRDefault="00335CF7" w:rsidP="000F69BD">
            <w:pPr>
              <w:spacing w:after="0" w:line="240" w:lineRule="auto"/>
              <w:jc w:val="right"/>
              <w:rPr>
                <w:rFonts w:asciiTheme="majorHAnsi" w:eastAsia="Times New Roman" w:hAnsiTheme="majorHAnsi" w:cstheme="majorHAnsi"/>
                <w:b/>
                <w:color w:val="000000"/>
                <w:sz w:val="18"/>
                <w:szCs w:val="18"/>
                <w:lang w:eastAsia="en-AU"/>
              </w:rPr>
            </w:pPr>
            <w:r w:rsidRPr="00286F08">
              <w:rPr>
                <w:rFonts w:asciiTheme="majorHAnsi" w:hAnsiTheme="majorHAnsi" w:cstheme="majorHAnsi"/>
                <w:b/>
                <w:sz w:val="18"/>
                <w:szCs w:val="18"/>
              </w:rPr>
              <w:t>180,609,327</w:t>
            </w:r>
          </w:p>
        </w:tc>
        <w:tc>
          <w:tcPr>
            <w:tcW w:w="1033" w:type="dxa"/>
            <w:tcBorders>
              <w:top w:val="single" w:sz="4" w:space="0" w:color="auto"/>
              <w:left w:val="nil"/>
              <w:bottom w:val="single" w:sz="4" w:space="0" w:color="auto"/>
              <w:right w:val="nil"/>
            </w:tcBorders>
            <w:shd w:val="clear" w:color="auto" w:fill="auto"/>
            <w:noWrap/>
          </w:tcPr>
          <w:p w14:paraId="66888750" w14:textId="77777777" w:rsidR="00335CF7" w:rsidRPr="00286F08" w:rsidRDefault="00335CF7" w:rsidP="000F69BD">
            <w:pPr>
              <w:spacing w:after="0" w:line="240" w:lineRule="auto"/>
              <w:jc w:val="right"/>
              <w:rPr>
                <w:rFonts w:asciiTheme="majorHAnsi" w:eastAsia="Times New Roman" w:hAnsiTheme="majorHAnsi" w:cstheme="majorHAnsi"/>
                <w:b/>
                <w:color w:val="000000"/>
                <w:sz w:val="18"/>
                <w:szCs w:val="18"/>
                <w:lang w:eastAsia="en-AU"/>
              </w:rPr>
            </w:pPr>
            <w:r w:rsidRPr="00286F08">
              <w:rPr>
                <w:rFonts w:asciiTheme="majorHAnsi" w:hAnsiTheme="majorHAnsi" w:cstheme="majorHAnsi"/>
                <w:b/>
                <w:sz w:val="18"/>
                <w:szCs w:val="18"/>
              </w:rPr>
              <w:t>2.6%</w:t>
            </w:r>
          </w:p>
        </w:tc>
        <w:tc>
          <w:tcPr>
            <w:tcW w:w="809" w:type="dxa"/>
            <w:tcBorders>
              <w:top w:val="single" w:sz="4" w:space="0" w:color="auto"/>
              <w:left w:val="nil"/>
              <w:bottom w:val="single" w:sz="4" w:space="0" w:color="auto"/>
              <w:right w:val="nil"/>
            </w:tcBorders>
            <w:shd w:val="clear" w:color="auto" w:fill="auto"/>
            <w:noWrap/>
          </w:tcPr>
          <w:p w14:paraId="1EBC06EB" w14:textId="77777777" w:rsidR="00335CF7" w:rsidRPr="00286F08" w:rsidRDefault="00335CF7" w:rsidP="000F69BD">
            <w:pPr>
              <w:spacing w:after="0" w:line="240" w:lineRule="auto"/>
              <w:jc w:val="center"/>
              <w:rPr>
                <w:rFonts w:asciiTheme="majorHAnsi" w:eastAsia="Times New Roman" w:hAnsiTheme="majorHAnsi" w:cstheme="majorHAnsi"/>
                <w:b/>
                <w:bCs/>
                <w:color w:val="000000"/>
                <w:sz w:val="18"/>
                <w:szCs w:val="18"/>
                <w:lang w:eastAsia="en-AU"/>
              </w:rPr>
            </w:pPr>
            <w:r w:rsidRPr="00286F08">
              <w:rPr>
                <w:rFonts w:asciiTheme="majorHAnsi" w:eastAsia="Times New Roman" w:hAnsiTheme="majorHAnsi" w:cstheme="majorHAnsi"/>
                <w:b/>
                <w:bCs/>
                <w:color w:val="000000"/>
                <w:sz w:val="18"/>
                <w:szCs w:val="18"/>
                <w:lang w:eastAsia="en-AU"/>
              </w:rPr>
              <w:t>-</w:t>
            </w:r>
          </w:p>
        </w:tc>
        <w:tc>
          <w:tcPr>
            <w:tcW w:w="2026" w:type="dxa"/>
            <w:tcBorders>
              <w:top w:val="single" w:sz="4" w:space="0" w:color="auto"/>
              <w:left w:val="nil"/>
              <w:bottom w:val="single" w:sz="4" w:space="0" w:color="auto"/>
              <w:right w:val="nil"/>
            </w:tcBorders>
            <w:shd w:val="clear" w:color="auto" w:fill="auto"/>
            <w:noWrap/>
          </w:tcPr>
          <w:p w14:paraId="2E622CB4" w14:textId="77777777" w:rsidR="00335CF7" w:rsidRPr="00286F08" w:rsidRDefault="00335CF7" w:rsidP="000F69BD">
            <w:pPr>
              <w:spacing w:after="0" w:line="240" w:lineRule="auto"/>
              <w:rPr>
                <w:rFonts w:asciiTheme="majorHAnsi" w:eastAsia="Times New Roman" w:hAnsiTheme="majorHAnsi" w:cstheme="majorHAnsi"/>
                <w:b/>
                <w:bCs/>
                <w:sz w:val="18"/>
                <w:szCs w:val="18"/>
                <w:lang w:eastAsia="en-AU"/>
              </w:rPr>
            </w:pPr>
            <w:r w:rsidRPr="00286F08">
              <w:rPr>
                <w:rFonts w:asciiTheme="majorHAnsi" w:eastAsia="Times New Roman" w:hAnsiTheme="majorHAnsi" w:cstheme="majorHAnsi"/>
                <w:b/>
                <w:bCs/>
                <w:color w:val="000000"/>
                <w:sz w:val="18"/>
                <w:szCs w:val="18"/>
                <w:lang w:eastAsia="en-AU"/>
              </w:rPr>
              <w:t>-</w:t>
            </w:r>
          </w:p>
        </w:tc>
        <w:tc>
          <w:tcPr>
            <w:tcW w:w="1155" w:type="dxa"/>
            <w:tcBorders>
              <w:top w:val="single" w:sz="4" w:space="0" w:color="auto"/>
              <w:left w:val="nil"/>
              <w:bottom w:val="single" w:sz="4" w:space="0" w:color="auto"/>
              <w:right w:val="nil"/>
            </w:tcBorders>
            <w:shd w:val="clear" w:color="auto" w:fill="auto"/>
            <w:noWrap/>
          </w:tcPr>
          <w:p w14:paraId="0759CC3C" w14:textId="77777777" w:rsidR="00335CF7" w:rsidRPr="00286F08" w:rsidRDefault="00335CF7" w:rsidP="000F69BD">
            <w:pPr>
              <w:spacing w:after="0" w:line="240" w:lineRule="auto"/>
              <w:jc w:val="right"/>
              <w:rPr>
                <w:rFonts w:asciiTheme="majorHAnsi" w:eastAsia="Times New Roman" w:hAnsiTheme="majorHAnsi" w:cstheme="majorHAnsi"/>
                <w:b/>
                <w:color w:val="000000"/>
                <w:sz w:val="18"/>
                <w:szCs w:val="18"/>
                <w:lang w:eastAsia="en-AU"/>
              </w:rPr>
            </w:pPr>
            <w:r w:rsidRPr="00B959D9">
              <w:rPr>
                <w:rFonts w:asciiTheme="majorHAnsi" w:hAnsiTheme="majorHAnsi" w:cstheme="majorHAnsi"/>
                <w:b/>
                <w:sz w:val="18"/>
                <w:szCs w:val="18"/>
              </w:rPr>
              <w:t>27,390,343</w:t>
            </w:r>
          </w:p>
        </w:tc>
      </w:tr>
    </w:tbl>
    <w:p w14:paraId="014E5D53" w14:textId="3418356A" w:rsidR="00335CF7" w:rsidRDefault="00335CF7" w:rsidP="00335CF7">
      <w:pPr>
        <w:spacing w:after="0"/>
        <w:rPr>
          <w:sz w:val="20"/>
          <w:szCs w:val="20"/>
        </w:rPr>
      </w:pPr>
      <w:r w:rsidRPr="00833E28">
        <w:rPr>
          <w:sz w:val="20"/>
          <w:szCs w:val="20"/>
        </w:rPr>
        <w:t>Source: Trade Data Monitors, DFAT</w:t>
      </w:r>
      <w:r w:rsidRPr="00833E28">
        <w:rPr>
          <w:sz w:val="20"/>
          <w:szCs w:val="20"/>
        </w:rPr>
        <w:br/>
        <w:t>Notes</w:t>
      </w:r>
      <w:r w:rsidRPr="000E3C8B">
        <w:rPr>
          <w:sz w:val="20"/>
          <w:szCs w:val="20"/>
        </w:rPr>
        <w:t>: Value of trade estimates use</w:t>
      </w:r>
      <w:r w:rsidRPr="00241273">
        <w:rPr>
          <w:sz w:val="20"/>
          <w:szCs w:val="20"/>
        </w:rPr>
        <w:t xml:space="preserve"> annual average data of Indian imports of merchandise between 2018 and 2020</w:t>
      </w:r>
      <w:r w:rsidRPr="003C3BCD">
        <w:rPr>
          <w:sz w:val="20"/>
          <w:szCs w:val="20"/>
        </w:rPr>
        <w:t xml:space="preserve">. </w:t>
      </w:r>
      <w:r w:rsidRPr="0025188F">
        <w:rPr>
          <w:sz w:val="20"/>
          <w:szCs w:val="20"/>
        </w:rPr>
        <w:t xml:space="preserve">Tariff estimates are based on the value of average annual trade between 2018 and 2020 and the tariff rates </w:t>
      </w:r>
      <w:r>
        <w:rPr>
          <w:sz w:val="20"/>
          <w:szCs w:val="20"/>
        </w:rPr>
        <w:t>paid</w:t>
      </w:r>
      <w:r w:rsidRPr="0025188F">
        <w:rPr>
          <w:sz w:val="20"/>
          <w:szCs w:val="20"/>
        </w:rPr>
        <w:t>.</w:t>
      </w:r>
      <w:r w:rsidRPr="00A34D2F">
        <w:rPr>
          <w:sz w:val="20"/>
          <w:szCs w:val="20"/>
        </w:rPr>
        <w:t xml:space="preserve"> Aggregate commodity groupings were determined by DFAT. Remining industry not-elsewhere-categorised (</w:t>
      </w:r>
      <w:proofErr w:type="spellStart"/>
      <w:r w:rsidRPr="00A34D2F">
        <w:rPr>
          <w:sz w:val="20"/>
          <w:szCs w:val="20"/>
        </w:rPr>
        <w:t>n.e.c</w:t>
      </w:r>
      <w:proofErr w:type="spellEnd"/>
      <w:r w:rsidRPr="00A34D2F">
        <w:rPr>
          <w:sz w:val="20"/>
          <w:szCs w:val="20"/>
        </w:rPr>
        <w:t>) captures the remaining export activity for ‘Nursery and Floriculture Production’, ‘Mushroom and Vegetable Growing’, ‘Fruit and Tree Nut Growing’, ‘Fruit and Vegetable Processing’ industry sectors (ABS ANZSIC codes 011, 012, 013 and 1140, respectively).</w:t>
      </w:r>
    </w:p>
    <w:bookmarkEnd w:id="39"/>
    <w:p w14:paraId="45B8F3BB" w14:textId="77777777" w:rsidR="0022082C" w:rsidRPr="007A34F4" w:rsidRDefault="0022082C" w:rsidP="007A34F4">
      <w:pPr>
        <w:pStyle w:val="ListParagraph"/>
        <w:spacing w:after="0"/>
        <w:ind w:left="567"/>
        <w:rPr>
          <w:sz w:val="24"/>
          <w:szCs w:val="24"/>
        </w:rPr>
      </w:pPr>
    </w:p>
    <w:p w14:paraId="5393E564" w14:textId="5248BDFC" w:rsidR="00561300" w:rsidRDefault="003C0804" w:rsidP="002102A0">
      <w:pPr>
        <w:pStyle w:val="Heading3"/>
        <w:spacing w:before="0"/>
      </w:pPr>
      <w:bookmarkStart w:id="40" w:name="_Toc99370663"/>
      <w:r>
        <w:t>Cereals</w:t>
      </w:r>
      <w:bookmarkEnd w:id="40"/>
      <w:r w:rsidR="00561300">
        <w:t xml:space="preserve"> </w:t>
      </w:r>
    </w:p>
    <w:p w14:paraId="023E78C7" w14:textId="77777777" w:rsidR="00555E5D" w:rsidRPr="00555E5D" w:rsidRDefault="00555E5D" w:rsidP="0001716D">
      <w:pPr>
        <w:spacing w:after="0"/>
      </w:pPr>
    </w:p>
    <w:p w14:paraId="42D1487E" w14:textId="2A43DAF8" w:rsidR="00555E5D" w:rsidRDefault="00555E5D" w:rsidP="00217C26">
      <w:pPr>
        <w:pStyle w:val="ListParagraph"/>
        <w:numPr>
          <w:ilvl w:val="0"/>
          <w:numId w:val="1"/>
        </w:numPr>
        <w:spacing w:after="0"/>
        <w:ind w:left="567" w:hanging="567"/>
        <w:rPr>
          <w:color w:val="000000" w:themeColor="text1"/>
          <w:sz w:val="24"/>
          <w:szCs w:val="24"/>
        </w:rPr>
      </w:pPr>
      <w:r w:rsidRPr="007C1FF5">
        <w:rPr>
          <w:color w:val="000000" w:themeColor="text1"/>
          <w:sz w:val="24"/>
          <w:szCs w:val="24"/>
        </w:rPr>
        <w:t xml:space="preserve">Australia is one of the world’s largest grains and cereal producers, exporting an average of </w:t>
      </w:r>
      <w:r w:rsidR="00E220B4" w:rsidRPr="001523D6">
        <w:rPr>
          <w:color w:val="000000" w:themeColor="text1"/>
          <w:sz w:val="24"/>
          <w:szCs w:val="24"/>
        </w:rPr>
        <w:t>AU</w:t>
      </w:r>
      <w:r w:rsidRPr="001523D6">
        <w:rPr>
          <w:color w:val="000000" w:themeColor="text1"/>
          <w:sz w:val="24"/>
          <w:szCs w:val="24"/>
        </w:rPr>
        <w:t xml:space="preserve">$9 billion per annum between 2018-2020. </w:t>
      </w:r>
    </w:p>
    <w:p w14:paraId="08342D3F" w14:textId="77777777" w:rsidR="0064227F" w:rsidRPr="007C1FF5" w:rsidRDefault="0064227F" w:rsidP="007A34F4">
      <w:pPr>
        <w:pStyle w:val="ListParagraph"/>
        <w:spacing w:after="0"/>
        <w:ind w:left="567"/>
        <w:rPr>
          <w:color w:val="000000" w:themeColor="text1"/>
          <w:sz w:val="24"/>
          <w:szCs w:val="24"/>
        </w:rPr>
      </w:pPr>
    </w:p>
    <w:p w14:paraId="26A6F54F" w14:textId="243B1CAA" w:rsidR="00555E5D" w:rsidRPr="0001716D" w:rsidRDefault="00555E5D">
      <w:pPr>
        <w:pStyle w:val="ListParagraph"/>
        <w:numPr>
          <w:ilvl w:val="0"/>
          <w:numId w:val="1"/>
        </w:numPr>
        <w:spacing w:after="0"/>
        <w:ind w:left="567" w:hanging="567"/>
        <w:rPr>
          <w:color w:val="000000" w:themeColor="text1"/>
          <w:sz w:val="24"/>
          <w:szCs w:val="24"/>
        </w:rPr>
      </w:pPr>
      <w:r w:rsidRPr="009138F1">
        <w:rPr>
          <w:rFonts w:ascii="Calibri" w:eastAsia="Calibri" w:hAnsi="Calibri" w:cs="Calibri"/>
          <w:sz w:val="24"/>
          <w:szCs w:val="24"/>
        </w:rPr>
        <w:t>Australian exports of barley and oats to India</w:t>
      </w:r>
      <w:r w:rsidRPr="00A7223F">
        <w:rPr>
          <w:rFonts w:ascii="Calibri" w:eastAsia="Calibri" w:hAnsi="Calibri" w:cs="Calibri"/>
          <w:sz w:val="24"/>
          <w:szCs w:val="24"/>
        </w:rPr>
        <w:t xml:space="preserve"> </w:t>
      </w:r>
      <w:r w:rsidR="00261C45">
        <w:rPr>
          <w:rFonts w:ascii="Calibri" w:eastAsia="Calibri" w:hAnsi="Calibri" w:cs="Calibri"/>
          <w:sz w:val="24"/>
          <w:szCs w:val="24"/>
        </w:rPr>
        <w:t xml:space="preserve">will have tariffs bound at zero on entry into force providing </w:t>
      </w:r>
      <w:r w:rsidR="00A370E7">
        <w:rPr>
          <w:rFonts w:ascii="Calibri" w:eastAsia="Calibri" w:hAnsi="Calibri" w:cs="Calibri"/>
          <w:sz w:val="24"/>
          <w:szCs w:val="24"/>
        </w:rPr>
        <w:t xml:space="preserve">predictability and confidence for growers.  </w:t>
      </w:r>
      <w:r w:rsidR="00432B58">
        <w:rPr>
          <w:rFonts w:ascii="Calibri" w:eastAsia="Calibri" w:hAnsi="Calibri" w:cs="Calibri"/>
          <w:sz w:val="24"/>
          <w:szCs w:val="24"/>
        </w:rPr>
        <w:t xml:space="preserve">Wheat and other cereals </w:t>
      </w:r>
      <w:r w:rsidRPr="009138F1">
        <w:rPr>
          <w:rFonts w:ascii="Calibri" w:eastAsia="Calibri" w:hAnsi="Calibri" w:cs="Calibri"/>
          <w:sz w:val="24"/>
          <w:szCs w:val="24"/>
        </w:rPr>
        <w:t xml:space="preserve">are </w:t>
      </w:r>
      <w:r w:rsidRPr="00A7223F">
        <w:rPr>
          <w:rFonts w:ascii="Calibri" w:eastAsia="Calibri" w:hAnsi="Calibri" w:cs="Calibri"/>
          <w:sz w:val="24"/>
          <w:szCs w:val="24"/>
        </w:rPr>
        <w:t xml:space="preserve">excluded from </w:t>
      </w:r>
      <w:r w:rsidRPr="009138F1">
        <w:rPr>
          <w:rFonts w:ascii="Calibri" w:eastAsia="Calibri" w:hAnsi="Calibri" w:cs="Calibri"/>
          <w:sz w:val="24"/>
          <w:szCs w:val="24"/>
        </w:rPr>
        <w:t xml:space="preserve">the </w:t>
      </w:r>
      <w:r w:rsidR="006E5E78">
        <w:rPr>
          <w:rFonts w:ascii="Calibri" w:eastAsia="Calibri" w:hAnsi="Calibri" w:cs="Calibri"/>
          <w:sz w:val="24"/>
          <w:szCs w:val="24"/>
        </w:rPr>
        <w:t>AI ECTA</w:t>
      </w:r>
      <w:r w:rsidR="007A34F4" w:rsidRPr="009138F1">
        <w:rPr>
          <w:rFonts w:ascii="Calibri" w:eastAsia="Calibri" w:hAnsi="Calibri" w:cs="Calibri"/>
          <w:sz w:val="24"/>
          <w:szCs w:val="24"/>
        </w:rPr>
        <w:t xml:space="preserve"> </w:t>
      </w:r>
      <w:r w:rsidRPr="00EE62A5">
        <w:rPr>
          <w:rFonts w:ascii="Calibri" w:eastAsia="Calibri" w:hAnsi="Calibri" w:cs="Calibri"/>
          <w:sz w:val="24"/>
          <w:szCs w:val="24"/>
        </w:rPr>
        <w:t>offer</w:t>
      </w:r>
      <w:r w:rsidR="008716A4">
        <w:rPr>
          <w:rFonts w:ascii="Calibri" w:eastAsia="Calibri" w:hAnsi="Calibri" w:cs="Calibri"/>
          <w:sz w:val="24"/>
          <w:szCs w:val="24"/>
        </w:rPr>
        <w:t>, however</w:t>
      </w:r>
      <w:r w:rsidR="00EB72CB">
        <w:rPr>
          <w:rFonts w:ascii="Calibri" w:eastAsia="Calibri" w:hAnsi="Calibri" w:cs="Calibri"/>
          <w:sz w:val="24"/>
          <w:szCs w:val="24"/>
        </w:rPr>
        <w:t xml:space="preserve"> </w:t>
      </w:r>
      <w:r w:rsidR="00A16146">
        <w:rPr>
          <w:rFonts w:ascii="Calibri" w:eastAsia="Calibri" w:hAnsi="Calibri" w:cs="Calibri"/>
          <w:sz w:val="24"/>
          <w:szCs w:val="24"/>
        </w:rPr>
        <w:t xml:space="preserve">tariffs of up to 30 per cent on </w:t>
      </w:r>
      <w:proofErr w:type="gramStart"/>
      <w:r w:rsidR="00A16146">
        <w:rPr>
          <w:rFonts w:ascii="Calibri" w:eastAsia="Calibri" w:hAnsi="Calibri" w:cs="Calibri"/>
          <w:sz w:val="24"/>
          <w:szCs w:val="24"/>
        </w:rPr>
        <w:t>a</w:t>
      </w:r>
      <w:r w:rsidR="00F0045F">
        <w:rPr>
          <w:rFonts w:ascii="Calibri" w:eastAsia="Calibri" w:hAnsi="Calibri" w:cs="Calibri"/>
          <w:sz w:val="24"/>
          <w:szCs w:val="24"/>
        </w:rPr>
        <w:t xml:space="preserve"> </w:t>
      </w:r>
      <w:r>
        <w:rPr>
          <w:rFonts w:ascii="Calibri" w:eastAsia="Calibri" w:hAnsi="Calibri" w:cs="Calibri"/>
          <w:sz w:val="24"/>
          <w:szCs w:val="24"/>
        </w:rPr>
        <w:t>number of</w:t>
      </w:r>
      <w:proofErr w:type="gramEnd"/>
      <w:r>
        <w:rPr>
          <w:rFonts w:ascii="Calibri" w:eastAsia="Calibri" w:hAnsi="Calibri" w:cs="Calibri"/>
          <w:sz w:val="24"/>
          <w:szCs w:val="24"/>
        </w:rPr>
        <w:t xml:space="preserve"> seed</w:t>
      </w:r>
      <w:r w:rsidR="007C1FF5">
        <w:rPr>
          <w:rFonts w:ascii="Calibri" w:eastAsia="Calibri" w:hAnsi="Calibri" w:cs="Calibri"/>
          <w:sz w:val="24"/>
          <w:szCs w:val="24"/>
        </w:rPr>
        <w:t xml:space="preserve">, </w:t>
      </w:r>
      <w:r w:rsidR="007C1FF5">
        <w:rPr>
          <w:rFonts w:ascii="Calibri" w:eastAsia="Calibri" w:hAnsi="Calibri" w:cs="Calibri"/>
          <w:sz w:val="24"/>
          <w:szCs w:val="24"/>
        </w:rPr>
        <w:lastRenderedPageBreak/>
        <w:t>oil</w:t>
      </w:r>
      <w:r>
        <w:rPr>
          <w:rFonts w:ascii="Calibri" w:eastAsia="Calibri" w:hAnsi="Calibri" w:cs="Calibri"/>
          <w:sz w:val="24"/>
          <w:szCs w:val="24"/>
        </w:rPr>
        <w:t xml:space="preserve"> and processed wheat, cereal, and grain products will be eliminated by year seven of implementation.</w:t>
      </w:r>
    </w:p>
    <w:p w14:paraId="6338524A" w14:textId="77777777" w:rsidR="00555E5D" w:rsidRPr="0001716D" w:rsidRDefault="00555E5D" w:rsidP="0001716D">
      <w:pPr>
        <w:pStyle w:val="ListParagraph"/>
        <w:spacing w:after="0"/>
        <w:rPr>
          <w:color w:val="000000" w:themeColor="text1"/>
          <w:sz w:val="24"/>
          <w:szCs w:val="24"/>
        </w:rPr>
      </w:pPr>
    </w:p>
    <w:p w14:paraId="6E1DAA1E" w14:textId="0AC76A19" w:rsidR="00555E5D" w:rsidRPr="0001716D" w:rsidRDefault="00555E5D" w:rsidP="00DE3546">
      <w:pPr>
        <w:pStyle w:val="ListParagraph"/>
        <w:numPr>
          <w:ilvl w:val="0"/>
          <w:numId w:val="1"/>
        </w:numPr>
        <w:spacing w:after="0"/>
        <w:ind w:left="567" w:hanging="567"/>
        <w:rPr>
          <w:color w:val="000000" w:themeColor="text1"/>
          <w:sz w:val="24"/>
          <w:szCs w:val="24"/>
        </w:rPr>
      </w:pPr>
      <w:r w:rsidRPr="00EE62A5">
        <w:rPr>
          <w:rFonts w:ascii="Calibri" w:eastAsia="Calibri" w:hAnsi="Calibri" w:cs="Calibri"/>
          <w:sz w:val="24"/>
          <w:szCs w:val="24"/>
        </w:rPr>
        <w:t>For th</w:t>
      </w:r>
      <w:r w:rsidR="007C1FF5">
        <w:rPr>
          <w:rFonts w:ascii="Calibri" w:eastAsia="Calibri" w:hAnsi="Calibri" w:cs="Calibri"/>
          <w:sz w:val="24"/>
          <w:szCs w:val="24"/>
        </w:rPr>
        <w:t>ose</w:t>
      </w:r>
      <w:r w:rsidRPr="543832D4">
        <w:rPr>
          <w:rFonts w:ascii="Calibri" w:eastAsia="Calibri" w:hAnsi="Calibri" w:cs="Calibri"/>
          <w:sz w:val="24"/>
          <w:szCs w:val="24"/>
        </w:rPr>
        <w:t xml:space="preserve"> wheat products</w:t>
      </w:r>
      <w:r>
        <w:rPr>
          <w:rFonts w:ascii="Calibri" w:eastAsia="Calibri" w:hAnsi="Calibri" w:cs="Calibri"/>
          <w:sz w:val="24"/>
          <w:szCs w:val="24"/>
        </w:rPr>
        <w:t xml:space="preserve"> with tariffs that are set to be eliminated under </w:t>
      </w:r>
      <w:r w:rsidR="00D10AF6">
        <w:rPr>
          <w:rFonts w:ascii="Calibri" w:eastAsia="Calibri" w:hAnsi="Calibri" w:cs="Calibri"/>
          <w:sz w:val="24"/>
          <w:szCs w:val="24"/>
        </w:rPr>
        <w:t>AI</w:t>
      </w:r>
      <w:r w:rsidR="007C1FF5">
        <w:rPr>
          <w:rFonts w:ascii="Calibri" w:eastAsia="Calibri" w:hAnsi="Calibri" w:cs="Calibri"/>
          <w:sz w:val="24"/>
          <w:szCs w:val="24"/>
        </w:rPr>
        <w:t>-ECTA</w:t>
      </w:r>
      <w:r>
        <w:rPr>
          <w:rFonts w:ascii="Calibri" w:eastAsia="Calibri" w:hAnsi="Calibri" w:cs="Calibri"/>
          <w:sz w:val="24"/>
          <w:szCs w:val="24"/>
        </w:rPr>
        <w:t xml:space="preserve">, Australia exported an average of </w:t>
      </w:r>
      <w:r w:rsidR="00E220B4">
        <w:rPr>
          <w:rFonts w:ascii="Calibri" w:eastAsia="Calibri" w:hAnsi="Calibri" w:cs="Calibri"/>
          <w:sz w:val="24"/>
          <w:szCs w:val="24"/>
        </w:rPr>
        <w:t>AU</w:t>
      </w:r>
      <w:r>
        <w:rPr>
          <w:rFonts w:ascii="Calibri" w:eastAsia="Calibri" w:hAnsi="Calibri" w:cs="Calibri"/>
          <w:sz w:val="24"/>
          <w:szCs w:val="24"/>
        </w:rPr>
        <w:t>$2.5 billion per annum between 2018-2020. Of this, India accounted for less than 0.01 per cent (</w:t>
      </w:r>
      <w:r w:rsidR="00E220B4">
        <w:rPr>
          <w:rFonts w:ascii="Calibri" w:eastAsia="Calibri" w:hAnsi="Calibri" w:cs="Calibri"/>
          <w:sz w:val="24"/>
          <w:szCs w:val="24"/>
        </w:rPr>
        <w:t>AU</w:t>
      </w:r>
      <w:r>
        <w:rPr>
          <w:rFonts w:ascii="Calibri" w:eastAsia="Calibri" w:hAnsi="Calibri" w:cs="Calibri"/>
          <w:sz w:val="24"/>
          <w:szCs w:val="24"/>
        </w:rPr>
        <w:t xml:space="preserve">$0.23 million per annum) of Australia’s exports. India’s global imports of these products averaged </w:t>
      </w:r>
      <w:r w:rsidR="00E220B4">
        <w:rPr>
          <w:rFonts w:ascii="Calibri" w:eastAsia="Calibri" w:hAnsi="Calibri" w:cs="Calibri"/>
          <w:sz w:val="24"/>
          <w:szCs w:val="24"/>
        </w:rPr>
        <w:t>AU</w:t>
      </w:r>
      <w:r>
        <w:rPr>
          <w:rFonts w:ascii="Calibri" w:eastAsia="Calibri" w:hAnsi="Calibri" w:cs="Calibri"/>
          <w:sz w:val="24"/>
          <w:szCs w:val="24"/>
        </w:rPr>
        <w:t xml:space="preserve">$70.5 million per annum, however, indicating an opportunity for </w:t>
      </w:r>
      <w:r w:rsidRPr="009138F1">
        <w:rPr>
          <w:rFonts w:ascii="Calibri" w:eastAsia="Calibri" w:hAnsi="Calibri" w:cs="Calibri"/>
          <w:sz w:val="24"/>
          <w:szCs w:val="24"/>
        </w:rPr>
        <w:t xml:space="preserve">Australian exporters </w:t>
      </w:r>
      <w:r>
        <w:rPr>
          <w:rFonts w:ascii="Calibri" w:eastAsia="Calibri" w:hAnsi="Calibri" w:cs="Calibri"/>
          <w:sz w:val="24"/>
          <w:szCs w:val="24"/>
        </w:rPr>
        <w:t>to capture a larger</w:t>
      </w:r>
      <w:r w:rsidRPr="009138F1">
        <w:rPr>
          <w:rFonts w:ascii="Calibri" w:eastAsia="Calibri" w:hAnsi="Calibri" w:cs="Calibri"/>
          <w:sz w:val="24"/>
          <w:szCs w:val="24"/>
        </w:rPr>
        <w:t xml:space="preserve"> market share</w:t>
      </w:r>
      <w:r>
        <w:rPr>
          <w:rFonts w:ascii="Calibri" w:eastAsia="Calibri" w:hAnsi="Calibri" w:cs="Calibri"/>
          <w:sz w:val="24"/>
          <w:szCs w:val="24"/>
        </w:rPr>
        <w:t>.</w:t>
      </w:r>
    </w:p>
    <w:p w14:paraId="6B2E127D" w14:textId="77777777" w:rsidR="00DE3546" w:rsidRPr="0001716D" w:rsidRDefault="00DE3546" w:rsidP="0001716D">
      <w:pPr>
        <w:pStyle w:val="ListParagraph"/>
        <w:rPr>
          <w:color w:val="000000" w:themeColor="text1"/>
          <w:sz w:val="24"/>
          <w:szCs w:val="24"/>
        </w:rPr>
      </w:pPr>
    </w:p>
    <w:p w14:paraId="6C649ED4" w14:textId="24E1FA62" w:rsidR="00DE3546" w:rsidRPr="0001716D" w:rsidRDefault="00DE3546">
      <w:pPr>
        <w:pStyle w:val="ListParagraph"/>
        <w:numPr>
          <w:ilvl w:val="0"/>
          <w:numId w:val="1"/>
        </w:numPr>
        <w:spacing w:after="0"/>
        <w:ind w:left="567" w:hanging="567"/>
        <w:rPr>
          <w:sz w:val="24"/>
          <w:szCs w:val="24"/>
        </w:rPr>
      </w:pPr>
      <w:r w:rsidRPr="002612A4">
        <w:rPr>
          <w:b/>
          <w:bCs/>
          <w:sz w:val="24"/>
          <w:szCs w:val="24"/>
        </w:rPr>
        <w:t xml:space="preserve">Table </w:t>
      </w:r>
      <w:r w:rsidR="00AA64EE">
        <w:rPr>
          <w:b/>
          <w:bCs/>
          <w:sz w:val="24"/>
          <w:szCs w:val="24"/>
        </w:rPr>
        <w:t>8</w:t>
      </w:r>
      <w:r>
        <w:rPr>
          <w:sz w:val="24"/>
          <w:szCs w:val="24"/>
        </w:rPr>
        <w:t xml:space="preserve"> provides a summary of Australia’s cereal products trade with India and the tariff outcomes from the proposed </w:t>
      </w:r>
      <w:r w:rsidR="006E5E78">
        <w:rPr>
          <w:sz w:val="24"/>
          <w:szCs w:val="24"/>
        </w:rPr>
        <w:t>AI ECTA</w:t>
      </w:r>
      <w:r>
        <w:rPr>
          <w:sz w:val="24"/>
          <w:szCs w:val="24"/>
        </w:rPr>
        <w:t>.</w:t>
      </w:r>
    </w:p>
    <w:p w14:paraId="0314399D" w14:textId="77777777" w:rsidR="00555E5D" w:rsidRPr="00044690" w:rsidRDefault="00555E5D">
      <w:pPr>
        <w:pStyle w:val="ListParagraph"/>
        <w:spacing w:after="0"/>
        <w:rPr>
          <w:sz w:val="24"/>
          <w:szCs w:val="24"/>
        </w:rPr>
      </w:pPr>
    </w:p>
    <w:p w14:paraId="39F2E120" w14:textId="0B3461DD" w:rsidR="00555E5D" w:rsidRDefault="00555E5D" w:rsidP="00DE3546">
      <w:pPr>
        <w:spacing w:after="0"/>
        <w:rPr>
          <w:b/>
          <w:bCs/>
        </w:rPr>
      </w:pPr>
      <w:bookmarkStart w:id="41" w:name="_Hlk97220951"/>
      <w:r w:rsidRPr="0001716D">
        <w:rPr>
          <w:b/>
          <w:bCs/>
          <w:u w:val="single"/>
        </w:rPr>
        <w:t xml:space="preserve">Table </w:t>
      </w:r>
      <w:r w:rsidR="00AA64EE">
        <w:rPr>
          <w:b/>
          <w:bCs/>
          <w:u w:val="single"/>
        </w:rPr>
        <w:t>8</w:t>
      </w:r>
      <w:r w:rsidRPr="009138F1">
        <w:rPr>
          <w:b/>
          <w:bCs/>
        </w:rPr>
        <w:t xml:space="preserve">: Summary of </w:t>
      </w:r>
      <w:r w:rsidR="002158C9">
        <w:rPr>
          <w:b/>
          <w:bCs/>
        </w:rPr>
        <w:t xml:space="preserve">wheats, grains, cereals, cotton, sugar cane and other crop grown </w:t>
      </w:r>
      <w:r w:rsidR="00FD58C5">
        <w:rPr>
          <w:b/>
          <w:bCs/>
        </w:rPr>
        <w:t>commodities</w:t>
      </w:r>
      <w:r w:rsidRPr="009138F1">
        <w:rPr>
          <w:b/>
          <w:bCs/>
        </w:rPr>
        <w:t xml:space="preserve"> and </w:t>
      </w:r>
      <w:r w:rsidR="00E220B4">
        <w:rPr>
          <w:b/>
          <w:bCs/>
        </w:rPr>
        <w:t xml:space="preserve">proposed </w:t>
      </w:r>
      <w:r w:rsidR="006E5E78">
        <w:rPr>
          <w:b/>
          <w:bCs/>
        </w:rPr>
        <w:t>AI ECTA</w:t>
      </w:r>
      <w:r w:rsidRPr="009138F1">
        <w:rPr>
          <w:b/>
          <w:bCs/>
        </w:rPr>
        <w:t xml:space="preserve"> tariff outcomes </w:t>
      </w:r>
    </w:p>
    <w:tbl>
      <w:tblPr>
        <w:tblW w:w="10262" w:type="dxa"/>
        <w:tblLayout w:type="fixed"/>
        <w:tblLook w:val="04A0" w:firstRow="1" w:lastRow="0" w:firstColumn="1" w:lastColumn="0" w:noHBand="0" w:noVBand="1"/>
      </w:tblPr>
      <w:tblGrid>
        <w:gridCol w:w="709"/>
        <w:gridCol w:w="847"/>
        <w:gridCol w:w="2635"/>
        <w:gridCol w:w="1189"/>
        <w:gridCol w:w="1033"/>
        <w:gridCol w:w="668"/>
        <w:gridCol w:w="2026"/>
        <w:gridCol w:w="1155"/>
      </w:tblGrid>
      <w:tr w:rsidR="00335CF7" w:rsidRPr="00F81F50" w14:paraId="0E359158" w14:textId="77777777" w:rsidTr="000F69BD">
        <w:tc>
          <w:tcPr>
            <w:tcW w:w="709" w:type="dxa"/>
            <w:tcBorders>
              <w:top w:val="single" w:sz="4" w:space="0" w:color="auto"/>
              <w:left w:val="nil"/>
              <w:bottom w:val="nil"/>
              <w:right w:val="nil"/>
            </w:tcBorders>
            <w:shd w:val="clear" w:color="auto" w:fill="auto"/>
            <w:noWrap/>
            <w:vAlign w:val="bottom"/>
            <w:hideMark/>
          </w:tcPr>
          <w:p w14:paraId="23196D73" w14:textId="77777777" w:rsidR="00335CF7" w:rsidRPr="008E21A1" w:rsidRDefault="00335CF7" w:rsidP="000F69BD">
            <w:pPr>
              <w:spacing w:after="0" w:line="240" w:lineRule="auto"/>
              <w:rPr>
                <w:rFonts w:asciiTheme="majorHAnsi" w:eastAsia="Times New Roman" w:hAnsiTheme="majorHAnsi" w:cstheme="majorHAnsi"/>
                <w:b/>
                <w:bCs/>
                <w:sz w:val="18"/>
                <w:szCs w:val="18"/>
                <w:lang w:eastAsia="en-AU"/>
              </w:rPr>
            </w:pPr>
          </w:p>
        </w:tc>
        <w:tc>
          <w:tcPr>
            <w:tcW w:w="3482" w:type="dxa"/>
            <w:gridSpan w:val="2"/>
            <w:tcBorders>
              <w:top w:val="single" w:sz="4" w:space="0" w:color="auto"/>
              <w:left w:val="nil"/>
              <w:bottom w:val="nil"/>
              <w:right w:val="nil"/>
            </w:tcBorders>
            <w:shd w:val="clear" w:color="auto" w:fill="auto"/>
            <w:noWrap/>
            <w:hideMark/>
          </w:tcPr>
          <w:p w14:paraId="2188A28E" w14:textId="77777777" w:rsidR="00335CF7" w:rsidRPr="008E21A1" w:rsidRDefault="00335CF7" w:rsidP="000F69BD">
            <w:pPr>
              <w:spacing w:after="0" w:line="240" w:lineRule="auto"/>
              <w:rPr>
                <w:rFonts w:asciiTheme="majorHAnsi" w:eastAsia="Times New Roman" w:hAnsiTheme="majorHAnsi" w:cstheme="majorHAnsi"/>
                <w:b/>
                <w:bCs/>
                <w:color w:val="000000"/>
                <w:sz w:val="18"/>
                <w:szCs w:val="18"/>
                <w:lang w:eastAsia="en-AU"/>
              </w:rPr>
            </w:pPr>
            <w:r w:rsidRPr="008E21A1">
              <w:rPr>
                <w:rFonts w:asciiTheme="majorHAnsi" w:eastAsia="Times New Roman" w:hAnsiTheme="majorHAnsi" w:cstheme="majorHAnsi"/>
                <w:b/>
                <w:bCs/>
                <w:color w:val="000000"/>
                <w:sz w:val="18"/>
                <w:szCs w:val="18"/>
                <w:lang w:eastAsia="en-AU"/>
              </w:rPr>
              <w:t>Commodity items (aggregated)</w:t>
            </w:r>
          </w:p>
        </w:tc>
        <w:tc>
          <w:tcPr>
            <w:tcW w:w="2222" w:type="dxa"/>
            <w:gridSpan w:val="2"/>
            <w:tcBorders>
              <w:top w:val="single" w:sz="4" w:space="0" w:color="auto"/>
              <w:left w:val="nil"/>
              <w:bottom w:val="nil"/>
              <w:right w:val="nil"/>
            </w:tcBorders>
            <w:shd w:val="clear" w:color="auto" w:fill="auto"/>
            <w:noWrap/>
            <w:vAlign w:val="bottom"/>
            <w:hideMark/>
          </w:tcPr>
          <w:p w14:paraId="11D0E9E5" w14:textId="77777777" w:rsidR="00335CF7" w:rsidRPr="008E21A1" w:rsidRDefault="00335CF7" w:rsidP="000F69BD">
            <w:pPr>
              <w:spacing w:after="0" w:line="240" w:lineRule="auto"/>
              <w:jc w:val="center"/>
              <w:rPr>
                <w:rFonts w:asciiTheme="majorHAnsi" w:eastAsia="Times New Roman" w:hAnsiTheme="majorHAnsi" w:cstheme="majorHAnsi"/>
                <w:b/>
                <w:bCs/>
                <w:color w:val="000000"/>
                <w:sz w:val="18"/>
                <w:szCs w:val="18"/>
                <w:lang w:eastAsia="en-AU"/>
              </w:rPr>
            </w:pPr>
            <w:r w:rsidRPr="008E21A1">
              <w:rPr>
                <w:rFonts w:asciiTheme="majorHAnsi" w:eastAsia="Times New Roman" w:hAnsiTheme="majorHAnsi" w:cstheme="majorHAnsi"/>
                <w:b/>
                <w:bCs/>
                <w:color w:val="000000"/>
                <w:sz w:val="18"/>
                <w:szCs w:val="18"/>
                <w:lang w:eastAsia="en-AU"/>
              </w:rPr>
              <w:t>India's imports of Australian goods</w:t>
            </w:r>
            <w:r w:rsidRPr="008E21A1">
              <w:rPr>
                <w:rFonts w:asciiTheme="majorHAnsi" w:eastAsia="Times New Roman" w:hAnsiTheme="majorHAnsi" w:cstheme="majorHAnsi"/>
                <w:b/>
                <w:bCs/>
                <w:color w:val="000000"/>
                <w:sz w:val="18"/>
                <w:szCs w:val="18"/>
                <w:lang w:eastAsia="en-AU"/>
              </w:rPr>
              <w:br/>
              <w:t>(average, 2018-2020)</w:t>
            </w:r>
          </w:p>
        </w:tc>
        <w:tc>
          <w:tcPr>
            <w:tcW w:w="668" w:type="dxa"/>
            <w:vMerge w:val="restart"/>
            <w:tcBorders>
              <w:top w:val="single" w:sz="4" w:space="0" w:color="auto"/>
              <w:left w:val="nil"/>
              <w:right w:val="nil"/>
            </w:tcBorders>
            <w:shd w:val="clear" w:color="auto" w:fill="auto"/>
            <w:noWrap/>
            <w:hideMark/>
          </w:tcPr>
          <w:p w14:paraId="16A9B489" w14:textId="77777777" w:rsidR="00335CF7" w:rsidRPr="008E21A1" w:rsidRDefault="00335CF7" w:rsidP="000F69BD">
            <w:pPr>
              <w:spacing w:after="0" w:line="240" w:lineRule="auto"/>
              <w:jc w:val="center"/>
              <w:rPr>
                <w:rFonts w:asciiTheme="majorHAnsi" w:eastAsia="Times New Roman" w:hAnsiTheme="majorHAnsi" w:cstheme="majorHAnsi"/>
                <w:b/>
                <w:bCs/>
                <w:color w:val="000000"/>
                <w:sz w:val="18"/>
                <w:szCs w:val="18"/>
                <w:lang w:eastAsia="en-AU"/>
              </w:rPr>
            </w:pPr>
            <w:r w:rsidRPr="008E21A1">
              <w:rPr>
                <w:rFonts w:asciiTheme="majorHAnsi" w:eastAsia="Times New Roman" w:hAnsiTheme="majorHAnsi" w:cstheme="majorHAnsi"/>
                <w:b/>
                <w:bCs/>
                <w:color w:val="000000"/>
                <w:sz w:val="18"/>
                <w:szCs w:val="18"/>
                <w:lang w:eastAsia="en-AU"/>
              </w:rPr>
              <w:t>Base rate (%)</w:t>
            </w:r>
          </w:p>
        </w:tc>
        <w:tc>
          <w:tcPr>
            <w:tcW w:w="2026" w:type="dxa"/>
            <w:vMerge w:val="restart"/>
            <w:tcBorders>
              <w:top w:val="single" w:sz="4" w:space="0" w:color="auto"/>
              <w:left w:val="nil"/>
              <w:right w:val="nil"/>
            </w:tcBorders>
            <w:shd w:val="clear" w:color="auto" w:fill="auto"/>
            <w:noWrap/>
            <w:hideMark/>
          </w:tcPr>
          <w:p w14:paraId="077FA40B" w14:textId="77777777" w:rsidR="00335CF7" w:rsidRPr="008E21A1" w:rsidRDefault="00335CF7" w:rsidP="000F69BD">
            <w:pPr>
              <w:spacing w:after="0" w:line="240" w:lineRule="auto"/>
              <w:rPr>
                <w:rFonts w:asciiTheme="majorHAnsi" w:eastAsia="Times New Roman" w:hAnsiTheme="majorHAnsi" w:cstheme="majorHAnsi"/>
                <w:b/>
                <w:bCs/>
                <w:color w:val="000000"/>
                <w:sz w:val="18"/>
                <w:szCs w:val="18"/>
                <w:lang w:eastAsia="en-AU"/>
              </w:rPr>
            </w:pPr>
            <w:r w:rsidRPr="008E21A1">
              <w:rPr>
                <w:rFonts w:asciiTheme="majorHAnsi" w:eastAsia="Times New Roman" w:hAnsiTheme="majorHAnsi" w:cstheme="majorHAnsi"/>
                <w:b/>
                <w:bCs/>
                <w:color w:val="000000"/>
                <w:sz w:val="18"/>
                <w:szCs w:val="18"/>
                <w:lang w:eastAsia="en-AU"/>
              </w:rPr>
              <w:t>Tariff reduction outcome</w:t>
            </w:r>
          </w:p>
        </w:tc>
        <w:tc>
          <w:tcPr>
            <w:tcW w:w="1155" w:type="dxa"/>
            <w:vMerge w:val="restart"/>
            <w:tcBorders>
              <w:top w:val="single" w:sz="4" w:space="0" w:color="auto"/>
              <w:left w:val="nil"/>
              <w:right w:val="nil"/>
            </w:tcBorders>
            <w:shd w:val="clear" w:color="auto" w:fill="auto"/>
            <w:noWrap/>
            <w:hideMark/>
          </w:tcPr>
          <w:p w14:paraId="46C4FD48" w14:textId="77777777" w:rsidR="00335CF7" w:rsidRPr="008E21A1" w:rsidRDefault="00335CF7" w:rsidP="000F69BD">
            <w:pPr>
              <w:spacing w:after="0" w:line="240" w:lineRule="auto"/>
              <w:jc w:val="right"/>
              <w:rPr>
                <w:rFonts w:asciiTheme="majorHAnsi" w:eastAsia="Times New Roman" w:hAnsiTheme="majorHAnsi" w:cstheme="majorHAnsi"/>
                <w:b/>
                <w:bCs/>
                <w:color w:val="000000"/>
                <w:sz w:val="18"/>
                <w:szCs w:val="18"/>
                <w:lang w:eastAsia="en-AU"/>
              </w:rPr>
            </w:pPr>
            <w:r>
              <w:rPr>
                <w:rFonts w:asciiTheme="majorHAnsi" w:eastAsia="Times New Roman" w:hAnsiTheme="majorHAnsi" w:cstheme="majorHAnsi"/>
                <w:b/>
                <w:color w:val="000000"/>
                <w:sz w:val="18"/>
                <w:szCs w:val="18"/>
                <w:lang w:eastAsia="en-AU"/>
              </w:rPr>
              <w:t>Tariff amount (average, 2018-</w:t>
            </w:r>
            <w:proofErr w:type="gramStart"/>
            <w:r>
              <w:rPr>
                <w:rFonts w:asciiTheme="majorHAnsi" w:eastAsia="Times New Roman" w:hAnsiTheme="majorHAnsi" w:cstheme="majorHAnsi"/>
                <w:b/>
                <w:color w:val="000000"/>
                <w:sz w:val="18"/>
                <w:szCs w:val="18"/>
                <w:lang w:eastAsia="en-AU"/>
              </w:rPr>
              <w:t>2020)</w:t>
            </w:r>
            <w:r w:rsidRPr="00894292">
              <w:rPr>
                <w:rFonts w:asciiTheme="majorHAnsi" w:eastAsia="Times New Roman" w:hAnsiTheme="majorHAnsi" w:cstheme="majorHAnsi"/>
                <w:b/>
                <w:color w:val="000000"/>
                <w:sz w:val="18"/>
                <w:szCs w:val="18"/>
                <w:lang w:eastAsia="en-AU"/>
              </w:rPr>
              <w:t>*</w:t>
            </w:r>
            <w:proofErr w:type="gramEnd"/>
            <w:r w:rsidRPr="00894292">
              <w:rPr>
                <w:rFonts w:asciiTheme="majorHAnsi" w:eastAsia="Times New Roman" w:hAnsiTheme="majorHAnsi" w:cstheme="majorHAnsi"/>
                <w:b/>
                <w:color w:val="000000"/>
                <w:sz w:val="18"/>
                <w:szCs w:val="18"/>
                <w:lang w:eastAsia="en-AU"/>
              </w:rPr>
              <w:br/>
            </w:r>
            <w:r w:rsidRPr="004C7621">
              <w:rPr>
                <w:rFonts w:asciiTheme="majorHAnsi" w:eastAsia="Times New Roman" w:hAnsiTheme="majorHAnsi" w:cstheme="majorHAnsi"/>
                <w:bCs/>
                <w:color w:val="000000"/>
                <w:sz w:val="18"/>
                <w:szCs w:val="18"/>
                <w:lang w:eastAsia="en-AU"/>
              </w:rPr>
              <w:t>($A)</w:t>
            </w:r>
          </w:p>
        </w:tc>
      </w:tr>
      <w:tr w:rsidR="007C01E6" w:rsidRPr="00F81F50" w14:paraId="1EFCE8C4" w14:textId="77777777" w:rsidTr="000F69BD">
        <w:tc>
          <w:tcPr>
            <w:tcW w:w="709" w:type="dxa"/>
            <w:tcBorders>
              <w:top w:val="nil"/>
              <w:left w:val="nil"/>
              <w:bottom w:val="single" w:sz="4" w:space="0" w:color="auto"/>
              <w:right w:val="nil"/>
            </w:tcBorders>
            <w:shd w:val="clear" w:color="auto" w:fill="auto"/>
            <w:noWrap/>
            <w:vAlign w:val="bottom"/>
            <w:hideMark/>
          </w:tcPr>
          <w:p w14:paraId="38159CCF" w14:textId="77777777" w:rsidR="007C01E6" w:rsidRPr="008E21A1" w:rsidRDefault="007C01E6" w:rsidP="007C01E6">
            <w:pPr>
              <w:spacing w:after="0" w:line="240" w:lineRule="auto"/>
              <w:rPr>
                <w:rFonts w:asciiTheme="majorHAnsi" w:eastAsia="Times New Roman" w:hAnsiTheme="majorHAnsi" w:cstheme="majorHAnsi"/>
                <w:color w:val="000000"/>
                <w:sz w:val="18"/>
                <w:szCs w:val="18"/>
                <w:lang w:eastAsia="en-AU"/>
              </w:rPr>
            </w:pPr>
          </w:p>
        </w:tc>
        <w:tc>
          <w:tcPr>
            <w:tcW w:w="847" w:type="dxa"/>
            <w:tcBorders>
              <w:top w:val="nil"/>
              <w:left w:val="nil"/>
              <w:bottom w:val="single" w:sz="4" w:space="0" w:color="auto"/>
              <w:right w:val="nil"/>
            </w:tcBorders>
            <w:shd w:val="clear" w:color="auto" w:fill="auto"/>
            <w:noWrap/>
            <w:vAlign w:val="bottom"/>
            <w:hideMark/>
          </w:tcPr>
          <w:p w14:paraId="302D81C0" w14:textId="77777777" w:rsidR="007C01E6" w:rsidRPr="008E21A1" w:rsidRDefault="007C01E6" w:rsidP="007C01E6">
            <w:pPr>
              <w:spacing w:after="0" w:line="240" w:lineRule="auto"/>
              <w:rPr>
                <w:rFonts w:asciiTheme="majorHAnsi" w:eastAsia="Times New Roman" w:hAnsiTheme="majorHAnsi" w:cstheme="majorHAnsi"/>
                <w:color w:val="000000"/>
                <w:sz w:val="18"/>
                <w:szCs w:val="18"/>
                <w:lang w:eastAsia="en-AU"/>
              </w:rPr>
            </w:pPr>
          </w:p>
        </w:tc>
        <w:tc>
          <w:tcPr>
            <w:tcW w:w="2635" w:type="dxa"/>
            <w:tcBorders>
              <w:top w:val="nil"/>
              <w:left w:val="nil"/>
              <w:bottom w:val="single" w:sz="4" w:space="0" w:color="auto"/>
              <w:right w:val="nil"/>
            </w:tcBorders>
            <w:shd w:val="clear" w:color="auto" w:fill="auto"/>
            <w:noWrap/>
            <w:vAlign w:val="bottom"/>
            <w:hideMark/>
          </w:tcPr>
          <w:p w14:paraId="5CD76057" w14:textId="77777777" w:rsidR="007C01E6" w:rsidRPr="008E21A1" w:rsidRDefault="007C01E6" w:rsidP="007C01E6">
            <w:pPr>
              <w:spacing w:after="0" w:line="240" w:lineRule="auto"/>
              <w:rPr>
                <w:rFonts w:asciiTheme="majorHAnsi" w:eastAsia="Times New Roman" w:hAnsiTheme="majorHAnsi" w:cstheme="majorHAnsi"/>
                <w:color w:val="000000"/>
                <w:sz w:val="18"/>
                <w:szCs w:val="18"/>
                <w:lang w:eastAsia="en-AU"/>
              </w:rPr>
            </w:pPr>
            <w:r w:rsidRPr="008E21A1">
              <w:rPr>
                <w:rFonts w:asciiTheme="majorHAnsi" w:eastAsia="Times New Roman" w:hAnsiTheme="majorHAnsi" w:cstheme="majorHAnsi"/>
                <w:color w:val="000000"/>
                <w:sz w:val="18"/>
                <w:szCs w:val="18"/>
                <w:lang w:eastAsia="en-AU"/>
              </w:rPr>
              <w:t>Description</w:t>
            </w:r>
          </w:p>
        </w:tc>
        <w:tc>
          <w:tcPr>
            <w:tcW w:w="1189" w:type="dxa"/>
            <w:tcBorders>
              <w:top w:val="nil"/>
              <w:left w:val="nil"/>
              <w:bottom w:val="single" w:sz="4" w:space="0" w:color="auto"/>
              <w:right w:val="nil"/>
            </w:tcBorders>
            <w:shd w:val="clear" w:color="auto" w:fill="auto"/>
            <w:noWrap/>
            <w:vAlign w:val="bottom"/>
            <w:hideMark/>
          </w:tcPr>
          <w:p w14:paraId="4D97CF48" w14:textId="77777777" w:rsidR="007C01E6" w:rsidRPr="008E21A1" w:rsidRDefault="007C01E6" w:rsidP="007C01E6">
            <w:pPr>
              <w:spacing w:after="0" w:line="240" w:lineRule="auto"/>
              <w:rPr>
                <w:rFonts w:asciiTheme="majorHAnsi" w:eastAsia="Times New Roman" w:hAnsiTheme="majorHAnsi" w:cstheme="majorHAnsi"/>
                <w:sz w:val="18"/>
                <w:szCs w:val="18"/>
                <w:lang w:eastAsia="en-AU"/>
              </w:rPr>
            </w:pPr>
            <w:r w:rsidRPr="008E21A1">
              <w:rPr>
                <w:rFonts w:asciiTheme="majorHAnsi" w:eastAsia="Times New Roman" w:hAnsiTheme="majorHAnsi" w:cstheme="majorHAnsi"/>
                <w:sz w:val="18"/>
                <w:szCs w:val="18"/>
                <w:lang w:eastAsia="en-AU"/>
              </w:rPr>
              <w:t>Value ($A)</w:t>
            </w:r>
          </w:p>
        </w:tc>
        <w:tc>
          <w:tcPr>
            <w:tcW w:w="1033" w:type="dxa"/>
            <w:tcBorders>
              <w:top w:val="nil"/>
              <w:left w:val="nil"/>
              <w:bottom w:val="single" w:sz="4" w:space="0" w:color="auto"/>
              <w:right w:val="nil"/>
            </w:tcBorders>
            <w:shd w:val="clear" w:color="auto" w:fill="auto"/>
            <w:noWrap/>
            <w:vAlign w:val="bottom"/>
            <w:hideMark/>
          </w:tcPr>
          <w:p w14:paraId="53F7E9A7" w14:textId="739AFF06" w:rsidR="007C01E6" w:rsidRPr="008E21A1" w:rsidRDefault="007C01E6" w:rsidP="007C01E6">
            <w:pPr>
              <w:spacing w:after="0" w:line="240" w:lineRule="auto"/>
              <w:rPr>
                <w:rFonts w:asciiTheme="majorHAnsi" w:eastAsia="Times New Roman" w:hAnsiTheme="majorHAnsi" w:cstheme="majorHAnsi"/>
                <w:sz w:val="18"/>
                <w:szCs w:val="18"/>
                <w:lang w:eastAsia="en-AU"/>
              </w:rPr>
            </w:pPr>
            <w:r w:rsidRPr="00894292">
              <w:rPr>
                <w:rFonts w:asciiTheme="majorHAnsi" w:eastAsia="Times New Roman" w:hAnsiTheme="majorHAnsi" w:cstheme="majorHAnsi"/>
                <w:color w:val="000000"/>
                <w:sz w:val="18"/>
                <w:szCs w:val="18"/>
                <w:lang w:eastAsia="en-AU"/>
              </w:rPr>
              <w:t xml:space="preserve">% </w:t>
            </w:r>
            <w:proofErr w:type="gramStart"/>
            <w:r w:rsidRPr="00894292">
              <w:rPr>
                <w:rFonts w:asciiTheme="majorHAnsi" w:eastAsia="Times New Roman" w:hAnsiTheme="majorHAnsi" w:cstheme="majorHAnsi"/>
                <w:color w:val="000000"/>
                <w:sz w:val="18"/>
                <w:szCs w:val="18"/>
                <w:lang w:eastAsia="en-AU"/>
              </w:rPr>
              <w:t>of</w:t>
            </w:r>
            <w:proofErr w:type="gramEnd"/>
            <w:r w:rsidRPr="00894292">
              <w:rPr>
                <w:rFonts w:asciiTheme="majorHAnsi" w:eastAsia="Times New Roman" w:hAnsiTheme="majorHAnsi" w:cstheme="majorHAnsi"/>
                <w:color w:val="000000"/>
                <w:sz w:val="18"/>
                <w:szCs w:val="18"/>
                <w:lang w:eastAsia="en-AU"/>
              </w:rPr>
              <w:t xml:space="preserve"> </w:t>
            </w:r>
            <w:r>
              <w:rPr>
                <w:rFonts w:asciiTheme="majorHAnsi" w:eastAsia="Times New Roman" w:hAnsiTheme="majorHAnsi" w:cstheme="majorHAnsi"/>
                <w:color w:val="000000"/>
                <w:sz w:val="18"/>
                <w:szCs w:val="18"/>
                <w:lang w:eastAsia="en-AU"/>
              </w:rPr>
              <w:t>India’s global</w:t>
            </w:r>
            <w:r w:rsidRPr="00894292">
              <w:rPr>
                <w:rFonts w:asciiTheme="majorHAnsi" w:eastAsia="Times New Roman" w:hAnsiTheme="majorHAnsi" w:cstheme="majorHAnsi"/>
                <w:color w:val="000000"/>
                <w:sz w:val="18"/>
                <w:szCs w:val="18"/>
                <w:lang w:eastAsia="en-AU"/>
              </w:rPr>
              <w:t xml:space="preserve"> imports</w:t>
            </w:r>
          </w:p>
        </w:tc>
        <w:tc>
          <w:tcPr>
            <w:tcW w:w="668" w:type="dxa"/>
            <w:vMerge/>
            <w:tcBorders>
              <w:left w:val="nil"/>
              <w:bottom w:val="single" w:sz="4" w:space="0" w:color="auto"/>
              <w:right w:val="nil"/>
            </w:tcBorders>
            <w:shd w:val="clear" w:color="auto" w:fill="auto"/>
            <w:noWrap/>
            <w:vAlign w:val="bottom"/>
            <w:hideMark/>
          </w:tcPr>
          <w:p w14:paraId="68CB861B" w14:textId="77777777" w:rsidR="007C01E6" w:rsidRPr="008E21A1" w:rsidRDefault="007C01E6" w:rsidP="007C01E6">
            <w:pPr>
              <w:spacing w:after="0" w:line="240" w:lineRule="auto"/>
              <w:rPr>
                <w:rFonts w:asciiTheme="majorHAnsi" w:eastAsia="Times New Roman" w:hAnsiTheme="majorHAnsi" w:cstheme="majorHAnsi"/>
                <w:sz w:val="18"/>
                <w:szCs w:val="18"/>
                <w:lang w:eastAsia="en-AU"/>
              </w:rPr>
            </w:pPr>
          </w:p>
        </w:tc>
        <w:tc>
          <w:tcPr>
            <w:tcW w:w="2026" w:type="dxa"/>
            <w:vMerge/>
            <w:tcBorders>
              <w:left w:val="nil"/>
              <w:bottom w:val="single" w:sz="4" w:space="0" w:color="auto"/>
              <w:right w:val="nil"/>
            </w:tcBorders>
            <w:shd w:val="clear" w:color="auto" w:fill="auto"/>
            <w:noWrap/>
            <w:vAlign w:val="bottom"/>
            <w:hideMark/>
          </w:tcPr>
          <w:p w14:paraId="62E49CDD" w14:textId="77777777" w:rsidR="007C01E6" w:rsidRPr="008E21A1" w:rsidRDefault="007C01E6" w:rsidP="007C01E6">
            <w:pPr>
              <w:spacing w:after="0" w:line="240" w:lineRule="auto"/>
              <w:rPr>
                <w:rFonts w:asciiTheme="majorHAnsi" w:eastAsia="Times New Roman" w:hAnsiTheme="majorHAnsi" w:cstheme="majorHAnsi"/>
                <w:sz w:val="18"/>
                <w:szCs w:val="18"/>
                <w:lang w:eastAsia="en-AU"/>
              </w:rPr>
            </w:pPr>
          </w:p>
        </w:tc>
        <w:tc>
          <w:tcPr>
            <w:tcW w:w="1155" w:type="dxa"/>
            <w:vMerge/>
            <w:tcBorders>
              <w:left w:val="nil"/>
              <w:bottom w:val="single" w:sz="4" w:space="0" w:color="auto"/>
              <w:right w:val="nil"/>
            </w:tcBorders>
            <w:shd w:val="clear" w:color="auto" w:fill="auto"/>
            <w:noWrap/>
            <w:vAlign w:val="bottom"/>
            <w:hideMark/>
          </w:tcPr>
          <w:p w14:paraId="7762A911" w14:textId="77777777" w:rsidR="007C01E6" w:rsidRPr="008E21A1" w:rsidRDefault="007C01E6" w:rsidP="007C01E6">
            <w:pPr>
              <w:spacing w:after="0" w:line="240" w:lineRule="auto"/>
              <w:rPr>
                <w:rFonts w:asciiTheme="majorHAnsi" w:eastAsia="Times New Roman" w:hAnsiTheme="majorHAnsi" w:cstheme="majorHAnsi"/>
                <w:sz w:val="18"/>
                <w:szCs w:val="18"/>
                <w:lang w:eastAsia="en-AU"/>
              </w:rPr>
            </w:pPr>
          </w:p>
        </w:tc>
      </w:tr>
      <w:tr w:rsidR="00335CF7" w:rsidRPr="00F81F50" w14:paraId="5B601D9B" w14:textId="77777777" w:rsidTr="000F69BD">
        <w:tc>
          <w:tcPr>
            <w:tcW w:w="10262" w:type="dxa"/>
            <w:gridSpan w:val="8"/>
            <w:tcBorders>
              <w:top w:val="single" w:sz="4" w:space="0" w:color="auto"/>
              <w:left w:val="nil"/>
              <w:bottom w:val="single" w:sz="4" w:space="0" w:color="auto"/>
              <w:right w:val="nil"/>
            </w:tcBorders>
            <w:shd w:val="clear" w:color="auto" w:fill="auto"/>
            <w:noWrap/>
            <w:vAlign w:val="bottom"/>
            <w:hideMark/>
          </w:tcPr>
          <w:p w14:paraId="677A56C8" w14:textId="77777777" w:rsidR="00335CF7" w:rsidRPr="008E21A1" w:rsidRDefault="00335CF7" w:rsidP="000F69BD">
            <w:pPr>
              <w:spacing w:after="0" w:line="240" w:lineRule="auto"/>
              <w:rPr>
                <w:rFonts w:asciiTheme="majorHAnsi" w:eastAsia="Times New Roman" w:hAnsiTheme="majorHAnsi" w:cstheme="majorHAnsi"/>
                <w:b/>
                <w:bCs/>
                <w:sz w:val="18"/>
                <w:szCs w:val="18"/>
                <w:lang w:eastAsia="en-AU"/>
              </w:rPr>
            </w:pPr>
            <w:r w:rsidRPr="008E21A1">
              <w:rPr>
                <w:rFonts w:asciiTheme="majorHAnsi" w:eastAsia="Times New Roman" w:hAnsiTheme="majorHAnsi" w:cstheme="majorHAnsi"/>
                <w:b/>
                <w:bCs/>
                <w:color w:val="000000"/>
                <w:sz w:val="18"/>
                <w:szCs w:val="18"/>
                <w:lang w:eastAsia="en-AU"/>
              </w:rPr>
              <w:t xml:space="preserve">Cereals, wheats, grains, </w:t>
            </w:r>
            <w:proofErr w:type="gramStart"/>
            <w:r w:rsidRPr="008E21A1">
              <w:rPr>
                <w:rFonts w:asciiTheme="majorHAnsi" w:eastAsia="Times New Roman" w:hAnsiTheme="majorHAnsi" w:cstheme="majorHAnsi"/>
                <w:b/>
                <w:bCs/>
                <w:color w:val="000000"/>
                <w:sz w:val="18"/>
                <w:szCs w:val="18"/>
                <w:lang w:eastAsia="en-AU"/>
              </w:rPr>
              <w:t>seeds</w:t>
            </w:r>
            <w:proofErr w:type="gramEnd"/>
            <w:r w:rsidRPr="008E21A1">
              <w:rPr>
                <w:rFonts w:asciiTheme="majorHAnsi" w:eastAsia="Times New Roman" w:hAnsiTheme="majorHAnsi" w:cstheme="majorHAnsi"/>
                <w:b/>
                <w:bCs/>
                <w:color w:val="000000"/>
                <w:sz w:val="18"/>
                <w:szCs w:val="18"/>
                <w:lang w:eastAsia="en-AU"/>
              </w:rPr>
              <w:t xml:space="preserve"> and rice</w:t>
            </w:r>
          </w:p>
        </w:tc>
      </w:tr>
      <w:tr w:rsidR="00335CF7" w:rsidRPr="00F81F50" w14:paraId="1E961468" w14:textId="77777777" w:rsidTr="000F69BD">
        <w:tc>
          <w:tcPr>
            <w:tcW w:w="709" w:type="dxa"/>
            <w:tcBorders>
              <w:top w:val="single" w:sz="4" w:space="0" w:color="auto"/>
              <w:left w:val="nil"/>
              <w:bottom w:val="nil"/>
              <w:right w:val="nil"/>
            </w:tcBorders>
            <w:shd w:val="clear" w:color="auto" w:fill="auto"/>
            <w:noWrap/>
            <w:hideMark/>
          </w:tcPr>
          <w:p w14:paraId="115CB32E" w14:textId="77777777" w:rsidR="00335CF7" w:rsidRPr="008E21A1"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eastAsia="Times New Roman" w:hAnsiTheme="majorHAnsi" w:cstheme="majorHAnsi"/>
                <w:color w:val="000000"/>
                <w:sz w:val="18"/>
                <w:szCs w:val="18"/>
                <w:lang w:eastAsia="en-AU"/>
              </w:rPr>
              <w:t>CH10</w:t>
            </w:r>
          </w:p>
        </w:tc>
        <w:tc>
          <w:tcPr>
            <w:tcW w:w="847" w:type="dxa"/>
            <w:tcBorders>
              <w:top w:val="single" w:sz="4" w:space="0" w:color="auto"/>
              <w:left w:val="nil"/>
              <w:bottom w:val="nil"/>
              <w:right w:val="nil"/>
            </w:tcBorders>
            <w:shd w:val="clear" w:color="auto" w:fill="auto"/>
            <w:noWrap/>
            <w:hideMark/>
          </w:tcPr>
          <w:p w14:paraId="2C52A675" w14:textId="77777777" w:rsidR="00335CF7" w:rsidRPr="008E21A1" w:rsidRDefault="00335CF7" w:rsidP="000F69BD">
            <w:pPr>
              <w:spacing w:after="0" w:line="240" w:lineRule="auto"/>
              <w:rPr>
                <w:rFonts w:asciiTheme="majorHAnsi" w:eastAsia="Times New Roman" w:hAnsiTheme="majorHAnsi" w:cstheme="majorHAnsi"/>
                <w:color w:val="000000"/>
                <w:sz w:val="18"/>
                <w:szCs w:val="18"/>
                <w:lang w:eastAsia="en-AU"/>
              </w:rPr>
            </w:pPr>
          </w:p>
        </w:tc>
        <w:tc>
          <w:tcPr>
            <w:tcW w:w="2635" w:type="dxa"/>
            <w:tcBorders>
              <w:top w:val="single" w:sz="4" w:space="0" w:color="auto"/>
              <w:left w:val="nil"/>
              <w:bottom w:val="nil"/>
              <w:right w:val="nil"/>
            </w:tcBorders>
            <w:shd w:val="clear" w:color="auto" w:fill="auto"/>
            <w:noWrap/>
            <w:hideMark/>
          </w:tcPr>
          <w:p w14:paraId="79C89990" w14:textId="77777777" w:rsidR="00335CF7" w:rsidRPr="00284549" w:rsidRDefault="00335CF7" w:rsidP="000F69BD">
            <w:pPr>
              <w:spacing w:after="0" w:line="240" w:lineRule="auto"/>
              <w:rPr>
                <w:rFonts w:asciiTheme="majorHAnsi" w:hAnsiTheme="majorHAnsi" w:cstheme="majorHAnsi"/>
                <w:sz w:val="18"/>
                <w:szCs w:val="18"/>
              </w:rPr>
            </w:pPr>
            <w:r w:rsidRPr="00284549">
              <w:rPr>
                <w:rFonts w:asciiTheme="majorHAnsi" w:hAnsiTheme="majorHAnsi" w:cstheme="majorHAnsi"/>
                <w:sz w:val="18"/>
                <w:szCs w:val="18"/>
              </w:rPr>
              <w:t>Cereals - Wheat</w:t>
            </w:r>
          </w:p>
        </w:tc>
        <w:tc>
          <w:tcPr>
            <w:tcW w:w="1189" w:type="dxa"/>
            <w:tcBorders>
              <w:top w:val="single" w:sz="4" w:space="0" w:color="auto"/>
              <w:left w:val="nil"/>
              <w:bottom w:val="nil"/>
              <w:right w:val="nil"/>
            </w:tcBorders>
            <w:shd w:val="clear" w:color="auto" w:fill="auto"/>
            <w:noWrap/>
            <w:hideMark/>
          </w:tcPr>
          <w:p w14:paraId="1FB818F5" w14:textId="77777777" w:rsidR="00335CF7" w:rsidRPr="00284549"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3,677,433</w:t>
            </w:r>
          </w:p>
        </w:tc>
        <w:tc>
          <w:tcPr>
            <w:tcW w:w="1033" w:type="dxa"/>
            <w:tcBorders>
              <w:top w:val="single" w:sz="4" w:space="0" w:color="auto"/>
              <w:left w:val="nil"/>
              <w:bottom w:val="nil"/>
              <w:right w:val="nil"/>
            </w:tcBorders>
            <w:shd w:val="clear" w:color="auto" w:fill="auto"/>
            <w:noWrap/>
            <w:hideMark/>
          </w:tcPr>
          <w:p w14:paraId="74A23B5A" w14:textId="77777777" w:rsidR="00335CF7" w:rsidRPr="008E21A1"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42.7%</w:t>
            </w:r>
          </w:p>
        </w:tc>
        <w:tc>
          <w:tcPr>
            <w:tcW w:w="668" w:type="dxa"/>
            <w:tcBorders>
              <w:top w:val="single" w:sz="4" w:space="0" w:color="auto"/>
              <w:left w:val="nil"/>
              <w:bottom w:val="nil"/>
              <w:right w:val="nil"/>
            </w:tcBorders>
            <w:shd w:val="clear" w:color="auto" w:fill="auto"/>
            <w:noWrap/>
            <w:hideMark/>
          </w:tcPr>
          <w:p w14:paraId="0ECBEF6C" w14:textId="77777777" w:rsidR="00335CF7" w:rsidRPr="008E21A1" w:rsidRDefault="00335CF7" w:rsidP="000F69BD">
            <w:pPr>
              <w:tabs>
                <w:tab w:val="center" w:pos="198"/>
              </w:tabs>
              <w:spacing w:after="0" w:line="240" w:lineRule="auto"/>
              <w:jc w:val="center"/>
              <w:rPr>
                <w:rFonts w:asciiTheme="majorHAnsi" w:eastAsia="Times New Roman" w:hAnsiTheme="majorHAnsi" w:cstheme="majorHAnsi"/>
                <w:color w:val="000000"/>
                <w:sz w:val="18"/>
                <w:szCs w:val="18"/>
                <w:lang w:eastAsia="en-AU"/>
              </w:rPr>
            </w:pPr>
          </w:p>
        </w:tc>
        <w:tc>
          <w:tcPr>
            <w:tcW w:w="2026" w:type="dxa"/>
            <w:tcBorders>
              <w:top w:val="single" w:sz="4" w:space="0" w:color="auto"/>
              <w:left w:val="nil"/>
              <w:bottom w:val="nil"/>
              <w:right w:val="nil"/>
            </w:tcBorders>
            <w:shd w:val="clear" w:color="auto" w:fill="auto"/>
            <w:noWrap/>
            <w:hideMark/>
          </w:tcPr>
          <w:p w14:paraId="40ACC24C" w14:textId="77777777" w:rsidR="00335CF7" w:rsidRPr="008E21A1" w:rsidRDefault="00335CF7" w:rsidP="000F69BD">
            <w:pPr>
              <w:spacing w:after="0" w:line="240" w:lineRule="auto"/>
              <w:jc w:val="center"/>
              <w:rPr>
                <w:rFonts w:asciiTheme="majorHAnsi" w:eastAsia="Times New Roman" w:hAnsiTheme="majorHAnsi" w:cstheme="majorHAnsi"/>
                <w:color w:val="000000"/>
                <w:sz w:val="18"/>
                <w:szCs w:val="18"/>
                <w:lang w:eastAsia="en-AU"/>
              </w:rPr>
            </w:pPr>
          </w:p>
        </w:tc>
        <w:tc>
          <w:tcPr>
            <w:tcW w:w="1155" w:type="dxa"/>
            <w:tcBorders>
              <w:top w:val="single" w:sz="4" w:space="0" w:color="auto"/>
              <w:left w:val="nil"/>
              <w:bottom w:val="nil"/>
              <w:right w:val="nil"/>
            </w:tcBorders>
            <w:shd w:val="clear" w:color="auto" w:fill="auto"/>
            <w:noWrap/>
            <w:hideMark/>
          </w:tcPr>
          <w:p w14:paraId="3EA6C310" w14:textId="77777777" w:rsidR="00335CF7" w:rsidRPr="00284549"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3,677,433</w:t>
            </w:r>
          </w:p>
        </w:tc>
      </w:tr>
      <w:tr w:rsidR="00335CF7" w:rsidRPr="00F81F50" w14:paraId="279A5643" w14:textId="77777777" w:rsidTr="000F69BD">
        <w:tc>
          <w:tcPr>
            <w:tcW w:w="709" w:type="dxa"/>
            <w:tcBorders>
              <w:top w:val="nil"/>
              <w:left w:val="nil"/>
              <w:bottom w:val="nil"/>
              <w:right w:val="nil"/>
            </w:tcBorders>
            <w:shd w:val="clear" w:color="auto" w:fill="auto"/>
            <w:noWrap/>
            <w:hideMark/>
          </w:tcPr>
          <w:p w14:paraId="7E999A37" w14:textId="77777777" w:rsidR="00335CF7" w:rsidRPr="008E21A1"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eastAsia="Times New Roman" w:hAnsiTheme="majorHAnsi" w:cstheme="majorHAnsi"/>
                <w:color w:val="000000"/>
                <w:sz w:val="18"/>
                <w:szCs w:val="18"/>
                <w:lang w:eastAsia="en-AU"/>
              </w:rPr>
              <w:t>CH10</w:t>
            </w:r>
          </w:p>
        </w:tc>
        <w:tc>
          <w:tcPr>
            <w:tcW w:w="847" w:type="dxa"/>
            <w:tcBorders>
              <w:top w:val="nil"/>
              <w:left w:val="nil"/>
              <w:bottom w:val="nil"/>
              <w:right w:val="nil"/>
            </w:tcBorders>
            <w:shd w:val="clear" w:color="auto" w:fill="auto"/>
            <w:noWrap/>
            <w:hideMark/>
          </w:tcPr>
          <w:p w14:paraId="65BE3846" w14:textId="77777777" w:rsidR="00335CF7" w:rsidRPr="008E21A1" w:rsidRDefault="00335CF7" w:rsidP="000F69BD">
            <w:pPr>
              <w:spacing w:after="0" w:line="240" w:lineRule="auto"/>
              <w:rPr>
                <w:rFonts w:asciiTheme="majorHAnsi" w:eastAsia="Times New Roman" w:hAnsiTheme="majorHAnsi" w:cstheme="majorHAnsi"/>
                <w:color w:val="000000"/>
                <w:sz w:val="18"/>
                <w:szCs w:val="18"/>
                <w:lang w:eastAsia="en-AU"/>
              </w:rPr>
            </w:pPr>
          </w:p>
        </w:tc>
        <w:tc>
          <w:tcPr>
            <w:tcW w:w="2635" w:type="dxa"/>
            <w:tcBorders>
              <w:top w:val="nil"/>
              <w:left w:val="nil"/>
              <w:bottom w:val="nil"/>
              <w:right w:val="nil"/>
            </w:tcBorders>
            <w:shd w:val="clear" w:color="auto" w:fill="auto"/>
            <w:noWrap/>
            <w:hideMark/>
          </w:tcPr>
          <w:p w14:paraId="4D81BEDA" w14:textId="77777777" w:rsidR="00335CF7" w:rsidRPr="00284549" w:rsidRDefault="00335CF7" w:rsidP="000F69BD">
            <w:pPr>
              <w:spacing w:after="0" w:line="240" w:lineRule="auto"/>
              <w:rPr>
                <w:rFonts w:asciiTheme="majorHAnsi" w:hAnsiTheme="majorHAnsi" w:cstheme="majorHAnsi"/>
                <w:sz w:val="18"/>
                <w:szCs w:val="18"/>
              </w:rPr>
            </w:pPr>
            <w:r w:rsidRPr="00284549">
              <w:rPr>
                <w:rFonts w:asciiTheme="majorHAnsi" w:hAnsiTheme="majorHAnsi" w:cstheme="majorHAnsi"/>
                <w:sz w:val="18"/>
                <w:szCs w:val="18"/>
              </w:rPr>
              <w:t>Cereals - Barley</w:t>
            </w:r>
          </w:p>
        </w:tc>
        <w:tc>
          <w:tcPr>
            <w:tcW w:w="1189" w:type="dxa"/>
            <w:tcBorders>
              <w:top w:val="nil"/>
              <w:left w:val="nil"/>
              <w:bottom w:val="nil"/>
              <w:right w:val="nil"/>
            </w:tcBorders>
            <w:shd w:val="clear" w:color="auto" w:fill="auto"/>
            <w:noWrap/>
            <w:hideMark/>
          </w:tcPr>
          <w:p w14:paraId="0583A0D8" w14:textId="77777777" w:rsidR="00335CF7" w:rsidRPr="00284549"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7,906</w:t>
            </w:r>
          </w:p>
        </w:tc>
        <w:tc>
          <w:tcPr>
            <w:tcW w:w="1033" w:type="dxa"/>
            <w:tcBorders>
              <w:top w:val="nil"/>
              <w:left w:val="nil"/>
              <w:bottom w:val="nil"/>
              <w:right w:val="nil"/>
            </w:tcBorders>
            <w:shd w:val="clear" w:color="auto" w:fill="auto"/>
            <w:noWrap/>
            <w:hideMark/>
          </w:tcPr>
          <w:p w14:paraId="25BE244F" w14:textId="77777777" w:rsidR="00335CF7" w:rsidRPr="008E21A1"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0.0%</w:t>
            </w:r>
          </w:p>
        </w:tc>
        <w:tc>
          <w:tcPr>
            <w:tcW w:w="668" w:type="dxa"/>
            <w:tcBorders>
              <w:top w:val="nil"/>
              <w:left w:val="nil"/>
              <w:bottom w:val="nil"/>
              <w:right w:val="nil"/>
            </w:tcBorders>
            <w:shd w:val="clear" w:color="auto" w:fill="auto"/>
            <w:noWrap/>
            <w:hideMark/>
          </w:tcPr>
          <w:p w14:paraId="0A83BA20" w14:textId="77777777" w:rsidR="00335CF7" w:rsidRPr="008E21A1" w:rsidRDefault="00335CF7" w:rsidP="000F69BD">
            <w:pPr>
              <w:spacing w:after="0" w:line="240" w:lineRule="auto"/>
              <w:jc w:val="center"/>
              <w:rPr>
                <w:rFonts w:asciiTheme="majorHAnsi" w:eastAsia="Times New Roman" w:hAnsiTheme="majorHAnsi" w:cstheme="majorHAnsi"/>
                <w:color w:val="000000"/>
                <w:sz w:val="18"/>
                <w:szCs w:val="18"/>
                <w:lang w:eastAsia="en-AU"/>
              </w:rPr>
            </w:pPr>
          </w:p>
        </w:tc>
        <w:tc>
          <w:tcPr>
            <w:tcW w:w="2026" w:type="dxa"/>
            <w:tcBorders>
              <w:top w:val="nil"/>
              <w:left w:val="nil"/>
              <w:bottom w:val="nil"/>
              <w:right w:val="nil"/>
            </w:tcBorders>
            <w:shd w:val="clear" w:color="auto" w:fill="auto"/>
            <w:noWrap/>
            <w:hideMark/>
          </w:tcPr>
          <w:p w14:paraId="7A8825C7" w14:textId="77777777" w:rsidR="00335CF7" w:rsidRPr="008E21A1" w:rsidRDefault="00335CF7" w:rsidP="000F69BD">
            <w:pPr>
              <w:spacing w:after="0" w:line="240" w:lineRule="auto"/>
              <w:jc w:val="center"/>
              <w:rPr>
                <w:rFonts w:asciiTheme="majorHAnsi" w:eastAsia="Times New Roman" w:hAnsiTheme="majorHAnsi" w:cstheme="majorHAnsi"/>
                <w:color w:val="000000"/>
                <w:sz w:val="18"/>
                <w:szCs w:val="18"/>
                <w:lang w:eastAsia="en-AU"/>
              </w:rPr>
            </w:pPr>
          </w:p>
        </w:tc>
        <w:tc>
          <w:tcPr>
            <w:tcW w:w="1155" w:type="dxa"/>
            <w:tcBorders>
              <w:top w:val="nil"/>
              <w:left w:val="nil"/>
              <w:bottom w:val="nil"/>
              <w:right w:val="nil"/>
            </w:tcBorders>
            <w:shd w:val="clear" w:color="auto" w:fill="auto"/>
            <w:noWrap/>
            <w:hideMark/>
          </w:tcPr>
          <w:p w14:paraId="541E406C" w14:textId="77777777" w:rsidR="00335CF7" w:rsidRPr="00284549"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0</w:t>
            </w:r>
          </w:p>
        </w:tc>
      </w:tr>
      <w:tr w:rsidR="00335CF7" w:rsidRPr="00F81F50" w14:paraId="7404DE9F" w14:textId="77777777" w:rsidTr="000F69BD">
        <w:tc>
          <w:tcPr>
            <w:tcW w:w="709" w:type="dxa"/>
            <w:tcBorders>
              <w:top w:val="nil"/>
              <w:left w:val="nil"/>
              <w:bottom w:val="nil"/>
              <w:right w:val="nil"/>
            </w:tcBorders>
            <w:shd w:val="clear" w:color="auto" w:fill="auto"/>
            <w:noWrap/>
            <w:hideMark/>
          </w:tcPr>
          <w:p w14:paraId="66EC18D0" w14:textId="77777777" w:rsidR="00335CF7" w:rsidRPr="008E21A1"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eastAsia="Times New Roman" w:hAnsiTheme="majorHAnsi" w:cstheme="majorHAnsi"/>
                <w:color w:val="000000"/>
                <w:sz w:val="18"/>
                <w:szCs w:val="18"/>
                <w:lang w:eastAsia="en-AU"/>
              </w:rPr>
              <w:t>CH10</w:t>
            </w:r>
          </w:p>
        </w:tc>
        <w:tc>
          <w:tcPr>
            <w:tcW w:w="847" w:type="dxa"/>
            <w:tcBorders>
              <w:top w:val="nil"/>
              <w:left w:val="nil"/>
              <w:bottom w:val="nil"/>
              <w:right w:val="nil"/>
            </w:tcBorders>
            <w:shd w:val="clear" w:color="auto" w:fill="auto"/>
            <w:noWrap/>
            <w:hideMark/>
          </w:tcPr>
          <w:p w14:paraId="0A80C08D" w14:textId="77777777" w:rsidR="00335CF7" w:rsidRPr="008E21A1" w:rsidRDefault="00335CF7" w:rsidP="000F69BD">
            <w:pPr>
              <w:spacing w:after="0" w:line="240" w:lineRule="auto"/>
              <w:rPr>
                <w:rFonts w:asciiTheme="majorHAnsi" w:eastAsia="Times New Roman" w:hAnsiTheme="majorHAnsi" w:cstheme="majorHAnsi"/>
                <w:color w:val="000000"/>
                <w:sz w:val="18"/>
                <w:szCs w:val="18"/>
                <w:lang w:eastAsia="en-AU"/>
              </w:rPr>
            </w:pPr>
          </w:p>
        </w:tc>
        <w:tc>
          <w:tcPr>
            <w:tcW w:w="2635" w:type="dxa"/>
            <w:tcBorders>
              <w:top w:val="nil"/>
              <w:left w:val="nil"/>
              <w:bottom w:val="nil"/>
              <w:right w:val="nil"/>
            </w:tcBorders>
            <w:shd w:val="clear" w:color="auto" w:fill="auto"/>
            <w:noWrap/>
            <w:hideMark/>
          </w:tcPr>
          <w:p w14:paraId="0867A4A9" w14:textId="77777777" w:rsidR="00335CF7" w:rsidRPr="00284549" w:rsidRDefault="00335CF7" w:rsidP="000F69BD">
            <w:pPr>
              <w:spacing w:after="0" w:line="240" w:lineRule="auto"/>
              <w:rPr>
                <w:rFonts w:asciiTheme="majorHAnsi" w:hAnsiTheme="majorHAnsi" w:cstheme="majorHAnsi"/>
                <w:sz w:val="18"/>
                <w:szCs w:val="18"/>
              </w:rPr>
            </w:pPr>
            <w:r w:rsidRPr="00284549">
              <w:rPr>
                <w:rFonts w:asciiTheme="majorHAnsi" w:hAnsiTheme="majorHAnsi" w:cstheme="majorHAnsi"/>
                <w:sz w:val="18"/>
                <w:szCs w:val="18"/>
              </w:rPr>
              <w:t>Cereals - Oats</w:t>
            </w:r>
          </w:p>
        </w:tc>
        <w:tc>
          <w:tcPr>
            <w:tcW w:w="1189" w:type="dxa"/>
            <w:tcBorders>
              <w:top w:val="nil"/>
              <w:left w:val="nil"/>
              <w:bottom w:val="nil"/>
              <w:right w:val="nil"/>
            </w:tcBorders>
            <w:shd w:val="clear" w:color="auto" w:fill="auto"/>
            <w:noWrap/>
            <w:hideMark/>
          </w:tcPr>
          <w:p w14:paraId="0B24AD28" w14:textId="77777777" w:rsidR="00335CF7" w:rsidRPr="00284549"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10,447,989</w:t>
            </w:r>
          </w:p>
        </w:tc>
        <w:tc>
          <w:tcPr>
            <w:tcW w:w="1033" w:type="dxa"/>
            <w:tcBorders>
              <w:top w:val="nil"/>
              <w:left w:val="nil"/>
              <w:bottom w:val="nil"/>
              <w:right w:val="nil"/>
            </w:tcBorders>
            <w:shd w:val="clear" w:color="auto" w:fill="auto"/>
            <w:noWrap/>
            <w:hideMark/>
          </w:tcPr>
          <w:p w14:paraId="19138F21" w14:textId="77777777" w:rsidR="00335CF7" w:rsidRPr="008E21A1"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82.5%</w:t>
            </w:r>
          </w:p>
        </w:tc>
        <w:tc>
          <w:tcPr>
            <w:tcW w:w="668" w:type="dxa"/>
            <w:tcBorders>
              <w:top w:val="nil"/>
              <w:left w:val="nil"/>
              <w:bottom w:val="nil"/>
              <w:right w:val="nil"/>
            </w:tcBorders>
            <w:shd w:val="clear" w:color="auto" w:fill="auto"/>
            <w:noWrap/>
            <w:hideMark/>
          </w:tcPr>
          <w:p w14:paraId="1E66B64A" w14:textId="77777777" w:rsidR="00335CF7" w:rsidRPr="008E21A1" w:rsidRDefault="00335CF7" w:rsidP="000F69BD">
            <w:pPr>
              <w:spacing w:after="0" w:line="240" w:lineRule="auto"/>
              <w:jc w:val="center"/>
              <w:rPr>
                <w:rFonts w:asciiTheme="majorHAnsi" w:eastAsia="Times New Roman" w:hAnsiTheme="majorHAnsi" w:cstheme="majorHAnsi"/>
                <w:color w:val="000000"/>
                <w:sz w:val="18"/>
                <w:szCs w:val="18"/>
                <w:lang w:eastAsia="en-AU"/>
              </w:rPr>
            </w:pPr>
          </w:p>
        </w:tc>
        <w:tc>
          <w:tcPr>
            <w:tcW w:w="2026" w:type="dxa"/>
            <w:tcBorders>
              <w:top w:val="nil"/>
              <w:left w:val="nil"/>
              <w:bottom w:val="nil"/>
              <w:right w:val="nil"/>
            </w:tcBorders>
            <w:shd w:val="clear" w:color="auto" w:fill="auto"/>
            <w:noWrap/>
            <w:hideMark/>
          </w:tcPr>
          <w:p w14:paraId="656BEB6E" w14:textId="77777777" w:rsidR="00335CF7" w:rsidRPr="008E21A1" w:rsidRDefault="00335CF7" w:rsidP="000F69BD">
            <w:pPr>
              <w:spacing w:after="0" w:line="240" w:lineRule="auto"/>
              <w:jc w:val="center"/>
              <w:rPr>
                <w:rFonts w:asciiTheme="majorHAnsi" w:eastAsia="Times New Roman" w:hAnsiTheme="majorHAnsi" w:cstheme="majorHAnsi"/>
                <w:color w:val="000000"/>
                <w:sz w:val="18"/>
                <w:szCs w:val="18"/>
                <w:lang w:eastAsia="en-AU"/>
              </w:rPr>
            </w:pPr>
          </w:p>
        </w:tc>
        <w:tc>
          <w:tcPr>
            <w:tcW w:w="1155" w:type="dxa"/>
            <w:tcBorders>
              <w:top w:val="nil"/>
              <w:left w:val="nil"/>
              <w:bottom w:val="nil"/>
              <w:right w:val="nil"/>
            </w:tcBorders>
            <w:shd w:val="clear" w:color="auto" w:fill="auto"/>
            <w:noWrap/>
            <w:hideMark/>
          </w:tcPr>
          <w:p w14:paraId="7833BDCA" w14:textId="77777777" w:rsidR="00335CF7" w:rsidRPr="00284549"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0</w:t>
            </w:r>
          </w:p>
        </w:tc>
      </w:tr>
      <w:tr w:rsidR="00335CF7" w:rsidRPr="00F81F50" w14:paraId="7D6B4B87" w14:textId="77777777" w:rsidTr="000F69BD">
        <w:tc>
          <w:tcPr>
            <w:tcW w:w="709" w:type="dxa"/>
            <w:tcBorders>
              <w:top w:val="nil"/>
              <w:left w:val="nil"/>
              <w:bottom w:val="nil"/>
              <w:right w:val="nil"/>
            </w:tcBorders>
            <w:shd w:val="clear" w:color="auto" w:fill="auto"/>
            <w:noWrap/>
            <w:hideMark/>
          </w:tcPr>
          <w:p w14:paraId="79DD7DDB" w14:textId="77777777" w:rsidR="00335CF7" w:rsidRPr="008E21A1"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eastAsia="Times New Roman" w:hAnsiTheme="majorHAnsi" w:cstheme="majorHAnsi"/>
                <w:color w:val="000000"/>
                <w:sz w:val="18"/>
                <w:szCs w:val="18"/>
                <w:lang w:eastAsia="en-AU"/>
              </w:rPr>
              <w:t>CH11</w:t>
            </w:r>
          </w:p>
        </w:tc>
        <w:tc>
          <w:tcPr>
            <w:tcW w:w="847" w:type="dxa"/>
            <w:tcBorders>
              <w:top w:val="nil"/>
              <w:left w:val="nil"/>
              <w:bottom w:val="nil"/>
              <w:right w:val="nil"/>
            </w:tcBorders>
            <w:shd w:val="clear" w:color="auto" w:fill="auto"/>
            <w:noWrap/>
            <w:hideMark/>
          </w:tcPr>
          <w:p w14:paraId="413243C1" w14:textId="77777777" w:rsidR="00335CF7" w:rsidRPr="008E21A1" w:rsidRDefault="00335CF7" w:rsidP="000F69BD">
            <w:pPr>
              <w:spacing w:after="0" w:line="240" w:lineRule="auto"/>
              <w:rPr>
                <w:rFonts w:asciiTheme="majorHAnsi" w:eastAsia="Times New Roman" w:hAnsiTheme="majorHAnsi" w:cstheme="majorHAnsi"/>
                <w:color w:val="000000"/>
                <w:sz w:val="18"/>
                <w:szCs w:val="18"/>
                <w:lang w:eastAsia="en-AU"/>
              </w:rPr>
            </w:pPr>
          </w:p>
        </w:tc>
        <w:tc>
          <w:tcPr>
            <w:tcW w:w="2635" w:type="dxa"/>
            <w:tcBorders>
              <w:top w:val="nil"/>
              <w:left w:val="nil"/>
              <w:bottom w:val="nil"/>
              <w:right w:val="nil"/>
            </w:tcBorders>
            <w:shd w:val="clear" w:color="auto" w:fill="auto"/>
            <w:noWrap/>
            <w:hideMark/>
          </w:tcPr>
          <w:p w14:paraId="405E0D11" w14:textId="77777777" w:rsidR="00335CF7" w:rsidRPr="00284549" w:rsidRDefault="00335CF7" w:rsidP="000F69BD">
            <w:pPr>
              <w:spacing w:after="0" w:line="240" w:lineRule="auto"/>
              <w:rPr>
                <w:rFonts w:asciiTheme="majorHAnsi" w:hAnsiTheme="majorHAnsi" w:cstheme="majorHAnsi"/>
                <w:sz w:val="18"/>
                <w:szCs w:val="18"/>
              </w:rPr>
            </w:pPr>
            <w:r w:rsidRPr="00284549">
              <w:rPr>
                <w:rFonts w:asciiTheme="majorHAnsi" w:hAnsiTheme="majorHAnsi" w:cstheme="majorHAnsi"/>
                <w:sz w:val="18"/>
                <w:szCs w:val="18"/>
              </w:rPr>
              <w:t>Products Milling industry</w:t>
            </w:r>
          </w:p>
        </w:tc>
        <w:tc>
          <w:tcPr>
            <w:tcW w:w="1189" w:type="dxa"/>
            <w:tcBorders>
              <w:top w:val="nil"/>
              <w:left w:val="nil"/>
              <w:bottom w:val="nil"/>
              <w:right w:val="nil"/>
            </w:tcBorders>
            <w:shd w:val="clear" w:color="auto" w:fill="auto"/>
            <w:noWrap/>
            <w:hideMark/>
          </w:tcPr>
          <w:p w14:paraId="732829BA" w14:textId="77777777" w:rsidR="00335CF7" w:rsidRPr="00284549"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15,788,622</w:t>
            </w:r>
          </w:p>
        </w:tc>
        <w:tc>
          <w:tcPr>
            <w:tcW w:w="1033" w:type="dxa"/>
            <w:tcBorders>
              <w:top w:val="nil"/>
              <w:left w:val="nil"/>
              <w:bottom w:val="nil"/>
              <w:right w:val="nil"/>
            </w:tcBorders>
            <w:shd w:val="clear" w:color="auto" w:fill="auto"/>
            <w:noWrap/>
            <w:hideMark/>
          </w:tcPr>
          <w:p w14:paraId="66D5BBA1" w14:textId="77777777" w:rsidR="00335CF7" w:rsidRPr="008E21A1"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17.6%</w:t>
            </w:r>
          </w:p>
        </w:tc>
        <w:tc>
          <w:tcPr>
            <w:tcW w:w="668" w:type="dxa"/>
            <w:tcBorders>
              <w:top w:val="nil"/>
              <w:left w:val="nil"/>
              <w:bottom w:val="nil"/>
              <w:right w:val="nil"/>
            </w:tcBorders>
            <w:shd w:val="clear" w:color="auto" w:fill="auto"/>
            <w:noWrap/>
            <w:hideMark/>
          </w:tcPr>
          <w:p w14:paraId="308C0175" w14:textId="77777777" w:rsidR="00335CF7" w:rsidRPr="008E21A1" w:rsidRDefault="00335CF7" w:rsidP="000F69BD">
            <w:pPr>
              <w:spacing w:after="0" w:line="240" w:lineRule="auto"/>
              <w:jc w:val="center"/>
              <w:rPr>
                <w:rFonts w:asciiTheme="majorHAnsi" w:eastAsia="Times New Roman" w:hAnsiTheme="majorHAnsi" w:cstheme="majorHAnsi"/>
                <w:color w:val="000000"/>
                <w:sz w:val="18"/>
                <w:szCs w:val="18"/>
                <w:lang w:eastAsia="en-AU"/>
              </w:rPr>
            </w:pPr>
          </w:p>
        </w:tc>
        <w:tc>
          <w:tcPr>
            <w:tcW w:w="2026" w:type="dxa"/>
            <w:tcBorders>
              <w:top w:val="nil"/>
              <w:left w:val="nil"/>
              <w:bottom w:val="nil"/>
              <w:right w:val="nil"/>
            </w:tcBorders>
            <w:shd w:val="clear" w:color="auto" w:fill="auto"/>
            <w:noWrap/>
            <w:hideMark/>
          </w:tcPr>
          <w:p w14:paraId="0620A38C" w14:textId="77777777" w:rsidR="00335CF7" w:rsidRPr="008E21A1" w:rsidRDefault="00335CF7" w:rsidP="000F69BD">
            <w:pPr>
              <w:spacing w:after="0" w:line="240" w:lineRule="auto"/>
              <w:jc w:val="center"/>
              <w:rPr>
                <w:rFonts w:asciiTheme="majorHAnsi" w:eastAsia="Times New Roman" w:hAnsiTheme="majorHAnsi" w:cstheme="majorHAnsi"/>
                <w:color w:val="000000"/>
                <w:sz w:val="18"/>
                <w:szCs w:val="18"/>
                <w:lang w:eastAsia="en-AU"/>
              </w:rPr>
            </w:pPr>
          </w:p>
        </w:tc>
        <w:tc>
          <w:tcPr>
            <w:tcW w:w="1155" w:type="dxa"/>
            <w:tcBorders>
              <w:top w:val="nil"/>
              <w:left w:val="nil"/>
              <w:bottom w:val="nil"/>
              <w:right w:val="nil"/>
            </w:tcBorders>
            <w:shd w:val="clear" w:color="auto" w:fill="auto"/>
            <w:noWrap/>
            <w:hideMark/>
          </w:tcPr>
          <w:p w14:paraId="2D2EF49F" w14:textId="77777777" w:rsidR="00335CF7" w:rsidRPr="00284549"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4,736,732</w:t>
            </w:r>
          </w:p>
        </w:tc>
      </w:tr>
      <w:tr w:rsidR="00335CF7" w:rsidRPr="00F81F50" w14:paraId="0A79A196" w14:textId="77777777" w:rsidTr="000F69BD">
        <w:tc>
          <w:tcPr>
            <w:tcW w:w="709" w:type="dxa"/>
            <w:tcBorders>
              <w:top w:val="nil"/>
              <w:left w:val="nil"/>
              <w:bottom w:val="nil"/>
              <w:right w:val="nil"/>
            </w:tcBorders>
            <w:shd w:val="clear" w:color="auto" w:fill="auto"/>
            <w:noWrap/>
            <w:hideMark/>
          </w:tcPr>
          <w:p w14:paraId="183D7D18" w14:textId="77777777" w:rsidR="00335CF7" w:rsidRPr="008E21A1"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eastAsia="Times New Roman" w:hAnsiTheme="majorHAnsi" w:cstheme="majorHAnsi"/>
                <w:color w:val="000000"/>
                <w:sz w:val="18"/>
                <w:szCs w:val="18"/>
                <w:lang w:eastAsia="en-AU"/>
              </w:rPr>
              <w:t>CH12</w:t>
            </w:r>
          </w:p>
        </w:tc>
        <w:tc>
          <w:tcPr>
            <w:tcW w:w="847" w:type="dxa"/>
            <w:tcBorders>
              <w:top w:val="nil"/>
              <w:left w:val="nil"/>
              <w:bottom w:val="nil"/>
              <w:right w:val="nil"/>
            </w:tcBorders>
            <w:shd w:val="clear" w:color="auto" w:fill="auto"/>
            <w:noWrap/>
            <w:hideMark/>
          </w:tcPr>
          <w:p w14:paraId="09F4CFB9" w14:textId="77777777" w:rsidR="00335CF7" w:rsidRPr="008E21A1" w:rsidRDefault="00335CF7" w:rsidP="000F69BD">
            <w:pPr>
              <w:spacing w:after="0" w:line="240" w:lineRule="auto"/>
              <w:rPr>
                <w:rFonts w:asciiTheme="majorHAnsi" w:eastAsia="Times New Roman" w:hAnsiTheme="majorHAnsi" w:cstheme="majorHAnsi"/>
                <w:color w:val="000000"/>
                <w:sz w:val="18"/>
                <w:szCs w:val="18"/>
                <w:lang w:eastAsia="en-AU"/>
              </w:rPr>
            </w:pPr>
          </w:p>
        </w:tc>
        <w:tc>
          <w:tcPr>
            <w:tcW w:w="2635" w:type="dxa"/>
            <w:tcBorders>
              <w:top w:val="nil"/>
              <w:left w:val="nil"/>
              <w:bottom w:val="nil"/>
              <w:right w:val="nil"/>
            </w:tcBorders>
            <w:shd w:val="clear" w:color="auto" w:fill="auto"/>
            <w:noWrap/>
            <w:hideMark/>
          </w:tcPr>
          <w:p w14:paraId="0FD1A30F" w14:textId="77777777" w:rsidR="00335CF7" w:rsidRPr="00284549" w:rsidRDefault="00335CF7" w:rsidP="000F69BD">
            <w:pPr>
              <w:spacing w:after="0" w:line="240" w:lineRule="auto"/>
              <w:rPr>
                <w:rFonts w:asciiTheme="majorHAnsi" w:hAnsiTheme="majorHAnsi" w:cstheme="majorHAnsi"/>
                <w:sz w:val="18"/>
                <w:szCs w:val="18"/>
              </w:rPr>
            </w:pPr>
            <w:r w:rsidRPr="00284549">
              <w:rPr>
                <w:rFonts w:asciiTheme="majorHAnsi" w:hAnsiTheme="majorHAnsi" w:cstheme="majorHAnsi"/>
                <w:sz w:val="18"/>
                <w:szCs w:val="18"/>
              </w:rPr>
              <w:t>Rape or colza seed</w:t>
            </w:r>
          </w:p>
        </w:tc>
        <w:tc>
          <w:tcPr>
            <w:tcW w:w="1189" w:type="dxa"/>
            <w:tcBorders>
              <w:top w:val="nil"/>
              <w:left w:val="nil"/>
              <w:bottom w:val="nil"/>
              <w:right w:val="nil"/>
            </w:tcBorders>
            <w:shd w:val="clear" w:color="auto" w:fill="auto"/>
            <w:noWrap/>
            <w:hideMark/>
          </w:tcPr>
          <w:p w14:paraId="7869286C" w14:textId="77777777" w:rsidR="00335CF7" w:rsidRPr="00284549"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0</w:t>
            </w:r>
          </w:p>
        </w:tc>
        <w:tc>
          <w:tcPr>
            <w:tcW w:w="1033" w:type="dxa"/>
            <w:tcBorders>
              <w:top w:val="nil"/>
              <w:left w:val="nil"/>
              <w:bottom w:val="nil"/>
              <w:right w:val="nil"/>
            </w:tcBorders>
            <w:shd w:val="clear" w:color="auto" w:fill="auto"/>
            <w:noWrap/>
            <w:hideMark/>
          </w:tcPr>
          <w:p w14:paraId="7540BD5A" w14:textId="77777777" w:rsidR="00335CF7" w:rsidRPr="008E21A1"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0.0%</w:t>
            </w:r>
          </w:p>
        </w:tc>
        <w:tc>
          <w:tcPr>
            <w:tcW w:w="668" w:type="dxa"/>
            <w:tcBorders>
              <w:top w:val="nil"/>
              <w:left w:val="nil"/>
              <w:bottom w:val="nil"/>
              <w:right w:val="nil"/>
            </w:tcBorders>
            <w:shd w:val="clear" w:color="auto" w:fill="auto"/>
            <w:noWrap/>
            <w:hideMark/>
          </w:tcPr>
          <w:p w14:paraId="4FAD2B4B" w14:textId="77777777" w:rsidR="00335CF7" w:rsidRPr="008E21A1" w:rsidRDefault="00335CF7" w:rsidP="000F69BD">
            <w:pPr>
              <w:spacing w:after="0" w:line="240" w:lineRule="auto"/>
              <w:jc w:val="center"/>
              <w:rPr>
                <w:rFonts w:asciiTheme="majorHAnsi" w:eastAsia="Times New Roman" w:hAnsiTheme="majorHAnsi" w:cstheme="majorHAnsi"/>
                <w:color w:val="000000"/>
                <w:sz w:val="18"/>
                <w:szCs w:val="18"/>
                <w:lang w:eastAsia="en-AU"/>
              </w:rPr>
            </w:pPr>
          </w:p>
        </w:tc>
        <w:tc>
          <w:tcPr>
            <w:tcW w:w="2026" w:type="dxa"/>
            <w:tcBorders>
              <w:top w:val="nil"/>
              <w:left w:val="nil"/>
              <w:bottom w:val="nil"/>
              <w:right w:val="nil"/>
            </w:tcBorders>
            <w:shd w:val="clear" w:color="auto" w:fill="auto"/>
            <w:noWrap/>
            <w:hideMark/>
          </w:tcPr>
          <w:p w14:paraId="4162B0FD" w14:textId="77777777" w:rsidR="00335CF7" w:rsidRPr="008E21A1" w:rsidRDefault="00335CF7" w:rsidP="000F69BD">
            <w:pPr>
              <w:spacing w:after="0" w:line="240" w:lineRule="auto"/>
              <w:jc w:val="center"/>
              <w:rPr>
                <w:rFonts w:asciiTheme="majorHAnsi" w:eastAsia="Times New Roman" w:hAnsiTheme="majorHAnsi" w:cstheme="majorHAnsi"/>
                <w:color w:val="000000"/>
                <w:sz w:val="18"/>
                <w:szCs w:val="18"/>
                <w:lang w:eastAsia="en-AU"/>
              </w:rPr>
            </w:pPr>
          </w:p>
        </w:tc>
        <w:tc>
          <w:tcPr>
            <w:tcW w:w="1155" w:type="dxa"/>
            <w:tcBorders>
              <w:top w:val="nil"/>
              <w:left w:val="nil"/>
              <w:bottom w:val="nil"/>
              <w:right w:val="nil"/>
            </w:tcBorders>
            <w:shd w:val="clear" w:color="auto" w:fill="auto"/>
            <w:noWrap/>
            <w:hideMark/>
          </w:tcPr>
          <w:p w14:paraId="022CC476" w14:textId="77777777" w:rsidR="00335CF7" w:rsidRPr="00284549"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0</w:t>
            </w:r>
          </w:p>
        </w:tc>
      </w:tr>
      <w:tr w:rsidR="00335CF7" w:rsidRPr="00F81F50" w14:paraId="61C1CEDA" w14:textId="77777777" w:rsidTr="000F69BD">
        <w:tc>
          <w:tcPr>
            <w:tcW w:w="709" w:type="dxa"/>
            <w:tcBorders>
              <w:top w:val="nil"/>
              <w:left w:val="nil"/>
              <w:bottom w:val="nil"/>
              <w:right w:val="nil"/>
            </w:tcBorders>
            <w:shd w:val="clear" w:color="auto" w:fill="auto"/>
            <w:noWrap/>
            <w:hideMark/>
          </w:tcPr>
          <w:p w14:paraId="7738AC3E" w14:textId="77777777" w:rsidR="00335CF7" w:rsidRPr="008E21A1"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eastAsia="Times New Roman" w:hAnsiTheme="majorHAnsi" w:cstheme="majorHAnsi"/>
                <w:color w:val="000000"/>
                <w:sz w:val="18"/>
                <w:szCs w:val="18"/>
                <w:lang w:eastAsia="en-AU"/>
              </w:rPr>
              <w:t>CH19</w:t>
            </w:r>
          </w:p>
        </w:tc>
        <w:tc>
          <w:tcPr>
            <w:tcW w:w="847" w:type="dxa"/>
            <w:tcBorders>
              <w:top w:val="nil"/>
              <w:left w:val="nil"/>
              <w:bottom w:val="nil"/>
              <w:right w:val="nil"/>
            </w:tcBorders>
            <w:shd w:val="clear" w:color="auto" w:fill="auto"/>
            <w:noWrap/>
            <w:hideMark/>
          </w:tcPr>
          <w:p w14:paraId="5434B28F" w14:textId="77777777" w:rsidR="00335CF7" w:rsidRPr="008E21A1" w:rsidRDefault="00335CF7" w:rsidP="000F69BD">
            <w:pPr>
              <w:spacing w:after="0" w:line="240" w:lineRule="auto"/>
              <w:rPr>
                <w:rFonts w:asciiTheme="majorHAnsi" w:eastAsia="Times New Roman" w:hAnsiTheme="majorHAnsi" w:cstheme="majorHAnsi"/>
                <w:color w:val="000000"/>
                <w:sz w:val="18"/>
                <w:szCs w:val="18"/>
                <w:lang w:eastAsia="en-AU"/>
              </w:rPr>
            </w:pPr>
          </w:p>
        </w:tc>
        <w:tc>
          <w:tcPr>
            <w:tcW w:w="2635" w:type="dxa"/>
            <w:tcBorders>
              <w:top w:val="nil"/>
              <w:left w:val="nil"/>
              <w:bottom w:val="nil"/>
              <w:right w:val="nil"/>
            </w:tcBorders>
            <w:shd w:val="clear" w:color="auto" w:fill="auto"/>
            <w:noWrap/>
            <w:hideMark/>
          </w:tcPr>
          <w:p w14:paraId="04B3062C" w14:textId="77777777" w:rsidR="00335CF7" w:rsidRPr="00284549" w:rsidRDefault="00335CF7" w:rsidP="000F69BD">
            <w:pPr>
              <w:spacing w:after="0" w:line="240" w:lineRule="auto"/>
              <w:rPr>
                <w:rFonts w:asciiTheme="majorHAnsi" w:hAnsiTheme="majorHAnsi" w:cstheme="majorHAnsi"/>
                <w:sz w:val="18"/>
                <w:szCs w:val="18"/>
              </w:rPr>
            </w:pPr>
            <w:r w:rsidRPr="00284549">
              <w:rPr>
                <w:rFonts w:asciiTheme="majorHAnsi" w:hAnsiTheme="majorHAnsi" w:cstheme="majorHAnsi"/>
                <w:sz w:val="18"/>
                <w:szCs w:val="18"/>
              </w:rPr>
              <w:t>Food Prep - Infant Formula</w:t>
            </w:r>
          </w:p>
        </w:tc>
        <w:tc>
          <w:tcPr>
            <w:tcW w:w="1189" w:type="dxa"/>
            <w:tcBorders>
              <w:top w:val="nil"/>
              <w:left w:val="nil"/>
              <w:bottom w:val="nil"/>
              <w:right w:val="nil"/>
            </w:tcBorders>
            <w:shd w:val="clear" w:color="auto" w:fill="auto"/>
            <w:noWrap/>
            <w:hideMark/>
          </w:tcPr>
          <w:p w14:paraId="630080E0" w14:textId="77777777" w:rsidR="00335CF7" w:rsidRPr="00284549"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0</w:t>
            </w:r>
          </w:p>
        </w:tc>
        <w:tc>
          <w:tcPr>
            <w:tcW w:w="1033" w:type="dxa"/>
            <w:tcBorders>
              <w:top w:val="nil"/>
              <w:left w:val="nil"/>
              <w:bottom w:val="nil"/>
              <w:right w:val="nil"/>
            </w:tcBorders>
            <w:shd w:val="clear" w:color="auto" w:fill="auto"/>
            <w:noWrap/>
            <w:hideMark/>
          </w:tcPr>
          <w:p w14:paraId="255D08BD" w14:textId="77777777" w:rsidR="00335CF7" w:rsidRPr="008E21A1"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0.0%</w:t>
            </w:r>
          </w:p>
        </w:tc>
        <w:tc>
          <w:tcPr>
            <w:tcW w:w="668" w:type="dxa"/>
            <w:tcBorders>
              <w:top w:val="nil"/>
              <w:left w:val="nil"/>
              <w:bottom w:val="nil"/>
              <w:right w:val="nil"/>
            </w:tcBorders>
            <w:shd w:val="clear" w:color="auto" w:fill="auto"/>
            <w:noWrap/>
            <w:hideMark/>
          </w:tcPr>
          <w:p w14:paraId="7D24FBB2" w14:textId="77777777" w:rsidR="00335CF7" w:rsidRPr="008E21A1" w:rsidRDefault="00335CF7" w:rsidP="000F69BD">
            <w:pPr>
              <w:spacing w:after="0" w:line="240" w:lineRule="auto"/>
              <w:jc w:val="center"/>
              <w:rPr>
                <w:rFonts w:asciiTheme="majorHAnsi" w:eastAsia="Times New Roman" w:hAnsiTheme="majorHAnsi" w:cstheme="majorHAnsi"/>
                <w:color w:val="000000"/>
                <w:sz w:val="18"/>
                <w:szCs w:val="18"/>
                <w:lang w:eastAsia="en-AU"/>
              </w:rPr>
            </w:pPr>
          </w:p>
        </w:tc>
        <w:tc>
          <w:tcPr>
            <w:tcW w:w="2026" w:type="dxa"/>
            <w:tcBorders>
              <w:top w:val="nil"/>
              <w:left w:val="nil"/>
              <w:bottom w:val="nil"/>
              <w:right w:val="nil"/>
            </w:tcBorders>
            <w:shd w:val="clear" w:color="auto" w:fill="auto"/>
            <w:noWrap/>
            <w:hideMark/>
          </w:tcPr>
          <w:p w14:paraId="0ED8CEFB" w14:textId="77777777" w:rsidR="00335CF7" w:rsidRPr="008E21A1" w:rsidRDefault="00335CF7" w:rsidP="000F69BD">
            <w:pPr>
              <w:spacing w:after="0" w:line="240" w:lineRule="auto"/>
              <w:jc w:val="center"/>
              <w:rPr>
                <w:rFonts w:asciiTheme="majorHAnsi" w:eastAsia="Times New Roman" w:hAnsiTheme="majorHAnsi" w:cstheme="majorHAnsi"/>
                <w:color w:val="000000"/>
                <w:sz w:val="18"/>
                <w:szCs w:val="18"/>
                <w:lang w:eastAsia="en-AU"/>
              </w:rPr>
            </w:pPr>
          </w:p>
        </w:tc>
        <w:tc>
          <w:tcPr>
            <w:tcW w:w="1155" w:type="dxa"/>
            <w:tcBorders>
              <w:top w:val="nil"/>
              <w:left w:val="nil"/>
              <w:bottom w:val="nil"/>
              <w:right w:val="nil"/>
            </w:tcBorders>
            <w:shd w:val="clear" w:color="auto" w:fill="auto"/>
            <w:noWrap/>
            <w:hideMark/>
          </w:tcPr>
          <w:p w14:paraId="2E893BA4" w14:textId="77777777" w:rsidR="00335CF7" w:rsidRPr="00284549"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0</w:t>
            </w:r>
          </w:p>
        </w:tc>
      </w:tr>
      <w:tr w:rsidR="00335CF7" w:rsidRPr="00F81F50" w14:paraId="461ACAD1" w14:textId="77777777" w:rsidTr="000F69BD">
        <w:tc>
          <w:tcPr>
            <w:tcW w:w="709" w:type="dxa"/>
            <w:tcBorders>
              <w:top w:val="nil"/>
              <w:left w:val="nil"/>
              <w:bottom w:val="nil"/>
              <w:right w:val="nil"/>
            </w:tcBorders>
            <w:shd w:val="clear" w:color="auto" w:fill="auto"/>
            <w:noWrap/>
          </w:tcPr>
          <w:p w14:paraId="63297DF3" w14:textId="77777777" w:rsidR="00335CF7" w:rsidRPr="00284549"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eastAsia="Times New Roman" w:hAnsiTheme="majorHAnsi" w:cstheme="majorHAnsi"/>
                <w:color w:val="000000"/>
                <w:sz w:val="18"/>
                <w:szCs w:val="18"/>
                <w:lang w:eastAsia="en-AU"/>
              </w:rPr>
              <w:t>CH19</w:t>
            </w:r>
          </w:p>
        </w:tc>
        <w:tc>
          <w:tcPr>
            <w:tcW w:w="847" w:type="dxa"/>
            <w:tcBorders>
              <w:top w:val="nil"/>
              <w:left w:val="nil"/>
              <w:bottom w:val="nil"/>
              <w:right w:val="nil"/>
            </w:tcBorders>
            <w:shd w:val="clear" w:color="auto" w:fill="auto"/>
            <w:noWrap/>
          </w:tcPr>
          <w:p w14:paraId="49D1BDAD" w14:textId="77777777" w:rsidR="00335CF7" w:rsidRPr="008E21A1" w:rsidRDefault="00335CF7" w:rsidP="000F69BD">
            <w:pPr>
              <w:spacing w:after="0" w:line="240" w:lineRule="auto"/>
              <w:rPr>
                <w:rFonts w:asciiTheme="majorHAnsi" w:eastAsia="Times New Roman" w:hAnsiTheme="majorHAnsi" w:cstheme="majorHAnsi"/>
                <w:color w:val="000000"/>
                <w:sz w:val="18"/>
                <w:szCs w:val="18"/>
                <w:lang w:eastAsia="en-AU"/>
              </w:rPr>
            </w:pPr>
          </w:p>
        </w:tc>
        <w:tc>
          <w:tcPr>
            <w:tcW w:w="2635" w:type="dxa"/>
            <w:tcBorders>
              <w:top w:val="nil"/>
              <w:left w:val="nil"/>
              <w:bottom w:val="nil"/>
              <w:right w:val="nil"/>
            </w:tcBorders>
            <w:shd w:val="clear" w:color="auto" w:fill="auto"/>
            <w:noWrap/>
          </w:tcPr>
          <w:p w14:paraId="0E666CFE" w14:textId="77777777" w:rsidR="00335CF7" w:rsidRPr="008E21A1" w:rsidRDefault="00335CF7" w:rsidP="000F69BD">
            <w:pPr>
              <w:spacing w:after="0" w:line="240" w:lineRule="auto"/>
              <w:rPr>
                <w:rFonts w:asciiTheme="majorHAnsi" w:hAnsiTheme="majorHAnsi" w:cstheme="majorHAnsi"/>
                <w:sz w:val="18"/>
                <w:szCs w:val="18"/>
              </w:rPr>
            </w:pPr>
            <w:r w:rsidRPr="00284549">
              <w:rPr>
                <w:rFonts w:asciiTheme="majorHAnsi" w:hAnsiTheme="majorHAnsi" w:cstheme="majorHAnsi"/>
                <w:sz w:val="18"/>
                <w:szCs w:val="18"/>
              </w:rPr>
              <w:t>Food Prep</w:t>
            </w:r>
          </w:p>
        </w:tc>
        <w:tc>
          <w:tcPr>
            <w:tcW w:w="1189" w:type="dxa"/>
            <w:tcBorders>
              <w:top w:val="nil"/>
              <w:left w:val="nil"/>
              <w:bottom w:val="nil"/>
              <w:right w:val="nil"/>
            </w:tcBorders>
            <w:shd w:val="clear" w:color="auto" w:fill="auto"/>
            <w:noWrap/>
          </w:tcPr>
          <w:p w14:paraId="0A700945" w14:textId="77777777" w:rsidR="00335CF7" w:rsidRPr="008E21A1"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239,267</w:t>
            </w:r>
          </w:p>
        </w:tc>
        <w:tc>
          <w:tcPr>
            <w:tcW w:w="1033" w:type="dxa"/>
            <w:tcBorders>
              <w:top w:val="nil"/>
              <w:left w:val="nil"/>
              <w:bottom w:val="nil"/>
              <w:right w:val="nil"/>
            </w:tcBorders>
            <w:shd w:val="clear" w:color="auto" w:fill="auto"/>
            <w:noWrap/>
          </w:tcPr>
          <w:p w14:paraId="07204A00" w14:textId="77777777" w:rsidR="00335CF7" w:rsidRPr="008E21A1"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0.7%</w:t>
            </w:r>
          </w:p>
        </w:tc>
        <w:tc>
          <w:tcPr>
            <w:tcW w:w="668" w:type="dxa"/>
            <w:tcBorders>
              <w:top w:val="nil"/>
              <w:left w:val="nil"/>
              <w:bottom w:val="nil"/>
              <w:right w:val="nil"/>
            </w:tcBorders>
            <w:shd w:val="clear" w:color="auto" w:fill="auto"/>
            <w:noWrap/>
          </w:tcPr>
          <w:p w14:paraId="7CC3A2BC" w14:textId="77777777" w:rsidR="00335CF7" w:rsidRPr="008E21A1" w:rsidRDefault="00335CF7" w:rsidP="000F69BD">
            <w:pPr>
              <w:spacing w:after="0" w:line="240" w:lineRule="auto"/>
              <w:jc w:val="center"/>
              <w:rPr>
                <w:rFonts w:asciiTheme="majorHAnsi" w:eastAsia="Times New Roman" w:hAnsiTheme="majorHAnsi" w:cstheme="majorHAnsi"/>
                <w:color w:val="000000"/>
                <w:sz w:val="18"/>
                <w:szCs w:val="18"/>
                <w:lang w:eastAsia="en-AU"/>
              </w:rPr>
            </w:pPr>
          </w:p>
        </w:tc>
        <w:tc>
          <w:tcPr>
            <w:tcW w:w="2026" w:type="dxa"/>
            <w:tcBorders>
              <w:top w:val="nil"/>
              <w:left w:val="nil"/>
              <w:bottom w:val="nil"/>
              <w:right w:val="nil"/>
            </w:tcBorders>
            <w:shd w:val="clear" w:color="auto" w:fill="auto"/>
            <w:noWrap/>
          </w:tcPr>
          <w:p w14:paraId="78470419" w14:textId="77777777" w:rsidR="00335CF7" w:rsidRPr="008E21A1" w:rsidRDefault="00335CF7" w:rsidP="000F69BD">
            <w:pPr>
              <w:spacing w:after="0" w:line="240" w:lineRule="auto"/>
              <w:jc w:val="center"/>
              <w:rPr>
                <w:rFonts w:asciiTheme="majorHAnsi" w:eastAsia="Times New Roman" w:hAnsiTheme="majorHAnsi" w:cstheme="majorHAnsi"/>
                <w:color w:val="000000"/>
                <w:sz w:val="18"/>
                <w:szCs w:val="18"/>
                <w:lang w:eastAsia="en-AU"/>
              </w:rPr>
            </w:pPr>
          </w:p>
        </w:tc>
        <w:tc>
          <w:tcPr>
            <w:tcW w:w="1155" w:type="dxa"/>
            <w:tcBorders>
              <w:top w:val="nil"/>
              <w:left w:val="nil"/>
              <w:bottom w:val="nil"/>
              <w:right w:val="nil"/>
            </w:tcBorders>
            <w:shd w:val="clear" w:color="auto" w:fill="auto"/>
            <w:noWrap/>
          </w:tcPr>
          <w:p w14:paraId="57753262" w14:textId="77777777" w:rsidR="00335CF7" w:rsidRPr="008E21A1"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71,780</w:t>
            </w:r>
          </w:p>
        </w:tc>
      </w:tr>
      <w:tr w:rsidR="00335CF7" w:rsidRPr="00F81F50" w14:paraId="71CD9F53" w14:textId="77777777" w:rsidTr="000F69BD">
        <w:tc>
          <w:tcPr>
            <w:tcW w:w="709" w:type="dxa"/>
            <w:tcBorders>
              <w:top w:val="nil"/>
              <w:left w:val="nil"/>
              <w:bottom w:val="nil"/>
              <w:right w:val="nil"/>
            </w:tcBorders>
            <w:shd w:val="clear" w:color="auto" w:fill="auto"/>
            <w:noWrap/>
          </w:tcPr>
          <w:p w14:paraId="0CE39F60" w14:textId="77777777" w:rsidR="00335CF7" w:rsidRPr="008E21A1" w:rsidRDefault="00335CF7" w:rsidP="000F69BD">
            <w:pPr>
              <w:spacing w:after="0" w:line="240" w:lineRule="auto"/>
              <w:rPr>
                <w:rFonts w:asciiTheme="majorHAnsi" w:eastAsia="Times New Roman" w:hAnsiTheme="majorHAnsi" w:cstheme="majorHAnsi"/>
                <w:color w:val="000000"/>
                <w:sz w:val="18"/>
                <w:szCs w:val="18"/>
                <w:lang w:eastAsia="en-AU"/>
              </w:rPr>
            </w:pPr>
            <w:r w:rsidRPr="00284549">
              <w:rPr>
                <w:rFonts w:asciiTheme="majorHAnsi" w:eastAsia="Times New Roman" w:hAnsiTheme="majorHAnsi" w:cstheme="majorHAnsi"/>
                <w:color w:val="000000"/>
                <w:sz w:val="18"/>
                <w:szCs w:val="18"/>
                <w:lang w:eastAsia="en-AU"/>
              </w:rPr>
              <w:t>CH21</w:t>
            </w:r>
          </w:p>
        </w:tc>
        <w:tc>
          <w:tcPr>
            <w:tcW w:w="847" w:type="dxa"/>
            <w:tcBorders>
              <w:top w:val="nil"/>
              <w:left w:val="nil"/>
              <w:bottom w:val="nil"/>
              <w:right w:val="nil"/>
            </w:tcBorders>
            <w:shd w:val="clear" w:color="auto" w:fill="auto"/>
            <w:noWrap/>
          </w:tcPr>
          <w:p w14:paraId="1365EB7D" w14:textId="77777777" w:rsidR="00335CF7" w:rsidRPr="008E21A1" w:rsidRDefault="00335CF7" w:rsidP="000F69BD">
            <w:pPr>
              <w:spacing w:after="0" w:line="240" w:lineRule="auto"/>
              <w:rPr>
                <w:rFonts w:asciiTheme="majorHAnsi" w:eastAsia="Times New Roman" w:hAnsiTheme="majorHAnsi" w:cstheme="majorHAnsi"/>
                <w:color w:val="000000"/>
                <w:sz w:val="18"/>
                <w:szCs w:val="18"/>
                <w:lang w:eastAsia="en-AU"/>
              </w:rPr>
            </w:pPr>
          </w:p>
        </w:tc>
        <w:tc>
          <w:tcPr>
            <w:tcW w:w="2635" w:type="dxa"/>
            <w:tcBorders>
              <w:top w:val="nil"/>
              <w:left w:val="nil"/>
              <w:bottom w:val="nil"/>
              <w:right w:val="nil"/>
            </w:tcBorders>
            <w:shd w:val="clear" w:color="auto" w:fill="auto"/>
            <w:noWrap/>
          </w:tcPr>
          <w:p w14:paraId="4807C412" w14:textId="77777777" w:rsidR="00335CF7" w:rsidRPr="00284549" w:rsidRDefault="00335CF7" w:rsidP="000F69BD">
            <w:pPr>
              <w:spacing w:after="0" w:line="240" w:lineRule="auto"/>
              <w:rPr>
                <w:rFonts w:asciiTheme="majorHAnsi" w:hAnsiTheme="majorHAnsi" w:cstheme="majorHAnsi"/>
                <w:sz w:val="18"/>
                <w:szCs w:val="18"/>
              </w:rPr>
            </w:pPr>
            <w:r w:rsidRPr="00284549">
              <w:rPr>
                <w:rFonts w:asciiTheme="majorHAnsi" w:hAnsiTheme="majorHAnsi" w:cstheme="majorHAnsi"/>
                <w:sz w:val="18"/>
                <w:szCs w:val="18"/>
              </w:rPr>
              <w:t>Misc. Edible Prep</w:t>
            </w:r>
          </w:p>
        </w:tc>
        <w:tc>
          <w:tcPr>
            <w:tcW w:w="1189" w:type="dxa"/>
            <w:tcBorders>
              <w:top w:val="nil"/>
              <w:left w:val="nil"/>
              <w:bottom w:val="nil"/>
              <w:right w:val="nil"/>
            </w:tcBorders>
            <w:shd w:val="clear" w:color="auto" w:fill="auto"/>
            <w:noWrap/>
          </w:tcPr>
          <w:p w14:paraId="6CF9C013" w14:textId="77777777" w:rsidR="00335CF7" w:rsidRPr="00284549"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0</w:t>
            </w:r>
          </w:p>
        </w:tc>
        <w:tc>
          <w:tcPr>
            <w:tcW w:w="1033" w:type="dxa"/>
            <w:tcBorders>
              <w:top w:val="nil"/>
              <w:left w:val="nil"/>
              <w:bottom w:val="nil"/>
              <w:right w:val="nil"/>
            </w:tcBorders>
            <w:shd w:val="clear" w:color="auto" w:fill="auto"/>
            <w:noWrap/>
          </w:tcPr>
          <w:p w14:paraId="444A9B6D" w14:textId="77777777" w:rsidR="00335CF7" w:rsidRPr="008E21A1"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0.0%</w:t>
            </w:r>
          </w:p>
        </w:tc>
        <w:tc>
          <w:tcPr>
            <w:tcW w:w="668" w:type="dxa"/>
            <w:tcBorders>
              <w:top w:val="nil"/>
              <w:left w:val="nil"/>
              <w:bottom w:val="nil"/>
              <w:right w:val="nil"/>
            </w:tcBorders>
            <w:shd w:val="clear" w:color="auto" w:fill="auto"/>
            <w:noWrap/>
          </w:tcPr>
          <w:p w14:paraId="7D398E9E" w14:textId="77777777" w:rsidR="00335CF7" w:rsidRPr="008E21A1" w:rsidRDefault="00335CF7" w:rsidP="000F69BD">
            <w:pPr>
              <w:spacing w:after="0" w:line="240" w:lineRule="auto"/>
              <w:jc w:val="center"/>
              <w:rPr>
                <w:rFonts w:asciiTheme="majorHAnsi" w:eastAsia="Times New Roman" w:hAnsiTheme="majorHAnsi" w:cstheme="majorHAnsi"/>
                <w:color w:val="000000"/>
                <w:sz w:val="18"/>
                <w:szCs w:val="18"/>
                <w:lang w:eastAsia="en-AU"/>
              </w:rPr>
            </w:pPr>
          </w:p>
        </w:tc>
        <w:tc>
          <w:tcPr>
            <w:tcW w:w="2026" w:type="dxa"/>
            <w:tcBorders>
              <w:top w:val="nil"/>
              <w:left w:val="nil"/>
              <w:bottom w:val="nil"/>
              <w:right w:val="nil"/>
            </w:tcBorders>
            <w:shd w:val="clear" w:color="auto" w:fill="auto"/>
            <w:noWrap/>
          </w:tcPr>
          <w:p w14:paraId="2421446D" w14:textId="77777777" w:rsidR="00335CF7" w:rsidRPr="008E21A1" w:rsidRDefault="00335CF7" w:rsidP="000F69BD">
            <w:pPr>
              <w:spacing w:after="0" w:line="240" w:lineRule="auto"/>
              <w:jc w:val="center"/>
              <w:rPr>
                <w:rFonts w:asciiTheme="majorHAnsi" w:eastAsia="Times New Roman" w:hAnsiTheme="majorHAnsi" w:cstheme="majorHAnsi"/>
                <w:color w:val="000000"/>
                <w:sz w:val="18"/>
                <w:szCs w:val="18"/>
                <w:lang w:eastAsia="en-AU"/>
              </w:rPr>
            </w:pPr>
          </w:p>
        </w:tc>
        <w:tc>
          <w:tcPr>
            <w:tcW w:w="1155" w:type="dxa"/>
            <w:tcBorders>
              <w:top w:val="nil"/>
              <w:left w:val="nil"/>
              <w:bottom w:val="nil"/>
              <w:right w:val="nil"/>
            </w:tcBorders>
            <w:shd w:val="clear" w:color="auto" w:fill="auto"/>
            <w:noWrap/>
          </w:tcPr>
          <w:p w14:paraId="2B4ADB59" w14:textId="77777777" w:rsidR="00335CF7" w:rsidRPr="00284549"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0</w:t>
            </w:r>
          </w:p>
        </w:tc>
      </w:tr>
      <w:tr w:rsidR="00335CF7" w:rsidRPr="00F81F50" w14:paraId="07FA5304" w14:textId="77777777" w:rsidTr="006873C3">
        <w:tc>
          <w:tcPr>
            <w:tcW w:w="709" w:type="dxa"/>
            <w:tcBorders>
              <w:top w:val="nil"/>
              <w:left w:val="nil"/>
              <w:right w:val="nil"/>
            </w:tcBorders>
            <w:shd w:val="clear" w:color="auto" w:fill="auto"/>
            <w:noWrap/>
            <w:hideMark/>
          </w:tcPr>
          <w:p w14:paraId="7866239E" w14:textId="77777777" w:rsidR="00335CF7" w:rsidRPr="008E21A1" w:rsidRDefault="00335CF7" w:rsidP="000F69BD">
            <w:pPr>
              <w:spacing w:after="0" w:line="240" w:lineRule="auto"/>
              <w:rPr>
                <w:rFonts w:asciiTheme="majorHAnsi" w:eastAsia="Times New Roman" w:hAnsiTheme="majorHAnsi" w:cstheme="majorHAnsi"/>
                <w:color w:val="000000"/>
                <w:sz w:val="18"/>
                <w:szCs w:val="18"/>
                <w:lang w:eastAsia="en-AU"/>
              </w:rPr>
            </w:pPr>
          </w:p>
        </w:tc>
        <w:tc>
          <w:tcPr>
            <w:tcW w:w="847" w:type="dxa"/>
            <w:tcBorders>
              <w:top w:val="nil"/>
              <w:left w:val="nil"/>
              <w:right w:val="nil"/>
            </w:tcBorders>
            <w:shd w:val="clear" w:color="auto" w:fill="auto"/>
            <w:noWrap/>
            <w:hideMark/>
          </w:tcPr>
          <w:p w14:paraId="017156F8" w14:textId="77777777" w:rsidR="00335CF7" w:rsidRPr="008E21A1" w:rsidRDefault="00335CF7" w:rsidP="000F69BD">
            <w:pPr>
              <w:spacing w:after="0" w:line="240" w:lineRule="auto"/>
              <w:rPr>
                <w:rFonts w:asciiTheme="majorHAnsi" w:eastAsia="Times New Roman" w:hAnsiTheme="majorHAnsi" w:cstheme="majorHAnsi"/>
                <w:color w:val="000000"/>
                <w:sz w:val="18"/>
                <w:szCs w:val="18"/>
                <w:lang w:eastAsia="en-AU"/>
              </w:rPr>
            </w:pPr>
          </w:p>
        </w:tc>
        <w:tc>
          <w:tcPr>
            <w:tcW w:w="2635" w:type="dxa"/>
            <w:tcBorders>
              <w:top w:val="nil"/>
              <w:left w:val="nil"/>
              <w:right w:val="nil"/>
            </w:tcBorders>
            <w:shd w:val="clear" w:color="auto" w:fill="auto"/>
            <w:noWrap/>
            <w:hideMark/>
          </w:tcPr>
          <w:p w14:paraId="7422113A" w14:textId="77777777" w:rsidR="00335CF7" w:rsidRPr="00284549" w:rsidRDefault="00335CF7" w:rsidP="000F69BD">
            <w:pPr>
              <w:spacing w:after="0" w:line="240" w:lineRule="auto"/>
              <w:rPr>
                <w:rFonts w:asciiTheme="majorHAnsi" w:hAnsiTheme="majorHAnsi" w:cstheme="majorHAnsi"/>
                <w:sz w:val="18"/>
                <w:szCs w:val="18"/>
              </w:rPr>
            </w:pPr>
            <w:r w:rsidRPr="00284549">
              <w:rPr>
                <w:rFonts w:asciiTheme="majorHAnsi" w:hAnsiTheme="majorHAnsi" w:cstheme="majorHAnsi"/>
                <w:sz w:val="18"/>
                <w:szCs w:val="18"/>
              </w:rPr>
              <w:t xml:space="preserve">Remaining industry </w:t>
            </w:r>
            <w:proofErr w:type="spellStart"/>
            <w:r w:rsidRPr="00284549">
              <w:rPr>
                <w:rFonts w:asciiTheme="majorHAnsi" w:hAnsiTheme="majorHAnsi" w:cstheme="majorHAnsi"/>
                <w:sz w:val="18"/>
                <w:szCs w:val="18"/>
              </w:rPr>
              <w:t>n.e.c</w:t>
            </w:r>
            <w:proofErr w:type="spellEnd"/>
          </w:p>
        </w:tc>
        <w:tc>
          <w:tcPr>
            <w:tcW w:w="1189" w:type="dxa"/>
            <w:tcBorders>
              <w:top w:val="nil"/>
              <w:left w:val="nil"/>
              <w:right w:val="nil"/>
            </w:tcBorders>
            <w:shd w:val="clear" w:color="auto" w:fill="auto"/>
            <w:noWrap/>
            <w:hideMark/>
          </w:tcPr>
          <w:p w14:paraId="59FBD38F" w14:textId="77777777" w:rsidR="00335CF7" w:rsidRPr="00284549"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105,556</w:t>
            </w:r>
          </w:p>
        </w:tc>
        <w:tc>
          <w:tcPr>
            <w:tcW w:w="1033" w:type="dxa"/>
            <w:tcBorders>
              <w:top w:val="nil"/>
              <w:left w:val="nil"/>
              <w:right w:val="nil"/>
            </w:tcBorders>
            <w:shd w:val="clear" w:color="auto" w:fill="auto"/>
            <w:noWrap/>
            <w:hideMark/>
          </w:tcPr>
          <w:p w14:paraId="2CEFF323" w14:textId="77777777" w:rsidR="00335CF7" w:rsidRPr="008E21A1"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0.1%</w:t>
            </w:r>
          </w:p>
        </w:tc>
        <w:tc>
          <w:tcPr>
            <w:tcW w:w="668" w:type="dxa"/>
            <w:tcBorders>
              <w:top w:val="nil"/>
              <w:left w:val="nil"/>
              <w:right w:val="nil"/>
            </w:tcBorders>
            <w:shd w:val="clear" w:color="auto" w:fill="auto"/>
            <w:noWrap/>
            <w:hideMark/>
          </w:tcPr>
          <w:p w14:paraId="0C4F458F" w14:textId="77777777" w:rsidR="00335CF7" w:rsidRPr="008E21A1" w:rsidRDefault="00335CF7" w:rsidP="000F69BD">
            <w:pPr>
              <w:spacing w:after="0" w:line="240" w:lineRule="auto"/>
              <w:jc w:val="center"/>
              <w:rPr>
                <w:rFonts w:asciiTheme="majorHAnsi" w:eastAsia="Times New Roman" w:hAnsiTheme="majorHAnsi" w:cstheme="majorHAnsi"/>
                <w:color w:val="000000"/>
                <w:sz w:val="18"/>
                <w:szCs w:val="18"/>
                <w:lang w:eastAsia="en-AU"/>
              </w:rPr>
            </w:pPr>
          </w:p>
        </w:tc>
        <w:tc>
          <w:tcPr>
            <w:tcW w:w="2026" w:type="dxa"/>
            <w:tcBorders>
              <w:top w:val="nil"/>
              <w:left w:val="nil"/>
              <w:right w:val="nil"/>
            </w:tcBorders>
            <w:shd w:val="clear" w:color="auto" w:fill="auto"/>
            <w:noWrap/>
            <w:hideMark/>
          </w:tcPr>
          <w:p w14:paraId="582C2922" w14:textId="77777777" w:rsidR="00335CF7" w:rsidRPr="008E21A1" w:rsidRDefault="00335CF7" w:rsidP="000F69BD">
            <w:pPr>
              <w:spacing w:after="0" w:line="240" w:lineRule="auto"/>
              <w:jc w:val="center"/>
              <w:rPr>
                <w:rFonts w:asciiTheme="majorHAnsi" w:eastAsia="Times New Roman" w:hAnsiTheme="majorHAnsi" w:cstheme="majorHAnsi"/>
                <w:color w:val="000000"/>
                <w:sz w:val="18"/>
                <w:szCs w:val="18"/>
                <w:lang w:eastAsia="en-AU"/>
              </w:rPr>
            </w:pPr>
          </w:p>
        </w:tc>
        <w:tc>
          <w:tcPr>
            <w:tcW w:w="1155" w:type="dxa"/>
            <w:tcBorders>
              <w:top w:val="nil"/>
              <w:left w:val="nil"/>
              <w:right w:val="nil"/>
            </w:tcBorders>
            <w:shd w:val="clear" w:color="auto" w:fill="auto"/>
            <w:noWrap/>
            <w:hideMark/>
          </w:tcPr>
          <w:p w14:paraId="3132E14F" w14:textId="77777777" w:rsidR="00335CF7" w:rsidRPr="00284549" w:rsidRDefault="00335CF7" w:rsidP="000F69BD">
            <w:pPr>
              <w:spacing w:after="0" w:line="240" w:lineRule="auto"/>
              <w:jc w:val="right"/>
              <w:rPr>
                <w:rFonts w:asciiTheme="majorHAnsi" w:hAnsiTheme="majorHAnsi" w:cstheme="majorHAnsi"/>
                <w:sz w:val="18"/>
                <w:szCs w:val="18"/>
              </w:rPr>
            </w:pPr>
            <w:r w:rsidRPr="00284549">
              <w:rPr>
                <w:rFonts w:asciiTheme="majorHAnsi" w:hAnsiTheme="majorHAnsi" w:cstheme="majorHAnsi"/>
                <w:sz w:val="18"/>
                <w:szCs w:val="18"/>
              </w:rPr>
              <w:t>63,038</w:t>
            </w:r>
          </w:p>
        </w:tc>
      </w:tr>
      <w:tr w:rsidR="0078218E" w:rsidRPr="00F81F50" w14:paraId="6231CC47" w14:textId="77777777" w:rsidTr="006873C3">
        <w:tc>
          <w:tcPr>
            <w:tcW w:w="709" w:type="dxa"/>
            <w:tcBorders>
              <w:top w:val="nil"/>
              <w:left w:val="nil"/>
              <w:bottom w:val="single" w:sz="4" w:space="0" w:color="auto"/>
              <w:right w:val="nil"/>
            </w:tcBorders>
            <w:shd w:val="clear" w:color="auto" w:fill="auto"/>
            <w:noWrap/>
          </w:tcPr>
          <w:p w14:paraId="5C195544" w14:textId="77777777" w:rsidR="0078218E" w:rsidRPr="006873C3" w:rsidRDefault="0078218E" w:rsidP="0078218E">
            <w:pPr>
              <w:spacing w:after="0" w:line="240" w:lineRule="auto"/>
              <w:rPr>
                <w:rFonts w:asciiTheme="majorHAnsi" w:eastAsia="Times New Roman" w:hAnsiTheme="majorHAnsi" w:cstheme="majorHAnsi"/>
                <w:b/>
                <w:bCs/>
                <w:color w:val="000000"/>
                <w:sz w:val="18"/>
                <w:szCs w:val="18"/>
                <w:lang w:eastAsia="en-AU"/>
              </w:rPr>
            </w:pPr>
          </w:p>
        </w:tc>
        <w:tc>
          <w:tcPr>
            <w:tcW w:w="847" w:type="dxa"/>
            <w:tcBorders>
              <w:top w:val="nil"/>
              <w:left w:val="nil"/>
              <w:bottom w:val="single" w:sz="4" w:space="0" w:color="auto"/>
              <w:right w:val="nil"/>
            </w:tcBorders>
            <w:shd w:val="clear" w:color="auto" w:fill="auto"/>
            <w:noWrap/>
          </w:tcPr>
          <w:p w14:paraId="52E90B50" w14:textId="77777777" w:rsidR="0078218E" w:rsidRPr="006873C3" w:rsidRDefault="0078218E" w:rsidP="0078218E">
            <w:pPr>
              <w:spacing w:after="0" w:line="240" w:lineRule="auto"/>
              <w:rPr>
                <w:rFonts w:asciiTheme="majorHAnsi" w:eastAsia="Times New Roman" w:hAnsiTheme="majorHAnsi" w:cstheme="majorHAnsi"/>
                <w:b/>
                <w:bCs/>
                <w:color w:val="000000"/>
                <w:sz w:val="18"/>
                <w:szCs w:val="18"/>
                <w:lang w:eastAsia="en-AU"/>
              </w:rPr>
            </w:pPr>
          </w:p>
        </w:tc>
        <w:tc>
          <w:tcPr>
            <w:tcW w:w="2635" w:type="dxa"/>
            <w:tcBorders>
              <w:top w:val="nil"/>
              <w:left w:val="nil"/>
              <w:bottom w:val="single" w:sz="4" w:space="0" w:color="auto"/>
              <w:right w:val="nil"/>
            </w:tcBorders>
            <w:shd w:val="clear" w:color="auto" w:fill="auto"/>
            <w:noWrap/>
          </w:tcPr>
          <w:p w14:paraId="5163CE55" w14:textId="6A5CF8A1" w:rsidR="0078218E" w:rsidRPr="006873C3" w:rsidRDefault="0078218E" w:rsidP="0078218E">
            <w:pPr>
              <w:spacing w:after="0" w:line="240" w:lineRule="auto"/>
              <w:rPr>
                <w:rFonts w:asciiTheme="majorHAnsi" w:hAnsiTheme="majorHAnsi" w:cstheme="majorHAnsi"/>
                <w:b/>
                <w:bCs/>
                <w:sz w:val="18"/>
                <w:szCs w:val="18"/>
              </w:rPr>
            </w:pPr>
            <w:r w:rsidRPr="006873C3">
              <w:rPr>
                <w:rFonts w:asciiTheme="majorHAnsi" w:hAnsiTheme="majorHAnsi" w:cstheme="majorHAnsi"/>
                <w:b/>
                <w:bCs/>
                <w:sz w:val="18"/>
                <w:szCs w:val="18"/>
              </w:rPr>
              <w:t>Subtotal</w:t>
            </w:r>
          </w:p>
        </w:tc>
        <w:tc>
          <w:tcPr>
            <w:tcW w:w="1189" w:type="dxa"/>
            <w:tcBorders>
              <w:top w:val="nil"/>
              <w:left w:val="nil"/>
              <w:bottom w:val="single" w:sz="4" w:space="0" w:color="auto"/>
              <w:right w:val="nil"/>
            </w:tcBorders>
            <w:shd w:val="clear" w:color="auto" w:fill="auto"/>
            <w:noWrap/>
            <w:vAlign w:val="center"/>
          </w:tcPr>
          <w:p w14:paraId="7CEF7DA6" w14:textId="349CF893" w:rsidR="0078218E" w:rsidRPr="006873C3" w:rsidRDefault="0078218E">
            <w:pPr>
              <w:spacing w:after="0" w:line="240" w:lineRule="auto"/>
              <w:jc w:val="right"/>
              <w:rPr>
                <w:rFonts w:asciiTheme="majorHAnsi" w:hAnsiTheme="majorHAnsi" w:cstheme="majorHAnsi"/>
                <w:b/>
                <w:bCs/>
                <w:sz w:val="18"/>
                <w:szCs w:val="18"/>
              </w:rPr>
            </w:pPr>
            <w:r w:rsidRPr="006873C3">
              <w:rPr>
                <w:rFonts w:asciiTheme="majorHAnsi" w:hAnsiTheme="majorHAnsi" w:cstheme="majorHAnsi"/>
                <w:b/>
                <w:bCs/>
                <w:sz w:val="18"/>
                <w:szCs w:val="18"/>
              </w:rPr>
              <w:t>30,266,774</w:t>
            </w:r>
          </w:p>
        </w:tc>
        <w:tc>
          <w:tcPr>
            <w:tcW w:w="1033" w:type="dxa"/>
            <w:tcBorders>
              <w:top w:val="nil"/>
              <w:left w:val="nil"/>
              <w:bottom w:val="single" w:sz="4" w:space="0" w:color="auto"/>
              <w:right w:val="nil"/>
            </w:tcBorders>
            <w:shd w:val="clear" w:color="auto" w:fill="auto"/>
            <w:noWrap/>
            <w:vAlign w:val="center"/>
          </w:tcPr>
          <w:p w14:paraId="0AB4434B" w14:textId="04F8E6E3" w:rsidR="0078218E" w:rsidRPr="006873C3" w:rsidRDefault="0078218E">
            <w:pPr>
              <w:spacing w:after="0" w:line="240" w:lineRule="auto"/>
              <w:jc w:val="right"/>
              <w:rPr>
                <w:rFonts w:asciiTheme="majorHAnsi" w:hAnsiTheme="majorHAnsi" w:cstheme="majorHAnsi"/>
                <w:b/>
                <w:bCs/>
                <w:sz w:val="18"/>
                <w:szCs w:val="18"/>
              </w:rPr>
            </w:pPr>
            <w:r w:rsidRPr="006873C3">
              <w:rPr>
                <w:rFonts w:asciiTheme="majorHAnsi" w:hAnsiTheme="majorHAnsi" w:cstheme="majorHAnsi"/>
                <w:b/>
                <w:bCs/>
                <w:sz w:val="18"/>
                <w:szCs w:val="18"/>
              </w:rPr>
              <w:t>9.4%</w:t>
            </w:r>
          </w:p>
        </w:tc>
        <w:tc>
          <w:tcPr>
            <w:tcW w:w="668" w:type="dxa"/>
            <w:tcBorders>
              <w:top w:val="nil"/>
              <w:left w:val="nil"/>
              <w:bottom w:val="single" w:sz="4" w:space="0" w:color="auto"/>
              <w:right w:val="nil"/>
            </w:tcBorders>
            <w:shd w:val="clear" w:color="auto" w:fill="auto"/>
            <w:noWrap/>
          </w:tcPr>
          <w:p w14:paraId="40863CA2" w14:textId="77777777" w:rsidR="0078218E" w:rsidRPr="006873C3" w:rsidRDefault="0078218E" w:rsidP="0078218E">
            <w:pPr>
              <w:spacing w:after="0" w:line="240" w:lineRule="auto"/>
              <w:jc w:val="center"/>
              <w:rPr>
                <w:rFonts w:asciiTheme="majorHAnsi" w:eastAsia="Times New Roman" w:hAnsiTheme="majorHAnsi" w:cstheme="majorHAnsi"/>
                <w:b/>
                <w:bCs/>
                <w:color w:val="000000"/>
                <w:sz w:val="18"/>
                <w:szCs w:val="18"/>
                <w:lang w:eastAsia="en-AU"/>
              </w:rPr>
            </w:pPr>
          </w:p>
        </w:tc>
        <w:tc>
          <w:tcPr>
            <w:tcW w:w="2026" w:type="dxa"/>
            <w:tcBorders>
              <w:top w:val="nil"/>
              <w:left w:val="nil"/>
              <w:bottom w:val="single" w:sz="4" w:space="0" w:color="auto"/>
              <w:right w:val="nil"/>
            </w:tcBorders>
            <w:shd w:val="clear" w:color="auto" w:fill="auto"/>
            <w:noWrap/>
          </w:tcPr>
          <w:p w14:paraId="78D0E904" w14:textId="77777777" w:rsidR="0078218E" w:rsidRPr="006873C3" w:rsidRDefault="0078218E" w:rsidP="0078218E">
            <w:pPr>
              <w:spacing w:after="0" w:line="240" w:lineRule="auto"/>
              <w:jc w:val="center"/>
              <w:rPr>
                <w:rFonts w:asciiTheme="majorHAnsi" w:eastAsia="Times New Roman" w:hAnsiTheme="majorHAnsi" w:cstheme="majorHAnsi"/>
                <w:b/>
                <w:bCs/>
                <w:color w:val="000000"/>
                <w:sz w:val="18"/>
                <w:szCs w:val="18"/>
                <w:lang w:eastAsia="en-AU"/>
              </w:rPr>
            </w:pPr>
          </w:p>
        </w:tc>
        <w:tc>
          <w:tcPr>
            <w:tcW w:w="1155" w:type="dxa"/>
            <w:tcBorders>
              <w:top w:val="nil"/>
              <w:left w:val="nil"/>
              <w:bottom w:val="single" w:sz="4" w:space="0" w:color="auto"/>
              <w:right w:val="nil"/>
            </w:tcBorders>
            <w:shd w:val="clear" w:color="auto" w:fill="auto"/>
            <w:noWrap/>
            <w:vAlign w:val="center"/>
          </w:tcPr>
          <w:p w14:paraId="01883A50" w14:textId="5BBE50E1" w:rsidR="0078218E" w:rsidRPr="006873C3" w:rsidRDefault="0078218E">
            <w:pPr>
              <w:spacing w:after="0" w:line="240" w:lineRule="auto"/>
              <w:jc w:val="right"/>
              <w:rPr>
                <w:rFonts w:asciiTheme="majorHAnsi" w:hAnsiTheme="majorHAnsi" w:cstheme="majorHAnsi"/>
                <w:b/>
                <w:bCs/>
                <w:sz w:val="18"/>
                <w:szCs w:val="18"/>
              </w:rPr>
            </w:pPr>
            <w:r w:rsidRPr="006873C3">
              <w:rPr>
                <w:rFonts w:asciiTheme="majorHAnsi" w:hAnsiTheme="majorHAnsi" w:cstheme="majorHAnsi"/>
                <w:b/>
                <w:bCs/>
                <w:sz w:val="18"/>
                <w:szCs w:val="18"/>
              </w:rPr>
              <w:t>8,548,983</w:t>
            </w:r>
          </w:p>
        </w:tc>
      </w:tr>
      <w:tr w:rsidR="003F600D" w:rsidRPr="00F81F50" w14:paraId="2E38B761" w14:textId="77777777" w:rsidTr="006873C3">
        <w:tc>
          <w:tcPr>
            <w:tcW w:w="10262" w:type="dxa"/>
            <w:gridSpan w:val="8"/>
            <w:tcBorders>
              <w:top w:val="nil"/>
              <w:left w:val="nil"/>
              <w:bottom w:val="single" w:sz="4" w:space="0" w:color="auto"/>
              <w:right w:val="nil"/>
            </w:tcBorders>
            <w:shd w:val="clear" w:color="auto" w:fill="auto"/>
            <w:noWrap/>
            <w:vAlign w:val="center"/>
          </w:tcPr>
          <w:p w14:paraId="668C44CF" w14:textId="15FC58FA" w:rsidR="003F600D" w:rsidRPr="006873C3" w:rsidRDefault="003F600D" w:rsidP="006873C3">
            <w:pPr>
              <w:spacing w:after="0" w:line="240" w:lineRule="auto"/>
              <w:rPr>
                <w:rFonts w:asciiTheme="majorHAnsi" w:hAnsiTheme="majorHAnsi" w:cstheme="majorHAnsi"/>
                <w:b/>
                <w:bCs/>
                <w:sz w:val="18"/>
                <w:szCs w:val="18"/>
              </w:rPr>
            </w:pPr>
            <w:r w:rsidRPr="006873C3">
              <w:rPr>
                <w:rFonts w:asciiTheme="majorHAnsi" w:eastAsia="Times New Roman" w:hAnsiTheme="majorHAnsi" w:cstheme="majorHAnsi"/>
                <w:b/>
                <w:bCs/>
                <w:color w:val="000000"/>
                <w:sz w:val="18"/>
                <w:szCs w:val="18"/>
                <w:lang w:eastAsia="en-AU"/>
              </w:rPr>
              <w:t>Cotton, sugar cane</w:t>
            </w:r>
            <w:r>
              <w:rPr>
                <w:rFonts w:asciiTheme="majorHAnsi" w:eastAsia="Times New Roman" w:hAnsiTheme="majorHAnsi" w:cstheme="majorHAnsi"/>
                <w:b/>
                <w:bCs/>
                <w:color w:val="000000"/>
                <w:sz w:val="18"/>
                <w:szCs w:val="18"/>
                <w:lang w:eastAsia="en-AU"/>
              </w:rPr>
              <w:t>, &amp;</w:t>
            </w:r>
            <w:r w:rsidRPr="006873C3">
              <w:rPr>
                <w:rFonts w:asciiTheme="majorHAnsi" w:eastAsia="Times New Roman" w:hAnsiTheme="majorHAnsi" w:cstheme="majorHAnsi"/>
                <w:b/>
                <w:bCs/>
                <w:color w:val="000000"/>
                <w:sz w:val="18"/>
                <w:szCs w:val="18"/>
                <w:lang w:eastAsia="en-AU"/>
              </w:rPr>
              <w:t xml:space="preserve"> </w:t>
            </w:r>
            <w:proofErr w:type="gramStart"/>
            <w:r w:rsidRPr="006873C3">
              <w:rPr>
                <w:rFonts w:asciiTheme="majorHAnsi" w:eastAsia="Times New Roman" w:hAnsiTheme="majorHAnsi" w:cstheme="majorHAnsi"/>
                <w:b/>
                <w:bCs/>
                <w:color w:val="000000"/>
                <w:sz w:val="18"/>
                <w:szCs w:val="18"/>
                <w:lang w:eastAsia="en-AU"/>
              </w:rPr>
              <w:t>other</w:t>
            </w:r>
            <w:proofErr w:type="gramEnd"/>
            <w:r w:rsidRPr="006873C3">
              <w:rPr>
                <w:rFonts w:asciiTheme="majorHAnsi" w:eastAsia="Times New Roman" w:hAnsiTheme="majorHAnsi" w:cstheme="majorHAnsi"/>
                <w:b/>
                <w:bCs/>
                <w:color w:val="000000"/>
                <w:sz w:val="18"/>
                <w:szCs w:val="18"/>
                <w:lang w:eastAsia="en-AU"/>
              </w:rPr>
              <w:t xml:space="preserve"> crop growing</w:t>
            </w:r>
          </w:p>
        </w:tc>
      </w:tr>
      <w:tr w:rsidR="008F1968" w:rsidRPr="00F81F50" w14:paraId="61BE3F6C" w14:textId="77777777" w:rsidTr="006873C3">
        <w:tc>
          <w:tcPr>
            <w:tcW w:w="709" w:type="dxa"/>
            <w:tcBorders>
              <w:top w:val="nil"/>
              <w:left w:val="nil"/>
              <w:right w:val="nil"/>
            </w:tcBorders>
            <w:shd w:val="clear" w:color="auto" w:fill="auto"/>
            <w:noWrap/>
          </w:tcPr>
          <w:p w14:paraId="45B3B292" w14:textId="39784BA5" w:rsidR="008F1968" w:rsidRPr="008E21A1" w:rsidRDefault="008F1968" w:rsidP="008F1968">
            <w:pPr>
              <w:spacing w:after="0" w:line="240" w:lineRule="auto"/>
              <w:rPr>
                <w:rFonts w:asciiTheme="majorHAnsi" w:eastAsia="Times New Roman" w:hAnsiTheme="majorHAnsi" w:cstheme="majorHAnsi"/>
                <w:color w:val="000000"/>
                <w:sz w:val="18"/>
                <w:szCs w:val="18"/>
                <w:lang w:eastAsia="en-AU"/>
              </w:rPr>
            </w:pPr>
            <w:r w:rsidRPr="006873C3">
              <w:rPr>
                <w:rFonts w:asciiTheme="majorHAnsi" w:eastAsia="Times New Roman" w:hAnsiTheme="majorHAnsi" w:cstheme="majorHAnsi"/>
                <w:color w:val="000000"/>
                <w:sz w:val="18"/>
                <w:szCs w:val="18"/>
                <w:lang w:eastAsia="en-AU"/>
              </w:rPr>
              <w:t>CH52</w:t>
            </w:r>
          </w:p>
        </w:tc>
        <w:tc>
          <w:tcPr>
            <w:tcW w:w="847" w:type="dxa"/>
            <w:tcBorders>
              <w:top w:val="nil"/>
              <w:left w:val="nil"/>
              <w:right w:val="nil"/>
            </w:tcBorders>
            <w:shd w:val="clear" w:color="auto" w:fill="auto"/>
            <w:noWrap/>
          </w:tcPr>
          <w:p w14:paraId="19D67777" w14:textId="77777777" w:rsidR="008F1968" w:rsidRPr="008E21A1" w:rsidRDefault="008F1968" w:rsidP="008F1968">
            <w:pPr>
              <w:spacing w:after="0" w:line="240" w:lineRule="auto"/>
              <w:rPr>
                <w:rFonts w:asciiTheme="majorHAnsi" w:eastAsia="Times New Roman" w:hAnsiTheme="majorHAnsi" w:cstheme="majorHAnsi"/>
                <w:color w:val="000000"/>
                <w:sz w:val="18"/>
                <w:szCs w:val="18"/>
                <w:lang w:eastAsia="en-AU"/>
              </w:rPr>
            </w:pPr>
          </w:p>
        </w:tc>
        <w:tc>
          <w:tcPr>
            <w:tcW w:w="2635" w:type="dxa"/>
            <w:tcBorders>
              <w:top w:val="nil"/>
              <w:left w:val="nil"/>
              <w:right w:val="nil"/>
            </w:tcBorders>
            <w:shd w:val="clear" w:color="auto" w:fill="auto"/>
            <w:noWrap/>
          </w:tcPr>
          <w:p w14:paraId="53B1C8CD" w14:textId="56FAD314" w:rsidR="008F1968" w:rsidRPr="00284549" w:rsidRDefault="008F1968" w:rsidP="008F1968">
            <w:pPr>
              <w:spacing w:after="0" w:line="240" w:lineRule="auto"/>
              <w:rPr>
                <w:rFonts w:asciiTheme="majorHAnsi" w:hAnsiTheme="majorHAnsi" w:cstheme="majorHAnsi"/>
                <w:sz w:val="18"/>
                <w:szCs w:val="18"/>
              </w:rPr>
            </w:pPr>
            <w:r w:rsidRPr="006873C3">
              <w:rPr>
                <w:rFonts w:asciiTheme="majorHAnsi" w:hAnsiTheme="majorHAnsi" w:cstheme="majorHAnsi"/>
                <w:sz w:val="18"/>
                <w:szCs w:val="18"/>
              </w:rPr>
              <w:t>Cotton</w:t>
            </w:r>
          </w:p>
        </w:tc>
        <w:tc>
          <w:tcPr>
            <w:tcW w:w="1189" w:type="dxa"/>
            <w:tcBorders>
              <w:top w:val="nil"/>
              <w:left w:val="nil"/>
              <w:right w:val="nil"/>
            </w:tcBorders>
            <w:shd w:val="clear" w:color="auto" w:fill="auto"/>
            <w:noWrap/>
          </w:tcPr>
          <w:p w14:paraId="66713FA1" w14:textId="6F8093CF" w:rsidR="008F1968" w:rsidRPr="00284549" w:rsidRDefault="008F1968" w:rsidP="008F1968">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45,132,342</w:t>
            </w:r>
          </w:p>
        </w:tc>
        <w:tc>
          <w:tcPr>
            <w:tcW w:w="1033" w:type="dxa"/>
            <w:tcBorders>
              <w:top w:val="nil"/>
              <w:left w:val="nil"/>
              <w:right w:val="nil"/>
            </w:tcBorders>
            <w:shd w:val="clear" w:color="auto" w:fill="auto"/>
            <w:noWrap/>
          </w:tcPr>
          <w:p w14:paraId="21A2F78E" w14:textId="32B35B78" w:rsidR="008F1968" w:rsidRPr="00284549" w:rsidRDefault="008F1968" w:rsidP="008F1968">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4.2%</w:t>
            </w:r>
          </w:p>
        </w:tc>
        <w:tc>
          <w:tcPr>
            <w:tcW w:w="668" w:type="dxa"/>
            <w:tcBorders>
              <w:top w:val="nil"/>
              <w:left w:val="nil"/>
              <w:right w:val="nil"/>
            </w:tcBorders>
            <w:shd w:val="clear" w:color="auto" w:fill="auto"/>
            <w:noWrap/>
          </w:tcPr>
          <w:p w14:paraId="03FFC3ED" w14:textId="77777777" w:rsidR="008F1968" w:rsidRPr="008E21A1" w:rsidRDefault="008F1968" w:rsidP="008F1968">
            <w:pPr>
              <w:spacing w:after="0" w:line="240" w:lineRule="auto"/>
              <w:jc w:val="center"/>
              <w:rPr>
                <w:rFonts w:asciiTheme="majorHAnsi" w:eastAsia="Times New Roman" w:hAnsiTheme="majorHAnsi" w:cstheme="majorHAnsi"/>
                <w:color w:val="000000"/>
                <w:sz w:val="18"/>
                <w:szCs w:val="18"/>
                <w:lang w:eastAsia="en-AU"/>
              </w:rPr>
            </w:pPr>
          </w:p>
        </w:tc>
        <w:tc>
          <w:tcPr>
            <w:tcW w:w="2026" w:type="dxa"/>
            <w:tcBorders>
              <w:top w:val="nil"/>
              <w:left w:val="nil"/>
              <w:right w:val="nil"/>
            </w:tcBorders>
            <w:shd w:val="clear" w:color="auto" w:fill="auto"/>
            <w:noWrap/>
          </w:tcPr>
          <w:p w14:paraId="060C1D90" w14:textId="77777777" w:rsidR="008F1968" w:rsidRPr="008E21A1" w:rsidRDefault="008F1968" w:rsidP="008F1968">
            <w:pPr>
              <w:spacing w:after="0" w:line="240" w:lineRule="auto"/>
              <w:jc w:val="center"/>
              <w:rPr>
                <w:rFonts w:asciiTheme="majorHAnsi" w:eastAsia="Times New Roman" w:hAnsiTheme="majorHAnsi" w:cstheme="majorHAnsi"/>
                <w:color w:val="000000"/>
                <w:sz w:val="18"/>
                <w:szCs w:val="18"/>
                <w:lang w:eastAsia="en-AU"/>
              </w:rPr>
            </w:pPr>
          </w:p>
        </w:tc>
        <w:tc>
          <w:tcPr>
            <w:tcW w:w="1155" w:type="dxa"/>
            <w:tcBorders>
              <w:top w:val="nil"/>
              <w:left w:val="nil"/>
              <w:right w:val="nil"/>
            </w:tcBorders>
            <w:shd w:val="clear" w:color="auto" w:fill="auto"/>
            <w:noWrap/>
          </w:tcPr>
          <w:p w14:paraId="19D6D536" w14:textId="25C8DA65" w:rsidR="008F1968" w:rsidRPr="00284549" w:rsidRDefault="008F1968" w:rsidP="008F1968">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11,283,086</w:t>
            </w:r>
          </w:p>
        </w:tc>
      </w:tr>
      <w:tr w:rsidR="008F1968" w:rsidRPr="00F81F50" w14:paraId="6E6724E6" w14:textId="77777777" w:rsidTr="000F69BD">
        <w:tc>
          <w:tcPr>
            <w:tcW w:w="709" w:type="dxa"/>
            <w:tcBorders>
              <w:top w:val="nil"/>
              <w:left w:val="nil"/>
              <w:bottom w:val="single" w:sz="4" w:space="0" w:color="auto"/>
              <w:right w:val="nil"/>
            </w:tcBorders>
            <w:shd w:val="clear" w:color="auto" w:fill="auto"/>
            <w:noWrap/>
          </w:tcPr>
          <w:p w14:paraId="001980AD" w14:textId="77777777" w:rsidR="008F1968" w:rsidRPr="008E21A1" w:rsidRDefault="008F1968" w:rsidP="008F1968">
            <w:pPr>
              <w:spacing w:after="0" w:line="240" w:lineRule="auto"/>
              <w:rPr>
                <w:rFonts w:asciiTheme="majorHAnsi" w:eastAsia="Times New Roman" w:hAnsiTheme="majorHAnsi" w:cstheme="majorHAnsi"/>
                <w:color w:val="000000"/>
                <w:sz w:val="18"/>
                <w:szCs w:val="18"/>
                <w:lang w:eastAsia="en-AU"/>
              </w:rPr>
            </w:pPr>
          </w:p>
        </w:tc>
        <w:tc>
          <w:tcPr>
            <w:tcW w:w="847" w:type="dxa"/>
            <w:tcBorders>
              <w:top w:val="nil"/>
              <w:left w:val="nil"/>
              <w:bottom w:val="single" w:sz="4" w:space="0" w:color="auto"/>
              <w:right w:val="nil"/>
            </w:tcBorders>
            <w:shd w:val="clear" w:color="auto" w:fill="auto"/>
            <w:noWrap/>
          </w:tcPr>
          <w:p w14:paraId="6D6A1934" w14:textId="77777777" w:rsidR="008F1968" w:rsidRPr="008E21A1" w:rsidRDefault="008F1968" w:rsidP="008F1968">
            <w:pPr>
              <w:spacing w:after="0" w:line="240" w:lineRule="auto"/>
              <w:rPr>
                <w:rFonts w:asciiTheme="majorHAnsi" w:eastAsia="Times New Roman" w:hAnsiTheme="majorHAnsi" w:cstheme="majorHAnsi"/>
                <w:color w:val="000000"/>
                <w:sz w:val="18"/>
                <w:szCs w:val="18"/>
                <w:lang w:eastAsia="en-AU"/>
              </w:rPr>
            </w:pPr>
          </w:p>
        </w:tc>
        <w:tc>
          <w:tcPr>
            <w:tcW w:w="2635" w:type="dxa"/>
            <w:tcBorders>
              <w:top w:val="nil"/>
              <w:left w:val="nil"/>
              <w:bottom w:val="single" w:sz="4" w:space="0" w:color="auto"/>
              <w:right w:val="nil"/>
            </w:tcBorders>
            <w:shd w:val="clear" w:color="auto" w:fill="auto"/>
            <w:noWrap/>
          </w:tcPr>
          <w:p w14:paraId="1A55CE1D" w14:textId="47D128F5" w:rsidR="008F1968" w:rsidRPr="00284549" w:rsidRDefault="008F1968" w:rsidP="008F1968">
            <w:pPr>
              <w:spacing w:after="0" w:line="240" w:lineRule="auto"/>
              <w:rPr>
                <w:rFonts w:asciiTheme="majorHAnsi" w:hAnsiTheme="majorHAnsi" w:cstheme="majorHAnsi"/>
                <w:sz w:val="18"/>
                <w:szCs w:val="18"/>
              </w:rPr>
            </w:pPr>
            <w:r w:rsidRPr="006873C3">
              <w:rPr>
                <w:rFonts w:asciiTheme="majorHAnsi" w:hAnsiTheme="majorHAnsi" w:cstheme="majorHAnsi"/>
                <w:sz w:val="18"/>
                <w:szCs w:val="18"/>
              </w:rPr>
              <w:t xml:space="preserve">Remaining industry </w:t>
            </w:r>
            <w:proofErr w:type="spellStart"/>
            <w:r w:rsidRPr="006873C3">
              <w:rPr>
                <w:rFonts w:asciiTheme="majorHAnsi" w:hAnsiTheme="majorHAnsi" w:cstheme="majorHAnsi"/>
                <w:sz w:val="18"/>
                <w:szCs w:val="18"/>
              </w:rPr>
              <w:t>n.e.c</w:t>
            </w:r>
            <w:proofErr w:type="spellEnd"/>
          </w:p>
        </w:tc>
        <w:tc>
          <w:tcPr>
            <w:tcW w:w="1189" w:type="dxa"/>
            <w:tcBorders>
              <w:top w:val="nil"/>
              <w:left w:val="nil"/>
              <w:bottom w:val="single" w:sz="4" w:space="0" w:color="auto"/>
              <w:right w:val="nil"/>
            </w:tcBorders>
            <w:shd w:val="clear" w:color="auto" w:fill="auto"/>
            <w:noWrap/>
          </w:tcPr>
          <w:p w14:paraId="68D0F723" w14:textId="3E1D20C9" w:rsidR="008F1968" w:rsidRPr="00284549" w:rsidRDefault="008F1968" w:rsidP="008F1968">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9,559,081</w:t>
            </w:r>
          </w:p>
        </w:tc>
        <w:tc>
          <w:tcPr>
            <w:tcW w:w="1033" w:type="dxa"/>
            <w:tcBorders>
              <w:top w:val="nil"/>
              <w:left w:val="nil"/>
              <w:bottom w:val="single" w:sz="4" w:space="0" w:color="auto"/>
              <w:right w:val="nil"/>
            </w:tcBorders>
            <w:shd w:val="clear" w:color="auto" w:fill="auto"/>
            <w:noWrap/>
          </w:tcPr>
          <w:p w14:paraId="33A5FA4B" w14:textId="7E7F9A6E" w:rsidR="008F1968" w:rsidRPr="00284549" w:rsidRDefault="008F1968" w:rsidP="008F1968">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0.4%</w:t>
            </w:r>
          </w:p>
        </w:tc>
        <w:tc>
          <w:tcPr>
            <w:tcW w:w="668" w:type="dxa"/>
            <w:tcBorders>
              <w:top w:val="nil"/>
              <w:left w:val="nil"/>
              <w:bottom w:val="single" w:sz="4" w:space="0" w:color="auto"/>
              <w:right w:val="nil"/>
            </w:tcBorders>
            <w:shd w:val="clear" w:color="auto" w:fill="auto"/>
            <w:noWrap/>
          </w:tcPr>
          <w:p w14:paraId="017FDD67" w14:textId="77777777" w:rsidR="008F1968" w:rsidRPr="008E21A1" w:rsidRDefault="008F1968" w:rsidP="008F1968">
            <w:pPr>
              <w:spacing w:after="0" w:line="240" w:lineRule="auto"/>
              <w:jc w:val="center"/>
              <w:rPr>
                <w:rFonts w:asciiTheme="majorHAnsi" w:eastAsia="Times New Roman" w:hAnsiTheme="majorHAnsi" w:cstheme="majorHAnsi"/>
                <w:color w:val="000000"/>
                <w:sz w:val="18"/>
                <w:szCs w:val="18"/>
                <w:lang w:eastAsia="en-AU"/>
              </w:rPr>
            </w:pPr>
          </w:p>
        </w:tc>
        <w:tc>
          <w:tcPr>
            <w:tcW w:w="2026" w:type="dxa"/>
            <w:tcBorders>
              <w:top w:val="nil"/>
              <w:left w:val="nil"/>
              <w:bottom w:val="single" w:sz="4" w:space="0" w:color="auto"/>
              <w:right w:val="nil"/>
            </w:tcBorders>
            <w:shd w:val="clear" w:color="auto" w:fill="auto"/>
            <w:noWrap/>
          </w:tcPr>
          <w:p w14:paraId="215D56D7" w14:textId="77777777" w:rsidR="008F1968" w:rsidRPr="008E21A1" w:rsidRDefault="008F1968" w:rsidP="008F1968">
            <w:pPr>
              <w:spacing w:after="0" w:line="240" w:lineRule="auto"/>
              <w:jc w:val="center"/>
              <w:rPr>
                <w:rFonts w:asciiTheme="majorHAnsi" w:eastAsia="Times New Roman" w:hAnsiTheme="majorHAnsi" w:cstheme="majorHAnsi"/>
                <w:color w:val="000000"/>
                <w:sz w:val="18"/>
                <w:szCs w:val="18"/>
                <w:lang w:eastAsia="en-AU"/>
              </w:rPr>
            </w:pPr>
          </w:p>
        </w:tc>
        <w:tc>
          <w:tcPr>
            <w:tcW w:w="1155" w:type="dxa"/>
            <w:tcBorders>
              <w:top w:val="nil"/>
              <w:left w:val="nil"/>
              <w:bottom w:val="single" w:sz="4" w:space="0" w:color="auto"/>
              <w:right w:val="nil"/>
            </w:tcBorders>
            <w:shd w:val="clear" w:color="auto" w:fill="auto"/>
            <w:noWrap/>
          </w:tcPr>
          <w:p w14:paraId="14D94635" w14:textId="00545EE2" w:rsidR="008F1968" w:rsidRPr="00284549" w:rsidRDefault="008F1968" w:rsidP="008F1968">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2,865,246</w:t>
            </w:r>
          </w:p>
        </w:tc>
      </w:tr>
      <w:tr w:rsidR="008F1968" w:rsidRPr="00F81F50" w14:paraId="74D41248" w14:textId="77777777" w:rsidTr="000F69BD">
        <w:tc>
          <w:tcPr>
            <w:tcW w:w="709" w:type="dxa"/>
            <w:tcBorders>
              <w:top w:val="nil"/>
              <w:left w:val="nil"/>
              <w:bottom w:val="single" w:sz="4" w:space="0" w:color="auto"/>
              <w:right w:val="nil"/>
            </w:tcBorders>
            <w:shd w:val="clear" w:color="auto" w:fill="auto"/>
            <w:noWrap/>
          </w:tcPr>
          <w:p w14:paraId="2F2736A8" w14:textId="77777777" w:rsidR="008F1968" w:rsidRPr="006873C3" w:rsidRDefault="008F1968" w:rsidP="008F1968">
            <w:pPr>
              <w:spacing w:after="0" w:line="240" w:lineRule="auto"/>
              <w:rPr>
                <w:rFonts w:asciiTheme="majorHAnsi" w:eastAsia="Times New Roman" w:hAnsiTheme="majorHAnsi" w:cstheme="majorHAnsi"/>
                <w:b/>
                <w:bCs/>
                <w:color w:val="000000"/>
                <w:sz w:val="18"/>
                <w:szCs w:val="18"/>
                <w:lang w:eastAsia="en-AU"/>
              </w:rPr>
            </w:pPr>
          </w:p>
        </w:tc>
        <w:tc>
          <w:tcPr>
            <w:tcW w:w="847" w:type="dxa"/>
            <w:tcBorders>
              <w:top w:val="nil"/>
              <w:left w:val="nil"/>
              <w:bottom w:val="single" w:sz="4" w:space="0" w:color="auto"/>
              <w:right w:val="nil"/>
            </w:tcBorders>
            <w:shd w:val="clear" w:color="auto" w:fill="auto"/>
            <w:noWrap/>
          </w:tcPr>
          <w:p w14:paraId="0E68A33A" w14:textId="77777777" w:rsidR="008F1968" w:rsidRPr="006873C3" w:rsidRDefault="008F1968" w:rsidP="008F1968">
            <w:pPr>
              <w:spacing w:after="0" w:line="240" w:lineRule="auto"/>
              <w:rPr>
                <w:rFonts w:asciiTheme="majorHAnsi" w:eastAsia="Times New Roman" w:hAnsiTheme="majorHAnsi" w:cstheme="majorHAnsi"/>
                <w:b/>
                <w:bCs/>
                <w:color w:val="000000"/>
                <w:sz w:val="18"/>
                <w:szCs w:val="18"/>
                <w:lang w:eastAsia="en-AU"/>
              </w:rPr>
            </w:pPr>
          </w:p>
        </w:tc>
        <w:tc>
          <w:tcPr>
            <w:tcW w:w="2635" w:type="dxa"/>
            <w:tcBorders>
              <w:top w:val="nil"/>
              <w:left w:val="nil"/>
              <w:bottom w:val="single" w:sz="4" w:space="0" w:color="auto"/>
              <w:right w:val="nil"/>
            </w:tcBorders>
            <w:shd w:val="clear" w:color="auto" w:fill="auto"/>
            <w:noWrap/>
          </w:tcPr>
          <w:p w14:paraId="5F4A9387" w14:textId="3824D977" w:rsidR="008F1968" w:rsidRPr="006873C3" w:rsidRDefault="008F1968" w:rsidP="008F1968">
            <w:pPr>
              <w:spacing w:after="0" w:line="240" w:lineRule="auto"/>
              <w:rPr>
                <w:rFonts w:asciiTheme="majorHAnsi" w:hAnsiTheme="majorHAnsi" w:cstheme="majorHAnsi"/>
                <w:b/>
                <w:bCs/>
                <w:sz w:val="18"/>
                <w:szCs w:val="18"/>
              </w:rPr>
            </w:pPr>
            <w:r w:rsidRPr="006873C3">
              <w:rPr>
                <w:rFonts w:asciiTheme="majorHAnsi" w:hAnsiTheme="majorHAnsi" w:cstheme="majorHAnsi"/>
                <w:b/>
                <w:bCs/>
                <w:sz w:val="18"/>
                <w:szCs w:val="18"/>
              </w:rPr>
              <w:t>Subtotal</w:t>
            </w:r>
          </w:p>
        </w:tc>
        <w:tc>
          <w:tcPr>
            <w:tcW w:w="1189" w:type="dxa"/>
            <w:tcBorders>
              <w:top w:val="nil"/>
              <w:left w:val="nil"/>
              <w:bottom w:val="single" w:sz="4" w:space="0" w:color="auto"/>
              <w:right w:val="nil"/>
            </w:tcBorders>
            <w:shd w:val="clear" w:color="auto" w:fill="auto"/>
            <w:noWrap/>
          </w:tcPr>
          <w:p w14:paraId="4B0A895E" w14:textId="78B787F6" w:rsidR="008F1968" w:rsidRPr="006873C3" w:rsidRDefault="008F1968" w:rsidP="008F1968">
            <w:pPr>
              <w:spacing w:after="0" w:line="240" w:lineRule="auto"/>
              <w:jc w:val="right"/>
              <w:rPr>
                <w:rFonts w:asciiTheme="majorHAnsi" w:hAnsiTheme="majorHAnsi" w:cstheme="majorHAnsi"/>
                <w:b/>
                <w:bCs/>
                <w:sz w:val="18"/>
                <w:szCs w:val="18"/>
              </w:rPr>
            </w:pPr>
            <w:r w:rsidRPr="006873C3">
              <w:rPr>
                <w:rFonts w:asciiTheme="majorHAnsi" w:hAnsiTheme="majorHAnsi" w:cstheme="majorHAnsi"/>
                <w:b/>
                <w:bCs/>
                <w:sz w:val="18"/>
                <w:szCs w:val="18"/>
              </w:rPr>
              <w:t>54,691,424</w:t>
            </w:r>
          </w:p>
        </w:tc>
        <w:tc>
          <w:tcPr>
            <w:tcW w:w="1033" w:type="dxa"/>
            <w:tcBorders>
              <w:top w:val="nil"/>
              <w:left w:val="nil"/>
              <w:bottom w:val="single" w:sz="4" w:space="0" w:color="auto"/>
              <w:right w:val="nil"/>
            </w:tcBorders>
            <w:shd w:val="clear" w:color="auto" w:fill="auto"/>
            <w:noWrap/>
          </w:tcPr>
          <w:p w14:paraId="6E44C77E" w14:textId="33E7F17D" w:rsidR="008F1968" w:rsidRPr="006873C3" w:rsidRDefault="008F1968" w:rsidP="008F1968">
            <w:pPr>
              <w:spacing w:after="0" w:line="240" w:lineRule="auto"/>
              <w:jc w:val="right"/>
              <w:rPr>
                <w:rFonts w:asciiTheme="majorHAnsi" w:hAnsiTheme="majorHAnsi" w:cstheme="majorHAnsi"/>
                <w:b/>
                <w:bCs/>
                <w:sz w:val="18"/>
                <w:szCs w:val="18"/>
              </w:rPr>
            </w:pPr>
            <w:r w:rsidRPr="006873C3">
              <w:rPr>
                <w:rFonts w:asciiTheme="majorHAnsi" w:hAnsiTheme="majorHAnsi" w:cstheme="majorHAnsi"/>
                <w:b/>
                <w:bCs/>
                <w:sz w:val="18"/>
                <w:szCs w:val="18"/>
              </w:rPr>
              <w:t>1.5%</w:t>
            </w:r>
          </w:p>
        </w:tc>
        <w:tc>
          <w:tcPr>
            <w:tcW w:w="668" w:type="dxa"/>
            <w:tcBorders>
              <w:top w:val="nil"/>
              <w:left w:val="nil"/>
              <w:bottom w:val="single" w:sz="4" w:space="0" w:color="auto"/>
              <w:right w:val="nil"/>
            </w:tcBorders>
            <w:shd w:val="clear" w:color="auto" w:fill="auto"/>
            <w:noWrap/>
          </w:tcPr>
          <w:p w14:paraId="5FA61FA3" w14:textId="77777777" w:rsidR="008F1968" w:rsidRPr="006873C3" w:rsidRDefault="008F1968" w:rsidP="008F1968">
            <w:pPr>
              <w:spacing w:after="0" w:line="240" w:lineRule="auto"/>
              <w:jc w:val="center"/>
              <w:rPr>
                <w:rFonts w:asciiTheme="majorHAnsi" w:eastAsia="Times New Roman" w:hAnsiTheme="majorHAnsi" w:cstheme="majorHAnsi"/>
                <w:b/>
                <w:bCs/>
                <w:color w:val="000000"/>
                <w:sz w:val="18"/>
                <w:szCs w:val="18"/>
                <w:lang w:eastAsia="en-AU"/>
              </w:rPr>
            </w:pPr>
          </w:p>
        </w:tc>
        <w:tc>
          <w:tcPr>
            <w:tcW w:w="2026" w:type="dxa"/>
            <w:tcBorders>
              <w:top w:val="nil"/>
              <w:left w:val="nil"/>
              <w:bottom w:val="single" w:sz="4" w:space="0" w:color="auto"/>
              <w:right w:val="nil"/>
            </w:tcBorders>
            <w:shd w:val="clear" w:color="auto" w:fill="auto"/>
            <w:noWrap/>
          </w:tcPr>
          <w:p w14:paraId="03189B97" w14:textId="77777777" w:rsidR="008F1968" w:rsidRPr="006873C3" w:rsidRDefault="008F1968" w:rsidP="008F1968">
            <w:pPr>
              <w:spacing w:after="0" w:line="240" w:lineRule="auto"/>
              <w:jc w:val="center"/>
              <w:rPr>
                <w:rFonts w:asciiTheme="majorHAnsi" w:eastAsia="Times New Roman" w:hAnsiTheme="majorHAnsi" w:cstheme="majorHAnsi"/>
                <w:b/>
                <w:bCs/>
                <w:color w:val="000000"/>
                <w:sz w:val="18"/>
                <w:szCs w:val="18"/>
                <w:lang w:eastAsia="en-AU"/>
              </w:rPr>
            </w:pPr>
          </w:p>
        </w:tc>
        <w:tc>
          <w:tcPr>
            <w:tcW w:w="1155" w:type="dxa"/>
            <w:tcBorders>
              <w:top w:val="nil"/>
              <w:left w:val="nil"/>
              <w:bottom w:val="single" w:sz="4" w:space="0" w:color="auto"/>
              <w:right w:val="nil"/>
            </w:tcBorders>
            <w:shd w:val="clear" w:color="auto" w:fill="auto"/>
            <w:noWrap/>
          </w:tcPr>
          <w:p w14:paraId="6215AE7E" w14:textId="64280B78" w:rsidR="008F1968" w:rsidRPr="006873C3" w:rsidRDefault="008F1968" w:rsidP="008F1968">
            <w:pPr>
              <w:spacing w:after="0" w:line="240" w:lineRule="auto"/>
              <w:jc w:val="right"/>
              <w:rPr>
                <w:rFonts w:asciiTheme="majorHAnsi" w:hAnsiTheme="majorHAnsi" w:cstheme="majorHAnsi"/>
                <w:b/>
                <w:bCs/>
                <w:sz w:val="18"/>
                <w:szCs w:val="18"/>
              </w:rPr>
            </w:pPr>
            <w:r w:rsidRPr="006873C3">
              <w:rPr>
                <w:rFonts w:asciiTheme="majorHAnsi" w:hAnsiTheme="majorHAnsi" w:cstheme="majorHAnsi"/>
                <w:b/>
                <w:bCs/>
                <w:sz w:val="18"/>
                <w:szCs w:val="18"/>
              </w:rPr>
              <w:t>14,148,331</w:t>
            </w:r>
          </w:p>
        </w:tc>
      </w:tr>
      <w:tr w:rsidR="00335CF7" w:rsidRPr="00F81F50" w14:paraId="6AEB02EE" w14:textId="77777777" w:rsidTr="000F69BD">
        <w:tc>
          <w:tcPr>
            <w:tcW w:w="10262" w:type="dxa"/>
            <w:gridSpan w:val="8"/>
            <w:tcBorders>
              <w:top w:val="single" w:sz="4" w:space="0" w:color="auto"/>
              <w:left w:val="nil"/>
              <w:right w:val="nil"/>
            </w:tcBorders>
            <w:shd w:val="clear" w:color="auto" w:fill="auto"/>
            <w:noWrap/>
          </w:tcPr>
          <w:p w14:paraId="294F8696" w14:textId="77777777" w:rsidR="00335CF7" w:rsidRPr="008E21A1" w:rsidRDefault="00335CF7" w:rsidP="000F69BD">
            <w:pPr>
              <w:spacing w:after="0" w:line="240" w:lineRule="auto"/>
              <w:rPr>
                <w:rFonts w:asciiTheme="majorHAnsi" w:hAnsiTheme="majorHAnsi" w:cstheme="majorHAnsi"/>
                <w:b/>
                <w:bCs/>
                <w:sz w:val="18"/>
                <w:szCs w:val="18"/>
              </w:rPr>
            </w:pPr>
            <w:r w:rsidRPr="008E21A1">
              <w:rPr>
                <w:rFonts w:asciiTheme="majorHAnsi" w:hAnsiTheme="majorHAnsi" w:cstheme="majorHAnsi"/>
                <w:b/>
                <w:bCs/>
                <w:sz w:val="18"/>
                <w:szCs w:val="18"/>
              </w:rPr>
              <w:t>All commodities</w:t>
            </w:r>
          </w:p>
        </w:tc>
      </w:tr>
      <w:tr w:rsidR="006D5D53" w:rsidRPr="00F81F50" w14:paraId="67A5ADD4" w14:textId="77777777" w:rsidTr="006873C3">
        <w:tc>
          <w:tcPr>
            <w:tcW w:w="709" w:type="dxa"/>
            <w:tcBorders>
              <w:top w:val="single" w:sz="4" w:space="0" w:color="auto"/>
              <w:left w:val="nil"/>
              <w:right w:val="nil"/>
            </w:tcBorders>
            <w:shd w:val="clear" w:color="auto" w:fill="auto"/>
            <w:noWrap/>
            <w:vAlign w:val="center"/>
          </w:tcPr>
          <w:p w14:paraId="54DC4784" w14:textId="77777777" w:rsidR="006D5D53" w:rsidRPr="008E21A1" w:rsidRDefault="006D5D53" w:rsidP="006D5D53">
            <w:pPr>
              <w:spacing w:after="0" w:line="240" w:lineRule="auto"/>
              <w:rPr>
                <w:rFonts w:asciiTheme="majorHAnsi" w:eastAsia="Times New Roman" w:hAnsiTheme="majorHAnsi" w:cstheme="majorHAnsi"/>
                <w:color w:val="000000"/>
                <w:sz w:val="18"/>
                <w:szCs w:val="18"/>
                <w:lang w:eastAsia="en-AU"/>
              </w:rPr>
            </w:pPr>
          </w:p>
        </w:tc>
        <w:tc>
          <w:tcPr>
            <w:tcW w:w="847" w:type="dxa"/>
            <w:tcBorders>
              <w:top w:val="single" w:sz="4" w:space="0" w:color="auto"/>
              <w:left w:val="nil"/>
              <w:right w:val="nil"/>
            </w:tcBorders>
            <w:shd w:val="clear" w:color="auto" w:fill="auto"/>
            <w:noWrap/>
            <w:vAlign w:val="center"/>
          </w:tcPr>
          <w:p w14:paraId="21B071E4" w14:textId="77777777" w:rsidR="006D5D53" w:rsidRPr="008E21A1" w:rsidDel="006362D5" w:rsidRDefault="006D5D53" w:rsidP="006D5D53">
            <w:pPr>
              <w:spacing w:after="0" w:line="240" w:lineRule="auto"/>
              <w:rPr>
                <w:rFonts w:asciiTheme="majorHAnsi" w:hAnsiTheme="majorHAnsi" w:cstheme="majorHAnsi"/>
                <w:sz w:val="18"/>
                <w:szCs w:val="18"/>
              </w:rPr>
            </w:pPr>
          </w:p>
        </w:tc>
        <w:tc>
          <w:tcPr>
            <w:tcW w:w="2635" w:type="dxa"/>
            <w:tcBorders>
              <w:top w:val="single" w:sz="4" w:space="0" w:color="auto"/>
              <w:left w:val="nil"/>
              <w:right w:val="nil"/>
            </w:tcBorders>
            <w:shd w:val="clear" w:color="auto" w:fill="auto"/>
            <w:noWrap/>
            <w:vAlign w:val="center"/>
          </w:tcPr>
          <w:p w14:paraId="090DF0A1" w14:textId="1C367BAC" w:rsidR="006D5D53" w:rsidRPr="008E21A1" w:rsidRDefault="006D5D53">
            <w:pPr>
              <w:spacing w:after="0" w:line="240" w:lineRule="auto"/>
              <w:rPr>
                <w:rFonts w:asciiTheme="majorHAnsi" w:hAnsiTheme="majorHAnsi" w:cstheme="majorHAnsi"/>
                <w:sz w:val="18"/>
                <w:szCs w:val="18"/>
              </w:rPr>
            </w:pPr>
            <w:r>
              <w:rPr>
                <w:rFonts w:asciiTheme="majorHAnsi" w:hAnsiTheme="majorHAnsi" w:cstheme="majorHAnsi"/>
                <w:sz w:val="18"/>
                <w:szCs w:val="18"/>
              </w:rPr>
              <w:t xml:space="preserve">all </w:t>
            </w:r>
            <w:proofErr w:type="gramStart"/>
            <w:r>
              <w:rPr>
                <w:rFonts w:asciiTheme="majorHAnsi" w:hAnsiTheme="majorHAnsi" w:cstheme="majorHAnsi"/>
                <w:sz w:val="18"/>
                <w:szCs w:val="18"/>
              </w:rPr>
              <w:t>crop</w:t>
            </w:r>
            <w:proofErr w:type="gramEnd"/>
            <w:r>
              <w:rPr>
                <w:rFonts w:asciiTheme="majorHAnsi" w:hAnsiTheme="majorHAnsi" w:cstheme="majorHAnsi"/>
                <w:sz w:val="18"/>
                <w:szCs w:val="18"/>
              </w:rPr>
              <w:t xml:space="preserve"> grown commodities</w:t>
            </w:r>
          </w:p>
        </w:tc>
        <w:tc>
          <w:tcPr>
            <w:tcW w:w="1189" w:type="dxa"/>
            <w:tcBorders>
              <w:top w:val="single" w:sz="4" w:space="0" w:color="auto"/>
              <w:left w:val="nil"/>
              <w:right w:val="nil"/>
            </w:tcBorders>
            <w:shd w:val="clear" w:color="auto" w:fill="auto"/>
            <w:noWrap/>
            <w:vAlign w:val="center"/>
          </w:tcPr>
          <w:p w14:paraId="76D4F7D3" w14:textId="71333DF0" w:rsidR="006D5D53" w:rsidRPr="008E21A1" w:rsidRDefault="006D5D5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10,455,963</w:t>
            </w:r>
          </w:p>
        </w:tc>
        <w:tc>
          <w:tcPr>
            <w:tcW w:w="1033" w:type="dxa"/>
            <w:tcBorders>
              <w:top w:val="single" w:sz="4" w:space="0" w:color="auto"/>
              <w:left w:val="nil"/>
              <w:right w:val="nil"/>
            </w:tcBorders>
            <w:shd w:val="clear" w:color="auto" w:fill="auto"/>
            <w:noWrap/>
            <w:vAlign w:val="center"/>
          </w:tcPr>
          <w:p w14:paraId="6334415A" w14:textId="55DC12D4" w:rsidR="006D5D53" w:rsidRPr="008E21A1" w:rsidRDefault="006D5D5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16.9%</w:t>
            </w:r>
          </w:p>
        </w:tc>
        <w:tc>
          <w:tcPr>
            <w:tcW w:w="668" w:type="dxa"/>
            <w:tcBorders>
              <w:top w:val="single" w:sz="4" w:space="0" w:color="auto"/>
              <w:left w:val="nil"/>
              <w:right w:val="nil"/>
            </w:tcBorders>
            <w:shd w:val="clear" w:color="auto" w:fill="auto"/>
            <w:noWrap/>
            <w:vAlign w:val="center"/>
          </w:tcPr>
          <w:p w14:paraId="66BC0285" w14:textId="76CB258E" w:rsidR="006D5D53" w:rsidRPr="00E03079" w:rsidDel="006362D5" w:rsidRDefault="006D5D53">
            <w:pPr>
              <w:spacing w:after="0" w:line="240" w:lineRule="auto"/>
              <w:jc w:val="center"/>
              <w:rPr>
                <w:rFonts w:asciiTheme="majorHAnsi" w:eastAsia="Times New Roman" w:hAnsiTheme="majorHAnsi" w:cstheme="majorHAnsi"/>
                <w:color w:val="000000"/>
                <w:sz w:val="18"/>
                <w:szCs w:val="18"/>
                <w:lang w:eastAsia="en-AU"/>
              </w:rPr>
            </w:pPr>
            <w:r w:rsidRPr="006873C3">
              <w:rPr>
                <w:rFonts w:asciiTheme="majorHAnsi" w:eastAsia="Times New Roman" w:hAnsiTheme="majorHAnsi" w:cstheme="majorHAnsi"/>
                <w:color w:val="000000"/>
                <w:sz w:val="18"/>
                <w:szCs w:val="18"/>
                <w:lang w:eastAsia="en-AU"/>
              </w:rPr>
              <w:t>0-30</w:t>
            </w:r>
          </w:p>
        </w:tc>
        <w:tc>
          <w:tcPr>
            <w:tcW w:w="2026" w:type="dxa"/>
            <w:tcBorders>
              <w:top w:val="single" w:sz="4" w:space="0" w:color="auto"/>
              <w:left w:val="nil"/>
              <w:right w:val="nil"/>
            </w:tcBorders>
            <w:shd w:val="clear" w:color="auto" w:fill="auto"/>
            <w:noWrap/>
            <w:vAlign w:val="center"/>
          </w:tcPr>
          <w:p w14:paraId="55B98693" w14:textId="66CC1CC8" w:rsidR="006D5D53" w:rsidRPr="006873C3" w:rsidDel="006362D5" w:rsidRDefault="006D5D53">
            <w:pPr>
              <w:spacing w:after="0" w:line="240" w:lineRule="auto"/>
              <w:rPr>
                <w:rFonts w:asciiTheme="majorHAnsi" w:hAnsiTheme="majorHAnsi" w:cstheme="majorHAnsi"/>
                <w:sz w:val="16"/>
                <w:szCs w:val="16"/>
              </w:rPr>
            </w:pPr>
            <w:r w:rsidRPr="006873C3">
              <w:rPr>
                <w:rFonts w:asciiTheme="majorHAnsi" w:hAnsiTheme="majorHAnsi" w:cstheme="majorHAnsi"/>
                <w:sz w:val="16"/>
                <w:szCs w:val="16"/>
              </w:rPr>
              <w:t>Eliminated on entry-into-force without conditions</w:t>
            </w:r>
          </w:p>
        </w:tc>
        <w:tc>
          <w:tcPr>
            <w:tcW w:w="1155" w:type="dxa"/>
            <w:tcBorders>
              <w:top w:val="single" w:sz="4" w:space="0" w:color="auto"/>
              <w:left w:val="nil"/>
              <w:right w:val="nil"/>
            </w:tcBorders>
            <w:shd w:val="clear" w:color="auto" w:fill="auto"/>
            <w:noWrap/>
            <w:vAlign w:val="center"/>
          </w:tcPr>
          <w:p w14:paraId="496CA293" w14:textId="3F7916B3" w:rsidR="006D5D53" w:rsidRPr="008E21A1" w:rsidRDefault="006D5D5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0</w:t>
            </w:r>
          </w:p>
        </w:tc>
      </w:tr>
      <w:tr w:rsidR="006D5D53" w:rsidRPr="00F81F50" w14:paraId="66B198D9" w14:textId="77777777" w:rsidTr="006873C3">
        <w:tc>
          <w:tcPr>
            <w:tcW w:w="709" w:type="dxa"/>
            <w:tcBorders>
              <w:left w:val="nil"/>
              <w:right w:val="nil"/>
            </w:tcBorders>
            <w:shd w:val="clear" w:color="auto" w:fill="auto"/>
            <w:noWrap/>
            <w:vAlign w:val="center"/>
          </w:tcPr>
          <w:p w14:paraId="5A0A8258" w14:textId="77777777" w:rsidR="006D5D53" w:rsidRPr="008E21A1" w:rsidRDefault="006D5D53" w:rsidP="006D5D53">
            <w:pPr>
              <w:spacing w:after="0" w:line="240" w:lineRule="auto"/>
              <w:rPr>
                <w:rFonts w:asciiTheme="majorHAnsi" w:eastAsia="Times New Roman" w:hAnsiTheme="majorHAnsi" w:cstheme="majorHAnsi"/>
                <w:color w:val="000000"/>
                <w:sz w:val="18"/>
                <w:szCs w:val="18"/>
                <w:lang w:eastAsia="en-AU"/>
              </w:rPr>
            </w:pPr>
          </w:p>
        </w:tc>
        <w:tc>
          <w:tcPr>
            <w:tcW w:w="847" w:type="dxa"/>
            <w:tcBorders>
              <w:left w:val="nil"/>
              <w:right w:val="nil"/>
            </w:tcBorders>
            <w:shd w:val="clear" w:color="auto" w:fill="auto"/>
            <w:noWrap/>
            <w:vAlign w:val="center"/>
          </w:tcPr>
          <w:p w14:paraId="60374C20" w14:textId="77777777" w:rsidR="006D5D53" w:rsidRPr="008E21A1" w:rsidDel="006362D5" w:rsidRDefault="006D5D53" w:rsidP="006D5D53">
            <w:pPr>
              <w:spacing w:after="0" w:line="240" w:lineRule="auto"/>
              <w:rPr>
                <w:rFonts w:asciiTheme="majorHAnsi" w:hAnsiTheme="majorHAnsi" w:cstheme="majorHAnsi"/>
                <w:sz w:val="18"/>
                <w:szCs w:val="18"/>
              </w:rPr>
            </w:pPr>
          </w:p>
        </w:tc>
        <w:tc>
          <w:tcPr>
            <w:tcW w:w="2635" w:type="dxa"/>
            <w:tcBorders>
              <w:left w:val="nil"/>
              <w:right w:val="nil"/>
            </w:tcBorders>
            <w:shd w:val="clear" w:color="auto" w:fill="auto"/>
            <w:noWrap/>
            <w:vAlign w:val="center"/>
          </w:tcPr>
          <w:p w14:paraId="44703F84" w14:textId="2368960A" w:rsidR="006D5D53" w:rsidRPr="008E21A1" w:rsidRDefault="006D5D53">
            <w:pPr>
              <w:spacing w:after="0" w:line="240" w:lineRule="auto"/>
              <w:rPr>
                <w:rFonts w:asciiTheme="majorHAnsi" w:hAnsiTheme="majorHAnsi" w:cstheme="majorHAnsi"/>
                <w:sz w:val="18"/>
                <w:szCs w:val="18"/>
              </w:rPr>
            </w:pPr>
            <w:r>
              <w:rPr>
                <w:rFonts w:asciiTheme="majorHAnsi" w:hAnsiTheme="majorHAnsi" w:cstheme="majorHAnsi"/>
                <w:sz w:val="18"/>
                <w:szCs w:val="18"/>
              </w:rPr>
              <w:t xml:space="preserve">all </w:t>
            </w:r>
            <w:proofErr w:type="gramStart"/>
            <w:r>
              <w:rPr>
                <w:rFonts w:asciiTheme="majorHAnsi" w:hAnsiTheme="majorHAnsi" w:cstheme="majorHAnsi"/>
                <w:sz w:val="18"/>
                <w:szCs w:val="18"/>
              </w:rPr>
              <w:t>crop</w:t>
            </w:r>
            <w:proofErr w:type="gramEnd"/>
            <w:r>
              <w:rPr>
                <w:rFonts w:asciiTheme="majorHAnsi" w:hAnsiTheme="majorHAnsi" w:cstheme="majorHAnsi"/>
                <w:sz w:val="18"/>
                <w:szCs w:val="18"/>
              </w:rPr>
              <w:t xml:space="preserve"> grown commodities</w:t>
            </w:r>
          </w:p>
        </w:tc>
        <w:tc>
          <w:tcPr>
            <w:tcW w:w="1189" w:type="dxa"/>
            <w:tcBorders>
              <w:left w:val="nil"/>
              <w:right w:val="nil"/>
            </w:tcBorders>
            <w:shd w:val="clear" w:color="auto" w:fill="auto"/>
            <w:noWrap/>
            <w:vAlign w:val="center"/>
          </w:tcPr>
          <w:p w14:paraId="21418744" w14:textId="7E50BC45" w:rsidR="006D5D53" w:rsidRPr="008E21A1" w:rsidRDefault="006D5D5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0</w:t>
            </w:r>
          </w:p>
        </w:tc>
        <w:tc>
          <w:tcPr>
            <w:tcW w:w="1033" w:type="dxa"/>
            <w:tcBorders>
              <w:left w:val="nil"/>
              <w:right w:val="nil"/>
            </w:tcBorders>
            <w:shd w:val="clear" w:color="auto" w:fill="auto"/>
            <w:noWrap/>
            <w:vAlign w:val="center"/>
          </w:tcPr>
          <w:p w14:paraId="69EF0D26" w14:textId="7A539D92" w:rsidR="006D5D53" w:rsidRPr="008E21A1" w:rsidRDefault="006D5D5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w:t>
            </w:r>
          </w:p>
        </w:tc>
        <w:tc>
          <w:tcPr>
            <w:tcW w:w="668" w:type="dxa"/>
            <w:tcBorders>
              <w:left w:val="nil"/>
              <w:right w:val="nil"/>
            </w:tcBorders>
            <w:shd w:val="clear" w:color="auto" w:fill="auto"/>
            <w:noWrap/>
            <w:vAlign w:val="center"/>
          </w:tcPr>
          <w:p w14:paraId="12D855A8" w14:textId="74D0E9A4" w:rsidR="006D5D53" w:rsidRPr="00E03079" w:rsidDel="006362D5" w:rsidRDefault="006D5D53">
            <w:pPr>
              <w:spacing w:after="0" w:line="240" w:lineRule="auto"/>
              <w:jc w:val="center"/>
              <w:rPr>
                <w:rFonts w:asciiTheme="majorHAnsi" w:eastAsia="Times New Roman" w:hAnsiTheme="majorHAnsi" w:cstheme="majorHAnsi"/>
                <w:color w:val="000000"/>
                <w:sz w:val="18"/>
                <w:szCs w:val="18"/>
                <w:lang w:eastAsia="en-AU"/>
              </w:rPr>
            </w:pPr>
            <w:r w:rsidRPr="006873C3">
              <w:rPr>
                <w:rFonts w:asciiTheme="majorHAnsi" w:eastAsia="Times New Roman" w:hAnsiTheme="majorHAnsi" w:cstheme="majorHAnsi"/>
                <w:color w:val="000000"/>
                <w:sz w:val="18"/>
                <w:szCs w:val="18"/>
                <w:lang w:eastAsia="en-AU"/>
              </w:rPr>
              <w:t>30</w:t>
            </w:r>
          </w:p>
        </w:tc>
        <w:tc>
          <w:tcPr>
            <w:tcW w:w="2026" w:type="dxa"/>
            <w:tcBorders>
              <w:left w:val="nil"/>
              <w:right w:val="nil"/>
            </w:tcBorders>
            <w:shd w:val="clear" w:color="auto" w:fill="auto"/>
            <w:noWrap/>
            <w:vAlign w:val="center"/>
          </w:tcPr>
          <w:p w14:paraId="105AC242" w14:textId="0DA01F4F" w:rsidR="006D5D53" w:rsidRPr="006873C3" w:rsidDel="006362D5" w:rsidRDefault="006D5D53">
            <w:pPr>
              <w:spacing w:after="0" w:line="240" w:lineRule="auto"/>
              <w:rPr>
                <w:rFonts w:asciiTheme="majorHAnsi" w:hAnsiTheme="majorHAnsi" w:cstheme="majorHAnsi"/>
                <w:sz w:val="16"/>
                <w:szCs w:val="16"/>
              </w:rPr>
            </w:pPr>
            <w:r w:rsidRPr="006873C3">
              <w:rPr>
                <w:rFonts w:asciiTheme="majorHAnsi" w:hAnsiTheme="majorHAnsi" w:cstheme="majorHAnsi"/>
                <w:sz w:val="16"/>
                <w:szCs w:val="16"/>
              </w:rPr>
              <w:t>Eliminated by the 3rd year without conditions</w:t>
            </w:r>
          </w:p>
        </w:tc>
        <w:tc>
          <w:tcPr>
            <w:tcW w:w="1155" w:type="dxa"/>
            <w:tcBorders>
              <w:left w:val="nil"/>
              <w:right w:val="nil"/>
            </w:tcBorders>
            <w:shd w:val="clear" w:color="auto" w:fill="auto"/>
            <w:noWrap/>
            <w:vAlign w:val="center"/>
          </w:tcPr>
          <w:p w14:paraId="04DB289C" w14:textId="52DDCE5F" w:rsidR="006D5D53" w:rsidRPr="008E21A1" w:rsidRDefault="006D5D5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0</w:t>
            </w:r>
          </w:p>
        </w:tc>
      </w:tr>
      <w:tr w:rsidR="006D5D53" w:rsidRPr="00F81F50" w14:paraId="6C819EB7" w14:textId="77777777" w:rsidTr="006873C3">
        <w:tc>
          <w:tcPr>
            <w:tcW w:w="709" w:type="dxa"/>
            <w:tcBorders>
              <w:left w:val="nil"/>
              <w:right w:val="nil"/>
            </w:tcBorders>
            <w:shd w:val="clear" w:color="auto" w:fill="auto"/>
            <w:noWrap/>
            <w:vAlign w:val="center"/>
          </w:tcPr>
          <w:p w14:paraId="4641B52B" w14:textId="77777777" w:rsidR="006D5D53" w:rsidRPr="008E21A1" w:rsidRDefault="006D5D53" w:rsidP="006D5D53">
            <w:pPr>
              <w:spacing w:after="0" w:line="240" w:lineRule="auto"/>
              <w:rPr>
                <w:rFonts w:asciiTheme="majorHAnsi" w:eastAsia="Times New Roman" w:hAnsiTheme="majorHAnsi" w:cstheme="majorHAnsi"/>
                <w:color w:val="000000"/>
                <w:sz w:val="18"/>
                <w:szCs w:val="18"/>
                <w:lang w:eastAsia="en-AU"/>
              </w:rPr>
            </w:pPr>
          </w:p>
        </w:tc>
        <w:tc>
          <w:tcPr>
            <w:tcW w:w="847" w:type="dxa"/>
            <w:tcBorders>
              <w:left w:val="nil"/>
              <w:right w:val="nil"/>
            </w:tcBorders>
            <w:shd w:val="clear" w:color="auto" w:fill="auto"/>
            <w:noWrap/>
            <w:vAlign w:val="center"/>
          </w:tcPr>
          <w:p w14:paraId="61D00185" w14:textId="77777777" w:rsidR="006D5D53" w:rsidRPr="008E21A1" w:rsidDel="006362D5" w:rsidRDefault="006D5D53" w:rsidP="006D5D53">
            <w:pPr>
              <w:spacing w:after="0" w:line="240" w:lineRule="auto"/>
              <w:rPr>
                <w:rFonts w:asciiTheme="majorHAnsi" w:hAnsiTheme="majorHAnsi" w:cstheme="majorHAnsi"/>
                <w:sz w:val="18"/>
                <w:szCs w:val="18"/>
              </w:rPr>
            </w:pPr>
          </w:p>
        </w:tc>
        <w:tc>
          <w:tcPr>
            <w:tcW w:w="2635" w:type="dxa"/>
            <w:tcBorders>
              <w:left w:val="nil"/>
              <w:right w:val="nil"/>
            </w:tcBorders>
            <w:shd w:val="clear" w:color="auto" w:fill="auto"/>
            <w:noWrap/>
            <w:vAlign w:val="center"/>
          </w:tcPr>
          <w:p w14:paraId="03D72F6D" w14:textId="224306F4" w:rsidR="006D5D53" w:rsidRPr="008E21A1" w:rsidRDefault="006D5D53">
            <w:pPr>
              <w:spacing w:after="0" w:line="240" w:lineRule="auto"/>
              <w:rPr>
                <w:rFonts w:asciiTheme="majorHAnsi" w:hAnsiTheme="majorHAnsi" w:cstheme="majorHAnsi"/>
                <w:sz w:val="18"/>
                <w:szCs w:val="18"/>
              </w:rPr>
            </w:pPr>
            <w:r>
              <w:rPr>
                <w:rFonts w:asciiTheme="majorHAnsi" w:hAnsiTheme="majorHAnsi" w:cstheme="majorHAnsi"/>
                <w:sz w:val="18"/>
                <w:szCs w:val="18"/>
              </w:rPr>
              <w:t xml:space="preserve">all </w:t>
            </w:r>
            <w:proofErr w:type="gramStart"/>
            <w:r>
              <w:rPr>
                <w:rFonts w:asciiTheme="majorHAnsi" w:hAnsiTheme="majorHAnsi" w:cstheme="majorHAnsi"/>
                <w:sz w:val="18"/>
                <w:szCs w:val="18"/>
              </w:rPr>
              <w:t>crop</w:t>
            </w:r>
            <w:proofErr w:type="gramEnd"/>
            <w:r>
              <w:rPr>
                <w:rFonts w:asciiTheme="majorHAnsi" w:hAnsiTheme="majorHAnsi" w:cstheme="majorHAnsi"/>
                <w:sz w:val="18"/>
                <w:szCs w:val="18"/>
              </w:rPr>
              <w:t xml:space="preserve"> grown commodities</w:t>
            </w:r>
          </w:p>
        </w:tc>
        <w:tc>
          <w:tcPr>
            <w:tcW w:w="1189" w:type="dxa"/>
            <w:tcBorders>
              <w:left w:val="nil"/>
              <w:right w:val="nil"/>
            </w:tcBorders>
            <w:shd w:val="clear" w:color="auto" w:fill="auto"/>
            <w:noWrap/>
            <w:vAlign w:val="center"/>
          </w:tcPr>
          <w:p w14:paraId="71430F7C" w14:textId="006E7C76" w:rsidR="006D5D53" w:rsidRPr="008E21A1" w:rsidRDefault="006D5D5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9,793,353</w:t>
            </w:r>
          </w:p>
        </w:tc>
        <w:tc>
          <w:tcPr>
            <w:tcW w:w="1033" w:type="dxa"/>
            <w:tcBorders>
              <w:left w:val="nil"/>
              <w:right w:val="nil"/>
            </w:tcBorders>
            <w:shd w:val="clear" w:color="auto" w:fill="auto"/>
            <w:noWrap/>
            <w:vAlign w:val="center"/>
          </w:tcPr>
          <w:p w14:paraId="34B5EC4D" w14:textId="29A968BA" w:rsidR="006D5D53" w:rsidRPr="008E21A1" w:rsidRDefault="006D5D5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1.2%</w:t>
            </w:r>
          </w:p>
        </w:tc>
        <w:tc>
          <w:tcPr>
            <w:tcW w:w="668" w:type="dxa"/>
            <w:tcBorders>
              <w:left w:val="nil"/>
              <w:right w:val="nil"/>
            </w:tcBorders>
            <w:shd w:val="clear" w:color="auto" w:fill="auto"/>
            <w:noWrap/>
            <w:vAlign w:val="center"/>
          </w:tcPr>
          <w:p w14:paraId="4237214F" w14:textId="63236157" w:rsidR="006D5D53" w:rsidRPr="00E03079" w:rsidDel="006362D5" w:rsidRDefault="006D5D53">
            <w:pPr>
              <w:spacing w:after="0" w:line="240" w:lineRule="auto"/>
              <w:jc w:val="center"/>
              <w:rPr>
                <w:rFonts w:asciiTheme="majorHAnsi" w:eastAsia="Times New Roman" w:hAnsiTheme="majorHAnsi" w:cstheme="majorHAnsi"/>
                <w:color w:val="000000"/>
                <w:sz w:val="18"/>
                <w:szCs w:val="18"/>
                <w:lang w:eastAsia="en-AU"/>
              </w:rPr>
            </w:pPr>
            <w:r w:rsidRPr="006873C3">
              <w:rPr>
                <w:rFonts w:asciiTheme="majorHAnsi" w:eastAsia="Times New Roman" w:hAnsiTheme="majorHAnsi" w:cstheme="majorHAnsi"/>
                <w:color w:val="000000"/>
                <w:sz w:val="18"/>
                <w:szCs w:val="18"/>
                <w:lang w:eastAsia="en-AU"/>
              </w:rPr>
              <w:t>10-70</w:t>
            </w:r>
          </w:p>
        </w:tc>
        <w:tc>
          <w:tcPr>
            <w:tcW w:w="2026" w:type="dxa"/>
            <w:tcBorders>
              <w:left w:val="nil"/>
              <w:right w:val="nil"/>
            </w:tcBorders>
            <w:shd w:val="clear" w:color="auto" w:fill="auto"/>
            <w:noWrap/>
            <w:vAlign w:val="center"/>
          </w:tcPr>
          <w:p w14:paraId="5805BDA6" w14:textId="5F5A2DAB" w:rsidR="006D5D53" w:rsidRPr="006873C3" w:rsidDel="006362D5" w:rsidRDefault="006D5D53">
            <w:pPr>
              <w:spacing w:after="0" w:line="240" w:lineRule="auto"/>
              <w:rPr>
                <w:rFonts w:asciiTheme="majorHAnsi" w:hAnsiTheme="majorHAnsi" w:cstheme="majorHAnsi"/>
                <w:sz w:val="16"/>
                <w:szCs w:val="16"/>
              </w:rPr>
            </w:pPr>
            <w:r w:rsidRPr="006873C3">
              <w:rPr>
                <w:rFonts w:asciiTheme="majorHAnsi" w:hAnsiTheme="majorHAnsi" w:cstheme="majorHAnsi"/>
                <w:sz w:val="16"/>
                <w:szCs w:val="16"/>
              </w:rPr>
              <w:t>Eliminated by the 7th year without conditions</w:t>
            </w:r>
          </w:p>
        </w:tc>
        <w:tc>
          <w:tcPr>
            <w:tcW w:w="1155" w:type="dxa"/>
            <w:tcBorders>
              <w:left w:val="nil"/>
              <w:right w:val="nil"/>
            </w:tcBorders>
            <w:shd w:val="clear" w:color="auto" w:fill="auto"/>
            <w:noWrap/>
            <w:vAlign w:val="center"/>
          </w:tcPr>
          <w:p w14:paraId="6F495CFF" w14:textId="2196E039" w:rsidR="006D5D53" w:rsidRPr="008E21A1" w:rsidRDefault="006D5D53">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2,935,482</w:t>
            </w:r>
          </w:p>
        </w:tc>
      </w:tr>
      <w:tr w:rsidR="00E03079" w:rsidRPr="00F81F50" w14:paraId="4292BA6E" w14:textId="77777777" w:rsidTr="006873C3">
        <w:tc>
          <w:tcPr>
            <w:tcW w:w="709" w:type="dxa"/>
            <w:tcBorders>
              <w:left w:val="nil"/>
              <w:right w:val="nil"/>
            </w:tcBorders>
            <w:shd w:val="clear" w:color="auto" w:fill="auto"/>
            <w:noWrap/>
            <w:vAlign w:val="center"/>
          </w:tcPr>
          <w:p w14:paraId="2D703328" w14:textId="77777777" w:rsidR="00E03079" w:rsidRPr="008E21A1" w:rsidRDefault="00E03079" w:rsidP="00E03079">
            <w:pPr>
              <w:spacing w:after="0" w:line="240" w:lineRule="auto"/>
              <w:rPr>
                <w:rFonts w:asciiTheme="majorHAnsi" w:eastAsia="Times New Roman" w:hAnsiTheme="majorHAnsi" w:cstheme="majorHAnsi"/>
                <w:color w:val="000000"/>
                <w:sz w:val="18"/>
                <w:szCs w:val="18"/>
                <w:lang w:eastAsia="en-AU"/>
              </w:rPr>
            </w:pPr>
          </w:p>
        </w:tc>
        <w:tc>
          <w:tcPr>
            <w:tcW w:w="847" w:type="dxa"/>
            <w:tcBorders>
              <w:left w:val="nil"/>
              <w:right w:val="nil"/>
            </w:tcBorders>
            <w:shd w:val="clear" w:color="auto" w:fill="auto"/>
            <w:noWrap/>
            <w:vAlign w:val="center"/>
          </w:tcPr>
          <w:p w14:paraId="44675D33" w14:textId="77777777" w:rsidR="00E03079" w:rsidRPr="008E21A1" w:rsidDel="006362D5" w:rsidRDefault="00E03079" w:rsidP="00E03079">
            <w:pPr>
              <w:spacing w:after="0" w:line="240" w:lineRule="auto"/>
              <w:rPr>
                <w:rFonts w:asciiTheme="majorHAnsi" w:hAnsiTheme="majorHAnsi" w:cstheme="majorHAnsi"/>
                <w:sz w:val="18"/>
                <w:szCs w:val="18"/>
              </w:rPr>
            </w:pPr>
          </w:p>
        </w:tc>
        <w:tc>
          <w:tcPr>
            <w:tcW w:w="2635" w:type="dxa"/>
            <w:tcBorders>
              <w:left w:val="nil"/>
              <w:right w:val="nil"/>
            </w:tcBorders>
            <w:shd w:val="clear" w:color="auto" w:fill="auto"/>
            <w:noWrap/>
            <w:vAlign w:val="center"/>
          </w:tcPr>
          <w:p w14:paraId="4C6F34EF" w14:textId="00501388" w:rsidR="00E03079" w:rsidRDefault="00E03079">
            <w:pPr>
              <w:spacing w:after="0" w:line="240" w:lineRule="auto"/>
              <w:rPr>
                <w:rFonts w:asciiTheme="majorHAnsi" w:hAnsiTheme="majorHAnsi" w:cstheme="majorHAnsi"/>
                <w:sz w:val="18"/>
                <w:szCs w:val="18"/>
              </w:rPr>
            </w:pPr>
            <w:r>
              <w:rPr>
                <w:rFonts w:asciiTheme="majorHAnsi" w:hAnsiTheme="majorHAnsi" w:cstheme="majorHAnsi"/>
                <w:sz w:val="18"/>
                <w:szCs w:val="18"/>
              </w:rPr>
              <w:t xml:space="preserve">all </w:t>
            </w:r>
            <w:proofErr w:type="gramStart"/>
            <w:r>
              <w:rPr>
                <w:rFonts w:asciiTheme="majorHAnsi" w:hAnsiTheme="majorHAnsi" w:cstheme="majorHAnsi"/>
                <w:sz w:val="18"/>
                <w:szCs w:val="18"/>
              </w:rPr>
              <w:t>crop</w:t>
            </w:r>
            <w:proofErr w:type="gramEnd"/>
            <w:r>
              <w:rPr>
                <w:rFonts w:asciiTheme="majorHAnsi" w:hAnsiTheme="majorHAnsi" w:cstheme="majorHAnsi"/>
                <w:sz w:val="18"/>
                <w:szCs w:val="18"/>
              </w:rPr>
              <w:t xml:space="preserve"> grown commodities</w:t>
            </w:r>
          </w:p>
        </w:tc>
        <w:tc>
          <w:tcPr>
            <w:tcW w:w="1189" w:type="dxa"/>
            <w:tcBorders>
              <w:left w:val="nil"/>
              <w:right w:val="nil"/>
            </w:tcBorders>
            <w:shd w:val="clear" w:color="auto" w:fill="auto"/>
            <w:noWrap/>
            <w:vAlign w:val="center"/>
          </w:tcPr>
          <w:p w14:paraId="614E92A2" w14:textId="4E9AFC19" w:rsidR="00E03079" w:rsidRPr="008E21A1" w:rsidRDefault="00E03079">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0</w:t>
            </w:r>
          </w:p>
        </w:tc>
        <w:tc>
          <w:tcPr>
            <w:tcW w:w="1033" w:type="dxa"/>
            <w:tcBorders>
              <w:left w:val="nil"/>
              <w:right w:val="nil"/>
            </w:tcBorders>
            <w:shd w:val="clear" w:color="auto" w:fill="auto"/>
            <w:noWrap/>
            <w:vAlign w:val="center"/>
          </w:tcPr>
          <w:p w14:paraId="1E5C3A94" w14:textId="2AC63628" w:rsidR="00E03079" w:rsidRPr="008E21A1" w:rsidRDefault="00E03079">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0.0%</w:t>
            </w:r>
          </w:p>
        </w:tc>
        <w:tc>
          <w:tcPr>
            <w:tcW w:w="668" w:type="dxa"/>
            <w:tcBorders>
              <w:left w:val="nil"/>
              <w:right w:val="nil"/>
            </w:tcBorders>
            <w:shd w:val="clear" w:color="auto" w:fill="auto"/>
            <w:noWrap/>
            <w:vAlign w:val="center"/>
          </w:tcPr>
          <w:p w14:paraId="533FFE8E" w14:textId="111865AA" w:rsidR="00E03079" w:rsidRPr="006873C3" w:rsidRDefault="00E03079">
            <w:pPr>
              <w:spacing w:after="0" w:line="240" w:lineRule="auto"/>
              <w:jc w:val="center"/>
              <w:rPr>
                <w:rFonts w:asciiTheme="majorHAnsi" w:eastAsia="Times New Roman" w:hAnsiTheme="majorHAnsi" w:cstheme="majorHAnsi"/>
                <w:color w:val="000000"/>
                <w:sz w:val="18"/>
                <w:szCs w:val="18"/>
                <w:lang w:eastAsia="en-AU"/>
              </w:rPr>
            </w:pPr>
            <w:r w:rsidRPr="006873C3">
              <w:rPr>
                <w:rFonts w:asciiTheme="majorHAnsi" w:eastAsia="Times New Roman" w:hAnsiTheme="majorHAnsi" w:cstheme="majorHAnsi"/>
                <w:color w:val="000000"/>
                <w:sz w:val="18"/>
                <w:szCs w:val="18"/>
                <w:lang w:eastAsia="en-AU"/>
              </w:rPr>
              <w:t>30</w:t>
            </w:r>
          </w:p>
        </w:tc>
        <w:tc>
          <w:tcPr>
            <w:tcW w:w="2026" w:type="dxa"/>
            <w:tcBorders>
              <w:left w:val="nil"/>
              <w:right w:val="nil"/>
            </w:tcBorders>
            <w:shd w:val="clear" w:color="auto" w:fill="auto"/>
            <w:noWrap/>
            <w:vAlign w:val="center"/>
          </w:tcPr>
          <w:p w14:paraId="59156FAA" w14:textId="6DF862D8" w:rsidR="00E03079" w:rsidRPr="008E21A1" w:rsidRDefault="00E03079">
            <w:pPr>
              <w:spacing w:after="0" w:line="240" w:lineRule="auto"/>
              <w:rPr>
                <w:rFonts w:asciiTheme="majorHAnsi" w:hAnsiTheme="majorHAnsi" w:cstheme="majorHAnsi"/>
                <w:sz w:val="16"/>
                <w:szCs w:val="16"/>
              </w:rPr>
            </w:pPr>
            <w:r w:rsidRPr="006873C3">
              <w:rPr>
                <w:rFonts w:asciiTheme="majorHAnsi" w:hAnsiTheme="majorHAnsi" w:cstheme="majorHAnsi"/>
                <w:sz w:val="16"/>
                <w:szCs w:val="16"/>
              </w:rPr>
              <w:t>Reduction by 7th year without conditions</w:t>
            </w:r>
          </w:p>
        </w:tc>
        <w:tc>
          <w:tcPr>
            <w:tcW w:w="1155" w:type="dxa"/>
            <w:tcBorders>
              <w:left w:val="nil"/>
              <w:right w:val="nil"/>
            </w:tcBorders>
            <w:shd w:val="clear" w:color="auto" w:fill="auto"/>
            <w:noWrap/>
            <w:vAlign w:val="center"/>
          </w:tcPr>
          <w:p w14:paraId="2669C40C" w14:textId="6CF4E663" w:rsidR="00E03079" w:rsidRPr="00A618DD" w:rsidRDefault="00E03079">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0</w:t>
            </w:r>
          </w:p>
        </w:tc>
      </w:tr>
      <w:tr w:rsidR="00E03079" w:rsidRPr="00F81F50" w14:paraId="5EC77E01" w14:textId="77777777" w:rsidTr="006873C3">
        <w:trPr>
          <w:trHeight w:val="80"/>
        </w:trPr>
        <w:tc>
          <w:tcPr>
            <w:tcW w:w="709" w:type="dxa"/>
            <w:tcBorders>
              <w:left w:val="nil"/>
              <w:bottom w:val="single" w:sz="4" w:space="0" w:color="auto"/>
              <w:right w:val="nil"/>
            </w:tcBorders>
            <w:shd w:val="clear" w:color="auto" w:fill="auto"/>
            <w:noWrap/>
            <w:vAlign w:val="center"/>
          </w:tcPr>
          <w:p w14:paraId="1206DF09" w14:textId="77777777" w:rsidR="00E03079" w:rsidRPr="008E21A1" w:rsidRDefault="00E03079" w:rsidP="00E03079">
            <w:pPr>
              <w:spacing w:after="0" w:line="240" w:lineRule="auto"/>
              <w:rPr>
                <w:rFonts w:asciiTheme="majorHAnsi" w:eastAsia="Times New Roman" w:hAnsiTheme="majorHAnsi" w:cstheme="majorHAnsi"/>
                <w:color w:val="000000"/>
                <w:sz w:val="18"/>
                <w:szCs w:val="18"/>
                <w:lang w:eastAsia="en-AU"/>
              </w:rPr>
            </w:pPr>
          </w:p>
        </w:tc>
        <w:tc>
          <w:tcPr>
            <w:tcW w:w="847" w:type="dxa"/>
            <w:tcBorders>
              <w:left w:val="nil"/>
              <w:bottom w:val="single" w:sz="4" w:space="0" w:color="auto"/>
              <w:right w:val="nil"/>
            </w:tcBorders>
            <w:shd w:val="clear" w:color="auto" w:fill="auto"/>
            <w:noWrap/>
            <w:vAlign w:val="center"/>
          </w:tcPr>
          <w:p w14:paraId="2CA72447" w14:textId="77777777" w:rsidR="00E03079" w:rsidRPr="008E21A1" w:rsidDel="006362D5" w:rsidRDefault="00E03079" w:rsidP="00E03079">
            <w:pPr>
              <w:spacing w:after="0" w:line="240" w:lineRule="auto"/>
              <w:rPr>
                <w:rFonts w:asciiTheme="majorHAnsi" w:hAnsiTheme="majorHAnsi" w:cstheme="majorHAnsi"/>
                <w:sz w:val="18"/>
                <w:szCs w:val="18"/>
              </w:rPr>
            </w:pPr>
          </w:p>
        </w:tc>
        <w:tc>
          <w:tcPr>
            <w:tcW w:w="2635" w:type="dxa"/>
            <w:tcBorders>
              <w:left w:val="nil"/>
              <w:bottom w:val="single" w:sz="4" w:space="0" w:color="auto"/>
              <w:right w:val="nil"/>
            </w:tcBorders>
            <w:shd w:val="clear" w:color="auto" w:fill="auto"/>
            <w:noWrap/>
            <w:vAlign w:val="center"/>
          </w:tcPr>
          <w:p w14:paraId="232780A0" w14:textId="1B0A088C" w:rsidR="00E03079" w:rsidRDefault="00E03079">
            <w:pPr>
              <w:spacing w:after="0" w:line="240" w:lineRule="auto"/>
              <w:rPr>
                <w:rFonts w:asciiTheme="majorHAnsi" w:hAnsiTheme="majorHAnsi" w:cstheme="majorHAnsi"/>
                <w:sz w:val="18"/>
                <w:szCs w:val="18"/>
              </w:rPr>
            </w:pPr>
            <w:r>
              <w:rPr>
                <w:rFonts w:asciiTheme="majorHAnsi" w:hAnsiTheme="majorHAnsi" w:cstheme="majorHAnsi"/>
                <w:sz w:val="18"/>
                <w:szCs w:val="18"/>
              </w:rPr>
              <w:t xml:space="preserve">all </w:t>
            </w:r>
            <w:proofErr w:type="gramStart"/>
            <w:r>
              <w:rPr>
                <w:rFonts w:asciiTheme="majorHAnsi" w:hAnsiTheme="majorHAnsi" w:cstheme="majorHAnsi"/>
                <w:sz w:val="18"/>
                <w:szCs w:val="18"/>
              </w:rPr>
              <w:t>crop</w:t>
            </w:r>
            <w:proofErr w:type="gramEnd"/>
            <w:r>
              <w:rPr>
                <w:rFonts w:asciiTheme="majorHAnsi" w:hAnsiTheme="majorHAnsi" w:cstheme="majorHAnsi"/>
                <w:sz w:val="18"/>
                <w:szCs w:val="18"/>
              </w:rPr>
              <w:t xml:space="preserve"> grown commodities</w:t>
            </w:r>
          </w:p>
        </w:tc>
        <w:tc>
          <w:tcPr>
            <w:tcW w:w="1189" w:type="dxa"/>
            <w:tcBorders>
              <w:left w:val="nil"/>
              <w:bottom w:val="single" w:sz="4" w:space="0" w:color="auto"/>
              <w:right w:val="nil"/>
            </w:tcBorders>
            <w:shd w:val="clear" w:color="auto" w:fill="auto"/>
            <w:noWrap/>
            <w:vAlign w:val="center"/>
          </w:tcPr>
          <w:p w14:paraId="3D7E42E1" w14:textId="1EEB3037" w:rsidR="00E03079" w:rsidRPr="008E21A1" w:rsidRDefault="00E03079">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64,708,882</w:t>
            </w:r>
          </w:p>
        </w:tc>
        <w:tc>
          <w:tcPr>
            <w:tcW w:w="1033" w:type="dxa"/>
            <w:tcBorders>
              <w:left w:val="nil"/>
              <w:bottom w:val="single" w:sz="4" w:space="0" w:color="auto"/>
              <w:right w:val="nil"/>
            </w:tcBorders>
            <w:shd w:val="clear" w:color="auto" w:fill="auto"/>
            <w:noWrap/>
            <w:vAlign w:val="center"/>
          </w:tcPr>
          <w:p w14:paraId="2FD899E4" w14:textId="3FA57324" w:rsidR="00E03079" w:rsidRPr="008E21A1" w:rsidRDefault="00E03079">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2.1%</w:t>
            </w:r>
          </w:p>
        </w:tc>
        <w:tc>
          <w:tcPr>
            <w:tcW w:w="668" w:type="dxa"/>
            <w:tcBorders>
              <w:left w:val="nil"/>
              <w:bottom w:val="single" w:sz="4" w:space="0" w:color="auto"/>
              <w:right w:val="nil"/>
            </w:tcBorders>
            <w:shd w:val="clear" w:color="auto" w:fill="auto"/>
            <w:noWrap/>
            <w:vAlign w:val="center"/>
          </w:tcPr>
          <w:p w14:paraId="239485BD" w14:textId="493EF8A8" w:rsidR="00E03079" w:rsidRPr="006873C3" w:rsidRDefault="00E03079">
            <w:pPr>
              <w:spacing w:after="0" w:line="240" w:lineRule="auto"/>
              <w:jc w:val="center"/>
              <w:rPr>
                <w:rFonts w:asciiTheme="majorHAnsi" w:eastAsia="Times New Roman" w:hAnsiTheme="majorHAnsi" w:cstheme="majorHAnsi"/>
                <w:color w:val="000000"/>
                <w:sz w:val="18"/>
                <w:szCs w:val="18"/>
                <w:lang w:eastAsia="en-AU"/>
              </w:rPr>
            </w:pPr>
            <w:r w:rsidRPr="006873C3">
              <w:rPr>
                <w:rFonts w:asciiTheme="majorHAnsi" w:eastAsia="Times New Roman" w:hAnsiTheme="majorHAnsi" w:cstheme="majorHAnsi"/>
                <w:color w:val="000000"/>
                <w:sz w:val="18"/>
                <w:szCs w:val="18"/>
                <w:lang w:eastAsia="en-AU"/>
              </w:rPr>
              <w:t>0-100</w:t>
            </w:r>
          </w:p>
        </w:tc>
        <w:tc>
          <w:tcPr>
            <w:tcW w:w="2026" w:type="dxa"/>
            <w:tcBorders>
              <w:left w:val="nil"/>
              <w:bottom w:val="single" w:sz="4" w:space="0" w:color="auto"/>
              <w:right w:val="nil"/>
            </w:tcBorders>
            <w:shd w:val="clear" w:color="auto" w:fill="auto"/>
            <w:noWrap/>
            <w:vAlign w:val="center"/>
          </w:tcPr>
          <w:p w14:paraId="13DB6932" w14:textId="22547ABE" w:rsidR="00E03079" w:rsidRPr="008E21A1" w:rsidRDefault="00E03079">
            <w:pPr>
              <w:spacing w:after="0" w:line="240" w:lineRule="auto"/>
              <w:rPr>
                <w:rFonts w:asciiTheme="majorHAnsi" w:hAnsiTheme="majorHAnsi" w:cstheme="majorHAnsi"/>
                <w:sz w:val="16"/>
                <w:szCs w:val="16"/>
              </w:rPr>
            </w:pPr>
            <w:r w:rsidRPr="006873C3">
              <w:rPr>
                <w:rFonts w:asciiTheme="majorHAnsi" w:hAnsiTheme="majorHAnsi" w:cstheme="majorHAnsi"/>
                <w:sz w:val="16"/>
                <w:szCs w:val="16"/>
              </w:rPr>
              <w:t>Excluded</w:t>
            </w:r>
          </w:p>
        </w:tc>
        <w:tc>
          <w:tcPr>
            <w:tcW w:w="1155" w:type="dxa"/>
            <w:tcBorders>
              <w:left w:val="nil"/>
              <w:bottom w:val="single" w:sz="4" w:space="0" w:color="auto"/>
              <w:right w:val="nil"/>
            </w:tcBorders>
            <w:shd w:val="clear" w:color="auto" w:fill="auto"/>
            <w:noWrap/>
            <w:vAlign w:val="center"/>
          </w:tcPr>
          <w:p w14:paraId="635F6C38" w14:textId="1DF57D4D" w:rsidR="00E03079" w:rsidRPr="00A618DD" w:rsidRDefault="00E03079">
            <w:pPr>
              <w:spacing w:after="0" w:line="240" w:lineRule="auto"/>
              <w:jc w:val="right"/>
              <w:rPr>
                <w:rFonts w:asciiTheme="majorHAnsi" w:hAnsiTheme="majorHAnsi" w:cstheme="majorHAnsi"/>
                <w:sz w:val="18"/>
                <w:szCs w:val="18"/>
              </w:rPr>
            </w:pPr>
            <w:r w:rsidRPr="006873C3">
              <w:rPr>
                <w:rFonts w:asciiTheme="majorHAnsi" w:hAnsiTheme="majorHAnsi" w:cstheme="majorHAnsi"/>
                <w:sz w:val="18"/>
                <w:szCs w:val="18"/>
              </w:rPr>
              <w:t>19,761,833</w:t>
            </w:r>
          </w:p>
        </w:tc>
      </w:tr>
      <w:tr w:rsidR="00E03079" w:rsidRPr="0078616F" w14:paraId="386E3E6F" w14:textId="77777777" w:rsidTr="006873C3">
        <w:tc>
          <w:tcPr>
            <w:tcW w:w="709" w:type="dxa"/>
            <w:tcBorders>
              <w:top w:val="single" w:sz="4" w:space="0" w:color="auto"/>
              <w:left w:val="nil"/>
              <w:bottom w:val="single" w:sz="4" w:space="0" w:color="auto"/>
              <w:right w:val="nil"/>
            </w:tcBorders>
            <w:shd w:val="clear" w:color="auto" w:fill="auto"/>
            <w:noWrap/>
          </w:tcPr>
          <w:p w14:paraId="43B2CAE4" w14:textId="77777777" w:rsidR="00E03079" w:rsidRPr="008E21A1" w:rsidRDefault="00E03079" w:rsidP="00E03079">
            <w:pPr>
              <w:spacing w:after="0" w:line="240" w:lineRule="auto"/>
              <w:rPr>
                <w:rFonts w:asciiTheme="majorHAnsi" w:eastAsia="Times New Roman" w:hAnsiTheme="majorHAnsi" w:cstheme="majorHAnsi"/>
                <w:b/>
                <w:bCs/>
                <w:color w:val="000000"/>
                <w:sz w:val="18"/>
                <w:szCs w:val="18"/>
                <w:lang w:eastAsia="en-AU"/>
              </w:rPr>
            </w:pPr>
          </w:p>
        </w:tc>
        <w:tc>
          <w:tcPr>
            <w:tcW w:w="847" w:type="dxa"/>
            <w:tcBorders>
              <w:top w:val="single" w:sz="4" w:space="0" w:color="auto"/>
              <w:left w:val="nil"/>
              <w:bottom w:val="single" w:sz="4" w:space="0" w:color="auto"/>
              <w:right w:val="nil"/>
            </w:tcBorders>
            <w:shd w:val="clear" w:color="auto" w:fill="auto"/>
            <w:noWrap/>
          </w:tcPr>
          <w:p w14:paraId="3D1E62C5" w14:textId="77777777" w:rsidR="00E03079" w:rsidRPr="008E21A1" w:rsidRDefault="00E03079" w:rsidP="00E03079">
            <w:pPr>
              <w:spacing w:after="0" w:line="240" w:lineRule="auto"/>
              <w:rPr>
                <w:rFonts w:asciiTheme="majorHAnsi" w:eastAsia="Times New Roman" w:hAnsiTheme="majorHAnsi" w:cstheme="majorHAnsi"/>
                <w:b/>
                <w:bCs/>
                <w:sz w:val="18"/>
                <w:szCs w:val="18"/>
                <w:lang w:eastAsia="en-AU"/>
              </w:rPr>
            </w:pPr>
          </w:p>
        </w:tc>
        <w:tc>
          <w:tcPr>
            <w:tcW w:w="2635" w:type="dxa"/>
            <w:tcBorders>
              <w:top w:val="single" w:sz="4" w:space="0" w:color="auto"/>
              <w:left w:val="nil"/>
              <w:bottom w:val="single" w:sz="4" w:space="0" w:color="auto"/>
              <w:right w:val="nil"/>
            </w:tcBorders>
            <w:shd w:val="clear" w:color="auto" w:fill="auto"/>
            <w:noWrap/>
            <w:vAlign w:val="center"/>
          </w:tcPr>
          <w:p w14:paraId="51C00684" w14:textId="77777777" w:rsidR="00E03079" w:rsidRPr="00E03079" w:rsidRDefault="00E03079">
            <w:pPr>
              <w:spacing w:after="0" w:line="240" w:lineRule="auto"/>
              <w:rPr>
                <w:rFonts w:asciiTheme="majorHAnsi" w:eastAsia="Times New Roman" w:hAnsiTheme="majorHAnsi" w:cstheme="majorHAnsi"/>
                <w:b/>
                <w:bCs/>
                <w:color w:val="000000"/>
                <w:sz w:val="18"/>
                <w:szCs w:val="18"/>
                <w:lang w:eastAsia="en-AU"/>
              </w:rPr>
            </w:pPr>
            <w:r w:rsidRPr="00E03079">
              <w:rPr>
                <w:rFonts w:asciiTheme="majorHAnsi" w:hAnsiTheme="majorHAnsi" w:cstheme="majorHAnsi"/>
                <w:b/>
                <w:bCs/>
                <w:sz w:val="18"/>
                <w:szCs w:val="18"/>
              </w:rPr>
              <w:t>Total</w:t>
            </w:r>
          </w:p>
        </w:tc>
        <w:tc>
          <w:tcPr>
            <w:tcW w:w="1189" w:type="dxa"/>
            <w:tcBorders>
              <w:top w:val="single" w:sz="4" w:space="0" w:color="auto"/>
              <w:left w:val="nil"/>
              <w:bottom w:val="single" w:sz="4" w:space="0" w:color="auto"/>
              <w:right w:val="nil"/>
            </w:tcBorders>
            <w:shd w:val="clear" w:color="auto" w:fill="auto"/>
            <w:noWrap/>
            <w:vAlign w:val="center"/>
          </w:tcPr>
          <w:p w14:paraId="4EC6E5D2" w14:textId="3424C226" w:rsidR="00E03079" w:rsidRPr="006873C3" w:rsidRDefault="00E03079">
            <w:pPr>
              <w:spacing w:after="0" w:line="240" w:lineRule="auto"/>
              <w:jc w:val="right"/>
              <w:rPr>
                <w:rFonts w:asciiTheme="majorHAnsi" w:hAnsiTheme="majorHAnsi" w:cstheme="majorHAnsi"/>
                <w:b/>
                <w:bCs/>
                <w:sz w:val="18"/>
                <w:szCs w:val="18"/>
              </w:rPr>
            </w:pPr>
            <w:r w:rsidRPr="006873C3">
              <w:rPr>
                <w:rFonts w:asciiTheme="majorHAnsi" w:hAnsiTheme="majorHAnsi" w:cstheme="majorHAnsi"/>
                <w:b/>
                <w:bCs/>
                <w:sz w:val="18"/>
                <w:szCs w:val="18"/>
              </w:rPr>
              <w:t>84,958,198</w:t>
            </w:r>
          </w:p>
        </w:tc>
        <w:tc>
          <w:tcPr>
            <w:tcW w:w="1033" w:type="dxa"/>
            <w:tcBorders>
              <w:top w:val="single" w:sz="4" w:space="0" w:color="auto"/>
              <w:left w:val="nil"/>
              <w:bottom w:val="single" w:sz="4" w:space="0" w:color="auto"/>
              <w:right w:val="nil"/>
            </w:tcBorders>
            <w:shd w:val="clear" w:color="auto" w:fill="auto"/>
            <w:noWrap/>
            <w:vAlign w:val="center"/>
          </w:tcPr>
          <w:p w14:paraId="3F6B8A66" w14:textId="013904AC" w:rsidR="00E03079" w:rsidRPr="006873C3" w:rsidRDefault="00E03079">
            <w:pPr>
              <w:spacing w:after="0" w:line="240" w:lineRule="auto"/>
              <w:jc w:val="right"/>
              <w:rPr>
                <w:rFonts w:asciiTheme="majorHAnsi" w:hAnsiTheme="majorHAnsi" w:cstheme="majorHAnsi"/>
                <w:b/>
                <w:bCs/>
                <w:sz w:val="18"/>
                <w:szCs w:val="18"/>
              </w:rPr>
            </w:pPr>
            <w:r w:rsidRPr="006873C3">
              <w:rPr>
                <w:rFonts w:asciiTheme="majorHAnsi" w:hAnsiTheme="majorHAnsi" w:cstheme="majorHAnsi"/>
                <w:b/>
                <w:bCs/>
                <w:sz w:val="18"/>
                <w:szCs w:val="18"/>
              </w:rPr>
              <w:t>2.2%</w:t>
            </w:r>
          </w:p>
        </w:tc>
        <w:tc>
          <w:tcPr>
            <w:tcW w:w="668" w:type="dxa"/>
            <w:tcBorders>
              <w:top w:val="single" w:sz="4" w:space="0" w:color="auto"/>
              <w:left w:val="nil"/>
              <w:bottom w:val="single" w:sz="4" w:space="0" w:color="auto"/>
              <w:right w:val="nil"/>
            </w:tcBorders>
            <w:shd w:val="clear" w:color="auto" w:fill="auto"/>
            <w:noWrap/>
            <w:vAlign w:val="center"/>
          </w:tcPr>
          <w:p w14:paraId="1BA92E1E" w14:textId="0374FE4C" w:rsidR="00E03079" w:rsidRPr="00E03079" w:rsidRDefault="00E03079">
            <w:pPr>
              <w:spacing w:after="0" w:line="240" w:lineRule="auto"/>
              <w:jc w:val="center"/>
              <w:rPr>
                <w:rFonts w:asciiTheme="majorHAnsi" w:eastAsia="Times New Roman" w:hAnsiTheme="majorHAnsi" w:cstheme="majorHAnsi"/>
                <w:b/>
                <w:bCs/>
                <w:color w:val="000000"/>
                <w:sz w:val="18"/>
                <w:szCs w:val="18"/>
                <w:lang w:eastAsia="en-AU"/>
              </w:rPr>
            </w:pPr>
          </w:p>
        </w:tc>
        <w:tc>
          <w:tcPr>
            <w:tcW w:w="2026" w:type="dxa"/>
            <w:tcBorders>
              <w:top w:val="single" w:sz="4" w:space="0" w:color="auto"/>
              <w:left w:val="nil"/>
              <w:bottom w:val="single" w:sz="4" w:space="0" w:color="auto"/>
              <w:right w:val="nil"/>
            </w:tcBorders>
            <w:shd w:val="clear" w:color="auto" w:fill="auto"/>
            <w:noWrap/>
            <w:vAlign w:val="center"/>
          </w:tcPr>
          <w:p w14:paraId="445AFE2E" w14:textId="3A4C6BD9" w:rsidR="00E03079" w:rsidRPr="006873C3" w:rsidRDefault="00E03079" w:rsidP="006873C3">
            <w:pPr>
              <w:spacing w:after="0" w:line="240" w:lineRule="auto"/>
              <w:rPr>
                <w:rFonts w:asciiTheme="majorHAnsi" w:hAnsiTheme="majorHAnsi" w:cstheme="majorHAnsi"/>
                <w:b/>
                <w:bCs/>
                <w:sz w:val="16"/>
                <w:szCs w:val="16"/>
              </w:rPr>
            </w:pPr>
          </w:p>
        </w:tc>
        <w:tc>
          <w:tcPr>
            <w:tcW w:w="1155" w:type="dxa"/>
            <w:tcBorders>
              <w:top w:val="single" w:sz="4" w:space="0" w:color="auto"/>
              <w:left w:val="nil"/>
              <w:bottom w:val="single" w:sz="4" w:space="0" w:color="auto"/>
              <w:right w:val="nil"/>
            </w:tcBorders>
            <w:shd w:val="clear" w:color="auto" w:fill="auto"/>
            <w:noWrap/>
            <w:vAlign w:val="center"/>
          </w:tcPr>
          <w:p w14:paraId="71D5F6E9" w14:textId="20D238B0" w:rsidR="00E03079" w:rsidRPr="006873C3" w:rsidRDefault="00E03079">
            <w:pPr>
              <w:spacing w:after="0" w:line="240" w:lineRule="auto"/>
              <w:jc w:val="right"/>
              <w:rPr>
                <w:rFonts w:asciiTheme="majorHAnsi" w:hAnsiTheme="majorHAnsi" w:cstheme="majorHAnsi"/>
                <w:b/>
                <w:bCs/>
                <w:sz w:val="18"/>
                <w:szCs w:val="18"/>
              </w:rPr>
            </w:pPr>
            <w:r w:rsidRPr="006873C3">
              <w:rPr>
                <w:rFonts w:asciiTheme="majorHAnsi" w:hAnsiTheme="majorHAnsi" w:cstheme="majorHAnsi"/>
                <w:b/>
                <w:bCs/>
                <w:sz w:val="18"/>
                <w:szCs w:val="18"/>
              </w:rPr>
              <w:t>22,697,315</w:t>
            </w:r>
          </w:p>
        </w:tc>
      </w:tr>
    </w:tbl>
    <w:p w14:paraId="7CB5E8A1" w14:textId="77777777" w:rsidR="00335CF7" w:rsidRDefault="00335CF7" w:rsidP="00335CF7">
      <w:pPr>
        <w:spacing w:after="0"/>
        <w:rPr>
          <w:sz w:val="20"/>
          <w:szCs w:val="20"/>
        </w:rPr>
      </w:pPr>
      <w:r w:rsidRPr="00D8564D">
        <w:rPr>
          <w:sz w:val="20"/>
          <w:szCs w:val="20"/>
        </w:rPr>
        <w:t>Source: Trade Data Monitor</w:t>
      </w:r>
      <w:r>
        <w:rPr>
          <w:sz w:val="20"/>
          <w:szCs w:val="20"/>
        </w:rPr>
        <w:t>s, DFAT</w:t>
      </w:r>
    </w:p>
    <w:p w14:paraId="69AA6CCF" w14:textId="55AFDAB7" w:rsidR="00335CF7" w:rsidRPr="00284549" w:rsidRDefault="00335CF7" w:rsidP="00335CF7">
      <w:pPr>
        <w:spacing w:after="0"/>
        <w:rPr>
          <w:b/>
          <w:bCs/>
        </w:rPr>
      </w:pPr>
      <w:r w:rsidRPr="00EE62A5">
        <w:rPr>
          <w:sz w:val="20"/>
          <w:szCs w:val="20"/>
        </w:rPr>
        <w:t>Notes: Value of trade estimates use annual average data of</w:t>
      </w:r>
      <w:r w:rsidRPr="0078616F">
        <w:rPr>
          <w:sz w:val="20"/>
          <w:szCs w:val="20"/>
        </w:rPr>
        <w:t xml:space="preserve"> Indian imports of merchandise between 2018 and 2020. </w:t>
      </w:r>
      <w:r w:rsidRPr="0025188F">
        <w:rPr>
          <w:sz w:val="20"/>
          <w:szCs w:val="20"/>
        </w:rPr>
        <w:t xml:space="preserve">Tariff estimates are based on the value of average annual trade between 2018 and 2020 and the tariff rates </w:t>
      </w:r>
      <w:r>
        <w:rPr>
          <w:sz w:val="20"/>
          <w:szCs w:val="20"/>
        </w:rPr>
        <w:t>paid</w:t>
      </w:r>
      <w:r w:rsidRPr="0025188F">
        <w:rPr>
          <w:sz w:val="20"/>
          <w:szCs w:val="20"/>
        </w:rPr>
        <w:t>.</w:t>
      </w:r>
      <w:r w:rsidRPr="0078616F">
        <w:rPr>
          <w:sz w:val="20"/>
          <w:szCs w:val="20"/>
        </w:rPr>
        <w:t xml:space="preserve"> Aggregate commodity groupings were determined by DFAT. Remining industry not-elsewhere-categorised (</w:t>
      </w:r>
      <w:proofErr w:type="spellStart"/>
      <w:r w:rsidRPr="0078616F">
        <w:rPr>
          <w:sz w:val="20"/>
          <w:szCs w:val="20"/>
        </w:rPr>
        <w:t>n.e.c</w:t>
      </w:r>
      <w:proofErr w:type="spellEnd"/>
      <w:r w:rsidRPr="0078616F">
        <w:rPr>
          <w:sz w:val="20"/>
          <w:szCs w:val="20"/>
        </w:rPr>
        <w:t xml:space="preserve">) </w:t>
      </w:r>
      <w:r w:rsidR="0047500B">
        <w:rPr>
          <w:sz w:val="20"/>
          <w:szCs w:val="20"/>
        </w:rPr>
        <w:t>for ‘c</w:t>
      </w:r>
      <w:r w:rsidR="0047500B" w:rsidRPr="0047500B">
        <w:rPr>
          <w:sz w:val="20"/>
          <w:szCs w:val="20"/>
        </w:rPr>
        <w:t>ereals, wheats, grains, seeds and rice</w:t>
      </w:r>
      <w:r w:rsidR="0047500B">
        <w:rPr>
          <w:sz w:val="20"/>
          <w:szCs w:val="20"/>
        </w:rPr>
        <w:t>’</w:t>
      </w:r>
      <w:r w:rsidR="0047500B" w:rsidRPr="0047500B">
        <w:rPr>
          <w:sz w:val="20"/>
          <w:szCs w:val="20"/>
        </w:rPr>
        <w:t xml:space="preserve"> </w:t>
      </w:r>
      <w:r w:rsidRPr="0078616F">
        <w:rPr>
          <w:sz w:val="20"/>
          <w:szCs w:val="20"/>
        </w:rPr>
        <w:t>captures the remaining export activity for ‘Rice Growing’, ‘Other Grain Growing’, ‘Grain Mill Product Manufacturing’, ‘Cereal, Pasta and Baking Mix Manufacturing’ industry sectors (ABS ANZSIC codes 0416, 0419, 1161 and 1162, respectively).</w:t>
      </w:r>
      <w:r w:rsidR="0047500B">
        <w:rPr>
          <w:sz w:val="20"/>
          <w:szCs w:val="20"/>
        </w:rPr>
        <w:t xml:space="preserve"> </w:t>
      </w:r>
      <w:r w:rsidR="0047500B" w:rsidRPr="0047500B">
        <w:rPr>
          <w:sz w:val="20"/>
          <w:szCs w:val="20"/>
        </w:rPr>
        <w:t>Remining industry not-elsewhere-categorised (</w:t>
      </w:r>
      <w:proofErr w:type="spellStart"/>
      <w:r w:rsidR="0047500B" w:rsidRPr="0047500B">
        <w:rPr>
          <w:sz w:val="20"/>
          <w:szCs w:val="20"/>
        </w:rPr>
        <w:t>n.e.c</w:t>
      </w:r>
      <w:proofErr w:type="spellEnd"/>
      <w:r w:rsidR="0047500B" w:rsidRPr="0047500B">
        <w:rPr>
          <w:sz w:val="20"/>
          <w:szCs w:val="20"/>
        </w:rPr>
        <w:t>) for ‘</w:t>
      </w:r>
      <w:r w:rsidR="0047500B">
        <w:rPr>
          <w:sz w:val="20"/>
          <w:szCs w:val="20"/>
        </w:rPr>
        <w:t>c</w:t>
      </w:r>
      <w:r w:rsidR="0047500B" w:rsidRPr="0047500B">
        <w:rPr>
          <w:sz w:val="20"/>
          <w:szCs w:val="20"/>
        </w:rPr>
        <w:t>otton, sugar cane, &amp; other crop growing’ captures the remaining export activity for ‘</w:t>
      </w:r>
      <w:r w:rsidR="008D0C2F" w:rsidRPr="008D0C2F">
        <w:rPr>
          <w:sz w:val="20"/>
          <w:szCs w:val="20"/>
        </w:rPr>
        <w:t xml:space="preserve">Other </w:t>
      </w:r>
      <w:r w:rsidR="00702FEA">
        <w:rPr>
          <w:sz w:val="20"/>
          <w:szCs w:val="20"/>
        </w:rPr>
        <w:t>Crop</w:t>
      </w:r>
      <w:r w:rsidR="008D0C2F" w:rsidRPr="008D0C2F">
        <w:rPr>
          <w:sz w:val="20"/>
          <w:szCs w:val="20"/>
        </w:rPr>
        <w:t xml:space="preserve"> Growing</w:t>
      </w:r>
      <w:r w:rsidR="0047500B" w:rsidRPr="0047500B">
        <w:rPr>
          <w:sz w:val="20"/>
          <w:szCs w:val="20"/>
        </w:rPr>
        <w:t>’</w:t>
      </w:r>
      <w:r w:rsidR="008D0C2F">
        <w:rPr>
          <w:sz w:val="20"/>
          <w:szCs w:val="20"/>
        </w:rPr>
        <w:t xml:space="preserve"> </w:t>
      </w:r>
      <w:r w:rsidR="00442B3C">
        <w:rPr>
          <w:sz w:val="20"/>
          <w:szCs w:val="20"/>
        </w:rPr>
        <w:t xml:space="preserve">and </w:t>
      </w:r>
      <w:r w:rsidR="0047500B" w:rsidRPr="0047500B">
        <w:rPr>
          <w:sz w:val="20"/>
          <w:szCs w:val="20"/>
        </w:rPr>
        <w:t>‘</w:t>
      </w:r>
      <w:r w:rsidR="00442B3C" w:rsidRPr="00442B3C">
        <w:rPr>
          <w:sz w:val="20"/>
          <w:szCs w:val="20"/>
        </w:rPr>
        <w:t>Cotton Ginning</w:t>
      </w:r>
      <w:r w:rsidR="0047500B" w:rsidRPr="0047500B">
        <w:rPr>
          <w:sz w:val="20"/>
          <w:szCs w:val="20"/>
        </w:rPr>
        <w:t>’ industry sectors (ABS ANZSIC codes 0</w:t>
      </w:r>
      <w:r w:rsidR="002165FC">
        <w:rPr>
          <w:sz w:val="20"/>
          <w:szCs w:val="20"/>
        </w:rPr>
        <w:t>15 and 0521</w:t>
      </w:r>
      <w:r w:rsidR="0047500B" w:rsidRPr="0047500B">
        <w:rPr>
          <w:sz w:val="20"/>
          <w:szCs w:val="20"/>
        </w:rPr>
        <w:t>, respectively).</w:t>
      </w:r>
    </w:p>
    <w:bookmarkEnd w:id="41"/>
    <w:p w14:paraId="4293C039" w14:textId="77777777" w:rsidR="00561300" w:rsidRPr="00513B23" w:rsidRDefault="00561300">
      <w:pPr>
        <w:spacing w:after="0"/>
        <w:rPr>
          <w:color w:val="FF0000"/>
          <w:sz w:val="24"/>
          <w:szCs w:val="24"/>
        </w:rPr>
      </w:pPr>
    </w:p>
    <w:p w14:paraId="6E61F5A4" w14:textId="2DAA6EE6" w:rsidR="00810E35" w:rsidRDefault="00810E35" w:rsidP="00DB0807">
      <w:pPr>
        <w:pStyle w:val="Heading3"/>
        <w:spacing w:before="0"/>
      </w:pPr>
      <w:bookmarkStart w:id="42" w:name="_Toc99370664"/>
      <w:r w:rsidRPr="00F673EC">
        <w:lastRenderedPageBreak/>
        <w:t>Cotton</w:t>
      </w:r>
      <w:bookmarkEnd w:id="42"/>
    </w:p>
    <w:p w14:paraId="7E6D3C27" w14:textId="77777777" w:rsidR="00DB0807" w:rsidRPr="00F673EC" w:rsidRDefault="00DB0807" w:rsidP="00DB0807"/>
    <w:p w14:paraId="3F198605" w14:textId="6F9BAF18" w:rsidR="00810E35" w:rsidRPr="00FF3A36" w:rsidRDefault="00810E35" w:rsidP="00810E35">
      <w:pPr>
        <w:pStyle w:val="ListParagraph"/>
        <w:numPr>
          <w:ilvl w:val="0"/>
          <w:numId w:val="1"/>
        </w:numPr>
        <w:spacing w:after="0"/>
        <w:ind w:left="567" w:hanging="567"/>
        <w:rPr>
          <w:sz w:val="24"/>
          <w:szCs w:val="24"/>
        </w:rPr>
      </w:pPr>
      <w:r w:rsidRPr="00FF3A36">
        <w:rPr>
          <w:sz w:val="24"/>
          <w:szCs w:val="24"/>
        </w:rPr>
        <w:t>The Australian cotton industry employs over 12,000 people.  Australia is one of the world’s largest cotton exporters and between 201</w:t>
      </w:r>
      <w:r w:rsidR="00863F2B">
        <w:rPr>
          <w:sz w:val="24"/>
          <w:szCs w:val="24"/>
        </w:rPr>
        <w:t>8</w:t>
      </w:r>
      <w:r w:rsidRPr="00FF3A36">
        <w:rPr>
          <w:sz w:val="24"/>
          <w:szCs w:val="24"/>
        </w:rPr>
        <w:t xml:space="preserve"> and 2020 exported an average of AU$1.</w:t>
      </w:r>
      <w:r w:rsidR="009A5C01">
        <w:rPr>
          <w:sz w:val="24"/>
          <w:szCs w:val="24"/>
        </w:rPr>
        <w:t>51</w:t>
      </w:r>
      <w:r w:rsidRPr="00FF3A36">
        <w:rPr>
          <w:sz w:val="24"/>
          <w:szCs w:val="24"/>
        </w:rPr>
        <w:t xml:space="preserve"> billion worth of cotton a year. The value of exports varies significantly from year to year in line with growing conditions. Significant importers of Australian cotton include China, Vietnam, Indonesia, Turkey, and Thailand.</w:t>
      </w:r>
      <w:r w:rsidRPr="00FF3A36">
        <w:rPr>
          <w:sz w:val="24"/>
          <w:szCs w:val="24"/>
          <w:vertAlign w:val="superscript"/>
        </w:rPr>
        <w:footnoteReference w:id="52"/>
      </w:r>
      <w:r w:rsidRPr="00FF3A36">
        <w:rPr>
          <w:sz w:val="24"/>
          <w:szCs w:val="24"/>
        </w:rPr>
        <w:t xml:space="preserve"> </w:t>
      </w:r>
    </w:p>
    <w:p w14:paraId="513747F4" w14:textId="77777777" w:rsidR="00810E35" w:rsidRPr="00FF3A36" w:rsidRDefault="00810E35" w:rsidP="00810E35">
      <w:pPr>
        <w:pStyle w:val="ListParagraph"/>
        <w:spacing w:after="0"/>
        <w:ind w:left="567"/>
        <w:rPr>
          <w:sz w:val="24"/>
          <w:szCs w:val="24"/>
        </w:rPr>
      </w:pPr>
    </w:p>
    <w:p w14:paraId="50D0492F" w14:textId="429912BF" w:rsidR="00810E35" w:rsidRPr="00FF3A36" w:rsidRDefault="00810E35" w:rsidP="00810E35">
      <w:pPr>
        <w:pStyle w:val="ListParagraph"/>
        <w:numPr>
          <w:ilvl w:val="0"/>
          <w:numId w:val="1"/>
        </w:numPr>
        <w:spacing w:after="0"/>
        <w:ind w:left="567" w:hanging="567"/>
        <w:rPr>
          <w:sz w:val="24"/>
          <w:szCs w:val="24"/>
        </w:rPr>
      </w:pPr>
      <w:r w:rsidRPr="00FF3A36">
        <w:rPr>
          <w:sz w:val="24"/>
          <w:szCs w:val="24"/>
        </w:rPr>
        <w:t>Cotton is a</w:t>
      </w:r>
      <w:r w:rsidR="00D10AF6">
        <w:rPr>
          <w:sz w:val="24"/>
          <w:szCs w:val="24"/>
        </w:rPr>
        <w:t>n</w:t>
      </w:r>
      <w:r w:rsidRPr="00FF3A36">
        <w:rPr>
          <w:sz w:val="24"/>
          <w:szCs w:val="24"/>
        </w:rPr>
        <w:t xml:space="preserve"> important commodity in the Indian economy. India has a large textile industry which is predominantly cotton-based.  India is also a significant producer and exporter of cotton. Cotton yarn and fabrics account for about 23 percent of India’s total textiles and apparel export.</w:t>
      </w:r>
      <w:r w:rsidRPr="00FF3A36">
        <w:rPr>
          <w:sz w:val="24"/>
          <w:szCs w:val="24"/>
          <w:vertAlign w:val="superscript"/>
        </w:rPr>
        <w:footnoteReference w:id="53"/>
      </w:r>
    </w:p>
    <w:p w14:paraId="61947F57" w14:textId="77777777" w:rsidR="00810E35" w:rsidRPr="00FF3A36" w:rsidRDefault="00810E35" w:rsidP="00810E35">
      <w:pPr>
        <w:pStyle w:val="ListParagraph"/>
        <w:spacing w:after="0"/>
        <w:ind w:left="567"/>
        <w:rPr>
          <w:sz w:val="24"/>
          <w:szCs w:val="24"/>
        </w:rPr>
      </w:pPr>
    </w:p>
    <w:p w14:paraId="18E622B2" w14:textId="03BEC298" w:rsidR="00810E35" w:rsidRDefault="00810E35" w:rsidP="00810E35">
      <w:pPr>
        <w:pStyle w:val="ListParagraph"/>
        <w:numPr>
          <w:ilvl w:val="0"/>
          <w:numId w:val="1"/>
        </w:numPr>
        <w:spacing w:after="0"/>
        <w:ind w:left="567" w:hanging="567"/>
        <w:rPr>
          <w:sz w:val="24"/>
          <w:szCs w:val="24"/>
        </w:rPr>
      </w:pPr>
      <w:r w:rsidRPr="00FF3A36">
        <w:rPr>
          <w:sz w:val="24"/>
          <w:szCs w:val="24"/>
        </w:rPr>
        <w:t xml:space="preserve">The proposed tariff rate quotas in the </w:t>
      </w:r>
      <w:r w:rsidR="00D10AF6">
        <w:rPr>
          <w:sz w:val="24"/>
          <w:szCs w:val="24"/>
        </w:rPr>
        <w:t>AI</w:t>
      </w:r>
      <w:r w:rsidRPr="00FF3A36">
        <w:rPr>
          <w:sz w:val="24"/>
          <w:szCs w:val="24"/>
        </w:rPr>
        <w:t xml:space="preserve"> ECTA will create opportunities for Australian cotton producers and exporters to benefit from the significant Indian market. Between 2018-2020, </w:t>
      </w:r>
      <w:r w:rsidR="0043544C">
        <w:rPr>
          <w:sz w:val="24"/>
          <w:szCs w:val="24"/>
        </w:rPr>
        <w:t xml:space="preserve">India imported </w:t>
      </w:r>
      <w:r w:rsidR="007855EA">
        <w:rPr>
          <w:sz w:val="24"/>
          <w:szCs w:val="24"/>
        </w:rPr>
        <w:t>around</w:t>
      </w:r>
      <w:r w:rsidRPr="00FF3A36">
        <w:rPr>
          <w:sz w:val="24"/>
          <w:szCs w:val="24"/>
        </w:rPr>
        <w:t xml:space="preserve"> AU$45 million worth (annual average) of </w:t>
      </w:r>
      <w:r w:rsidR="007855EA">
        <w:rPr>
          <w:sz w:val="24"/>
          <w:szCs w:val="24"/>
        </w:rPr>
        <w:t xml:space="preserve">Australian </w:t>
      </w:r>
      <w:r w:rsidRPr="00FF3A36">
        <w:rPr>
          <w:sz w:val="24"/>
          <w:szCs w:val="24"/>
        </w:rPr>
        <w:t xml:space="preserve">cotton, </w:t>
      </w:r>
      <w:r w:rsidR="007855EA">
        <w:rPr>
          <w:sz w:val="24"/>
          <w:szCs w:val="24"/>
        </w:rPr>
        <w:t xml:space="preserve">which accounted for some 4.2 per cent of </w:t>
      </w:r>
      <w:r w:rsidR="00975566">
        <w:rPr>
          <w:sz w:val="24"/>
          <w:szCs w:val="24"/>
        </w:rPr>
        <w:t xml:space="preserve">India’s AU$1.09 billion </w:t>
      </w:r>
      <w:r w:rsidR="00ED1A38">
        <w:rPr>
          <w:sz w:val="24"/>
          <w:szCs w:val="24"/>
        </w:rPr>
        <w:t>global cotton imports</w:t>
      </w:r>
      <w:r w:rsidRPr="00FF3A36">
        <w:rPr>
          <w:sz w:val="24"/>
          <w:szCs w:val="24"/>
        </w:rPr>
        <w:t>.</w:t>
      </w:r>
    </w:p>
    <w:p w14:paraId="7B83B209" w14:textId="77777777" w:rsidR="00ED1A38" w:rsidRPr="00FF3A36" w:rsidRDefault="00ED1A38" w:rsidP="006873C3">
      <w:pPr>
        <w:pStyle w:val="ListParagraph"/>
        <w:spacing w:after="0"/>
        <w:ind w:left="567"/>
        <w:rPr>
          <w:sz w:val="24"/>
          <w:szCs w:val="24"/>
        </w:rPr>
      </w:pPr>
    </w:p>
    <w:p w14:paraId="2BFBE0E9" w14:textId="6B30738C" w:rsidR="00BF28A7" w:rsidRPr="00A30498" w:rsidRDefault="00F151A6" w:rsidP="0001716D">
      <w:pPr>
        <w:pStyle w:val="Heading3"/>
        <w:spacing w:before="0"/>
        <w:rPr>
          <w:highlight w:val="yellow"/>
        </w:rPr>
      </w:pPr>
      <w:bookmarkStart w:id="43" w:name="_Toc99370665"/>
      <w:r>
        <w:t xml:space="preserve">Processed </w:t>
      </w:r>
      <w:r w:rsidR="00BF28A7">
        <w:t>Dairy</w:t>
      </w:r>
      <w:bookmarkEnd w:id="43"/>
    </w:p>
    <w:p w14:paraId="78F00576" w14:textId="77777777" w:rsidR="00BF28A7" w:rsidRDefault="00BF28A7">
      <w:pPr>
        <w:pStyle w:val="ListParagraph"/>
        <w:spacing w:after="0"/>
        <w:ind w:left="567"/>
        <w:rPr>
          <w:sz w:val="24"/>
          <w:szCs w:val="24"/>
        </w:rPr>
      </w:pPr>
    </w:p>
    <w:p w14:paraId="2B0E7043" w14:textId="3F3E214D" w:rsidR="00BF28A7" w:rsidRPr="00BF28A7" w:rsidRDefault="543832D4">
      <w:pPr>
        <w:pStyle w:val="ListParagraph"/>
        <w:numPr>
          <w:ilvl w:val="0"/>
          <w:numId w:val="1"/>
        </w:numPr>
        <w:spacing w:after="0"/>
        <w:ind w:left="567" w:hanging="567"/>
        <w:rPr>
          <w:sz w:val="24"/>
          <w:szCs w:val="24"/>
        </w:rPr>
      </w:pPr>
      <w:r w:rsidRPr="543832D4">
        <w:rPr>
          <w:sz w:val="24"/>
          <w:szCs w:val="24"/>
        </w:rPr>
        <w:t xml:space="preserve">Tariffs </w:t>
      </w:r>
      <w:r w:rsidR="00720952">
        <w:rPr>
          <w:sz w:val="24"/>
          <w:szCs w:val="24"/>
        </w:rPr>
        <w:t xml:space="preserve">of 50 per cent </w:t>
      </w:r>
      <w:r w:rsidRPr="543832D4">
        <w:rPr>
          <w:sz w:val="24"/>
          <w:szCs w:val="24"/>
        </w:rPr>
        <w:t xml:space="preserve">on Australian milk powder for infant use </w:t>
      </w:r>
      <w:r w:rsidR="007C1FF5">
        <w:rPr>
          <w:sz w:val="24"/>
          <w:szCs w:val="24"/>
        </w:rPr>
        <w:t>and</w:t>
      </w:r>
      <w:r w:rsidR="00217C26">
        <w:rPr>
          <w:sz w:val="24"/>
          <w:szCs w:val="24"/>
        </w:rPr>
        <w:t xml:space="preserve"> 40 per cent</w:t>
      </w:r>
      <w:r w:rsidR="007C1FF5">
        <w:rPr>
          <w:sz w:val="24"/>
          <w:szCs w:val="24"/>
        </w:rPr>
        <w:t xml:space="preserve"> on protein concentrates </w:t>
      </w:r>
      <w:r w:rsidRPr="543832D4">
        <w:rPr>
          <w:sz w:val="24"/>
          <w:szCs w:val="24"/>
        </w:rPr>
        <w:t xml:space="preserve">will be removed after seven years following implementation. </w:t>
      </w:r>
    </w:p>
    <w:p w14:paraId="3777D653" w14:textId="6B2C44E8" w:rsidR="543832D4" w:rsidRDefault="543832D4">
      <w:pPr>
        <w:spacing w:after="0"/>
        <w:rPr>
          <w:sz w:val="24"/>
          <w:szCs w:val="24"/>
        </w:rPr>
      </w:pPr>
    </w:p>
    <w:p w14:paraId="504D4A3D" w14:textId="0B92B9F4" w:rsidR="543832D4" w:rsidRDefault="543832D4">
      <w:pPr>
        <w:pStyle w:val="ListParagraph"/>
        <w:numPr>
          <w:ilvl w:val="0"/>
          <w:numId w:val="1"/>
        </w:numPr>
        <w:spacing w:after="0"/>
        <w:ind w:left="567" w:hanging="567"/>
        <w:rPr>
          <w:sz w:val="24"/>
          <w:szCs w:val="24"/>
        </w:rPr>
      </w:pPr>
      <w:r w:rsidRPr="543832D4">
        <w:rPr>
          <w:sz w:val="24"/>
          <w:szCs w:val="24"/>
        </w:rPr>
        <w:t xml:space="preserve">In 2018, Australia’s export of infant formula products and toddler milk drinks (ingredient and retailed products) was valued at over $785 million, which comprised 22 per cent of Australia’s total dairy exports. This represented an increase of over 57 per cent from 2017, with the then top five export markets being China, Hong Kong, Taiwan, </w:t>
      </w:r>
      <w:proofErr w:type="gramStart"/>
      <w:r w:rsidRPr="543832D4">
        <w:rPr>
          <w:sz w:val="24"/>
          <w:szCs w:val="24"/>
        </w:rPr>
        <w:t>Vietnam</w:t>
      </w:r>
      <w:proofErr w:type="gramEnd"/>
      <w:r w:rsidRPr="543832D4">
        <w:rPr>
          <w:sz w:val="24"/>
          <w:szCs w:val="24"/>
        </w:rPr>
        <w:t xml:space="preserve"> and Korea.</w:t>
      </w:r>
    </w:p>
    <w:p w14:paraId="0240D5A7" w14:textId="7829C3FF" w:rsidR="543832D4" w:rsidRDefault="543832D4">
      <w:pPr>
        <w:spacing w:after="0"/>
        <w:rPr>
          <w:sz w:val="24"/>
          <w:szCs w:val="24"/>
        </w:rPr>
      </w:pPr>
    </w:p>
    <w:p w14:paraId="38AF4911" w14:textId="27CD45C4" w:rsidR="543832D4" w:rsidRDefault="543832D4">
      <w:pPr>
        <w:pStyle w:val="ListParagraph"/>
        <w:numPr>
          <w:ilvl w:val="0"/>
          <w:numId w:val="1"/>
        </w:numPr>
        <w:spacing w:after="0"/>
        <w:ind w:left="567" w:hanging="567"/>
        <w:rPr>
          <w:sz w:val="24"/>
          <w:szCs w:val="24"/>
        </w:rPr>
      </w:pPr>
      <w:r w:rsidRPr="543832D4">
        <w:rPr>
          <w:sz w:val="24"/>
          <w:szCs w:val="24"/>
        </w:rPr>
        <w:t xml:space="preserve">While Australia does not currently export milk power for infant use </w:t>
      </w:r>
      <w:r w:rsidR="00AE6AF0">
        <w:rPr>
          <w:sz w:val="24"/>
          <w:szCs w:val="24"/>
        </w:rPr>
        <w:t>and only a small amount of protein concentrates</w:t>
      </w:r>
      <w:r w:rsidRPr="543832D4">
        <w:rPr>
          <w:sz w:val="24"/>
          <w:szCs w:val="24"/>
        </w:rPr>
        <w:t xml:space="preserve">, the Indian market represents a potential growth market, with India importing </w:t>
      </w:r>
      <w:r w:rsidR="00693135">
        <w:rPr>
          <w:sz w:val="24"/>
          <w:szCs w:val="24"/>
        </w:rPr>
        <w:t>AU</w:t>
      </w:r>
      <w:r w:rsidRPr="543832D4">
        <w:rPr>
          <w:sz w:val="24"/>
          <w:szCs w:val="24"/>
        </w:rPr>
        <w:t>$34 million</w:t>
      </w:r>
      <w:r w:rsidR="00693135">
        <w:rPr>
          <w:sz w:val="24"/>
          <w:szCs w:val="24"/>
        </w:rPr>
        <w:t>, on average,</w:t>
      </w:r>
      <w:r w:rsidRPr="543832D4">
        <w:rPr>
          <w:sz w:val="24"/>
          <w:szCs w:val="24"/>
        </w:rPr>
        <w:t xml:space="preserve"> of milk power for infant use</w:t>
      </w:r>
      <w:r w:rsidR="00693135">
        <w:rPr>
          <w:sz w:val="24"/>
          <w:szCs w:val="24"/>
        </w:rPr>
        <w:t xml:space="preserve"> for the period 2018-20</w:t>
      </w:r>
      <w:r w:rsidRPr="543832D4">
        <w:rPr>
          <w:sz w:val="24"/>
          <w:szCs w:val="24"/>
        </w:rPr>
        <w:t>. Urbanisation has been an important determinant of the quantity and type of food demanded by final consumers and with a growing urban population in India, demand for dairy products, including infant formula has been and will continue to increase.</w:t>
      </w:r>
      <w:r w:rsidRPr="543832D4">
        <w:rPr>
          <w:rStyle w:val="FootnoteReference"/>
          <w:sz w:val="24"/>
          <w:szCs w:val="24"/>
        </w:rPr>
        <w:footnoteReference w:id="54"/>
      </w:r>
      <w:r w:rsidRPr="543832D4">
        <w:rPr>
          <w:sz w:val="24"/>
          <w:szCs w:val="24"/>
        </w:rPr>
        <w:t xml:space="preserve"> Supporting Australia’s infant milk powder producers to expand their exporting opportunities through the proposed </w:t>
      </w:r>
      <w:r w:rsidR="00D10AF6">
        <w:rPr>
          <w:sz w:val="24"/>
          <w:szCs w:val="24"/>
        </w:rPr>
        <w:t>AI</w:t>
      </w:r>
      <w:r w:rsidR="00217C26">
        <w:rPr>
          <w:sz w:val="24"/>
          <w:szCs w:val="24"/>
        </w:rPr>
        <w:t xml:space="preserve"> ECTA</w:t>
      </w:r>
      <w:r w:rsidRPr="543832D4">
        <w:rPr>
          <w:sz w:val="24"/>
          <w:szCs w:val="24"/>
        </w:rPr>
        <w:t xml:space="preserve"> with India will help them to tap into a large and growing market. </w:t>
      </w:r>
    </w:p>
    <w:p w14:paraId="7A293D3F" w14:textId="0A57E591" w:rsidR="00F151A6" w:rsidRDefault="00F151A6" w:rsidP="00F03F07"/>
    <w:p w14:paraId="690EA18C" w14:textId="734D2F6E" w:rsidR="00DB0807" w:rsidRDefault="00DB0807" w:rsidP="00F03F07"/>
    <w:p w14:paraId="73217C34" w14:textId="77777777" w:rsidR="00DB0807" w:rsidRPr="00DB0807" w:rsidRDefault="00DB0807" w:rsidP="00F03F07"/>
    <w:p w14:paraId="7C6D48B2" w14:textId="77777777" w:rsidR="00DB0807" w:rsidRDefault="00DB0807" w:rsidP="00F03F07"/>
    <w:p w14:paraId="0C229F6A" w14:textId="08FA3B82" w:rsidR="00F25478" w:rsidRPr="00DB0807" w:rsidRDefault="00561300" w:rsidP="00F673EC">
      <w:pPr>
        <w:pStyle w:val="Heading3"/>
        <w:spacing w:before="0"/>
      </w:pPr>
      <w:bookmarkStart w:id="44" w:name="_Toc99370666"/>
      <w:r w:rsidRPr="00A30498">
        <w:t>Processed foods</w:t>
      </w:r>
      <w:bookmarkEnd w:id="44"/>
      <w:r w:rsidRPr="00A30498">
        <w:t xml:space="preserve"> </w:t>
      </w:r>
    </w:p>
    <w:p w14:paraId="3A35EB76" w14:textId="77777777" w:rsidR="00DB0807" w:rsidRPr="00F673EC" w:rsidRDefault="00DB0807" w:rsidP="00F673EC">
      <w:pPr>
        <w:spacing w:after="0"/>
        <w:rPr>
          <w:sz w:val="24"/>
          <w:szCs w:val="24"/>
        </w:rPr>
      </w:pPr>
    </w:p>
    <w:p w14:paraId="0F89CA93" w14:textId="7C03D601" w:rsidR="00F91D5C" w:rsidRDefault="00561300">
      <w:pPr>
        <w:pStyle w:val="ListParagraph"/>
        <w:numPr>
          <w:ilvl w:val="0"/>
          <w:numId w:val="1"/>
        </w:numPr>
        <w:spacing w:after="0"/>
        <w:ind w:left="567" w:hanging="567"/>
        <w:rPr>
          <w:sz w:val="24"/>
          <w:szCs w:val="24"/>
        </w:rPr>
      </w:pPr>
      <w:r w:rsidRPr="543832D4">
        <w:rPr>
          <w:sz w:val="24"/>
          <w:szCs w:val="24"/>
        </w:rPr>
        <w:t xml:space="preserve">Several processed food exports will have tariff rates reduced to zero in seven years, from a current effective rate of 30 per cent, including pasta, some roasted corn products, bulgur wheat and crispbread. </w:t>
      </w:r>
    </w:p>
    <w:p w14:paraId="1D7948BA" w14:textId="77777777" w:rsidR="0099731F" w:rsidRPr="0099731F" w:rsidRDefault="0099731F">
      <w:pPr>
        <w:pStyle w:val="ListParagraph"/>
        <w:spacing w:after="0"/>
        <w:ind w:left="567"/>
        <w:rPr>
          <w:sz w:val="24"/>
          <w:szCs w:val="24"/>
        </w:rPr>
      </w:pPr>
    </w:p>
    <w:p w14:paraId="26710A2B" w14:textId="49ACE8A5" w:rsidR="00F91D5C" w:rsidRPr="00F91D5C" w:rsidRDefault="00561300">
      <w:pPr>
        <w:pStyle w:val="ListParagraph"/>
        <w:numPr>
          <w:ilvl w:val="0"/>
          <w:numId w:val="1"/>
        </w:numPr>
        <w:spacing w:after="0"/>
        <w:ind w:left="567" w:hanging="567"/>
        <w:rPr>
          <w:sz w:val="24"/>
          <w:szCs w:val="24"/>
        </w:rPr>
      </w:pPr>
      <w:r w:rsidRPr="00F91D5C">
        <w:rPr>
          <w:rFonts w:eastAsia="Times New Roman"/>
          <w:sz w:val="24"/>
          <w:szCs w:val="24"/>
        </w:rPr>
        <w:t xml:space="preserve">Removal of these tariffs will assist in improving the competitiveness and export potential for Australia’s processed food companies. This provides options for Australia’s processed food exporters and </w:t>
      </w:r>
      <w:bookmarkStart w:id="45" w:name="_Hlk83297492"/>
      <w:r w:rsidRPr="00F91D5C">
        <w:rPr>
          <w:rFonts w:eastAsia="Times New Roman"/>
          <w:sz w:val="24"/>
          <w:szCs w:val="24"/>
        </w:rPr>
        <w:t xml:space="preserve">reduces the concentration risk of supplying to a single market or region. </w:t>
      </w:r>
      <w:bookmarkEnd w:id="45"/>
      <w:r w:rsidRPr="00F91D5C">
        <w:rPr>
          <w:rFonts w:eastAsia="Times New Roman"/>
          <w:sz w:val="24"/>
          <w:szCs w:val="24"/>
        </w:rPr>
        <w:t>This has been reported as an issue in the past including in a Parliament of Australia publication entitled “The Future of the Australian Processed Food sector”</w:t>
      </w:r>
      <w:r w:rsidR="00215D89">
        <w:rPr>
          <w:rFonts w:eastAsia="Times New Roman"/>
          <w:sz w:val="24"/>
          <w:szCs w:val="24"/>
        </w:rPr>
        <w:t>.</w:t>
      </w:r>
      <w:r w:rsidRPr="007813E7">
        <w:rPr>
          <w:rStyle w:val="FootnoteReference"/>
          <w:rFonts w:eastAsia="Times New Roman"/>
          <w:sz w:val="24"/>
          <w:szCs w:val="24"/>
        </w:rPr>
        <w:footnoteReference w:id="55"/>
      </w:r>
      <w:r w:rsidRPr="00F91D5C">
        <w:rPr>
          <w:rFonts w:eastAsia="Times New Roman"/>
          <w:sz w:val="24"/>
          <w:szCs w:val="24"/>
        </w:rPr>
        <w:t xml:space="preserve"> This publication suggests that </w:t>
      </w:r>
      <w:proofErr w:type="gramStart"/>
      <w:r w:rsidRPr="00F91D5C">
        <w:rPr>
          <w:rFonts w:eastAsia="Times New Roman"/>
          <w:sz w:val="24"/>
          <w:szCs w:val="24"/>
        </w:rPr>
        <w:t>in order for</w:t>
      </w:r>
      <w:proofErr w:type="gramEnd"/>
      <w:r w:rsidRPr="00F91D5C">
        <w:rPr>
          <w:rFonts w:eastAsia="Times New Roman"/>
          <w:sz w:val="24"/>
          <w:szCs w:val="24"/>
        </w:rPr>
        <w:t xml:space="preserve"> the sector to flourish, it must become more internationally competitive in a variety of markets. </w:t>
      </w:r>
    </w:p>
    <w:p w14:paraId="6889044B" w14:textId="77777777" w:rsidR="0099731F" w:rsidRPr="0099731F" w:rsidRDefault="0099731F">
      <w:pPr>
        <w:pStyle w:val="ListParagraph"/>
        <w:spacing w:after="0"/>
        <w:ind w:left="567"/>
        <w:rPr>
          <w:sz w:val="24"/>
          <w:szCs w:val="24"/>
        </w:rPr>
      </w:pPr>
    </w:p>
    <w:p w14:paraId="6FC8AB08" w14:textId="02C9B2C3" w:rsidR="00561300" w:rsidRPr="0001716D" w:rsidRDefault="00561300">
      <w:pPr>
        <w:pStyle w:val="ListParagraph"/>
        <w:numPr>
          <w:ilvl w:val="0"/>
          <w:numId w:val="1"/>
        </w:numPr>
        <w:spacing w:after="0"/>
        <w:ind w:left="567" w:hanging="567"/>
        <w:rPr>
          <w:sz w:val="24"/>
          <w:szCs w:val="24"/>
        </w:rPr>
      </w:pPr>
      <w:r w:rsidRPr="00F91D5C">
        <w:rPr>
          <w:rFonts w:eastAsia="Times New Roman"/>
          <w:sz w:val="24"/>
          <w:szCs w:val="24"/>
        </w:rPr>
        <w:t xml:space="preserve">The proposed </w:t>
      </w:r>
      <w:r w:rsidR="00D10AF6">
        <w:rPr>
          <w:rFonts w:eastAsia="Times New Roman"/>
          <w:sz w:val="24"/>
          <w:szCs w:val="24"/>
        </w:rPr>
        <w:t>AI</w:t>
      </w:r>
      <w:r w:rsidR="00217C26">
        <w:rPr>
          <w:rFonts w:eastAsia="Times New Roman"/>
          <w:sz w:val="24"/>
          <w:szCs w:val="24"/>
        </w:rPr>
        <w:t xml:space="preserve"> ECTA</w:t>
      </w:r>
      <w:r w:rsidRPr="00F91D5C">
        <w:rPr>
          <w:rFonts w:eastAsia="Times New Roman"/>
          <w:sz w:val="24"/>
          <w:szCs w:val="24"/>
        </w:rPr>
        <w:t xml:space="preserve"> outcome of removing tariffs on processed foods relevant to Australia, contributes to fulfilling that recommendation. It is consistent with recommendations by a Senate Inquiry into Australia’s food processing sector including resolution of factors that inhibit </w:t>
      </w:r>
      <w:r w:rsidRPr="00F91D5C">
        <w:rPr>
          <w:sz w:val="24"/>
          <w:szCs w:val="24"/>
        </w:rPr>
        <w:t xml:space="preserve">export market access, </w:t>
      </w:r>
      <w:proofErr w:type="gramStart"/>
      <w:r w:rsidRPr="00F91D5C">
        <w:rPr>
          <w:sz w:val="24"/>
          <w:szCs w:val="24"/>
        </w:rPr>
        <w:t>growth</w:t>
      </w:r>
      <w:proofErr w:type="gramEnd"/>
      <w:r w:rsidRPr="00F91D5C">
        <w:rPr>
          <w:sz w:val="24"/>
          <w:szCs w:val="24"/>
        </w:rPr>
        <w:t xml:space="preserve"> and development and that the government continue to lobby for the reduction of tariff, non-tariff barriers and subsidies in export destinations.</w:t>
      </w:r>
      <w:r w:rsidR="00215D89" w:rsidRPr="00215D89">
        <w:rPr>
          <w:rStyle w:val="FootnoteReference"/>
          <w:rFonts w:eastAsia="Times New Roman"/>
          <w:sz w:val="24"/>
          <w:szCs w:val="24"/>
        </w:rPr>
        <w:t xml:space="preserve"> </w:t>
      </w:r>
      <w:r w:rsidR="00215D89" w:rsidRPr="00FF01EE">
        <w:rPr>
          <w:rStyle w:val="FootnoteReference"/>
          <w:rFonts w:eastAsia="Times New Roman"/>
          <w:sz w:val="24"/>
          <w:szCs w:val="24"/>
        </w:rPr>
        <w:footnoteReference w:id="56"/>
      </w:r>
    </w:p>
    <w:p w14:paraId="5AC9B7A6" w14:textId="77777777" w:rsidR="00587023" w:rsidRDefault="00587023" w:rsidP="00F03F07"/>
    <w:p w14:paraId="49548940" w14:textId="3F75997F" w:rsidR="00EB5EF4" w:rsidRPr="00AF6A0F" w:rsidRDefault="00EB5EF4" w:rsidP="00EB5EF4">
      <w:pPr>
        <w:pStyle w:val="Heading2"/>
        <w:spacing w:before="0"/>
      </w:pPr>
      <w:bookmarkStart w:id="46" w:name="_Toc99370667"/>
      <w:r w:rsidRPr="00AF6A0F">
        <w:t xml:space="preserve">Key </w:t>
      </w:r>
      <w:r w:rsidR="00D10AF6">
        <w:t xml:space="preserve">goods </w:t>
      </w:r>
      <w:r w:rsidRPr="00AF6A0F">
        <w:t>market access outcomes for India</w:t>
      </w:r>
      <w:bookmarkEnd w:id="46"/>
    </w:p>
    <w:p w14:paraId="4B224021" w14:textId="77777777" w:rsidR="00EB5EF4" w:rsidRDefault="00EB5EF4" w:rsidP="00EB5EF4">
      <w:pPr>
        <w:pStyle w:val="ListParagraph"/>
        <w:spacing w:after="0"/>
        <w:ind w:left="567"/>
        <w:rPr>
          <w:sz w:val="24"/>
          <w:szCs w:val="24"/>
        </w:rPr>
      </w:pPr>
    </w:p>
    <w:p w14:paraId="7C0310B2" w14:textId="7E8369E2" w:rsidR="00EB5EF4" w:rsidRDefault="00EB5EF4" w:rsidP="00EB5EF4">
      <w:pPr>
        <w:pStyle w:val="ListParagraph"/>
        <w:numPr>
          <w:ilvl w:val="0"/>
          <w:numId w:val="1"/>
        </w:numPr>
        <w:spacing w:after="0"/>
        <w:ind w:left="567" w:hanging="567"/>
        <w:rPr>
          <w:sz w:val="24"/>
          <w:szCs w:val="24"/>
        </w:rPr>
      </w:pPr>
      <w:r w:rsidRPr="543832D4">
        <w:rPr>
          <w:sz w:val="24"/>
          <w:szCs w:val="24"/>
        </w:rPr>
        <w:t xml:space="preserve">Australia’s merchandise imports from India averaged </w:t>
      </w:r>
      <w:r>
        <w:rPr>
          <w:sz w:val="24"/>
          <w:szCs w:val="24"/>
        </w:rPr>
        <w:t>AU</w:t>
      </w:r>
      <w:r w:rsidRPr="543832D4">
        <w:rPr>
          <w:sz w:val="24"/>
          <w:szCs w:val="24"/>
        </w:rPr>
        <w:t>$5</w:t>
      </w:r>
      <w:r w:rsidR="004208D1">
        <w:rPr>
          <w:sz w:val="24"/>
          <w:szCs w:val="24"/>
        </w:rPr>
        <w:t>.15</w:t>
      </w:r>
      <w:r w:rsidRPr="543832D4">
        <w:rPr>
          <w:sz w:val="24"/>
          <w:szCs w:val="24"/>
        </w:rPr>
        <w:t xml:space="preserve"> billion a year over 2018-2020, with around half of this subject to import duties not exceeding 5 per cent. </w:t>
      </w:r>
    </w:p>
    <w:p w14:paraId="1CA46D49" w14:textId="77777777" w:rsidR="00EB5EF4" w:rsidRDefault="00EB5EF4" w:rsidP="00EB5EF4">
      <w:pPr>
        <w:pStyle w:val="ListParagraph"/>
        <w:spacing w:after="0"/>
        <w:ind w:left="567"/>
        <w:rPr>
          <w:sz w:val="24"/>
          <w:szCs w:val="24"/>
        </w:rPr>
      </w:pPr>
    </w:p>
    <w:p w14:paraId="6B013D4B" w14:textId="77777777" w:rsidR="00EB5EF4" w:rsidRPr="00820651" w:rsidRDefault="00EB5EF4" w:rsidP="00EB5EF4">
      <w:pPr>
        <w:pStyle w:val="ListParagraph"/>
        <w:numPr>
          <w:ilvl w:val="0"/>
          <w:numId w:val="1"/>
        </w:numPr>
        <w:spacing w:after="0"/>
        <w:ind w:left="567" w:hanging="567"/>
        <w:rPr>
          <w:sz w:val="24"/>
          <w:szCs w:val="24"/>
        </w:rPr>
      </w:pPr>
      <w:r w:rsidRPr="543832D4">
        <w:rPr>
          <w:sz w:val="24"/>
          <w:szCs w:val="24"/>
        </w:rPr>
        <w:t xml:space="preserve">The most significant </w:t>
      </w:r>
      <w:r>
        <w:rPr>
          <w:sz w:val="24"/>
          <w:szCs w:val="24"/>
        </w:rPr>
        <w:t xml:space="preserve">Australian </w:t>
      </w:r>
      <w:r w:rsidRPr="543832D4">
        <w:rPr>
          <w:sz w:val="24"/>
          <w:szCs w:val="24"/>
        </w:rPr>
        <w:t xml:space="preserve">merchandise imports </w:t>
      </w:r>
      <w:r>
        <w:rPr>
          <w:sz w:val="24"/>
          <w:szCs w:val="24"/>
        </w:rPr>
        <w:t xml:space="preserve">from India </w:t>
      </w:r>
      <w:r w:rsidRPr="543832D4">
        <w:rPr>
          <w:sz w:val="24"/>
          <w:szCs w:val="24"/>
        </w:rPr>
        <w:t xml:space="preserve">included (average annual value over the 2018-2020 period): </w:t>
      </w:r>
    </w:p>
    <w:p w14:paraId="299953CB" w14:textId="77777777" w:rsidR="00EB5EF4" w:rsidRDefault="00EB5EF4" w:rsidP="00EB5EF4">
      <w:pPr>
        <w:pStyle w:val="ListParagraph"/>
        <w:numPr>
          <w:ilvl w:val="0"/>
          <w:numId w:val="10"/>
        </w:numPr>
        <w:spacing w:after="0"/>
        <w:rPr>
          <w:sz w:val="24"/>
          <w:szCs w:val="24"/>
        </w:rPr>
      </w:pPr>
      <w:r w:rsidRPr="41AAC19D">
        <w:rPr>
          <w:sz w:val="24"/>
          <w:szCs w:val="24"/>
        </w:rPr>
        <w:t>Petroleum oils and oils from bit</w:t>
      </w:r>
      <w:r>
        <w:rPr>
          <w:sz w:val="24"/>
          <w:szCs w:val="24"/>
        </w:rPr>
        <w:t>u</w:t>
      </w:r>
      <w:r w:rsidRPr="41AAC19D">
        <w:rPr>
          <w:sz w:val="24"/>
          <w:szCs w:val="24"/>
        </w:rPr>
        <w:t>minous minerals (</w:t>
      </w:r>
      <w:r>
        <w:rPr>
          <w:sz w:val="24"/>
          <w:szCs w:val="24"/>
        </w:rPr>
        <w:t>AU</w:t>
      </w:r>
      <w:r w:rsidRPr="41AAC19D">
        <w:rPr>
          <w:sz w:val="24"/>
          <w:szCs w:val="24"/>
        </w:rPr>
        <w:t>$974 million)</w:t>
      </w:r>
      <w:r>
        <w:rPr>
          <w:sz w:val="24"/>
          <w:szCs w:val="24"/>
        </w:rPr>
        <w:t>,</w:t>
      </w:r>
    </w:p>
    <w:p w14:paraId="7A305BCC" w14:textId="77777777" w:rsidR="00EB5EF4" w:rsidRDefault="00EB5EF4" w:rsidP="00EB5EF4">
      <w:pPr>
        <w:pStyle w:val="ListParagraph"/>
        <w:numPr>
          <w:ilvl w:val="0"/>
          <w:numId w:val="10"/>
        </w:numPr>
        <w:spacing w:after="0"/>
        <w:rPr>
          <w:sz w:val="24"/>
          <w:szCs w:val="24"/>
        </w:rPr>
      </w:pPr>
      <w:r w:rsidRPr="41AAC19D">
        <w:rPr>
          <w:sz w:val="24"/>
          <w:szCs w:val="24"/>
        </w:rPr>
        <w:t>Medicaments (</w:t>
      </w:r>
      <w:r>
        <w:rPr>
          <w:sz w:val="24"/>
          <w:szCs w:val="24"/>
        </w:rPr>
        <w:t>AU</w:t>
      </w:r>
      <w:r w:rsidRPr="41AAC19D">
        <w:rPr>
          <w:sz w:val="24"/>
          <w:szCs w:val="24"/>
        </w:rPr>
        <w:t>$426 million)</w:t>
      </w:r>
      <w:r>
        <w:rPr>
          <w:sz w:val="24"/>
          <w:szCs w:val="24"/>
        </w:rPr>
        <w:t>,</w:t>
      </w:r>
    </w:p>
    <w:p w14:paraId="2C3EA522" w14:textId="77777777" w:rsidR="00EB5EF4" w:rsidRDefault="00EB5EF4" w:rsidP="00EB5EF4">
      <w:pPr>
        <w:pStyle w:val="ListParagraph"/>
        <w:numPr>
          <w:ilvl w:val="0"/>
          <w:numId w:val="10"/>
        </w:numPr>
        <w:spacing w:after="0"/>
        <w:rPr>
          <w:sz w:val="24"/>
          <w:szCs w:val="24"/>
        </w:rPr>
      </w:pPr>
      <w:r w:rsidRPr="67EEE9FF">
        <w:rPr>
          <w:sz w:val="24"/>
          <w:szCs w:val="24"/>
        </w:rPr>
        <w:t>Diamonds (</w:t>
      </w:r>
      <w:r>
        <w:rPr>
          <w:sz w:val="24"/>
          <w:szCs w:val="24"/>
        </w:rPr>
        <w:t>AU</w:t>
      </w:r>
      <w:r w:rsidRPr="67EEE9FF">
        <w:rPr>
          <w:sz w:val="24"/>
          <w:szCs w:val="24"/>
        </w:rPr>
        <w:t>$258 million</w:t>
      </w:r>
      <w:r w:rsidRPr="1B01EE2A">
        <w:rPr>
          <w:sz w:val="24"/>
          <w:szCs w:val="24"/>
        </w:rPr>
        <w:t>)</w:t>
      </w:r>
      <w:r>
        <w:rPr>
          <w:sz w:val="24"/>
          <w:szCs w:val="24"/>
        </w:rPr>
        <w:t>,</w:t>
      </w:r>
    </w:p>
    <w:p w14:paraId="7A51E549" w14:textId="77777777" w:rsidR="00EB5EF4" w:rsidRDefault="00EB5EF4" w:rsidP="00EB5EF4">
      <w:pPr>
        <w:pStyle w:val="ListParagraph"/>
        <w:numPr>
          <w:ilvl w:val="0"/>
          <w:numId w:val="10"/>
        </w:numPr>
        <w:spacing w:after="0"/>
        <w:rPr>
          <w:sz w:val="24"/>
          <w:szCs w:val="24"/>
        </w:rPr>
      </w:pPr>
      <w:r w:rsidRPr="1B01EE2A">
        <w:rPr>
          <w:sz w:val="24"/>
          <w:szCs w:val="24"/>
        </w:rPr>
        <w:t xml:space="preserve">Articles of </w:t>
      </w:r>
      <w:r w:rsidRPr="62648D7C">
        <w:rPr>
          <w:sz w:val="24"/>
          <w:szCs w:val="24"/>
        </w:rPr>
        <w:t>jewellery</w:t>
      </w:r>
      <w:r w:rsidRPr="1B01EE2A">
        <w:rPr>
          <w:sz w:val="24"/>
          <w:szCs w:val="24"/>
        </w:rPr>
        <w:t xml:space="preserve"> and parts thereof (</w:t>
      </w:r>
      <w:r>
        <w:rPr>
          <w:sz w:val="24"/>
          <w:szCs w:val="24"/>
        </w:rPr>
        <w:t>AU</w:t>
      </w:r>
      <w:r w:rsidRPr="1B01EE2A">
        <w:rPr>
          <w:sz w:val="24"/>
          <w:szCs w:val="24"/>
        </w:rPr>
        <w:t>$187 million)</w:t>
      </w:r>
      <w:r>
        <w:rPr>
          <w:sz w:val="24"/>
          <w:szCs w:val="24"/>
        </w:rPr>
        <w:t>,</w:t>
      </w:r>
    </w:p>
    <w:p w14:paraId="32D61CDA" w14:textId="77777777" w:rsidR="00EB5EF4" w:rsidRDefault="00EB5EF4" w:rsidP="00EB5EF4">
      <w:pPr>
        <w:pStyle w:val="ListParagraph"/>
        <w:numPr>
          <w:ilvl w:val="0"/>
          <w:numId w:val="10"/>
        </w:numPr>
        <w:spacing w:after="0"/>
        <w:rPr>
          <w:sz w:val="24"/>
          <w:szCs w:val="24"/>
        </w:rPr>
      </w:pPr>
      <w:r w:rsidRPr="1B01EE2A">
        <w:rPr>
          <w:sz w:val="24"/>
          <w:szCs w:val="24"/>
        </w:rPr>
        <w:t xml:space="preserve">Railway or tramway passenger coaches, luggage vans, post office coaches etc </w:t>
      </w:r>
      <w:r>
        <w:rPr>
          <w:sz w:val="24"/>
          <w:szCs w:val="24"/>
        </w:rPr>
        <w:br/>
      </w:r>
      <w:r w:rsidRPr="1B01EE2A">
        <w:rPr>
          <w:sz w:val="24"/>
          <w:szCs w:val="24"/>
        </w:rPr>
        <w:t>(</w:t>
      </w:r>
      <w:r>
        <w:rPr>
          <w:sz w:val="24"/>
          <w:szCs w:val="24"/>
        </w:rPr>
        <w:t>AU</w:t>
      </w:r>
      <w:r w:rsidRPr="1B01EE2A">
        <w:rPr>
          <w:sz w:val="24"/>
          <w:szCs w:val="24"/>
        </w:rPr>
        <w:t>$178 million)</w:t>
      </w:r>
      <w:r>
        <w:rPr>
          <w:sz w:val="24"/>
          <w:szCs w:val="24"/>
        </w:rPr>
        <w:t>,</w:t>
      </w:r>
    </w:p>
    <w:p w14:paraId="5B1DB06F" w14:textId="77777777" w:rsidR="00EB5EF4" w:rsidRDefault="00EB5EF4" w:rsidP="00EB5EF4">
      <w:pPr>
        <w:pStyle w:val="ListParagraph"/>
        <w:numPr>
          <w:ilvl w:val="0"/>
          <w:numId w:val="10"/>
        </w:numPr>
        <w:spacing w:after="0"/>
        <w:rPr>
          <w:sz w:val="24"/>
          <w:szCs w:val="24"/>
        </w:rPr>
      </w:pPr>
      <w:r w:rsidRPr="4072D204">
        <w:rPr>
          <w:sz w:val="24"/>
          <w:szCs w:val="24"/>
        </w:rPr>
        <w:t>Be</w:t>
      </w:r>
      <w:r>
        <w:rPr>
          <w:sz w:val="24"/>
          <w:szCs w:val="24"/>
        </w:rPr>
        <w:t>d</w:t>
      </w:r>
      <w:r w:rsidRPr="4072D204">
        <w:rPr>
          <w:sz w:val="24"/>
          <w:szCs w:val="24"/>
        </w:rPr>
        <w:t xml:space="preserve"> linen, table linen, toilet linen and kitchen linen (</w:t>
      </w:r>
      <w:r>
        <w:rPr>
          <w:sz w:val="24"/>
          <w:szCs w:val="24"/>
        </w:rPr>
        <w:t>AU</w:t>
      </w:r>
      <w:r w:rsidRPr="4072D204">
        <w:rPr>
          <w:sz w:val="24"/>
          <w:szCs w:val="24"/>
        </w:rPr>
        <w:t>$108 million</w:t>
      </w:r>
      <w:r w:rsidRPr="07EA429B">
        <w:rPr>
          <w:sz w:val="24"/>
          <w:szCs w:val="24"/>
        </w:rPr>
        <w:t>)</w:t>
      </w:r>
      <w:r>
        <w:rPr>
          <w:sz w:val="24"/>
          <w:szCs w:val="24"/>
        </w:rPr>
        <w:t>, and</w:t>
      </w:r>
    </w:p>
    <w:p w14:paraId="1D0678FA" w14:textId="77777777" w:rsidR="00EB5EF4" w:rsidRDefault="00EB5EF4" w:rsidP="00EB5EF4">
      <w:pPr>
        <w:pStyle w:val="ListParagraph"/>
        <w:numPr>
          <w:ilvl w:val="0"/>
          <w:numId w:val="10"/>
        </w:numPr>
        <w:spacing w:after="0"/>
        <w:rPr>
          <w:sz w:val="24"/>
          <w:szCs w:val="24"/>
        </w:rPr>
      </w:pPr>
      <w:r w:rsidRPr="009C758D">
        <w:rPr>
          <w:sz w:val="24"/>
          <w:szCs w:val="24"/>
        </w:rPr>
        <w:t>Rice (</w:t>
      </w:r>
      <w:r>
        <w:rPr>
          <w:sz w:val="24"/>
          <w:szCs w:val="24"/>
        </w:rPr>
        <w:t>AU</w:t>
      </w:r>
      <w:r w:rsidRPr="009C758D">
        <w:rPr>
          <w:sz w:val="24"/>
          <w:szCs w:val="24"/>
        </w:rPr>
        <w:t>$91 million)</w:t>
      </w:r>
    </w:p>
    <w:p w14:paraId="1C5BE2D1" w14:textId="0EDB8FBA" w:rsidR="00EB5EF4" w:rsidRDefault="00EB5EF4" w:rsidP="00EB5EF4">
      <w:pPr>
        <w:pStyle w:val="ListParagraph"/>
        <w:numPr>
          <w:ilvl w:val="0"/>
          <w:numId w:val="1"/>
        </w:numPr>
        <w:spacing w:after="0"/>
        <w:ind w:left="567" w:hanging="567"/>
        <w:rPr>
          <w:sz w:val="24"/>
          <w:szCs w:val="24"/>
        </w:rPr>
      </w:pPr>
      <w:r w:rsidRPr="543832D4">
        <w:rPr>
          <w:sz w:val="24"/>
          <w:szCs w:val="24"/>
        </w:rPr>
        <w:t>On entry into force of the FTA, almost</w:t>
      </w:r>
      <w:r w:rsidRPr="543832D4">
        <w:rPr>
          <w:color w:val="FF0000"/>
          <w:sz w:val="24"/>
          <w:szCs w:val="24"/>
        </w:rPr>
        <w:t xml:space="preserve"> </w:t>
      </w:r>
      <w:r w:rsidRPr="543832D4">
        <w:rPr>
          <w:sz w:val="24"/>
          <w:szCs w:val="24"/>
        </w:rPr>
        <w:t xml:space="preserve">98 per cent of Australian merchandise imports from India will be permitted to enter Australia duty-free on EIF. </w:t>
      </w:r>
      <w:r w:rsidRPr="543832D4">
        <w:rPr>
          <w:b/>
          <w:bCs/>
          <w:sz w:val="24"/>
          <w:szCs w:val="24"/>
          <w:u w:val="single"/>
        </w:rPr>
        <w:t xml:space="preserve">Table </w:t>
      </w:r>
      <w:r>
        <w:rPr>
          <w:b/>
          <w:bCs/>
          <w:sz w:val="24"/>
          <w:szCs w:val="24"/>
          <w:u w:val="single"/>
        </w:rPr>
        <w:t>9</w:t>
      </w:r>
      <w:r w:rsidRPr="543832D4">
        <w:rPr>
          <w:sz w:val="24"/>
          <w:szCs w:val="24"/>
        </w:rPr>
        <w:t xml:space="preserve"> summarises the market access outcomes Australia will grant India under the proposed </w:t>
      </w:r>
      <w:r w:rsidR="00D10AF6">
        <w:rPr>
          <w:sz w:val="24"/>
          <w:szCs w:val="24"/>
        </w:rPr>
        <w:t>AI</w:t>
      </w:r>
      <w:r w:rsidR="00217C26">
        <w:rPr>
          <w:sz w:val="24"/>
          <w:szCs w:val="24"/>
        </w:rPr>
        <w:t xml:space="preserve"> ECTA</w:t>
      </w:r>
      <w:r w:rsidRPr="543832D4">
        <w:rPr>
          <w:sz w:val="24"/>
          <w:szCs w:val="24"/>
        </w:rPr>
        <w:t>.</w:t>
      </w:r>
    </w:p>
    <w:p w14:paraId="0C193728" w14:textId="77777777" w:rsidR="00EB5EF4" w:rsidRDefault="00EB5EF4" w:rsidP="00EB5EF4">
      <w:pPr>
        <w:pStyle w:val="ListParagraph"/>
        <w:spacing w:after="0"/>
        <w:ind w:left="567"/>
        <w:rPr>
          <w:sz w:val="24"/>
          <w:szCs w:val="24"/>
        </w:rPr>
      </w:pPr>
    </w:p>
    <w:p w14:paraId="3E65BB18" w14:textId="77777777" w:rsidR="00EB5EF4" w:rsidRPr="00820651" w:rsidRDefault="00EB5EF4" w:rsidP="00EB5EF4">
      <w:pPr>
        <w:pStyle w:val="ListParagraph"/>
        <w:numPr>
          <w:ilvl w:val="0"/>
          <w:numId w:val="1"/>
        </w:numPr>
        <w:spacing w:after="0"/>
        <w:ind w:left="567" w:hanging="567"/>
        <w:rPr>
          <w:sz w:val="24"/>
          <w:szCs w:val="24"/>
        </w:rPr>
      </w:pPr>
      <w:r w:rsidRPr="543832D4">
        <w:rPr>
          <w:sz w:val="24"/>
          <w:szCs w:val="24"/>
        </w:rPr>
        <w:lastRenderedPageBreak/>
        <w:t xml:space="preserve">Tariffs on all remaining imports from India in longstanding industries that have been sensitive for Australia, including articles of iron or steel and aluminium </w:t>
      </w:r>
      <w:r>
        <w:rPr>
          <w:sz w:val="24"/>
          <w:szCs w:val="24"/>
        </w:rPr>
        <w:t>will</w:t>
      </w:r>
      <w:r w:rsidRPr="543832D4">
        <w:rPr>
          <w:sz w:val="24"/>
          <w:szCs w:val="24"/>
        </w:rPr>
        <w:t xml:space="preserve"> be eliminated after a period of four years.</w:t>
      </w:r>
    </w:p>
    <w:p w14:paraId="5FC75F15" w14:textId="77777777" w:rsidR="00EB5EF4" w:rsidRDefault="00EB5EF4" w:rsidP="00EB5EF4">
      <w:pPr>
        <w:pStyle w:val="ListParagraph"/>
        <w:spacing w:after="0"/>
        <w:ind w:left="567"/>
        <w:rPr>
          <w:sz w:val="24"/>
          <w:szCs w:val="24"/>
        </w:rPr>
      </w:pPr>
    </w:p>
    <w:p w14:paraId="1A0412C3" w14:textId="522F4774" w:rsidR="00EB5EF4" w:rsidRDefault="00EB5EF4" w:rsidP="002D1F67">
      <w:pPr>
        <w:pStyle w:val="ListParagraph"/>
        <w:numPr>
          <w:ilvl w:val="0"/>
          <w:numId w:val="1"/>
        </w:numPr>
        <w:spacing w:after="0"/>
        <w:ind w:left="567" w:hanging="567"/>
        <w:rPr>
          <w:sz w:val="24"/>
          <w:szCs w:val="24"/>
        </w:rPr>
      </w:pPr>
      <w:r w:rsidRPr="00EC172A">
        <w:rPr>
          <w:sz w:val="24"/>
          <w:szCs w:val="24"/>
        </w:rPr>
        <w:t xml:space="preserve">Australian consumers will benefit from increased competition, greater variety of choice in products, and lower prices, because of tariff elimination. While the removal of tariffs on Australian merchandise imports will result in initial reductions in tariff revenue, this will likely be offset, over time, by the effects of increased economic activity due to enhanced two-way trade. </w:t>
      </w:r>
    </w:p>
    <w:p w14:paraId="7AD51C42" w14:textId="77777777" w:rsidR="002D1F67" w:rsidRPr="00EC172A" w:rsidRDefault="002D1F67" w:rsidP="002D1F67">
      <w:pPr>
        <w:pStyle w:val="ListParagraph"/>
        <w:spacing w:after="0"/>
        <w:ind w:left="567"/>
        <w:rPr>
          <w:sz w:val="24"/>
          <w:szCs w:val="24"/>
        </w:rPr>
      </w:pPr>
    </w:p>
    <w:p w14:paraId="295084B4" w14:textId="18257E7C" w:rsidR="00EB5EF4" w:rsidRDefault="00EB5EF4" w:rsidP="00EB5EF4">
      <w:pPr>
        <w:pStyle w:val="ListParagraph"/>
        <w:numPr>
          <w:ilvl w:val="0"/>
          <w:numId w:val="1"/>
        </w:numPr>
        <w:spacing w:after="0"/>
        <w:ind w:left="567" w:hanging="567"/>
        <w:rPr>
          <w:sz w:val="24"/>
          <w:szCs w:val="24"/>
        </w:rPr>
      </w:pPr>
      <w:r w:rsidRPr="00820651">
        <w:rPr>
          <w:sz w:val="24"/>
          <w:szCs w:val="24"/>
        </w:rPr>
        <w:t xml:space="preserve">Reduced costs and improved access to these products will benefit sectors of Australia’s manufacturing industries. For example, the Australian construction industry (with revenue valued at </w:t>
      </w:r>
      <w:r>
        <w:rPr>
          <w:sz w:val="24"/>
          <w:szCs w:val="24"/>
        </w:rPr>
        <w:t>AU</w:t>
      </w:r>
      <w:r w:rsidRPr="00BA35DF">
        <w:rPr>
          <w:sz w:val="24"/>
          <w:szCs w:val="24"/>
        </w:rPr>
        <w:t>$424.1</w:t>
      </w:r>
      <w:r w:rsidRPr="00820651">
        <w:rPr>
          <w:sz w:val="24"/>
          <w:szCs w:val="24"/>
        </w:rPr>
        <w:t xml:space="preserve"> billion from 2017-2022), which draws on the iron and steel manufacturing industry, is expected to continue growing as the economy recovers from the global pandemic and demand for non-residential construction returns to pre</w:t>
      </w:r>
      <w:r w:rsidRPr="00820651">
        <w:rPr>
          <w:sz w:val="24"/>
          <w:szCs w:val="24"/>
        </w:rPr>
        <w:noBreakHyphen/>
        <w:t>pandemic levels.</w:t>
      </w:r>
      <w:r>
        <w:rPr>
          <w:rStyle w:val="FootnoteReference"/>
          <w:sz w:val="24"/>
          <w:szCs w:val="24"/>
        </w:rPr>
        <w:footnoteReference w:id="57"/>
      </w:r>
      <w:r w:rsidRPr="00820651">
        <w:rPr>
          <w:sz w:val="24"/>
          <w:szCs w:val="24"/>
        </w:rPr>
        <w:t xml:space="preserve"> Providing greater access to a wider variety of steel products as a result of the </w:t>
      </w:r>
      <w:r w:rsidR="00D10AF6">
        <w:rPr>
          <w:sz w:val="24"/>
          <w:szCs w:val="24"/>
        </w:rPr>
        <w:t>AI</w:t>
      </w:r>
      <w:r w:rsidR="00217C26">
        <w:rPr>
          <w:sz w:val="24"/>
          <w:szCs w:val="24"/>
        </w:rPr>
        <w:t xml:space="preserve"> ECTA</w:t>
      </w:r>
      <w:r w:rsidRPr="00820651">
        <w:rPr>
          <w:sz w:val="24"/>
          <w:szCs w:val="24"/>
        </w:rPr>
        <w:t xml:space="preserve"> could help support large industries in Australia that have the potential to drive a strong economic recovery.</w:t>
      </w:r>
    </w:p>
    <w:p w14:paraId="10FFBA45" w14:textId="77777777" w:rsidR="00EB5EF4" w:rsidRDefault="00EB5EF4" w:rsidP="00EB5EF4">
      <w:pPr>
        <w:pStyle w:val="ListParagraph"/>
        <w:spacing w:after="0"/>
        <w:ind w:left="567"/>
        <w:rPr>
          <w:sz w:val="24"/>
          <w:szCs w:val="24"/>
        </w:rPr>
      </w:pPr>
    </w:p>
    <w:p w14:paraId="3D99AA7B" w14:textId="77777777" w:rsidR="00EB5EF4" w:rsidRPr="00237E0E" w:rsidRDefault="00EB5EF4" w:rsidP="00EB5EF4">
      <w:pPr>
        <w:pStyle w:val="ListParagraph"/>
        <w:numPr>
          <w:ilvl w:val="0"/>
          <w:numId w:val="1"/>
        </w:numPr>
        <w:spacing w:after="0"/>
        <w:ind w:left="567" w:hanging="567"/>
        <w:rPr>
          <w:sz w:val="24"/>
          <w:szCs w:val="24"/>
        </w:rPr>
      </w:pPr>
      <w:r w:rsidRPr="543832D4">
        <w:rPr>
          <w:sz w:val="24"/>
          <w:szCs w:val="24"/>
        </w:rPr>
        <w:t>Some Australian producers will face increased competition from Indian exports, though this is expected to be small, as most of our current imports from India across these goods are sufficiently low compared to those from our largest import markets for each commodity. Even with an increase in Indian goods, Australian producers already competing with China and Japan across each of these industries are unlikely to be substantially impacted by a potential increase in Indian imports based on average import value from India in recent years:</w:t>
      </w:r>
    </w:p>
    <w:p w14:paraId="4B2DFA1D" w14:textId="77777777" w:rsidR="00EB5EF4" w:rsidRDefault="00EB5EF4" w:rsidP="00EB5EF4">
      <w:pPr>
        <w:pStyle w:val="ListParagraph"/>
        <w:spacing w:after="0"/>
        <w:ind w:left="1080"/>
        <w:rPr>
          <w:sz w:val="24"/>
          <w:szCs w:val="24"/>
        </w:rPr>
      </w:pPr>
    </w:p>
    <w:p w14:paraId="3DE104AD" w14:textId="77777777" w:rsidR="00EB5EF4" w:rsidRDefault="00EB5EF4" w:rsidP="00EB5EF4">
      <w:pPr>
        <w:pStyle w:val="ListParagraph"/>
        <w:numPr>
          <w:ilvl w:val="0"/>
          <w:numId w:val="11"/>
        </w:numPr>
        <w:spacing w:after="0"/>
        <w:rPr>
          <w:sz w:val="24"/>
          <w:szCs w:val="24"/>
        </w:rPr>
      </w:pPr>
      <w:r>
        <w:rPr>
          <w:sz w:val="24"/>
          <w:szCs w:val="24"/>
        </w:rPr>
        <w:t xml:space="preserve">Australia imported around AU$6.6 billion worth of </w:t>
      </w:r>
      <w:r w:rsidRPr="543832D4">
        <w:rPr>
          <w:sz w:val="24"/>
          <w:szCs w:val="24"/>
        </w:rPr>
        <w:t>articles of iron and steel</w:t>
      </w:r>
      <w:r>
        <w:rPr>
          <w:sz w:val="24"/>
          <w:szCs w:val="24"/>
        </w:rPr>
        <w:t xml:space="preserve"> on average in 2018-2020, most of which came from China (AU$3.2 billion or 49 per cent of total imports). Our imports of iron and steel articles from India in this period were small, around AU$170 million or 3 per cent of total imports. Although the Australian iron and steel manufacturing industry has grown over the last five years, this has been driven largely by world steel prices, which are in turn driven by China’s regulation of its supply.</w:t>
      </w:r>
      <w:r>
        <w:rPr>
          <w:rStyle w:val="FootnoteReference"/>
          <w:sz w:val="24"/>
          <w:szCs w:val="24"/>
        </w:rPr>
        <w:footnoteReference w:id="58"/>
      </w:r>
      <w:r>
        <w:rPr>
          <w:sz w:val="24"/>
          <w:szCs w:val="24"/>
        </w:rPr>
        <w:t xml:space="preserve"> Increasing Australian access to a greater diversity of iron and steel products such as those from India, may help other industries in Australia, such as the construction industry, manage volatile steel prices.</w:t>
      </w:r>
    </w:p>
    <w:p w14:paraId="7C7D2807" w14:textId="77777777" w:rsidR="00EB5EF4" w:rsidRDefault="00EB5EF4" w:rsidP="00EB5EF4">
      <w:pPr>
        <w:pStyle w:val="ListParagraph"/>
        <w:spacing w:after="0"/>
        <w:ind w:left="1080"/>
        <w:rPr>
          <w:sz w:val="24"/>
          <w:szCs w:val="24"/>
        </w:rPr>
      </w:pPr>
    </w:p>
    <w:p w14:paraId="687583CF" w14:textId="77777777" w:rsidR="00EB5EF4" w:rsidRDefault="00EB5EF4" w:rsidP="00EB5EF4">
      <w:pPr>
        <w:pStyle w:val="ListParagraph"/>
        <w:numPr>
          <w:ilvl w:val="0"/>
          <w:numId w:val="11"/>
        </w:numPr>
        <w:spacing w:after="0"/>
        <w:rPr>
          <w:sz w:val="24"/>
          <w:szCs w:val="24"/>
        </w:rPr>
      </w:pPr>
      <w:r w:rsidRPr="543832D4">
        <w:rPr>
          <w:sz w:val="24"/>
          <w:szCs w:val="24"/>
        </w:rPr>
        <w:t xml:space="preserve">Australia imported around </w:t>
      </w:r>
      <w:r>
        <w:rPr>
          <w:sz w:val="24"/>
          <w:szCs w:val="24"/>
        </w:rPr>
        <w:t>AU</w:t>
      </w:r>
      <w:r w:rsidRPr="543832D4">
        <w:rPr>
          <w:sz w:val="24"/>
          <w:szCs w:val="24"/>
        </w:rPr>
        <w:t>$8.6 billion worth of articles of plastics on average in 2018-2020, most of which came from China (</w:t>
      </w:r>
      <w:r>
        <w:rPr>
          <w:sz w:val="24"/>
          <w:szCs w:val="24"/>
        </w:rPr>
        <w:t>AU</w:t>
      </w:r>
      <w:r w:rsidRPr="543832D4">
        <w:rPr>
          <w:sz w:val="24"/>
          <w:szCs w:val="24"/>
        </w:rPr>
        <w:t xml:space="preserve">$3.2 billion or 37.5 per cent of total imports). Our imports of articles of plastics from India in this period were small, around </w:t>
      </w:r>
      <w:r>
        <w:rPr>
          <w:sz w:val="24"/>
          <w:szCs w:val="24"/>
        </w:rPr>
        <w:t>AU</w:t>
      </w:r>
      <w:r w:rsidRPr="543832D4">
        <w:rPr>
          <w:sz w:val="24"/>
          <w:szCs w:val="24"/>
        </w:rPr>
        <w:t xml:space="preserve">$82 million or 0.9 per cent of total imports. </w:t>
      </w:r>
    </w:p>
    <w:p w14:paraId="7F4E925C" w14:textId="77777777" w:rsidR="00EB5EF4" w:rsidRDefault="00EB5EF4" w:rsidP="00EB5EF4">
      <w:pPr>
        <w:pStyle w:val="ListParagraph"/>
        <w:spacing w:after="0"/>
        <w:ind w:left="1080"/>
        <w:rPr>
          <w:sz w:val="24"/>
          <w:szCs w:val="24"/>
        </w:rPr>
      </w:pPr>
    </w:p>
    <w:p w14:paraId="0451BE6C" w14:textId="77777777" w:rsidR="00EB5EF4" w:rsidRPr="00D557B3" w:rsidRDefault="00EB5EF4" w:rsidP="00EB5EF4">
      <w:pPr>
        <w:pStyle w:val="ListParagraph"/>
        <w:numPr>
          <w:ilvl w:val="0"/>
          <w:numId w:val="11"/>
        </w:numPr>
        <w:spacing w:after="0"/>
        <w:rPr>
          <w:sz w:val="24"/>
          <w:szCs w:val="24"/>
        </w:rPr>
      </w:pPr>
      <w:r w:rsidRPr="543832D4">
        <w:rPr>
          <w:sz w:val="24"/>
          <w:szCs w:val="24"/>
        </w:rPr>
        <w:t xml:space="preserve">Australia imported around </w:t>
      </w:r>
      <w:r>
        <w:rPr>
          <w:sz w:val="24"/>
          <w:szCs w:val="24"/>
        </w:rPr>
        <w:t>AU</w:t>
      </w:r>
      <w:r w:rsidRPr="543832D4">
        <w:rPr>
          <w:sz w:val="24"/>
          <w:szCs w:val="24"/>
        </w:rPr>
        <w:t>$37 billion worth of vehicles (automotive, parts and accessories thereof) on average in 2018-2020, most of which came from Japan (</w:t>
      </w:r>
      <w:r>
        <w:rPr>
          <w:sz w:val="24"/>
          <w:szCs w:val="24"/>
        </w:rPr>
        <w:t>AU</w:t>
      </w:r>
      <w:r w:rsidRPr="543832D4">
        <w:rPr>
          <w:sz w:val="24"/>
          <w:szCs w:val="24"/>
        </w:rPr>
        <w:t xml:space="preserve">$10.5 million or 28 per cent of total imports). Our imports of vehicles (automotive, parts and accessories thereof) from India in this period were small, around </w:t>
      </w:r>
      <w:r>
        <w:rPr>
          <w:sz w:val="24"/>
          <w:szCs w:val="24"/>
        </w:rPr>
        <w:t>AU</w:t>
      </w:r>
      <w:r w:rsidRPr="543832D4">
        <w:rPr>
          <w:sz w:val="24"/>
          <w:szCs w:val="24"/>
        </w:rPr>
        <w:t>$145 million or 0.4 per cent of total imports.</w:t>
      </w:r>
    </w:p>
    <w:p w14:paraId="4F02F765" w14:textId="77777777" w:rsidR="00EB5EF4" w:rsidRDefault="00EB5EF4" w:rsidP="00EB5EF4">
      <w:pPr>
        <w:pStyle w:val="ListParagraph"/>
        <w:spacing w:after="0"/>
        <w:ind w:left="1080"/>
        <w:rPr>
          <w:sz w:val="24"/>
          <w:szCs w:val="24"/>
        </w:rPr>
      </w:pPr>
    </w:p>
    <w:p w14:paraId="3FD9C671" w14:textId="77777777" w:rsidR="00EB5EF4" w:rsidRPr="001F152B" w:rsidRDefault="00EB5EF4" w:rsidP="00EB5EF4">
      <w:pPr>
        <w:pStyle w:val="ListParagraph"/>
        <w:numPr>
          <w:ilvl w:val="0"/>
          <w:numId w:val="11"/>
        </w:numPr>
        <w:spacing w:after="0"/>
        <w:rPr>
          <w:sz w:val="24"/>
          <w:szCs w:val="24"/>
        </w:rPr>
      </w:pPr>
      <w:r w:rsidRPr="543832D4">
        <w:rPr>
          <w:sz w:val="24"/>
          <w:szCs w:val="24"/>
        </w:rPr>
        <w:t xml:space="preserve">Australia imported around </w:t>
      </w:r>
      <w:r>
        <w:rPr>
          <w:sz w:val="24"/>
          <w:szCs w:val="24"/>
        </w:rPr>
        <w:t>AU</w:t>
      </w:r>
      <w:r w:rsidRPr="543832D4">
        <w:rPr>
          <w:sz w:val="24"/>
          <w:szCs w:val="24"/>
        </w:rPr>
        <w:t>$13.7 billion worth of textiles products on average in 2018-2020, most of which came from China (</w:t>
      </w:r>
      <w:r>
        <w:rPr>
          <w:sz w:val="24"/>
          <w:szCs w:val="24"/>
        </w:rPr>
        <w:t>AU</w:t>
      </w:r>
      <w:r w:rsidRPr="543832D4">
        <w:rPr>
          <w:sz w:val="24"/>
          <w:szCs w:val="24"/>
        </w:rPr>
        <w:t xml:space="preserve">$8.5 billion or 62 per cent of total imports). India was our third-largest import market for textiles, worth an average of </w:t>
      </w:r>
      <w:r>
        <w:rPr>
          <w:sz w:val="24"/>
          <w:szCs w:val="24"/>
        </w:rPr>
        <w:t>AU</w:t>
      </w:r>
      <w:r w:rsidRPr="543832D4">
        <w:rPr>
          <w:sz w:val="24"/>
          <w:szCs w:val="24"/>
        </w:rPr>
        <w:t>$668,274 million or 5 per cent of our total imports of textiles in 2018-2020.</w:t>
      </w:r>
    </w:p>
    <w:p w14:paraId="2CC71D74" w14:textId="77777777" w:rsidR="007D2A56" w:rsidRDefault="007D2A56" w:rsidP="0014704E">
      <w:pPr>
        <w:spacing w:after="0"/>
        <w:rPr>
          <w:b/>
          <w:bCs/>
          <w:sz w:val="24"/>
          <w:szCs w:val="24"/>
          <w:highlight w:val="yellow"/>
          <w:u w:val="single"/>
        </w:rPr>
      </w:pPr>
      <w:bookmarkStart w:id="47" w:name="_Hlk84428124"/>
    </w:p>
    <w:p w14:paraId="378909CA" w14:textId="4B873DA9" w:rsidR="000B337E" w:rsidRPr="00966CF5" w:rsidRDefault="000C1D8E" w:rsidP="543832D4">
      <w:pPr>
        <w:rPr>
          <w:b/>
          <w:bCs/>
          <w:sz w:val="24"/>
          <w:szCs w:val="24"/>
        </w:rPr>
      </w:pPr>
      <w:r w:rsidRPr="543832D4">
        <w:rPr>
          <w:b/>
          <w:bCs/>
          <w:sz w:val="24"/>
          <w:szCs w:val="24"/>
          <w:u w:val="single"/>
        </w:rPr>
        <w:t>T</w:t>
      </w:r>
      <w:r w:rsidR="006E2200" w:rsidRPr="543832D4">
        <w:rPr>
          <w:b/>
          <w:bCs/>
          <w:sz w:val="24"/>
          <w:szCs w:val="24"/>
          <w:u w:val="single"/>
        </w:rPr>
        <w:t xml:space="preserve">able </w:t>
      </w:r>
      <w:r w:rsidR="00894292">
        <w:rPr>
          <w:b/>
          <w:bCs/>
          <w:sz w:val="24"/>
          <w:szCs w:val="24"/>
          <w:u w:val="single"/>
        </w:rPr>
        <w:t>9</w:t>
      </w:r>
      <w:r w:rsidR="006E2200" w:rsidRPr="543832D4">
        <w:rPr>
          <w:b/>
          <w:bCs/>
          <w:sz w:val="24"/>
          <w:szCs w:val="24"/>
        </w:rPr>
        <w:t>: Summary table of Australian tariffs on imports of Indian goods</w:t>
      </w:r>
    </w:p>
    <w:tbl>
      <w:tblPr>
        <w:tblW w:w="10340" w:type="dxa"/>
        <w:tblLook w:val="04A0" w:firstRow="1" w:lastRow="0" w:firstColumn="1" w:lastColumn="0" w:noHBand="0" w:noVBand="1"/>
      </w:tblPr>
      <w:tblGrid>
        <w:gridCol w:w="5200"/>
        <w:gridCol w:w="1200"/>
        <w:gridCol w:w="1100"/>
        <w:gridCol w:w="1720"/>
        <w:gridCol w:w="1120"/>
      </w:tblGrid>
      <w:tr w:rsidR="006E2200" w:rsidRPr="00D557CB" w14:paraId="06E664E5" w14:textId="77777777" w:rsidTr="00C13330">
        <w:trPr>
          <w:trHeight w:val="953"/>
        </w:trPr>
        <w:tc>
          <w:tcPr>
            <w:tcW w:w="5200" w:type="dxa"/>
            <w:tcBorders>
              <w:top w:val="single" w:sz="4" w:space="0" w:color="auto"/>
              <w:left w:val="single" w:sz="8" w:space="0" w:color="auto"/>
              <w:bottom w:val="single" w:sz="8" w:space="0" w:color="auto"/>
              <w:right w:val="single" w:sz="8" w:space="0" w:color="auto"/>
            </w:tcBorders>
            <w:shd w:val="clear" w:color="000000" w:fill="F2F2F2"/>
            <w:vAlign w:val="center"/>
            <w:hideMark/>
          </w:tcPr>
          <w:p w14:paraId="176A9A07" w14:textId="77777777" w:rsidR="006E2200" w:rsidRPr="00D557CB" w:rsidRDefault="006E2200" w:rsidP="00C13330">
            <w:pPr>
              <w:spacing w:after="0" w:line="240" w:lineRule="auto"/>
              <w:jc w:val="both"/>
              <w:rPr>
                <w:rFonts w:ascii="Calibri Light" w:eastAsia="Times New Roman" w:hAnsi="Calibri Light" w:cs="Calibri Light"/>
                <w:b/>
                <w:bCs/>
                <w:color w:val="000000"/>
                <w:sz w:val="24"/>
                <w:szCs w:val="24"/>
                <w:lang w:eastAsia="en-AU"/>
              </w:rPr>
            </w:pPr>
            <w:r w:rsidRPr="00D557CB">
              <w:rPr>
                <w:rFonts w:ascii="Calibri Light" w:eastAsia="Times New Roman" w:hAnsi="Calibri Light" w:cs="Calibri Light"/>
                <w:b/>
                <w:bCs/>
                <w:color w:val="000000"/>
                <w:sz w:val="24"/>
                <w:szCs w:val="24"/>
                <w:lang w:eastAsia="en-AU"/>
              </w:rPr>
              <w:t>Overall coverage of duty elimination</w:t>
            </w:r>
          </w:p>
        </w:tc>
        <w:tc>
          <w:tcPr>
            <w:tcW w:w="1200" w:type="dxa"/>
            <w:tcBorders>
              <w:top w:val="single" w:sz="4" w:space="0" w:color="auto"/>
              <w:left w:val="nil"/>
              <w:bottom w:val="single" w:sz="8" w:space="0" w:color="auto"/>
              <w:right w:val="single" w:sz="8" w:space="0" w:color="auto"/>
            </w:tcBorders>
            <w:shd w:val="clear" w:color="000000" w:fill="F2F2F2"/>
            <w:vAlign w:val="center"/>
            <w:hideMark/>
          </w:tcPr>
          <w:p w14:paraId="6FA3CB7E" w14:textId="77777777" w:rsidR="006E2200" w:rsidRPr="00D557CB" w:rsidRDefault="006E2200" w:rsidP="00C13330">
            <w:pPr>
              <w:spacing w:after="0" w:line="240" w:lineRule="auto"/>
              <w:jc w:val="center"/>
              <w:rPr>
                <w:rFonts w:ascii="Calibri Light" w:eastAsia="Times New Roman" w:hAnsi="Calibri Light" w:cs="Calibri Light"/>
                <w:b/>
                <w:bCs/>
                <w:color w:val="000000"/>
                <w:sz w:val="24"/>
                <w:szCs w:val="24"/>
                <w:lang w:eastAsia="en-AU"/>
              </w:rPr>
            </w:pPr>
            <w:r w:rsidRPr="00D557CB">
              <w:rPr>
                <w:rFonts w:ascii="Calibri Light" w:eastAsia="Times New Roman" w:hAnsi="Calibri Light" w:cs="Calibri Light"/>
                <w:b/>
                <w:bCs/>
                <w:color w:val="000000"/>
                <w:sz w:val="24"/>
                <w:szCs w:val="24"/>
                <w:lang w:eastAsia="en-AU"/>
              </w:rPr>
              <w:t>No. of tariff lines</w:t>
            </w:r>
          </w:p>
        </w:tc>
        <w:tc>
          <w:tcPr>
            <w:tcW w:w="1100" w:type="dxa"/>
            <w:tcBorders>
              <w:top w:val="single" w:sz="4" w:space="0" w:color="auto"/>
              <w:left w:val="nil"/>
              <w:bottom w:val="single" w:sz="8" w:space="0" w:color="auto"/>
              <w:right w:val="single" w:sz="8" w:space="0" w:color="auto"/>
            </w:tcBorders>
            <w:shd w:val="clear" w:color="000000" w:fill="F2F2F2"/>
            <w:vAlign w:val="center"/>
            <w:hideMark/>
          </w:tcPr>
          <w:p w14:paraId="79C28F84" w14:textId="77777777" w:rsidR="006E2200" w:rsidRPr="00D557CB" w:rsidRDefault="006E2200" w:rsidP="00C13330">
            <w:pPr>
              <w:spacing w:after="0" w:line="240" w:lineRule="auto"/>
              <w:jc w:val="center"/>
              <w:rPr>
                <w:rFonts w:ascii="Calibri Light" w:eastAsia="Times New Roman" w:hAnsi="Calibri Light" w:cs="Calibri Light"/>
                <w:b/>
                <w:bCs/>
                <w:color w:val="000000"/>
                <w:sz w:val="24"/>
                <w:szCs w:val="24"/>
                <w:lang w:eastAsia="en-AU"/>
              </w:rPr>
            </w:pPr>
            <w:r w:rsidRPr="00D557CB">
              <w:rPr>
                <w:rFonts w:ascii="Calibri Light" w:eastAsia="Times New Roman" w:hAnsi="Calibri Light" w:cs="Calibri Light"/>
                <w:b/>
                <w:bCs/>
                <w:color w:val="000000"/>
                <w:sz w:val="24"/>
                <w:szCs w:val="24"/>
                <w:lang w:eastAsia="en-AU"/>
              </w:rPr>
              <w:t>% (all lines)</w:t>
            </w:r>
          </w:p>
        </w:tc>
        <w:tc>
          <w:tcPr>
            <w:tcW w:w="1720" w:type="dxa"/>
            <w:tcBorders>
              <w:top w:val="single" w:sz="4" w:space="0" w:color="auto"/>
              <w:left w:val="nil"/>
              <w:bottom w:val="single" w:sz="8" w:space="0" w:color="auto"/>
              <w:right w:val="single" w:sz="8" w:space="0" w:color="auto"/>
            </w:tcBorders>
            <w:shd w:val="clear" w:color="000000" w:fill="F2F2F2"/>
            <w:vAlign w:val="center"/>
            <w:hideMark/>
          </w:tcPr>
          <w:p w14:paraId="3808A6C7" w14:textId="71721018" w:rsidR="006E2200" w:rsidRPr="00D557CB" w:rsidRDefault="00D10AF6" w:rsidP="00C13330">
            <w:pPr>
              <w:spacing w:after="0" w:line="240" w:lineRule="auto"/>
              <w:jc w:val="center"/>
              <w:rPr>
                <w:rFonts w:ascii="Calibri Light" w:eastAsia="Times New Roman" w:hAnsi="Calibri Light" w:cs="Calibri Light"/>
                <w:b/>
                <w:bCs/>
                <w:sz w:val="24"/>
                <w:szCs w:val="24"/>
                <w:lang w:eastAsia="en-AU"/>
              </w:rPr>
            </w:pPr>
            <w:r>
              <w:rPr>
                <w:rFonts w:ascii="Calibri Light" w:eastAsia="Times New Roman" w:hAnsi="Calibri Light" w:cs="Calibri Light"/>
                <w:b/>
                <w:bCs/>
                <w:sz w:val="24"/>
                <w:szCs w:val="24"/>
                <w:lang w:eastAsia="en-AU"/>
              </w:rPr>
              <w:t xml:space="preserve">Australia’s </w:t>
            </w:r>
            <w:r w:rsidR="006E2200" w:rsidRPr="00D557CB">
              <w:rPr>
                <w:rFonts w:ascii="Calibri Light" w:eastAsia="Times New Roman" w:hAnsi="Calibri Light" w:cs="Calibri Light"/>
                <w:b/>
                <w:bCs/>
                <w:sz w:val="24"/>
                <w:szCs w:val="24"/>
                <w:lang w:eastAsia="en-AU"/>
              </w:rPr>
              <w:t>imports</w:t>
            </w:r>
            <w:r>
              <w:rPr>
                <w:rFonts w:ascii="Calibri Light" w:eastAsia="Times New Roman" w:hAnsi="Calibri Light" w:cs="Calibri Light"/>
                <w:b/>
                <w:bCs/>
                <w:sz w:val="24"/>
                <w:szCs w:val="24"/>
                <w:lang w:eastAsia="en-AU"/>
              </w:rPr>
              <w:t xml:space="preserve"> from India</w:t>
            </w:r>
            <w:r w:rsidR="006E2200" w:rsidRPr="00D557CB">
              <w:rPr>
                <w:rFonts w:ascii="Calibri Light" w:eastAsia="Times New Roman" w:hAnsi="Calibri Light" w:cs="Calibri Light"/>
                <w:b/>
                <w:bCs/>
                <w:sz w:val="24"/>
                <w:szCs w:val="24"/>
                <w:lang w:eastAsia="en-AU"/>
              </w:rPr>
              <w:t xml:space="preserve"> (2018-2020</w:t>
            </w:r>
            <w:r>
              <w:rPr>
                <w:rFonts w:ascii="Calibri Light" w:eastAsia="Times New Roman" w:hAnsi="Calibri Light" w:cs="Calibri Light"/>
                <w:b/>
                <w:bCs/>
                <w:sz w:val="24"/>
                <w:szCs w:val="24"/>
                <w:lang w:eastAsia="en-AU"/>
              </w:rPr>
              <w:t xml:space="preserve"> average</w:t>
            </w:r>
            <w:r w:rsidR="006E2200" w:rsidRPr="00D557CB">
              <w:rPr>
                <w:rFonts w:ascii="Calibri Light" w:eastAsia="Times New Roman" w:hAnsi="Calibri Light" w:cs="Calibri Light"/>
                <w:b/>
                <w:bCs/>
                <w:sz w:val="24"/>
                <w:szCs w:val="24"/>
                <w:lang w:eastAsia="en-AU"/>
              </w:rPr>
              <w:t>) (AUD m)</w:t>
            </w:r>
          </w:p>
        </w:tc>
        <w:tc>
          <w:tcPr>
            <w:tcW w:w="1120" w:type="dxa"/>
            <w:tcBorders>
              <w:top w:val="single" w:sz="4" w:space="0" w:color="auto"/>
              <w:left w:val="nil"/>
              <w:bottom w:val="single" w:sz="8" w:space="0" w:color="auto"/>
              <w:right w:val="single" w:sz="8" w:space="0" w:color="auto"/>
            </w:tcBorders>
            <w:shd w:val="clear" w:color="000000" w:fill="F2F2F2"/>
            <w:vAlign w:val="center"/>
            <w:hideMark/>
          </w:tcPr>
          <w:p w14:paraId="3EF2E274" w14:textId="77777777" w:rsidR="006E2200" w:rsidRPr="00D557CB" w:rsidRDefault="006E2200" w:rsidP="00C13330">
            <w:pPr>
              <w:spacing w:after="0" w:line="240" w:lineRule="auto"/>
              <w:jc w:val="center"/>
              <w:rPr>
                <w:rFonts w:ascii="Calibri Light" w:eastAsia="Times New Roman" w:hAnsi="Calibri Light" w:cs="Calibri Light"/>
                <w:b/>
                <w:bCs/>
                <w:color w:val="000000"/>
                <w:sz w:val="24"/>
                <w:szCs w:val="24"/>
                <w:lang w:eastAsia="en-AU"/>
              </w:rPr>
            </w:pPr>
            <w:r w:rsidRPr="00D557CB">
              <w:rPr>
                <w:rFonts w:ascii="Calibri Light" w:eastAsia="Times New Roman" w:hAnsi="Calibri Light" w:cs="Calibri Light"/>
                <w:b/>
                <w:bCs/>
                <w:color w:val="000000"/>
                <w:sz w:val="24"/>
                <w:szCs w:val="24"/>
                <w:lang w:eastAsia="en-AU"/>
              </w:rPr>
              <w:t>% (all imports)</w:t>
            </w:r>
          </w:p>
        </w:tc>
      </w:tr>
      <w:tr w:rsidR="006E2200" w:rsidRPr="00D557CB" w14:paraId="5AB5BC7E" w14:textId="77777777" w:rsidTr="00C13330">
        <w:trPr>
          <w:trHeight w:val="323"/>
        </w:trPr>
        <w:tc>
          <w:tcPr>
            <w:tcW w:w="5200" w:type="dxa"/>
            <w:tcBorders>
              <w:top w:val="nil"/>
              <w:left w:val="single" w:sz="8" w:space="0" w:color="auto"/>
              <w:bottom w:val="single" w:sz="8" w:space="0" w:color="auto"/>
              <w:right w:val="single" w:sz="8" w:space="0" w:color="auto"/>
            </w:tcBorders>
            <w:shd w:val="clear" w:color="000000" w:fill="D9D9D9"/>
            <w:vAlign w:val="center"/>
            <w:hideMark/>
          </w:tcPr>
          <w:p w14:paraId="4FB9561E" w14:textId="77777777" w:rsidR="006E2200" w:rsidRPr="00D557CB" w:rsidRDefault="006E2200" w:rsidP="00C13330">
            <w:pPr>
              <w:spacing w:after="0" w:line="240" w:lineRule="auto"/>
              <w:jc w:val="both"/>
              <w:rPr>
                <w:rFonts w:ascii="Calibri Light" w:eastAsia="Times New Roman" w:hAnsi="Calibri Light" w:cs="Calibri Light"/>
                <w:b/>
                <w:bCs/>
                <w:i/>
                <w:iCs/>
                <w:color w:val="000000"/>
                <w:sz w:val="24"/>
                <w:szCs w:val="24"/>
                <w:lang w:eastAsia="en-AU"/>
              </w:rPr>
            </w:pPr>
            <w:r w:rsidRPr="00D557CB">
              <w:rPr>
                <w:rFonts w:ascii="Calibri Light" w:eastAsia="Times New Roman" w:hAnsi="Calibri Light" w:cs="Calibri Light"/>
                <w:b/>
                <w:bCs/>
                <w:i/>
                <w:iCs/>
                <w:color w:val="000000"/>
                <w:sz w:val="24"/>
                <w:szCs w:val="24"/>
                <w:lang w:eastAsia="en-AU"/>
              </w:rPr>
              <w:t>Total</w:t>
            </w:r>
          </w:p>
        </w:tc>
        <w:tc>
          <w:tcPr>
            <w:tcW w:w="1200" w:type="dxa"/>
            <w:tcBorders>
              <w:top w:val="nil"/>
              <w:left w:val="nil"/>
              <w:bottom w:val="single" w:sz="8" w:space="0" w:color="auto"/>
              <w:right w:val="single" w:sz="8" w:space="0" w:color="auto"/>
            </w:tcBorders>
            <w:shd w:val="clear" w:color="000000" w:fill="D9D9D9"/>
            <w:vAlign w:val="center"/>
            <w:hideMark/>
          </w:tcPr>
          <w:p w14:paraId="1429AE31" w14:textId="77777777" w:rsidR="006E2200" w:rsidRPr="00D557CB" w:rsidRDefault="006E2200" w:rsidP="00C13330">
            <w:pPr>
              <w:spacing w:after="0" w:line="240" w:lineRule="auto"/>
              <w:jc w:val="center"/>
              <w:rPr>
                <w:rFonts w:ascii="Calibri Light" w:eastAsia="Times New Roman" w:hAnsi="Calibri Light" w:cs="Calibri Light"/>
                <w:b/>
                <w:bCs/>
                <w:color w:val="000000"/>
                <w:sz w:val="24"/>
                <w:szCs w:val="24"/>
                <w:lang w:eastAsia="en-AU"/>
              </w:rPr>
            </w:pPr>
            <w:r w:rsidRPr="00D557CB">
              <w:rPr>
                <w:rFonts w:ascii="Calibri Light" w:eastAsia="Times New Roman" w:hAnsi="Calibri Light" w:cs="Calibri Light"/>
                <w:b/>
                <w:bCs/>
                <w:color w:val="000000"/>
                <w:sz w:val="24"/>
                <w:szCs w:val="24"/>
                <w:lang w:eastAsia="en-AU"/>
              </w:rPr>
              <w:t>6,480</w:t>
            </w:r>
          </w:p>
        </w:tc>
        <w:tc>
          <w:tcPr>
            <w:tcW w:w="1100" w:type="dxa"/>
            <w:tcBorders>
              <w:top w:val="nil"/>
              <w:left w:val="nil"/>
              <w:bottom w:val="single" w:sz="8" w:space="0" w:color="auto"/>
              <w:right w:val="single" w:sz="8" w:space="0" w:color="auto"/>
            </w:tcBorders>
            <w:shd w:val="clear" w:color="000000" w:fill="D9D9D9"/>
            <w:vAlign w:val="center"/>
            <w:hideMark/>
          </w:tcPr>
          <w:p w14:paraId="1E0C59DB" w14:textId="77777777" w:rsidR="006E2200" w:rsidRPr="00D557CB" w:rsidRDefault="006E2200" w:rsidP="00C13330">
            <w:pPr>
              <w:spacing w:after="0" w:line="240" w:lineRule="auto"/>
              <w:jc w:val="center"/>
              <w:rPr>
                <w:rFonts w:ascii="Calibri Light" w:eastAsia="Times New Roman" w:hAnsi="Calibri Light" w:cs="Calibri Light"/>
                <w:b/>
                <w:bCs/>
                <w:color w:val="000000"/>
                <w:sz w:val="24"/>
                <w:szCs w:val="24"/>
                <w:lang w:eastAsia="en-AU"/>
              </w:rPr>
            </w:pPr>
            <w:r w:rsidRPr="00D557CB">
              <w:rPr>
                <w:rFonts w:ascii="Calibri Light" w:eastAsia="Times New Roman" w:hAnsi="Calibri Light" w:cs="Calibri Light"/>
                <w:b/>
                <w:bCs/>
                <w:color w:val="000000"/>
                <w:sz w:val="24"/>
                <w:szCs w:val="24"/>
                <w:lang w:eastAsia="en-AU"/>
              </w:rPr>
              <w:t>100.0%</w:t>
            </w:r>
          </w:p>
        </w:tc>
        <w:tc>
          <w:tcPr>
            <w:tcW w:w="1720" w:type="dxa"/>
            <w:tcBorders>
              <w:top w:val="nil"/>
              <w:left w:val="nil"/>
              <w:bottom w:val="single" w:sz="8" w:space="0" w:color="auto"/>
              <w:right w:val="single" w:sz="8" w:space="0" w:color="auto"/>
            </w:tcBorders>
            <w:shd w:val="clear" w:color="000000" w:fill="D9D9D9"/>
            <w:vAlign w:val="center"/>
            <w:hideMark/>
          </w:tcPr>
          <w:p w14:paraId="5ADFE80B" w14:textId="77777777" w:rsidR="006E2200" w:rsidRPr="00D557CB" w:rsidRDefault="006E2200" w:rsidP="00C13330">
            <w:pPr>
              <w:spacing w:after="0" w:line="240" w:lineRule="auto"/>
              <w:jc w:val="center"/>
              <w:rPr>
                <w:rFonts w:ascii="Calibri Light" w:eastAsia="Times New Roman" w:hAnsi="Calibri Light" w:cs="Calibri Light"/>
                <w:b/>
                <w:bCs/>
                <w:color w:val="000000"/>
                <w:sz w:val="24"/>
                <w:szCs w:val="24"/>
                <w:lang w:eastAsia="en-AU"/>
              </w:rPr>
            </w:pPr>
            <w:r w:rsidRPr="00D557CB">
              <w:rPr>
                <w:rFonts w:ascii="Calibri Light" w:eastAsia="Times New Roman" w:hAnsi="Calibri Light" w:cs="Calibri Light"/>
                <w:b/>
                <w:bCs/>
                <w:color w:val="000000"/>
                <w:sz w:val="24"/>
                <w:szCs w:val="24"/>
                <w:lang w:eastAsia="en-AU"/>
              </w:rPr>
              <w:t>5,151</w:t>
            </w:r>
          </w:p>
        </w:tc>
        <w:tc>
          <w:tcPr>
            <w:tcW w:w="1120" w:type="dxa"/>
            <w:tcBorders>
              <w:top w:val="nil"/>
              <w:left w:val="nil"/>
              <w:bottom w:val="single" w:sz="8" w:space="0" w:color="auto"/>
              <w:right w:val="single" w:sz="8" w:space="0" w:color="auto"/>
            </w:tcBorders>
            <w:shd w:val="clear" w:color="000000" w:fill="D9D9D9"/>
            <w:vAlign w:val="center"/>
            <w:hideMark/>
          </w:tcPr>
          <w:p w14:paraId="5AD5E4C2" w14:textId="77777777" w:rsidR="006E2200" w:rsidRPr="00D557CB" w:rsidRDefault="006E2200" w:rsidP="00C13330">
            <w:pPr>
              <w:spacing w:after="0" w:line="240" w:lineRule="auto"/>
              <w:jc w:val="center"/>
              <w:rPr>
                <w:rFonts w:ascii="Calibri Light" w:eastAsia="Times New Roman" w:hAnsi="Calibri Light" w:cs="Calibri Light"/>
                <w:b/>
                <w:bCs/>
                <w:color w:val="000000"/>
                <w:sz w:val="24"/>
                <w:szCs w:val="24"/>
                <w:lang w:eastAsia="en-AU"/>
              </w:rPr>
            </w:pPr>
            <w:r w:rsidRPr="00D557CB">
              <w:rPr>
                <w:rFonts w:ascii="Calibri Light" w:eastAsia="Times New Roman" w:hAnsi="Calibri Light" w:cs="Calibri Light"/>
                <w:b/>
                <w:bCs/>
                <w:color w:val="000000"/>
                <w:sz w:val="24"/>
                <w:szCs w:val="24"/>
                <w:lang w:eastAsia="en-AU"/>
              </w:rPr>
              <w:t>100.0%</w:t>
            </w:r>
          </w:p>
        </w:tc>
      </w:tr>
      <w:tr w:rsidR="006E2200" w:rsidRPr="00D557CB" w14:paraId="24C75848" w14:textId="77777777" w:rsidTr="00C13330">
        <w:trPr>
          <w:trHeight w:val="323"/>
        </w:trPr>
        <w:tc>
          <w:tcPr>
            <w:tcW w:w="5200" w:type="dxa"/>
            <w:tcBorders>
              <w:top w:val="nil"/>
              <w:left w:val="single" w:sz="8" w:space="0" w:color="auto"/>
              <w:bottom w:val="single" w:sz="8" w:space="0" w:color="auto"/>
              <w:right w:val="single" w:sz="8" w:space="0" w:color="auto"/>
            </w:tcBorders>
            <w:shd w:val="clear" w:color="000000" w:fill="F2F2F2"/>
            <w:vAlign w:val="center"/>
            <w:hideMark/>
          </w:tcPr>
          <w:p w14:paraId="090D1BB2" w14:textId="77777777" w:rsidR="006E2200" w:rsidRPr="00D557CB" w:rsidRDefault="006E2200" w:rsidP="00C13330">
            <w:pPr>
              <w:spacing w:after="0" w:line="240" w:lineRule="auto"/>
              <w:ind w:firstLineChars="300" w:firstLine="720"/>
              <w:rPr>
                <w:rFonts w:ascii="Calibri Light" w:eastAsia="Times New Roman" w:hAnsi="Calibri Light" w:cs="Calibri Light"/>
                <w:i/>
                <w:iCs/>
                <w:color w:val="000000"/>
                <w:sz w:val="24"/>
                <w:szCs w:val="24"/>
                <w:lang w:eastAsia="en-AU"/>
              </w:rPr>
            </w:pPr>
            <w:r w:rsidRPr="00D557CB">
              <w:rPr>
                <w:rFonts w:ascii="Calibri Light" w:eastAsia="Times New Roman" w:hAnsi="Calibri Light" w:cs="Calibri Light"/>
                <w:i/>
                <w:iCs/>
                <w:color w:val="000000"/>
                <w:sz w:val="24"/>
                <w:szCs w:val="24"/>
                <w:lang w:eastAsia="en-AU"/>
              </w:rPr>
              <w:t>A - EIF - MFN duty-free and dutiable</w:t>
            </w:r>
          </w:p>
        </w:tc>
        <w:tc>
          <w:tcPr>
            <w:tcW w:w="1200" w:type="dxa"/>
            <w:tcBorders>
              <w:top w:val="nil"/>
              <w:left w:val="nil"/>
              <w:bottom w:val="single" w:sz="8" w:space="0" w:color="auto"/>
              <w:right w:val="single" w:sz="8" w:space="0" w:color="auto"/>
            </w:tcBorders>
            <w:shd w:val="clear" w:color="000000" w:fill="F2F2F2"/>
            <w:vAlign w:val="center"/>
            <w:hideMark/>
          </w:tcPr>
          <w:p w14:paraId="56EC410C" w14:textId="77777777" w:rsidR="006E2200" w:rsidRPr="00D557CB" w:rsidRDefault="006E2200" w:rsidP="00C13330">
            <w:pPr>
              <w:spacing w:after="0" w:line="240" w:lineRule="auto"/>
              <w:jc w:val="center"/>
              <w:rPr>
                <w:rFonts w:ascii="Calibri Light" w:eastAsia="Times New Roman" w:hAnsi="Calibri Light" w:cs="Calibri Light"/>
                <w:i/>
                <w:iCs/>
                <w:color w:val="000000"/>
                <w:sz w:val="24"/>
                <w:szCs w:val="24"/>
                <w:lang w:eastAsia="en-AU"/>
              </w:rPr>
            </w:pPr>
            <w:r w:rsidRPr="00D557CB">
              <w:rPr>
                <w:rFonts w:ascii="Calibri Light" w:eastAsia="Times New Roman" w:hAnsi="Calibri Light" w:cs="Calibri Light"/>
                <w:i/>
                <w:iCs/>
                <w:color w:val="000000"/>
                <w:sz w:val="24"/>
                <w:szCs w:val="24"/>
                <w:lang w:eastAsia="en-AU"/>
              </w:rPr>
              <w:t>6,367</w:t>
            </w:r>
          </w:p>
        </w:tc>
        <w:tc>
          <w:tcPr>
            <w:tcW w:w="1100" w:type="dxa"/>
            <w:tcBorders>
              <w:top w:val="nil"/>
              <w:left w:val="nil"/>
              <w:bottom w:val="single" w:sz="8" w:space="0" w:color="auto"/>
              <w:right w:val="single" w:sz="8" w:space="0" w:color="auto"/>
            </w:tcBorders>
            <w:shd w:val="clear" w:color="000000" w:fill="F2F2F2"/>
            <w:vAlign w:val="center"/>
            <w:hideMark/>
          </w:tcPr>
          <w:p w14:paraId="40884AD7" w14:textId="77777777" w:rsidR="006E2200" w:rsidRPr="00D557CB" w:rsidRDefault="006E2200" w:rsidP="00C13330">
            <w:pPr>
              <w:spacing w:after="0" w:line="240" w:lineRule="auto"/>
              <w:jc w:val="center"/>
              <w:rPr>
                <w:rFonts w:ascii="Calibri Light" w:eastAsia="Times New Roman" w:hAnsi="Calibri Light" w:cs="Calibri Light"/>
                <w:i/>
                <w:iCs/>
                <w:color w:val="000000"/>
                <w:sz w:val="24"/>
                <w:szCs w:val="24"/>
                <w:lang w:eastAsia="en-AU"/>
              </w:rPr>
            </w:pPr>
            <w:r w:rsidRPr="00D557CB">
              <w:rPr>
                <w:rFonts w:ascii="Calibri Light" w:eastAsia="Times New Roman" w:hAnsi="Calibri Light" w:cs="Calibri Light"/>
                <w:i/>
                <w:iCs/>
                <w:color w:val="000000"/>
                <w:sz w:val="24"/>
                <w:szCs w:val="24"/>
                <w:lang w:eastAsia="en-AU"/>
              </w:rPr>
              <w:t>98.3%</w:t>
            </w:r>
          </w:p>
        </w:tc>
        <w:tc>
          <w:tcPr>
            <w:tcW w:w="1720" w:type="dxa"/>
            <w:tcBorders>
              <w:top w:val="nil"/>
              <w:left w:val="nil"/>
              <w:bottom w:val="single" w:sz="8" w:space="0" w:color="auto"/>
              <w:right w:val="single" w:sz="8" w:space="0" w:color="auto"/>
            </w:tcBorders>
            <w:shd w:val="clear" w:color="000000" w:fill="F2F2F2"/>
            <w:vAlign w:val="center"/>
            <w:hideMark/>
          </w:tcPr>
          <w:p w14:paraId="47AC0002" w14:textId="77777777" w:rsidR="006E2200" w:rsidRPr="00D557CB" w:rsidRDefault="006E2200" w:rsidP="00C13330">
            <w:pPr>
              <w:spacing w:after="0" w:line="240" w:lineRule="auto"/>
              <w:jc w:val="center"/>
              <w:rPr>
                <w:rFonts w:ascii="Calibri Light" w:eastAsia="Times New Roman" w:hAnsi="Calibri Light" w:cs="Calibri Light"/>
                <w:i/>
                <w:iCs/>
                <w:color w:val="000000"/>
                <w:sz w:val="24"/>
                <w:szCs w:val="24"/>
                <w:lang w:eastAsia="en-AU"/>
              </w:rPr>
            </w:pPr>
            <w:r w:rsidRPr="00D557CB">
              <w:rPr>
                <w:rFonts w:ascii="Calibri Light" w:eastAsia="Times New Roman" w:hAnsi="Calibri Light" w:cs="Calibri Light"/>
                <w:i/>
                <w:iCs/>
                <w:color w:val="000000"/>
                <w:sz w:val="24"/>
                <w:szCs w:val="24"/>
                <w:lang w:eastAsia="en-AU"/>
              </w:rPr>
              <w:t>4,966</w:t>
            </w:r>
          </w:p>
        </w:tc>
        <w:tc>
          <w:tcPr>
            <w:tcW w:w="1120" w:type="dxa"/>
            <w:tcBorders>
              <w:top w:val="nil"/>
              <w:left w:val="nil"/>
              <w:bottom w:val="single" w:sz="8" w:space="0" w:color="auto"/>
              <w:right w:val="single" w:sz="8" w:space="0" w:color="auto"/>
            </w:tcBorders>
            <w:shd w:val="clear" w:color="000000" w:fill="F2F2F2"/>
            <w:vAlign w:val="center"/>
            <w:hideMark/>
          </w:tcPr>
          <w:p w14:paraId="2C8927C4" w14:textId="77777777" w:rsidR="006E2200" w:rsidRPr="00D557CB" w:rsidRDefault="006E2200" w:rsidP="00C13330">
            <w:pPr>
              <w:spacing w:after="0" w:line="240" w:lineRule="auto"/>
              <w:jc w:val="center"/>
              <w:rPr>
                <w:rFonts w:ascii="Calibri Light" w:eastAsia="Times New Roman" w:hAnsi="Calibri Light" w:cs="Calibri Light"/>
                <w:i/>
                <w:iCs/>
                <w:color w:val="000000"/>
                <w:sz w:val="24"/>
                <w:szCs w:val="24"/>
                <w:lang w:eastAsia="en-AU"/>
              </w:rPr>
            </w:pPr>
            <w:r w:rsidRPr="00D557CB">
              <w:rPr>
                <w:rFonts w:ascii="Calibri Light" w:eastAsia="Times New Roman" w:hAnsi="Calibri Light" w:cs="Calibri Light"/>
                <w:i/>
                <w:iCs/>
                <w:color w:val="000000"/>
                <w:sz w:val="24"/>
                <w:szCs w:val="24"/>
                <w:lang w:eastAsia="en-AU"/>
              </w:rPr>
              <w:t>96.4%</w:t>
            </w:r>
          </w:p>
        </w:tc>
      </w:tr>
      <w:tr w:rsidR="006E2200" w:rsidRPr="00D557CB" w14:paraId="0691E513" w14:textId="77777777" w:rsidTr="00C13330">
        <w:trPr>
          <w:trHeight w:val="323"/>
        </w:trPr>
        <w:tc>
          <w:tcPr>
            <w:tcW w:w="5200" w:type="dxa"/>
            <w:tcBorders>
              <w:top w:val="nil"/>
              <w:left w:val="single" w:sz="8" w:space="0" w:color="auto"/>
              <w:bottom w:val="single" w:sz="8" w:space="0" w:color="auto"/>
              <w:right w:val="single" w:sz="8" w:space="0" w:color="auto"/>
            </w:tcBorders>
            <w:shd w:val="clear" w:color="auto" w:fill="auto"/>
            <w:vAlign w:val="center"/>
            <w:hideMark/>
          </w:tcPr>
          <w:p w14:paraId="0E927FFA" w14:textId="77777777" w:rsidR="006E2200" w:rsidRPr="00D557CB" w:rsidRDefault="006E2200" w:rsidP="00C13330">
            <w:pPr>
              <w:spacing w:after="0" w:line="240" w:lineRule="auto"/>
              <w:ind w:firstLineChars="400" w:firstLine="960"/>
              <w:rPr>
                <w:rFonts w:ascii="Calibri Light" w:eastAsia="Times New Roman" w:hAnsi="Calibri Light" w:cs="Calibri Light"/>
                <w:i/>
                <w:iCs/>
                <w:color w:val="000000"/>
                <w:sz w:val="24"/>
                <w:szCs w:val="24"/>
                <w:lang w:eastAsia="en-AU"/>
              </w:rPr>
            </w:pPr>
            <w:r w:rsidRPr="00D557CB">
              <w:rPr>
                <w:rFonts w:ascii="Calibri Light" w:eastAsia="Times New Roman" w:hAnsi="Calibri Light" w:cs="Calibri Light"/>
                <w:i/>
                <w:iCs/>
                <w:color w:val="000000"/>
                <w:sz w:val="24"/>
                <w:szCs w:val="24"/>
                <w:lang w:eastAsia="en-AU"/>
              </w:rPr>
              <w:t>A - EIF - MFN duty-free</w:t>
            </w:r>
          </w:p>
        </w:tc>
        <w:tc>
          <w:tcPr>
            <w:tcW w:w="1200" w:type="dxa"/>
            <w:tcBorders>
              <w:top w:val="nil"/>
              <w:left w:val="nil"/>
              <w:bottom w:val="single" w:sz="8" w:space="0" w:color="auto"/>
              <w:right w:val="single" w:sz="8" w:space="0" w:color="auto"/>
            </w:tcBorders>
            <w:shd w:val="clear" w:color="auto" w:fill="auto"/>
            <w:vAlign w:val="center"/>
            <w:hideMark/>
          </w:tcPr>
          <w:p w14:paraId="254447AE" w14:textId="77777777" w:rsidR="006E2200" w:rsidRPr="00D557CB" w:rsidRDefault="006E2200" w:rsidP="00C13330">
            <w:pPr>
              <w:spacing w:after="0" w:line="240" w:lineRule="auto"/>
              <w:jc w:val="center"/>
              <w:rPr>
                <w:rFonts w:ascii="Calibri Light" w:eastAsia="Times New Roman" w:hAnsi="Calibri Light" w:cs="Calibri Light"/>
                <w:i/>
                <w:iCs/>
                <w:color w:val="000000"/>
                <w:sz w:val="24"/>
                <w:szCs w:val="24"/>
                <w:lang w:eastAsia="en-AU"/>
              </w:rPr>
            </w:pPr>
            <w:r w:rsidRPr="00D557CB">
              <w:rPr>
                <w:rFonts w:ascii="Calibri Light" w:eastAsia="Times New Roman" w:hAnsi="Calibri Light" w:cs="Calibri Light"/>
                <w:i/>
                <w:iCs/>
                <w:color w:val="000000"/>
                <w:sz w:val="24"/>
                <w:szCs w:val="24"/>
                <w:lang w:eastAsia="en-AU"/>
              </w:rPr>
              <w:t>3,209</w:t>
            </w:r>
          </w:p>
        </w:tc>
        <w:tc>
          <w:tcPr>
            <w:tcW w:w="1100" w:type="dxa"/>
            <w:tcBorders>
              <w:top w:val="nil"/>
              <w:left w:val="nil"/>
              <w:bottom w:val="single" w:sz="8" w:space="0" w:color="auto"/>
              <w:right w:val="single" w:sz="8" w:space="0" w:color="auto"/>
            </w:tcBorders>
            <w:shd w:val="clear" w:color="auto" w:fill="auto"/>
            <w:vAlign w:val="center"/>
            <w:hideMark/>
          </w:tcPr>
          <w:p w14:paraId="477E97FB" w14:textId="77777777" w:rsidR="006E2200" w:rsidRPr="00D557CB" w:rsidRDefault="006E2200" w:rsidP="00C13330">
            <w:pPr>
              <w:spacing w:after="0" w:line="240" w:lineRule="auto"/>
              <w:jc w:val="center"/>
              <w:rPr>
                <w:rFonts w:ascii="Calibri Light" w:eastAsia="Times New Roman" w:hAnsi="Calibri Light" w:cs="Calibri Light"/>
                <w:i/>
                <w:iCs/>
                <w:color w:val="000000"/>
                <w:sz w:val="24"/>
                <w:szCs w:val="24"/>
                <w:lang w:eastAsia="en-AU"/>
              </w:rPr>
            </w:pPr>
            <w:r w:rsidRPr="00D557CB">
              <w:rPr>
                <w:rFonts w:ascii="Calibri Light" w:eastAsia="Times New Roman" w:hAnsi="Calibri Light" w:cs="Calibri Light"/>
                <w:i/>
                <w:iCs/>
                <w:color w:val="000000"/>
                <w:sz w:val="24"/>
                <w:szCs w:val="24"/>
                <w:lang w:eastAsia="en-AU"/>
              </w:rPr>
              <w:t>49.5%</w:t>
            </w:r>
          </w:p>
        </w:tc>
        <w:tc>
          <w:tcPr>
            <w:tcW w:w="1720" w:type="dxa"/>
            <w:tcBorders>
              <w:top w:val="nil"/>
              <w:left w:val="nil"/>
              <w:bottom w:val="single" w:sz="8" w:space="0" w:color="auto"/>
              <w:right w:val="single" w:sz="8" w:space="0" w:color="auto"/>
            </w:tcBorders>
            <w:shd w:val="clear" w:color="auto" w:fill="auto"/>
            <w:vAlign w:val="center"/>
            <w:hideMark/>
          </w:tcPr>
          <w:p w14:paraId="5E9953BF" w14:textId="77777777" w:rsidR="006E2200" w:rsidRPr="00D557CB" w:rsidRDefault="006E2200" w:rsidP="00C13330">
            <w:pPr>
              <w:spacing w:after="0" w:line="240" w:lineRule="auto"/>
              <w:jc w:val="center"/>
              <w:rPr>
                <w:rFonts w:ascii="Calibri Light" w:eastAsia="Times New Roman" w:hAnsi="Calibri Light" w:cs="Calibri Light"/>
                <w:i/>
                <w:iCs/>
                <w:color w:val="000000"/>
                <w:sz w:val="24"/>
                <w:szCs w:val="24"/>
                <w:lang w:eastAsia="en-AU"/>
              </w:rPr>
            </w:pPr>
            <w:r w:rsidRPr="00D557CB">
              <w:rPr>
                <w:rFonts w:ascii="Calibri Light" w:eastAsia="Times New Roman" w:hAnsi="Calibri Light" w:cs="Calibri Light"/>
                <w:i/>
                <w:iCs/>
                <w:color w:val="000000"/>
                <w:sz w:val="24"/>
                <w:szCs w:val="24"/>
                <w:lang w:eastAsia="en-AU"/>
              </w:rPr>
              <w:t>2,706</w:t>
            </w:r>
          </w:p>
        </w:tc>
        <w:tc>
          <w:tcPr>
            <w:tcW w:w="1120" w:type="dxa"/>
            <w:tcBorders>
              <w:top w:val="nil"/>
              <w:left w:val="nil"/>
              <w:bottom w:val="single" w:sz="8" w:space="0" w:color="auto"/>
              <w:right w:val="single" w:sz="8" w:space="0" w:color="auto"/>
            </w:tcBorders>
            <w:shd w:val="clear" w:color="auto" w:fill="auto"/>
            <w:vAlign w:val="center"/>
            <w:hideMark/>
          </w:tcPr>
          <w:p w14:paraId="3B2E9EE1" w14:textId="77777777" w:rsidR="006E2200" w:rsidRPr="00D557CB" w:rsidRDefault="006E2200" w:rsidP="00C13330">
            <w:pPr>
              <w:spacing w:after="0" w:line="240" w:lineRule="auto"/>
              <w:jc w:val="center"/>
              <w:rPr>
                <w:rFonts w:ascii="Calibri Light" w:eastAsia="Times New Roman" w:hAnsi="Calibri Light" w:cs="Calibri Light"/>
                <w:i/>
                <w:iCs/>
                <w:color w:val="000000"/>
                <w:sz w:val="24"/>
                <w:szCs w:val="24"/>
                <w:lang w:eastAsia="en-AU"/>
              </w:rPr>
            </w:pPr>
            <w:r w:rsidRPr="00D557CB">
              <w:rPr>
                <w:rFonts w:ascii="Calibri Light" w:eastAsia="Times New Roman" w:hAnsi="Calibri Light" w:cs="Calibri Light"/>
                <w:i/>
                <w:iCs/>
                <w:color w:val="000000"/>
                <w:sz w:val="24"/>
                <w:szCs w:val="24"/>
                <w:lang w:eastAsia="en-AU"/>
              </w:rPr>
              <w:t>52.5%</w:t>
            </w:r>
          </w:p>
        </w:tc>
      </w:tr>
      <w:tr w:rsidR="006E2200" w:rsidRPr="00D557CB" w14:paraId="26617971" w14:textId="77777777" w:rsidTr="00C13330">
        <w:trPr>
          <w:trHeight w:val="323"/>
        </w:trPr>
        <w:tc>
          <w:tcPr>
            <w:tcW w:w="5200" w:type="dxa"/>
            <w:tcBorders>
              <w:top w:val="nil"/>
              <w:left w:val="single" w:sz="8" w:space="0" w:color="auto"/>
              <w:bottom w:val="single" w:sz="8" w:space="0" w:color="auto"/>
              <w:right w:val="single" w:sz="8" w:space="0" w:color="auto"/>
            </w:tcBorders>
            <w:shd w:val="clear" w:color="auto" w:fill="auto"/>
            <w:vAlign w:val="center"/>
            <w:hideMark/>
          </w:tcPr>
          <w:p w14:paraId="260DBA62" w14:textId="77777777" w:rsidR="006E2200" w:rsidRPr="00D557CB" w:rsidRDefault="006E2200" w:rsidP="00C13330">
            <w:pPr>
              <w:spacing w:after="0" w:line="240" w:lineRule="auto"/>
              <w:ind w:firstLineChars="400" w:firstLine="960"/>
              <w:rPr>
                <w:rFonts w:ascii="Calibri Light" w:eastAsia="Times New Roman" w:hAnsi="Calibri Light" w:cs="Calibri Light"/>
                <w:i/>
                <w:iCs/>
                <w:color w:val="000000"/>
                <w:sz w:val="24"/>
                <w:szCs w:val="24"/>
                <w:lang w:eastAsia="en-AU"/>
              </w:rPr>
            </w:pPr>
            <w:r w:rsidRPr="00D557CB">
              <w:rPr>
                <w:rFonts w:ascii="Calibri Light" w:eastAsia="Times New Roman" w:hAnsi="Calibri Light" w:cs="Calibri Light"/>
                <w:i/>
                <w:iCs/>
                <w:color w:val="000000"/>
                <w:sz w:val="24"/>
                <w:szCs w:val="24"/>
                <w:lang w:eastAsia="en-AU"/>
              </w:rPr>
              <w:t>A - EIF - MFN dutiable</w:t>
            </w:r>
          </w:p>
        </w:tc>
        <w:tc>
          <w:tcPr>
            <w:tcW w:w="1200" w:type="dxa"/>
            <w:tcBorders>
              <w:top w:val="nil"/>
              <w:left w:val="nil"/>
              <w:bottom w:val="single" w:sz="8" w:space="0" w:color="auto"/>
              <w:right w:val="single" w:sz="8" w:space="0" w:color="auto"/>
            </w:tcBorders>
            <w:shd w:val="clear" w:color="auto" w:fill="auto"/>
            <w:vAlign w:val="center"/>
            <w:hideMark/>
          </w:tcPr>
          <w:p w14:paraId="77B40915" w14:textId="77777777" w:rsidR="006E2200" w:rsidRPr="00D557CB" w:rsidRDefault="006E2200" w:rsidP="00C13330">
            <w:pPr>
              <w:spacing w:after="0" w:line="240" w:lineRule="auto"/>
              <w:jc w:val="center"/>
              <w:rPr>
                <w:rFonts w:ascii="Calibri Light" w:eastAsia="Times New Roman" w:hAnsi="Calibri Light" w:cs="Calibri Light"/>
                <w:i/>
                <w:iCs/>
                <w:color w:val="000000"/>
                <w:sz w:val="24"/>
                <w:szCs w:val="24"/>
                <w:lang w:eastAsia="en-AU"/>
              </w:rPr>
            </w:pPr>
            <w:r w:rsidRPr="00D557CB">
              <w:rPr>
                <w:rFonts w:ascii="Calibri Light" w:eastAsia="Times New Roman" w:hAnsi="Calibri Light" w:cs="Calibri Light"/>
                <w:i/>
                <w:iCs/>
                <w:color w:val="000000"/>
                <w:sz w:val="24"/>
                <w:szCs w:val="24"/>
                <w:lang w:eastAsia="en-AU"/>
              </w:rPr>
              <w:t>3,158</w:t>
            </w:r>
          </w:p>
        </w:tc>
        <w:tc>
          <w:tcPr>
            <w:tcW w:w="1100" w:type="dxa"/>
            <w:tcBorders>
              <w:top w:val="nil"/>
              <w:left w:val="nil"/>
              <w:bottom w:val="single" w:sz="8" w:space="0" w:color="auto"/>
              <w:right w:val="single" w:sz="8" w:space="0" w:color="auto"/>
            </w:tcBorders>
            <w:shd w:val="clear" w:color="auto" w:fill="auto"/>
            <w:vAlign w:val="center"/>
            <w:hideMark/>
          </w:tcPr>
          <w:p w14:paraId="50CD4F68" w14:textId="77777777" w:rsidR="006E2200" w:rsidRPr="00D557CB" w:rsidRDefault="006E2200" w:rsidP="00C13330">
            <w:pPr>
              <w:spacing w:after="0" w:line="240" w:lineRule="auto"/>
              <w:jc w:val="center"/>
              <w:rPr>
                <w:rFonts w:ascii="Calibri Light" w:eastAsia="Times New Roman" w:hAnsi="Calibri Light" w:cs="Calibri Light"/>
                <w:i/>
                <w:iCs/>
                <w:color w:val="000000"/>
                <w:sz w:val="24"/>
                <w:szCs w:val="24"/>
                <w:lang w:eastAsia="en-AU"/>
              </w:rPr>
            </w:pPr>
            <w:r w:rsidRPr="00D557CB">
              <w:rPr>
                <w:rFonts w:ascii="Calibri Light" w:eastAsia="Times New Roman" w:hAnsi="Calibri Light" w:cs="Calibri Light"/>
                <w:i/>
                <w:iCs/>
                <w:color w:val="000000"/>
                <w:sz w:val="24"/>
                <w:szCs w:val="24"/>
                <w:lang w:eastAsia="en-AU"/>
              </w:rPr>
              <w:t>48.7%</w:t>
            </w:r>
          </w:p>
        </w:tc>
        <w:tc>
          <w:tcPr>
            <w:tcW w:w="1720" w:type="dxa"/>
            <w:tcBorders>
              <w:top w:val="nil"/>
              <w:left w:val="nil"/>
              <w:bottom w:val="single" w:sz="8" w:space="0" w:color="auto"/>
              <w:right w:val="single" w:sz="8" w:space="0" w:color="auto"/>
            </w:tcBorders>
            <w:shd w:val="clear" w:color="auto" w:fill="auto"/>
            <w:vAlign w:val="center"/>
            <w:hideMark/>
          </w:tcPr>
          <w:p w14:paraId="6F6C2E75" w14:textId="77777777" w:rsidR="006E2200" w:rsidRPr="00D557CB" w:rsidRDefault="006E2200" w:rsidP="00C13330">
            <w:pPr>
              <w:spacing w:after="0" w:line="240" w:lineRule="auto"/>
              <w:jc w:val="center"/>
              <w:rPr>
                <w:rFonts w:ascii="Calibri Light" w:eastAsia="Times New Roman" w:hAnsi="Calibri Light" w:cs="Calibri Light"/>
                <w:i/>
                <w:iCs/>
                <w:color w:val="000000"/>
                <w:sz w:val="24"/>
                <w:szCs w:val="24"/>
                <w:lang w:eastAsia="en-AU"/>
              </w:rPr>
            </w:pPr>
            <w:r w:rsidRPr="00D557CB">
              <w:rPr>
                <w:rFonts w:ascii="Calibri Light" w:eastAsia="Times New Roman" w:hAnsi="Calibri Light" w:cs="Calibri Light"/>
                <w:i/>
                <w:iCs/>
                <w:color w:val="000000"/>
                <w:sz w:val="24"/>
                <w:szCs w:val="24"/>
                <w:lang w:eastAsia="en-AU"/>
              </w:rPr>
              <w:t>2,260</w:t>
            </w:r>
          </w:p>
        </w:tc>
        <w:tc>
          <w:tcPr>
            <w:tcW w:w="1120" w:type="dxa"/>
            <w:tcBorders>
              <w:top w:val="nil"/>
              <w:left w:val="nil"/>
              <w:bottom w:val="single" w:sz="8" w:space="0" w:color="auto"/>
              <w:right w:val="single" w:sz="8" w:space="0" w:color="auto"/>
            </w:tcBorders>
            <w:shd w:val="clear" w:color="auto" w:fill="auto"/>
            <w:vAlign w:val="center"/>
            <w:hideMark/>
          </w:tcPr>
          <w:p w14:paraId="243F2B01" w14:textId="77777777" w:rsidR="006E2200" w:rsidRPr="00D557CB" w:rsidRDefault="006E2200" w:rsidP="00C13330">
            <w:pPr>
              <w:spacing w:after="0" w:line="240" w:lineRule="auto"/>
              <w:jc w:val="center"/>
              <w:rPr>
                <w:rFonts w:ascii="Calibri Light" w:eastAsia="Times New Roman" w:hAnsi="Calibri Light" w:cs="Calibri Light"/>
                <w:i/>
                <w:iCs/>
                <w:color w:val="000000"/>
                <w:sz w:val="24"/>
                <w:szCs w:val="24"/>
                <w:lang w:eastAsia="en-AU"/>
              </w:rPr>
            </w:pPr>
            <w:r w:rsidRPr="00D557CB">
              <w:rPr>
                <w:rFonts w:ascii="Calibri Light" w:eastAsia="Times New Roman" w:hAnsi="Calibri Light" w:cs="Calibri Light"/>
                <w:i/>
                <w:iCs/>
                <w:color w:val="000000"/>
                <w:sz w:val="24"/>
                <w:szCs w:val="24"/>
                <w:lang w:eastAsia="en-AU"/>
              </w:rPr>
              <w:t>43.9%</w:t>
            </w:r>
          </w:p>
        </w:tc>
      </w:tr>
      <w:tr w:rsidR="006E2200" w:rsidRPr="00D557CB" w14:paraId="11DF867B" w14:textId="77777777" w:rsidTr="00C13330">
        <w:trPr>
          <w:trHeight w:val="323"/>
        </w:trPr>
        <w:tc>
          <w:tcPr>
            <w:tcW w:w="5200" w:type="dxa"/>
            <w:tcBorders>
              <w:top w:val="nil"/>
              <w:left w:val="single" w:sz="8" w:space="0" w:color="auto"/>
              <w:bottom w:val="single" w:sz="8" w:space="0" w:color="auto"/>
              <w:right w:val="single" w:sz="8" w:space="0" w:color="auto"/>
            </w:tcBorders>
            <w:shd w:val="clear" w:color="000000" w:fill="F2F2F2"/>
            <w:vAlign w:val="center"/>
            <w:hideMark/>
          </w:tcPr>
          <w:p w14:paraId="047CA0BF" w14:textId="77777777" w:rsidR="006E2200" w:rsidRPr="00D557CB" w:rsidRDefault="006E2200" w:rsidP="00C13330">
            <w:pPr>
              <w:spacing w:after="0" w:line="240" w:lineRule="auto"/>
              <w:ind w:firstLineChars="300" w:firstLine="720"/>
              <w:rPr>
                <w:rFonts w:ascii="Calibri Light" w:eastAsia="Times New Roman" w:hAnsi="Calibri Light" w:cs="Calibri Light"/>
                <w:i/>
                <w:iCs/>
                <w:color w:val="000000"/>
                <w:sz w:val="24"/>
                <w:szCs w:val="24"/>
                <w:lang w:eastAsia="en-AU"/>
              </w:rPr>
            </w:pPr>
            <w:r w:rsidRPr="00D557CB">
              <w:rPr>
                <w:rFonts w:ascii="Calibri Light" w:eastAsia="Times New Roman" w:hAnsi="Calibri Light" w:cs="Calibri Light"/>
                <w:i/>
                <w:iCs/>
                <w:color w:val="000000"/>
                <w:sz w:val="24"/>
                <w:szCs w:val="24"/>
                <w:lang w:eastAsia="en-AU"/>
              </w:rPr>
              <w:t>B5</w:t>
            </w:r>
          </w:p>
        </w:tc>
        <w:tc>
          <w:tcPr>
            <w:tcW w:w="1200" w:type="dxa"/>
            <w:tcBorders>
              <w:top w:val="nil"/>
              <w:left w:val="nil"/>
              <w:bottom w:val="single" w:sz="8" w:space="0" w:color="auto"/>
              <w:right w:val="single" w:sz="8" w:space="0" w:color="auto"/>
            </w:tcBorders>
            <w:shd w:val="clear" w:color="000000" w:fill="F2F2F2"/>
            <w:vAlign w:val="center"/>
            <w:hideMark/>
          </w:tcPr>
          <w:p w14:paraId="3C2F77CF" w14:textId="77777777" w:rsidR="006E2200" w:rsidRPr="00D557CB" w:rsidRDefault="006E2200" w:rsidP="00C13330">
            <w:pPr>
              <w:spacing w:after="0" w:line="240" w:lineRule="auto"/>
              <w:jc w:val="center"/>
              <w:rPr>
                <w:rFonts w:ascii="Calibri Light" w:eastAsia="Times New Roman" w:hAnsi="Calibri Light" w:cs="Calibri Light"/>
                <w:i/>
                <w:iCs/>
                <w:color w:val="000000"/>
                <w:sz w:val="24"/>
                <w:szCs w:val="24"/>
                <w:lang w:eastAsia="en-AU"/>
              </w:rPr>
            </w:pPr>
            <w:r w:rsidRPr="00D557CB">
              <w:rPr>
                <w:rFonts w:ascii="Calibri Light" w:eastAsia="Times New Roman" w:hAnsi="Calibri Light" w:cs="Calibri Light"/>
                <w:i/>
                <w:iCs/>
                <w:color w:val="000000"/>
                <w:sz w:val="24"/>
                <w:szCs w:val="24"/>
                <w:lang w:eastAsia="en-AU"/>
              </w:rPr>
              <w:t>113</w:t>
            </w:r>
          </w:p>
        </w:tc>
        <w:tc>
          <w:tcPr>
            <w:tcW w:w="1100" w:type="dxa"/>
            <w:tcBorders>
              <w:top w:val="nil"/>
              <w:left w:val="nil"/>
              <w:bottom w:val="single" w:sz="8" w:space="0" w:color="auto"/>
              <w:right w:val="single" w:sz="8" w:space="0" w:color="auto"/>
            </w:tcBorders>
            <w:shd w:val="clear" w:color="000000" w:fill="F2F2F2"/>
            <w:vAlign w:val="center"/>
            <w:hideMark/>
          </w:tcPr>
          <w:p w14:paraId="0414116D" w14:textId="77777777" w:rsidR="006E2200" w:rsidRPr="00D557CB" w:rsidRDefault="006E2200" w:rsidP="00C13330">
            <w:pPr>
              <w:spacing w:after="0" w:line="240" w:lineRule="auto"/>
              <w:jc w:val="center"/>
              <w:rPr>
                <w:rFonts w:ascii="Calibri Light" w:eastAsia="Times New Roman" w:hAnsi="Calibri Light" w:cs="Calibri Light"/>
                <w:i/>
                <w:iCs/>
                <w:color w:val="000000"/>
                <w:sz w:val="24"/>
                <w:szCs w:val="24"/>
                <w:lang w:eastAsia="en-AU"/>
              </w:rPr>
            </w:pPr>
            <w:r w:rsidRPr="00D557CB">
              <w:rPr>
                <w:rFonts w:ascii="Calibri Light" w:eastAsia="Times New Roman" w:hAnsi="Calibri Light" w:cs="Calibri Light"/>
                <w:i/>
                <w:iCs/>
                <w:color w:val="000000"/>
                <w:sz w:val="24"/>
                <w:szCs w:val="24"/>
                <w:lang w:eastAsia="en-AU"/>
              </w:rPr>
              <w:t>1.7%</w:t>
            </w:r>
          </w:p>
        </w:tc>
        <w:tc>
          <w:tcPr>
            <w:tcW w:w="1720" w:type="dxa"/>
            <w:tcBorders>
              <w:top w:val="nil"/>
              <w:left w:val="nil"/>
              <w:bottom w:val="single" w:sz="8" w:space="0" w:color="auto"/>
              <w:right w:val="single" w:sz="8" w:space="0" w:color="auto"/>
            </w:tcBorders>
            <w:shd w:val="clear" w:color="000000" w:fill="F2F2F2"/>
            <w:vAlign w:val="center"/>
            <w:hideMark/>
          </w:tcPr>
          <w:p w14:paraId="10ED322E" w14:textId="77777777" w:rsidR="006E2200" w:rsidRPr="00D557CB" w:rsidRDefault="006E2200" w:rsidP="00C13330">
            <w:pPr>
              <w:spacing w:after="0" w:line="240" w:lineRule="auto"/>
              <w:jc w:val="center"/>
              <w:rPr>
                <w:rFonts w:ascii="Calibri Light" w:eastAsia="Times New Roman" w:hAnsi="Calibri Light" w:cs="Calibri Light"/>
                <w:i/>
                <w:iCs/>
                <w:color w:val="000000"/>
                <w:sz w:val="24"/>
                <w:szCs w:val="24"/>
                <w:lang w:eastAsia="en-AU"/>
              </w:rPr>
            </w:pPr>
            <w:r w:rsidRPr="00D557CB">
              <w:rPr>
                <w:rFonts w:ascii="Calibri Light" w:eastAsia="Times New Roman" w:hAnsi="Calibri Light" w:cs="Calibri Light"/>
                <w:i/>
                <w:iCs/>
                <w:color w:val="000000"/>
                <w:sz w:val="24"/>
                <w:szCs w:val="24"/>
                <w:lang w:eastAsia="en-AU"/>
              </w:rPr>
              <w:t>185</w:t>
            </w:r>
          </w:p>
        </w:tc>
        <w:tc>
          <w:tcPr>
            <w:tcW w:w="1120" w:type="dxa"/>
            <w:tcBorders>
              <w:top w:val="nil"/>
              <w:left w:val="nil"/>
              <w:bottom w:val="single" w:sz="8" w:space="0" w:color="auto"/>
              <w:right w:val="single" w:sz="8" w:space="0" w:color="auto"/>
            </w:tcBorders>
            <w:shd w:val="clear" w:color="000000" w:fill="F2F2F2"/>
            <w:vAlign w:val="center"/>
            <w:hideMark/>
          </w:tcPr>
          <w:p w14:paraId="76AACF4C" w14:textId="77777777" w:rsidR="006E2200" w:rsidRPr="00D557CB" w:rsidRDefault="006E2200" w:rsidP="00C13330">
            <w:pPr>
              <w:spacing w:after="0" w:line="240" w:lineRule="auto"/>
              <w:jc w:val="center"/>
              <w:rPr>
                <w:rFonts w:ascii="Calibri Light" w:eastAsia="Times New Roman" w:hAnsi="Calibri Light" w:cs="Calibri Light"/>
                <w:i/>
                <w:iCs/>
                <w:color w:val="000000"/>
                <w:sz w:val="24"/>
                <w:szCs w:val="24"/>
                <w:lang w:eastAsia="en-AU"/>
              </w:rPr>
            </w:pPr>
            <w:r w:rsidRPr="00D557CB">
              <w:rPr>
                <w:rFonts w:ascii="Calibri Light" w:eastAsia="Times New Roman" w:hAnsi="Calibri Light" w:cs="Calibri Light"/>
                <w:i/>
                <w:iCs/>
                <w:color w:val="000000"/>
                <w:sz w:val="24"/>
                <w:szCs w:val="24"/>
                <w:lang w:eastAsia="en-AU"/>
              </w:rPr>
              <w:t>3.6%</w:t>
            </w:r>
          </w:p>
        </w:tc>
      </w:tr>
      <w:bookmarkEnd w:id="47"/>
    </w:tbl>
    <w:p w14:paraId="2724EB5A" w14:textId="336FF88F" w:rsidR="00561300" w:rsidRDefault="00561300" w:rsidP="0014704E">
      <w:pPr>
        <w:spacing w:after="0"/>
        <w:rPr>
          <w:sz w:val="24"/>
          <w:szCs w:val="24"/>
        </w:rPr>
      </w:pPr>
    </w:p>
    <w:p w14:paraId="699F60FC" w14:textId="225B3969" w:rsidR="00CB5E73" w:rsidRPr="00250E03" w:rsidRDefault="00250E03" w:rsidP="00A80396">
      <w:pPr>
        <w:pStyle w:val="ListParagraph"/>
        <w:numPr>
          <w:ilvl w:val="0"/>
          <w:numId w:val="1"/>
        </w:numPr>
        <w:spacing w:after="0"/>
        <w:ind w:left="567" w:hanging="567"/>
        <w:rPr>
          <w:sz w:val="24"/>
          <w:szCs w:val="24"/>
        </w:rPr>
      </w:pPr>
      <w:r w:rsidRPr="543832D4">
        <w:rPr>
          <w:sz w:val="24"/>
          <w:szCs w:val="24"/>
        </w:rPr>
        <w:t xml:space="preserve">The Regulatory Burden Estimate is at </w:t>
      </w:r>
      <w:r w:rsidRPr="543832D4">
        <w:rPr>
          <w:b/>
          <w:bCs/>
          <w:sz w:val="24"/>
          <w:szCs w:val="24"/>
          <w:u w:val="single"/>
        </w:rPr>
        <w:t>Attachment C</w:t>
      </w:r>
      <w:r w:rsidRPr="543832D4">
        <w:rPr>
          <w:sz w:val="24"/>
          <w:szCs w:val="24"/>
        </w:rPr>
        <w:t>.</w:t>
      </w:r>
    </w:p>
    <w:bookmarkEnd w:id="36"/>
    <w:p w14:paraId="5775E4C7" w14:textId="77777777" w:rsidR="00F25478" w:rsidRDefault="00F25478">
      <w:pPr>
        <w:spacing w:after="0"/>
        <w:rPr>
          <w:rFonts w:asciiTheme="majorHAnsi" w:eastAsiaTheme="majorEastAsia" w:hAnsiTheme="majorHAnsi" w:cstheme="majorBidi"/>
          <w:b/>
          <w:color w:val="2F5496" w:themeColor="accent1" w:themeShade="BF"/>
          <w:sz w:val="26"/>
          <w:szCs w:val="26"/>
        </w:rPr>
      </w:pPr>
    </w:p>
    <w:p w14:paraId="06E2F037" w14:textId="3E86E116" w:rsidR="00A96E01" w:rsidRPr="00A96E01" w:rsidRDefault="00A96E01" w:rsidP="0001716D">
      <w:pPr>
        <w:pStyle w:val="Heading2"/>
        <w:spacing w:before="0"/>
      </w:pPr>
      <w:bookmarkStart w:id="48" w:name="_Toc99370668"/>
      <w:r w:rsidRPr="00A96E01">
        <w:t>Trade in Goods Chapter Outcomes</w:t>
      </w:r>
      <w:bookmarkEnd w:id="48"/>
      <w:r w:rsidRPr="00A96E01">
        <w:t xml:space="preserve"> </w:t>
      </w:r>
    </w:p>
    <w:p w14:paraId="22ECA845" w14:textId="77777777" w:rsidR="00F25478" w:rsidRDefault="00F25478">
      <w:pPr>
        <w:pStyle w:val="ListParagraph"/>
        <w:spacing w:after="0"/>
        <w:ind w:left="567"/>
        <w:rPr>
          <w:sz w:val="24"/>
          <w:szCs w:val="24"/>
        </w:rPr>
      </w:pPr>
    </w:p>
    <w:p w14:paraId="7C506E2D" w14:textId="3FE059A3" w:rsidR="00DF1A99" w:rsidRDefault="00DF1A99">
      <w:pPr>
        <w:pStyle w:val="ListParagraph"/>
        <w:numPr>
          <w:ilvl w:val="0"/>
          <w:numId w:val="1"/>
        </w:numPr>
        <w:spacing w:after="0"/>
        <w:ind w:left="567" w:hanging="567"/>
        <w:rPr>
          <w:sz w:val="24"/>
          <w:szCs w:val="24"/>
        </w:rPr>
      </w:pPr>
      <w:r w:rsidRPr="543832D4">
        <w:rPr>
          <w:sz w:val="24"/>
          <w:szCs w:val="24"/>
        </w:rPr>
        <w:t xml:space="preserve">Australia and India’s commitments under the proposed </w:t>
      </w:r>
      <w:r w:rsidR="00D10AF6">
        <w:rPr>
          <w:sz w:val="24"/>
          <w:szCs w:val="24"/>
        </w:rPr>
        <w:t>AI</w:t>
      </w:r>
      <w:r w:rsidR="00217C26">
        <w:rPr>
          <w:sz w:val="24"/>
          <w:szCs w:val="24"/>
        </w:rPr>
        <w:t xml:space="preserve"> ECTA</w:t>
      </w:r>
      <w:r w:rsidRPr="543832D4">
        <w:rPr>
          <w:sz w:val="24"/>
          <w:szCs w:val="24"/>
        </w:rPr>
        <w:t xml:space="preserve"> reflect the intentions of the parties to liberalise the goods sector, which would provide a useful platform to inform negotiations for a full CECA. </w:t>
      </w:r>
    </w:p>
    <w:p w14:paraId="6D06C097" w14:textId="77777777" w:rsidR="00DF1A99" w:rsidRDefault="00DF1A99">
      <w:pPr>
        <w:pStyle w:val="ListParagraph"/>
        <w:spacing w:after="0"/>
        <w:ind w:left="567"/>
        <w:rPr>
          <w:sz w:val="24"/>
          <w:szCs w:val="24"/>
        </w:rPr>
      </w:pPr>
    </w:p>
    <w:p w14:paraId="05CB5334" w14:textId="1CDB91DE" w:rsidR="00A96E01" w:rsidRDefault="00A96E01">
      <w:pPr>
        <w:pStyle w:val="ListParagraph"/>
        <w:numPr>
          <w:ilvl w:val="0"/>
          <w:numId w:val="1"/>
        </w:numPr>
        <w:spacing w:after="0"/>
        <w:ind w:left="567" w:hanging="567"/>
        <w:rPr>
          <w:sz w:val="24"/>
          <w:szCs w:val="24"/>
        </w:rPr>
      </w:pPr>
      <w:r w:rsidRPr="543832D4">
        <w:rPr>
          <w:sz w:val="24"/>
          <w:szCs w:val="24"/>
        </w:rPr>
        <w:t xml:space="preserve">The Trade in Goods Chapter in the proposed </w:t>
      </w:r>
      <w:r w:rsidR="00D10AF6">
        <w:rPr>
          <w:sz w:val="24"/>
          <w:szCs w:val="24"/>
        </w:rPr>
        <w:t>AI</w:t>
      </w:r>
      <w:r w:rsidR="00217C26">
        <w:rPr>
          <w:sz w:val="24"/>
          <w:szCs w:val="24"/>
        </w:rPr>
        <w:t xml:space="preserve"> ECTA</w:t>
      </w:r>
      <w:r w:rsidR="009F138D" w:rsidRPr="543832D4">
        <w:rPr>
          <w:sz w:val="24"/>
          <w:szCs w:val="24"/>
        </w:rPr>
        <w:t xml:space="preserve"> </w:t>
      </w:r>
      <w:r w:rsidR="00C17A44" w:rsidRPr="543832D4">
        <w:rPr>
          <w:sz w:val="24"/>
          <w:szCs w:val="24"/>
        </w:rPr>
        <w:t xml:space="preserve">secures Australia and India’s commitment to </w:t>
      </w:r>
      <w:r w:rsidR="005033FC" w:rsidRPr="543832D4">
        <w:rPr>
          <w:sz w:val="24"/>
          <w:szCs w:val="24"/>
        </w:rPr>
        <w:t>eliminate or reduce customs duties</w:t>
      </w:r>
      <w:r w:rsidRPr="543832D4">
        <w:rPr>
          <w:sz w:val="24"/>
          <w:szCs w:val="24"/>
        </w:rPr>
        <w:t xml:space="preserve"> for a range of goods, as outlined </w:t>
      </w:r>
      <w:r w:rsidRPr="00C90B6E">
        <w:rPr>
          <w:sz w:val="24"/>
          <w:szCs w:val="24"/>
        </w:rPr>
        <w:t xml:space="preserve">in Annex 2A (Tariff Commitments). This improves on the status quo and directly responds to one of the key issues raised by stakeholders during the consultations (please see the </w:t>
      </w:r>
      <w:r w:rsidR="003E0B1E" w:rsidRPr="00C90B6E">
        <w:rPr>
          <w:sz w:val="24"/>
          <w:szCs w:val="24"/>
        </w:rPr>
        <w:t>‘Who did you consult’</w:t>
      </w:r>
      <w:r w:rsidRPr="00C90B6E">
        <w:rPr>
          <w:sz w:val="24"/>
          <w:szCs w:val="24"/>
        </w:rPr>
        <w:t xml:space="preserve"> </w:t>
      </w:r>
      <w:r w:rsidR="007578FE" w:rsidRPr="00C90B6E">
        <w:rPr>
          <w:sz w:val="24"/>
          <w:szCs w:val="24"/>
        </w:rPr>
        <w:t>s</w:t>
      </w:r>
      <w:r w:rsidRPr="00C90B6E">
        <w:rPr>
          <w:sz w:val="24"/>
          <w:szCs w:val="24"/>
        </w:rPr>
        <w:t>ection for a more detailed discussion).</w:t>
      </w:r>
    </w:p>
    <w:p w14:paraId="4C13D8D4" w14:textId="77777777" w:rsidR="00C90B6E" w:rsidRPr="00C90B6E" w:rsidRDefault="00C90B6E" w:rsidP="0001716D">
      <w:pPr>
        <w:pStyle w:val="ListParagraph"/>
        <w:spacing w:after="0"/>
        <w:rPr>
          <w:sz w:val="24"/>
          <w:szCs w:val="24"/>
        </w:rPr>
      </w:pPr>
    </w:p>
    <w:p w14:paraId="5451A008" w14:textId="3F8228BC" w:rsidR="00D64C64" w:rsidRPr="00C90B6E" w:rsidRDefault="00D64C64">
      <w:pPr>
        <w:pStyle w:val="ListParagraph"/>
        <w:numPr>
          <w:ilvl w:val="0"/>
          <w:numId w:val="1"/>
        </w:numPr>
        <w:spacing w:after="0"/>
        <w:ind w:left="567" w:hanging="567"/>
        <w:rPr>
          <w:sz w:val="24"/>
          <w:szCs w:val="24"/>
        </w:rPr>
      </w:pPr>
      <w:r w:rsidRPr="00C90B6E">
        <w:rPr>
          <w:sz w:val="24"/>
          <w:szCs w:val="24"/>
        </w:rPr>
        <w:t>Th</w:t>
      </w:r>
      <w:r w:rsidR="008C0EF1" w:rsidRPr="00C90B6E">
        <w:rPr>
          <w:sz w:val="24"/>
          <w:szCs w:val="24"/>
        </w:rPr>
        <w:t>rough the MFN discipline, the</w:t>
      </w:r>
      <w:r w:rsidRPr="00C90B6E">
        <w:rPr>
          <w:sz w:val="24"/>
          <w:szCs w:val="24"/>
        </w:rPr>
        <w:t xml:space="preserve"> Trade in Goods Chapter also </w:t>
      </w:r>
      <w:r w:rsidR="00BC5C21" w:rsidRPr="00C90B6E">
        <w:rPr>
          <w:sz w:val="24"/>
          <w:szCs w:val="24"/>
        </w:rPr>
        <w:t>guarantees</w:t>
      </w:r>
      <w:r w:rsidR="007D0DD1" w:rsidRPr="00C90B6E">
        <w:rPr>
          <w:sz w:val="24"/>
          <w:szCs w:val="24"/>
        </w:rPr>
        <w:t xml:space="preserve"> that Australian exporters w</w:t>
      </w:r>
      <w:r w:rsidR="008975C6" w:rsidRPr="00C90B6E">
        <w:rPr>
          <w:sz w:val="24"/>
          <w:szCs w:val="24"/>
        </w:rPr>
        <w:t>ould</w:t>
      </w:r>
      <w:r w:rsidR="007D0DD1" w:rsidRPr="00C90B6E">
        <w:rPr>
          <w:sz w:val="24"/>
          <w:szCs w:val="24"/>
        </w:rPr>
        <w:t xml:space="preserve"> receive the MFN customs duty rate </w:t>
      </w:r>
      <w:r w:rsidR="00D324F5" w:rsidRPr="00C90B6E">
        <w:rPr>
          <w:sz w:val="24"/>
          <w:szCs w:val="24"/>
        </w:rPr>
        <w:t>provided by India, if that rate is lower than the customs duty rate calculated under th</w:t>
      </w:r>
      <w:r w:rsidR="00CD53F8" w:rsidRPr="00C90B6E">
        <w:rPr>
          <w:sz w:val="24"/>
          <w:szCs w:val="24"/>
        </w:rPr>
        <w:t xml:space="preserve">is Chapter. </w:t>
      </w:r>
      <w:r w:rsidR="00250635" w:rsidRPr="00C90B6E">
        <w:rPr>
          <w:sz w:val="24"/>
          <w:szCs w:val="24"/>
        </w:rPr>
        <w:t xml:space="preserve">With India engaging in FTA discussions with </w:t>
      </w:r>
      <w:proofErr w:type="gramStart"/>
      <w:r w:rsidR="00250635" w:rsidRPr="00C90B6E">
        <w:rPr>
          <w:sz w:val="24"/>
          <w:szCs w:val="24"/>
        </w:rPr>
        <w:t>a number of</w:t>
      </w:r>
      <w:proofErr w:type="gramEnd"/>
      <w:r w:rsidR="00250635" w:rsidRPr="00C90B6E">
        <w:rPr>
          <w:sz w:val="24"/>
          <w:szCs w:val="24"/>
        </w:rPr>
        <w:t xml:space="preserve"> other trading partners, including the UK</w:t>
      </w:r>
      <w:r w:rsidR="00756F27" w:rsidRPr="00C90B6E">
        <w:rPr>
          <w:sz w:val="24"/>
          <w:szCs w:val="24"/>
        </w:rPr>
        <w:t xml:space="preserve">, </w:t>
      </w:r>
      <w:r w:rsidR="00D4018B" w:rsidRPr="00C90B6E">
        <w:rPr>
          <w:sz w:val="24"/>
          <w:szCs w:val="24"/>
        </w:rPr>
        <w:t xml:space="preserve">and having unfinished trade </w:t>
      </w:r>
      <w:r w:rsidR="00330995" w:rsidRPr="00C90B6E">
        <w:rPr>
          <w:sz w:val="24"/>
          <w:szCs w:val="24"/>
        </w:rPr>
        <w:t xml:space="preserve">bilateral trade negotiations with the EU and the US, </w:t>
      </w:r>
      <w:r w:rsidR="00756F27" w:rsidRPr="00C90B6E">
        <w:rPr>
          <w:sz w:val="24"/>
          <w:szCs w:val="24"/>
        </w:rPr>
        <w:t xml:space="preserve">securing India’s commitment on </w:t>
      </w:r>
      <w:r w:rsidR="00756F27" w:rsidRPr="00C90B6E">
        <w:rPr>
          <w:sz w:val="24"/>
          <w:szCs w:val="24"/>
        </w:rPr>
        <w:lastRenderedPageBreak/>
        <w:t>the MFN discipline would be beneficial</w:t>
      </w:r>
      <w:r w:rsidR="008975C6" w:rsidRPr="00C90B6E">
        <w:rPr>
          <w:sz w:val="24"/>
          <w:szCs w:val="24"/>
        </w:rPr>
        <w:t xml:space="preserve"> for </w:t>
      </w:r>
      <w:r w:rsidR="004E3D8E" w:rsidRPr="00C90B6E">
        <w:rPr>
          <w:sz w:val="24"/>
          <w:szCs w:val="24"/>
        </w:rPr>
        <w:t>Australian businesses in the future</w:t>
      </w:r>
      <w:r w:rsidR="00330995" w:rsidRPr="00C90B6E">
        <w:rPr>
          <w:sz w:val="24"/>
          <w:szCs w:val="24"/>
        </w:rPr>
        <w:t xml:space="preserve"> – especially if India agrees an FTA with these trading partners in advance of a full CECA. </w:t>
      </w:r>
    </w:p>
    <w:p w14:paraId="5F4C112F" w14:textId="77777777" w:rsidR="00F25478" w:rsidRDefault="00F25478">
      <w:pPr>
        <w:spacing w:after="0"/>
        <w:rPr>
          <w:i/>
          <w:iCs/>
          <w:sz w:val="24"/>
          <w:szCs w:val="24"/>
        </w:rPr>
      </w:pPr>
    </w:p>
    <w:p w14:paraId="130A9050" w14:textId="6C003708" w:rsidR="00305304" w:rsidRPr="00A5588B" w:rsidRDefault="00305304">
      <w:pPr>
        <w:spacing w:after="0"/>
        <w:rPr>
          <w:b/>
          <w:bCs/>
          <w:i/>
          <w:iCs/>
          <w:sz w:val="24"/>
          <w:szCs w:val="24"/>
        </w:rPr>
      </w:pPr>
      <w:r w:rsidRPr="00A5588B">
        <w:rPr>
          <w:b/>
          <w:bCs/>
          <w:i/>
          <w:iCs/>
          <w:sz w:val="24"/>
          <w:szCs w:val="24"/>
        </w:rPr>
        <w:t xml:space="preserve">Broader commitments and transparency </w:t>
      </w:r>
    </w:p>
    <w:p w14:paraId="136AA2F0" w14:textId="77777777" w:rsidR="00F25478" w:rsidRDefault="00F25478">
      <w:pPr>
        <w:pStyle w:val="ListParagraph"/>
        <w:spacing w:after="0"/>
        <w:ind w:left="567"/>
        <w:rPr>
          <w:sz w:val="24"/>
          <w:szCs w:val="24"/>
        </w:rPr>
      </w:pPr>
    </w:p>
    <w:p w14:paraId="5F057764" w14:textId="16F0174E" w:rsidR="00BD53D9" w:rsidRDefault="00BC5C21">
      <w:pPr>
        <w:pStyle w:val="ListParagraph"/>
        <w:numPr>
          <w:ilvl w:val="0"/>
          <w:numId w:val="1"/>
        </w:numPr>
        <w:spacing w:after="0"/>
        <w:ind w:left="567" w:hanging="567"/>
        <w:rPr>
          <w:sz w:val="24"/>
          <w:szCs w:val="24"/>
        </w:rPr>
      </w:pPr>
      <w:r>
        <w:rPr>
          <w:sz w:val="24"/>
          <w:szCs w:val="24"/>
        </w:rPr>
        <w:t>The</w:t>
      </w:r>
      <w:r w:rsidR="00BD53D9">
        <w:rPr>
          <w:sz w:val="24"/>
          <w:szCs w:val="24"/>
        </w:rPr>
        <w:t xml:space="preserve"> Trade in Goods Chapter affirms Australia and India’s commitment with respect to the application of import and export restrictions. Both parties have agreed not to impose import and export restrictions other than for the very limited exceptions provided for under </w:t>
      </w:r>
      <w:r w:rsidR="00140864">
        <w:rPr>
          <w:sz w:val="24"/>
          <w:szCs w:val="24"/>
        </w:rPr>
        <w:br/>
      </w:r>
      <w:r w:rsidR="00BD53D9">
        <w:rPr>
          <w:sz w:val="24"/>
          <w:szCs w:val="24"/>
        </w:rPr>
        <w:t>Article XI of GATT 1994 such as to prevent or relieve critical shortages of foodstuffs. This commitment is important for enhancing business confidence, as India has previously imposed quantitative restrictions on imports of mung beans and yellow peas and introduced export quotas, which had impacted on the volume of Australia’s exports to India.</w:t>
      </w:r>
      <w:r w:rsidR="00BD53D9">
        <w:rPr>
          <w:rStyle w:val="FootnoteReference"/>
          <w:sz w:val="24"/>
          <w:szCs w:val="24"/>
        </w:rPr>
        <w:footnoteReference w:id="59"/>
      </w:r>
    </w:p>
    <w:p w14:paraId="3FE5149E" w14:textId="77777777" w:rsidR="00A64955" w:rsidRDefault="00A64955">
      <w:pPr>
        <w:pStyle w:val="ListParagraph"/>
        <w:spacing w:after="0"/>
        <w:ind w:left="567"/>
        <w:rPr>
          <w:sz w:val="24"/>
          <w:szCs w:val="24"/>
        </w:rPr>
      </w:pPr>
    </w:p>
    <w:p w14:paraId="0943E237" w14:textId="77777777" w:rsidR="0039579B" w:rsidRDefault="0039579B">
      <w:pPr>
        <w:pStyle w:val="ListParagraph"/>
        <w:numPr>
          <w:ilvl w:val="0"/>
          <w:numId w:val="1"/>
        </w:numPr>
        <w:spacing w:after="0"/>
        <w:ind w:left="567" w:hanging="567"/>
        <w:rPr>
          <w:sz w:val="24"/>
          <w:szCs w:val="24"/>
        </w:rPr>
      </w:pPr>
      <w:r w:rsidRPr="543832D4">
        <w:rPr>
          <w:sz w:val="24"/>
          <w:szCs w:val="24"/>
        </w:rPr>
        <w:t xml:space="preserve">Australia and India have also agreed to ensure transparency in the application of any non-tariff measures and to ensure that any such measures are not applied with a view to, or have the effect of, creating unnecessary obstacles to trade. Non-tariff measures can include any kind of ‘red tape’ or trade rules that unjustifiably restrict the flow of goods and services. </w:t>
      </w:r>
    </w:p>
    <w:p w14:paraId="0C49FE59" w14:textId="77777777" w:rsidR="0039579B" w:rsidRPr="00BF23CA" w:rsidRDefault="0039579B">
      <w:pPr>
        <w:pStyle w:val="ListParagraph"/>
        <w:spacing w:after="0"/>
        <w:rPr>
          <w:sz w:val="24"/>
          <w:szCs w:val="24"/>
        </w:rPr>
      </w:pPr>
    </w:p>
    <w:p w14:paraId="0DAF4FD0" w14:textId="643D78A1" w:rsidR="0039579B" w:rsidRPr="00BF23CA" w:rsidRDefault="0039579B">
      <w:pPr>
        <w:pStyle w:val="ListParagraph"/>
        <w:numPr>
          <w:ilvl w:val="0"/>
          <w:numId w:val="1"/>
        </w:numPr>
        <w:spacing w:after="0"/>
        <w:ind w:left="567" w:hanging="567"/>
        <w:rPr>
          <w:sz w:val="24"/>
          <w:szCs w:val="24"/>
        </w:rPr>
      </w:pPr>
      <w:r>
        <w:rPr>
          <w:sz w:val="24"/>
          <w:szCs w:val="24"/>
        </w:rPr>
        <w:t xml:space="preserve">Australia and India’s commitment on non-tariff barriers is </w:t>
      </w:r>
      <w:r w:rsidR="006C2C63">
        <w:rPr>
          <w:sz w:val="24"/>
          <w:szCs w:val="24"/>
        </w:rPr>
        <w:t>useful</w:t>
      </w:r>
      <w:r>
        <w:rPr>
          <w:sz w:val="24"/>
          <w:szCs w:val="24"/>
        </w:rPr>
        <w:t xml:space="preserve"> in strengthening our trading relationship, as</w:t>
      </w:r>
      <w:r w:rsidRPr="00BF23CA">
        <w:rPr>
          <w:sz w:val="24"/>
          <w:szCs w:val="24"/>
        </w:rPr>
        <w:t xml:space="preserve"> non-tariff measures had previously impacted on Australian exports India. For example, India had previously had restrictive technical plan</w:t>
      </w:r>
      <w:r w:rsidR="00FC0322">
        <w:rPr>
          <w:sz w:val="24"/>
          <w:szCs w:val="24"/>
        </w:rPr>
        <w:t>t</w:t>
      </w:r>
      <w:r w:rsidRPr="00BF23CA">
        <w:rPr>
          <w:sz w:val="24"/>
          <w:szCs w:val="24"/>
        </w:rPr>
        <w:t xml:space="preserve"> health requirements for the treatment of barley entering India. While these measures were intended to protect local plant health, India’s specific requirements limited flexibility and, in effect, acted as a barrier to Australian barley.</w:t>
      </w:r>
      <w:r>
        <w:rPr>
          <w:rStyle w:val="FootnoteReference"/>
          <w:sz w:val="24"/>
          <w:szCs w:val="24"/>
        </w:rPr>
        <w:footnoteReference w:id="60"/>
      </w:r>
      <w:r w:rsidRPr="00BF23CA">
        <w:rPr>
          <w:sz w:val="24"/>
          <w:szCs w:val="24"/>
        </w:rPr>
        <w:t xml:space="preserve"> </w:t>
      </w:r>
    </w:p>
    <w:p w14:paraId="199589E0" w14:textId="77777777" w:rsidR="0039579B" w:rsidRPr="00E44CA4" w:rsidRDefault="0039579B">
      <w:pPr>
        <w:pStyle w:val="ListParagraph"/>
        <w:spacing w:after="0"/>
        <w:rPr>
          <w:sz w:val="24"/>
          <w:szCs w:val="24"/>
        </w:rPr>
      </w:pPr>
    </w:p>
    <w:p w14:paraId="1B8F2C56" w14:textId="449D4A67" w:rsidR="009308CF" w:rsidRDefault="00A64955">
      <w:pPr>
        <w:pStyle w:val="ListParagraph"/>
        <w:numPr>
          <w:ilvl w:val="0"/>
          <w:numId w:val="1"/>
        </w:numPr>
        <w:spacing w:after="0"/>
        <w:ind w:left="567" w:hanging="567"/>
        <w:rPr>
          <w:sz w:val="24"/>
          <w:szCs w:val="24"/>
        </w:rPr>
      </w:pPr>
      <w:r w:rsidRPr="543832D4">
        <w:rPr>
          <w:sz w:val="24"/>
          <w:szCs w:val="24"/>
        </w:rPr>
        <w:t xml:space="preserve">India and Australia’s commitment to make publicly available its laws, regulations, </w:t>
      </w:r>
      <w:proofErr w:type="gramStart"/>
      <w:r w:rsidRPr="543832D4">
        <w:rPr>
          <w:sz w:val="24"/>
          <w:szCs w:val="24"/>
        </w:rPr>
        <w:t>decisions</w:t>
      </w:r>
      <w:proofErr w:type="gramEnd"/>
      <w:r w:rsidRPr="543832D4">
        <w:rPr>
          <w:sz w:val="24"/>
          <w:szCs w:val="24"/>
        </w:rPr>
        <w:t xml:space="preserve"> and rulings with regards to the Trade in Goods chapter w</w:t>
      </w:r>
      <w:r w:rsidR="00AF15DA" w:rsidRPr="543832D4">
        <w:rPr>
          <w:sz w:val="24"/>
          <w:szCs w:val="24"/>
        </w:rPr>
        <w:t>ill</w:t>
      </w:r>
      <w:r w:rsidRPr="543832D4">
        <w:rPr>
          <w:sz w:val="24"/>
          <w:szCs w:val="24"/>
        </w:rPr>
        <w:t xml:space="preserve"> also </w:t>
      </w:r>
      <w:r w:rsidR="00057CDD" w:rsidRPr="543832D4">
        <w:rPr>
          <w:sz w:val="24"/>
          <w:szCs w:val="24"/>
        </w:rPr>
        <w:t xml:space="preserve">help to </w:t>
      </w:r>
      <w:r w:rsidRPr="543832D4">
        <w:rPr>
          <w:sz w:val="24"/>
          <w:szCs w:val="24"/>
        </w:rPr>
        <w:t>improve transparency and support Australian businesses to do business with India.</w:t>
      </w:r>
    </w:p>
    <w:p w14:paraId="2A64153C" w14:textId="77777777" w:rsidR="00DF1A99" w:rsidRDefault="00DF1A99">
      <w:pPr>
        <w:pStyle w:val="ListParagraph"/>
        <w:spacing w:after="0"/>
        <w:ind w:left="567"/>
        <w:rPr>
          <w:sz w:val="24"/>
          <w:szCs w:val="24"/>
        </w:rPr>
      </w:pPr>
    </w:p>
    <w:p w14:paraId="5BD64AE8" w14:textId="7F619C4B" w:rsidR="00057CDD" w:rsidRDefault="00057CDD">
      <w:pPr>
        <w:pStyle w:val="ListParagraph"/>
        <w:numPr>
          <w:ilvl w:val="0"/>
          <w:numId w:val="1"/>
        </w:numPr>
        <w:spacing w:after="0"/>
        <w:ind w:left="567" w:hanging="567"/>
        <w:rPr>
          <w:sz w:val="24"/>
          <w:szCs w:val="24"/>
        </w:rPr>
      </w:pPr>
      <w:r w:rsidRPr="543832D4">
        <w:rPr>
          <w:sz w:val="24"/>
          <w:szCs w:val="24"/>
        </w:rPr>
        <w:t>A Committee on Trade in Goods (the Goods Committee) w</w:t>
      </w:r>
      <w:r w:rsidR="00AF15DA" w:rsidRPr="543832D4">
        <w:rPr>
          <w:sz w:val="24"/>
          <w:szCs w:val="24"/>
        </w:rPr>
        <w:t>ill</w:t>
      </w:r>
      <w:r w:rsidRPr="543832D4">
        <w:rPr>
          <w:sz w:val="24"/>
          <w:szCs w:val="24"/>
        </w:rPr>
        <w:t xml:space="preserve"> be established under the proposed </w:t>
      </w:r>
      <w:r w:rsidR="00D10AF6">
        <w:rPr>
          <w:sz w:val="24"/>
          <w:szCs w:val="24"/>
        </w:rPr>
        <w:t>AI</w:t>
      </w:r>
      <w:r w:rsidR="00217C26">
        <w:rPr>
          <w:sz w:val="24"/>
          <w:szCs w:val="24"/>
        </w:rPr>
        <w:t xml:space="preserve"> ECTA</w:t>
      </w:r>
      <w:r w:rsidRPr="543832D4">
        <w:rPr>
          <w:sz w:val="24"/>
          <w:szCs w:val="24"/>
        </w:rPr>
        <w:t>. The Goods Committee w</w:t>
      </w:r>
      <w:r w:rsidR="00AF15DA" w:rsidRPr="543832D4">
        <w:rPr>
          <w:sz w:val="24"/>
          <w:szCs w:val="24"/>
        </w:rPr>
        <w:t>ill</w:t>
      </w:r>
      <w:r w:rsidRPr="543832D4">
        <w:rPr>
          <w:sz w:val="24"/>
          <w:szCs w:val="24"/>
        </w:rPr>
        <w:t xml:space="preserve"> facilitate consultations between Australia and India on accelerating tariff elimination and addressing non-tariff barriers to trade, with a view to enhancing two-way trade in goods. It w</w:t>
      </w:r>
      <w:r w:rsidR="0080532D" w:rsidRPr="543832D4">
        <w:rPr>
          <w:sz w:val="24"/>
          <w:szCs w:val="24"/>
        </w:rPr>
        <w:t>ill</w:t>
      </w:r>
      <w:r w:rsidRPr="543832D4">
        <w:rPr>
          <w:sz w:val="24"/>
          <w:szCs w:val="24"/>
        </w:rPr>
        <w:t xml:space="preserve"> also address any issues relating to the administration and operation of tariff rate quotas. </w:t>
      </w:r>
      <w:r w:rsidR="00364C3A" w:rsidRPr="543832D4">
        <w:rPr>
          <w:sz w:val="24"/>
          <w:szCs w:val="24"/>
        </w:rPr>
        <w:t>Overall, the</w:t>
      </w:r>
      <w:r w:rsidRPr="543832D4">
        <w:rPr>
          <w:sz w:val="24"/>
          <w:szCs w:val="24"/>
        </w:rPr>
        <w:t xml:space="preserve"> Goods Committee w</w:t>
      </w:r>
      <w:r w:rsidR="00F94399" w:rsidRPr="543832D4">
        <w:rPr>
          <w:sz w:val="24"/>
          <w:szCs w:val="24"/>
        </w:rPr>
        <w:t>ill</w:t>
      </w:r>
      <w:r w:rsidRPr="543832D4">
        <w:rPr>
          <w:sz w:val="24"/>
          <w:szCs w:val="24"/>
        </w:rPr>
        <w:t xml:space="preserve"> strengthen communication and provide an avenue for Australia and India to discuss and address issues that may be impeding trade in goods.  </w:t>
      </w:r>
    </w:p>
    <w:p w14:paraId="4EEE63B8" w14:textId="77777777" w:rsidR="008F3719" w:rsidRPr="008F3719" w:rsidRDefault="008F3719" w:rsidP="00A5588B">
      <w:pPr>
        <w:spacing w:after="0"/>
      </w:pPr>
      <w:bookmarkStart w:id="49" w:name="_Toc88748506"/>
      <w:bookmarkEnd w:id="22"/>
    </w:p>
    <w:p w14:paraId="4466C6DE" w14:textId="7CF97DC4" w:rsidR="00071C88" w:rsidRPr="00A510F8" w:rsidRDefault="00071C88" w:rsidP="00FC2D70">
      <w:pPr>
        <w:pStyle w:val="Heading2"/>
        <w:spacing w:before="0"/>
      </w:pPr>
      <w:bookmarkStart w:id="50" w:name="_Toc99370669"/>
      <w:r>
        <w:t>The impact of liberalising trade in services with India</w:t>
      </w:r>
      <w:bookmarkEnd w:id="50"/>
      <w:r>
        <w:t xml:space="preserve"> </w:t>
      </w:r>
    </w:p>
    <w:p w14:paraId="35E81195" w14:textId="77777777" w:rsidR="00071C88" w:rsidRDefault="00071C88" w:rsidP="0014704E">
      <w:pPr>
        <w:pStyle w:val="ListParagraph"/>
        <w:spacing w:after="0"/>
      </w:pPr>
    </w:p>
    <w:p w14:paraId="22F7604A" w14:textId="47108B92" w:rsidR="00071C88" w:rsidRDefault="00071C88" w:rsidP="00A80396">
      <w:pPr>
        <w:pStyle w:val="ListParagraph"/>
        <w:numPr>
          <w:ilvl w:val="0"/>
          <w:numId w:val="1"/>
        </w:numPr>
        <w:spacing w:after="0"/>
        <w:ind w:left="567" w:hanging="567"/>
        <w:rPr>
          <w:sz w:val="24"/>
          <w:szCs w:val="24"/>
        </w:rPr>
      </w:pPr>
      <w:r w:rsidRPr="543832D4">
        <w:rPr>
          <w:sz w:val="24"/>
          <w:szCs w:val="24"/>
        </w:rPr>
        <w:t xml:space="preserve">India is Australia’s third largest services export market; our services exports to India have nearly doubled over the past decade to reach </w:t>
      </w:r>
      <w:r w:rsidR="00BC0D74">
        <w:rPr>
          <w:sz w:val="24"/>
          <w:szCs w:val="24"/>
        </w:rPr>
        <w:t>A</w:t>
      </w:r>
      <w:r w:rsidR="0069189D">
        <w:rPr>
          <w:sz w:val="24"/>
          <w:szCs w:val="24"/>
        </w:rPr>
        <w:t>U</w:t>
      </w:r>
      <w:r w:rsidRPr="543832D4">
        <w:rPr>
          <w:sz w:val="24"/>
          <w:szCs w:val="24"/>
        </w:rPr>
        <w:t>$6.9 billion in 2020.  India’s services market is growing rapidly, and the country has developed a leading role providing a range of support services to business in other countries including back-office functions and call-</w:t>
      </w:r>
      <w:r w:rsidRPr="543832D4">
        <w:rPr>
          <w:sz w:val="24"/>
          <w:szCs w:val="24"/>
        </w:rPr>
        <w:lastRenderedPageBreak/>
        <w:t xml:space="preserve">centres, which Australian companies are increasingly seeking to offshore. Imports of Indian services totalled </w:t>
      </w:r>
      <w:r w:rsidR="00BC0D74">
        <w:rPr>
          <w:sz w:val="24"/>
          <w:szCs w:val="24"/>
        </w:rPr>
        <w:t>A</w:t>
      </w:r>
      <w:r w:rsidR="0069189D">
        <w:rPr>
          <w:sz w:val="24"/>
          <w:szCs w:val="24"/>
        </w:rPr>
        <w:t>U</w:t>
      </w:r>
      <w:r w:rsidRPr="543832D4">
        <w:rPr>
          <w:sz w:val="24"/>
          <w:szCs w:val="24"/>
        </w:rPr>
        <w:t xml:space="preserve">$2 billion in 2020. India’s services market is one of the world’s largest and its growing middle class presents enormous opportunities for Australian service suppliers able to tailor products to suit the Indian market. </w:t>
      </w:r>
      <w:r w:rsidR="00286948">
        <w:rPr>
          <w:sz w:val="24"/>
          <w:szCs w:val="24"/>
        </w:rPr>
        <w:t>As services</w:t>
      </w:r>
      <w:r w:rsidR="001978AA">
        <w:rPr>
          <w:sz w:val="24"/>
          <w:szCs w:val="24"/>
        </w:rPr>
        <w:t xml:space="preserve"> </w:t>
      </w:r>
      <w:r w:rsidR="001978AA" w:rsidRPr="001978AA">
        <w:rPr>
          <w:sz w:val="24"/>
          <w:szCs w:val="24"/>
        </w:rPr>
        <w:t>constitutes the bulk of Australia’s economy, contributing 79 per cent of value added and 88 per cent of employment</w:t>
      </w:r>
      <w:r w:rsidR="0057676C">
        <w:rPr>
          <w:sz w:val="24"/>
          <w:szCs w:val="24"/>
        </w:rPr>
        <w:t>,</w:t>
      </w:r>
      <w:r w:rsidR="00982D7B">
        <w:rPr>
          <w:rStyle w:val="FootnoteReference"/>
          <w:sz w:val="24"/>
          <w:szCs w:val="24"/>
        </w:rPr>
        <w:footnoteReference w:id="61"/>
      </w:r>
      <w:r w:rsidR="0057676C">
        <w:rPr>
          <w:sz w:val="24"/>
          <w:szCs w:val="24"/>
        </w:rPr>
        <w:t xml:space="preserve"> the impact of liberalising trade in services with a market the size of India </w:t>
      </w:r>
      <w:r w:rsidR="00982D7B">
        <w:rPr>
          <w:sz w:val="24"/>
          <w:szCs w:val="24"/>
        </w:rPr>
        <w:t>would be</w:t>
      </w:r>
      <w:r w:rsidR="0057676C">
        <w:rPr>
          <w:sz w:val="24"/>
          <w:szCs w:val="24"/>
        </w:rPr>
        <w:t xml:space="preserve"> significant</w:t>
      </w:r>
      <w:r w:rsidR="001978AA" w:rsidRPr="001978AA">
        <w:rPr>
          <w:sz w:val="24"/>
          <w:szCs w:val="24"/>
        </w:rPr>
        <w:t>.</w:t>
      </w:r>
    </w:p>
    <w:p w14:paraId="57689002" w14:textId="77777777" w:rsidR="00F25478" w:rsidRDefault="00F25478" w:rsidP="0014704E">
      <w:pPr>
        <w:spacing w:after="0"/>
        <w:rPr>
          <w:b/>
          <w:bCs/>
          <w:i/>
          <w:iCs/>
          <w:sz w:val="24"/>
          <w:szCs w:val="24"/>
        </w:rPr>
      </w:pPr>
    </w:p>
    <w:p w14:paraId="0735C496" w14:textId="58372A8F" w:rsidR="00071C88" w:rsidRPr="0013043C" w:rsidRDefault="00071C88" w:rsidP="0014704E">
      <w:pPr>
        <w:spacing w:after="0"/>
        <w:rPr>
          <w:b/>
          <w:bCs/>
          <w:i/>
          <w:iCs/>
          <w:sz w:val="24"/>
          <w:szCs w:val="24"/>
        </w:rPr>
      </w:pPr>
      <w:r w:rsidRPr="0013043C">
        <w:rPr>
          <w:b/>
          <w:bCs/>
          <w:i/>
          <w:iCs/>
          <w:sz w:val="24"/>
          <w:szCs w:val="24"/>
        </w:rPr>
        <w:t xml:space="preserve">The challenge in monetising </w:t>
      </w:r>
      <w:r>
        <w:rPr>
          <w:b/>
          <w:bCs/>
          <w:i/>
          <w:iCs/>
          <w:sz w:val="24"/>
          <w:szCs w:val="24"/>
        </w:rPr>
        <w:t xml:space="preserve">progressive liberalisation </w:t>
      </w:r>
      <w:r w:rsidRPr="0013043C">
        <w:rPr>
          <w:b/>
          <w:bCs/>
          <w:i/>
          <w:iCs/>
          <w:sz w:val="24"/>
          <w:szCs w:val="24"/>
        </w:rPr>
        <w:t>in</w:t>
      </w:r>
      <w:r>
        <w:rPr>
          <w:b/>
          <w:bCs/>
          <w:i/>
          <w:iCs/>
          <w:sz w:val="24"/>
          <w:szCs w:val="24"/>
        </w:rPr>
        <w:t xml:space="preserve"> </w:t>
      </w:r>
      <w:r w:rsidRPr="0013043C">
        <w:rPr>
          <w:b/>
          <w:bCs/>
          <w:i/>
          <w:iCs/>
          <w:sz w:val="24"/>
          <w:szCs w:val="24"/>
        </w:rPr>
        <w:t>services</w:t>
      </w:r>
      <w:r>
        <w:rPr>
          <w:b/>
          <w:bCs/>
          <w:i/>
          <w:iCs/>
          <w:sz w:val="24"/>
          <w:szCs w:val="24"/>
        </w:rPr>
        <w:t xml:space="preserve"> trade</w:t>
      </w:r>
      <w:r w:rsidRPr="0013043C">
        <w:rPr>
          <w:b/>
          <w:bCs/>
          <w:i/>
          <w:iCs/>
          <w:sz w:val="24"/>
          <w:szCs w:val="24"/>
        </w:rPr>
        <w:t xml:space="preserve"> and </w:t>
      </w:r>
      <w:r>
        <w:rPr>
          <w:b/>
          <w:bCs/>
          <w:i/>
          <w:iCs/>
          <w:sz w:val="24"/>
          <w:szCs w:val="24"/>
        </w:rPr>
        <w:t xml:space="preserve">the </w:t>
      </w:r>
      <w:r w:rsidRPr="0013043C">
        <w:rPr>
          <w:b/>
          <w:bCs/>
          <w:i/>
          <w:iCs/>
          <w:sz w:val="24"/>
          <w:szCs w:val="24"/>
        </w:rPr>
        <w:t>movement of natural persons</w:t>
      </w:r>
    </w:p>
    <w:p w14:paraId="252D3367" w14:textId="77777777" w:rsidR="00F25478" w:rsidRDefault="00F25478" w:rsidP="00F25478">
      <w:pPr>
        <w:pStyle w:val="ListParagraph"/>
        <w:spacing w:after="0"/>
        <w:ind w:left="567"/>
        <w:rPr>
          <w:sz w:val="24"/>
          <w:szCs w:val="24"/>
        </w:rPr>
      </w:pPr>
    </w:p>
    <w:p w14:paraId="1BD91E55" w14:textId="09D6DD51" w:rsidR="004B3CE3" w:rsidRDefault="00982D7B" w:rsidP="00A80396">
      <w:pPr>
        <w:pStyle w:val="ListParagraph"/>
        <w:numPr>
          <w:ilvl w:val="0"/>
          <w:numId w:val="1"/>
        </w:numPr>
        <w:spacing w:after="0"/>
        <w:ind w:left="567" w:hanging="567"/>
        <w:rPr>
          <w:sz w:val="24"/>
          <w:szCs w:val="24"/>
        </w:rPr>
      </w:pPr>
      <w:r>
        <w:rPr>
          <w:sz w:val="24"/>
          <w:szCs w:val="24"/>
        </w:rPr>
        <w:t xml:space="preserve">While it is understood that there </w:t>
      </w:r>
      <w:r w:rsidR="00071C88" w:rsidRPr="543832D4">
        <w:rPr>
          <w:sz w:val="24"/>
          <w:szCs w:val="24"/>
        </w:rPr>
        <w:t xml:space="preserve">is significant advantage to liberalising trade in services, it can be difficult to quantify. </w:t>
      </w:r>
      <w:r w:rsidR="00604EC1">
        <w:rPr>
          <w:sz w:val="24"/>
          <w:szCs w:val="24"/>
        </w:rPr>
        <w:t xml:space="preserve">This been noted in </w:t>
      </w:r>
      <w:r w:rsidR="00683104">
        <w:rPr>
          <w:sz w:val="24"/>
          <w:szCs w:val="24"/>
        </w:rPr>
        <w:t>a recent Productivity Commission report</w:t>
      </w:r>
      <w:r w:rsidR="003428A4">
        <w:rPr>
          <w:sz w:val="24"/>
          <w:szCs w:val="24"/>
        </w:rPr>
        <w:t xml:space="preserve"> </w:t>
      </w:r>
      <w:r w:rsidR="00F91021">
        <w:rPr>
          <w:sz w:val="24"/>
          <w:szCs w:val="24"/>
        </w:rPr>
        <w:t xml:space="preserve">where it is acknowledged that productivity in services is more difficult to measure than in goods mainly because </w:t>
      </w:r>
      <w:r w:rsidR="00C82C73">
        <w:rPr>
          <w:sz w:val="24"/>
          <w:szCs w:val="24"/>
        </w:rPr>
        <w:t>it is difficult to define a standard ‘unit’ for many services.</w:t>
      </w:r>
      <w:r w:rsidR="000757B1">
        <w:rPr>
          <w:rStyle w:val="FootnoteReference"/>
          <w:sz w:val="24"/>
          <w:szCs w:val="24"/>
        </w:rPr>
        <w:footnoteReference w:id="62"/>
      </w:r>
      <w:r w:rsidR="00C82C73">
        <w:rPr>
          <w:sz w:val="24"/>
          <w:szCs w:val="24"/>
        </w:rPr>
        <w:t xml:space="preserve"> </w:t>
      </w:r>
      <w:r w:rsidR="001C1902">
        <w:rPr>
          <w:sz w:val="24"/>
          <w:szCs w:val="24"/>
        </w:rPr>
        <w:t>It is known though that</w:t>
      </w:r>
      <w:r w:rsidR="00071C88" w:rsidRPr="543832D4">
        <w:rPr>
          <w:sz w:val="24"/>
          <w:szCs w:val="24"/>
        </w:rPr>
        <w:t xml:space="preserve"> advantages </w:t>
      </w:r>
      <w:r w:rsidR="001C1902">
        <w:rPr>
          <w:sz w:val="24"/>
          <w:szCs w:val="24"/>
        </w:rPr>
        <w:t xml:space="preserve">to services liberalisation can </w:t>
      </w:r>
      <w:r w:rsidR="00071C88" w:rsidRPr="543832D4">
        <w:rPr>
          <w:sz w:val="24"/>
          <w:szCs w:val="24"/>
        </w:rPr>
        <w:t xml:space="preserve">include </w:t>
      </w:r>
      <w:r w:rsidR="00C56EBA">
        <w:rPr>
          <w:sz w:val="24"/>
          <w:szCs w:val="24"/>
        </w:rPr>
        <w:t xml:space="preserve">greater services productivity due to a stimulation in the market. That can also have the flow on effect of </w:t>
      </w:r>
      <w:r w:rsidR="00071C88" w:rsidRPr="543832D4">
        <w:rPr>
          <w:sz w:val="24"/>
          <w:szCs w:val="24"/>
        </w:rPr>
        <w:t xml:space="preserve">consumer benefit due to a likelihood of an increased range of products, including new technologies, and lower prices that result from increased competition. </w:t>
      </w:r>
    </w:p>
    <w:p w14:paraId="4642FF76" w14:textId="77777777" w:rsidR="004B3CE3" w:rsidRDefault="004B3CE3" w:rsidP="0001716D">
      <w:pPr>
        <w:pStyle w:val="ListParagraph"/>
        <w:spacing w:after="0"/>
        <w:ind w:left="567"/>
        <w:rPr>
          <w:sz w:val="24"/>
          <w:szCs w:val="24"/>
        </w:rPr>
      </w:pPr>
    </w:p>
    <w:p w14:paraId="45100EA5" w14:textId="5EB5EDF1" w:rsidR="00E35298" w:rsidRPr="00FC354E" w:rsidRDefault="00071C88" w:rsidP="0001716D">
      <w:pPr>
        <w:pStyle w:val="ListParagraph"/>
        <w:numPr>
          <w:ilvl w:val="0"/>
          <w:numId w:val="1"/>
        </w:numPr>
        <w:spacing w:after="0"/>
        <w:ind w:left="567" w:hanging="567"/>
      </w:pPr>
      <w:r w:rsidRPr="543832D4">
        <w:rPr>
          <w:sz w:val="24"/>
          <w:szCs w:val="24"/>
        </w:rPr>
        <w:t xml:space="preserve">It is difficult to quantify the benefit of a guarantee for non-discriminatory treatment for example (National Treatment discipline) and the benefit of efficiency gains for business from transparency provisions or addressing behind the border barriers through strong domestic regulation disciplines. Progressive liberalisation of trade in services can stimulate economic growth due to increased consumer demand and expertise from increased movement of professionals but these aspects can take time to realise. </w:t>
      </w:r>
      <w:r w:rsidR="00CA4A72">
        <w:rPr>
          <w:sz w:val="24"/>
          <w:szCs w:val="24"/>
        </w:rPr>
        <w:t>A recent joint OECD, WTO study provides analysis on the benefits to services trade in reducing red tape and increasing transparency</w:t>
      </w:r>
      <w:r w:rsidR="00B8491D">
        <w:rPr>
          <w:sz w:val="24"/>
          <w:szCs w:val="24"/>
        </w:rPr>
        <w:t xml:space="preserve">, as the Trade in Services Chapter and related Annexes in this </w:t>
      </w:r>
      <w:r w:rsidR="00D10AF6">
        <w:rPr>
          <w:sz w:val="24"/>
          <w:szCs w:val="24"/>
        </w:rPr>
        <w:t>AI</w:t>
      </w:r>
      <w:r w:rsidR="00217C26">
        <w:rPr>
          <w:sz w:val="24"/>
          <w:szCs w:val="24"/>
        </w:rPr>
        <w:t xml:space="preserve"> ECTA</w:t>
      </w:r>
      <w:r w:rsidR="00B8491D">
        <w:rPr>
          <w:sz w:val="24"/>
          <w:szCs w:val="24"/>
        </w:rPr>
        <w:t xml:space="preserve"> are designed to do</w:t>
      </w:r>
      <w:r w:rsidR="00CA4A72">
        <w:rPr>
          <w:sz w:val="24"/>
          <w:szCs w:val="24"/>
        </w:rPr>
        <w:t xml:space="preserve">, stating that it could amount to an annual global cost </w:t>
      </w:r>
      <w:r w:rsidR="00CA4A72" w:rsidRPr="002D21B7">
        <w:rPr>
          <w:sz w:val="24"/>
          <w:szCs w:val="24"/>
        </w:rPr>
        <w:t>savings</w:t>
      </w:r>
      <w:r w:rsidR="00CA4A72">
        <w:rPr>
          <w:sz w:val="24"/>
          <w:szCs w:val="24"/>
        </w:rPr>
        <w:t xml:space="preserve"> for business of US$150 billion.</w:t>
      </w:r>
      <w:r w:rsidR="00CA4A72">
        <w:rPr>
          <w:rStyle w:val="FootnoteReference"/>
          <w:sz w:val="24"/>
          <w:szCs w:val="24"/>
        </w:rPr>
        <w:footnoteReference w:id="63"/>
      </w:r>
      <w:bookmarkStart w:id="51" w:name="_Toc88748499"/>
    </w:p>
    <w:p w14:paraId="48A600D7" w14:textId="262942F5" w:rsidR="00071C88" w:rsidRDefault="00071C88">
      <w:pPr>
        <w:pStyle w:val="Heading2"/>
        <w:spacing w:before="0"/>
      </w:pPr>
      <w:bookmarkStart w:id="52" w:name="_Toc99370670"/>
      <w:r>
        <w:t>The impact of key services market access outcomes</w:t>
      </w:r>
      <w:bookmarkEnd w:id="51"/>
      <w:bookmarkEnd w:id="52"/>
    </w:p>
    <w:p w14:paraId="212DEB64" w14:textId="77777777" w:rsidR="008E4382" w:rsidRDefault="008E4382">
      <w:pPr>
        <w:pStyle w:val="ListParagraph"/>
        <w:spacing w:after="0"/>
        <w:ind w:left="567"/>
        <w:rPr>
          <w:sz w:val="24"/>
          <w:szCs w:val="24"/>
        </w:rPr>
      </w:pPr>
    </w:p>
    <w:p w14:paraId="157DB56F" w14:textId="04762AC5" w:rsidR="00071C88" w:rsidRPr="00053473" w:rsidRDefault="00071C88">
      <w:pPr>
        <w:pStyle w:val="ListParagraph"/>
        <w:numPr>
          <w:ilvl w:val="0"/>
          <w:numId w:val="1"/>
        </w:numPr>
        <w:spacing w:after="0"/>
        <w:ind w:left="567" w:hanging="567"/>
        <w:rPr>
          <w:sz w:val="24"/>
          <w:szCs w:val="24"/>
        </w:rPr>
      </w:pPr>
      <w:r w:rsidRPr="543832D4">
        <w:rPr>
          <w:sz w:val="24"/>
          <w:szCs w:val="24"/>
        </w:rPr>
        <w:t xml:space="preserve">The proposed </w:t>
      </w:r>
      <w:r w:rsidR="00D10AF6">
        <w:rPr>
          <w:sz w:val="24"/>
          <w:szCs w:val="24"/>
        </w:rPr>
        <w:t>AI</w:t>
      </w:r>
      <w:r w:rsidR="00217C26">
        <w:rPr>
          <w:sz w:val="24"/>
          <w:szCs w:val="24"/>
        </w:rPr>
        <w:t xml:space="preserve"> ECTA</w:t>
      </w:r>
      <w:r w:rsidRPr="543832D4">
        <w:rPr>
          <w:sz w:val="24"/>
          <w:szCs w:val="24"/>
        </w:rPr>
        <w:t xml:space="preserve"> provides increased certainty for Australian service suppliers already doing business in India</w:t>
      </w:r>
      <w:r w:rsidR="00072285">
        <w:rPr>
          <w:sz w:val="24"/>
          <w:szCs w:val="24"/>
        </w:rPr>
        <w:t>, or wanting to do business there,</w:t>
      </w:r>
      <w:r w:rsidRPr="543832D4">
        <w:rPr>
          <w:sz w:val="24"/>
          <w:szCs w:val="24"/>
        </w:rPr>
        <w:t xml:space="preserve"> by binding existing market access</w:t>
      </w:r>
      <w:r w:rsidR="00587F5E" w:rsidRPr="543832D4">
        <w:rPr>
          <w:sz w:val="24"/>
          <w:szCs w:val="24"/>
        </w:rPr>
        <w:t xml:space="preserve">, </w:t>
      </w:r>
      <w:r w:rsidR="00072285">
        <w:rPr>
          <w:sz w:val="24"/>
          <w:szCs w:val="24"/>
        </w:rPr>
        <w:t>and providing</w:t>
      </w:r>
      <w:r w:rsidR="00CF0E4A">
        <w:rPr>
          <w:sz w:val="24"/>
          <w:szCs w:val="24"/>
        </w:rPr>
        <w:t xml:space="preserve"> guarantees on access </w:t>
      </w:r>
      <w:r w:rsidR="00867EE9">
        <w:rPr>
          <w:sz w:val="24"/>
          <w:szCs w:val="24"/>
        </w:rPr>
        <w:t xml:space="preserve">broadly </w:t>
      </w:r>
      <w:r w:rsidR="00CF0E4A">
        <w:rPr>
          <w:sz w:val="24"/>
          <w:szCs w:val="24"/>
        </w:rPr>
        <w:t>equivalent to those India has provided in its other</w:t>
      </w:r>
      <w:r w:rsidRPr="543832D4">
        <w:rPr>
          <w:sz w:val="24"/>
          <w:szCs w:val="24"/>
        </w:rPr>
        <w:t xml:space="preserve"> preferential trade agreements (</w:t>
      </w:r>
      <w:proofErr w:type="gramStart"/>
      <w:r w:rsidR="00CF0E4A">
        <w:rPr>
          <w:sz w:val="24"/>
          <w:szCs w:val="24"/>
        </w:rPr>
        <w:t>e.g.</w:t>
      </w:r>
      <w:proofErr w:type="gramEnd"/>
      <w:r w:rsidR="00CF0E4A">
        <w:rPr>
          <w:sz w:val="24"/>
          <w:szCs w:val="24"/>
        </w:rPr>
        <w:t xml:space="preserve"> </w:t>
      </w:r>
      <w:r w:rsidRPr="543832D4">
        <w:rPr>
          <w:sz w:val="24"/>
          <w:szCs w:val="24"/>
        </w:rPr>
        <w:t>with Japan, Korea</w:t>
      </w:r>
      <w:r w:rsidR="00952318">
        <w:rPr>
          <w:sz w:val="24"/>
          <w:szCs w:val="24"/>
        </w:rPr>
        <w:t xml:space="preserve">, </w:t>
      </w:r>
      <w:r w:rsidRPr="543832D4">
        <w:rPr>
          <w:sz w:val="24"/>
          <w:szCs w:val="24"/>
        </w:rPr>
        <w:t>Singapore</w:t>
      </w:r>
      <w:r w:rsidR="00952318">
        <w:rPr>
          <w:sz w:val="24"/>
          <w:szCs w:val="24"/>
        </w:rPr>
        <w:t xml:space="preserve"> and Mauritius</w:t>
      </w:r>
      <w:r w:rsidRPr="543832D4">
        <w:rPr>
          <w:sz w:val="24"/>
          <w:szCs w:val="24"/>
        </w:rPr>
        <w:t>).</w:t>
      </w:r>
      <w:r w:rsidR="001A4F74" w:rsidRPr="543832D4">
        <w:rPr>
          <w:sz w:val="24"/>
          <w:szCs w:val="24"/>
        </w:rPr>
        <w:t xml:space="preserve"> </w:t>
      </w:r>
    </w:p>
    <w:p w14:paraId="6B534BE4" w14:textId="77777777" w:rsidR="00053473" w:rsidRDefault="00053473">
      <w:pPr>
        <w:pStyle w:val="ListParagraph"/>
        <w:spacing w:after="0"/>
        <w:ind w:left="567"/>
        <w:rPr>
          <w:sz w:val="24"/>
          <w:szCs w:val="24"/>
        </w:rPr>
      </w:pPr>
    </w:p>
    <w:p w14:paraId="4E2A7E32" w14:textId="20BF1E8C" w:rsidR="00A015AC" w:rsidRDefault="00071C88">
      <w:pPr>
        <w:pStyle w:val="ListParagraph"/>
        <w:numPr>
          <w:ilvl w:val="0"/>
          <w:numId w:val="1"/>
        </w:numPr>
        <w:spacing w:after="0"/>
        <w:ind w:left="567" w:hanging="567"/>
        <w:rPr>
          <w:sz w:val="24"/>
          <w:szCs w:val="24"/>
        </w:rPr>
      </w:pPr>
      <w:r w:rsidRPr="543832D4">
        <w:rPr>
          <w:sz w:val="24"/>
          <w:szCs w:val="24"/>
        </w:rPr>
        <w:t xml:space="preserve">These outcomes reflect an improvement on the current </w:t>
      </w:r>
      <w:r w:rsidR="00A015AC">
        <w:rPr>
          <w:sz w:val="24"/>
          <w:szCs w:val="24"/>
        </w:rPr>
        <w:t>guaranteed market access that Australia has with India. Australia’s guaranteed access is provided through</w:t>
      </w:r>
      <w:r w:rsidR="00CF0E4A">
        <w:rPr>
          <w:sz w:val="24"/>
          <w:szCs w:val="24"/>
        </w:rPr>
        <w:t xml:space="preserve"> India’s existing</w:t>
      </w:r>
      <w:r w:rsidR="00361140">
        <w:rPr>
          <w:sz w:val="24"/>
          <w:szCs w:val="24"/>
        </w:rPr>
        <w:t xml:space="preserve"> services</w:t>
      </w:r>
      <w:r w:rsidR="00CF0E4A">
        <w:rPr>
          <w:sz w:val="24"/>
          <w:szCs w:val="24"/>
        </w:rPr>
        <w:t xml:space="preserve"> </w:t>
      </w:r>
      <w:r w:rsidR="00361140">
        <w:rPr>
          <w:sz w:val="24"/>
          <w:szCs w:val="24"/>
        </w:rPr>
        <w:t xml:space="preserve">market access commitments </w:t>
      </w:r>
      <w:r w:rsidR="00A015AC">
        <w:rPr>
          <w:sz w:val="24"/>
          <w:szCs w:val="24"/>
        </w:rPr>
        <w:t>in</w:t>
      </w:r>
      <w:r w:rsidR="00CF0E4A">
        <w:rPr>
          <w:sz w:val="24"/>
          <w:szCs w:val="24"/>
        </w:rPr>
        <w:t xml:space="preserve"> the WTO</w:t>
      </w:r>
      <w:r w:rsidR="00A015AC">
        <w:rPr>
          <w:sz w:val="24"/>
          <w:szCs w:val="24"/>
        </w:rPr>
        <w:t>, which</w:t>
      </w:r>
      <w:r w:rsidR="00CF0E4A">
        <w:rPr>
          <w:sz w:val="24"/>
          <w:szCs w:val="24"/>
        </w:rPr>
        <w:t xml:space="preserve"> are </w:t>
      </w:r>
      <w:r w:rsidR="00A015AC">
        <w:rPr>
          <w:sz w:val="24"/>
          <w:szCs w:val="24"/>
        </w:rPr>
        <w:t>limited to 37 services sub-</w:t>
      </w:r>
      <w:r w:rsidR="00A015AC">
        <w:rPr>
          <w:sz w:val="24"/>
          <w:szCs w:val="24"/>
        </w:rPr>
        <w:lastRenderedPageBreak/>
        <w:t>sectors</w:t>
      </w:r>
      <w:r w:rsidR="00CF0E4A">
        <w:rPr>
          <w:sz w:val="24"/>
          <w:szCs w:val="24"/>
        </w:rPr>
        <w:t xml:space="preserve">. </w:t>
      </w:r>
      <w:r w:rsidR="00A015AC">
        <w:rPr>
          <w:sz w:val="24"/>
          <w:szCs w:val="24"/>
        </w:rPr>
        <w:t xml:space="preserve">Many of Australia’s key services exports including higher education and other professional services such as architectural </w:t>
      </w:r>
      <w:r w:rsidR="000876D4">
        <w:rPr>
          <w:sz w:val="24"/>
          <w:szCs w:val="24"/>
        </w:rPr>
        <w:t>and urban planning services</w:t>
      </w:r>
      <w:r w:rsidR="00A015AC">
        <w:rPr>
          <w:sz w:val="24"/>
          <w:szCs w:val="24"/>
        </w:rPr>
        <w:t xml:space="preserve"> are not included. </w:t>
      </w:r>
    </w:p>
    <w:p w14:paraId="4F383395" w14:textId="77777777" w:rsidR="00A015AC" w:rsidRPr="0001716D" w:rsidRDefault="00A015AC" w:rsidP="0001716D">
      <w:pPr>
        <w:pStyle w:val="ListParagraph"/>
        <w:spacing w:after="0"/>
        <w:rPr>
          <w:sz w:val="24"/>
          <w:szCs w:val="24"/>
        </w:rPr>
      </w:pPr>
    </w:p>
    <w:p w14:paraId="50C2B40E" w14:textId="500ED8E7" w:rsidR="00A015AC" w:rsidRDefault="00A015AC">
      <w:pPr>
        <w:pStyle w:val="ListParagraph"/>
        <w:numPr>
          <w:ilvl w:val="0"/>
          <w:numId w:val="1"/>
        </w:numPr>
        <w:spacing w:after="0"/>
        <w:ind w:left="567" w:hanging="567"/>
        <w:rPr>
          <w:sz w:val="24"/>
          <w:szCs w:val="24"/>
        </w:rPr>
      </w:pPr>
      <w:r>
        <w:rPr>
          <w:sz w:val="24"/>
          <w:szCs w:val="24"/>
        </w:rPr>
        <w:t xml:space="preserve">India will bind </w:t>
      </w:r>
      <w:r w:rsidR="00F95D9A">
        <w:rPr>
          <w:sz w:val="24"/>
          <w:szCs w:val="24"/>
        </w:rPr>
        <w:t>85</w:t>
      </w:r>
      <w:r>
        <w:rPr>
          <w:sz w:val="24"/>
          <w:szCs w:val="24"/>
        </w:rPr>
        <w:t xml:space="preserve"> </w:t>
      </w:r>
      <w:r w:rsidR="00486423">
        <w:rPr>
          <w:sz w:val="24"/>
          <w:szCs w:val="24"/>
        </w:rPr>
        <w:t>sub</w:t>
      </w:r>
      <w:r>
        <w:rPr>
          <w:sz w:val="24"/>
          <w:szCs w:val="24"/>
        </w:rPr>
        <w:t>sectors for Australia in t</w:t>
      </w:r>
      <w:r w:rsidR="00CF0E4A">
        <w:rPr>
          <w:sz w:val="24"/>
          <w:szCs w:val="24"/>
        </w:rPr>
        <w:t xml:space="preserve">he proposed </w:t>
      </w:r>
      <w:r w:rsidR="00D10AF6">
        <w:rPr>
          <w:sz w:val="24"/>
          <w:szCs w:val="24"/>
        </w:rPr>
        <w:t>AI</w:t>
      </w:r>
      <w:r w:rsidR="00217C26">
        <w:rPr>
          <w:sz w:val="24"/>
          <w:szCs w:val="24"/>
        </w:rPr>
        <w:t xml:space="preserve"> ECTA</w:t>
      </w:r>
      <w:r w:rsidR="00F95D9A">
        <w:rPr>
          <w:sz w:val="24"/>
          <w:szCs w:val="24"/>
        </w:rPr>
        <w:t>, a 43 per cent improvement on the current bound market access that Australia receives through the WTO</w:t>
      </w:r>
      <w:r w:rsidR="00632B33">
        <w:rPr>
          <w:sz w:val="24"/>
          <w:szCs w:val="24"/>
        </w:rPr>
        <w:t xml:space="preserve"> GAT</w:t>
      </w:r>
      <w:r w:rsidR="005312D2">
        <w:rPr>
          <w:sz w:val="24"/>
          <w:szCs w:val="24"/>
        </w:rPr>
        <w:t>S</w:t>
      </w:r>
      <w:r w:rsidR="00632B33">
        <w:rPr>
          <w:sz w:val="24"/>
          <w:szCs w:val="24"/>
        </w:rPr>
        <w:t xml:space="preserve"> agreement</w:t>
      </w:r>
      <w:r>
        <w:rPr>
          <w:sz w:val="24"/>
          <w:szCs w:val="24"/>
        </w:rPr>
        <w:t>. This</w:t>
      </w:r>
      <w:r w:rsidR="00CF0E4A">
        <w:rPr>
          <w:sz w:val="24"/>
          <w:szCs w:val="24"/>
        </w:rPr>
        <w:t xml:space="preserve"> will provid</w:t>
      </w:r>
      <w:r w:rsidR="00AD13DB">
        <w:rPr>
          <w:sz w:val="24"/>
          <w:szCs w:val="24"/>
        </w:rPr>
        <w:t>e</w:t>
      </w:r>
      <w:r w:rsidR="00071C88" w:rsidRPr="543832D4">
        <w:rPr>
          <w:sz w:val="24"/>
          <w:szCs w:val="24"/>
        </w:rPr>
        <w:t xml:space="preserve"> additional </w:t>
      </w:r>
      <w:r w:rsidR="00AD13DB">
        <w:rPr>
          <w:sz w:val="24"/>
          <w:szCs w:val="24"/>
        </w:rPr>
        <w:t>certainty</w:t>
      </w:r>
      <w:r w:rsidR="00071C88" w:rsidRPr="543832D4">
        <w:rPr>
          <w:sz w:val="24"/>
          <w:szCs w:val="24"/>
        </w:rPr>
        <w:t xml:space="preserve"> across a range of commercially meaningful services sectors, including business services (</w:t>
      </w:r>
      <w:r w:rsidR="00DD6E16" w:rsidRPr="543832D4">
        <w:rPr>
          <w:sz w:val="24"/>
          <w:szCs w:val="24"/>
        </w:rPr>
        <w:t xml:space="preserve">accounting, </w:t>
      </w:r>
      <w:r w:rsidR="00071C88" w:rsidRPr="543832D4">
        <w:rPr>
          <w:sz w:val="24"/>
          <w:szCs w:val="24"/>
        </w:rPr>
        <w:t>tax, architectural and urban planning), research and development, communication, construction and engineering,</w:t>
      </w:r>
      <w:r w:rsidR="00DD6E16" w:rsidRPr="543832D4">
        <w:rPr>
          <w:sz w:val="24"/>
          <w:szCs w:val="24"/>
        </w:rPr>
        <w:t xml:space="preserve"> insurance, banking, education,</w:t>
      </w:r>
      <w:r w:rsidR="00071C88" w:rsidRPr="543832D4">
        <w:rPr>
          <w:sz w:val="24"/>
          <w:szCs w:val="24"/>
        </w:rPr>
        <w:t xml:space="preserve"> hospital, recreation, sports, </w:t>
      </w:r>
      <w:proofErr w:type="gramStart"/>
      <w:r w:rsidR="00071C88" w:rsidRPr="543832D4">
        <w:rPr>
          <w:sz w:val="24"/>
          <w:szCs w:val="24"/>
        </w:rPr>
        <w:t>tourism</w:t>
      </w:r>
      <w:proofErr w:type="gramEnd"/>
      <w:r w:rsidR="00071C88" w:rsidRPr="543832D4">
        <w:rPr>
          <w:sz w:val="24"/>
          <w:szCs w:val="24"/>
        </w:rPr>
        <w:t xml:space="preserve"> and transport services. </w:t>
      </w:r>
      <w:r>
        <w:rPr>
          <w:sz w:val="24"/>
          <w:szCs w:val="24"/>
        </w:rPr>
        <w:t xml:space="preserve">These binding market access commitments for Australian service suppliers go beyond the current bound market access that Australian service suppliers can rely upon. </w:t>
      </w:r>
    </w:p>
    <w:p w14:paraId="5882508E" w14:textId="77777777" w:rsidR="00A015AC" w:rsidRPr="0001716D" w:rsidRDefault="00A015AC" w:rsidP="0001716D">
      <w:pPr>
        <w:pStyle w:val="ListParagraph"/>
        <w:spacing w:after="0"/>
        <w:rPr>
          <w:sz w:val="24"/>
          <w:szCs w:val="24"/>
        </w:rPr>
      </w:pPr>
    </w:p>
    <w:p w14:paraId="28CDD748" w14:textId="0DFF538A" w:rsidR="00AF10D4" w:rsidRDefault="00071C88">
      <w:pPr>
        <w:pStyle w:val="ListParagraph"/>
        <w:numPr>
          <w:ilvl w:val="0"/>
          <w:numId w:val="1"/>
        </w:numPr>
        <w:spacing w:after="0"/>
        <w:ind w:left="567" w:hanging="567"/>
        <w:rPr>
          <w:sz w:val="24"/>
          <w:szCs w:val="24"/>
        </w:rPr>
      </w:pPr>
      <w:r w:rsidRPr="543832D4">
        <w:rPr>
          <w:sz w:val="24"/>
          <w:szCs w:val="24"/>
        </w:rPr>
        <w:t xml:space="preserve">These outcomes give Australian service suppliers confidence that </w:t>
      </w:r>
      <w:r w:rsidR="00391F5C">
        <w:rPr>
          <w:sz w:val="24"/>
          <w:szCs w:val="24"/>
        </w:rPr>
        <w:t xml:space="preserve">access into the Indian market will </w:t>
      </w:r>
      <w:proofErr w:type="gramStart"/>
      <w:r w:rsidR="00391F5C">
        <w:rPr>
          <w:sz w:val="24"/>
          <w:szCs w:val="24"/>
        </w:rPr>
        <w:t>continue</w:t>
      </w:r>
      <w:r w:rsidR="00A015AC">
        <w:rPr>
          <w:sz w:val="24"/>
          <w:szCs w:val="24"/>
        </w:rPr>
        <w:t xml:space="preserve"> </w:t>
      </w:r>
      <w:r w:rsidR="003D3232">
        <w:rPr>
          <w:sz w:val="24"/>
          <w:szCs w:val="24"/>
        </w:rPr>
        <w:t>on</w:t>
      </w:r>
      <w:proofErr w:type="gramEnd"/>
      <w:r w:rsidR="003D3232">
        <w:rPr>
          <w:sz w:val="24"/>
          <w:szCs w:val="24"/>
        </w:rPr>
        <w:t xml:space="preserve"> terms at least as good </w:t>
      </w:r>
      <w:r w:rsidR="00A015AC">
        <w:rPr>
          <w:sz w:val="24"/>
          <w:szCs w:val="24"/>
        </w:rPr>
        <w:t xml:space="preserve">as </w:t>
      </w:r>
      <w:r w:rsidR="00974023">
        <w:rPr>
          <w:sz w:val="24"/>
          <w:szCs w:val="24"/>
        </w:rPr>
        <w:t xml:space="preserve">those </w:t>
      </w:r>
      <w:r w:rsidR="00A015AC">
        <w:rPr>
          <w:sz w:val="24"/>
          <w:szCs w:val="24"/>
        </w:rPr>
        <w:t>described in the market access schedule</w:t>
      </w:r>
      <w:r w:rsidR="00391F5C">
        <w:rPr>
          <w:sz w:val="24"/>
          <w:szCs w:val="24"/>
        </w:rPr>
        <w:t>, so it is worthwhile to develop business activities</w:t>
      </w:r>
      <w:r w:rsidRPr="543832D4">
        <w:rPr>
          <w:sz w:val="24"/>
          <w:szCs w:val="24"/>
        </w:rPr>
        <w:t xml:space="preserve">. </w:t>
      </w:r>
      <w:r w:rsidR="00974023">
        <w:rPr>
          <w:sz w:val="24"/>
          <w:szCs w:val="24"/>
        </w:rPr>
        <w:t>This effect will be enhanced after six years, when India is obliged to “transition” its market access commitments to a more modern approach that will leave less (and in some cases, no</w:t>
      </w:r>
      <w:r w:rsidR="00FB310E">
        <w:rPr>
          <w:sz w:val="24"/>
          <w:szCs w:val="24"/>
        </w:rPr>
        <w:t xml:space="preserve">) space to reduce its market access. Furthermore, under this approach, any additional liberalisation India introduces over time will become irreversible in many sectors. </w:t>
      </w:r>
      <w:r w:rsidR="00391F5C">
        <w:rPr>
          <w:sz w:val="24"/>
          <w:szCs w:val="24"/>
        </w:rPr>
        <w:t xml:space="preserve">There </w:t>
      </w:r>
      <w:r w:rsidRPr="543832D4">
        <w:rPr>
          <w:sz w:val="24"/>
          <w:szCs w:val="24"/>
        </w:rPr>
        <w:t>may also be</w:t>
      </w:r>
      <w:r w:rsidR="00F95E70">
        <w:rPr>
          <w:sz w:val="24"/>
          <w:szCs w:val="24"/>
        </w:rPr>
        <w:t xml:space="preserve"> a</w:t>
      </w:r>
      <w:r w:rsidRPr="543832D4">
        <w:rPr>
          <w:sz w:val="24"/>
          <w:szCs w:val="24"/>
        </w:rPr>
        <w:t xml:space="preserve"> ‘head-turning </w:t>
      </w:r>
      <w:r w:rsidR="00F95E70">
        <w:rPr>
          <w:sz w:val="24"/>
          <w:szCs w:val="24"/>
        </w:rPr>
        <w:t>effect</w:t>
      </w:r>
      <w:r w:rsidRPr="543832D4">
        <w:rPr>
          <w:sz w:val="24"/>
          <w:szCs w:val="24"/>
        </w:rPr>
        <w:t>’</w:t>
      </w:r>
      <w:r w:rsidR="00F95E70">
        <w:rPr>
          <w:sz w:val="24"/>
          <w:szCs w:val="24"/>
        </w:rPr>
        <w:t xml:space="preserve">, encouraging </w:t>
      </w:r>
      <w:r w:rsidRPr="543832D4">
        <w:rPr>
          <w:sz w:val="24"/>
          <w:szCs w:val="24"/>
        </w:rPr>
        <w:t>Australian</w:t>
      </w:r>
      <w:r w:rsidR="00F95E70">
        <w:rPr>
          <w:sz w:val="24"/>
          <w:szCs w:val="24"/>
        </w:rPr>
        <w:t xml:space="preserve"> services</w:t>
      </w:r>
      <w:r w:rsidRPr="543832D4">
        <w:rPr>
          <w:sz w:val="24"/>
          <w:szCs w:val="24"/>
        </w:rPr>
        <w:t xml:space="preserve"> supplier</w:t>
      </w:r>
      <w:r w:rsidR="00EB15F8">
        <w:rPr>
          <w:sz w:val="24"/>
          <w:szCs w:val="24"/>
        </w:rPr>
        <w:t>s</w:t>
      </w:r>
      <w:r w:rsidRPr="543832D4">
        <w:rPr>
          <w:sz w:val="24"/>
          <w:szCs w:val="24"/>
        </w:rPr>
        <w:t xml:space="preserve"> to</w:t>
      </w:r>
      <w:r w:rsidR="00EB15F8">
        <w:rPr>
          <w:sz w:val="24"/>
          <w:szCs w:val="24"/>
        </w:rPr>
        <w:t xml:space="preserve"> take notice of opportunities in India </w:t>
      </w:r>
      <w:r w:rsidRPr="543832D4">
        <w:rPr>
          <w:sz w:val="24"/>
          <w:szCs w:val="24"/>
        </w:rPr>
        <w:t xml:space="preserve">and therefore increase economic activity. </w:t>
      </w:r>
    </w:p>
    <w:p w14:paraId="7BC8BFBE" w14:textId="77777777" w:rsidR="00AF10D4" w:rsidRPr="0001716D" w:rsidRDefault="00AF10D4" w:rsidP="0001716D">
      <w:pPr>
        <w:pStyle w:val="ListParagraph"/>
        <w:spacing w:after="0"/>
        <w:rPr>
          <w:sz w:val="24"/>
          <w:szCs w:val="24"/>
        </w:rPr>
      </w:pPr>
    </w:p>
    <w:p w14:paraId="41490430" w14:textId="652080A5" w:rsidR="001D71C3" w:rsidRPr="0001716D" w:rsidRDefault="00021EE8" w:rsidP="0001716D">
      <w:pPr>
        <w:pStyle w:val="ListParagraph"/>
        <w:numPr>
          <w:ilvl w:val="0"/>
          <w:numId w:val="1"/>
        </w:numPr>
        <w:spacing w:after="0"/>
        <w:ind w:left="567" w:hanging="567"/>
        <w:rPr>
          <w:sz w:val="24"/>
          <w:szCs w:val="24"/>
        </w:rPr>
      </w:pPr>
      <w:r w:rsidRPr="0001716D">
        <w:rPr>
          <w:sz w:val="24"/>
          <w:szCs w:val="24"/>
        </w:rPr>
        <w:t>India’s services market has</w:t>
      </w:r>
      <w:r w:rsidR="009F7C82" w:rsidRPr="0001716D">
        <w:rPr>
          <w:sz w:val="24"/>
          <w:szCs w:val="24"/>
        </w:rPr>
        <w:t xml:space="preserve"> significant opportunities for Australian service suppliers. A recent OECD report</w:t>
      </w:r>
      <w:r w:rsidR="00B9310D">
        <w:rPr>
          <w:rStyle w:val="FootnoteReference"/>
          <w:sz w:val="24"/>
          <w:szCs w:val="24"/>
        </w:rPr>
        <w:footnoteReference w:id="64"/>
      </w:r>
      <w:r w:rsidR="009F7C82" w:rsidRPr="0001716D">
        <w:rPr>
          <w:sz w:val="24"/>
          <w:szCs w:val="24"/>
        </w:rPr>
        <w:t xml:space="preserve"> </w:t>
      </w:r>
      <w:r w:rsidR="009001CB" w:rsidRPr="0001716D">
        <w:rPr>
          <w:sz w:val="24"/>
          <w:szCs w:val="24"/>
        </w:rPr>
        <w:t>highlighted</w:t>
      </w:r>
      <w:r w:rsidR="009F7C82" w:rsidRPr="0001716D">
        <w:rPr>
          <w:sz w:val="24"/>
          <w:szCs w:val="24"/>
        </w:rPr>
        <w:t xml:space="preserve"> </w:t>
      </w:r>
      <w:r w:rsidR="00B9310D" w:rsidRPr="0001716D">
        <w:rPr>
          <w:sz w:val="24"/>
          <w:szCs w:val="24"/>
        </w:rPr>
        <w:t>that</w:t>
      </w:r>
      <w:r w:rsidR="00CA27B1" w:rsidRPr="0001716D">
        <w:rPr>
          <w:sz w:val="24"/>
          <w:szCs w:val="24"/>
        </w:rPr>
        <w:t xml:space="preserve"> Indian business services have helped manufacturers all over the world become more efficient and productive</w:t>
      </w:r>
      <w:r w:rsidRPr="0001716D">
        <w:rPr>
          <w:sz w:val="24"/>
          <w:szCs w:val="24"/>
        </w:rPr>
        <w:t xml:space="preserve"> </w:t>
      </w:r>
      <w:r w:rsidR="0066447F" w:rsidRPr="0001716D">
        <w:rPr>
          <w:sz w:val="24"/>
          <w:szCs w:val="24"/>
        </w:rPr>
        <w:t xml:space="preserve">but also highlighted </w:t>
      </w:r>
      <w:r w:rsidR="009001CB" w:rsidRPr="0001716D">
        <w:rPr>
          <w:sz w:val="24"/>
          <w:szCs w:val="24"/>
        </w:rPr>
        <w:t>the importance of streamlining sector-level regulatory frameworks in all sectors to encourage foreign entry and competition.</w:t>
      </w:r>
      <w:r w:rsidRPr="0001716D">
        <w:rPr>
          <w:sz w:val="24"/>
          <w:szCs w:val="24"/>
        </w:rPr>
        <w:t xml:space="preserve"> </w:t>
      </w:r>
      <w:r w:rsidR="005F617B" w:rsidRPr="0001716D">
        <w:rPr>
          <w:sz w:val="24"/>
          <w:szCs w:val="24"/>
        </w:rPr>
        <w:t xml:space="preserve">In addition, the report reflects that currently, India could benefit from more open markets for services trade in key sectors such as insurance, </w:t>
      </w:r>
      <w:proofErr w:type="gramStart"/>
      <w:r w:rsidR="005F617B" w:rsidRPr="0001716D">
        <w:rPr>
          <w:sz w:val="24"/>
          <w:szCs w:val="24"/>
        </w:rPr>
        <w:t>accounting</w:t>
      </w:r>
      <w:proofErr w:type="gramEnd"/>
      <w:r w:rsidR="005F617B" w:rsidRPr="0001716D">
        <w:rPr>
          <w:sz w:val="24"/>
          <w:szCs w:val="24"/>
        </w:rPr>
        <w:t xml:space="preserve"> and architecture where services trade barriers are at present very high. </w:t>
      </w:r>
      <w:r w:rsidR="00636F08">
        <w:rPr>
          <w:rStyle w:val="FootnoteReference"/>
          <w:sz w:val="24"/>
          <w:szCs w:val="24"/>
        </w:rPr>
        <w:footnoteReference w:id="65"/>
      </w:r>
      <w:r w:rsidR="00B41919">
        <w:rPr>
          <w:sz w:val="24"/>
          <w:szCs w:val="24"/>
        </w:rPr>
        <w:t xml:space="preserve"> The size of the services export market in India is reflected in </w:t>
      </w:r>
      <w:r w:rsidR="00B41919" w:rsidRPr="0001716D">
        <w:rPr>
          <w:b/>
          <w:bCs/>
          <w:sz w:val="24"/>
          <w:szCs w:val="24"/>
          <w:u w:val="single"/>
        </w:rPr>
        <w:t xml:space="preserve">Table </w:t>
      </w:r>
      <w:r w:rsidR="00297854">
        <w:rPr>
          <w:b/>
          <w:bCs/>
          <w:sz w:val="24"/>
          <w:szCs w:val="24"/>
          <w:u w:val="single"/>
        </w:rPr>
        <w:t>10</w:t>
      </w:r>
      <w:r w:rsidR="00B41919">
        <w:rPr>
          <w:sz w:val="24"/>
          <w:szCs w:val="24"/>
        </w:rPr>
        <w:t>.</w:t>
      </w:r>
    </w:p>
    <w:p w14:paraId="7CE133CD" w14:textId="77777777" w:rsidR="00FD0BC1" w:rsidRDefault="00FD0BC1" w:rsidP="005E02E1">
      <w:pPr>
        <w:rPr>
          <w:b/>
          <w:bCs/>
          <w:sz w:val="24"/>
          <w:szCs w:val="24"/>
          <w:u w:val="single"/>
        </w:rPr>
      </w:pPr>
    </w:p>
    <w:p w14:paraId="2F7CF0C3" w14:textId="77777777" w:rsidR="00DB0807" w:rsidRDefault="00DB0807" w:rsidP="005E02E1">
      <w:pPr>
        <w:rPr>
          <w:b/>
          <w:bCs/>
          <w:sz w:val="24"/>
          <w:szCs w:val="24"/>
          <w:u w:val="single"/>
        </w:rPr>
      </w:pPr>
    </w:p>
    <w:p w14:paraId="5F339071" w14:textId="77777777" w:rsidR="00DB0807" w:rsidRDefault="00DB0807" w:rsidP="005E02E1">
      <w:pPr>
        <w:rPr>
          <w:b/>
          <w:bCs/>
          <w:sz w:val="24"/>
          <w:szCs w:val="24"/>
          <w:u w:val="single"/>
        </w:rPr>
      </w:pPr>
    </w:p>
    <w:p w14:paraId="44E8682E" w14:textId="77777777" w:rsidR="00DB0807" w:rsidRDefault="00DB0807" w:rsidP="005E02E1">
      <w:pPr>
        <w:rPr>
          <w:b/>
          <w:bCs/>
          <w:sz w:val="24"/>
          <w:szCs w:val="24"/>
          <w:u w:val="single"/>
        </w:rPr>
      </w:pPr>
    </w:p>
    <w:p w14:paraId="6B8C2194" w14:textId="77777777" w:rsidR="00DB0807" w:rsidRDefault="00DB0807" w:rsidP="005E02E1">
      <w:pPr>
        <w:rPr>
          <w:b/>
          <w:bCs/>
          <w:sz w:val="24"/>
          <w:szCs w:val="24"/>
          <w:u w:val="single"/>
        </w:rPr>
      </w:pPr>
    </w:p>
    <w:p w14:paraId="10F28E86" w14:textId="77777777" w:rsidR="00DB0807" w:rsidRDefault="00DB0807" w:rsidP="005E02E1">
      <w:pPr>
        <w:rPr>
          <w:b/>
          <w:bCs/>
          <w:sz w:val="24"/>
          <w:szCs w:val="24"/>
          <w:u w:val="single"/>
        </w:rPr>
      </w:pPr>
    </w:p>
    <w:p w14:paraId="0E2722B0" w14:textId="77777777" w:rsidR="005265AF" w:rsidRDefault="005265AF" w:rsidP="005E02E1">
      <w:pPr>
        <w:rPr>
          <w:b/>
          <w:bCs/>
          <w:sz w:val="24"/>
          <w:szCs w:val="24"/>
          <w:u w:val="single"/>
        </w:rPr>
      </w:pPr>
    </w:p>
    <w:p w14:paraId="3EC31E56" w14:textId="77777777" w:rsidR="00DB0807" w:rsidRDefault="00DB0807" w:rsidP="005E02E1">
      <w:pPr>
        <w:rPr>
          <w:b/>
          <w:bCs/>
          <w:sz w:val="24"/>
          <w:szCs w:val="24"/>
          <w:u w:val="single"/>
        </w:rPr>
      </w:pPr>
    </w:p>
    <w:p w14:paraId="6F305F62" w14:textId="70F33EF5" w:rsidR="00C879D6" w:rsidRPr="00A5588B" w:rsidRDefault="005E02E1" w:rsidP="005E02E1">
      <w:pPr>
        <w:rPr>
          <w:b/>
          <w:bCs/>
          <w:sz w:val="24"/>
          <w:szCs w:val="24"/>
        </w:rPr>
      </w:pPr>
      <w:r w:rsidRPr="005E27B6">
        <w:rPr>
          <w:b/>
          <w:bCs/>
          <w:sz w:val="24"/>
          <w:szCs w:val="24"/>
          <w:u w:val="single"/>
        </w:rPr>
        <w:lastRenderedPageBreak/>
        <w:t xml:space="preserve">Table </w:t>
      </w:r>
      <w:r w:rsidR="00297854">
        <w:rPr>
          <w:b/>
          <w:bCs/>
          <w:sz w:val="24"/>
          <w:szCs w:val="24"/>
          <w:u w:val="single"/>
        </w:rPr>
        <w:t>10</w:t>
      </w:r>
      <w:r>
        <w:rPr>
          <w:sz w:val="24"/>
          <w:szCs w:val="24"/>
        </w:rPr>
        <w:t xml:space="preserve">: </w:t>
      </w:r>
      <w:r w:rsidRPr="00A5588B">
        <w:rPr>
          <w:b/>
          <w:bCs/>
          <w:sz w:val="24"/>
          <w:szCs w:val="24"/>
        </w:rPr>
        <w:t>value of India’s key services export markets</w:t>
      </w:r>
    </w:p>
    <w:p w14:paraId="02B4DA89" w14:textId="283CA6B7" w:rsidR="00C879D6" w:rsidRPr="00C879D6" w:rsidRDefault="00C879D6" w:rsidP="00C879D6">
      <w:pPr>
        <w:spacing w:after="0"/>
        <w:rPr>
          <w:sz w:val="24"/>
          <w:szCs w:val="24"/>
        </w:rPr>
      </w:pPr>
      <w:r>
        <w:rPr>
          <w:noProof/>
        </w:rPr>
        <w:drawing>
          <wp:inline distT="0" distB="0" distL="0" distR="0" wp14:anchorId="39D483FC" wp14:editId="47B98286">
            <wp:extent cx="6038850" cy="6962775"/>
            <wp:effectExtent l="0" t="0" r="0" b="9525"/>
            <wp:docPr id="2" name="Picture 2" descr="Table outlining the value of India's key services export markets. &#10;&#10;Source: https://www.rbi.org.in/Scripts/AnnualPublications.aspx?head=Handbook%20of%20Statistics%20on%20Indian%20Econ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 outlining the value of India's key services export markets. &#10;&#10;Source: https://www.rbi.org.in/Scripts/AnnualPublications.aspx?head=Handbook%20of%20Statistics%20on%20Indian%20Economy"/>
                    <pic:cNvPicPr/>
                  </pic:nvPicPr>
                  <pic:blipFill>
                    <a:blip r:embed="rId21"/>
                    <a:stretch>
                      <a:fillRect/>
                    </a:stretch>
                  </pic:blipFill>
                  <pic:spPr>
                    <a:xfrm>
                      <a:off x="0" y="0"/>
                      <a:ext cx="6038850" cy="6962775"/>
                    </a:xfrm>
                    <a:prstGeom prst="rect">
                      <a:avLst/>
                    </a:prstGeom>
                  </pic:spPr>
                </pic:pic>
              </a:graphicData>
            </a:graphic>
          </wp:inline>
        </w:drawing>
      </w:r>
    </w:p>
    <w:p w14:paraId="0A57F60B" w14:textId="77777777" w:rsidR="00071C88" w:rsidRPr="00680D17" w:rsidRDefault="00071C88" w:rsidP="0014704E">
      <w:pPr>
        <w:pStyle w:val="ListParagraph"/>
        <w:spacing w:after="0"/>
        <w:rPr>
          <w:sz w:val="24"/>
          <w:szCs w:val="24"/>
        </w:rPr>
      </w:pPr>
    </w:p>
    <w:p w14:paraId="3D9BD301" w14:textId="77777777" w:rsidR="00967C04" w:rsidRDefault="009D0C08">
      <w:pPr>
        <w:pStyle w:val="ListParagraph"/>
        <w:numPr>
          <w:ilvl w:val="0"/>
          <w:numId w:val="1"/>
        </w:numPr>
        <w:spacing w:after="0"/>
        <w:ind w:left="567" w:hanging="567"/>
        <w:rPr>
          <w:sz w:val="24"/>
          <w:szCs w:val="24"/>
        </w:rPr>
      </w:pPr>
      <w:r>
        <w:rPr>
          <w:sz w:val="24"/>
          <w:szCs w:val="24"/>
        </w:rPr>
        <w:t>The value to liberalising trade in services is regularly considered by the OECD</w:t>
      </w:r>
      <w:r w:rsidR="00F04E12">
        <w:rPr>
          <w:sz w:val="24"/>
          <w:szCs w:val="24"/>
        </w:rPr>
        <w:t xml:space="preserve">. </w:t>
      </w:r>
      <w:r w:rsidR="00C34A9E">
        <w:rPr>
          <w:sz w:val="24"/>
          <w:szCs w:val="24"/>
        </w:rPr>
        <w:t xml:space="preserve">In a recent </w:t>
      </w:r>
      <w:r w:rsidR="00174738">
        <w:rPr>
          <w:sz w:val="24"/>
          <w:szCs w:val="24"/>
        </w:rPr>
        <w:t xml:space="preserve">OECD </w:t>
      </w:r>
      <w:r w:rsidR="00C34A9E">
        <w:rPr>
          <w:sz w:val="24"/>
          <w:szCs w:val="24"/>
        </w:rPr>
        <w:t>report</w:t>
      </w:r>
      <w:r w:rsidR="00C34A9E">
        <w:rPr>
          <w:rStyle w:val="FootnoteReference"/>
          <w:sz w:val="24"/>
          <w:szCs w:val="24"/>
        </w:rPr>
        <w:footnoteReference w:id="66"/>
      </w:r>
      <w:r>
        <w:rPr>
          <w:sz w:val="24"/>
          <w:szCs w:val="24"/>
        </w:rPr>
        <w:t xml:space="preserve"> </w:t>
      </w:r>
      <w:r w:rsidR="00C34A9E">
        <w:rPr>
          <w:sz w:val="24"/>
          <w:szCs w:val="24"/>
        </w:rPr>
        <w:t xml:space="preserve">on the effect of services liberalisation, </w:t>
      </w:r>
      <w:r w:rsidR="00174738">
        <w:rPr>
          <w:sz w:val="24"/>
          <w:szCs w:val="24"/>
        </w:rPr>
        <w:t xml:space="preserve">it is highlighted </w:t>
      </w:r>
      <w:r w:rsidR="00C34A9E">
        <w:rPr>
          <w:sz w:val="24"/>
          <w:szCs w:val="24"/>
        </w:rPr>
        <w:t>that</w:t>
      </w:r>
      <w:r w:rsidR="00AF7D79">
        <w:rPr>
          <w:sz w:val="24"/>
          <w:szCs w:val="24"/>
        </w:rPr>
        <w:t xml:space="preserve"> efforts to ease barriers to trade in services can yield substantial benefits. </w:t>
      </w:r>
      <w:r w:rsidR="00AF7D79" w:rsidRPr="00F65EA2">
        <w:rPr>
          <w:b/>
          <w:bCs/>
          <w:sz w:val="24"/>
          <w:szCs w:val="24"/>
        </w:rPr>
        <w:t xml:space="preserve">Table </w:t>
      </w:r>
      <w:r w:rsidR="00297854" w:rsidRPr="00F65EA2">
        <w:rPr>
          <w:b/>
          <w:bCs/>
          <w:sz w:val="24"/>
          <w:szCs w:val="24"/>
        </w:rPr>
        <w:t>11</w:t>
      </w:r>
      <w:r w:rsidR="00AF7D79">
        <w:rPr>
          <w:sz w:val="24"/>
          <w:szCs w:val="24"/>
        </w:rPr>
        <w:t xml:space="preserve"> provides a reflection of this </w:t>
      </w:r>
      <w:r w:rsidR="00A90A34">
        <w:rPr>
          <w:sz w:val="24"/>
          <w:szCs w:val="24"/>
        </w:rPr>
        <w:t>benefit on a sectoral basis in</w:t>
      </w:r>
      <w:r w:rsidR="00AF7D79">
        <w:rPr>
          <w:sz w:val="24"/>
          <w:szCs w:val="24"/>
        </w:rPr>
        <w:t xml:space="preserve"> percentage terms</w:t>
      </w:r>
      <w:r w:rsidR="00A90A34">
        <w:rPr>
          <w:sz w:val="24"/>
          <w:szCs w:val="24"/>
        </w:rPr>
        <w:t>.</w:t>
      </w:r>
      <w:r w:rsidR="009E1A84">
        <w:rPr>
          <w:sz w:val="24"/>
          <w:szCs w:val="24"/>
        </w:rPr>
        <w:t xml:space="preserve"> </w:t>
      </w:r>
    </w:p>
    <w:p w14:paraId="35BC12BE" w14:textId="5F92818D" w:rsidR="00967C04" w:rsidRDefault="00967C04" w:rsidP="00967C04">
      <w:pPr>
        <w:spacing w:after="0"/>
        <w:rPr>
          <w:sz w:val="24"/>
          <w:szCs w:val="24"/>
        </w:rPr>
      </w:pPr>
    </w:p>
    <w:p w14:paraId="05B08654" w14:textId="77777777" w:rsidR="00967C04" w:rsidRDefault="00967C04" w:rsidP="00967C04">
      <w:pPr>
        <w:spacing w:after="0"/>
        <w:rPr>
          <w:b/>
          <w:bCs/>
          <w:sz w:val="24"/>
          <w:szCs w:val="24"/>
          <w:u w:val="single"/>
        </w:rPr>
      </w:pPr>
    </w:p>
    <w:p w14:paraId="752FA0FF" w14:textId="3FEC3418" w:rsidR="00967C04" w:rsidRDefault="00967C04" w:rsidP="00967C04">
      <w:pPr>
        <w:spacing w:after="0"/>
        <w:rPr>
          <w:b/>
          <w:bCs/>
          <w:sz w:val="24"/>
          <w:szCs w:val="24"/>
        </w:rPr>
      </w:pPr>
      <w:r w:rsidRPr="008375D1">
        <w:rPr>
          <w:b/>
          <w:bCs/>
          <w:sz w:val="24"/>
          <w:szCs w:val="24"/>
          <w:u w:val="single"/>
        </w:rPr>
        <w:lastRenderedPageBreak/>
        <w:t xml:space="preserve">Table </w:t>
      </w:r>
      <w:r>
        <w:rPr>
          <w:b/>
          <w:bCs/>
          <w:sz w:val="24"/>
          <w:szCs w:val="24"/>
          <w:u w:val="single"/>
        </w:rPr>
        <w:t>11</w:t>
      </w:r>
      <w:r w:rsidRPr="008375D1">
        <w:rPr>
          <w:b/>
          <w:bCs/>
          <w:sz w:val="24"/>
          <w:szCs w:val="24"/>
        </w:rPr>
        <w:t xml:space="preserve">: </w:t>
      </w:r>
      <w:r>
        <w:rPr>
          <w:b/>
          <w:bCs/>
          <w:sz w:val="24"/>
          <w:szCs w:val="24"/>
        </w:rPr>
        <w:t>t</w:t>
      </w:r>
      <w:r w:rsidRPr="008375D1">
        <w:rPr>
          <w:b/>
          <w:bCs/>
          <w:sz w:val="24"/>
          <w:szCs w:val="24"/>
        </w:rPr>
        <w:t>rade cost effects of services liberalisation by sector</w:t>
      </w:r>
    </w:p>
    <w:p w14:paraId="63974685" w14:textId="77777777" w:rsidR="0037493B" w:rsidRDefault="0037493B" w:rsidP="00967C04">
      <w:pPr>
        <w:spacing w:after="0"/>
        <w:rPr>
          <w:b/>
          <w:bCs/>
          <w:sz w:val="24"/>
          <w:szCs w:val="24"/>
        </w:rPr>
      </w:pPr>
    </w:p>
    <w:p w14:paraId="1280E075" w14:textId="2511056B" w:rsidR="00967C04" w:rsidRPr="00967C04" w:rsidRDefault="0037493B" w:rsidP="00967C04">
      <w:pPr>
        <w:spacing w:after="0"/>
        <w:rPr>
          <w:sz w:val="24"/>
          <w:szCs w:val="24"/>
        </w:rPr>
      </w:pPr>
      <w:r>
        <w:rPr>
          <w:noProof/>
        </w:rPr>
        <w:drawing>
          <wp:inline distT="0" distB="0" distL="0" distR="0" wp14:anchorId="19098FE6" wp14:editId="1E3B9C18">
            <wp:extent cx="6120130" cy="4872355"/>
            <wp:effectExtent l="0" t="0" r="0" b="4445"/>
            <wp:docPr id="4" name="Picture 4" descr="Table of trade cost implications of policy reforms in the OECD Services Trade Restrictiveness Index (STRI). Source: https://issuu.com/oecd.publishing/docs/oecd_stri_policy_trends_up_to_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 of trade cost implications of policy reforms in the OECD Services Trade Restrictiveness Index (STRI). Source: https://issuu.com/oecd.publishing/docs/oecd_stri_policy_trends_up_to_2022"/>
                    <pic:cNvPicPr/>
                  </pic:nvPicPr>
                  <pic:blipFill>
                    <a:blip r:embed="rId22"/>
                    <a:stretch>
                      <a:fillRect/>
                    </a:stretch>
                  </pic:blipFill>
                  <pic:spPr>
                    <a:xfrm>
                      <a:off x="0" y="0"/>
                      <a:ext cx="6120130" cy="4872355"/>
                    </a:xfrm>
                    <a:prstGeom prst="rect">
                      <a:avLst/>
                    </a:prstGeom>
                  </pic:spPr>
                </pic:pic>
              </a:graphicData>
            </a:graphic>
          </wp:inline>
        </w:drawing>
      </w:r>
    </w:p>
    <w:p w14:paraId="7363918C" w14:textId="77777777" w:rsidR="0037493B" w:rsidRDefault="0037493B" w:rsidP="0037493B">
      <w:pPr>
        <w:pStyle w:val="ListParagraph"/>
        <w:spacing w:after="0"/>
        <w:ind w:left="567"/>
        <w:rPr>
          <w:sz w:val="24"/>
          <w:szCs w:val="24"/>
        </w:rPr>
      </w:pPr>
    </w:p>
    <w:p w14:paraId="6B86B585" w14:textId="17348072" w:rsidR="00071C88" w:rsidRPr="0001716D" w:rsidRDefault="00071C88">
      <w:pPr>
        <w:pStyle w:val="ListParagraph"/>
        <w:numPr>
          <w:ilvl w:val="0"/>
          <w:numId w:val="1"/>
        </w:numPr>
        <w:spacing w:after="0"/>
        <w:ind w:left="567" w:hanging="567"/>
        <w:rPr>
          <w:sz w:val="24"/>
          <w:szCs w:val="24"/>
        </w:rPr>
      </w:pPr>
      <w:r w:rsidRPr="543832D4">
        <w:rPr>
          <w:sz w:val="24"/>
          <w:szCs w:val="24"/>
        </w:rPr>
        <w:t xml:space="preserve">Some of the </w:t>
      </w:r>
      <w:r w:rsidR="00DF5DE9">
        <w:rPr>
          <w:sz w:val="24"/>
          <w:szCs w:val="24"/>
        </w:rPr>
        <w:t xml:space="preserve">new </w:t>
      </w:r>
      <w:r w:rsidRPr="543832D4">
        <w:rPr>
          <w:sz w:val="24"/>
          <w:szCs w:val="24"/>
        </w:rPr>
        <w:t xml:space="preserve">market access </w:t>
      </w:r>
      <w:r w:rsidR="000E4DAD">
        <w:rPr>
          <w:sz w:val="24"/>
          <w:szCs w:val="24"/>
        </w:rPr>
        <w:t xml:space="preserve">guarantees </w:t>
      </w:r>
      <w:r w:rsidRPr="543832D4">
        <w:rPr>
          <w:sz w:val="24"/>
          <w:szCs w:val="24"/>
        </w:rPr>
        <w:t xml:space="preserve">that </w:t>
      </w:r>
      <w:r w:rsidR="00DF5DE9">
        <w:rPr>
          <w:sz w:val="24"/>
          <w:szCs w:val="24"/>
        </w:rPr>
        <w:t>Australia is securing through the Interim Agreement</w:t>
      </w:r>
      <w:r w:rsidRPr="543832D4">
        <w:rPr>
          <w:sz w:val="24"/>
          <w:szCs w:val="24"/>
        </w:rPr>
        <w:t xml:space="preserve"> align with India’s </w:t>
      </w:r>
      <w:r w:rsidR="00447702">
        <w:rPr>
          <w:sz w:val="24"/>
          <w:szCs w:val="24"/>
        </w:rPr>
        <w:t xml:space="preserve">recent </w:t>
      </w:r>
      <w:r w:rsidRPr="543832D4">
        <w:rPr>
          <w:sz w:val="24"/>
          <w:szCs w:val="24"/>
        </w:rPr>
        <w:t>domestic reforms</w:t>
      </w:r>
      <w:r w:rsidR="00DA24E9">
        <w:rPr>
          <w:sz w:val="24"/>
          <w:szCs w:val="24"/>
        </w:rPr>
        <w:t xml:space="preserve">. </w:t>
      </w:r>
      <w:r w:rsidR="00DA24E9" w:rsidRPr="0001716D">
        <w:rPr>
          <w:sz w:val="24"/>
          <w:szCs w:val="24"/>
        </w:rPr>
        <w:t xml:space="preserve">The timing is important here, capitalising on recent reforms and binding them in a treaty means that India cannot </w:t>
      </w:r>
      <w:r w:rsidR="007454DE" w:rsidRPr="0001716D">
        <w:rPr>
          <w:sz w:val="24"/>
          <w:szCs w:val="24"/>
        </w:rPr>
        <w:t>adversely modify these commitments in the future. Examples include</w:t>
      </w:r>
      <w:r w:rsidRPr="0001716D">
        <w:rPr>
          <w:sz w:val="24"/>
          <w:szCs w:val="24"/>
        </w:rPr>
        <w:t xml:space="preserve"> architectural services, telecommunications </w:t>
      </w:r>
      <w:proofErr w:type="gramStart"/>
      <w:r w:rsidRPr="0001716D">
        <w:rPr>
          <w:sz w:val="24"/>
          <w:szCs w:val="24"/>
        </w:rPr>
        <w:t>services</w:t>
      </w:r>
      <w:proofErr w:type="gramEnd"/>
      <w:r w:rsidRPr="0001716D">
        <w:rPr>
          <w:sz w:val="24"/>
          <w:szCs w:val="24"/>
        </w:rPr>
        <w:t xml:space="preserve"> and distribution services.</w:t>
      </w:r>
      <w:r w:rsidR="00B9344D" w:rsidRPr="0001716D">
        <w:rPr>
          <w:sz w:val="24"/>
          <w:szCs w:val="24"/>
        </w:rPr>
        <w:t xml:space="preserve"> </w:t>
      </w:r>
      <w:r w:rsidR="007454DE" w:rsidRPr="0001716D">
        <w:rPr>
          <w:sz w:val="24"/>
          <w:szCs w:val="24"/>
        </w:rPr>
        <w:t>Under</w:t>
      </w:r>
      <w:r w:rsidR="00B9344D" w:rsidRPr="0001716D">
        <w:rPr>
          <w:sz w:val="24"/>
          <w:szCs w:val="24"/>
        </w:rPr>
        <w:t xml:space="preserve"> distribution services, India has committed to market access for single-brand retailing and franchising, as well as commitments regarding wholesale distribution.</w:t>
      </w:r>
      <w:r w:rsidRPr="0001716D">
        <w:rPr>
          <w:sz w:val="24"/>
          <w:szCs w:val="24"/>
        </w:rPr>
        <w:t xml:space="preserve"> India has </w:t>
      </w:r>
      <w:r w:rsidR="00290EFB">
        <w:rPr>
          <w:sz w:val="24"/>
          <w:szCs w:val="24"/>
        </w:rPr>
        <w:t>also</w:t>
      </w:r>
      <w:r w:rsidR="000F5776">
        <w:rPr>
          <w:sz w:val="24"/>
          <w:szCs w:val="24"/>
        </w:rPr>
        <w:t xml:space="preserve"> </w:t>
      </w:r>
      <w:r w:rsidRPr="0001716D">
        <w:rPr>
          <w:sz w:val="24"/>
          <w:szCs w:val="24"/>
        </w:rPr>
        <w:t xml:space="preserve">agreed to provide a commercial presence commitment in architectural services though incorporation in a partnership firm. This outcome binds India </w:t>
      </w:r>
      <w:r w:rsidR="006D078B" w:rsidRPr="0001716D">
        <w:rPr>
          <w:sz w:val="24"/>
          <w:szCs w:val="24"/>
        </w:rPr>
        <w:t>to</w:t>
      </w:r>
      <w:r w:rsidR="00944586">
        <w:rPr>
          <w:sz w:val="24"/>
          <w:szCs w:val="24"/>
        </w:rPr>
        <w:t xml:space="preserve"> this aspect of</w:t>
      </w:r>
      <w:r w:rsidRPr="0001716D">
        <w:rPr>
          <w:sz w:val="24"/>
          <w:szCs w:val="24"/>
        </w:rPr>
        <w:t xml:space="preserve"> its current reformed regime enabling Australian architectural firms to invest </w:t>
      </w:r>
      <w:r w:rsidR="006D078B" w:rsidRPr="0001716D">
        <w:rPr>
          <w:sz w:val="24"/>
          <w:szCs w:val="24"/>
        </w:rPr>
        <w:t xml:space="preserve">with </w:t>
      </w:r>
      <w:r w:rsidRPr="0001716D">
        <w:rPr>
          <w:sz w:val="24"/>
          <w:szCs w:val="24"/>
        </w:rPr>
        <w:t>more</w:t>
      </w:r>
      <w:r w:rsidR="006D078B" w:rsidRPr="0001716D">
        <w:rPr>
          <w:sz w:val="24"/>
          <w:szCs w:val="24"/>
        </w:rPr>
        <w:t xml:space="preserve"> confidence and</w:t>
      </w:r>
      <w:r w:rsidRPr="0001716D">
        <w:rPr>
          <w:sz w:val="24"/>
          <w:szCs w:val="24"/>
        </w:rPr>
        <w:t xml:space="preserve"> fulsomely in the Indian market and collaborate professionally with greater ease. </w:t>
      </w:r>
      <w:r w:rsidR="00F63200" w:rsidRPr="0001716D">
        <w:rPr>
          <w:sz w:val="24"/>
          <w:szCs w:val="24"/>
        </w:rPr>
        <w:t>Increas</w:t>
      </w:r>
      <w:r w:rsidR="00706812" w:rsidRPr="0001716D">
        <w:rPr>
          <w:sz w:val="24"/>
          <w:szCs w:val="24"/>
        </w:rPr>
        <w:t>ing</w:t>
      </w:r>
      <w:r w:rsidR="00F63200" w:rsidRPr="0001716D">
        <w:rPr>
          <w:sz w:val="24"/>
          <w:szCs w:val="24"/>
        </w:rPr>
        <w:t xml:space="preserve"> investor confidence </w:t>
      </w:r>
      <w:r w:rsidR="00706812" w:rsidRPr="0001716D">
        <w:rPr>
          <w:sz w:val="24"/>
          <w:szCs w:val="24"/>
        </w:rPr>
        <w:t xml:space="preserve">through commercial presence commitments </w:t>
      </w:r>
      <w:r w:rsidRPr="0001716D">
        <w:rPr>
          <w:sz w:val="24"/>
          <w:szCs w:val="24"/>
        </w:rPr>
        <w:t xml:space="preserve">was a key request </w:t>
      </w:r>
      <w:r w:rsidR="006D078B" w:rsidRPr="0001716D">
        <w:rPr>
          <w:sz w:val="24"/>
          <w:szCs w:val="24"/>
        </w:rPr>
        <w:t>from</w:t>
      </w:r>
      <w:r w:rsidRPr="0001716D">
        <w:rPr>
          <w:sz w:val="24"/>
          <w:szCs w:val="24"/>
        </w:rPr>
        <w:t xml:space="preserve"> the </w:t>
      </w:r>
      <w:r w:rsidR="006D078B" w:rsidRPr="0001716D">
        <w:rPr>
          <w:sz w:val="24"/>
          <w:szCs w:val="24"/>
        </w:rPr>
        <w:t xml:space="preserve">Australian </w:t>
      </w:r>
      <w:r w:rsidRPr="0001716D">
        <w:rPr>
          <w:sz w:val="24"/>
          <w:szCs w:val="24"/>
        </w:rPr>
        <w:t>professional services secto</w:t>
      </w:r>
      <w:r w:rsidR="0060429E" w:rsidRPr="0001716D">
        <w:rPr>
          <w:sz w:val="24"/>
          <w:szCs w:val="24"/>
        </w:rPr>
        <w:t>r, which has an annual revenue of A</w:t>
      </w:r>
      <w:r w:rsidR="00316969">
        <w:rPr>
          <w:sz w:val="24"/>
          <w:szCs w:val="24"/>
        </w:rPr>
        <w:t>U</w:t>
      </w:r>
      <w:r w:rsidR="0060429E" w:rsidRPr="0001716D">
        <w:rPr>
          <w:sz w:val="24"/>
          <w:szCs w:val="24"/>
        </w:rPr>
        <w:t>$258 billion</w:t>
      </w:r>
      <w:r w:rsidR="00351BBA" w:rsidRPr="0001716D">
        <w:rPr>
          <w:sz w:val="24"/>
          <w:szCs w:val="24"/>
        </w:rPr>
        <w:t>.</w:t>
      </w:r>
      <w:r w:rsidR="0060429E">
        <w:rPr>
          <w:rStyle w:val="FootnoteReference"/>
          <w:sz w:val="24"/>
          <w:szCs w:val="24"/>
        </w:rPr>
        <w:footnoteReference w:id="67"/>
      </w:r>
    </w:p>
    <w:p w14:paraId="29EEB1FE" w14:textId="77777777" w:rsidR="00071C88" w:rsidRPr="002F2AB7" w:rsidRDefault="00071C88" w:rsidP="0014704E">
      <w:pPr>
        <w:pStyle w:val="ListParagraph"/>
        <w:spacing w:after="0"/>
        <w:rPr>
          <w:sz w:val="24"/>
          <w:szCs w:val="24"/>
        </w:rPr>
      </w:pPr>
    </w:p>
    <w:p w14:paraId="17C550FB" w14:textId="67220D3E" w:rsidR="009D216B" w:rsidRPr="00A5588B" w:rsidRDefault="009D216B">
      <w:pPr>
        <w:pStyle w:val="ListParagraph"/>
        <w:numPr>
          <w:ilvl w:val="0"/>
          <w:numId w:val="1"/>
        </w:numPr>
        <w:spacing w:after="0"/>
        <w:ind w:left="567" w:hanging="567"/>
        <w:rPr>
          <w:sz w:val="24"/>
          <w:szCs w:val="24"/>
        </w:rPr>
      </w:pPr>
      <w:r>
        <w:rPr>
          <w:sz w:val="24"/>
          <w:szCs w:val="24"/>
        </w:rPr>
        <w:lastRenderedPageBreak/>
        <w:t>Australia’s architectural services industry annual revenue was A</w:t>
      </w:r>
      <w:r w:rsidR="00A9346C">
        <w:rPr>
          <w:sz w:val="24"/>
          <w:szCs w:val="24"/>
        </w:rPr>
        <w:t>U</w:t>
      </w:r>
      <w:r>
        <w:rPr>
          <w:sz w:val="24"/>
          <w:szCs w:val="24"/>
        </w:rPr>
        <w:t>$6.3 billion in 2021.</w:t>
      </w:r>
      <w:r>
        <w:rPr>
          <w:rStyle w:val="FootnoteReference"/>
          <w:sz w:val="24"/>
          <w:szCs w:val="24"/>
        </w:rPr>
        <w:footnoteReference w:id="68"/>
      </w:r>
      <w:r>
        <w:rPr>
          <w:sz w:val="24"/>
          <w:szCs w:val="24"/>
        </w:rPr>
        <w:t xml:space="preserve"> </w:t>
      </w:r>
      <w:r w:rsidRPr="005E27B6">
        <w:rPr>
          <w:sz w:val="24"/>
          <w:szCs w:val="24"/>
        </w:rPr>
        <w:t xml:space="preserve">Architectural </w:t>
      </w:r>
      <w:r>
        <w:rPr>
          <w:sz w:val="24"/>
          <w:szCs w:val="24"/>
        </w:rPr>
        <w:t>s</w:t>
      </w:r>
      <w:r w:rsidRPr="005E27B6">
        <w:rPr>
          <w:sz w:val="24"/>
          <w:szCs w:val="24"/>
        </w:rPr>
        <w:t>ervice</w:t>
      </w:r>
      <w:r>
        <w:rPr>
          <w:sz w:val="24"/>
          <w:szCs w:val="24"/>
        </w:rPr>
        <w:t xml:space="preserve"> suppliers</w:t>
      </w:r>
      <w:r w:rsidRPr="005E27B6">
        <w:rPr>
          <w:sz w:val="24"/>
          <w:szCs w:val="24"/>
        </w:rPr>
        <w:t xml:space="preserve"> have faced several challenges </w:t>
      </w:r>
      <w:r>
        <w:rPr>
          <w:sz w:val="24"/>
          <w:szCs w:val="24"/>
        </w:rPr>
        <w:t>in recent</w:t>
      </w:r>
      <w:r w:rsidRPr="005E27B6">
        <w:rPr>
          <w:sz w:val="24"/>
          <w:szCs w:val="24"/>
        </w:rPr>
        <w:t xml:space="preserve"> years. In response to uncertain economic conditions brought on by the COVID-19 pandemic, many downstream clients postponed or cancelled projects, reducing demand for industry services. </w:t>
      </w:r>
      <w:r>
        <w:rPr>
          <w:sz w:val="24"/>
          <w:szCs w:val="24"/>
        </w:rPr>
        <w:t>According to IBIS World</w:t>
      </w:r>
      <w:r>
        <w:rPr>
          <w:rStyle w:val="FootnoteReference"/>
          <w:sz w:val="24"/>
          <w:szCs w:val="24"/>
        </w:rPr>
        <w:footnoteReference w:id="69"/>
      </w:r>
      <w:r>
        <w:rPr>
          <w:sz w:val="24"/>
          <w:szCs w:val="24"/>
        </w:rPr>
        <w:t>,</w:t>
      </w:r>
      <w:r w:rsidRPr="005E27B6">
        <w:rPr>
          <w:sz w:val="24"/>
          <w:szCs w:val="24"/>
        </w:rPr>
        <w:t xml:space="preserve"> industry revenue </w:t>
      </w:r>
      <w:r w:rsidR="0035435A">
        <w:rPr>
          <w:sz w:val="24"/>
          <w:szCs w:val="24"/>
        </w:rPr>
        <w:t>wa</w:t>
      </w:r>
      <w:r w:rsidRPr="005E27B6">
        <w:rPr>
          <w:sz w:val="24"/>
          <w:szCs w:val="24"/>
        </w:rPr>
        <w:t xml:space="preserve">s expected to fall </w:t>
      </w:r>
      <w:r>
        <w:rPr>
          <w:sz w:val="24"/>
          <w:szCs w:val="24"/>
        </w:rPr>
        <w:t>by</w:t>
      </w:r>
      <w:r w:rsidRPr="005E27B6">
        <w:rPr>
          <w:sz w:val="24"/>
          <w:szCs w:val="24"/>
        </w:rPr>
        <w:t xml:space="preserve"> 2.1</w:t>
      </w:r>
      <w:r>
        <w:rPr>
          <w:sz w:val="24"/>
          <w:szCs w:val="24"/>
        </w:rPr>
        <w:t xml:space="preserve"> per cent</w:t>
      </w:r>
      <w:r w:rsidRPr="005E27B6">
        <w:rPr>
          <w:sz w:val="24"/>
          <w:szCs w:val="24"/>
        </w:rPr>
        <w:t xml:space="preserve"> over the five years through 2021-22, to </w:t>
      </w:r>
      <w:r>
        <w:rPr>
          <w:sz w:val="24"/>
          <w:szCs w:val="24"/>
        </w:rPr>
        <w:t>A</w:t>
      </w:r>
      <w:r w:rsidR="00A9346C">
        <w:rPr>
          <w:sz w:val="24"/>
          <w:szCs w:val="24"/>
        </w:rPr>
        <w:t>U</w:t>
      </w:r>
      <w:r w:rsidRPr="005E27B6">
        <w:rPr>
          <w:sz w:val="24"/>
          <w:szCs w:val="24"/>
        </w:rPr>
        <w:t>$6.3 billion. This trend includes an anticipated decline of 6.3</w:t>
      </w:r>
      <w:r>
        <w:rPr>
          <w:sz w:val="24"/>
          <w:szCs w:val="24"/>
        </w:rPr>
        <w:t xml:space="preserve"> per cent</w:t>
      </w:r>
      <w:r w:rsidRPr="005E27B6">
        <w:rPr>
          <w:sz w:val="24"/>
          <w:szCs w:val="24"/>
        </w:rPr>
        <w:t xml:space="preserve"> in the current year, largely due to low construction activity limiting the number of new projects</w:t>
      </w:r>
      <w:r>
        <w:rPr>
          <w:sz w:val="24"/>
          <w:szCs w:val="24"/>
        </w:rPr>
        <w:t xml:space="preserve">. As a result, the impact of </w:t>
      </w:r>
      <w:proofErr w:type="gramStart"/>
      <w:r>
        <w:rPr>
          <w:sz w:val="24"/>
          <w:szCs w:val="24"/>
        </w:rPr>
        <w:t>opening up</w:t>
      </w:r>
      <w:proofErr w:type="gramEnd"/>
      <w:r>
        <w:rPr>
          <w:sz w:val="24"/>
          <w:szCs w:val="24"/>
        </w:rPr>
        <w:t xml:space="preserve"> new opportunities in construction in India will likely have a positive impact </w:t>
      </w:r>
      <w:r w:rsidR="00CA3DFA">
        <w:rPr>
          <w:sz w:val="24"/>
          <w:szCs w:val="24"/>
        </w:rPr>
        <w:t xml:space="preserve">and help </w:t>
      </w:r>
      <w:r>
        <w:rPr>
          <w:sz w:val="24"/>
          <w:szCs w:val="24"/>
        </w:rPr>
        <w:t>Australia’s architectural services market</w:t>
      </w:r>
      <w:r w:rsidR="00CA3DFA">
        <w:rPr>
          <w:sz w:val="24"/>
          <w:szCs w:val="24"/>
        </w:rPr>
        <w:t xml:space="preserve"> bounce back from COVID-19 impacts</w:t>
      </w:r>
      <w:r>
        <w:rPr>
          <w:sz w:val="24"/>
          <w:szCs w:val="24"/>
        </w:rPr>
        <w:t>.</w:t>
      </w:r>
    </w:p>
    <w:p w14:paraId="07C06D07" w14:textId="77777777" w:rsidR="009D216B" w:rsidRPr="00A5588B" w:rsidRDefault="009D216B" w:rsidP="0001716D">
      <w:pPr>
        <w:pStyle w:val="ListParagraph"/>
        <w:spacing w:after="0"/>
        <w:rPr>
          <w:sz w:val="24"/>
          <w:szCs w:val="24"/>
        </w:rPr>
      </w:pPr>
    </w:p>
    <w:p w14:paraId="6AABE074" w14:textId="6F1D05FD" w:rsidR="00071C88" w:rsidRDefault="00071C88">
      <w:pPr>
        <w:pStyle w:val="ListParagraph"/>
        <w:numPr>
          <w:ilvl w:val="0"/>
          <w:numId w:val="1"/>
        </w:numPr>
        <w:spacing w:after="0"/>
        <w:ind w:left="567" w:hanging="567"/>
        <w:rPr>
          <w:sz w:val="24"/>
          <w:szCs w:val="24"/>
        </w:rPr>
      </w:pPr>
      <w:r w:rsidRPr="543832D4">
        <w:rPr>
          <w:sz w:val="24"/>
          <w:szCs w:val="24"/>
        </w:rPr>
        <w:t xml:space="preserve">In telecommunications services, India has agreed to commitments on electronic data interchange, </w:t>
      </w:r>
      <w:r w:rsidR="002A6145">
        <w:rPr>
          <w:sz w:val="24"/>
          <w:szCs w:val="24"/>
        </w:rPr>
        <w:t>as well as on</w:t>
      </w:r>
      <w:r w:rsidR="00430F63">
        <w:rPr>
          <w:sz w:val="24"/>
          <w:szCs w:val="24"/>
        </w:rPr>
        <w:t xml:space="preserve"> internet and infrastructure services (with a foreign equity allowance of 74 per cent for commercial presence.)</w:t>
      </w:r>
      <w:r w:rsidR="002A6145">
        <w:rPr>
          <w:sz w:val="24"/>
          <w:szCs w:val="24"/>
        </w:rPr>
        <w:t xml:space="preserve"> </w:t>
      </w:r>
      <w:r w:rsidRPr="543832D4">
        <w:rPr>
          <w:sz w:val="24"/>
          <w:szCs w:val="24"/>
        </w:rPr>
        <w:t xml:space="preserve">Major telecommunications companies in Australia have indicated a strong interest in India and some are present in the Indian market. This additional </w:t>
      </w:r>
      <w:r w:rsidR="00BD3FFC">
        <w:rPr>
          <w:sz w:val="24"/>
          <w:szCs w:val="24"/>
        </w:rPr>
        <w:t>certainty</w:t>
      </w:r>
      <w:r w:rsidRPr="543832D4">
        <w:rPr>
          <w:sz w:val="24"/>
          <w:szCs w:val="24"/>
        </w:rPr>
        <w:t xml:space="preserve"> will allow existing market participants to expand their portfolio of services while also encouraging new market entrants to enter the Indian market. In distribution services, India has expanded its sectoral offering significantly to include agricultural raw products, food products, furniture and household goods, wholesale trade services including machinery, </w:t>
      </w:r>
      <w:proofErr w:type="gramStart"/>
      <w:r w:rsidRPr="543832D4">
        <w:rPr>
          <w:sz w:val="24"/>
          <w:szCs w:val="24"/>
        </w:rPr>
        <w:t>equipment</w:t>
      </w:r>
      <w:proofErr w:type="gramEnd"/>
      <w:r w:rsidRPr="543832D4">
        <w:rPr>
          <w:sz w:val="24"/>
          <w:szCs w:val="24"/>
        </w:rPr>
        <w:t xml:space="preserve"> and suppliers. This is another major win for our distribution service suppliers, who now have predictability on the products they can distribute and under what conditions. Lack of predictability around rules relating to distribution services was reported to be challenging from Australian stakeholders.  </w:t>
      </w:r>
    </w:p>
    <w:p w14:paraId="7AADD218" w14:textId="77777777" w:rsidR="00F94E0E" w:rsidRPr="002E5525" w:rsidRDefault="00F94E0E" w:rsidP="00F94E0E">
      <w:pPr>
        <w:pStyle w:val="ListParagraph"/>
        <w:spacing w:after="0"/>
        <w:ind w:left="567"/>
        <w:rPr>
          <w:sz w:val="24"/>
          <w:szCs w:val="24"/>
        </w:rPr>
      </w:pPr>
    </w:p>
    <w:p w14:paraId="5ECEBF0B" w14:textId="26EEC843" w:rsidR="00071C88" w:rsidRPr="00D85154" w:rsidRDefault="00071C88">
      <w:pPr>
        <w:pStyle w:val="ListParagraph"/>
        <w:numPr>
          <w:ilvl w:val="0"/>
          <w:numId w:val="1"/>
        </w:numPr>
        <w:spacing w:after="0"/>
        <w:ind w:left="567" w:hanging="567"/>
        <w:rPr>
          <w:sz w:val="24"/>
          <w:szCs w:val="24"/>
        </w:rPr>
      </w:pPr>
      <w:r w:rsidRPr="543832D4">
        <w:rPr>
          <w:sz w:val="24"/>
          <w:szCs w:val="24"/>
        </w:rPr>
        <w:t xml:space="preserve">There were some areas of commercial interest for Australia where India was unable to make commitments including legal, other health, </w:t>
      </w:r>
      <w:r w:rsidR="000876D4">
        <w:rPr>
          <w:sz w:val="24"/>
          <w:szCs w:val="24"/>
        </w:rPr>
        <w:t xml:space="preserve">vocational </w:t>
      </w:r>
      <w:r w:rsidRPr="543832D4">
        <w:rPr>
          <w:sz w:val="24"/>
          <w:szCs w:val="24"/>
        </w:rPr>
        <w:t xml:space="preserve">education, </w:t>
      </w:r>
      <w:proofErr w:type="gramStart"/>
      <w:r w:rsidRPr="543832D4">
        <w:rPr>
          <w:sz w:val="24"/>
          <w:szCs w:val="24"/>
        </w:rPr>
        <w:t>insurance</w:t>
      </w:r>
      <w:proofErr w:type="gramEnd"/>
      <w:r w:rsidR="00A23423">
        <w:rPr>
          <w:sz w:val="24"/>
          <w:szCs w:val="24"/>
        </w:rPr>
        <w:t xml:space="preserve"> and</w:t>
      </w:r>
      <w:r w:rsidRPr="543832D4">
        <w:rPr>
          <w:sz w:val="24"/>
          <w:szCs w:val="24"/>
        </w:rPr>
        <w:t xml:space="preserve"> multi-brand retailing. Australian negotiators will try and obtain further commercially meaningful outcomes in these sectors in the full CECA negotiation. </w:t>
      </w:r>
    </w:p>
    <w:p w14:paraId="3C840155" w14:textId="77777777" w:rsidR="00071C88" w:rsidRPr="001E33B7" w:rsidRDefault="00071C88">
      <w:pPr>
        <w:pStyle w:val="ListParagraph"/>
        <w:spacing w:after="0"/>
        <w:rPr>
          <w:sz w:val="24"/>
          <w:szCs w:val="24"/>
        </w:rPr>
      </w:pPr>
    </w:p>
    <w:p w14:paraId="5F890C20" w14:textId="4320ECEC" w:rsidR="00E6417A" w:rsidRPr="0001716D" w:rsidRDefault="00071C88" w:rsidP="0001716D">
      <w:pPr>
        <w:pStyle w:val="ListParagraph"/>
        <w:numPr>
          <w:ilvl w:val="0"/>
          <w:numId w:val="1"/>
        </w:numPr>
        <w:spacing w:after="0"/>
        <w:ind w:left="567" w:hanging="567"/>
        <w:rPr>
          <w:sz w:val="24"/>
          <w:szCs w:val="24"/>
        </w:rPr>
      </w:pPr>
      <w:r w:rsidRPr="543832D4">
        <w:rPr>
          <w:sz w:val="24"/>
          <w:szCs w:val="24"/>
        </w:rPr>
        <w:t>Australia’s market access offer to India is consistent with the approach that Australia has taken in the A-UKFTA, including scheduling Services Market Access commitments (in a ‘negative list’) at the state and territory level. As part of negotiations with India, Australia scheduled using the same approach with services (including commercial presence) market access outcomes and has not reduced the policy space that is available to states and territories. Except for mobility, the services market access offer that we provide to India binds Australia to our existing regulation in services sectors where commitments are made, while also reserving policy space in areas that are sensitive, such as broadcasting and audio-visual services and Indigenous traditional cultural expression and the creative arts.</w:t>
      </w:r>
      <w:r w:rsidR="009411C5">
        <w:rPr>
          <w:sz w:val="24"/>
          <w:szCs w:val="24"/>
        </w:rPr>
        <w:t xml:space="preserve"> </w:t>
      </w:r>
    </w:p>
    <w:p w14:paraId="7F7BE7BB" w14:textId="77777777" w:rsidR="001A4A88" w:rsidRPr="0001716D" w:rsidRDefault="001A4A88">
      <w:pPr>
        <w:spacing w:after="0"/>
      </w:pPr>
    </w:p>
    <w:p w14:paraId="0789C89C" w14:textId="6F552EBD" w:rsidR="00A17084" w:rsidRDefault="00A17084">
      <w:pPr>
        <w:rPr>
          <w:rFonts w:asciiTheme="majorHAnsi" w:eastAsiaTheme="majorEastAsia" w:hAnsiTheme="majorHAnsi" w:cstheme="majorBidi"/>
          <w:color w:val="2F5496" w:themeColor="accent1" w:themeShade="BF"/>
          <w:sz w:val="26"/>
          <w:szCs w:val="26"/>
        </w:rPr>
      </w:pPr>
      <w:r>
        <w:br w:type="page"/>
      </w:r>
    </w:p>
    <w:p w14:paraId="7575FE65" w14:textId="05CF5FC9" w:rsidR="00071C88" w:rsidRPr="00A30498" w:rsidRDefault="00071C88">
      <w:pPr>
        <w:pStyle w:val="Heading2"/>
        <w:spacing w:before="0"/>
      </w:pPr>
      <w:bookmarkStart w:id="53" w:name="_Toc99370671"/>
      <w:r w:rsidRPr="00A30498">
        <w:lastRenderedPageBreak/>
        <w:t>Trade in Services Chapter outcomes</w:t>
      </w:r>
      <w:bookmarkEnd w:id="53"/>
    </w:p>
    <w:p w14:paraId="5CE46832" w14:textId="77777777" w:rsidR="00F25478" w:rsidRDefault="00F25478" w:rsidP="00FF064C">
      <w:pPr>
        <w:pStyle w:val="ListParagraph"/>
        <w:spacing w:after="0"/>
        <w:ind w:left="567"/>
        <w:rPr>
          <w:sz w:val="24"/>
          <w:szCs w:val="24"/>
        </w:rPr>
      </w:pPr>
    </w:p>
    <w:p w14:paraId="4AAD5C4E" w14:textId="543053F1" w:rsidR="00071C88" w:rsidRDefault="00071C88" w:rsidP="00EC65BE">
      <w:pPr>
        <w:pStyle w:val="ListParagraph"/>
        <w:numPr>
          <w:ilvl w:val="0"/>
          <w:numId w:val="1"/>
        </w:numPr>
        <w:spacing w:after="0"/>
        <w:ind w:left="567" w:hanging="567"/>
        <w:rPr>
          <w:sz w:val="24"/>
          <w:szCs w:val="24"/>
        </w:rPr>
      </w:pPr>
      <w:r w:rsidRPr="543832D4">
        <w:rPr>
          <w:sz w:val="24"/>
          <w:szCs w:val="24"/>
        </w:rPr>
        <w:t xml:space="preserve">The Trade in Services </w:t>
      </w:r>
      <w:r w:rsidR="00227B77">
        <w:rPr>
          <w:sz w:val="24"/>
          <w:szCs w:val="24"/>
        </w:rPr>
        <w:t>C</w:t>
      </w:r>
      <w:r w:rsidRPr="543832D4">
        <w:rPr>
          <w:sz w:val="24"/>
          <w:szCs w:val="24"/>
        </w:rPr>
        <w:t xml:space="preserve">hapter contains modern commitments that guarantee that Australian service suppliers </w:t>
      </w:r>
      <w:r w:rsidR="00A225B5">
        <w:rPr>
          <w:sz w:val="24"/>
          <w:szCs w:val="24"/>
        </w:rPr>
        <w:t>in a broad range of sectors</w:t>
      </w:r>
      <w:r w:rsidR="000F5776">
        <w:rPr>
          <w:sz w:val="24"/>
          <w:szCs w:val="24"/>
        </w:rPr>
        <w:t xml:space="preserve"> </w:t>
      </w:r>
      <w:r w:rsidRPr="543832D4">
        <w:rPr>
          <w:sz w:val="24"/>
          <w:szCs w:val="24"/>
        </w:rPr>
        <w:t xml:space="preserve">will receive non-discriminatory treatment when entering the Indian market. </w:t>
      </w:r>
      <w:r w:rsidR="007F755A" w:rsidRPr="543832D4">
        <w:rPr>
          <w:sz w:val="24"/>
          <w:szCs w:val="24"/>
        </w:rPr>
        <w:t xml:space="preserve">The Trade in Services </w:t>
      </w:r>
      <w:r w:rsidR="00227B77">
        <w:rPr>
          <w:sz w:val="24"/>
          <w:szCs w:val="24"/>
        </w:rPr>
        <w:t>C</w:t>
      </w:r>
      <w:r w:rsidR="007F755A" w:rsidRPr="543832D4">
        <w:rPr>
          <w:sz w:val="24"/>
          <w:szCs w:val="24"/>
        </w:rPr>
        <w:t xml:space="preserve">hapter also </w:t>
      </w:r>
      <w:r w:rsidR="007F755A">
        <w:rPr>
          <w:sz w:val="24"/>
          <w:szCs w:val="24"/>
        </w:rPr>
        <w:t>provides transparency and predictability for service suppliers on the</w:t>
      </w:r>
      <w:r w:rsidR="007F755A" w:rsidRPr="543832D4">
        <w:rPr>
          <w:sz w:val="24"/>
          <w:szCs w:val="24"/>
        </w:rPr>
        <w:t xml:space="preserve"> domestic regulation</w:t>
      </w:r>
      <w:r w:rsidR="007F755A">
        <w:rPr>
          <w:sz w:val="24"/>
          <w:szCs w:val="24"/>
        </w:rPr>
        <w:t>s</w:t>
      </w:r>
      <w:r w:rsidR="007F755A" w:rsidRPr="543832D4">
        <w:rPr>
          <w:sz w:val="24"/>
          <w:szCs w:val="24"/>
        </w:rPr>
        <w:t xml:space="preserve"> that</w:t>
      </w:r>
      <w:r w:rsidR="007F755A">
        <w:rPr>
          <w:sz w:val="24"/>
          <w:szCs w:val="24"/>
        </w:rPr>
        <w:t xml:space="preserve"> they can expect to be exposed to when entering the Indian or Australian markets.</w:t>
      </w:r>
      <w:r w:rsidR="007F755A" w:rsidRPr="543832D4">
        <w:rPr>
          <w:sz w:val="24"/>
          <w:szCs w:val="24"/>
        </w:rPr>
        <w:t xml:space="preserve"> There are also separate Annexes on Financial services, Professional </w:t>
      </w:r>
      <w:proofErr w:type="gramStart"/>
      <w:r w:rsidR="007F755A" w:rsidRPr="543832D4">
        <w:rPr>
          <w:sz w:val="24"/>
          <w:szCs w:val="24"/>
        </w:rPr>
        <w:t>services</w:t>
      </w:r>
      <w:proofErr w:type="gramEnd"/>
      <w:r w:rsidR="007F755A" w:rsidRPr="543832D4">
        <w:rPr>
          <w:sz w:val="24"/>
          <w:szCs w:val="24"/>
        </w:rPr>
        <w:t xml:space="preserve"> and Telecommunications services, consistent with the economic value that is placed on these sectors.</w:t>
      </w:r>
    </w:p>
    <w:p w14:paraId="77BB00A9" w14:textId="77777777" w:rsidR="00071C88" w:rsidRDefault="00071C88" w:rsidP="0014704E">
      <w:pPr>
        <w:pStyle w:val="ListParagraph"/>
        <w:spacing w:after="0"/>
        <w:ind w:left="567"/>
        <w:rPr>
          <w:sz w:val="24"/>
          <w:szCs w:val="24"/>
        </w:rPr>
      </w:pPr>
    </w:p>
    <w:p w14:paraId="5C155BEA" w14:textId="6E593537" w:rsidR="00071C88" w:rsidRDefault="00071C88" w:rsidP="00A80396">
      <w:pPr>
        <w:pStyle w:val="ListParagraph"/>
        <w:numPr>
          <w:ilvl w:val="0"/>
          <w:numId w:val="1"/>
        </w:numPr>
        <w:spacing w:after="0"/>
        <w:ind w:left="567" w:hanging="567"/>
        <w:rPr>
          <w:sz w:val="24"/>
          <w:szCs w:val="24"/>
        </w:rPr>
      </w:pPr>
      <w:bookmarkStart w:id="54" w:name="_Hlk83300583"/>
      <w:r w:rsidRPr="543832D4">
        <w:rPr>
          <w:sz w:val="24"/>
          <w:szCs w:val="24"/>
        </w:rPr>
        <w:t xml:space="preserve">The proposed </w:t>
      </w:r>
      <w:r w:rsidR="006E5E78">
        <w:rPr>
          <w:sz w:val="24"/>
          <w:szCs w:val="24"/>
        </w:rPr>
        <w:t>AI ECTA</w:t>
      </w:r>
      <w:r w:rsidRPr="543832D4">
        <w:rPr>
          <w:sz w:val="24"/>
          <w:szCs w:val="24"/>
        </w:rPr>
        <w:t xml:space="preserve"> will not create additional obligations for businesses, community organisations or individuals that relate to the import or export of services. The agreement will instead impose obligations on the Australian and Indian Governments to ‘lock-in’ </w:t>
      </w:r>
      <w:r w:rsidR="00A4736E">
        <w:rPr>
          <w:sz w:val="24"/>
          <w:szCs w:val="24"/>
        </w:rPr>
        <w:t xml:space="preserve">a certain level of </w:t>
      </w:r>
      <w:r w:rsidR="00E92B2C">
        <w:rPr>
          <w:sz w:val="24"/>
          <w:szCs w:val="24"/>
        </w:rPr>
        <w:t>openness</w:t>
      </w:r>
      <w:r w:rsidRPr="543832D4">
        <w:rPr>
          <w:sz w:val="24"/>
          <w:szCs w:val="24"/>
        </w:rPr>
        <w:t xml:space="preserve"> in services sectors where commitments are made.</w:t>
      </w:r>
    </w:p>
    <w:bookmarkEnd w:id="54"/>
    <w:p w14:paraId="3A73F80D" w14:textId="77777777" w:rsidR="00071C88" w:rsidRDefault="00071C88" w:rsidP="0014704E">
      <w:pPr>
        <w:pStyle w:val="ListParagraph"/>
        <w:spacing w:after="0"/>
        <w:ind w:left="360"/>
        <w:rPr>
          <w:sz w:val="24"/>
          <w:szCs w:val="24"/>
        </w:rPr>
      </w:pPr>
    </w:p>
    <w:p w14:paraId="0DFFCE9C" w14:textId="5C901373" w:rsidR="00071C88" w:rsidRPr="001C1195" w:rsidRDefault="00071C88" w:rsidP="00A80396">
      <w:pPr>
        <w:pStyle w:val="ListParagraph"/>
        <w:numPr>
          <w:ilvl w:val="0"/>
          <w:numId w:val="1"/>
        </w:numPr>
        <w:spacing w:after="0"/>
        <w:ind w:left="567" w:hanging="567"/>
        <w:rPr>
          <w:sz w:val="24"/>
          <w:szCs w:val="24"/>
        </w:rPr>
      </w:pPr>
      <w:bookmarkStart w:id="55" w:name="_Hlk83381920"/>
      <w:r w:rsidRPr="543832D4">
        <w:rPr>
          <w:sz w:val="24"/>
          <w:szCs w:val="24"/>
        </w:rPr>
        <w:t xml:space="preserve">The Trade in Services Chapter </w:t>
      </w:r>
      <w:bookmarkStart w:id="56" w:name="_Hlk83203449"/>
      <w:r w:rsidRPr="543832D4">
        <w:rPr>
          <w:sz w:val="24"/>
          <w:szCs w:val="24"/>
        </w:rPr>
        <w:t xml:space="preserve">establishes rules for the supply of services between the Parties, including </w:t>
      </w:r>
      <w:bookmarkEnd w:id="56"/>
      <w:r w:rsidRPr="543832D4">
        <w:rPr>
          <w:sz w:val="24"/>
          <w:szCs w:val="24"/>
        </w:rPr>
        <w:t xml:space="preserve">the </w:t>
      </w:r>
      <w:r w:rsidR="00A9346C">
        <w:rPr>
          <w:sz w:val="24"/>
          <w:szCs w:val="24"/>
        </w:rPr>
        <w:t>MFN</w:t>
      </w:r>
      <w:r w:rsidRPr="543832D4">
        <w:rPr>
          <w:sz w:val="24"/>
          <w:szCs w:val="24"/>
        </w:rPr>
        <w:t xml:space="preserve"> discipline, the market access </w:t>
      </w:r>
      <w:proofErr w:type="gramStart"/>
      <w:r w:rsidRPr="543832D4">
        <w:rPr>
          <w:sz w:val="24"/>
          <w:szCs w:val="24"/>
        </w:rPr>
        <w:t>discipline</w:t>
      </w:r>
      <w:proofErr w:type="gramEnd"/>
      <w:r w:rsidRPr="543832D4">
        <w:rPr>
          <w:sz w:val="24"/>
          <w:szCs w:val="24"/>
        </w:rPr>
        <w:t xml:space="preserve"> and the local presence discipline.</w:t>
      </w:r>
      <w:bookmarkEnd w:id="55"/>
      <w:r w:rsidRPr="543832D4">
        <w:rPr>
          <w:sz w:val="24"/>
          <w:szCs w:val="24"/>
        </w:rPr>
        <w:t xml:space="preserve"> These disciplines are designed to liberalise services sectors by confirming the settings that enable trade in services across borders. The disciplines also improve transparency and predictability for service suppliers to incentivise them to do business with India and subsequently stimulate economic growth. </w:t>
      </w:r>
      <w:proofErr w:type="gramStart"/>
      <w:r w:rsidR="007B4272" w:rsidRPr="543832D4">
        <w:rPr>
          <w:sz w:val="24"/>
          <w:szCs w:val="24"/>
        </w:rPr>
        <w:t>All of</w:t>
      </w:r>
      <w:proofErr w:type="gramEnd"/>
      <w:r w:rsidR="007B4272" w:rsidRPr="543832D4">
        <w:rPr>
          <w:sz w:val="24"/>
          <w:szCs w:val="24"/>
        </w:rPr>
        <w:t xml:space="preserve"> the services disciplines that Australia is committing to are consistent with </w:t>
      </w:r>
      <w:r w:rsidR="007B4272">
        <w:rPr>
          <w:sz w:val="24"/>
          <w:szCs w:val="24"/>
        </w:rPr>
        <w:t xml:space="preserve">the regulatory framework and </w:t>
      </w:r>
      <w:r w:rsidR="007B4272" w:rsidRPr="543832D4">
        <w:rPr>
          <w:sz w:val="24"/>
          <w:szCs w:val="24"/>
        </w:rPr>
        <w:t>practice that exists across Australia’s jurisdictions and does not require regulatory change for Australia.</w:t>
      </w:r>
    </w:p>
    <w:p w14:paraId="2258ED1A" w14:textId="77777777" w:rsidR="00F25478" w:rsidRDefault="00F25478" w:rsidP="0014704E">
      <w:pPr>
        <w:spacing w:after="0"/>
        <w:rPr>
          <w:b/>
          <w:bCs/>
          <w:i/>
          <w:iCs/>
          <w:sz w:val="24"/>
          <w:szCs w:val="24"/>
        </w:rPr>
      </w:pPr>
    </w:p>
    <w:p w14:paraId="29A5FFE1" w14:textId="417E38E1" w:rsidR="00071C88" w:rsidRDefault="00071C88" w:rsidP="0014704E">
      <w:pPr>
        <w:spacing w:after="0"/>
        <w:rPr>
          <w:b/>
          <w:bCs/>
          <w:i/>
          <w:iCs/>
          <w:sz w:val="24"/>
          <w:szCs w:val="24"/>
        </w:rPr>
      </w:pPr>
      <w:r>
        <w:rPr>
          <w:b/>
          <w:bCs/>
          <w:i/>
          <w:iCs/>
          <w:sz w:val="24"/>
          <w:szCs w:val="24"/>
        </w:rPr>
        <w:t>A built-in agenda to improve outcomes over time</w:t>
      </w:r>
    </w:p>
    <w:p w14:paraId="5A6FA6F0" w14:textId="77777777" w:rsidR="00F25478" w:rsidRPr="00F25478" w:rsidRDefault="00F25478" w:rsidP="00F25478">
      <w:pPr>
        <w:pStyle w:val="ListParagraph"/>
        <w:spacing w:after="0"/>
        <w:ind w:left="567"/>
        <w:rPr>
          <w:i/>
          <w:iCs/>
          <w:sz w:val="24"/>
          <w:szCs w:val="24"/>
        </w:rPr>
      </w:pPr>
    </w:p>
    <w:p w14:paraId="0009EBCC" w14:textId="7C232C68" w:rsidR="008A23A5" w:rsidRPr="0001716D" w:rsidRDefault="00071C88" w:rsidP="00A80396">
      <w:pPr>
        <w:pStyle w:val="ListParagraph"/>
        <w:numPr>
          <w:ilvl w:val="0"/>
          <w:numId w:val="1"/>
        </w:numPr>
        <w:spacing w:after="0"/>
        <w:ind w:left="567" w:hanging="567"/>
        <w:rPr>
          <w:i/>
          <w:iCs/>
          <w:sz w:val="24"/>
          <w:szCs w:val="24"/>
        </w:rPr>
      </w:pPr>
      <w:r w:rsidRPr="543832D4">
        <w:rPr>
          <w:sz w:val="24"/>
          <w:szCs w:val="24"/>
        </w:rPr>
        <w:t xml:space="preserve">Importantly, India has agreed in the Interim Agreement to 31 commercially meaningful services sectors </w:t>
      </w:r>
      <w:r w:rsidR="00941B5F">
        <w:rPr>
          <w:sz w:val="24"/>
          <w:szCs w:val="24"/>
        </w:rPr>
        <w:t xml:space="preserve">and subsectors </w:t>
      </w:r>
      <w:r w:rsidRPr="543832D4">
        <w:rPr>
          <w:sz w:val="24"/>
          <w:szCs w:val="24"/>
        </w:rPr>
        <w:t>where it will apply the MFN discipline. This “future-proofs” the FTA as it guarantees, in those 31 sectors</w:t>
      </w:r>
      <w:r w:rsidR="00C94C3D">
        <w:rPr>
          <w:sz w:val="24"/>
          <w:szCs w:val="24"/>
        </w:rPr>
        <w:t xml:space="preserve"> and subsectors</w:t>
      </w:r>
      <w:r w:rsidRPr="543832D4">
        <w:rPr>
          <w:sz w:val="24"/>
          <w:szCs w:val="24"/>
        </w:rPr>
        <w:t xml:space="preserve">, that Australian service suppliers will receive the same treatment that India accords to like services and service suppliers of a future FTA partner of India. As India is currently participating in many FTA negotiations, including with significant trading partners and global competitors of Australia, such as the UK </w:t>
      </w:r>
      <w:r w:rsidR="00FF33AB">
        <w:rPr>
          <w:sz w:val="24"/>
          <w:szCs w:val="24"/>
        </w:rPr>
        <w:t xml:space="preserve">Canada </w:t>
      </w:r>
      <w:r w:rsidRPr="543832D4">
        <w:rPr>
          <w:sz w:val="24"/>
          <w:szCs w:val="24"/>
        </w:rPr>
        <w:t>and the</w:t>
      </w:r>
      <w:r w:rsidR="00516CE0" w:rsidRPr="543832D4">
        <w:rPr>
          <w:sz w:val="24"/>
          <w:szCs w:val="24"/>
        </w:rPr>
        <w:t xml:space="preserve"> EU</w:t>
      </w:r>
      <w:r w:rsidRPr="543832D4">
        <w:rPr>
          <w:sz w:val="24"/>
          <w:szCs w:val="24"/>
        </w:rPr>
        <w:t>, Australia will be able to reap the benefits of these future FTAs and upgrades in those sectors. This is the</w:t>
      </w:r>
      <w:r w:rsidR="00B03837">
        <w:rPr>
          <w:sz w:val="24"/>
          <w:szCs w:val="24"/>
        </w:rPr>
        <w:t xml:space="preserve"> first time India has committed to MFN in a bilateral trade agreement, and </w:t>
      </w:r>
      <w:r w:rsidR="00D762FC">
        <w:rPr>
          <w:sz w:val="24"/>
          <w:szCs w:val="24"/>
        </w:rPr>
        <w:t xml:space="preserve">consequently </w:t>
      </w:r>
      <w:r w:rsidR="00B03837">
        <w:rPr>
          <w:sz w:val="24"/>
          <w:szCs w:val="24"/>
        </w:rPr>
        <w:t>constitutes the</w:t>
      </w:r>
      <w:r w:rsidRPr="543832D4">
        <w:rPr>
          <w:sz w:val="24"/>
          <w:szCs w:val="24"/>
        </w:rPr>
        <w:t xml:space="preserve"> best MFN outcomes that India has given to any trading partner. It also provides the first-mover advantage giving Australia a significant competitive edge over our existing trading partners.</w:t>
      </w:r>
      <w:r w:rsidR="00142446">
        <w:rPr>
          <w:sz w:val="24"/>
          <w:szCs w:val="24"/>
        </w:rPr>
        <w:t xml:space="preserve"> </w:t>
      </w:r>
    </w:p>
    <w:p w14:paraId="159B5D95" w14:textId="77777777" w:rsidR="008A23A5" w:rsidRPr="0001716D" w:rsidRDefault="008A23A5" w:rsidP="0001716D">
      <w:pPr>
        <w:pStyle w:val="ListParagraph"/>
        <w:spacing w:after="0"/>
        <w:ind w:left="567"/>
        <w:rPr>
          <w:i/>
          <w:iCs/>
          <w:sz w:val="24"/>
          <w:szCs w:val="24"/>
        </w:rPr>
      </w:pPr>
    </w:p>
    <w:p w14:paraId="63156700" w14:textId="27D7248E" w:rsidR="00071C88" w:rsidRPr="00703C74" w:rsidRDefault="00142446" w:rsidP="007E1F83">
      <w:pPr>
        <w:pStyle w:val="ListParagraph"/>
        <w:numPr>
          <w:ilvl w:val="0"/>
          <w:numId w:val="1"/>
        </w:numPr>
        <w:spacing w:after="0"/>
        <w:ind w:left="567" w:hanging="567"/>
        <w:rPr>
          <w:i/>
          <w:iCs/>
          <w:sz w:val="24"/>
          <w:szCs w:val="24"/>
        </w:rPr>
      </w:pPr>
      <w:r w:rsidRPr="000B3E5A">
        <w:rPr>
          <w:sz w:val="24"/>
          <w:szCs w:val="24"/>
        </w:rPr>
        <w:t xml:space="preserve">Australia is also offering best FTA practice on MFN. </w:t>
      </w:r>
      <w:r w:rsidR="008A23A5" w:rsidRPr="000B3E5A">
        <w:rPr>
          <w:sz w:val="24"/>
          <w:szCs w:val="24"/>
        </w:rPr>
        <w:t xml:space="preserve">Australia’s MFN commitment to India is </w:t>
      </w:r>
      <w:r w:rsidR="00215580" w:rsidRPr="000B3E5A">
        <w:rPr>
          <w:sz w:val="24"/>
          <w:szCs w:val="24"/>
        </w:rPr>
        <w:t>prospective, not retrospective, so it means that Australia will provide India with the same treatment as it provides to a future trading partner</w:t>
      </w:r>
      <w:r w:rsidR="00B87B9F" w:rsidRPr="000B3E5A">
        <w:rPr>
          <w:sz w:val="24"/>
          <w:szCs w:val="24"/>
        </w:rPr>
        <w:t xml:space="preserve">. The MFN commitment does not extend to the treatment that Australia has provided to existing trading </w:t>
      </w:r>
      <w:r w:rsidR="00B87B9F" w:rsidRPr="00703C74">
        <w:rPr>
          <w:sz w:val="24"/>
          <w:szCs w:val="24"/>
        </w:rPr>
        <w:t xml:space="preserve">partners. </w:t>
      </w:r>
      <w:r w:rsidRPr="00703C74">
        <w:rPr>
          <w:sz w:val="24"/>
          <w:szCs w:val="24"/>
        </w:rPr>
        <w:t>Australia</w:t>
      </w:r>
      <w:r w:rsidR="00B142BD" w:rsidRPr="00703C74">
        <w:rPr>
          <w:sz w:val="24"/>
          <w:szCs w:val="24"/>
        </w:rPr>
        <w:t xml:space="preserve"> and India have agreed upon a </w:t>
      </w:r>
      <w:r w:rsidR="009F5352" w:rsidRPr="008D61D5">
        <w:rPr>
          <w:sz w:val="24"/>
          <w:szCs w:val="24"/>
        </w:rPr>
        <w:t xml:space="preserve">limited preferential Foreign Investment Review </w:t>
      </w:r>
      <w:r w:rsidR="000F5776" w:rsidRPr="008D61D5">
        <w:rPr>
          <w:sz w:val="24"/>
          <w:szCs w:val="24"/>
        </w:rPr>
        <w:t>Board</w:t>
      </w:r>
      <w:r w:rsidR="000F5776">
        <w:rPr>
          <w:sz w:val="24"/>
          <w:szCs w:val="24"/>
        </w:rPr>
        <w:t xml:space="preserve"> </w:t>
      </w:r>
      <w:r w:rsidR="000F5776" w:rsidRPr="00703C74">
        <w:rPr>
          <w:sz w:val="24"/>
          <w:szCs w:val="24"/>
        </w:rPr>
        <w:t>screening</w:t>
      </w:r>
      <w:r w:rsidR="009F5352">
        <w:rPr>
          <w:sz w:val="24"/>
          <w:szCs w:val="24"/>
        </w:rPr>
        <w:t xml:space="preserve"> </w:t>
      </w:r>
      <w:r w:rsidR="00B142BD" w:rsidRPr="00703C74">
        <w:rPr>
          <w:sz w:val="24"/>
          <w:szCs w:val="24"/>
        </w:rPr>
        <w:t>threshold of $500m</w:t>
      </w:r>
      <w:r w:rsidR="009F5352">
        <w:rPr>
          <w:sz w:val="24"/>
          <w:szCs w:val="24"/>
        </w:rPr>
        <w:t xml:space="preserve">, </w:t>
      </w:r>
      <w:r w:rsidR="005C01A6" w:rsidRPr="008D61D5">
        <w:rPr>
          <w:sz w:val="24"/>
          <w:szCs w:val="24"/>
        </w:rPr>
        <w:t xml:space="preserve">indexed, for incoming Indian investment in non-sensitive services sectors in Australia, increased from $289m, indexed. </w:t>
      </w:r>
      <w:r w:rsidR="005C01A6" w:rsidRPr="009C66FC">
        <w:rPr>
          <w:sz w:val="24"/>
          <w:szCs w:val="24"/>
        </w:rPr>
        <w:t>This</w:t>
      </w:r>
      <w:r w:rsidR="005C01A6">
        <w:rPr>
          <w:sz w:val="24"/>
          <w:szCs w:val="24"/>
        </w:rPr>
        <w:t xml:space="preserve"> limited preferential threshold will </w:t>
      </w:r>
      <w:r w:rsidR="005C01A6">
        <w:rPr>
          <w:sz w:val="24"/>
          <w:szCs w:val="24"/>
        </w:rPr>
        <w:lastRenderedPageBreak/>
        <w:t xml:space="preserve">not apply to Indian investment in non-services sectors (mining and quarrying, forestry, manufacturing, </w:t>
      </w:r>
      <w:proofErr w:type="gramStart"/>
      <w:r w:rsidR="005C01A6">
        <w:rPr>
          <w:sz w:val="24"/>
          <w:szCs w:val="24"/>
        </w:rPr>
        <w:t>fisheries</w:t>
      </w:r>
      <w:proofErr w:type="gramEnd"/>
      <w:r w:rsidR="005C01A6">
        <w:rPr>
          <w:sz w:val="24"/>
          <w:szCs w:val="24"/>
        </w:rPr>
        <w:t xml:space="preserve"> and agriculture) or to sectors classified as sensitive under Australia’s Foreign Investment Framework,</w:t>
      </w:r>
      <w:r w:rsidR="005C01A6">
        <w:rPr>
          <w:rStyle w:val="FootnoteReference"/>
          <w:sz w:val="24"/>
          <w:szCs w:val="24"/>
        </w:rPr>
        <w:footnoteReference w:id="70"/>
      </w:r>
      <w:r w:rsidR="005C01A6">
        <w:rPr>
          <w:sz w:val="24"/>
          <w:szCs w:val="24"/>
        </w:rPr>
        <w:t xml:space="preserve"> for which the existing non-preferential thresholds will continue to apply.</w:t>
      </w:r>
      <w:r w:rsidRPr="00703C74">
        <w:rPr>
          <w:sz w:val="24"/>
          <w:szCs w:val="24"/>
        </w:rPr>
        <w:t xml:space="preserve"> </w:t>
      </w:r>
    </w:p>
    <w:p w14:paraId="471D5925" w14:textId="1EE4D625" w:rsidR="00071C88" w:rsidRPr="00564BBF" w:rsidRDefault="00071C88">
      <w:pPr>
        <w:pStyle w:val="ListParagraph"/>
        <w:numPr>
          <w:ilvl w:val="0"/>
          <w:numId w:val="1"/>
        </w:numPr>
        <w:spacing w:after="0"/>
        <w:ind w:left="567" w:hanging="567"/>
        <w:rPr>
          <w:i/>
          <w:iCs/>
          <w:sz w:val="24"/>
          <w:szCs w:val="24"/>
        </w:rPr>
      </w:pPr>
      <w:r w:rsidRPr="00703C74">
        <w:rPr>
          <w:sz w:val="24"/>
          <w:szCs w:val="24"/>
        </w:rPr>
        <w:t>Examples of commercially meaningful sectors where India is applying</w:t>
      </w:r>
      <w:r w:rsidRPr="543832D4">
        <w:rPr>
          <w:sz w:val="24"/>
          <w:szCs w:val="24"/>
        </w:rPr>
        <w:t xml:space="preserve"> the MFN discipline include higher education and adult education. Higher and adult education are Australia’s largest overall services export and largest services export to India. India</w:t>
      </w:r>
      <w:r w:rsidR="00D64FFD">
        <w:rPr>
          <w:sz w:val="24"/>
          <w:szCs w:val="24"/>
        </w:rPr>
        <w:t xml:space="preserve">’s current </w:t>
      </w:r>
      <w:r w:rsidR="003F57B3">
        <w:rPr>
          <w:sz w:val="24"/>
          <w:szCs w:val="24"/>
        </w:rPr>
        <w:t xml:space="preserve">higher education </w:t>
      </w:r>
      <w:r w:rsidRPr="543832D4">
        <w:rPr>
          <w:sz w:val="24"/>
          <w:szCs w:val="24"/>
        </w:rPr>
        <w:t>market access</w:t>
      </w:r>
      <w:r w:rsidR="00F2210F">
        <w:rPr>
          <w:sz w:val="24"/>
          <w:szCs w:val="24"/>
        </w:rPr>
        <w:t xml:space="preserve"> commitment contains limitations and, </w:t>
      </w:r>
      <w:r w:rsidRPr="543832D4">
        <w:rPr>
          <w:sz w:val="24"/>
          <w:szCs w:val="24"/>
        </w:rPr>
        <w:t xml:space="preserve">due to domestic sensitivities in adult education, India is not making commitments at all. Through the MFN provision though, Australia can bank </w:t>
      </w:r>
      <w:r w:rsidR="00F2210F">
        <w:rPr>
          <w:sz w:val="24"/>
          <w:szCs w:val="24"/>
        </w:rPr>
        <w:t>a future</w:t>
      </w:r>
      <w:r w:rsidRPr="543832D4">
        <w:rPr>
          <w:sz w:val="24"/>
          <w:szCs w:val="24"/>
        </w:rPr>
        <w:t xml:space="preserve"> commitment </w:t>
      </w:r>
      <w:r w:rsidR="00F2210F">
        <w:rPr>
          <w:sz w:val="24"/>
          <w:szCs w:val="24"/>
        </w:rPr>
        <w:t xml:space="preserve">now </w:t>
      </w:r>
      <w:r w:rsidRPr="543832D4">
        <w:rPr>
          <w:sz w:val="24"/>
          <w:szCs w:val="24"/>
        </w:rPr>
        <w:t xml:space="preserve">and reap the benefit </w:t>
      </w:r>
      <w:r w:rsidR="00F2210F">
        <w:rPr>
          <w:sz w:val="24"/>
          <w:szCs w:val="24"/>
        </w:rPr>
        <w:t>later</w:t>
      </w:r>
      <w:r w:rsidRPr="543832D4">
        <w:rPr>
          <w:sz w:val="24"/>
          <w:szCs w:val="24"/>
        </w:rPr>
        <w:t xml:space="preserve"> when India is ready to liberalise. </w:t>
      </w:r>
    </w:p>
    <w:p w14:paraId="4BF1BABB" w14:textId="77777777" w:rsidR="00071C88" w:rsidRPr="00564BBF" w:rsidRDefault="00071C88">
      <w:pPr>
        <w:pStyle w:val="ListParagraph"/>
        <w:spacing w:after="0"/>
        <w:rPr>
          <w:i/>
          <w:iCs/>
          <w:sz w:val="24"/>
          <w:szCs w:val="24"/>
        </w:rPr>
      </w:pPr>
    </w:p>
    <w:p w14:paraId="647289B0" w14:textId="3FC1046C" w:rsidR="00752969" w:rsidRPr="0001716D" w:rsidRDefault="00F24E7C">
      <w:pPr>
        <w:pStyle w:val="ListParagraph"/>
        <w:numPr>
          <w:ilvl w:val="0"/>
          <w:numId w:val="1"/>
        </w:numPr>
        <w:spacing w:after="0"/>
        <w:ind w:left="567" w:hanging="567"/>
        <w:rPr>
          <w:rFonts w:ascii="Arial" w:eastAsia="Arial" w:hAnsi="Arial" w:cs="Arial"/>
          <w:sz w:val="16"/>
          <w:szCs w:val="16"/>
        </w:rPr>
      </w:pPr>
      <w:r>
        <w:rPr>
          <w:sz w:val="24"/>
          <w:szCs w:val="24"/>
        </w:rPr>
        <w:t>Tourism</w:t>
      </w:r>
      <w:r w:rsidR="007535E2">
        <w:rPr>
          <w:sz w:val="24"/>
          <w:szCs w:val="24"/>
        </w:rPr>
        <w:t xml:space="preserve"> and</w:t>
      </w:r>
      <w:r w:rsidR="00306045" w:rsidRPr="543832D4">
        <w:rPr>
          <w:sz w:val="24"/>
          <w:szCs w:val="24"/>
        </w:rPr>
        <w:t xml:space="preserve"> </w:t>
      </w:r>
      <w:r w:rsidR="00071C88" w:rsidRPr="543832D4">
        <w:rPr>
          <w:sz w:val="24"/>
          <w:szCs w:val="24"/>
        </w:rPr>
        <w:t>travel</w:t>
      </w:r>
      <w:r w:rsidR="007535E2">
        <w:rPr>
          <w:sz w:val="24"/>
          <w:szCs w:val="24"/>
        </w:rPr>
        <w:t>-related</w:t>
      </w:r>
      <w:r w:rsidR="00071C88" w:rsidRPr="543832D4">
        <w:rPr>
          <w:sz w:val="24"/>
          <w:szCs w:val="24"/>
        </w:rPr>
        <w:t xml:space="preserve"> services is Australia’s </w:t>
      </w:r>
      <w:r w:rsidR="007535E2">
        <w:rPr>
          <w:sz w:val="24"/>
          <w:szCs w:val="24"/>
        </w:rPr>
        <w:t xml:space="preserve">second </w:t>
      </w:r>
      <w:r w:rsidR="00071C88" w:rsidRPr="543832D4">
        <w:rPr>
          <w:sz w:val="24"/>
          <w:szCs w:val="24"/>
        </w:rPr>
        <w:t xml:space="preserve">largest overall services export. </w:t>
      </w:r>
      <w:r w:rsidR="00934250">
        <w:rPr>
          <w:sz w:val="24"/>
          <w:szCs w:val="24"/>
        </w:rPr>
        <w:t xml:space="preserve">It </w:t>
      </w:r>
      <w:r w:rsidR="00071C88" w:rsidRPr="543832D4">
        <w:rPr>
          <w:sz w:val="24"/>
          <w:szCs w:val="24"/>
        </w:rPr>
        <w:t>include</w:t>
      </w:r>
      <w:r w:rsidR="00934250">
        <w:rPr>
          <w:sz w:val="24"/>
          <w:szCs w:val="24"/>
        </w:rPr>
        <w:t>s</w:t>
      </w:r>
      <w:r w:rsidR="00071C88" w:rsidRPr="543832D4">
        <w:rPr>
          <w:sz w:val="24"/>
          <w:szCs w:val="24"/>
        </w:rPr>
        <w:t xml:space="preserve"> services provided by hotels and restaurants (including catering), travel agencies and tour operator services, tour guide services and other related services. The COVID-19 pandemic has disrupted the industry by significantly reducing tourism activity in Australia and potential hotel investments outside Australia due to the difficulties in travelling internationally. As a result of significantly constrained tourism activity during the COVID-19 pandemic, industry revenue declined heavily over the two years through 2020-21. </w:t>
      </w:r>
      <w:r w:rsidR="006120DA" w:rsidRPr="006120DA">
        <w:rPr>
          <w:sz w:val="24"/>
          <w:szCs w:val="24"/>
        </w:rPr>
        <w:t>Overall, industry revenue is expected to decline at an annualised 8.9</w:t>
      </w:r>
      <w:r w:rsidR="006120DA">
        <w:rPr>
          <w:sz w:val="24"/>
          <w:szCs w:val="24"/>
        </w:rPr>
        <w:t xml:space="preserve"> per cent</w:t>
      </w:r>
      <w:r w:rsidR="006120DA" w:rsidRPr="006120DA">
        <w:rPr>
          <w:sz w:val="24"/>
          <w:szCs w:val="24"/>
        </w:rPr>
        <w:t xml:space="preserve"> over the five years through 2021-22, to </w:t>
      </w:r>
      <w:r w:rsidR="00FC0A30">
        <w:rPr>
          <w:sz w:val="24"/>
          <w:szCs w:val="24"/>
        </w:rPr>
        <w:t>A</w:t>
      </w:r>
      <w:r w:rsidR="00B668A2">
        <w:rPr>
          <w:sz w:val="24"/>
          <w:szCs w:val="24"/>
        </w:rPr>
        <w:t>U</w:t>
      </w:r>
      <w:r w:rsidR="006120DA" w:rsidRPr="006120DA">
        <w:rPr>
          <w:sz w:val="24"/>
          <w:szCs w:val="24"/>
        </w:rPr>
        <w:t>$8.0 billion. However, this includes an anticipated revenue rise of 50.5</w:t>
      </w:r>
      <w:r w:rsidR="00FC0A30">
        <w:rPr>
          <w:sz w:val="24"/>
          <w:szCs w:val="24"/>
        </w:rPr>
        <w:t xml:space="preserve"> per cent</w:t>
      </w:r>
      <w:r w:rsidR="006120DA" w:rsidRPr="006120DA">
        <w:rPr>
          <w:sz w:val="24"/>
          <w:szCs w:val="24"/>
        </w:rPr>
        <w:t xml:space="preserve"> in </w:t>
      </w:r>
      <w:r w:rsidR="00FC0A30">
        <w:rPr>
          <w:sz w:val="24"/>
          <w:szCs w:val="24"/>
        </w:rPr>
        <w:t>2022</w:t>
      </w:r>
      <w:r w:rsidR="006120DA" w:rsidRPr="006120DA">
        <w:rPr>
          <w:sz w:val="24"/>
          <w:szCs w:val="24"/>
        </w:rPr>
        <w:t>, as domestic travel volumes increase.</w:t>
      </w:r>
      <w:r w:rsidR="00FC0A30">
        <w:rPr>
          <w:rStyle w:val="FootnoteReference"/>
          <w:sz w:val="24"/>
          <w:szCs w:val="24"/>
        </w:rPr>
        <w:footnoteReference w:id="71"/>
      </w:r>
    </w:p>
    <w:p w14:paraId="1919024D" w14:textId="77777777" w:rsidR="00752969" w:rsidRPr="0001716D" w:rsidRDefault="00752969" w:rsidP="0001716D">
      <w:pPr>
        <w:pStyle w:val="ListParagraph"/>
        <w:spacing w:after="0"/>
        <w:rPr>
          <w:sz w:val="24"/>
          <w:szCs w:val="24"/>
        </w:rPr>
      </w:pPr>
    </w:p>
    <w:p w14:paraId="13956D0E" w14:textId="64C409EA" w:rsidR="00071C88" w:rsidRPr="004815EC" w:rsidRDefault="00071C88">
      <w:pPr>
        <w:pStyle w:val="ListParagraph"/>
        <w:numPr>
          <w:ilvl w:val="0"/>
          <w:numId w:val="1"/>
        </w:numPr>
        <w:spacing w:after="0"/>
        <w:ind w:left="567" w:hanging="567"/>
        <w:rPr>
          <w:rFonts w:ascii="Arial" w:eastAsia="Arial" w:hAnsi="Arial" w:cs="Arial"/>
          <w:sz w:val="16"/>
          <w:szCs w:val="16"/>
        </w:rPr>
      </w:pPr>
      <w:r w:rsidRPr="543832D4">
        <w:rPr>
          <w:sz w:val="24"/>
          <w:szCs w:val="24"/>
        </w:rPr>
        <w:t xml:space="preserve">Capitalising on India’s commitments in tourism services through the Interim Agreement has the potential to contribute significantly to the sector’s bounce-back. India’s </w:t>
      </w:r>
      <w:r w:rsidR="0011545B">
        <w:rPr>
          <w:sz w:val="24"/>
          <w:szCs w:val="24"/>
        </w:rPr>
        <w:t>market access</w:t>
      </w:r>
      <w:r w:rsidRPr="543832D4">
        <w:rPr>
          <w:sz w:val="24"/>
          <w:szCs w:val="24"/>
        </w:rPr>
        <w:t xml:space="preserve"> offer </w:t>
      </w:r>
      <w:r w:rsidR="007476F9">
        <w:rPr>
          <w:sz w:val="24"/>
          <w:szCs w:val="24"/>
        </w:rPr>
        <w:t xml:space="preserve">for hotel and other lodging services, and for travel agency and tour operator services, </w:t>
      </w:r>
      <w:r w:rsidRPr="543832D4">
        <w:rPr>
          <w:sz w:val="24"/>
          <w:szCs w:val="24"/>
        </w:rPr>
        <w:t>has no restrictions on market access via cross-border supply and via commercial presence</w:t>
      </w:r>
      <w:r w:rsidR="009E740C">
        <w:rPr>
          <w:sz w:val="24"/>
          <w:szCs w:val="24"/>
        </w:rPr>
        <w:t xml:space="preserve">. This </w:t>
      </w:r>
      <w:r w:rsidR="00A708BA">
        <w:rPr>
          <w:sz w:val="24"/>
          <w:szCs w:val="24"/>
        </w:rPr>
        <w:t xml:space="preserve">improves </w:t>
      </w:r>
      <w:r w:rsidR="008A17A8">
        <w:rPr>
          <w:sz w:val="24"/>
          <w:szCs w:val="24"/>
        </w:rPr>
        <w:t xml:space="preserve">upon India’s commitment under the GATs, which does </w:t>
      </w:r>
      <w:r w:rsidR="00F35E82">
        <w:rPr>
          <w:sz w:val="24"/>
          <w:szCs w:val="24"/>
        </w:rPr>
        <w:t xml:space="preserve">not </w:t>
      </w:r>
      <w:r w:rsidR="008A17A8">
        <w:rPr>
          <w:sz w:val="24"/>
          <w:szCs w:val="24"/>
        </w:rPr>
        <w:t>include such broad sectoral coverage</w:t>
      </w:r>
      <w:r w:rsidRPr="543832D4">
        <w:rPr>
          <w:sz w:val="24"/>
          <w:szCs w:val="24"/>
        </w:rPr>
        <w:t>.</w:t>
      </w:r>
      <w:r w:rsidR="008A17A8">
        <w:rPr>
          <w:sz w:val="24"/>
          <w:szCs w:val="24"/>
        </w:rPr>
        <w:t xml:space="preserve"> In addition, Australia has gained a new sector – tour guide services.</w:t>
      </w:r>
      <w:r w:rsidRPr="543832D4">
        <w:rPr>
          <w:sz w:val="24"/>
          <w:szCs w:val="24"/>
        </w:rPr>
        <w:t xml:space="preserve"> This benefit will take place on entry into force of the Interim Agreement. The commercial presence commitment is an improvement on the status quo as, under GATS, India’s commitment is limited to 51 per cent foreign equity in a commercial presence. When India </w:t>
      </w:r>
      <w:proofErr w:type="gramStart"/>
      <w:r w:rsidRPr="543832D4">
        <w:rPr>
          <w:sz w:val="24"/>
          <w:szCs w:val="24"/>
        </w:rPr>
        <w:t>is able to</w:t>
      </w:r>
      <w:proofErr w:type="gramEnd"/>
      <w:r w:rsidRPr="543832D4">
        <w:rPr>
          <w:sz w:val="24"/>
          <w:szCs w:val="24"/>
        </w:rPr>
        <w:t xml:space="preserve"> liberalise this sector in relation to mode 4 (presence of natural persons), because of the MFN commitment that India is making, Australia will also be able to capitalise on this market gain. </w:t>
      </w:r>
    </w:p>
    <w:p w14:paraId="668572BF" w14:textId="77777777" w:rsidR="00071C88" w:rsidRPr="00F27963" w:rsidRDefault="00071C88">
      <w:pPr>
        <w:pStyle w:val="ListParagraph"/>
        <w:spacing w:after="0"/>
        <w:rPr>
          <w:sz w:val="24"/>
          <w:szCs w:val="24"/>
        </w:rPr>
      </w:pPr>
    </w:p>
    <w:p w14:paraId="2890003A" w14:textId="77190C28" w:rsidR="00071C88" w:rsidRPr="008272E5" w:rsidRDefault="00071C88">
      <w:pPr>
        <w:pStyle w:val="ListParagraph"/>
        <w:numPr>
          <w:ilvl w:val="0"/>
          <w:numId w:val="1"/>
        </w:numPr>
        <w:spacing w:after="0"/>
        <w:ind w:left="567" w:hanging="567"/>
      </w:pPr>
      <w:r w:rsidRPr="543832D4">
        <w:rPr>
          <w:sz w:val="24"/>
          <w:szCs w:val="24"/>
        </w:rPr>
        <w:t xml:space="preserve">Insurance is an exciting sector where Australia has obtained new market access. Insurance penetration is India is currently at 3.7 per cent of GDP compared to the world average of 6.31 per cent. Due to the COVID-19 pandemic, growth in the life insurance sector has slowed to 11-12 per cent, down from 15-20 per cent in 2020, as the pandemic pushed customers to </w:t>
      </w:r>
      <w:r w:rsidRPr="543832D4">
        <w:rPr>
          <w:sz w:val="24"/>
          <w:szCs w:val="24"/>
        </w:rPr>
        <w:lastRenderedPageBreak/>
        <w:t>not take out insurance policies. Due to this, since 2021 there has been a dramatic liberalisation in this sector</w:t>
      </w:r>
      <w:r w:rsidR="00A93015">
        <w:rPr>
          <w:sz w:val="24"/>
          <w:szCs w:val="24"/>
        </w:rPr>
        <w:t>, and the agreement captures some of this, for example the liberalisation of capitalization requirements for</w:t>
      </w:r>
      <w:r w:rsidRPr="543832D4">
        <w:rPr>
          <w:sz w:val="24"/>
          <w:szCs w:val="24"/>
        </w:rPr>
        <w:t xml:space="preserve"> Australian life insurance </w:t>
      </w:r>
      <w:r w:rsidR="00F96A42">
        <w:rPr>
          <w:sz w:val="24"/>
          <w:szCs w:val="24"/>
        </w:rPr>
        <w:t xml:space="preserve">suppliers. </w:t>
      </w:r>
    </w:p>
    <w:p w14:paraId="419C8557" w14:textId="77777777" w:rsidR="008272E5" w:rsidRDefault="008272E5" w:rsidP="008272E5">
      <w:pPr>
        <w:pStyle w:val="ListParagraph"/>
      </w:pPr>
    </w:p>
    <w:p w14:paraId="4E7A36FE" w14:textId="13E904DA" w:rsidR="008272E5" w:rsidRPr="00261251" w:rsidRDefault="008272E5">
      <w:pPr>
        <w:pStyle w:val="ListParagraph"/>
        <w:numPr>
          <w:ilvl w:val="0"/>
          <w:numId w:val="1"/>
        </w:numPr>
        <w:spacing w:after="0"/>
        <w:ind w:left="567" w:hanging="567"/>
      </w:pPr>
      <w:r>
        <w:rPr>
          <w:sz w:val="24"/>
          <w:szCs w:val="24"/>
        </w:rPr>
        <w:t>Annual revenue of the Australian general insurance industry is valued at A$70.2 billion</w:t>
      </w:r>
      <w:r>
        <w:rPr>
          <w:rStyle w:val="FootnoteReference"/>
          <w:sz w:val="24"/>
          <w:szCs w:val="24"/>
        </w:rPr>
        <w:footnoteReference w:id="72"/>
      </w:r>
      <w:r>
        <w:rPr>
          <w:sz w:val="24"/>
          <w:szCs w:val="24"/>
        </w:rPr>
        <w:t xml:space="preserve">. </w:t>
      </w:r>
      <w:r w:rsidRPr="00820CF5">
        <w:rPr>
          <w:sz w:val="24"/>
          <w:szCs w:val="24"/>
        </w:rPr>
        <w:t xml:space="preserve">Declining investment returns over most of the </w:t>
      </w:r>
      <w:r>
        <w:rPr>
          <w:sz w:val="24"/>
          <w:szCs w:val="24"/>
        </w:rPr>
        <w:t xml:space="preserve">2019-21 </w:t>
      </w:r>
      <w:r w:rsidRPr="00820CF5">
        <w:rPr>
          <w:sz w:val="24"/>
          <w:szCs w:val="24"/>
        </w:rPr>
        <w:t xml:space="preserve">period have limited revenue growth. The </w:t>
      </w:r>
      <w:r>
        <w:rPr>
          <w:sz w:val="24"/>
          <w:szCs w:val="24"/>
        </w:rPr>
        <w:t>increase in</w:t>
      </w:r>
      <w:r w:rsidRPr="00820CF5">
        <w:rPr>
          <w:sz w:val="24"/>
          <w:szCs w:val="24"/>
        </w:rPr>
        <w:t xml:space="preserve"> natural disasters has increased the number of claims insurers incur, forcing industry operators to raise premiums. The 2019-20 bushfire season and the COVID-19 outbreak have constrained revenue growth. Additionally, the COVID-19 pandemic has caused significant volatility in the financial market, negatively affecting investment income in 2019-20. </w:t>
      </w:r>
      <w:r>
        <w:rPr>
          <w:sz w:val="24"/>
          <w:szCs w:val="24"/>
        </w:rPr>
        <w:t xml:space="preserve">Given these challenges, expanding into new and growing markets like India will likely be of benefit to the insurance industry. </w:t>
      </w:r>
    </w:p>
    <w:p w14:paraId="376567B2" w14:textId="77777777" w:rsidR="00071C88" w:rsidRPr="00261251" w:rsidRDefault="00071C88" w:rsidP="0001716D">
      <w:pPr>
        <w:pStyle w:val="ListParagraph"/>
        <w:spacing w:after="0"/>
        <w:rPr>
          <w:sz w:val="24"/>
          <w:szCs w:val="24"/>
        </w:rPr>
      </w:pPr>
    </w:p>
    <w:p w14:paraId="4847DB19" w14:textId="63C9DA49" w:rsidR="00071C88" w:rsidRPr="00353ABD" w:rsidRDefault="00071C88">
      <w:pPr>
        <w:pStyle w:val="ListParagraph"/>
        <w:numPr>
          <w:ilvl w:val="0"/>
          <w:numId w:val="1"/>
        </w:numPr>
        <w:spacing w:after="0"/>
        <w:ind w:left="567" w:hanging="567"/>
        <w:rPr>
          <w:sz w:val="24"/>
          <w:szCs w:val="24"/>
        </w:rPr>
      </w:pPr>
      <w:r w:rsidRPr="543832D4">
        <w:rPr>
          <w:sz w:val="24"/>
          <w:szCs w:val="24"/>
        </w:rPr>
        <w:t xml:space="preserve">India has also applied the MFN discipline to insurance and insurance-related services and banking and other financial services. India is making some commitments in insurance services, such as non-life insurance, where market access has not previously been provided. Current treaty-level access for Australian suppliers is </w:t>
      </w:r>
      <w:r w:rsidR="003B041E">
        <w:rPr>
          <w:sz w:val="24"/>
          <w:szCs w:val="24"/>
        </w:rPr>
        <w:t>guaranteed</w:t>
      </w:r>
      <w:r w:rsidR="003B041E" w:rsidRPr="543832D4">
        <w:rPr>
          <w:sz w:val="24"/>
          <w:szCs w:val="24"/>
        </w:rPr>
        <w:t xml:space="preserve"> </w:t>
      </w:r>
      <w:r w:rsidRPr="543832D4">
        <w:rPr>
          <w:sz w:val="24"/>
          <w:szCs w:val="24"/>
        </w:rPr>
        <w:t>through India’s GAT</w:t>
      </w:r>
      <w:r w:rsidR="003B041E">
        <w:rPr>
          <w:sz w:val="24"/>
          <w:szCs w:val="24"/>
        </w:rPr>
        <w:t>S</w:t>
      </w:r>
      <w:r w:rsidRPr="543832D4">
        <w:rPr>
          <w:sz w:val="24"/>
          <w:szCs w:val="24"/>
        </w:rPr>
        <w:t xml:space="preserve"> commitment, </w:t>
      </w:r>
      <w:r w:rsidR="001865D8">
        <w:rPr>
          <w:sz w:val="24"/>
          <w:szCs w:val="24"/>
        </w:rPr>
        <w:t xml:space="preserve">but </w:t>
      </w:r>
      <w:r w:rsidR="000F5776">
        <w:rPr>
          <w:sz w:val="24"/>
          <w:szCs w:val="24"/>
        </w:rPr>
        <w:t xml:space="preserve">this </w:t>
      </w:r>
      <w:r w:rsidR="000F5776" w:rsidRPr="543832D4">
        <w:rPr>
          <w:sz w:val="24"/>
          <w:szCs w:val="24"/>
        </w:rPr>
        <w:t>is</w:t>
      </w:r>
      <w:r w:rsidRPr="543832D4">
        <w:rPr>
          <w:sz w:val="24"/>
          <w:szCs w:val="24"/>
        </w:rPr>
        <w:t xml:space="preserve"> limited to mode 1 insurance of freight. In the Interim Agreement, India has offered new market access in commercial presence with 49 per cent foreign equity. The commitment will allow Australian insurance brokers to have resident representatives and representative offices who can procure reinsurance business from Indian insurance companies, including while abroad. As this sector is only partially open though, the MFN discipline is important and an improvement on the status quo as Australian financial services stakeholders will be able to capitalise on this improved treatment once India provides this market access, including in other modes of supply.</w:t>
      </w:r>
    </w:p>
    <w:p w14:paraId="04ED16DF" w14:textId="77777777" w:rsidR="00F25478" w:rsidRDefault="00F25478">
      <w:pPr>
        <w:spacing w:after="0"/>
        <w:rPr>
          <w:b/>
          <w:bCs/>
          <w:i/>
          <w:iCs/>
          <w:sz w:val="24"/>
          <w:szCs w:val="24"/>
        </w:rPr>
      </w:pPr>
    </w:p>
    <w:p w14:paraId="1B9EBADA" w14:textId="08642506" w:rsidR="00071C88" w:rsidRPr="0006098C" w:rsidRDefault="00071C88" w:rsidP="0001716D">
      <w:pPr>
        <w:pStyle w:val="Heading3"/>
        <w:spacing w:before="0"/>
      </w:pPr>
      <w:bookmarkStart w:id="57" w:name="_Toc99370672"/>
      <w:r w:rsidRPr="00724623">
        <w:t>Impact on financial services</w:t>
      </w:r>
      <w:bookmarkEnd w:id="57"/>
    </w:p>
    <w:p w14:paraId="26FD5EF6" w14:textId="77777777" w:rsidR="00F25478" w:rsidRPr="00F25478" w:rsidRDefault="00F25478">
      <w:pPr>
        <w:pStyle w:val="ListParagraph"/>
        <w:spacing w:after="0"/>
        <w:ind w:left="567"/>
      </w:pPr>
    </w:p>
    <w:p w14:paraId="33730E7E" w14:textId="419573AE" w:rsidR="00071C88" w:rsidRPr="00E84417" w:rsidRDefault="00071C88">
      <w:pPr>
        <w:pStyle w:val="ListParagraph"/>
        <w:numPr>
          <w:ilvl w:val="0"/>
          <w:numId w:val="1"/>
        </w:numPr>
        <w:spacing w:after="0"/>
        <w:ind w:left="567" w:hanging="567"/>
      </w:pPr>
      <w:r w:rsidRPr="543832D4">
        <w:rPr>
          <w:sz w:val="24"/>
          <w:szCs w:val="24"/>
        </w:rPr>
        <w:t>Australian financial service suppliers have reported that a lack of transparency associated with government regulations and decision-making processes, negatively affects the ability to supply financial services to India. The Financial Services Annex will include specific rules giving financial service suppliers greater certainty and transparency regarding the rules that will apply to them when providing services</w:t>
      </w:r>
      <w:r w:rsidR="00116FFC">
        <w:rPr>
          <w:sz w:val="24"/>
          <w:szCs w:val="24"/>
        </w:rPr>
        <w:t xml:space="preserve"> in both Australia and India</w:t>
      </w:r>
      <w:r w:rsidR="00116FFC" w:rsidRPr="543832D4">
        <w:rPr>
          <w:sz w:val="24"/>
          <w:szCs w:val="24"/>
        </w:rPr>
        <w:t>.</w:t>
      </w:r>
      <w:r w:rsidR="00116FFC">
        <w:rPr>
          <w:sz w:val="24"/>
          <w:szCs w:val="24"/>
        </w:rPr>
        <w:t xml:space="preserve"> These rules principally concern a guarantee of non-discriminatory treatment and transparency for service supplies</w:t>
      </w:r>
      <w:r w:rsidRPr="543832D4">
        <w:rPr>
          <w:sz w:val="24"/>
          <w:szCs w:val="24"/>
        </w:rPr>
        <w:t>. In addition, India and Australia are committed to publish regulatory changes</w:t>
      </w:r>
      <w:r w:rsidR="009B0B2F">
        <w:rPr>
          <w:sz w:val="24"/>
          <w:szCs w:val="24"/>
        </w:rPr>
        <w:t xml:space="preserve"> and </w:t>
      </w:r>
      <w:r w:rsidR="00E773AF" w:rsidRPr="543832D4">
        <w:rPr>
          <w:sz w:val="24"/>
          <w:szCs w:val="24"/>
        </w:rPr>
        <w:t>promptly</w:t>
      </w:r>
      <w:r w:rsidR="00E773AF">
        <w:rPr>
          <w:sz w:val="24"/>
          <w:szCs w:val="24"/>
        </w:rPr>
        <w:t xml:space="preserve"> </w:t>
      </w:r>
      <w:r w:rsidR="009B0B2F">
        <w:rPr>
          <w:sz w:val="24"/>
          <w:szCs w:val="24"/>
        </w:rPr>
        <w:t>administrative decisions within 180 days</w:t>
      </w:r>
      <w:r w:rsidRPr="543832D4">
        <w:rPr>
          <w:sz w:val="24"/>
          <w:szCs w:val="24"/>
        </w:rPr>
        <w:t xml:space="preserve">. These disciplines are designed to remove the opaqueness that Australian financial service suppliers currently experience when trying to work out how to operate in India. </w:t>
      </w:r>
    </w:p>
    <w:p w14:paraId="5FFFD4AF" w14:textId="77777777" w:rsidR="00071C88" w:rsidRPr="00E84417" w:rsidRDefault="00071C88">
      <w:pPr>
        <w:pStyle w:val="ListParagraph"/>
        <w:spacing w:after="0"/>
        <w:ind w:left="567"/>
      </w:pPr>
    </w:p>
    <w:p w14:paraId="748F2067" w14:textId="09B6624F" w:rsidR="00071C88" w:rsidRPr="00F6455E" w:rsidRDefault="00071C88">
      <w:pPr>
        <w:pStyle w:val="ListParagraph"/>
        <w:numPr>
          <w:ilvl w:val="0"/>
          <w:numId w:val="1"/>
        </w:numPr>
        <w:spacing w:after="0"/>
        <w:ind w:left="567" w:hanging="567"/>
      </w:pPr>
      <w:r w:rsidRPr="543832D4">
        <w:rPr>
          <w:sz w:val="24"/>
          <w:szCs w:val="24"/>
        </w:rPr>
        <w:t xml:space="preserve">The Annex also includes provisions that promote regulatory transparency in the authorisation procedures that are necessary to supply financial services. It also provides details of the access requirements for self-regulatory organisations, where access is necessary to supply a financial service in India. This transparency is highly valuable as Australian suppliers indicate that they struggle to navigate the Indian authorisation system. </w:t>
      </w:r>
      <w:r w:rsidRPr="543832D4">
        <w:rPr>
          <w:sz w:val="24"/>
          <w:szCs w:val="24"/>
        </w:rPr>
        <w:lastRenderedPageBreak/>
        <w:t xml:space="preserve">The obligations in the </w:t>
      </w:r>
      <w:r w:rsidR="00227B77">
        <w:rPr>
          <w:sz w:val="24"/>
          <w:szCs w:val="24"/>
        </w:rPr>
        <w:t>C</w:t>
      </w:r>
      <w:r w:rsidRPr="543832D4">
        <w:rPr>
          <w:sz w:val="24"/>
          <w:szCs w:val="24"/>
        </w:rPr>
        <w:t xml:space="preserve">hapter around transparency should ease this burden and provide more predictability than there is at present. </w:t>
      </w:r>
    </w:p>
    <w:p w14:paraId="31DAFFA9" w14:textId="77777777" w:rsidR="00071C88" w:rsidRPr="00823619" w:rsidRDefault="00071C88" w:rsidP="0014704E">
      <w:pPr>
        <w:pStyle w:val="ListParagraph"/>
        <w:spacing w:after="0"/>
        <w:ind w:left="567"/>
        <w:rPr>
          <w:sz w:val="24"/>
          <w:szCs w:val="24"/>
        </w:rPr>
      </w:pPr>
    </w:p>
    <w:p w14:paraId="398ED421" w14:textId="0EE55CAF" w:rsidR="00071C88" w:rsidRDefault="00ED776C">
      <w:pPr>
        <w:pStyle w:val="ListParagraph"/>
        <w:numPr>
          <w:ilvl w:val="0"/>
          <w:numId w:val="1"/>
        </w:numPr>
        <w:spacing w:after="0"/>
        <w:ind w:left="567" w:hanging="567"/>
        <w:rPr>
          <w:sz w:val="24"/>
          <w:szCs w:val="24"/>
        </w:rPr>
      </w:pPr>
      <w:r>
        <w:rPr>
          <w:sz w:val="24"/>
          <w:szCs w:val="24"/>
        </w:rPr>
        <w:t>For a long time, f</w:t>
      </w:r>
      <w:r w:rsidR="00071C88" w:rsidRPr="543832D4">
        <w:rPr>
          <w:sz w:val="24"/>
          <w:szCs w:val="24"/>
        </w:rPr>
        <w:t xml:space="preserve">oreign equity restrictions on commercial presence in banking and insurance sectors </w:t>
      </w:r>
      <w:r>
        <w:rPr>
          <w:sz w:val="24"/>
          <w:szCs w:val="24"/>
        </w:rPr>
        <w:t>has</w:t>
      </w:r>
      <w:r w:rsidR="00071C88" w:rsidRPr="543832D4">
        <w:rPr>
          <w:sz w:val="24"/>
          <w:szCs w:val="24"/>
        </w:rPr>
        <w:t xml:space="preserve"> act</w:t>
      </w:r>
      <w:r>
        <w:rPr>
          <w:sz w:val="24"/>
          <w:szCs w:val="24"/>
        </w:rPr>
        <w:t>ed</w:t>
      </w:r>
      <w:r w:rsidR="00071C88" w:rsidRPr="543832D4">
        <w:rPr>
          <w:sz w:val="24"/>
          <w:szCs w:val="24"/>
        </w:rPr>
        <w:t xml:space="preserve"> as a disincentive to Australian investment in financial services in India. Australia has been able to capitalise on India’s recent liberalisation in this sector where India has increased foreign participation in commercial banks, </w:t>
      </w:r>
      <w:proofErr w:type="gramStart"/>
      <w:r w:rsidR="00071C88" w:rsidRPr="543832D4">
        <w:rPr>
          <w:sz w:val="24"/>
          <w:szCs w:val="24"/>
        </w:rPr>
        <w:t>insurance</w:t>
      </w:r>
      <w:proofErr w:type="gramEnd"/>
      <w:r w:rsidR="00071C88" w:rsidRPr="543832D4">
        <w:rPr>
          <w:sz w:val="24"/>
          <w:szCs w:val="24"/>
        </w:rPr>
        <w:t xml:space="preserve"> and fund managers.</w:t>
      </w:r>
      <w:r w:rsidR="002D47D7">
        <w:rPr>
          <w:sz w:val="24"/>
          <w:szCs w:val="24"/>
        </w:rPr>
        <w:t xml:space="preserve"> For insurance, i</w:t>
      </w:r>
      <w:r w:rsidR="00071C88" w:rsidRPr="543832D4">
        <w:rPr>
          <w:sz w:val="24"/>
          <w:szCs w:val="24"/>
        </w:rPr>
        <w:t xml:space="preserve">n March 2021 India increased the foreign equity limit from </w:t>
      </w:r>
      <w:r w:rsidR="002D47D7">
        <w:rPr>
          <w:sz w:val="24"/>
          <w:szCs w:val="24"/>
        </w:rPr>
        <w:t>49</w:t>
      </w:r>
      <w:r w:rsidR="00071C88" w:rsidRPr="543832D4">
        <w:rPr>
          <w:sz w:val="24"/>
          <w:szCs w:val="24"/>
        </w:rPr>
        <w:t xml:space="preserve"> to </w:t>
      </w:r>
      <w:r w:rsidR="002D47D7">
        <w:rPr>
          <w:sz w:val="24"/>
          <w:szCs w:val="24"/>
        </w:rPr>
        <w:t>74</w:t>
      </w:r>
      <w:r w:rsidR="00071C88" w:rsidRPr="543832D4">
        <w:rPr>
          <w:sz w:val="24"/>
          <w:szCs w:val="24"/>
        </w:rPr>
        <w:t xml:space="preserve"> per cent. India has agreed to lock in 49 per cent foreign equity for Australia in the Interim Agreement,</w:t>
      </w:r>
      <w:r w:rsidR="002C10EC">
        <w:rPr>
          <w:sz w:val="24"/>
          <w:szCs w:val="24"/>
        </w:rPr>
        <w:t xml:space="preserve"> better treatment than the 26 per cent provided to Japan </w:t>
      </w:r>
      <w:r w:rsidR="00EE3E68">
        <w:rPr>
          <w:sz w:val="24"/>
          <w:szCs w:val="24"/>
        </w:rPr>
        <w:t xml:space="preserve">Korea </w:t>
      </w:r>
      <w:r w:rsidR="002C10EC">
        <w:rPr>
          <w:sz w:val="24"/>
          <w:szCs w:val="24"/>
        </w:rPr>
        <w:t>and Singapore.</w:t>
      </w:r>
      <w:r w:rsidR="00A21062">
        <w:rPr>
          <w:sz w:val="24"/>
          <w:szCs w:val="24"/>
        </w:rPr>
        <w:t xml:space="preserve"> For banking, Australia has been provided the ability to now invest in a </w:t>
      </w:r>
      <w:r w:rsidR="002F418A">
        <w:rPr>
          <w:sz w:val="24"/>
          <w:szCs w:val="24"/>
        </w:rPr>
        <w:t xml:space="preserve">private </w:t>
      </w:r>
      <w:r w:rsidR="00A21062">
        <w:rPr>
          <w:sz w:val="24"/>
          <w:szCs w:val="24"/>
        </w:rPr>
        <w:t>sector bank with an FDI ceiling of 74 per cent.</w:t>
      </w:r>
      <w:r w:rsidR="00071C88" w:rsidRPr="543832D4">
        <w:rPr>
          <w:sz w:val="24"/>
          <w:szCs w:val="24"/>
        </w:rPr>
        <w:t xml:space="preserve"> </w:t>
      </w:r>
      <w:r w:rsidR="002D0853">
        <w:rPr>
          <w:sz w:val="24"/>
          <w:szCs w:val="24"/>
        </w:rPr>
        <w:t xml:space="preserve">This is covered in India’s mode 3 (commercial presence) services market access offer. </w:t>
      </w:r>
      <w:r w:rsidR="005B258D">
        <w:rPr>
          <w:sz w:val="24"/>
          <w:szCs w:val="24"/>
        </w:rPr>
        <w:t xml:space="preserve"> The proposed </w:t>
      </w:r>
      <w:r w:rsidR="00D10AF6">
        <w:rPr>
          <w:sz w:val="24"/>
          <w:szCs w:val="24"/>
        </w:rPr>
        <w:t>AI</w:t>
      </w:r>
      <w:r w:rsidR="005B258D">
        <w:rPr>
          <w:sz w:val="24"/>
          <w:szCs w:val="24"/>
        </w:rPr>
        <w:t xml:space="preserve"> ECTA does not include commitments on investment outside of services sectors.</w:t>
      </w:r>
    </w:p>
    <w:p w14:paraId="37FB9E1A" w14:textId="77777777" w:rsidR="00A21062" w:rsidRPr="0001716D" w:rsidRDefault="00A21062" w:rsidP="0001716D">
      <w:pPr>
        <w:pStyle w:val="ListParagraph"/>
        <w:spacing w:after="0"/>
        <w:rPr>
          <w:sz w:val="24"/>
          <w:szCs w:val="24"/>
        </w:rPr>
      </w:pPr>
    </w:p>
    <w:p w14:paraId="488BD873" w14:textId="235320A6" w:rsidR="00A21062" w:rsidRDefault="00A21062">
      <w:pPr>
        <w:pStyle w:val="ListParagraph"/>
        <w:numPr>
          <w:ilvl w:val="0"/>
          <w:numId w:val="1"/>
        </w:numPr>
        <w:spacing w:after="0"/>
        <w:ind w:left="567" w:hanging="567"/>
        <w:rPr>
          <w:sz w:val="24"/>
          <w:szCs w:val="24"/>
        </w:rPr>
      </w:pPr>
      <w:r>
        <w:rPr>
          <w:sz w:val="24"/>
          <w:szCs w:val="24"/>
        </w:rPr>
        <w:t xml:space="preserve">The </w:t>
      </w:r>
      <w:r w:rsidR="00D10AF6">
        <w:rPr>
          <w:sz w:val="24"/>
          <w:szCs w:val="24"/>
        </w:rPr>
        <w:t>AI</w:t>
      </w:r>
      <w:r w:rsidR="00D2353F">
        <w:rPr>
          <w:sz w:val="24"/>
          <w:szCs w:val="24"/>
        </w:rPr>
        <w:t xml:space="preserve"> ECTA </w:t>
      </w:r>
      <w:r>
        <w:rPr>
          <w:sz w:val="24"/>
          <w:szCs w:val="24"/>
        </w:rPr>
        <w:t xml:space="preserve">provides an avenue for a commercial advantage for Australian businesses that need to move data from India to Australia as a function of ordinary business, subject to domestic regulatory requirements. The agreement contains confirmation that Australia provides adequate data protection. This means that when the proposed </w:t>
      </w:r>
      <w:r>
        <w:rPr>
          <w:i/>
          <w:iCs/>
          <w:sz w:val="24"/>
          <w:szCs w:val="24"/>
        </w:rPr>
        <w:t xml:space="preserve">Personal Data Protection Bill 2019 </w:t>
      </w:r>
      <w:r>
        <w:rPr>
          <w:sz w:val="24"/>
          <w:szCs w:val="24"/>
        </w:rPr>
        <w:t xml:space="preserve">legislation (currently in Parliament) comes into force to replace the </w:t>
      </w:r>
      <w:r>
        <w:rPr>
          <w:i/>
          <w:iCs/>
          <w:sz w:val="24"/>
          <w:szCs w:val="24"/>
        </w:rPr>
        <w:t>Personal Data Protection Bill 2018</w:t>
      </w:r>
      <w:r>
        <w:rPr>
          <w:sz w:val="24"/>
          <w:szCs w:val="24"/>
        </w:rPr>
        <w:t xml:space="preserve">, Australian companies will </w:t>
      </w:r>
      <w:r w:rsidR="00D2353F">
        <w:rPr>
          <w:sz w:val="24"/>
          <w:szCs w:val="24"/>
        </w:rPr>
        <w:t xml:space="preserve">be able to point to confirmation in </w:t>
      </w:r>
      <w:r w:rsidR="00D10AF6">
        <w:rPr>
          <w:sz w:val="24"/>
          <w:szCs w:val="24"/>
        </w:rPr>
        <w:t>AI</w:t>
      </w:r>
      <w:r w:rsidR="00D2353F">
        <w:rPr>
          <w:sz w:val="24"/>
          <w:szCs w:val="24"/>
        </w:rPr>
        <w:t xml:space="preserve"> E</w:t>
      </w:r>
      <w:r w:rsidR="00ED44E3">
        <w:rPr>
          <w:sz w:val="24"/>
          <w:szCs w:val="24"/>
        </w:rPr>
        <w:t xml:space="preserve">CTA that India recognises Australia’s adequacy, which will be </w:t>
      </w:r>
      <w:r w:rsidR="00022201">
        <w:rPr>
          <w:sz w:val="24"/>
          <w:szCs w:val="24"/>
        </w:rPr>
        <w:t xml:space="preserve">a prerequisite for moving </w:t>
      </w:r>
      <w:r>
        <w:rPr>
          <w:sz w:val="24"/>
          <w:szCs w:val="24"/>
        </w:rPr>
        <w:t xml:space="preserve">copies of sensitive and critical data. This declaratory language has </w:t>
      </w:r>
      <w:proofErr w:type="gramStart"/>
      <w:r>
        <w:rPr>
          <w:sz w:val="24"/>
          <w:szCs w:val="24"/>
        </w:rPr>
        <w:t>never before</w:t>
      </w:r>
      <w:proofErr w:type="gramEnd"/>
      <w:r>
        <w:rPr>
          <w:sz w:val="24"/>
          <w:szCs w:val="24"/>
        </w:rPr>
        <w:t xml:space="preserve"> been included in a</w:t>
      </w:r>
      <w:r w:rsidR="005A4646">
        <w:rPr>
          <w:sz w:val="24"/>
          <w:szCs w:val="24"/>
        </w:rPr>
        <w:t>n</w:t>
      </w:r>
      <w:r>
        <w:rPr>
          <w:sz w:val="24"/>
          <w:szCs w:val="24"/>
        </w:rPr>
        <w:t xml:space="preserve"> </w:t>
      </w:r>
      <w:r w:rsidR="005A4646">
        <w:rPr>
          <w:sz w:val="24"/>
          <w:szCs w:val="24"/>
        </w:rPr>
        <w:t xml:space="preserve">FTA </w:t>
      </w:r>
      <w:r>
        <w:rPr>
          <w:sz w:val="24"/>
          <w:szCs w:val="24"/>
        </w:rPr>
        <w:t xml:space="preserve">with India. </w:t>
      </w:r>
    </w:p>
    <w:p w14:paraId="376CD8BF" w14:textId="77777777" w:rsidR="00071C88" w:rsidRPr="009F7607" w:rsidRDefault="00071C88">
      <w:pPr>
        <w:pStyle w:val="ListParagraph"/>
        <w:spacing w:after="0"/>
        <w:rPr>
          <w:sz w:val="24"/>
          <w:szCs w:val="24"/>
        </w:rPr>
      </w:pPr>
    </w:p>
    <w:p w14:paraId="65C3DA4C" w14:textId="7ACAD565" w:rsidR="00071C88" w:rsidRPr="009F7607" w:rsidRDefault="00071C88">
      <w:pPr>
        <w:pStyle w:val="ListParagraph"/>
        <w:numPr>
          <w:ilvl w:val="0"/>
          <w:numId w:val="1"/>
        </w:numPr>
        <w:spacing w:after="0"/>
        <w:ind w:left="567" w:hanging="567"/>
        <w:rPr>
          <w:sz w:val="24"/>
          <w:szCs w:val="24"/>
        </w:rPr>
      </w:pPr>
      <w:r w:rsidRPr="543832D4">
        <w:rPr>
          <w:sz w:val="24"/>
          <w:szCs w:val="24"/>
        </w:rPr>
        <w:t xml:space="preserve">Australians will also gain additional market access by being able to provide Actuarial and Advisory Services (after attaining formal certification by Actuarial Society of India). </w:t>
      </w:r>
    </w:p>
    <w:p w14:paraId="259A7751" w14:textId="77777777" w:rsidR="00071C88" w:rsidRPr="001876AA" w:rsidRDefault="00071C88" w:rsidP="0001716D">
      <w:pPr>
        <w:pStyle w:val="ListParagraph"/>
        <w:spacing w:after="0"/>
        <w:rPr>
          <w:sz w:val="24"/>
          <w:szCs w:val="24"/>
        </w:rPr>
      </w:pPr>
    </w:p>
    <w:p w14:paraId="31E032DF" w14:textId="7E5E8550" w:rsidR="00071C88" w:rsidRPr="00C43464" w:rsidRDefault="00071C88">
      <w:pPr>
        <w:pStyle w:val="ListParagraph"/>
        <w:numPr>
          <w:ilvl w:val="0"/>
          <w:numId w:val="1"/>
        </w:numPr>
        <w:spacing w:after="0"/>
        <w:ind w:left="567" w:hanging="567"/>
        <w:rPr>
          <w:sz w:val="24"/>
          <w:szCs w:val="24"/>
        </w:rPr>
      </w:pPr>
      <w:r w:rsidRPr="543832D4">
        <w:rPr>
          <w:sz w:val="24"/>
          <w:szCs w:val="24"/>
        </w:rPr>
        <w:t xml:space="preserve">As the disciplines in the Financial Services Annex are consistent with Australia’s financial services regulatory framework, </w:t>
      </w:r>
      <w:r w:rsidR="009166B3">
        <w:rPr>
          <w:sz w:val="24"/>
          <w:szCs w:val="24"/>
        </w:rPr>
        <w:t>it is unlikely that there will be a significant</w:t>
      </w:r>
      <w:r w:rsidR="009166B3" w:rsidRPr="543832D4">
        <w:rPr>
          <w:sz w:val="24"/>
          <w:szCs w:val="24"/>
        </w:rPr>
        <w:t xml:space="preserve"> impact on</w:t>
      </w:r>
      <w:r w:rsidR="009166B3">
        <w:rPr>
          <w:sz w:val="24"/>
          <w:szCs w:val="24"/>
        </w:rPr>
        <w:t xml:space="preserve"> the</w:t>
      </w:r>
      <w:r w:rsidR="009166B3" w:rsidRPr="543832D4">
        <w:rPr>
          <w:sz w:val="24"/>
          <w:szCs w:val="24"/>
        </w:rPr>
        <w:t xml:space="preserve"> Australia’s financial services market. Indian financial services service suppliers already have access to Australia’s market on a non-discriminatory basis.</w:t>
      </w:r>
    </w:p>
    <w:p w14:paraId="268CBB01" w14:textId="77777777" w:rsidR="00F25478" w:rsidRDefault="00F25478">
      <w:pPr>
        <w:spacing w:after="0"/>
        <w:rPr>
          <w:b/>
          <w:bCs/>
          <w:i/>
          <w:iCs/>
          <w:sz w:val="24"/>
          <w:szCs w:val="24"/>
        </w:rPr>
      </w:pPr>
    </w:p>
    <w:p w14:paraId="53592623" w14:textId="6130C1EE" w:rsidR="00071C88" w:rsidRPr="00F7366F" w:rsidRDefault="00071C88" w:rsidP="0001716D">
      <w:pPr>
        <w:pStyle w:val="Heading3"/>
        <w:spacing w:before="0"/>
      </w:pPr>
      <w:bookmarkStart w:id="58" w:name="_Toc99370673"/>
      <w:r w:rsidRPr="003F7FED">
        <w:t>Impact on telecommunications services</w:t>
      </w:r>
      <w:bookmarkEnd w:id="58"/>
    </w:p>
    <w:p w14:paraId="071FEBD5" w14:textId="77777777" w:rsidR="00F25478" w:rsidRDefault="00F25478">
      <w:pPr>
        <w:pStyle w:val="ListParagraph"/>
        <w:spacing w:after="0"/>
        <w:ind w:left="567"/>
        <w:rPr>
          <w:sz w:val="24"/>
          <w:szCs w:val="24"/>
        </w:rPr>
      </w:pPr>
    </w:p>
    <w:p w14:paraId="1E18E655" w14:textId="6AE9732D" w:rsidR="00071C88" w:rsidRDefault="00071C88">
      <w:pPr>
        <w:pStyle w:val="ListParagraph"/>
        <w:numPr>
          <w:ilvl w:val="0"/>
          <w:numId w:val="1"/>
        </w:numPr>
        <w:spacing w:after="0"/>
        <w:ind w:left="567" w:hanging="567"/>
        <w:rPr>
          <w:sz w:val="24"/>
          <w:szCs w:val="24"/>
        </w:rPr>
      </w:pPr>
      <w:r w:rsidRPr="543832D4">
        <w:rPr>
          <w:sz w:val="24"/>
          <w:szCs w:val="24"/>
        </w:rPr>
        <w:t>The Telecommunications Annex contains rules that guarantee service suppliers from India and Australia access to and use of public telecommunications networks and services. While this commitment does not result in a change in the access that Australian suppliers currently have into India,</w:t>
      </w:r>
      <w:r w:rsidR="004A714E">
        <w:rPr>
          <w:sz w:val="24"/>
          <w:szCs w:val="24"/>
        </w:rPr>
        <w:t xml:space="preserve"> nor Indian suppliers into Australia </w:t>
      </w:r>
      <w:r w:rsidR="000F5776">
        <w:rPr>
          <w:sz w:val="24"/>
          <w:szCs w:val="24"/>
        </w:rPr>
        <w:t>(we</w:t>
      </w:r>
      <w:r w:rsidR="004A714E">
        <w:rPr>
          <w:sz w:val="24"/>
          <w:szCs w:val="24"/>
        </w:rPr>
        <w:t xml:space="preserve"> maintain a non-discriminatory regime)</w:t>
      </w:r>
      <w:r w:rsidRPr="543832D4">
        <w:rPr>
          <w:sz w:val="24"/>
          <w:szCs w:val="24"/>
        </w:rPr>
        <w:t xml:space="preserve"> it does promote greater predictability and transparency for Australian service suppliers, which can have the knock-on effect of increasing trade in services and stimulating economic growth.  </w:t>
      </w:r>
    </w:p>
    <w:p w14:paraId="3C49131C" w14:textId="77777777" w:rsidR="00071C88" w:rsidRDefault="00071C88">
      <w:pPr>
        <w:pStyle w:val="ListParagraph"/>
        <w:spacing w:after="0"/>
        <w:ind w:left="567"/>
        <w:rPr>
          <w:sz w:val="24"/>
          <w:szCs w:val="24"/>
        </w:rPr>
      </w:pPr>
    </w:p>
    <w:p w14:paraId="5A6EF6E8" w14:textId="0AA921BD" w:rsidR="00071C88" w:rsidRDefault="00071C88">
      <w:pPr>
        <w:pStyle w:val="ListParagraph"/>
        <w:numPr>
          <w:ilvl w:val="0"/>
          <w:numId w:val="1"/>
        </w:numPr>
        <w:spacing w:after="0"/>
        <w:ind w:left="567" w:hanging="567"/>
        <w:rPr>
          <w:sz w:val="24"/>
          <w:szCs w:val="24"/>
        </w:rPr>
      </w:pPr>
      <w:r w:rsidRPr="543832D4">
        <w:rPr>
          <w:sz w:val="24"/>
          <w:szCs w:val="24"/>
        </w:rPr>
        <w:t xml:space="preserve">The Telecommunications Annex also includes a guarantee for non-discriminatory access to interconnection, including for new market entrants. The benefits of these outcomes include </w:t>
      </w:r>
      <w:r w:rsidRPr="543832D4">
        <w:rPr>
          <w:sz w:val="24"/>
          <w:szCs w:val="24"/>
        </w:rPr>
        <w:lastRenderedPageBreak/>
        <w:t xml:space="preserve">increased certainty for Australian and Indian businesses, providing encouragement to engage in services trade, for example via commercial presence, and therefore stimulating economic growth. There are no costs or concessions for Australia to meet this commitment as it reflects Australia’s domestic regime. </w:t>
      </w:r>
      <w:r w:rsidR="003764B1">
        <w:rPr>
          <w:sz w:val="24"/>
          <w:szCs w:val="24"/>
        </w:rPr>
        <w:t xml:space="preserve">There </w:t>
      </w:r>
      <w:r w:rsidR="001D11F6">
        <w:rPr>
          <w:sz w:val="24"/>
          <w:szCs w:val="24"/>
        </w:rPr>
        <w:t>may</w:t>
      </w:r>
      <w:r w:rsidR="003764B1">
        <w:rPr>
          <w:sz w:val="24"/>
          <w:szCs w:val="24"/>
        </w:rPr>
        <w:t xml:space="preserve"> be benefits for consumers due to the potential increase in competition that could lower prices and improve service supply.</w:t>
      </w:r>
    </w:p>
    <w:p w14:paraId="52399EE6" w14:textId="77777777" w:rsidR="00EA2AB2" w:rsidRPr="00EA2AB2" w:rsidRDefault="00EA2AB2" w:rsidP="00EA2AB2">
      <w:pPr>
        <w:spacing w:after="0"/>
        <w:rPr>
          <w:sz w:val="24"/>
          <w:szCs w:val="24"/>
        </w:rPr>
      </w:pPr>
    </w:p>
    <w:p w14:paraId="04E5138C" w14:textId="77777777" w:rsidR="00071C88" w:rsidRPr="00164652" w:rsidRDefault="00071C88" w:rsidP="00A80396">
      <w:pPr>
        <w:pStyle w:val="ListParagraph"/>
        <w:numPr>
          <w:ilvl w:val="0"/>
          <w:numId w:val="1"/>
        </w:numPr>
        <w:spacing w:after="0"/>
        <w:ind w:left="567" w:hanging="567"/>
        <w:rPr>
          <w:sz w:val="24"/>
          <w:szCs w:val="24"/>
        </w:rPr>
      </w:pPr>
      <w:r w:rsidRPr="543832D4">
        <w:rPr>
          <w:sz w:val="24"/>
          <w:szCs w:val="24"/>
        </w:rPr>
        <w:t xml:space="preserve">The transparency provisions that relate to public availability of regulations, licensing requirements and options for dispute resolution directly respond to stakeholder concerns regarding a current lack of transparency around licensing requirements and dispute resolution options in India. The Telecommunications Annex improves upon the status quo as it clarifies the market conditions for Australia’s telecommunications service suppliers in India. While it is challenging to anticipate the magnitude of the benefit that this commitment will provide, the effect of this language will likely be an increase in trade in telecommunications services between India and Australia and resultant positive impact on economic growth.    </w:t>
      </w:r>
    </w:p>
    <w:p w14:paraId="632B9D47" w14:textId="77777777" w:rsidR="00071C88" w:rsidRDefault="00071C88" w:rsidP="0014704E">
      <w:pPr>
        <w:pStyle w:val="ListParagraph"/>
        <w:spacing w:after="0"/>
        <w:ind w:left="567"/>
        <w:rPr>
          <w:sz w:val="24"/>
          <w:szCs w:val="24"/>
        </w:rPr>
      </w:pPr>
    </w:p>
    <w:p w14:paraId="1B3D8835" w14:textId="158014AC" w:rsidR="00071C88" w:rsidRPr="008D37FF" w:rsidRDefault="00071C88" w:rsidP="00A80396">
      <w:pPr>
        <w:pStyle w:val="ListParagraph"/>
        <w:numPr>
          <w:ilvl w:val="0"/>
          <w:numId w:val="1"/>
        </w:numPr>
        <w:spacing w:after="0"/>
        <w:ind w:left="567" w:hanging="567"/>
        <w:rPr>
          <w:sz w:val="24"/>
          <w:szCs w:val="24"/>
        </w:rPr>
      </w:pPr>
      <w:r>
        <w:rPr>
          <w:sz w:val="24"/>
          <w:szCs w:val="24"/>
        </w:rPr>
        <w:t xml:space="preserve">Additional obligations in the Telecommunications Annex relate to India and Australia guaranteeing advance notice on regulatory decisions. This commitment will </w:t>
      </w:r>
      <w:r w:rsidR="00F957BB">
        <w:rPr>
          <w:sz w:val="24"/>
          <w:szCs w:val="24"/>
        </w:rPr>
        <w:t>support</w:t>
      </w:r>
      <w:r>
        <w:rPr>
          <w:sz w:val="24"/>
          <w:szCs w:val="24"/>
        </w:rPr>
        <w:t xml:space="preserve"> market confidence and stimulate economic growth as opaque rules and regulations and a lack of understanding regarding the legal process can disincentivise industry to trade internationally. As there are only a few Australian telecommunications companies in India, this provision may incentivise more Australian companies to move into the lucrative Indian market. Given that India</w:t>
      </w:r>
      <w:r w:rsidRPr="000F1E6D">
        <w:rPr>
          <w:sz w:val="24"/>
          <w:szCs w:val="24"/>
        </w:rPr>
        <w:t xml:space="preserve"> is</w:t>
      </w:r>
      <w:r>
        <w:rPr>
          <w:sz w:val="24"/>
          <w:szCs w:val="24"/>
        </w:rPr>
        <w:t xml:space="preserve"> currently</w:t>
      </w:r>
      <w:r w:rsidRPr="000F1E6D">
        <w:rPr>
          <w:sz w:val="24"/>
          <w:szCs w:val="24"/>
        </w:rPr>
        <w:t xml:space="preserve"> the world's second-largest telecommunications market with a subscriber base of 1.16 bil</w:t>
      </w:r>
      <w:r>
        <w:rPr>
          <w:sz w:val="24"/>
          <w:szCs w:val="24"/>
        </w:rPr>
        <w:t>lion and a strong growth trajectory</w:t>
      </w:r>
      <w:r>
        <w:rPr>
          <w:rStyle w:val="FootnoteReference"/>
          <w:sz w:val="24"/>
          <w:szCs w:val="24"/>
        </w:rPr>
        <w:footnoteReference w:id="73"/>
      </w:r>
      <w:r>
        <w:rPr>
          <w:sz w:val="24"/>
          <w:szCs w:val="24"/>
        </w:rPr>
        <w:t xml:space="preserve">, </w:t>
      </w:r>
      <w:r w:rsidR="009A20BA">
        <w:rPr>
          <w:sz w:val="24"/>
          <w:szCs w:val="24"/>
        </w:rPr>
        <w:t>these rules will likely facilitate trade and have an overall positive impact for telecommunications consumers due to the likelihood that increased competition would result in improved service provision</w:t>
      </w:r>
      <w:r w:rsidR="009A20BA" w:rsidRPr="008D37FF">
        <w:rPr>
          <w:sz w:val="24"/>
          <w:szCs w:val="24"/>
        </w:rPr>
        <w:t>.</w:t>
      </w:r>
    </w:p>
    <w:p w14:paraId="229F23CF" w14:textId="77777777" w:rsidR="00071C88" w:rsidRPr="00750967" w:rsidRDefault="00071C88" w:rsidP="0014704E">
      <w:pPr>
        <w:pStyle w:val="ListParagraph"/>
        <w:spacing w:after="0"/>
        <w:rPr>
          <w:sz w:val="24"/>
          <w:szCs w:val="24"/>
        </w:rPr>
      </w:pPr>
    </w:p>
    <w:p w14:paraId="4E2D8BC6" w14:textId="61CF2E7D" w:rsidR="00071C88" w:rsidRDefault="00071C88" w:rsidP="00A80396">
      <w:pPr>
        <w:pStyle w:val="ListParagraph"/>
        <w:numPr>
          <w:ilvl w:val="0"/>
          <w:numId w:val="1"/>
        </w:numPr>
        <w:spacing w:after="0"/>
        <w:ind w:left="567" w:hanging="567"/>
        <w:rPr>
          <w:sz w:val="24"/>
          <w:szCs w:val="24"/>
        </w:rPr>
      </w:pPr>
      <w:r w:rsidRPr="543832D4">
        <w:rPr>
          <w:sz w:val="24"/>
          <w:szCs w:val="24"/>
        </w:rPr>
        <w:t xml:space="preserve">The obligation in the Telecommunications Annex for licensing criteria and procedures to be publicly available, and to provide reasons when a licence is refused, </w:t>
      </w:r>
      <w:proofErr w:type="gramStart"/>
      <w:r w:rsidRPr="543832D4">
        <w:rPr>
          <w:sz w:val="24"/>
          <w:szCs w:val="24"/>
        </w:rPr>
        <w:t>revoked</w:t>
      </w:r>
      <w:proofErr w:type="gramEnd"/>
      <w:r w:rsidRPr="543832D4">
        <w:rPr>
          <w:sz w:val="24"/>
          <w:szCs w:val="24"/>
        </w:rPr>
        <w:t xml:space="preserve"> or not renewed is particularly pertinent. </w:t>
      </w:r>
      <w:r w:rsidR="009A20BA">
        <w:rPr>
          <w:sz w:val="24"/>
          <w:szCs w:val="24"/>
        </w:rPr>
        <w:t>Australian s</w:t>
      </w:r>
      <w:r w:rsidRPr="543832D4">
        <w:rPr>
          <w:sz w:val="24"/>
          <w:szCs w:val="24"/>
        </w:rPr>
        <w:t xml:space="preserve">takeholders requested stronger transparency provisions around regulation and licencing across voice, data transmission and private leased services. The Telecommunications Annex does not address stakeholder requests in relation to non-voice growth areas such as enterprise data provision as this request would require regulatory reform in India so goes beyond what is possible in this Interim Agreement. It may be that these provisions can be addressed in the full CECA. </w:t>
      </w:r>
    </w:p>
    <w:p w14:paraId="44580106" w14:textId="77777777" w:rsidR="00071C88" w:rsidRPr="008718FB" w:rsidRDefault="00071C88" w:rsidP="0014704E">
      <w:pPr>
        <w:pStyle w:val="ListParagraph"/>
        <w:spacing w:after="0"/>
        <w:rPr>
          <w:sz w:val="24"/>
          <w:szCs w:val="24"/>
        </w:rPr>
      </w:pPr>
    </w:p>
    <w:p w14:paraId="7F2C11B3" w14:textId="4C4096CB" w:rsidR="00071C88" w:rsidRDefault="00071C88" w:rsidP="00A80396">
      <w:pPr>
        <w:pStyle w:val="ListParagraph"/>
        <w:numPr>
          <w:ilvl w:val="0"/>
          <w:numId w:val="1"/>
        </w:numPr>
        <w:spacing w:after="0"/>
        <w:ind w:left="567" w:hanging="567"/>
        <w:rPr>
          <w:sz w:val="24"/>
          <w:szCs w:val="24"/>
        </w:rPr>
      </w:pPr>
      <w:r w:rsidRPr="543832D4">
        <w:rPr>
          <w:sz w:val="24"/>
          <w:szCs w:val="24"/>
        </w:rPr>
        <w:t xml:space="preserve">As the disciplines in the Telecommunications Annex are consistent with Australia’s telecommunications regulatory framework, the impact that this Annex will have on Australia’s telecommunications market is expected to be minimal. The </w:t>
      </w:r>
      <w:r w:rsidR="00061672">
        <w:rPr>
          <w:sz w:val="24"/>
          <w:szCs w:val="24"/>
        </w:rPr>
        <w:t>‘</w:t>
      </w:r>
      <w:r w:rsidRPr="543832D4">
        <w:rPr>
          <w:sz w:val="24"/>
          <w:szCs w:val="24"/>
        </w:rPr>
        <w:t>head turning effect</w:t>
      </w:r>
      <w:r w:rsidR="00061672">
        <w:rPr>
          <w:sz w:val="24"/>
          <w:szCs w:val="24"/>
        </w:rPr>
        <w:t>’</w:t>
      </w:r>
      <w:r w:rsidRPr="543832D4">
        <w:rPr>
          <w:sz w:val="24"/>
          <w:szCs w:val="24"/>
        </w:rPr>
        <w:t xml:space="preserve"> of the Interim Agreement might attract more Indian telecommunications service suppliers to the Australian market</w:t>
      </w:r>
      <w:r w:rsidR="00605320">
        <w:rPr>
          <w:sz w:val="24"/>
          <w:szCs w:val="24"/>
        </w:rPr>
        <w:t xml:space="preserve"> but the</w:t>
      </w:r>
      <w:r w:rsidR="00061672">
        <w:rPr>
          <w:sz w:val="24"/>
          <w:szCs w:val="24"/>
        </w:rPr>
        <w:t xml:space="preserve"> impact</w:t>
      </w:r>
      <w:r w:rsidR="00294E40">
        <w:rPr>
          <w:sz w:val="24"/>
          <w:szCs w:val="24"/>
        </w:rPr>
        <w:t xml:space="preserve"> is likely to </w:t>
      </w:r>
      <w:r w:rsidR="00605320">
        <w:rPr>
          <w:sz w:val="24"/>
          <w:szCs w:val="24"/>
        </w:rPr>
        <w:t>be minimal</w:t>
      </w:r>
      <w:r w:rsidR="00605320" w:rsidRPr="543832D4">
        <w:rPr>
          <w:sz w:val="24"/>
          <w:szCs w:val="24"/>
        </w:rPr>
        <w:t>.</w:t>
      </w:r>
      <w:r w:rsidRPr="543832D4">
        <w:rPr>
          <w:sz w:val="24"/>
          <w:szCs w:val="24"/>
        </w:rPr>
        <w:t xml:space="preserve"> If Indian telecommunications suppliers do increase their presence in Australia, this would likely have a positive impact, </w:t>
      </w:r>
      <w:r w:rsidRPr="543832D4">
        <w:rPr>
          <w:sz w:val="24"/>
          <w:szCs w:val="24"/>
        </w:rPr>
        <w:lastRenderedPageBreak/>
        <w:t>stimulating economic growth and improving competition, with the knock-on effect of improv</w:t>
      </w:r>
      <w:r w:rsidR="00F6258A">
        <w:rPr>
          <w:sz w:val="24"/>
          <w:szCs w:val="24"/>
        </w:rPr>
        <w:t>ing</w:t>
      </w:r>
      <w:r w:rsidRPr="543832D4">
        <w:rPr>
          <w:sz w:val="24"/>
          <w:szCs w:val="24"/>
        </w:rPr>
        <w:t xml:space="preserve"> service</w:t>
      </w:r>
      <w:r w:rsidR="00F6258A">
        <w:rPr>
          <w:sz w:val="24"/>
          <w:szCs w:val="24"/>
        </w:rPr>
        <w:t>s a</w:t>
      </w:r>
      <w:r w:rsidRPr="543832D4">
        <w:rPr>
          <w:sz w:val="24"/>
          <w:szCs w:val="24"/>
        </w:rPr>
        <w:t>nd choice</w:t>
      </w:r>
      <w:r w:rsidR="00F6258A">
        <w:rPr>
          <w:sz w:val="24"/>
          <w:szCs w:val="24"/>
        </w:rPr>
        <w:t>s</w:t>
      </w:r>
      <w:r w:rsidRPr="543832D4">
        <w:rPr>
          <w:sz w:val="24"/>
          <w:szCs w:val="24"/>
        </w:rPr>
        <w:t xml:space="preserve"> for consumers. </w:t>
      </w:r>
    </w:p>
    <w:p w14:paraId="58B00E04" w14:textId="77777777" w:rsidR="00071C88" w:rsidRPr="00E95447" w:rsidRDefault="00071C88" w:rsidP="0014704E">
      <w:pPr>
        <w:pStyle w:val="ListParagraph"/>
        <w:spacing w:after="0"/>
        <w:rPr>
          <w:sz w:val="24"/>
          <w:szCs w:val="24"/>
        </w:rPr>
      </w:pPr>
    </w:p>
    <w:p w14:paraId="75169162" w14:textId="5303B9BC" w:rsidR="00071C88" w:rsidRDefault="00071C88">
      <w:pPr>
        <w:pStyle w:val="ListParagraph"/>
        <w:numPr>
          <w:ilvl w:val="0"/>
          <w:numId w:val="1"/>
        </w:numPr>
        <w:spacing w:after="0"/>
        <w:ind w:left="567" w:hanging="567"/>
        <w:rPr>
          <w:sz w:val="24"/>
          <w:szCs w:val="24"/>
        </w:rPr>
      </w:pPr>
      <w:r w:rsidRPr="543832D4">
        <w:rPr>
          <w:sz w:val="24"/>
          <w:szCs w:val="24"/>
        </w:rPr>
        <w:t>The potential increase in service suppliers in Australia is unlikely to have a negative displacement effect due to the number of mature suppliers in Australia already and because Australia’s market is already regulated on a non-discriminatory basis, so India’s telecommunications service supplier market access is unchanged. It will still likely result in a positive impact for consumers though, given the impact that improved competition can have on consumer savings.</w:t>
      </w:r>
    </w:p>
    <w:p w14:paraId="128A0064" w14:textId="77777777" w:rsidR="005A7F58" w:rsidRPr="00A5588B" w:rsidRDefault="005A7F58">
      <w:pPr>
        <w:spacing w:after="0"/>
        <w:rPr>
          <w:sz w:val="24"/>
          <w:szCs w:val="24"/>
        </w:rPr>
      </w:pPr>
    </w:p>
    <w:p w14:paraId="7DD445F3" w14:textId="045B7A5A" w:rsidR="00071C88" w:rsidRPr="00886F06" w:rsidRDefault="00071C88">
      <w:pPr>
        <w:pStyle w:val="Heading3"/>
        <w:spacing w:before="0"/>
      </w:pPr>
      <w:bookmarkStart w:id="59" w:name="_Toc99370674"/>
      <w:r w:rsidRPr="00886F06">
        <w:t>Impact on professional services</w:t>
      </w:r>
      <w:bookmarkEnd w:id="59"/>
    </w:p>
    <w:p w14:paraId="666AB2E9" w14:textId="77777777" w:rsidR="00F25478" w:rsidRDefault="00F25478">
      <w:pPr>
        <w:pStyle w:val="ListParagraph"/>
        <w:spacing w:after="0"/>
        <w:ind w:left="567"/>
        <w:rPr>
          <w:sz w:val="24"/>
          <w:szCs w:val="24"/>
        </w:rPr>
      </w:pPr>
    </w:p>
    <w:p w14:paraId="3D8F042C" w14:textId="6DA5C91F" w:rsidR="004F6E4A" w:rsidRPr="0001716D" w:rsidRDefault="00071C88">
      <w:pPr>
        <w:pStyle w:val="ListParagraph"/>
        <w:numPr>
          <w:ilvl w:val="0"/>
          <w:numId w:val="1"/>
        </w:numPr>
        <w:spacing w:after="0"/>
        <w:ind w:left="567" w:hanging="567"/>
        <w:rPr>
          <w:sz w:val="24"/>
          <w:szCs w:val="24"/>
        </w:rPr>
      </w:pPr>
      <w:r w:rsidRPr="543832D4">
        <w:rPr>
          <w:sz w:val="24"/>
          <w:szCs w:val="24"/>
        </w:rPr>
        <w:t xml:space="preserve">The Interim Agreement includes a framework to improve the two-way movement of professionals. It will establish a Professional Services Working Group </w:t>
      </w:r>
      <w:r w:rsidR="00380B4B">
        <w:rPr>
          <w:sz w:val="24"/>
          <w:szCs w:val="24"/>
        </w:rPr>
        <w:t>for the future</w:t>
      </w:r>
      <w:r w:rsidRPr="543832D4">
        <w:rPr>
          <w:sz w:val="24"/>
          <w:szCs w:val="24"/>
        </w:rPr>
        <w:t xml:space="preserve"> </w:t>
      </w:r>
      <w:r w:rsidRPr="00965BEA">
        <w:rPr>
          <w:sz w:val="24"/>
          <w:szCs w:val="24"/>
        </w:rPr>
        <w:t>facilitat</w:t>
      </w:r>
      <w:r w:rsidR="00380B4B" w:rsidRPr="00965BEA">
        <w:rPr>
          <w:sz w:val="24"/>
          <w:szCs w:val="24"/>
        </w:rPr>
        <w:t>ion of</w:t>
      </w:r>
      <w:r w:rsidR="00643603" w:rsidRPr="00965BEA">
        <w:rPr>
          <w:sz w:val="24"/>
          <w:szCs w:val="24"/>
        </w:rPr>
        <w:t xml:space="preserve"> the</w:t>
      </w:r>
      <w:r w:rsidRPr="00965BEA">
        <w:rPr>
          <w:sz w:val="24"/>
          <w:szCs w:val="24"/>
        </w:rPr>
        <w:t xml:space="preserve"> mutual recognition of qualifications, </w:t>
      </w:r>
      <w:proofErr w:type="gramStart"/>
      <w:r w:rsidRPr="00965BEA">
        <w:rPr>
          <w:sz w:val="24"/>
          <w:szCs w:val="24"/>
        </w:rPr>
        <w:t>licensing</w:t>
      </w:r>
      <w:proofErr w:type="gramEnd"/>
      <w:r w:rsidRPr="00965BEA">
        <w:rPr>
          <w:sz w:val="24"/>
          <w:szCs w:val="24"/>
        </w:rPr>
        <w:t xml:space="preserve"> and registration procedures between professional services bodies. Australia and India have agreed to engage their respective professional services bodies to negotiate mutual recognition arrangements for qualifications, licensing and registration procedures across professional services and services in regulated or licensed occupations.</w:t>
      </w:r>
      <w:r w:rsidR="004F3981" w:rsidRPr="00965BEA">
        <w:rPr>
          <w:sz w:val="24"/>
          <w:szCs w:val="24"/>
        </w:rPr>
        <w:t xml:space="preserve"> This provides a useful platform to encourage professional bodies </w:t>
      </w:r>
      <w:r w:rsidR="00541BD9" w:rsidRPr="00965BEA">
        <w:rPr>
          <w:sz w:val="24"/>
          <w:szCs w:val="24"/>
        </w:rPr>
        <w:t>to negotiate</w:t>
      </w:r>
      <w:r w:rsidR="004F3981" w:rsidRPr="00965BEA">
        <w:rPr>
          <w:sz w:val="24"/>
          <w:szCs w:val="24"/>
        </w:rPr>
        <w:t xml:space="preserve"> </w:t>
      </w:r>
      <w:r w:rsidR="00541BD9" w:rsidRPr="00965BEA">
        <w:rPr>
          <w:sz w:val="24"/>
          <w:szCs w:val="24"/>
        </w:rPr>
        <w:t xml:space="preserve">mutual recognition agreements and </w:t>
      </w:r>
      <w:r w:rsidR="00B85E95" w:rsidRPr="00965BEA">
        <w:rPr>
          <w:sz w:val="24"/>
          <w:szCs w:val="24"/>
        </w:rPr>
        <w:t>provides a hook for the bodies to reach out to their counterparts.</w:t>
      </w:r>
      <w:r w:rsidR="00541BD9" w:rsidRPr="00965BEA">
        <w:rPr>
          <w:sz w:val="24"/>
          <w:szCs w:val="24"/>
        </w:rPr>
        <w:t xml:space="preserve"> </w:t>
      </w:r>
      <w:r w:rsidRPr="0001716D">
        <w:rPr>
          <w:sz w:val="24"/>
          <w:szCs w:val="24"/>
        </w:rPr>
        <w:t xml:space="preserve">From consultations with stakeholders, it is understood that currently there are </w:t>
      </w:r>
      <w:r w:rsidR="00117EA5" w:rsidRPr="0001716D">
        <w:rPr>
          <w:sz w:val="24"/>
          <w:szCs w:val="24"/>
        </w:rPr>
        <w:t>only</w:t>
      </w:r>
      <w:r w:rsidRPr="0001716D">
        <w:rPr>
          <w:sz w:val="24"/>
          <w:szCs w:val="24"/>
        </w:rPr>
        <w:t xml:space="preserve"> </w:t>
      </w:r>
      <w:r w:rsidR="00192CED">
        <w:rPr>
          <w:sz w:val="24"/>
          <w:szCs w:val="24"/>
        </w:rPr>
        <w:t xml:space="preserve">a limited number of </w:t>
      </w:r>
      <w:r w:rsidRPr="0001716D">
        <w:rPr>
          <w:sz w:val="24"/>
          <w:szCs w:val="24"/>
        </w:rPr>
        <w:t>mutual recognition agreements</w:t>
      </w:r>
      <w:r w:rsidR="00B67155" w:rsidRPr="0001716D">
        <w:rPr>
          <w:sz w:val="24"/>
          <w:szCs w:val="24"/>
        </w:rPr>
        <w:t xml:space="preserve"> (MRAs)</w:t>
      </w:r>
      <w:r w:rsidR="00117EA5" w:rsidRPr="0001716D">
        <w:rPr>
          <w:sz w:val="24"/>
          <w:szCs w:val="24"/>
        </w:rPr>
        <w:t xml:space="preserve"> </w:t>
      </w:r>
      <w:r w:rsidR="00CE5D04">
        <w:rPr>
          <w:sz w:val="24"/>
          <w:szCs w:val="24"/>
        </w:rPr>
        <w:t xml:space="preserve">between Australia and India, including </w:t>
      </w:r>
      <w:r w:rsidR="00117EA5" w:rsidRPr="0001716D">
        <w:rPr>
          <w:sz w:val="24"/>
          <w:szCs w:val="24"/>
        </w:rPr>
        <w:t>in</w:t>
      </w:r>
      <w:r w:rsidRPr="0001716D">
        <w:rPr>
          <w:sz w:val="24"/>
          <w:szCs w:val="24"/>
        </w:rPr>
        <w:t xml:space="preserve"> </w:t>
      </w:r>
      <w:r w:rsidR="001F5D1A" w:rsidRPr="0001716D">
        <w:rPr>
          <w:sz w:val="24"/>
          <w:szCs w:val="24"/>
        </w:rPr>
        <w:t>the</w:t>
      </w:r>
      <w:r w:rsidR="00117EA5" w:rsidRPr="0001716D">
        <w:rPr>
          <w:sz w:val="24"/>
          <w:szCs w:val="24"/>
        </w:rPr>
        <w:t xml:space="preserve"> engineer</w:t>
      </w:r>
      <w:r w:rsidR="001F5D1A" w:rsidRPr="0001716D">
        <w:rPr>
          <w:sz w:val="24"/>
          <w:szCs w:val="24"/>
        </w:rPr>
        <w:t>ing</w:t>
      </w:r>
      <w:r w:rsidR="00117EA5" w:rsidRPr="0001716D">
        <w:rPr>
          <w:sz w:val="24"/>
          <w:szCs w:val="24"/>
        </w:rPr>
        <w:t xml:space="preserve">, </w:t>
      </w:r>
      <w:proofErr w:type="gramStart"/>
      <w:r w:rsidR="00117EA5" w:rsidRPr="0001716D">
        <w:rPr>
          <w:sz w:val="24"/>
          <w:szCs w:val="24"/>
        </w:rPr>
        <w:t>accountan</w:t>
      </w:r>
      <w:r w:rsidR="001F5D1A" w:rsidRPr="0001716D">
        <w:rPr>
          <w:sz w:val="24"/>
          <w:szCs w:val="24"/>
        </w:rPr>
        <w:t>cy</w:t>
      </w:r>
      <w:proofErr w:type="gramEnd"/>
      <w:r w:rsidR="00117EA5" w:rsidRPr="0001716D">
        <w:rPr>
          <w:sz w:val="24"/>
          <w:szCs w:val="24"/>
        </w:rPr>
        <w:t xml:space="preserve"> and architect</w:t>
      </w:r>
      <w:r w:rsidR="001F5D1A" w:rsidRPr="0001716D">
        <w:rPr>
          <w:sz w:val="24"/>
          <w:szCs w:val="24"/>
        </w:rPr>
        <w:t>ur</w:t>
      </w:r>
      <w:r w:rsidR="0066563C" w:rsidRPr="0001716D">
        <w:rPr>
          <w:sz w:val="24"/>
          <w:szCs w:val="24"/>
        </w:rPr>
        <w:t>e professions</w:t>
      </w:r>
      <w:r w:rsidRPr="0001716D">
        <w:rPr>
          <w:sz w:val="24"/>
          <w:szCs w:val="24"/>
        </w:rPr>
        <w:t xml:space="preserve">. </w:t>
      </w:r>
    </w:p>
    <w:p w14:paraId="3818E5AA" w14:textId="77777777" w:rsidR="004F6E4A" w:rsidRPr="0001716D" w:rsidRDefault="004F6E4A" w:rsidP="0001716D">
      <w:pPr>
        <w:pStyle w:val="ListParagraph"/>
        <w:spacing w:after="0"/>
        <w:ind w:left="567"/>
        <w:rPr>
          <w:sz w:val="24"/>
          <w:szCs w:val="24"/>
        </w:rPr>
      </w:pPr>
    </w:p>
    <w:p w14:paraId="4842216E" w14:textId="0C21A4C6" w:rsidR="00071C88" w:rsidRPr="0001716D" w:rsidRDefault="00071C88">
      <w:pPr>
        <w:pStyle w:val="ListParagraph"/>
        <w:numPr>
          <w:ilvl w:val="0"/>
          <w:numId w:val="1"/>
        </w:numPr>
        <w:spacing w:after="0"/>
        <w:ind w:left="567" w:hanging="567"/>
        <w:rPr>
          <w:sz w:val="24"/>
          <w:szCs w:val="24"/>
        </w:rPr>
      </w:pPr>
      <w:r w:rsidRPr="0001716D">
        <w:rPr>
          <w:sz w:val="24"/>
          <w:szCs w:val="24"/>
        </w:rPr>
        <w:t>The framework established through the Interim Agreement may</w:t>
      </w:r>
      <w:r w:rsidR="007A55CE">
        <w:rPr>
          <w:sz w:val="24"/>
          <w:szCs w:val="24"/>
        </w:rPr>
        <w:t xml:space="preserve"> provide the necessary impetus to</w:t>
      </w:r>
      <w:r w:rsidR="00865B21" w:rsidRPr="0001716D">
        <w:rPr>
          <w:sz w:val="24"/>
          <w:szCs w:val="24"/>
        </w:rPr>
        <w:t xml:space="preserve"> increase the number of</w:t>
      </w:r>
      <w:r w:rsidR="007A55CE">
        <w:rPr>
          <w:sz w:val="24"/>
          <w:szCs w:val="24"/>
        </w:rPr>
        <w:t xml:space="preserve"> MRAs</w:t>
      </w:r>
      <w:r w:rsidRPr="0001716D">
        <w:rPr>
          <w:sz w:val="24"/>
          <w:szCs w:val="24"/>
        </w:rPr>
        <w:t>, and therefore two-way mobility of professionals</w:t>
      </w:r>
      <w:r w:rsidR="0066563C" w:rsidRPr="0001716D">
        <w:rPr>
          <w:sz w:val="24"/>
          <w:szCs w:val="24"/>
        </w:rPr>
        <w:t xml:space="preserve"> and trade in professional services</w:t>
      </w:r>
      <w:r w:rsidR="00865B21" w:rsidRPr="0001716D">
        <w:rPr>
          <w:sz w:val="24"/>
          <w:szCs w:val="24"/>
        </w:rPr>
        <w:t xml:space="preserve">. </w:t>
      </w:r>
      <w:r w:rsidR="00375D41" w:rsidRPr="0001716D">
        <w:rPr>
          <w:sz w:val="24"/>
          <w:szCs w:val="24"/>
        </w:rPr>
        <w:t xml:space="preserve">A 2015 </w:t>
      </w:r>
      <w:r w:rsidR="00BA6A46" w:rsidRPr="0001716D">
        <w:rPr>
          <w:sz w:val="24"/>
          <w:szCs w:val="24"/>
        </w:rPr>
        <w:t>P</w:t>
      </w:r>
      <w:r w:rsidR="00375D41" w:rsidRPr="0001716D">
        <w:rPr>
          <w:sz w:val="24"/>
          <w:szCs w:val="24"/>
        </w:rPr>
        <w:t>roductivity</w:t>
      </w:r>
      <w:r w:rsidR="00BA6A46" w:rsidRPr="0001716D">
        <w:rPr>
          <w:sz w:val="24"/>
          <w:szCs w:val="24"/>
        </w:rPr>
        <w:t xml:space="preserve"> Commission</w:t>
      </w:r>
      <w:r w:rsidR="00375D41" w:rsidRPr="0001716D">
        <w:rPr>
          <w:sz w:val="24"/>
          <w:szCs w:val="24"/>
        </w:rPr>
        <w:t xml:space="preserve"> report </w:t>
      </w:r>
      <w:r w:rsidR="00BA6A46" w:rsidRPr="0001716D">
        <w:rPr>
          <w:sz w:val="24"/>
          <w:szCs w:val="24"/>
        </w:rPr>
        <w:t xml:space="preserve">on barriers to services exports </w:t>
      </w:r>
      <w:r w:rsidR="00965BEA">
        <w:rPr>
          <w:sz w:val="24"/>
          <w:szCs w:val="24"/>
        </w:rPr>
        <w:t>recommends</w:t>
      </w:r>
      <w:r w:rsidR="00BA6A46" w:rsidRPr="0001716D">
        <w:rPr>
          <w:sz w:val="24"/>
          <w:szCs w:val="24"/>
        </w:rPr>
        <w:t xml:space="preserve"> that </w:t>
      </w:r>
      <w:r w:rsidR="000844CC" w:rsidRPr="0001716D">
        <w:rPr>
          <w:sz w:val="24"/>
          <w:szCs w:val="24"/>
        </w:rPr>
        <w:t xml:space="preserve">the Australian Government put in place a framework to support the development of </w:t>
      </w:r>
      <w:r w:rsidR="008578F0">
        <w:rPr>
          <w:sz w:val="24"/>
          <w:szCs w:val="24"/>
        </w:rPr>
        <w:t>MRAs and that that would likely improve trade in professional services.</w:t>
      </w:r>
      <w:r w:rsidR="000844CC" w:rsidRPr="0001716D">
        <w:rPr>
          <w:sz w:val="24"/>
          <w:szCs w:val="24"/>
        </w:rPr>
        <w:t xml:space="preserve"> </w:t>
      </w:r>
      <w:r w:rsidR="008578F0">
        <w:rPr>
          <w:sz w:val="24"/>
          <w:szCs w:val="24"/>
        </w:rPr>
        <w:t xml:space="preserve">The report suggests </w:t>
      </w:r>
      <w:r w:rsidR="009D3B89">
        <w:rPr>
          <w:sz w:val="24"/>
          <w:szCs w:val="24"/>
        </w:rPr>
        <w:t xml:space="preserve">that a framework, such as the one that has been agreed in the </w:t>
      </w:r>
      <w:r w:rsidR="00D10AF6">
        <w:rPr>
          <w:sz w:val="24"/>
          <w:szCs w:val="24"/>
        </w:rPr>
        <w:t>AI</w:t>
      </w:r>
      <w:r w:rsidR="00217C26">
        <w:rPr>
          <w:sz w:val="24"/>
          <w:szCs w:val="24"/>
        </w:rPr>
        <w:t xml:space="preserve"> ECTA</w:t>
      </w:r>
      <w:r w:rsidR="009D3B89">
        <w:rPr>
          <w:sz w:val="24"/>
          <w:szCs w:val="24"/>
        </w:rPr>
        <w:t xml:space="preserve">, should be </w:t>
      </w:r>
      <w:r w:rsidR="000844CC" w:rsidRPr="0001716D">
        <w:rPr>
          <w:sz w:val="24"/>
          <w:szCs w:val="24"/>
        </w:rPr>
        <w:t>part of</w:t>
      </w:r>
      <w:r w:rsidR="009D3B89">
        <w:rPr>
          <w:sz w:val="24"/>
          <w:szCs w:val="24"/>
        </w:rPr>
        <w:t xml:space="preserve"> a</w:t>
      </w:r>
      <w:r w:rsidR="000844CC" w:rsidRPr="0001716D">
        <w:rPr>
          <w:sz w:val="24"/>
          <w:szCs w:val="24"/>
        </w:rPr>
        <w:t xml:space="preserve"> trade agreement. The report goes on to suggest that the framework should include clear actions and timeframes for an implementation working group (that is adequately resourced and involves relevant regulators and government bodies) to report on its progress to the committee responsible for overseeing implementation of the </w:t>
      </w:r>
      <w:r w:rsidR="00CE5885">
        <w:rPr>
          <w:sz w:val="24"/>
          <w:szCs w:val="24"/>
        </w:rPr>
        <w:t xml:space="preserve">trade </w:t>
      </w:r>
      <w:r w:rsidR="000844CC" w:rsidRPr="0001716D">
        <w:rPr>
          <w:sz w:val="24"/>
          <w:szCs w:val="24"/>
        </w:rPr>
        <w:t>agreement. The framework should also include a process for consulting with industry stakeholders.</w:t>
      </w:r>
      <w:r w:rsidR="00A67E29" w:rsidRPr="0001716D">
        <w:rPr>
          <w:sz w:val="24"/>
          <w:szCs w:val="24"/>
        </w:rPr>
        <w:t xml:space="preserve"> </w:t>
      </w:r>
      <w:r w:rsidR="00CE5885">
        <w:rPr>
          <w:sz w:val="24"/>
          <w:szCs w:val="24"/>
        </w:rPr>
        <w:t xml:space="preserve">This is exactly what DFAT has delivered for our professional services stakeholders and the report suggests that this would ultimately improve trade in professional services and therefore is an improvement on </w:t>
      </w:r>
      <w:r w:rsidR="00A67E29" w:rsidRPr="0001716D">
        <w:rPr>
          <w:sz w:val="24"/>
          <w:szCs w:val="24"/>
        </w:rPr>
        <w:t xml:space="preserve">the status quo. </w:t>
      </w:r>
      <w:r w:rsidR="00975C59" w:rsidRPr="00965BEA">
        <w:rPr>
          <w:rStyle w:val="FootnoteReference"/>
          <w:sz w:val="24"/>
          <w:szCs w:val="24"/>
        </w:rPr>
        <w:footnoteReference w:id="74"/>
      </w:r>
    </w:p>
    <w:p w14:paraId="2C0967A2" w14:textId="3F48539E" w:rsidR="00071C88" w:rsidRDefault="00071C88">
      <w:pPr>
        <w:pStyle w:val="ListParagraph"/>
        <w:spacing w:after="0"/>
        <w:rPr>
          <w:sz w:val="24"/>
          <w:szCs w:val="24"/>
        </w:rPr>
      </w:pPr>
    </w:p>
    <w:p w14:paraId="54BCB042" w14:textId="6CF49091" w:rsidR="00DB0807" w:rsidRDefault="00DB0807">
      <w:pPr>
        <w:pStyle w:val="ListParagraph"/>
        <w:spacing w:after="0"/>
        <w:rPr>
          <w:sz w:val="24"/>
          <w:szCs w:val="24"/>
        </w:rPr>
      </w:pPr>
    </w:p>
    <w:p w14:paraId="7D5B0721" w14:textId="77777777" w:rsidR="00DB0807" w:rsidRPr="00965BEA" w:rsidRDefault="00DB0807">
      <w:pPr>
        <w:pStyle w:val="ListParagraph"/>
        <w:spacing w:after="0"/>
        <w:rPr>
          <w:sz w:val="24"/>
          <w:szCs w:val="24"/>
        </w:rPr>
      </w:pPr>
    </w:p>
    <w:p w14:paraId="4DACEFA9" w14:textId="6254CC98" w:rsidR="003F7CEB" w:rsidRPr="003A3BF5" w:rsidRDefault="003F7CEB" w:rsidP="00F673EC">
      <w:pPr>
        <w:pStyle w:val="Heading3"/>
      </w:pPr>
      <w:bookmarkStart w:id="60" w:name="_Toc99370675"/>
      <w:r w:rsidRPr="003A3BF5">
        <w:lastRenderedPageBreak/>
        <w:t>Clarity regarding domestic regulations</w:t>
      </w:r>
      <w:bookmarkEnd w:id="60"/>
    </w:p>
    <w:p w14:paraId="7E73028E" w14:textId="77777777" w:rsidR="003F7CEB" w:rsidRPr="0001716D" w:rsidRDefault="003F7CEB" w:rsidP="0001716D">
      <w:pPr>
        <w:pStyle w:val="ListParagraph"/>
        <w:spacing w:after="0"/>
        <w:rPr>
          <w:sz w:val="24"/>
          <w:szCs w:val="24"/>
        </w:rPr>
      </w:pPr>
    </w:p>
    <w:p w14:paraId="7FD97030" w14:textId="714F9BF2" w:rsidR="00071C88" w:rsidRDefault="00071C88">
      <w:pPr>
        <w:pStyle w:val="ListParagraph"/>
        <w:numPr>
          <w:ilvl w:val="0"/>
          <w:numId w:val="1"/>
        </w:numPr>
        <w:spacing w:after="0"/>
        <w:ind w:left="567" w:hanging="567"/>
        <w:rPr>
          <w:sz w:val="24"/>
          <w:szCs w:val="24"/>
        </w:rPr>
      </w:pPr>
      <w:r w:rsidRPr="00965BEA">
        <w:rPr>
          <w:sz w:val="24"/>
          <w:szCs w:val="24"/>
        </w:rPr>
        <w:t xml:space="preserve">Stakeholder consultations also reveal that currently there is considerable red tape in India’s domestic regulatory system when seeking to provide a professional service in India. For example, stakeholders have reported that currently the process for obtaining a business visa and/or a license to work in India is complicated and difficult for Australian businesses and professionals to navigate. The domestic regulation provisions in the Trade in Services Chapter look to address these challenges by </w:t>
      </w:r>
      <w:r w:rsidR="003D36DC">
        <w:rPr>
          <w:sz w:val="24"/>
          <w:szCs w:val="24"/>
        </w:rPr>
        <w:t xml:space="preserve">setting disciplines on a range of aspects surround </w:t>
      </w:r>
      <w:r w:rsidRPr="00965BEA">
        <w:rPr>
          <w:sz w:val="24"/>
          <w:szCs w:val="24"/>
        </w:rPr>
        <w:t>authorisation requirements</w:t>
      </w:r>
      <w:r w:rsidR="003D36DC">
        <w:rPr>
          <w:sz w:val="24"/>
          <w:szCs w:val="24"/>
        </w:rPr>
        <w:t xml:space="preserve">, including by mandating transparent and reasonable fees, reasonable </w:t>
      </w:r>
      <w:r w:rsidRPr="543832D4">
        <w:rPr>
          <w:sz w:val="24"/>
          <w:szCs w:val="24"/>
        </w:rPr>
        <w:t>timeframes, status updates</w:t>
      </w:r>
      <w:r w:rsidR="003D36DC">
        <w:rPr>
          <w:sz w:val="24"/>
          <w:szCs w:val="24"/>
        </w:rPr>
        <w:t xml:space="preserve"> upon request</w:t>
      </w:r>
      <w:r w:rsidRPr="543832D4">
        <w:rPr>
          <w:sz w:val="24"/>
          <w:szCs w:val="24"/>
        </w:rPr>
        <w:t xml:space="preserve">, acceptance of electronic and authenticated applications, not original copies, and not requiring physical presence to take forward an application. Lack of access to these processes, when accumulated in terms of time lost and person power, are considerable, particularly on SMEs. These outcomes, while difficult to quantify, are likely to be beneficial to service suppliers seeking to obtain authorisation to supply a service in India. </w:t>
      </w:r>
    </w:p>
    <w:p w14:paraId="77FA67EC" w14:textId="77777777" w:rsidR="00054853" w:rsidRDefault="00054853" w:rsidP="00054853">
      <w:pPr>
        <w:spacing w:after="0"/>
        <w:rPr>
          <w:rFonts w:asciiTheme="majorHAnsi" w:eastAsiaTheme="majorEastAsia" w:hAnsiTheme="majorHAnsi" w:cstheme="majorBidi"/>
          <w:color w:val="1F3763" w:themeColor="accent1" w:themeShade="7F"/>
          <w:sz w:val="24"/>
          <w:szCs w:val="24"/>
        </w:rPr>
      </w:pPr>
    </w:p>
    <w:p w14:paraId="3E384231" w14:textId="66A946E5" w:rsidR="00C834D5" w:rsidRDefault="00C834D5" w:rsidP="003A3BF5">
      <w:pPr>
        <w:pStyle w:val="Heading3"/>
      </w:pPr>
      <w:bookmarkStart w:id="61" w:name="_Toc99370676"/>
      <w:r w:rsidRPr="003A3BF5">
        <w:t>Impact on taxation of services</w:t>
      </w:r>
      <w:bookmarkEnd w:id="61"/>
    </w:p>
    <w:p w14:paraId="0711AED7" w14:textId="77777777" w:rsidR="003A3BF5" w:rsidRPr="00F673EC" w:rsidRDefault="003A3BF5" w:rsidP="00F673EC"/>
    <w:p w14:paraId="53B1E66F" w14:textId="3791456D" w:rsidR="00071C88" w:rsidRPr="005354DD" w:rsidRDefault="00054853" w:rsidP="005354DD">
      <w:pPr>
        <w:pStyle w:val="ListParagraph"/>
        <w:numPr>
          <w:ilvl w:val="0"/>
          <w:numId w:val="1"/>
        </w:numPr>
        <w:spacing w:after="0"/>
        <w:ind w:left="567" w:hanging="567"/>
        <w:rPr>
          <w:sz w:val="24"/>
          <w:szCs w:val="24"/>
        </w:rPr>
      </w:pPr>
      <w:r w:rsidRPr="005354DD">
        <w:rPr>
          <w:sz w:val="24"/>
          <w:szCs w:val="24"/>
        </w:rPr>
        <w:t xml:space="preserve">Australia and India have agreed to resolve an issue concerning the application of taxing powers under the </w:t>
      </w:r>
      <w:r w:rsidRPr="005354DD">
        <w:rPr>
          <w:i/>
          <w:iCs/>
          <w:sz w:val="24"/>
          <w:szCs w:val="24"/>
        </w:rPr>
        <w:t>Double Taxation Avoidance Agreement between the Government of the Republic of India and the Government of Australia for the avoidance of double taxation and the prevention of fiscal evasion</w:t>
      </w:r>
      <w:r w:rsidRPr="005354DD">
        <w:rPr>
          <w:sz w:val="24"/>
          <w:szCs w:val="24"/>
        </w:rPr>
        <w:t xml:space="preserve"> (“the DTAA”) through a side</w:t>
      </w:r>
      <w:r w:rsidR="008B5A5C" w:rsidRPr="005354DD">
        <w:rPr>
          <w:sz w:val="24"/>
          <w:szCs w:val="24"/>
        </w:rPr>
        <w:t xml:space="preserve"> </w:t>
      </w:r>
      <w:r w:rsidRPr="005354DD">
        <w:rPr>
          <w:sz w:val="24"/>
          <w:szCs w:val="24"/>
        </w:rPr>
        <w:t xml:space="preserve">letter to the </w:t>
      </w:r>
      <w:r w:rsidR="00D10AF6" w:rsidRPr="005354DD">
        <w:rPr>
          <w:sz w:val="24"/>
          <w:szCs w:val="24"/>
        </w:rPr>
        <w:t>AI</w:t>
      </w:r>
      <w:r w:rsidRPr="005354DD">
        <w:rPr>
          <w:sz w:val="24"/>
          <w:szCs w:val="24"/>
        </w:rPr>
        <w:t xml:space="preserve"> ECTA. Presently, due to the interaction of the DTAA and Australian taxation legislation, the Australian Taxation Office is required to tax the offshore income of Indian firms providing technical services into Australia, although Australia does not generally tax such services. Under the terms of the side</w:t>
      </w:r>
      <w:r w:rsidR="008B5A5C" w:rsidRPr="005354DD">
        <w:rPr>
          <w:sz w:val="24"/>
          <w:szCs w:val="24"/>
        </w:rPr>
        <w:t xml:space="preserve"> </w:t>
      </w:r>
      <w:r w:rsidRPr="005354DD">
        <w:rPr>
          <w:sz w:val="24"/>
          <w:szCs w:val="24"/>
        </w:rPr>
        <w:t xml:space="preserve">letter, Australia will make amendments to taxation legislation (the </w:t>
      </w:r>
      <w:r w:rsidRPr="005354DD">
        <w:rPr>
          <w:i/>
          <w:iCs/>
          <w:sz w:val="24"/>
          <w:szCs w:val="24"/>
        </w:rPr>
        <w:t>International Tax Agreement Act 1953</w:t>
      </w:r>
      <w:r w:rsidR="008B5A5C" w:rsidRPr="005354DD">
        <w:rPr>
          <w:i/>
          <w:iCs/>
          <w:sz w:val="24"/>
          <w:szCs w:val="24"/>
        </w:rPr>
        <w:t xml:space="preserve"> and/or </w:t>
      </w:r>
      <w:r w:rsidRPr="005354DD">
        <w:rPr>
          <w:sz w:val="24"/>
          <w:szCs w:val="24"/>
        </w:rPr>
        <w:t xml:space="preserve">the </w:t>
      </w:r>
      <w:r w:rsidRPr="005354DD">
        <w:rPr>
          <w:i/>
          <w:iCs/>
          <w:sz w:val="24"/>
          <w:szCs w:val="24"/>
        </w:rPr>
        <w:t>Income Tax Assessment Act 1997</w:t>
      </w:r>
      <w:r w:rsidRPr="005354DD">
        <w:rPr>
          <w:sz w:val="24"/>
          <w:szCs w:val="24"/>
        </w:rPr>
        <w:t xml:space="preserve"> and/or the </w:t>
      </w:r>
      <w:r w:rsidRPr="005354DD">
        <w:rPr>
          <w:i/>
          <w:iCs/>
          <w:sz w:val="24"/>
          <w:szCs w:val="24"/>
        </w:rPr>
        <w:t>Income Tax Assessment Act 1936</w:t>
      </w:r>
      <w:r w:rsidRPr="005354DD">
        <w:rPr>
          <w:sz w:val="24"/>
          <w:szCs w:val="24"/>
        </w:rPr>
        <w:t xml:space="preserve">) to provide an outcome which would stop the taxation of offshore income of Indian firms providing technical services into Australia, to be implemented in a similar </w:t>
      </w:r>
      <w:proofErr w:type="gramStart"/>
      <w:r w:rsidRPr="005354DD">
        <w:rPr>
          <w:sz w:val="24"/>
          <w:szCs w:val="24"/>
        </w:rPr>
        <w:t>time period</w:t>
      </w:r>
      <w:proofErr w:type="gramEnd"/>
      <w:r w:rsidRPr="005354DD">
        <w:rPr>
          <w:sz w:val="24"/>
          <w:szCs w:val="24"/>
        </w:rPr>
        <w:t xml:space="preserve"> to the implementation of the </w:t>
      </w:r>
      <w:r w:rsidR="00D10AF6" w:rsidRPr="005354DD">
        <w:rPr>
          <w:sz w:val="24"/>
          <w:szCs w:val="24"/>
        </w:rPr>
        <w:t>AI</w:t>
      </w:r>
      <w:r w:rsidRPr="005354DD">
        <w:rPr>
          <w:sz w:val="24"/>
          <w:szCs w:val="24"/>
        </w:rPr>
        <w:t xml:space="preserve"> ECTA. The </w:t>
      </w:r>
      <w:r w:rsidR="005354DD" w:rsidRPr="005354DD">
        <w:rPr>
          <w:sz w:val="24"/>
          <w:szCs w:val="24"/>
        </w:rPr>
        <w:t xml:space="preserve">cost to </w:t>
      </w:r>
      <w:r w:rsidRPr="005354DD">
        <w:rPr>
          <w:sz w:val="24"/>
          <w:szCs w:val="24"/>
        </w:rPr>
        <w:t>revenue on this outcome, once implemented, is estimated at $14</w:t>
      </w:r>
      <w:r w:rsidR="002616E7" w:rsidRPr="005354DD">
        <w:rPr>
          <w:sz w:val="24"/>
          <w:szCs w:val="24"/>
        </w:rPr>
        <w:t>5</w:t>
      </w:r>
      <w:r w:rsidRPr="005354DD">
        <w:rPr>
          <w:sz w:val="24"/>
          <w:szCs w:val="24"/>
        </w:rPr>
        <w:t xml:space="preserve"> million over the forward estimates</w:t>
      </w:r>
      <w:r w:rsidR="005354DD">
        <w:rPr>
          <w:sz w:val="24"/>
          <w:szCs w:val="24"/>
        </w:rPr>
        <w:t>.</w:t>
      </w:r>
    </w:p>
    <w:p w14:paraId="6AE21A0C" w14:textId="77777777" w:rsidR="00071C88" w:rsidRDefault="00071C88" w:rsidP="00A80396">
      <w:pPr>
        <w:pStyle w:val="ListParagraph"/>
        <w:numPr>
          <w:ilvl w:val="0"/>
          <w:numId w:val="1"/>
        </w:numPr>
        <w:spacing w:after="0"/>
        <w:ind w:left="567" w:hanging="567"/>
        <w:rPr>
          <w:sz w:val="24"/>
          <w:szCs w:val="24"/>
        </w:rPr>
      </w:pPr>
      <w:r w:rsidRPr="543832D4">
        <w:rPr>
          <w:sz w:val="24"/>
          <w:szCs w:val="24"/>
        </w:rPr>
        <w:t xml:space="preserve">The rules that have been agreed in the Domestic Regulation article in the Trade in Services Chapter seek to address these challenges as they ensure that laws and regulations that affect trade in services will be administered in a reasonable, objective, and impartial manner and will not be more burdensome than necessary to ensure the quality of the service. While this outcome does not necessarily result in a change in the market access that Australian professionals currently have, it provides greater transparency and predictability on the experience a professional might be expected to have </w:t>
      </w:r>
      <w:proofErr w:type="gramStart"/>
      <w:r w:rsidRPr="543832D4">
        <w:rPr>
          <w:sz w:val="24"/>
          <w:szCs w:val="24"/>
        </w:rPr>
        <w:t>in order to</w:t>
      </w:r>
      <w:proofErr w:type="gramEnd"/>
      <w:r w:rsidRPr="543832D4">
        <w:rPr>
          <w:sz w:val="24"/>
          <w:szCs w:val="24"/>
        </w:rPr>
        <w:t xml:space="preserve"> provide a service in India. </w:t>
      </w:r>
    </w:p>
    <w:p w14:paraId="7F0E2382" w14:textId="77777777" w:rsidR="00071C88" w:rsidRPr="005E71E3" w:rsidRDefault="00071C88" w:rsidP="0014704E">
      <w:pPr>
        <w:pStyle w:val="ListParagraph"/>
        <w:spacing w:after="0"/>
        <w:rPr>
          <w:sz w:val="24"/>
          <w:szCs w:val="24"/>
        </w:rPr>
      </w:pPr>
    </w:p>
    <w:p w14:paraId="5C753AD2" w14:textId="0F1F4A9F" w:rsidR="00071C88" w:rsidRDefault="00071C88" w:rsidP="00A80396">
      <w:pPr>
        <w:pStyle w:val="ListParagraph"/>
        <w:numPr>
          <w:ilvl w:val="0"/>
          <w:numId w:val="1"/>
        </w:numPr>
        <w:spacing w:after="0"/>
        <w:ind w:left="567" w:hanging="567"/>
        <w:rPr>
          <w:sz w:val="24"/>
          <w:szCs w:val="24"/>
        </w:rPr>
      </w:pPr>
      <w:r w:rsidRPr="543832D4">
        <w:rPr>
          <w:sz w:val="24"/>
          <w:szCs w:val="24"/>
        </w:rPr>
        <w:t>In addition, the Interim Agreement guarantees that a licensing process will not</w:t>
      </w:r>
      <w:proofErr w:type="gramStart"/>
      <w:r w:rsidRPr="543832D4">
        <w:rPr>
          <w:sz w:val="24"/>
          <w:szCs w:val="24"/>
        </w:rPr>
        <w:t>, in itself, be</w:t>
      </w:r>
      <w:proofErr w:type="gramEnd"/>
      <w:r w:rsidRPr="543832D4">
        <w:rPr>
          <w:sz w:val="24"/>
          <w:szCs w:val="24"/>
        </w:rPr>
        <w:t xml:space="preserve"> a restriction on the supply of a service. This domestic regulation discipline, among others, may improve upon the status quo as it specifies, in legally binding text, the baseline treatment that Australian service suppliers can expect to receive when applying for a license in India. </w:t>
      </w:r>
      <w:r w:rsidRPr="543832D4">
        <w:rPr>
          <w:sz w:val="24"/>
          <w:szCs w:val="24"/>
        </w:rPr>
        <w:lastRenderedPageBreak/>
        <w:t xml:space="preserve">Ensuring that licensing requirements are </w:t>
      </w:r>
      <w:proofErr w:type="gramStart"/>
      <w:r w:rsidRPr="543832D4">
        <w:rPr>
          <w:sz w:val="24"/>
          <w:szCs w:val="24"/>
        </w:rPr>
        <w:t>reasonable</w:t>
      </w:r>
      <w:proofErr w:type="gramEnd"/>
      <w:r w:rsidRPr="543832D4">
        <w:rPr>
          <w:sz w:val="24"/>
          <w:szCs w:val="24"/>
        </w:rPr>
        <w:t xml:space="preserve"> and objective is likely to contribute to addressing the current concerns of Australian stakeholders regarding burdensome red tape</w:t>
      </w:r>
      <w:r w:rsidR="0081489B">
        <w:rPr>
          <w:sz w:val="24"/>
          <w:szCs w:val="24"/>
        </w:rPr>
        <w:t xml:space="preserve"> in their attempts to provide a professional service in India</w:t>
      </w:r>
      <w:r w:rsidRPr="543832D4">
        <w:rPr>
          <w:sz w:val="24"/>
          <w:szCs w:val="24"/>
        </w:rPr>
        <w:t>.</w:t>
      </w:r>
    </w:p>
    <w:p w14:paraId="185E693A" w14:textId="77777777" w:rsidR="00071C88" w:rsidRPr="00770416" w:rsidRDefault="00071C88" w:rsidP="0014704E">
      <w:pPr>
        <w:pStyle w:val="ListParagraph"/>
        <w:spacing w:after="0"/>
        <w:rPr>
          <w:sz w:val="24"/>
          <w:szCs w:val="24"/>
        </w:rPr>
      </w:pPr>
    </w:p>
    <w:p w14:paraId="78F78EDD" w14:textId="5F376E9F" w:rsidR="00071C88" w:rsidRPr="00F47028" w:rsidRDefault="00071C88" w:rsidP="00FC2D70">
      <w:pPr>
        <w:pStyle w:val="ListParagraph"/>
        <w:numPr>
          <w:ilvl w:val="0"/>
          <w:numId w:val="1"/>
        </w:numPr>
        <w:spacing w:after="0"/>
        <w:ind w:left="567" w:hanging="567"/>
        <w:rPr>
          <w:sz w:val="24"/>
          <w:szCs w:val="24"/>
        </w:rPr>
      </w:pPr>
      <w:r w:rsidRPr="543832D4">
        <w:rPr>
          <w:sz w:val="24"/>
          <w:szCs w:val="24"/>
        </w:rPr>
        <w:t xml:space="preserve">Australian legal professionals also indicated that it is currently not possible for Australian lawyers to practice in India and that they would like to see legal services liberalised. </w:t>
      </w:r>
      <w:r w:rsidR="0046636C">
        <w:rPr>
          <w:sz w:val="24"/>
          <w:szCs w:val="24"/>
        </w:rPr>
        <w:t>This request had come from the Law Council of Australia, which</w:t>
      </w:r>
      <w:r w:rsidR="0046636C" w:rsidRPr="0020254D">
        <w:rPr>
          <w:sz w:val="24"/>
          <w:szCs w:val="24"/>
        </w:rPr>
        <w:t xml:space="preserve"> represent</w:t>
      </w:r>
      <w:r w:rsidR="0046636C">
        <w:rPr>
          <w:sz w:val="24"/>
          <w:szCs w:val="24"/>
        </w:rPr>
        <w:t>s</w:t>
      </w:r>
      <w:r w:rsidR="0046636C" w:rsidRPr="0020254D">
        <w:rPr>
          <w:sz w:val="24"/>
          <w:szCs w:val="24"/>
        </w:rPr>
        <w:t xml:space="preserve"> approximately 65,000 Australian legal professional</w:t>
      </w:r>
      <w:r w:rsidR="0046636C">
        <w:rPr>
          <w:sz w:val="24"/>
          <w:szCs w:val="24"/>
        </w:rPr>
        <w:t>s,</w:t>
      </w:r>
      <w:r w:rsidR="0046636C">
        <w:rPr>
          <w:rStyle w:val="FootnoteReference"/>
          <w:sz w:val="24"/>
          <w:szCs w:val="24"/>
        </w:rPr>
        <w:footnoteReference w:id="75"/>
      </w:r>
      <w:r w:rsidR="0046636C">
        <w:rPr>
          <w:sz w:val="24"/>
          <w:szCs w:val="24"/>
        </w:rPr>
        <w:t xml:space="preserve"> which gives a flavour of the size of the interest in accessing the Indian market. </w:t>
      </w:r>
      <w:r w:rsidRPr="543832D4">
        <w:rPr>
          <w:sz w:val="24"/>
          <w:szCs w:val="24"/>
        </w:rPr>
        <w:t>Th</w:t>
      </w:r>
      <w:r w:rsidR="0046636C">
        <w:rPr>
          <w:sz w:val="24"/>
          <w:szCs w:val="24"/>
        </w:rPr>
        <w:t>e</w:t>
      </w:r>
      <w:r w:rsidRPr="543832D4">
        <w:rPr>
          <w:sz w:val="24"/>
          <w:szCs w:val="24"/>
        </w:rPr>
        <w:t xml:space="preserve"> restriction</w:t>
      </w:r>
      <w:r w:rsidR="0046636C">
        <w:rPr>
          <w:sz w:val="24"/>
          <w:szCs w:val="24"/>
        </w:rPr>
        <w:t xml:space="preserve"> t</w:t>
      </w:r>
      <w:r w:rsidR="00E701AC">
        <w:rPr>
          <w:sz w:val="24"/>
          <w:szCs w:val="24"/>
        </w:rPr>
        <w:t>hat India maintains</w:t>
      </w:r>
      <w:r w:rsidRPr="543832D4">
        <w:rPr>
          <w:sz w:val="24"/>
          <w:szCs w:val="24"/>
        </w:rPr>
        <w:t xml:space="preserve"> includes the inability to provide all legal services on a fly in, fly out basis in India </w:t>
      </w:r>
      <w:proofErr w:type="gramStart"/>
      <w:r w:rsidRPr="543832D4">
        <w:rPr>
          <w:sz w:val="24"/>
          <w:szCs w:val="24"/>
        </w:rPr>
        <w:t>and also</w:t>
      </w:r>
      <w:proofErr w:type="gramEnd"/>
      <w:r w:rsidRPr="543832D4">
        <w:rPr>
          <w:sz w:val="24"/>
          <w:szCs w:val="24"/>
        </w:rPr>
        <w:t xml:space="preserve"> does not offer ‘registered foreign legal consultant’ rules, which would enable restricted practice of foreign and international law by Australian lawyers in India. This request will not be addressed in the Interim Agreement as it will require regulatory reform in India that is not possible at this time. It may be that this issue can be addressed in the full CECA. </w:t>
      </w:r>
    </w:p>
    <w:p w14:paraId="10BE5157" w14:textId="77777777" w:rsidR="00F25478" w:rsidRDefault="00F25478" w:rsidP="00F03F07">
      <w:bookmarkStart w:id="62" w:name="_Toc88748501"/>
    </w:p>
    <w:p w14:paraId="4C30A859" w14:textId="30FFA81B" w:rsidR="00071C88" w:rsidRPr="005D6856" w:rsidRDefault="00EA2AB2" w:rsidP="00A5588B">
      <w:pPr>
        <w:pStyle w:val="Heading3"/>
        <w:spacing w:before="0"/>
      </w:pPr>
      <w:bookmarkStart w:id="63" w:name="_Toc99370677"/>
      <w:r>
        <w:t>I</w:t>
      </w:r>
      <w:r w:rsidR="00071C88" w:rsidRPr="00CF2AC5">
        <w:t>mpact o</w:t>
      </w:r>
      <w:r w:rsidR="00071C88">
        <w:t>f</w:t>
      </w:r>
      <w:r w:rsidR="00071C88" w:rsidRPr="00CF2AC5">
        <w:t xml:space="preserve"> </w:t>
      </w:r>
      <w:r w:rsidR="00071C88">
        <w:t xml:space="preserve">key </w:t>
      </w:r>
      <w:r w:rsidR="00071C88" w:rsidRPr="00CF2AC5">
        <w:t>mobility</w:t>
      </w:r>
      <w:r w:rsidR="00071C88">
        <w:t xml:space="preserve"> (temporary entry) </w:t>
      </w:r>
      <w:r w:rsidR="00B71156">
        <w:t xml:space="preserve">market access </w:t>
      </w:r>
      <w:r w:rsidR="00071C88">
        <w:t>outcomes</w:t>
      </w:r>
      <w:bookmarkEnd w:id="62"/>
      <w:bookmarkEnd w:id="63"/>
    </w:p>
    <w:p w14:paraId="01B7461D" w14:textId="77777777" w:rsidR="00071C88" w:rsidRPr="000A06C3" w:rsidRDefault="00071C88" w:rsidP="00F25478">
      <w:pPr>
        <w:pStyle w:val="ListParagraph"/>
        <w:spacing w:after="0"/>
        <w:ind w:left="360"/>
        <w:rPr>
          <w:b/>
          <w:bCs/>
          <w:sz w:val="24"/>
          <w:szCs w:val="24"/>
        </w:rPr>
      </w:pPr>
    </w:p>
    <w:p w14:paraId="6F096999" w14:textId="1427D608" w:rsidR="00071C88" w:rsidRDefault="00071C88">
      <w:pPr>
        <w:pStyle w:val="ListParagraph"/>
        <w:numPr>
          <w:ilvl w:val="0"/>
          <w:numId w:val="1"/>
        </w:numPr>
        <w:spacing w:after="0"/>
        <w:ind w:left="567" w:hanging="567"/>
        <w:rPr>
          <w:sz w:val="24"/>
          <w:szCs w:val="24"/>
        </w:rPr>
      </w:pPr>
      <w:r w:rsidRPr="543832D4">
        <w:rPr>
          <w:sz w:val="24"/>
          <w:szCs w:val="24"/>
        </w:rPr>
        <w:t xml:space="preserve">Australia is providing India with mobility outcomes that are consistent with its existing visa settings and previous FTAs including A-UKFTA and the Australia-China FTA (ChAFTA), and in a form which ensures the integrity of our visa system. This includes equivalent commitments on categories of entrant, length of stay, </w:t>
      </w:r>
      <w:proofErr w:type="gramStart"/>
      <w:r w:rsidRPr="543832D4">
        <w:rPr>
          <w:sz w:val="24"/>
          <w:szCs w:val="24"/>
        </w:rPr>
        <w:t>spouses</w:t>
      </w:r>
      <w:proofErr w:type="gramEnd"/>
      <w:r w:rsidRPr="543832D4">
        <w:rPr>
          <w:sz w:val="24"/>
          <w:szCs w:val="24"/>
        </w:rPr>
        <w:t xml:space="preserve"> and dependants. </w:t>
      </w:r>
      <w:r w:rsidR="008267E4">
        <w:rPr>
          <w:sz w:val="24"/>
          <w:szCs w:val="24"/>
        </w:rPr>
        <w:t xml:space="preserve">The agreement extends a new commitment for Indians undertaking Post-Study Work, consistent with existing settings except permitting an additional year for STEM graduates with First Class honours. The FTA also establishes a Work and Holiday Maker Program for Indians coming to Australia, with a thousand places available, to be implemented within two years. </w:t>
      </w:r>
      <w:r w:rsidRPr="543832D4">
        <w:rPr>
          <w:sz w:val="24"/>
          <w:szCs w:val="24"/>
        </w:rPr>
        <w:t xml:space="preserve">An important difference from the A-UKFTA is that the Interim Agreement does not include the waiving of </w:t>
      </w:r>
      <w:r w:rsidR="00A034BB">
        <w:rPr>
          <w:sz w:val="24"/>
          <w:szCs w:val="24"/>
        </w:rPr>
        <w:t>L</w:t>
      </w:r>
      <w:r w:rsidRPr="543832D4">
        <w:rPr>
          <w:sz w:val="24"/>
          <w:szCs w:val="24"/>
        </w:rPr>
        <w:t xml:space="preserve">abour </w:t>
      </w:r>
      <w:r w:rsidR="00A034BB">
        <w:rPr>
          <w:sz w:val="24"/>
          <w:szCs w:val="24"/>
        </w:rPr>
        <w:t>M</w:t>
      </w:r>
      <w:r w:rsidRPr="543832D4">
        <w:rPr>
          <w:sz w:val="24"/>
          <w:szCs w:val="24"/>
        </w:rPr>
        <w:t xml:space="preserve">arket </w:t>
      </w:r>
      <w:r w:rsidR="00A034BB">
        <w:rPr>
          <w:sz w:val="24"/>
          <w:szCs w:val="24"/>
        </w:rPr>
        <w:t>T</w:t>
      </w:r>
      <w:r w:rsidRPr="543832D4">
        <w:rPr>
          <w:sz w:val="24"/>
          <w:szCs w:val="24"/>
        </w:rPr>
        <w:t>esting</w:t>
      </w:r>
      <w:r w:rsidR="00A034BB">
        <w:rPr>
          <w:sz w:val="24"/>
          <w:szCs w:val="24"/>
        </w:rPr>
        <w:t xml:space="preserve"> (LMT)</w:t>
      </w:r>
      <w:r w:rsidRPr="543832D4">
        <w:rPr>
          <w:sz w:val="24"/>
          <w:szCs w:val="24"/>
        </w:rPr>
        <w:t>.</w:t>
      </w:r>
      <w:r w:rsidR="00A275DC">
        <w:rPr>
          <w:sz w:val="24"/>
          <w:szCs w:val="24"/>
        </w:rPr>
        <w:t xml:space="preserve"> What this means is that </w:t>
      </w:r>
      <w:r w:rsidR="002C2854">
        <w:rPr>
          <w:sz w:val="24"/>
          <w:szCs w:val="24"/>
        </w:rPr>
        <w:t xml:space="preserve">an employer </w:t>
      </w:r>
      <w:r w:rsidR="002C2854" w:rsidRPr="004D4673">
        <w:rPr>
          <w:sz w:val="24"/>
          <w:szCs w:val="24"/>
        </w:rPr>
        <w:t xml:space="preserve">will </w:t>
      </w:r>
      <w:r w:rsidR="002C2854">
        <w:rPr>
          <w:sz w:val="24"/>
          <w:szCs w:val="24"/>
        </w:rPr>
        <w:t xml:space="preserve">still </w:t>
      </w:r>
      <w:r w:rsidR="002C2854" w:rsidRPr="004D4673">
        <w:rPr>
          <w:sz w:val="24"/>
          <w:szCs w:val="24"/>
        </w:rPr>
        <w:t xml:space="preserve">need to </w:t>
      </w:r>
      <w:r w:rsidR="002C2854">
        <w:rPr>
          <w:sz w:val="24"/>
          <w:szCs w:val="24"/>
        </w:rPr>
        <w:t xml:space="preserve">provide evidence that they have </w:t>
      </w:r>
      <w:r w:rsidR="002C2854" w:rsidRPr="00E63559">
        <w:rPr>
          <w:sz w:val="24"/>
          <w:szCs w:val="24"/>
        </w:rPr>
        <w:t>test</w:t>
      </w:r>
      <w:r w:rsidR="002C2854">
        <w:rPr>
          <w:sz w:val="24"/>
          <w:szCs w:val="24"/>
        </w:rPr>
        <w:t>ed</w:t>
      </w:r>
      <w:r w:rsidR="002C2854" w:rsidRPr="00E63559">
        <w:rPr>
          <w:sz w:val="24"/>
          <w:szCs w:val="24"/>
        </w:rPr>
        <w:t xml:space="preserve"> the local labour market</w:t>
      </w:r>
      <w:r w:rsidR="002C2854">
        <w:rPr>
          <w:sz w:val="24"/>
          <w:szCs w:val="24"/>
        </w:rPr>
        <w:t xml:space="preserve"> first</w:t>
      </w:r>
      <w:r w:rsidR="00DB29D3">
        <w:rPr>
          <w:sz w:val="24"/>
          <w:szCs w:val="24"/>
        </w:rPr>
        <w:t xml:space="preserve"> before looking to recruit from overseas</w:t>
      </w:r>
      <w:r w:rsidR="002C2854">
        <w:rPr>
          <w:sz w:val="24"/>
          <w:szCs w:val="24"/>
        </w:rPr>
        <w:t xml:space="preserve">. </w:t>
      </w:r>
      <w:r w:rsidR="000C5111">
        <w:rPr>
          <w:sz w:val="24"/>
          <w:szCs w:val="24"/>
        </w:rPr>
        <w:t>With or without an LMT waiver, t</w:t>
      </w:r>
      <w:r w:rsidR="00A275DC" w:rsidRPr="00E63559">
        <w:rPr>
          <w:sz w:val="24"/>
          <w:szCs w:val="24"/>
        </w:rPr>
        <w:t xml:space="preserve">he </w:t>
      </w:r>
      <w:r w:rsidR="00A275DC">
        <w:rPr>
          <w:sz w:val="24"/>
          <w:szCs w:val="24"/>
        </w:rPr>
        <w:t xml:space="preserve">current </w:t>
      </w:r>
      <w:r w:rsidR="00DD55E6" w:rsidRPr="00DD55E6">
        <w:rPr>
          <w:sz w:val="24"/>
          <w:szCs w:val="24"/>
        </w:rPr>
        <w:t>sponsorship requirements</w:t>
      </w:r>
      <w:r w:rsidR="00DD55E6">
        <w:rPr>
          <w:sz w:val="24"/>
          <w:szCs w:val="24"/>
        </w:rPr>
        <w:t xml:space="preserve"> for an Australian employer will</w:t>
      </w:r>
      <w:r w:rsidR="00DD55E6" w:rsidRPr="00DD55E6">
        <w:rPr>
          <w:sz w:val="24"/>
          <w:szCs w:val="24"/>
        </w:rPr>
        <w:t xml:space="preserve"> remain in place, including wage and qualification requirements, and costs associated with relocating employees from overseas.</w:t>
      </w:r>
      <w:r w:rsidR="002C2854">
        <w:rPr>
          <w:sz w:val="24"/>
          <w:szCs w:val="24"/>
        </w:rPr>
        <w:t xml:space="preserve"> </w:t>
      </w:r>
    </w:p>
    <w:p w14:paraId="57251316" w14:textId="77777777" w:rsidR="00071C88" w:rsidRDefault="00071C88">
      <w:pPr>
        <w:pStyle w:val="ListParagraph"/>
        <w:spacing w:after="0"/>
        <w:ind w:left="567"/>
        <w:rPr>
          <w:sz w:val="24"/>
          <w:szCs w:val="24"/>
        </w:rPr>
      </w:pPr>
    </w:p>
    <w:p w14:paraId="445A112D" w14:textId="38545B00" w:rsidR="00071C88" w:rsidRPr="007A013F" w:rsidRDefault="00071C88">
      <w:pPr>
        <w:pStyle w:val="ListParagraph"/>
        <w:numPr>
          <w:ilvl w:val="0"/>
          <w:numId w:val="1"/>
        </w:numPr>
        <w:spacing w:after="0"/>
        <w:ind w:left="567" w:hanging="567"/>
        <w:rPr>
          <w:sz w:val="24"/>
          <w:szCs w:val="24"/>
        </w:rPr>
      </w:pPr>
      <w:r w:rsidRPr="543832D4">
        <w:rPr>
          <w:sz w:val="24"/>
          <w:szCs w:val="24"/>
        </w:rPr>
        <w:t xml:space="preserve">Australia is obtaining commitments from India that </w:t>
      </w:r>
      <w:r w:rsidR="000518C0">
        <w:rPr>
          <w:sz w:val="24"/>
          <w:szCs w:val="24"/>
        </w:rPr>
        <w:t xml:space="preserve">reflect the best of </w:t>
      </w:r>
      <w:r w:rsidRPr="543832D4">
        <w:rPr>
          <w:sz w:val="24"/>
          <w:szCs w:val="24"/>
        </w:rPr>
        <w:t>its existing FTAs</w:t>
      </w:r>
      <w:r w:rsidR="000518C0">
        <w:rPr>
          <w:sz w:val="24"/>
          <w:szCs w:val="24"/>
        </w:rPr>
        <w:t xml:space="preserve">, </w:t>
      </w:r>
      <w:r w:rsidR="001450BE">
        <w:rPr>
          <w:sz w:val="24"/>
          <w:szCs w:val="24"/>
        </w:rPr>
        <w:t>including</w:t>
      </w:r>
      <w:r w:rsidR="000518C0">
        <w:rPr>
          <w:sz w:val="24"/>
          <w:szCs w:val="24"/>
        </w:rPr>
        <w:t xml:space="preserve"> additional </w:t>
      </w:r>
      <w:r w:rsidR="00D43CD0">
        <w:rPr>
          <w:sz w:val="24"/>
          <w:szCs w:val="24"/>
        </w:rPr>
        <w:t xml:space="preserve">commitments on access for Australian Contractual Service Suppliers in </w:t>
      </w:r>
      <w:r w:rsidR="00197BC0">
        <w:rPr>
          <w:sz w:val="24"/>
          <w:szCs w:val="24"/>
        </w:rPr>
        <w:t xml:space="preserve">a wider range of </w:t>
      </w:r>
      <w:r w:rsidR="00D43CD0">
        <w:rPr>
          <w:sz w:val="24"/>
          <w:szCs w:val="24"/>
        </w:rPr>
        <w:t xml:space="preserve">sectors (for stays up to a year) beyond any of </w:t>
      </w:r>
      <w:proofErr w:type="gramStart"/>
      <w:r w:rsidR="00D43CD0">
        <w:rPr>
          <w:sz w:val="24"/>
          <w:szCs w:val="24"/>
        </w:rPr>
        <w:t>its</w:t>
      </w:r>
      <w:proofErr w:type="gramEnd"/>
      <w:r w:rsidR="00D43CD0">
        <w:rPr>
          <w:sz w:val="24"/>
          <w:szCs w:val="24"/>
        </w:rPr>
        <w:t xml:space="preserve"> precents.</w:t>
      </w:r>
      <w:r w:rsidRPr="543832D4">
        <w:rPr>
          <w:sz w:val="24"/>
          <w:szCs w:val="24"/>
        </w:rPr>
        <w:t xml:space="preserve"> </w:t>
      </w:r>
      <w:r w:rsidR="008639CC">
        <w:rPr>
          <w:sz w:val="24"/>
          <w:szCs w:val="24"/>
        </w:rPr>
        <w:t xml:space="preserve">India </w:t>
      </w:r>
      <w:r w:rsidR="000F5776">
        <w:rPr>
          <w:sz w:val="24"/>
          <w:szCs w:val="24"/>
        </w:rPr>
        <w:t>will make</w:t>
      </w:r>
      <w:r w:rsidR="008639CC">
        <w:rPr>
          <w:sz w:val="24"/>
          <w:szCs w:val="24"/>
        </w:rPr>
        <w:t xml:space="preserve"> commitments on access for Australian spouses and dependents of primary visa holders, </w:t>
      </w:r>
      <w:r w:rsidR="00197BC0">
        <w:rPr>
          <w:sz w:val="24"/>
          <w:szCs w:val="24"/>
        </w:rPr>
        <w:t>balancing</w:t>
      </w:r>
      <w:r w:rsidR="000726EB">
        <w:rPr>
          <w:sz w:val="24"/>
          <w:szCs w:val="24"/>
        </w:rPr>
        <w:t xml:space="preserve"> </w:t>
      </w:r>
      <w:r w:rsidR="008639CC">
        <w:rPr>
          <w:sz w:val="24"/>
          <w:szCs w:val="24"/>
        </w:rPr>
        <w:t xml:space="preserve">Australia’s </w:t>
      </w:r>
      <w:r w:rsidR="000726EB">
        <w:rPr>
          <w:sz w:val="24"/>
          <w:szCs w:val="24"/>
        </w:rPr>
        <w:t xml:space="preserve">similar </w:t>
      </w:r>
      <w:r w:rsidR="008639CC">
        <w:rPr>
          <w:sz w:val="24"/>
          <w:szCs w:val="24"/>
        </w:rPr>
        <w:t xml:space="preserve">commitments. </w:t>
      </w:r>
      <w:r w:rsidRPr="543832D4">
        <w:rPr>
          <w:sz w:val="24"/>
          <w:szCs w:val="24"/>
        </w:rPr>
        <w:t xml:space="preserve">Australia has secured </w:t>
      </w:r>
      <w:r w:rsidR="000726EB">
        <w:rPr>
          <w:sz w:val="24"/>
          <w:szCs w:val="24"/>
        </w:rPr>
        <w:t xml:space="preserve">Temporary Movement of Natural Persons </w:t>
      </w:r>
      <w:r w:rsidR="00227B77">
        <w:rPr>
          <w:sz w:val="24"/>
          <w:szCs w:val="24"/>
        </w:rPr>
        <w:t>C</w:t>
      </w:r>
      <w:r w:rsidRPr="543832D4">
        <w:rPr>
          <w:sz w:val="24"/>
          <w:szCs w:val="24"/>
        </w:rPr>
        <w:t>hapter text that addresses visa and related concerns faced by Australian businesses in India</w:t>
      </w:r>
      <w:r w:rsidR="000726EB">
        <w:rPr>
          <w:sz w:val="24"/>
          <w:szCs w:val="24"/>
        </w:rPr>
        <w:t>,</w:t>
      </w:r>
      <w:r w:rsidRPr="543832D4">
        <w:rPr>
          <w:sz w:val="24"/>
          <w:szCs w:val="24"/>
        </w:rPr>
        <w:t xml:space="preserve"> such as clarity on application procedures including periods of stay and other conditions. The Chapter text also includes a commitment that the processing of an application is reasonable, in that it does not impair or delay the supply of a service or trade in </w:t>
      </w:r>
      <w:proofErr w:type="gramStart"/>
      <w:r w:rsidRPr="543832D4">
        <w:rPr>
          <w:sz w:val="24"/>
          <w:szCs w:val="24"/>
        </w:rPr>
        <w:t>goods</w:t>
      </w:r>
      <w:proofErr w:type="gramEnd"/>
      <w:r w:rsidRPr="543832D4">
        <w:rPr>
          <w:sz w:val="24"/>
          <w:szCs w:val="24"/>
        </w:rPr>
        <w:t xml:space="preserve"> and it also include rules around the granting of temporary entry. </w:t>
      </w:r>
    </w:p>
    <w:p w14:paraId="4E51D18D" w14:textId="77777777" w:rsidR="00071C88" w:rsidRDefault="00071C88">
      <w:pPr>
        <w:pStyle w:val="ListParagraph"/>
        <w:spacing w:after="0"/>
        <w:ind w:left="567"/>
        <w:rPr>
          <w:sz w:val="24"/>
          <w:szCs w:val="24"/>
        </w:rPr>
      </w:pPr>
    </w:p>
    <w:p w14:paraId="33E0DEC6" w14:textId="2CCBA44B" w:rsidR="00071C88" w:rsidRPr="001C5127" w:rsidRDefault="00071C88">
      <w:pPr>
        <w:pStyle w:val="ListParagraph"/>
        <w:numPr>
          <w:ilvl w:val="0"/>
          <w:numId w:val="1"/>
        </w:numPr>
        <w:spacing w:after="0"/>
        <w:ind w:left="567" w:hanging="567"/>
        <w:rPr>
          <w:sz w:val="24"/>
          <w:szCs w:val="24"/>
        </w:rPr>
      </w:pPr>
      <w:r w:rsidRPr="543832D4">
        <w:rPr>
          <w:sz w:val="24"/>
          <w:szCs w:val="24"/>
        </w:rPr>
        <w:lastRenderedPageBreak/>
        <w:t xml:space="preserve">Some of the key outcomes in the temporary entry package are in </w:t>
      </w:r>
      <w:proofErr w:type="gramStart"/>
      <w:r w:rsidRPr="543832D4">
        <w:rPr>
          <w:sz w:val="24"/>
          <w:szCs w:val="24"/>
        </w:rPr>
        <w:t xml:space="preserve">a </w:t>
      </w:r>
      <w:r w:rsidR="00D25347">
        <w:rPr>
          <w:sz w:val="24"/>
          <w:szCs w:val="24"/>
        </w:rPr>
        <w:t>number of</w:t>
      </w:r>
      <w:proofErr w:type="gramEnd"/>
      <w:r w:rsidR="00D25347">
        <w:rPr>
          <w:sz w:val="24"/>
          <w:szCs w:val="24"/>
        </w:rPr>
        <w:t xml:space="preserve"> </w:t>
      </w:r>
      <w:r w:rsidRPr="543832D4">
        <w:rPr>
          <w:sz w:val="24"/>
          <w:szCs w:val="24"/>
        </w:rPr>
        <w:t>mobility side letter</w:t>
      </w:r>
      <w:r w:rsidR="00D25347">
        <w:rPr>
          <w:sz w:val="24"/>
          <w:szCs w:val="24"/>
        </w:rPr>
        <w:t>s</w:t>
      </w:r>
      <w:r w:rsidRPr="543832D4">
        <w:rPr>
          <w:sz w:val="24"/>
          <w:szCs w:val="24"/>
        </w:rPr>
        <w:t>. The side letter</w:t>
      </w:r>
      <w:r w:rsidR="00D25347">
        <w:rPr>
          <w:sz w:val="24"/>
          <w:szCs w:val="24"/>
        </w:rPr>
        <w:t>s expand access to FTA outcomes to a broader demographic than is traditionally covered by FTAs, with the goals of fostering</w:t>
      </w:r>
      <w:r w:rsidRPr="543832D4">
        <w:rPr>
          <w:sz w:val="24"/>
          <w:szCs w:val="24"/>
        </w:rPr>
        <w:t xml:space="preserve"> people-to-people links, support</w:t>
      </w:r>
      <w:r w:rsidR="004905F6">
        <w:rPr>
          <w:sz w:val="24"/>
          <w:szCs w:val="24"/>
        </w:rPr>
        <w:t>ing</w:t>
      </w:r>
      <w:r w:rsidRPr="543832D4">
        <w:rPr>
          <w:sz w:val="24"/>
          <w:szCs w:val="24"/>
        </w:rPr>
        <w:t xml:space="preserve"> trade and business, and contribut</w:t>
      </w:r>
      <w:r w:rsidR="004905F6">
        <w:rPr>
          <w:sz w:val="24"/>
          <w:szCs w:val="24"/>
        </w:rPr>
        <w:t>ing</w:t>
      </w:r>
      <w:r w:rsidRPr="543832D4">
        <w:rPr>
          <w:sz w:val="24"/>
          <w:szCs w:val="24"/>
        </w:rPr>
        <w:t xml:space="preserve"> to cultural exchange</w:t>
      </w:r>
      <w:r w:rsidR="004905F6">
        <w:rPr>
          <w:sz w:val="24"/>
          <w:szCs w:val="24"/>
        </w:rPr>
        <w:t>s</w:t>
      </w:r>
      <w:r w:rsidRPr="543832D4">
        <w:rPr>
          <w:sz w:val="24"/>
          <w:szCs w:val="24"/>
        </w:rPr>
        <w:t xml:space="preserve"> between Australia and India. The Post-</w:t>
      </w:r>
      <w:r w:rsidR="005A67F0">
        <w:rPr>
          <w:sz w:val="24"/>
          <w:szCs w:val="24"/>
        </w:rPr>
        <w:t>S</w:t>
      </w:r>
      <w:r w:rsidRPr="543832D4">
        <w:rPr>
          <w:sz w:val="24"/>
          <w:szCs w:val="24"/>
        </w:rPr>
        <w:t xml:space="preserve">tudy </w:t>
      </w:r>
      <w:r w:rsidR="005A67F0">
        <w:rPr>
          <w:sz w:val="24"/>
          <w:szCs w:val="24"/>
        </w:rPr>
        <w:t>W</w:t>
      </w:r>
      <w:r w:rsidRPr="543832D4">
        <w:rPr>
          <w:sz w:val="24"/>
          <w:szCs w:val="24"/>
        </w:rPr>
        <w:t xml:space="preserve">ork visa outcome commits Australia to maintain opportunities for former Indian students to live, study and work in Australia temporarily upon completion of a diploma or trade qualification (stays of up to 18 months); a </w:t>
      </w:r>
      <w:proofErr w:type="gramStart"/>
      <w:r w:rsidRPr="543832D4">
        <w:rPr>
          <w:sz w:val="24"/>
          <w:szCs w:val="24"/>
        </w:rPr>
        <w:t>bachelor</w:t>
      </w:r>
      <w:proofErr w:type="gramEnd"/>
      <w:r w:rsidRPr="543832D4">
        <w:rPr>
          <w:sz w:val="24"/>
          <w:szCs w:val="24"/>
        </w:rPr>
        <w:t xml:space="preserve"> degree (stays of up to two years), a </w:t>
      </w:r>
      <w:proofErr w:type="spellStart"/>
      <w:r w:rsidRPr="543832D4">
        <w:rPr>
          <w:sz w:val="24"/>
          <w:szCs w:val="24"/>
        </w:rPr>
        <w:t>masters</w:t>
      </w:r>
      <w:proofErr w:type="spellEnd"/>
      <w:r w:rsidRPr="543832D4">
        <w:rPr>
          <w:sz w:val="24"/>
          <w:szCs w:val="24"/>
        </w:rPr>
        <w:t xml:space="preserve"> degree (stays of up to three years); and a doctoral degree (stays of up to four years). In addition, the length of stay for a </w:t>
      </w:r>
      <w:proofErr w:type="gramStart"/>
      <w:r w:rsidRPr="543832D4">
        <w:rPr>
          <w:sz w:val="24"/>
          <w:szCs w:val="24"/>
        </w:rPr>
        <w:t>bachelor</w:t>
      </w:r>
      <w:proofErr w:type="gramEnd"/>
      <w:r w:rsidRPr="543832D4">
        <w:rPr>
          <w:sz w:val="24"/>
          <w:szCs w:val="24"/>
        </w:rPr>
        <w:t xml:space="preserve"> degree graduate with first class honours is extended from two to three years post-study in Science, Technology, Engineering or Mathematics (STEM)</w:t>
      </w:r>
      <w:r w:rsidR="00F6119B">
        <w:rPr>
          <w:sz w:val="24"/>
          <w:szCs w:val="24"/>
        </w:rPr>
        <w:t>, including</w:t>
      </w:r>
      <w:r w:rsidRPr="543832D4">
        <w:rPr>
          <w:sz w:val="24"/>
          <w:szCs w:val="24"/>
        </w:rPr>
        <w:t xml:space="preserve"> information and communications technology (ICT) sectors.</w:t>
      </w:r>
      <w:r w:rsidR="004A7B1F">
        <w:rPr>
          <w:sz w:val="24"/>
          <w:szCs w:val="24"/>
        </w:rPr>
        <w:t xml:space="preserve"> </w:t>
      </w:r>
    </w:p>
    <w:p w14:paraId="54CF0F85" w14:textId="77777777" w:rsidR="00071C88" w:rsidRPr="00630502" w:rsidRDefault="00071C88">
      <w:pPr>
        <w:pStyle w:val="ListParagraph"/>
        <w:spacing w:after="0"/>
        <w:rPr>
          <w:sz w:val="24"/>
          <w:szCs w:val="24"/>
        </w:rPr>
      </w:pPr>
    </w:p>
    <w:p w14:paraId="269346FF" w14:textId="06BC5F8D" w:rsidR="00071C88" w:rsidRDefault="00071C88">
      <w:pPr>
        <w:pStyle w:val="ListParagraph"/>
        <w:numPr>
          <w:ilvl w:val="0"/>
          <w:numId w:val="1"/>
        </w:numPr>
        <w:spacing w:after="0"/>
        <w:ind w:left="567" w:hanging="567"/>
        <w:rPr>
          <w:sz w:val="24"/>
          <w:szCs w:val="24"/>
        </w:rPr>
      </w:pPr>
      <w:r w:rsidRPr="00A442C4">
        <w:rPr>
          <w:sz w:val="24"/>
          <w:szCs w:val="24"/>
        </w:rPr>
        <w:t>As the world changes and digital technology becomes central to everything we do, the Australian government is looking to match the skills that are required.</w:t>
      </w:r>
      <w:r>
        <w:rPr>
          <w:rStyle w:val="FootnoteReference"/>
          <w:sz w:val="24"/>
          <w:szCs w:val="24"/>
        </w:rPr>
        <w:footnoteReference w:id="76"/>
      </w:r>
      <w:r w:rsidRPr="00A442C4">
        <w:rPr>
          <w:sz w:val="24"/>
          <w:szCs w:val="24"/>
        </w:rPr>
        <w:t xml:space="preserve"> There is now a priority focus on STEM, including the development of workplace skills in STEM. Due to the economic trend toward a more technology focused economy, retaining exceptional Indian graduates in ICT and STEM is consistent with the need to increase the number of graduates with these skill sets.</w:t>
      </w:r>
      <w:r>
        <w:rPr>
          <w:rStyle w:val="FootnoteReference"/>
          <w:sz w:val="24"/>
          <w:szCs w:val="24"/>
        </w:rPr>
        <w:footnoteReference w:id="77"/>
      </w:r>
      <w:r w:rsidR="00C41B2E">
        <w:rPr>
          <w:sz w:val="24"/>
          <w:szCs w:val="24"/>
        </w:rPr>
        <w:t xml:space="preserve"> </w:t>
      </w:r>
    </w:p>
    <w:p w14:paraId="1AF9A6AA" w14:textId="77777777" w:rsidR="003800F7" w:rsidRPr="0001716D" w:rsidRDefault="003800F7" w:rsidP="0001716D">
      <w:pPr>
        <w:pStyle w:val="ListParagraph"/>
        <w:spacing w:after="0"/>
        <w:rPr>
          <w:sz w:val="24"/>
          <w:szCs w:val="24"/>
        </w:rPr>
      </w:pPr>
    </w:p>
    <w:p w14:paraId="1E9DE3A0" w14:textId="5668A2C4" w:rsidR="00D230E9" w:rsidRDefault="003800F7">
      <w:pPr>
        <w:pStyle w:val="ListParagraph"/>
        <w:numPr>
          <w:ilvl w:val="0"/>
          <w:numId w:val="1"/>
        </w:numPr>
        <w:spacing w:after="0"/>
        <w:ind w:left="567" w:hanging="567"/>
        <w:rPr>
          <w:sz w:val="24"/>
          <w:szCs w:val="24"/>
        </w:rPr>
      </w:pPr>
      <w:r>
        <w:rPr>
          <w:sz w:val="24"/>
          <w:szCs w:val="24"/>
        </w:rPr>
        <w:t>Current data on visa grants for Indian citizens graduating from Australian universities with first class honours degrees (across all fields) is low (see</w:t>
      </w:r>
      <w:r w:rsidR="0066670B">
        <w:rPr>
          <w:sz w:val="24"/>
          <w:szCs w:val="24"/>
        </w:rPr>
        <w:t xml:space="preserve"> </w:t>
      </w:r>
      <w:r w:rsidR="0066670B" w:rsidRPr="0001716D">
        <w:rPr>
          <w:b/>
          <w:bCs/>
          <w:sz w:val="24"/>
          <w:szCs w:val="24"/>
        </w:rPr>
        <w:t xml:space="preserve">Table </w:t>
      </w:r>
      <w:r w:rsidR="00771E9C" w:rsidRPr="0001716D">
        <w:rPr>
          <w:b/>
          <w:bCs/>
          <w:sz w:val="24"/>
          <w:szCs w:val="24"/>
        </w:rPr>
        <w:t>12</w:t>
      </w:r>
      <w:r w:rsidR="0066670B">
        <w:rPr>
          <w:sz w:val="24"/>
          <w:szCs w:val="24"/>
        </w:rPr>
        <w:t xml:space="preserve">). The impact on the Australian labour market will therefore be </w:t>
      </w:r>
      <w:proofErr w:type="gramStart"/>
      <w:r w:rsidR="0066670B">
        <w:rPr>
          <w:sz w:val="24"/>
          <w:szCs w:val="24"/>
        </w:rPr>
        <w:t>small, but</w:t>
      </w:r>
      <w:proofErr w:type="gramEnd"/>
      <w:r w:rsidR="0066670B">
        <w:rPr>
          <w:sz w:val="24"/>
          <w:szCs w:val="24"/>
        </w:rPr>
        <w:t xml:space="preserve"> will target key skill areas the Australian Government is seeking.</w:t>
      </w:r>
    </w:p>
    <w:p w14:paraId="2A323D7B" w14:textId="6C262D8C" w:rsidR="00D230E9" w:rsidRDefault="00D230E9" w:rsidP="0001716D">
      <w:pPr>
        <w:spacing w:after="0"/>
        <w:rPr>
          <w:sz w:val="24"/>
          <w:szCs w:val="24"/>
        </w:rPr>
      </w:pPr>
    </w:p>
    <w:p w14:paraId="0FAE4BF9" w14:textId="322EA927" w:rsidR="00D230E9" w:rsidRDefault="00D230E9" w:rsidP="00771E9C">
      <w:pPr>
        <w:spacing w:after="0"/>
        <w:rPr>
          <w:sz w:val="24"/>
          <w:szCs w:val="24"/>
        </w:rPr>
      </w:pPr>
      <w:r w:rsidRPr="0001716D">
        <w:rPr>
          <w:b/>
          <w:bCs/>
          <w:sz w:val="24"/>
          <w:szCs w:val="24"/>
          <w:u w:val="single"/>
        </w:rPr>
        <w:t xml:space="preserve">Table </w:t>
      </w:r>
      <w:r w:rsidR="00771E9C" w:rsidRPr="00771E9C">
        <w:rPr>
          <w:b/>
          <w:bCs/>
          <w:sz w:val="24"/>
          <w:szCs w:val="24"/>
          <w:u w:val="single"/>
        </w:rPr>
        <w:t>12</w:t>
      </w:r>
      <w:r w:rsidRPr="0001716D">
        <w:rPr>
          <w:b/>
          <w:bCs/>
          <w:sz w:val="24"/>
          <w:szCs w:val="24"/>
        </w:rPr>
        <w:t xml:space="preserve">: </w:t>
      </w:r>
      <w:r w:rsidR="00C64810" w:rsidRPr="0001716D">
        <w:rPr>
          <w:b/>
          <w:bCs/>
          <w:sz w:val="24"/>
          <w:szCs w:val="24"/>
        </w:rPr>
        <w:t>Visa grants for Indian students graduating with first class honours</w:t>
      </w:r>
      <w:r w:rsidR="00C64810" w:rsidRPr="00771E9C">
        <w:rPr>
          <w:sz w:val="24"/>
          <w:szCs w:val="24"/>
        </w:rPr>
        <w:t xml:space="preserve"> </w:t>
      </w:r>
    </w:p>
    <w:p w14:paraId="431C1762" w14:textId="77777777" w:rsidR="0058159A" w:rsidRPr="0001716D" w:rsidRDefault="0058159A" w:rsidP="0001716D">
      <w:pPr>
        <w:spacing w:after="0"/>
        <w:rPr>
          <w:sz w:val="24"/>
          <w:szCs w:val="24"/>
        </w:rPr>
      </w:pPr>
    </w:p>
    <w:tbl>
      <w:tblPr>
        <w:tblpPr w:leftFromText="180" w:rightFromText="180" w:bottomFromText="160" w:vertAnchor="text" w:horzAnchor="margin" w:tblpY="71"/>
        <w:tblW w:w="10055" w:type="dxa"/>
        <w:tblCellMar>
          <w:left w:w="0" w:type="dxa"/>
          <w:right w:w="0" w:type="dxa"/>
        </w:tblCellMar>
        <w:tblLook w:val="04A0" w:firstRow="1" w:lastRow="0" w:firstColumn="1" w:lastColumn="0" w:noHBand="0" w:noVBand="1"/>
      </w:tblPr>
      <w:tblGrid>
        <w:gridCol w:w="1070"/>
        <w:gridCol w:w="1188"/>
        <w:gridCol w:w="851"/>
        <w:gridCol w:w="850"/>
        <w:gridCol w:w="851"/>
        <w:gridCol w:w="850"/>
        <w:gridCol w:w="851"/>
        <w:gridCol w:w="850"/>
        <w:gridCol w:w="851"/>
        <w:gridCol w:w="850"/>
        <w:gridCol w:w="1017"/>
      </w:tblGrid>
      <w:tr w:rsidR="00C64810" w:rsidRPr="00771E9C" w14:paraId="09B1FD9C" w14:textId="77777777" w:rsidTr="0001716D">
        <w:trPr>
          <w:trHeight w:val="197"/>
        </w:trPr>
        <w:tc>
          <w:tcPr>
            <w:tcW w:w="107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7EB3EE8" w14:textId="77777777" w:rsidR="00F003A0" w:rsidRPr="0001716D" w:rsidRDefault="00F003A0" w:rsidP="0001716D">
            <w:pPr>
              <w:spacing w:after="0"/>
              <w:rPr>
                <w:rFonts w:ascii="Arial" w:hAnsi="Arial" w:cs="Arial"/>
                <w:b/>
                <w:bCs/>
                <w:sz w:val="16"/>
                <w:szCs w:val="16"/>
                <w:lang w:eastAsia="en-AU"/>
              </w:rPr>
            </w:pPr>
            <w:r w:rsidRPr="0001716D">
              <w:rPr>
                <w:rFonts w:ascii="Arial" w:hAnsi="Arial" w:cs="Arial"/>
                <w:b/>
                <w:bCs/>
                <w:sz w:val="16"/>
                <w:szCs w:val="16"/>
                <w:lang w:eastAsia="en-AU"/>
              </w:rPr>
              <w:t>Citizenship Country</w:t>
            </w:r>
          </w:p>
        </w:tc>
        <w:tc>
          <w:tcPr>
            <w:tcW w:w="118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6D90DB8" w14:textId="77777777" w:rsidR="00F003A0" w:rsidRPr="0001716D" w:rsidRDefault="00F003A0" w:rsidP="0001716D">
            <w:pPr>
              <w:spacing w:after="0"/>
              <w:rPr>
                <w:rFonts w:ascii="Arial" w:hAnsi="Arial" w:cs="Arial"/>
                <w:b/>
                <w:bCs/>
                <w:sz w:val="16"/>
                <w:szCs w:val="16"/>
                <w:lang w:eastAsia="en-AU"/>
              </w:rPr>
            </w:pPr>
            <w:r w:rsidRPr="0001716D">
              <w:rPr>
                <w:rFonts w:ascii="Arial" w:hAnsi="Arial" w:cs="Arial"/>
                <w:b/>
                <w:bCs/>
                <w:sz w:val="16"/>
                <w:szCs w:val="16"/>
                <w:lang w:eastAsia="en-AU"/>
              </w:rPr>
              <w:t>Qualification Level</w:t>
            </w:r>
          </w:p>
        </w:tc>
        <w:tc>
          <w:tcPr>
            <w:tcW w:w="85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FF0119A" w14:textId="77777777" w:rsidR="00F003A0" w:rsidRPr="0001716D" w:rsidRDefault="00F003A0" w:rsidP="0001716D">
            <w:pPr>
              <w:spacing w:after="0"/>
              <w:rPr>
                <w:rFonts w:ascii="Arial" w:hAnsi="Arial" w:cs="Arial"/>
                <w:b/>
                <w:bCs/>
                <w:sz w:val="16"/>
                <w:szCs w:val="16"/>
                <w:lang w:eastAsia="en-AU"/>
              </w:rPr>
            </w:pPr>
            <w:r w:rsidRPr="0001716D">
              <w:rPr>
                <w:rFonts w:ascii="Arial" w:hAnsi="Arial" w:cs="Arial"/>
                <w:b/>
                <w:bCs/>
                <w:sz w:val="16"/>
                <w:szCs w:val="16"/>
                <w:lang w:eastAsia="en-AU"/>
              </w:rPr>
              <w:t>2013-14</w:t>
            </w:r>
          </w:p>
        </w:tc>
        <w:tc>
          <w:tcPr>
            <w:tcW w:w="85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7E01EE8" w14:textId="77777777" w:rsidR="00F003A0" w:rsidRPr="0001716D" w:rsidRDefault="00F003A0" w:rsidP="0001716D">
            <w:pPr>
              <w:spacing w:after="0"/>
              <w:rPr>
                <w:rFonts w:ascii="Arial" w:hAnsi="Arial" w:cs="Arial"/>
                <w:b/>
                <w:bCs/>
                <w:sz w:val="16"/>
                <w:szCs w:val="16"/>
                <w:lang w:eastAsia="en-AU"/>
              </w:rPr>
            </w:pPr>
            <w:r w:rsidRPr="0001716D">
              <w:rPr>
                <w:rFonts w:ascii="Arial" w:hAnsi="Arial" w:cs="Arial"/>
                <w:b/>
                <w:bCs/>
                <w:sz w:val="16"/>
                <w:szCs w:val="16"/>
                <w:lang w:eastAsia="en-AU"/>
              </w:rPr>
              <w:t>2014-15</w:t>
            </w:r>
          </w:p>
        </w:tc>
        <w:tc>
          <w:tcPr>
            <w:tcW w:w="85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C0E7B93" w14:textId="77777777" w:rsidR="00F003A0" w:rsidRPr="0001716D" w:rsidRDefault="00F003A0" w:rsidP="0001716D">
            <w:pPr>
              <w:spacing w:after="0"/>
              <w:rPr>
                <w:rFonts w:ascii="Arial" w:hAnsi="Arial" w:cs="Arial"/>
                <w:b/>
                <w:bCs/>
                <w:sz w:val="16"/>
                <w:szCs w:val="16"/>
                <w:lang w:eastAsia="en-AU"/>
              </w:rPr>
            </w:pPr>
            <w:r w:rsidRPr="0001716D">
              <w:rPr>
                <w:rFonts w:ascii="Arial" w:hAnsi="Arial" w:cs="Arial"/>
                <w:b/>
                <w:bCs/>
                <w:sz w:val="16"/>
                <w:szCs w:val="16"/>
                <w:lang w:eastAsia="en-AU"/>
              </w:rPr>
              <w:t>2015-16</w:t>
            </w:r>
          </w:p>
        </w:tc>
        <w:tc>
          <w:tcPr>
            <w:tcW w:w="85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2A7B9AD" w14:textId="77777777" w:rsidR="00F003A0" w:rsidRPr="0001716D" w:rsidRDefault="00F003A0" w:rsidP="0001716D">
            <w:pPr>
              <w:spacing w:after="0"/>
              <w:rPr>
                <w:rFonts w:ascii="Arial" w:hAnsi="Arial" w:cs="Arial"/>
                <w:b/>
                <w:bCs/>
                <w:sz w:val="16"/>
                <w:szCs w:val="16"/>
                <w:lang w:eastAsia="en-AU"/>
              </w:rPr>
            </w:pPr>
            <w:r w:rsidRPr="0001716D">
              <w:rPr>
                <w:rFonts w:ascii="Arial" w:hAnsi="Arial" w:cs="Arial"/>
                <w:b/>
                <w:bCs/>
                <w:sz w:val="16"/>
                <w:szCs w:val="16"/>
                <w:lang w:eastAsia="en-AU"/>
              </w:rPr>
              <w:t>2016-17</w:t>
            </w:r>
          </w:p>
        </w:tc>
        <w:tc>
          <w:tcPr>
            <w:tcW w:w="85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78B04AF" w14:textId="77777777" w:rsidR="00F003A0" w:rsidRPr="0001716D" w:rsidRDefault="00F003A0" w:rsidP="0001716D">
            <w:pPr>
              <w:spacing w:after="0"/>
              <w:rPr>
                <w:rFonts w:ascii="Arial" w:hAnsi="Arial" w:cs="Arial"/>
                <w:b/>
                <w:bCs/>
                <w:sz w:val="16"/>
                <w:szCs w:val="16"/>
                <w:lang w:eastAsia="en-AU"/>
              </w:rPr>
            </w:pPr>
            <w:r w:rsidRPr="0001716D">
              <w:rPr>
                <w:rFonts w:ascii="Arial" w:hAnsi="Arial" w:cs="Arial"/>
                <w:b/>
                <w:bCs/>
                <w:sz w:val="16"/>
                <w:szCs w:val="16"/>
                <w:lang w:eastAsia="en-AU"/>
              </w:rPr>
              <w:t>2017-18</w:t>
            </w:r>
          </w:p>
        </w:tc>
        <w:tc>
          <w:tcPr>
            <w:tcW w:w="85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B3F5116" w14:textId="77777777" w:rsidR="00F003A0" w:rsidRPr="0001716D" w:rsidRDefault="00F003A0" w:rsidP="0001716D">
            <w:pPr>
              <w:spacing w:after="0"/>
              <w:rPr>
                <w:rFonts w:ascii="Arial" w:hAnsi="Arial" w:cs="Arial"/>
                <w:b/>
                <w:bCs/>
                <w:sz w:val="16"/>
                <w:szCs w:val="16"/>
                <w:lang w:eastAsia="en-AU"/>
              </w:rPr>
            </w:pPr>
            <w:r w:rsidRPr="0001716D">
              <w:rPr>
                <w:rFonts w:ascii="Arial" w:hAnsi="Arial" w:cs="Arial"/>
                <w:b/>
                <w:bCs/>
                <w:sz w:val="16"/>
                <w:szCs w:val="16"/>
                <w:lang w:eastAsia="en-AU"/>
              </w:rPr>
              <w:t>2018-19</w:t>
            </w:r>
          </w:p>
        </w:tc>
        <w:tc>
          <w:tcPr>
            <w:tcW w:w="85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716BCF1" w14:textId="77777777" w:rsidR="00F003A0" w:rsidRPr="0001716D" w:rsidRDefault="00F003A0" w:rsidP="0001716D">
            <w:pPr>
              <w:spacing w:after="0"/>
              <w:rPr>
                <w:rFonts w:ascii="Arial" w:hAnsi="Arial" w:cs="Arial"/>
                <w:b/>
                <w:bCs/>
                <w:sz w:val="16"/>
                <w:szCs w:val="16"/>
                <w:lang w:eastAsia="en-AU"/>
              </w:rPr>
            </w:pPr>
            <w:r w:rsidRPr="0001716D">
              <w:rPr>
                <w:rFonts w:ascii="Arial" w:hAnsi="Arial" w:cs="Arial"/>
                <w:b/>
                <w:bCs/>
                <w:sz w:val="16"/>
                <w:szCs w:val="16"/>
                <w:lang w:eastAsia="en-AU"/>
              </w:rPr>
              <w:t>2019-20</w:t>
            </w:r>
          </w:p>
        </w:tc>
        <w:tc>
          <w:tcPr>
            <w:tcW w:w="85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E5B3E72" w14:textId="77777777" w:rsidR="00F003A0" w:rsidRPr="0001716D" w:rsidRDefault="00F003A0" w:rsidP="0001716D">
            <w:pPr>
              <w:spacing w:after="0"/>
              <w:rPr>
                <w:rFonts w:ascii="Arial" w:hAnsi="Arial" w:cs="Arial"/>
                <w:b/>
                <w:bCs/>
                <w:sz w:val="16"/>
                <w:szCs w:val="16"/>
                <w:lang w:eastAsia="en-AU"/>
              </w:rPr>
            </w:pPr>
            <w:r w:rsidRPr="0001716D">
              <w:rPr>
                <w:rFonts w:ascii="Arial" w:hAnsi="Arial" w:cs="Arial"/>
                <w:b/>
                <w:bCs/>
                <w:sz w:val="16"/>
                <w:szCs w:val="16"/>
                <w:lang w:eastAsia="en-AU"/>
              </w:rPr>
              <w:t>2020-21</w:t>
            </w:r>
          </w:p>
        </w:tc>
        <w:tc>
          <w:tcPr>
            <w:tcW w:w="99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D776D8A" w14:textId="77777777" w:rsidR="00F003A0" w:rsidRPr="0001716D" w:rsidRDefault="00F003A0" w:rsidP="0001716D">
            <w:pPr>
              <w:spacing w:after="0"/>
              <w:rPr>
                <w:rFonts w:ascii="Arial" w:hAnsi="Arial" w:cs="Arial"/>
                <w:b/>
                <w:bCs/>
                <w:sz w:val="16"/>
                <w:szCs w:val="16"/>
                <w:lang w:eastAsia="en-AU"/>
              </w:rPr>
            </w:pPr>
            <w:r w:rsidRPr="0001716D">
              <w:rPr>
                <w:rFonts w:ascii="Arial" w:hAnsi="Arial" w:cs="Arial"/>
                <w:b/>
                <w:bCs/>
                <w:sz w:val="16"/>
                <w:szCs w:val="16"/>
                <w:lang w:eastAsia="en-AU"/>
              </w:rPr>
              <w:t>2021-22 to 31/01/2022</w:t>
            </w:r>
          </w:p>
        </w:tc>
      </w:tr>
      <w:tr w:rsidR="00C64810" w:rsidRPr="00771E9C" w14:paraId="7D561F01" w14:textId="77777777" w:rsidTr="0001716D">
        <w:trPr>
          <w:trHeight w:val="197"/>
        </w:trPr>
        <w:tc>
          <w:tcPr>
            <w:tcW w:w="10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C5AFF2D" w14:textId="77777777" w:rsidR="00F003A0" w:rsidRPr="0001716D" w:rsidRDefault="00F003A0" w:rsidP="0001716D">
            <w:pPr>
              <w:spacing w:after="0"/>
              <w:rPr>
                <w:rFonts w:ascii="Arial" w:hAnsi="Arial" w:cs="Arial"/>
                <w:sz w:val="16"/>
                <w:szCs w:val="16"/>
                <w:lang w:eastAsia="en-AU"/>
              </w:rPr>
            </w:pPr>
            <w:r w:rsidRPr="0001716D">
              <w:rPr>
                <w:rFonts w:ascii="Arial" w:hAnsi="Arial" w:cs="Arial"/>
                <w:sz w:val="16"/>
                <w:szCs w:val="16"/>
                <w:lang w:eastAsia="en-AU"/>
              </w:rPr>
              <w:t>India</w:t>
            </w:r>
          </w:p>
        </w:tc>
        <w:tc>
          <w:tcPr>
            <w:tcW w:w="118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FC08FD" w14:textId="77777777" w:rsidR="00F003A0" w:rsidRPr="0001716D" w:rsidRDefault="00F003A0" w:rsidP="0001716D">
            <w:pPr>
              <w:spacing w:after="0"/>
              <w:rPr>
                <w:rFonts w:ascii="Arial" w:hAnsi="Arial" w:cs="Arial"/>
                <w:sz w:val="16"/>
                <w:szCs w:val="16"/>
                <w:lang w:eastAsia="en-AU"/>
              </w:rPr>
            </w:pPr>
            <w:r w:rsidRPr="0001716D">
              <w:rPr>
                <w:rFonts w:ascii="Arial" w:hAnsi="Arial" w:cs="Arial"/>
                <w:sz w:val="16"/>
                <w:szCs w:val="16"/>
                <w:lang w:eastAsia="en-AU"/>
              </w:rPr>
              <w:t>Honours Degree (1st Class)</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F188C1" w14:textId="77777777" w:rsidR="00F003A0" w:rsidRPr="0001716D" w:rsidRDefault="00F003A0" w:rsidP="0001716D">
            <w:pPr>
              <w:spacing w:after="0"/>
              <w:jc w:val="right"/>
              <w:rPr>
                <w:rFonts w:ascii="Arial" w:hAnsi="Arial" w:cs="Arial"/>
                <w:b/>
                <w:bCs/>
                <w:i/>
                <w:iCs/>
                <w:sz w:val="16"/>
                <w:szCs w:val="16"/>
                <w:lang w:eastAsia="en-AU"/>
              </w:rPr>
            </w:pPr>
            <w:r w:rsidRPr="0001716D">
              <w:rPr>
                <w:rFonts w:ascii="Arial" w:hAnsi="Arial" w:cs="Arial"/>
                <w:b/>
                <w:bCs/>
                <w:i/>
                <w:iCs/>
                <w:sz w:val="16"/>
                <w:szCs w:val="16"/>
                <w:lang w:eastAsia="en-AU"/>
              </w:rPr>
              <w:t xml:space="preserve">&lt;5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1852D0" w14:textId="77777777" w:rsidR="00F003A0" w:rsidRPr="0001716D" w:rsidRDefault="00F003A0" w:rsidP="0001716D">
            <w:pPr>
              <w:spacing w:after="0"/>
              <w:jc w:val="right"/>
              <w:rPr>
                <w:rFonts w:ascii="Arial" w:hAnsi="Arial" w:cs="Arial"/>
                <w:b/>
                <w:bCs/>
                <w:i/>
                <w:iCs/>
                <w:sz w:val="16"/>
                <w:szCs w:val="16"/>
                <w:lang w:eastAsia="en-AU"/>
              </w:rPr>
            </w:pPr>
            <w:r w:rsidRPr="0001716D">
              <w:rPr>
                <w:rFonts w:ascii="Arial" w:hAnsi="Arial" w:cs="Arial"/>
                <w:b/>
                <w:bCs/>
                <w:i/>
                <w:iCs/>
                <w:sz w:val="16"/>
                <w:szCs w:val="16"/>
                <w:lang w:eastAsia="en-AU"/>
              </w:rPr>
              <w:t xml:space="preserve">           8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2DFBC2" w14:textId="77777777" w:rsidR="00F003A0" w:rsidRPr="0001716D" w:rsidRDefault="00F003A0" w:rsidP="0001716D">
            <w:pPr>
              <w:spacing w:after="0"/>
              <w:jc w:val="right"/>
              <w:rPr>
                <w:rFonts w:ascii="Arial" w:hAnsi="Arial" w:cs="Arial"/>
                <w:b/>
                <w:bCs/>
                <w:i/>
                <w:iCs/>
                <w:sz w:val="16"/>
                <w:szCs w:val="16"/>
                <w:lang w:eastAsia="en-AU"/>
              </w:rPr>
            </w:pPr>
            <w:r w:rsidRPr="0001716D">
              <w:rPr>
                <w:rFonts w:ascii="Arial" w:hAnsi="Arial" w:cs="Arial"/>
                <w:b/>
                <w:bCs/>
                <w:i/>
                <w:iCs/>
                <w:sz w:val="16"/>
                <w:szCs w:val="16"/>
                <w:lang w:eastAsia="en-AU"/>
              </w:rPr>
              <w:t xml:space="preserve">           7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20279A" w14:textId="77777777" w:rsidR="00F003A0" w:rsidRPr="0001716D" w:rsidRDefault="00F003A0" w:rsidP="0001716D">
            <w:pPr>
              <w:spacing w:after="0"/>
              <w:jc w:val="right"/>
              <w:rPr>
                <w:rFonts w:ascii="Arial" w:hAnsi="Arial" w:cs="Arial"/>
                <w:b/>
                <w:bCs/>
                <w:i/>
                <w:iCs/>
                <w:sz w:val="16"/>
                <w:szCs w:val="16"/>
                <w:lang w:eastAsia="en-AU"/>
              </w:rPr>
            </w:pPr>
            <w:r w:rsidRPr="0001716D">
              <w:rPr>
                <w:rFonts w:ascii="Arial" w:hAnsi="Arial" w:cs="Arial"/>
                <w:b/>
                <w:bCs/>
                <w:i/>
                <w:iCs/>
                <w:sz w:val="16"/>
                <w:szCs w:val="16"/>
                <w:lang w:eastAsia="en-AU"/>
              </w:rPr>
              <w:t xml:space="preserve">         16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9C2EE4" w14:textId="77777777" w:rsidR="00F003A0" w:rsidRPr="0001716D" w:rsidRDefault="00F003A0" w:rsidP="0001716D">
            <w:pPr>
              <w:spacing w:after="0"/>
              <w:jc w:val="right"/>
              <w:rPr>
                <w:rFonts w:ascii="Arial" w:hAnsi="Arial" w:cs="Arial"/>
                <w:b/>
                <w:bCs/>
                <w:i/>
                <w:iCs/>
                <w:sz w:val="16"/>
                <w:szCs w:val="16"/>
                <w:lang w:eastAsia="en-AU"/>
              </w:rPr>
            </w:pPr>
            <w:r w:rsidRPr="0001716D">
              <w:rPr>
                <w:rFonts w:ascii="Arial" w:hAnsi="Arial" w:cs="Arial"/>
                <w:b/>
                <w:bCs/>
                <w:i/>
                <w:iCs/>
                <w:sz w:val="16"/>
                <w:szCs w:val="16"/>
                <w:lang w:eastAsia="en-AU"/>
              </w:rPr>
              <w:t xml:space="preserve">         10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BFA2B0" w14:textId="77777777" w:rsidR="00F003A0" w:rsidRPr="0001716D" w:rsidRDefault="00F003A0" w:rsidP="0001716D">
            <w:pPr>
              <w:spacing w:after="0"/>
              <w:jc w:val="right"/>
              <w:rPr>
                <w:rFonts w:ascii="Arial" w:hAnsi="Arial" w:cs="Arial"/>
                <w:b/>
                <w:bCs/>
                <w:i/>
                <w:iCs/>
                <w:sz w:val="16"/>
                <w:szCs w:val="16"/>
                <w:lang w:eastAsia="en-AU"/>
              </w:rPr>
            </w:pPr>
            <w:r w:rsidRPr="0001716D">
              <w:rPr>
                <w:rFonts w:ascii="Arial" w:hAnsi="Arial" w:cs="Arial"/>
                <w:b/>
                <w:bCs/>
                <w:i/>
                <w:iCs/>
                <w:sz w:val="16"/>
                <w:szCs w:val="16"/>
                <w:lang w:eastAsia="en-AU"/>
              </w:rPr>
              <w:t xml:space="preserve">         24 </w:t>
            </w:r>
          </w:p>
        </w:tc>
        <w:tc>
          <w:tcPr>
            <w:tcW w:w="85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D12D2E" w14:textId="77777777" w:rsidR="00F003A0" w:rsidRPr="0001716D" w:rsidRDefault="00F003A0" w:rsidP="0001716D">
            <w:pPr>
              <w:spacing w:after="0"/>
              <w:jc w:val="right"/>
              <w:rPr>
                <w:rFonts w:ascii="Arial" w:hAnsi="Arial" w:cs="Arial"/>
                <w:b/>
                <w:bCs/>
                <w:i/>
                <w:iCs/>
                <w:sz w:val="16"/>
                <w:szCs w:val="16"/>
                <w:lang w:eastAsia="en-AU"/>
              </w:rPr>
            </w:pPr>
            <w:r w:rsidRPr="0001716D">
              <w:rPr>
                <w:rFonts w:ascii="Arial" w:hAnsi="Arial" w:cs="Arial"/>
                <w:b/>
                <w:bCs/>
                <w:i/>
                <w:iCs/>
                <w:sz w:val="16"/>
                <w:szCs w:val="16"/>
                <w:lang w:eastAsia="en-AU"/>
              </w:rPr>
              <w:t xml:space="preserve">         19 </w:t>
            </w:r>
          </w:p>
        </w:tc>
        <w:tc>
          <w:tcPr>
            <w:tcW w:w="8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BEFF45" w14:textId="77777777" w:rsidR="00F003A0" w:rsidRPr="0001716D" w:rsidRDefault="00F003A0" w:rsidP="0001716D">
            <w:pPr>
              <w:spacing w:after="0"/>
              <w:jc w:val="right"/>
              <w:rPr>
                <w:rFonts w:ascii="Arial" w:hAnsi="Arial" w:cs="Arial"/>
                <w:b/>
                <w:bCs/>
                <w:i/>
                <w:iCs/>
                <w:sz w:val="16"/>
                <w:szCs w:val="16"/>
                <w:lang w:eastAsia="en-AU"/>
              </w:rPr>
            </w:pPr>
            <w:r w:rsidRPr="0001716D">
              <w:rPr>
                <w:rFonts w:ascii="Arial" w:hAnsi="Arial" w:cs="Arial"/>
                <w:b/>
                <w:bCs/>
                <w:i/>
                <w:iCs/>
                <w:sz w:val="16"/>
                <w:szCs w:val="16"/>
                <w:lang w:eastAsia="en-AU"/>
              </w:rPr>
              <w:t xml:space="preserve">         13 </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53F7CC" w14:textId="77777777" w:rsidR="00F003A0" w:rsidRPr="0001716D" w:rsidRDefault="00F003A0" w:rsidP="0001716D">
            <w:pPr>
              <w:spacing w:after="0"/>
              <w:jc w:val="right"/>
              <w:rPr>
                <w:rFonts w:ascii="Arial" w:hAnsi="Arial" w:cs="Arial"/>
                <w:b/>
                <w:bCs/>
                <w:i/>
                <w:iCs/>
                <w:sz w:val="16"/>
                <w:szCs w:val="16"/>
                <w:lang w:eastAsia="en-AU"/>
              </w:rPr>
            </w:pPr>
            <w:r w:rsidRPr="0001716D">
              <w:rPr>
                <w:rFonts w:ascii="Arial" w:hAnsi="Arial" w:cs="Arial"/>
                <w:b/>
                <w:bCs/>
                <w:i/>
                <w:iCs/>
                <w:sz w:val="16"/>
                <w:szCs w:val="16"/>
                <w:lang w:eastAsia="en-AU"/>
              </w:rPr>
              <w:t xml:space="preserve">            31 </w:t>
            </w:r>
          </w:p>
        </w:tc>
      </w:tr>
    </w:tbl>
    <w:p w14:paraId="0EAB78D2" w14:textId="173C9D7F" w:rsidR="00D230E9" w:rsidRPr="0001716D" w:rsidRDefault="00D230E9" w:rsidP="0001716D">
      <w:pPr>
        <w:spacing w:after="0"/>
        <w:rPr>
          <w:rFonts w:ascii="Calibri" w:hAnsi="Calibri" w:cs="Calibri"/>
          <w:color w:val="1F497D"/>
        </w:rPr>
      </w:pPr>
      <w:r w:rsidRPr="0001716D">
        <w:rPr>
          <w:rFonts w:ascii="Calibri" w:hAnsi="Calibri" w:cs="Calibri"/>
          <w:sz w:val="20"/>
          <w:szCs w:val="20"/>
        </w:rPr>
        <w:t>Source: Department of Home Affairs (2022).</w:t>
      </w:r>
    </w:p>
    <w:p w14:paraId="7B176AC4" w14:textId="77777777" w:rsidR="00071C88" w:rsidRPr="0001716D" w:rsidRDefault="00071C88" w:rsidP="0001716D">
      <w:pPr>
        <w:spacing w:after="0"/>
        <w:rPr>
          <w:sz w:val="24"/>
          <w:szCs w:val="24"/>
        </w:rPr>
      </w:pPr>
    </w:p>
    <w:p w14:paraId="4C67E201" w14:textId="73D31796" w:rsidR="00071C88" w:rsidRPr="00A442C4" w:rsidRDefault="00071C88">
      <w:pPr>
        <w:pStyle w:val="ListParagraph"/>
        <w:numPr>
          <w:ilvl w:val="0"/>
          <w:numId w:val="1"/>
        </w:numPr>
        <w:spacing w:after="0"/>
        <w:ind w:left="567" w:hanging="567"/>
        <w:rPr>
          <w:sz w:val="24"/>
          <w:szCs w:val="24"/>
        </w:rPr>
      </w:pPr>
      <w:r w:rsidRPr="00771E9C">
        <w:rPr>
          <w:sz w:val="24"/>
          <w:szCs w:val="24"/>
        </w:rPr>
        <w:t xml:space="preserve">India will also provide a </w:t>
      </w:r>
      <w:r w:rsidR="00DC7DA2" w:rsidRPr="00771E9C">
        <w:rPr>
          <w:sz w:val="24"/>
          <w:szCs w:val="24"/>
        </w:rPr>
        <w:t xml:space="preserve">new </w:t>
      </w:r>
      <w:r w:rsidRPr="00771E9C">
        <w:rPr>
          <w:sz w:val="24"/>
          <w:szCs w:val="24"/>
        </w:rPr>
        <w:t>work-based immigration route with reciprocal eligibility</w:t>
      </w:r>
      <w:r w:rsidRPr="543832D4">
        <w:rPr>
          <w:sz w:val="24"/>
          <w:szCs w:val="24"/>
        </w:rPr>
        <w:t xml:space="preserve"> and duration for Australian nationals who successfully complete their studies and who wish to supplement their training with professional experience in India. This will expand Australia and India’s people-to-people links and improve exchange of knowledge, a key factor in enhancing an innovative and dynamic economy.</w:t>
      </w:r>
    </w:p>
    <w:p w14:paraId="4856237E" w14:textId="77777777" w:rsidR="00071C88" w:rsidRPr="00F3631D" w:rsidRDefault="00071C88">
      <w:pPr>
        <w:pStyle w:val="ListParagraph"/>
        <w:spacing w:after="0"/>
        <w:rPr>
          <w:sz w:val="24"/>
          <w:szCs w:val="24"/>
        </w:rPr>
      </w:pPr>
    </w:p>
    <w:p w14:paraId="2B9C7E87" w14:textId="71A7AF4F" w:rsidR="00071C88" w:rsidRDefault="00071C88">
      <w:pPr>
        <w:pStyle w:val="ListParagraph"/>
        <w:numPr>
          <w:ilvl w:val="0"/>
          <w:numId w:val="1"/>
        </w:numPr>
        <w:spacing w:after="0"/>
        <w:ind w:left="567" w:hanging="567"/>
        <w:rPr>
          <w:sz w:val="24"/>
          <w:szCs w:val="24"/>
        </w:rPr>
      </w:pPr>
      <w:r w:rsidRPr="543832D4">
        <w:rPr>
          <w:sz w:val="24"/>
          <w:szCs w:val="24"/>
        </w:rPr>
        <w:t xml:space="preserve">The </w:t>
      </w:r>
      <w:r w:rsidR="00B903C8">
        <w:rPr>
          <w:sz w:val="24"/>
          <w:szCs w:val="24"/>
        </w:rPr>
        <w:t xml:space="preserve">FTA also includes a side letter establishing </w:t>
      </w:r>
      <w:r w:rsidRPr="543832D4">
        <w:rPr>
          <w:sz w:val="24"/>
          <w:szCs w:val="24"/>
        </w:rPr>
        <w:t xml:space="preserve">a Work and Holiday Maker outcome. This </w:t>
      </w:r>
      <w:r w:rsidR="00B903C8">
        <w:rPr>
          <w:sz w:val="24"/>
          <w:szCs w:val="24"/>
        </w:rPr>
        <w:t xml:space="preserve">is new </w:t>
      </w:r>
      <w:r w:rsidRPr="543832D4">
        <w:rPr>
          <w:sz w:val="24"/>
          <w:szCs w:val="24"/>
        </w:rPr>
        <w:t>for India</w:t>
      </w:r>
      <w:r w:rsidR="00D438F7">
        <w:rPr>
          <w:sz w:val="24"/>
          <w:szCs w:val="24"/>
        </w:rPr>
        <w:t>,</w:t>
      </w:r>
      <w:r w:rsidRPr="543832D4">
        <w:rPr>
          <w:sz w:val="24"/>
          <w:szCs w:val="24"/>
        </w:rPr>
        <w:t xml:space="preserve"> </w:t>
      </w:r>
      <w:r w:rsidR="00D438F7">
        <w:rPr>
          <w:sz w:val="24"/>
          <w:szCs w:val="24"/>
        </w:rPr>
        <w:t xml:space="preserve">and will need </w:t>
      </w:r>
      <w:r w:rsidRPr="543832D4">
        <w:rPr>
          <w:sz w:val="24"/>
          <w:szCs w:val="24"/>
        </w:rPr>
        <w:t>to be established in Australia’s system</w:t>
      </w:r>
      <w:r w:rsidR="00D438F7">
        <w:rPr>
          <w:sz w:val="24"/>
          <w:szCs w:val="24"/>
        </w:rPr>
        <w:t>, and so have been given a two-year implementation window</w:t>
      </w:r>
      <w:r w:rsidRPr="543832D4">
        <w:rPr>
          <w:sz w:val="24"/>
          <w:szCs w:val="24"/>
        </w:rPr>
        <w:t xml:space="preserve">. Australia will commit to extend the Work and Holiday (subclass 462) visa to Indian citizens who meet the eligibility requirements under Australian legislation. The maximum number of visas that Australia may grant in each program year (1 </w:t>
      </w:r>
      <w:r w:rsidRPr="543832D4">
        <w:rPr>
          <w:sz w:val="24"/>
          <w:szCs w:val="24"/>
        </w:rPr>
        <w:lastRenderedPageBreak/>
        <w:t>July to 30 June) to Indian citizens who have not previously participated in the Work and Holiday (subclass 462) visa program</w:t>
      </w:r>
      <w:r w:rsidR="008639CC">
        <w:rPr>
          <w:sz w:val="24"/>
          <w:szCs w:val="24"/>
        </w:rPr>
        <w:t xml:space="preserve"> is 1</w:t>
      </w:r>
      <w:r w:rsidR="00534403">
        <w:rPr>
          <w:sz w:val="24"/>
          <w:szCs w:val="24"/>
        </w:rPr>
        <w:t>,</w:t>
      </w:r>
      <w:r w:rsidR="008639CC">
        <w:rPr>
          <w:sz w:val="24"/>
          <w:szCs w:val="24"/>
        </w:rPr>
        <w:t>000 per year.</w:t>
      </w:r>
      <w:r w:rsidRPr="543832D4">
        <w:rPr>
          <w:sz w:val="24"/>
          <w:szCs w:val="24"/>
        </w:rPr>
        <w:t xml:space="preserve"> </w:t>
      </w:r>
      <w:bookmarkStart w:id="64" w:name="_Hlk83303647"/>
      <w:r w:rsidRPr="543832D4">
        <w:rPr>
          <w:sz w:val="24"/>
          <w:szCs w:val="24"/>
        </w:rPr>
        <w:t xml:space="preserve">As this is a targeted outcome that will entail a cap on temporary entry under the Work and Holiday Maker, it </w:t>
      </w:r>
      <w:r w:rsidR="002254ED">
        <w:rPr>
          <w:sz w:val="24"/>
          <w:szCs w:val="24"/>
        </w:rPr>
        <w:t xml:space="preserve">will make a </w:t>
      </w:r>
      <w:r w:rsidR="008B2FA0">
        <w:rPr>
          <w:sz w:val="24"/>
          <w:szCs w:val="24"/>
        </w:rPr>
        <w:t xml:space="preserve">modest contribution to the </w:t>
      </w:r>
      <w:r w:rsidRPr="543832D4">
        <w:rPr>
          <w:sz w:val="24"/>
          <w:szCs w:val="24"/>
        </w:rPr>
        <w:t>Australian workforce.</w:t>
      </w:r>
      <w:r w:rsidR="00DE6443">
        <w:rPr>
          <w:sz w:val="24"/>
          <w:szCs w:val="24"/>
        </w:rPr>
        <w:t xml:space="preserve"> </w:t>
      </w:r>
      <w:r w:rsidR="00051698">
        <w:rPr>
          <w:sz w:val="24"/>
          <w:szCs w:val="24"/>
        </w:rPr>
        <w:t>Importantly, this outcome will also make a new contribution to the Australian economy though the holidays undertaken by Indian participants, supporting the post-CIVID recovery of Australia’s tourism sector</w:t>
      </w:r>
      <w:r w:rsidR="00051698" w:rsidRPr="543832D4">
        <w:rPr>
          <w:sz w:val="24"/>
          <w:szCs w:val="24"/>
        </w:rPr>
        <w:t>.</w:t>
      </w:r>
      <w:r w:rsidR="00051698">
        <w:rPr>
          <w:sz w:val="24"/>
          <w:szCs w:val="24"/>
        </w:rPr>
        <w:t xml:space="preserve"> </w:t>
      </w:r>
      <w:r w:rsidR="00DE6443">
        <w:rPr>
          <w:sz w:val="24"/>
          <w:szCs w:val="24"/>
        </w:rPr>
        <w:t xml:space="preserve">India currently does not have a similar visa </w:t>
      </w:r>
      <w:r w:rsidR="00534403">
        <w:rPr>
          <w:sz w:val="24"/>
          <w:szCs w:val="24"/>
        </w:rPr>
        <w:t>category but</w:t>
      </w:r>
      <w:r w:rsidR="00DE6443">
        <w:rPr>
          <w:sz w:val="24"/>
          <w:szCs w:val="24"/>
        </w:rPr>
        <w:t xml:space="preserve"> has undertaken to extend similar arrangements to Australia if it puts in place such a program with any country in the future. </w:t>
      </w:r>
    </w:p>
    <w:p w14:paraId="2DAECE25" w14:textId="77777777" w:rsidR="00071C88" w:rsidRPr="001C706D" w:rsidRDefault="00071C88">
      <w:pPr>
        <w:pStyle w:val="ListParagraph"/>
        <w:spacing w:after="0"/>
        <w:rPr>
          <w:rFonts w:ascii="Calibri" w:hAnsi="Calibri" w:cs="Calibri"/>
          <w:sz w:val="24"/>
          <w:szCs w:val="24"/>
        </w:rPr>
      </w:pPr>
    </w:p>
    <w:p w14:paraId="262737C3" w14:textId="6B4D428F" w:rsidR="00071C88" w:rsidRDefault="00071C88">
      <w:pPr>
        <w:pStyle w:val="ListParagraph"/>
        <w:numPr>
          <w:ilvl w:val="0"/>
          <w:numId w:val="1"/>
        </w:numPr>
        <w:spacing w:after="0"/>
        <w:ind w:left="567" w:hanging="567"/>
        <w:rPr>
          <w:sz w:val="24"/>
          <w:szCs w:val="24"/>
        </w:rPr>
      </w:pPr>
      <w:r w:rsidRPr="543832D4">
        <w:rPr>
          <w:rFonts w:ascii="Calibri" w:hAnsi="Calibri" w:cs="Calibri"/>
          <w:sz w:val="24"/>
          <w:szCs w:val="24"/>
        </w:rPr>
        <w:t>To support</w:t>
      </w:r>
      <w:r w:rsidR="00051698">
        <w:rPr>
          <w:rFonts w:ascii="Calibri" w:hAnsi="Calibri" w:cs="Calibri"/>
          <w:sz w:val="24"/>
          <w:szCs w:val="24"/>
        </w:rPr>
        <w:t xml:space="preserve"> trade and investment</w:t>
      </w:r>
      <w:r w:rsidRPr="543832D4">
        <w:rPr>
          <w:rFonts w:ascii="Calibri" w:hAnsi="Calibri" w:cs="Calibri"/>
          <w:sz w:val="24"/>
          <w:szCs w:val="24"/>
        </w:rPr>
        <w:t xml:space="preserve">, the Chapter on Temporary </w:t>
      </w:r>
      <w:r w:rsidR="00C5670D">
        <w:rPr>
          <w:rFonts w:ascii="Calibri" w:hAnsi="Calibri" w:cs="Calibri"/>
          <w:sz w:val="24"/>
          <w:szCs w:val="24"/>
        </w:rPr>
        <w:t>Movement of Natural</w:t>
      </w:r>
      <w:r w:rsidRPr="543832D4">
        <w:rPr>
          <w:rFonts w:ascii="Calibri" w:hAnsi="Calibri" w:cs="Calibri"/>
          <w:sz w:val="24"/>
          <w:szCs w:val="24"/>
        </w:rPr>
        <w:t xml:space="preserve"> Persons will </w:t>
      </w:r>
      <w:r w:rsidRPr="543832D4">
        <w:rPr>
          <w:sz w:val="24"/>
          <w:szCs w:val="24"/>
        </w:rPr>
        <w:t xml:space="preserve">include provisions that enhance opportunities for business travel and encourage people to travel and </w:t>
      </w:r>
      <w:r w:rsidR="002B7D9C">
        <w:rPr>
          <w:sz w:val="24"/>
          <w:szCs w:val="24"/>
        </w:rPr>
        <w:t>provide services</w:t>
      </w:r>
      <w:r w:rsidR="002B7D9C" w:rsidRPr="543832D4">
        <w:rPr>
          <w:sz w:val="24"/>
          <w:szCs w:val="24"/>
        </w:rPr>
        <w:t xml:space="preserve"> </w:t>
      </w:r>
      <w:r w:rsidRPr="543832D4">
        <w:rPr>
          <w:sz w:val="24"/>
          <w:szCs w:val="24"/>
        </w:rPr>
        <w:t>in each other's territory. These provisions</w:t>
      </w:r>
      <w:r w:rsidRPr="543832D4">
        <w:rPr>
          <w:rFonts w:ascii="Calibri" w:hAnsi="Calibri" w:cs="Calibri"/>
          <w:sz w:val="24"/>
          <w:szCs w:val="24"/>
        </w:rPr>
        <w:t xml:space="preserve"> provide certainty on visa pathways for businesses and professionals working across our countries.</w:t>
      </w:r>
      <w:r w:rsidRPr="543832D4">
        <w:rPr>
          <w:sz w:val="24"/>
          <w:szCs w:val="24"/>
        </w:rPr>
        <w:t xml:space="preserve"> These commitments build upon those made by both countries in the WTO</w:t>
      </w:r>
      <w:bookmarkEnd w:id="64"/>
      <w:r w:rsidRPr="543832D4">
        <w:rPr>
          <w:sz w:val="24"/>
          <w:szCs w:val="24"/>
        </w:rPr>
        <w:t xml:space="preserve"> and are designed to encourage skilled professional temporary mobility, to facilitate the trade that we are promoting in this Interim Agreement. </w:t>
      </w:r>
      <w:r w:rsidR="00C5670D">
        <w:rPr>
          <w:sz w:val="24"/>
          <w:szCs w:val="24"/>
        </w:rPr>
        <w:t xml:space="preserve">The Chapter text includes a Temporary Movement of Natural Persons Working Group, which will meet annually, and will provide the opportunity to review implementation and discuss commitments, </w:t>
      </w:r>
      <w:r w:rsidR="000F5776">
        <w:rPr>
          <w:sz w:val="24"/>
          <w:szCs w:val="24"/>
        </w:rPr>
        <w:t>including progress</w:t>
      </w:r>
      <w:r w:rsidR="00C5670D">
        <w:rPr>
          <w:sz w:val="24"/>
          <w:szCs w:val="24"/>
        </w:rPr>
        <w:t xml:space="preserve"> </w:t>
      </w:r>
      <w:r w:rsidR="00AF5DE1">
        <w:rPr>
          <w:sz w:val="24"/>
          <w:szCs w:val="24"/>
        </w:rPr>
        <w:t>on additional outcomes covered in mobility side letters</w:t>
      </w:r>
      <w:r w:rsidR="00C5670D">
        <w:rPr>
          <w:sz w:val="24"/>
          <w:szCs w:val="24"/>
        </w:rPr>
        <w:t xml:space="preserve">. </w:t>
      </w:r>
    </w:p>
    <w:p w14:paraId="4992F0E8" w14:textId="77777777" w:rsidR="00071C88" w:rsidRPr="00C44C4B" w:rsidRDefault="00071C88" w:rsidP="0014704E">
      <w:pPr>
        <w:pStyle w:val="ListParagraph"/>
        <w:spacing w:after="0"/>
        <w:rPr>
          <w:sz w:val="24"/>
          <w:szCs w:val="24"/>
        </w:rPr>
      </w:pPr>
    </w:p>
    <w:p w14:paraId="2530CF8C" w14:textId="55507DE4" w:rsidR="00071C88" w:rsidRPr="00C44C4B" w:rsidRDefault="00F5052B">
      <w:pPr>
        <w:pStyle w:val="ListParagraph"/>
        <w:numPr>
          <w:ilvl w:val="0"/>
          <w:numId w:val="1"/>
        </w:numPr>
        <w:spacing w:after="0"/>
        <w:ind w:left="567" w:hanging="567"/>
        <w:rPr>
          <w:sz w:val="24"/>
          <w:szCs w:val="24"/>
        </w:rPr>
      </w:pPr>
      <w:r>
        <w:rPr>
          <w:sz w:val="24"/>
          <w:szCs w:val="24"/>
        </w:rPr>
        <w:t xml:space="preserve">As in </w:t>
      </w:r>
      <w:proofErr w:type="gramStart"/>
      <w:r>
        <w:rPr>
          <w:sz w:val="24"/>
          <w:szCs w:val="24"/>
        </w:rPr>
        <w:t>a number of</w:t>
      </w:r>
      <w:proofErr w:type="gramEnd"/>
      <w:r>
        <w:rPr>
          <w:sz w:val="24"/>
          <w:szCs w:val="24"/>
        </w:rPr>
        <w:t xml:space="preserve"> our previous FTAs</w:t>
      </w:r>
      <w:r w:rsidR="00071C88" w:rsidRPr="543832D4">
        <w:rPr>
          <w:sz w:val="24"/>
          <w:szCs w:val="24"/>
        </w:rPr>
        <w:t xml:space="preserve">, Australia has provided </w:t>
      </w:r>
      <w:r w:rsidR="00357686">
        <w:rPr>
          <w:sz w:val="24"/>
          <w:szCs w:val="24"/>
        </w:rPr>
        <w:t xml:space="preserve">India with additional </w:t>
      </w:r>
      <w:r w:rsidR="001450BE">
        <w:rPr>
          <w:sz w:val="24"/>
          <w:szCs w:val="24"/>
        </w:rPr>
        <w:t xml:space="preserve">certainty on </w:t>
      </w:r>
      <w:r w:rsidR="00071C88" w:rsidRPr="543832D4">
        <w:rPr>
          <w:sz w:val="24"/>
          <w:szCs w:val="24"/>
        </w:rPr>
        <w:t xml:space="preserve">market access </w:t>
      </w:r>
      <w:r w:rsidR="00E3089B">
        <w:rPr>
          <w:sz w:val="24"/>
          <w:szCs w:val="24"/>
        </w:rPr>
        <w:t xml:space="preserve">to </w:t>
      </w:r>
      <w:r w:rsidR="00CE53AB">
        <w:rPr>
          <w:sz w:val="24"/>
          <w:szCs w:val="24"/>
        </w:rPr>
        <w:t>nationals working in</w:t>
      </w:r>
      <w:r w:rsidR="00071C88" w:rsidRPr="543832D4">
        <w:rPr>
          <w:sz w:val="24"/>
          <w:szCs w:val="24"/>
        </w:rPr>
        <w:t xml:space="preserve"> culturally significant occupations</w:t>
      </w:r>
      <w:r w:rsidR="007F534D">
        <w:rPr>
          <w:sz w:val="24"/>
          <w:szCs w:val="24"/>
        </w:rPr>
        <w:t>. The commitment</w:t>
      </w:r>
      <w:r w:rsidR="00357686">
        <w:rPr>
          <w:sz w:val="24"/>
          <w:szCs w:val="24"/>
        </w:rPr>
        <w:t xml:space="preserve"> confirms possible </w:t>
      </w:r>
      <w:r w:rsidR="000F5776">
        <w:rPr>
          <w:sz w:val="24"/>
          <w:szCs w:val="24"/>
        </w:rPr>
        <w:t xml:space="preserve">access </w:t>
      </w:r>
      <w:r w:rsidR="000F5776" w:rsidRPr="543832D4">
        <w:rPr>
          <w:sz w:val="24"/>
          <w:szCs w:val="24"/>
        </w:rPr>
        <w:t>for</w:t>
      </w:r>
      <w:r w:rsidR="00071C88" w:rsidRPr="543832D4">
        <w:rPr>
          <w:sz w:val="24"/>
          <w:szCs w:val="24"/>
        </w:rPr>
        <w:t xml:space="preserve"> a combined total of 1</w:t>
      </w:r>
      <w:r w:rsidR="00217286">
        <w:rPr>
          <w:sz w:val="24"/>
          <w:szCs w:val="24"/>
        </w:rPr>
        <w:t>,</w:t>
      </w:r>
      <w:r w:rsidR="00071C88" w:rsidRPr="543832D4">
        <w:rPr>
          <w:sz w:val="24"/>
          <w:szCs w:val="24"/>
        </w:rPr>
        <w:t xml:space="preserve">800 per year of qualified professional traditional chefs and yoga instructors entering as contractual service suppliers of India. </w:t>
      </w:r>
      <w:r w:rsidR="00D230AB">
        <w:rPr>
          <w:sz w:val="24"/>
          <w:szCs w:val="24"/>
        </w:rPr>
        <w:t>T</w:t>
      </w:r>
      <w:r w:rsidR="00071C88" w:rsidRPr="543832D4">
        <w:rPr>
          <w:sz w:val="24"/>
          <w:szCs w:val="24"/>
        </w:rPr>
        <w:t xml:space="preserve">his is a targeted </w:t>
      </w:r>
      <w:r w:rsidR="00F878A2">
        <w:rPr>
          <w:sz w:val="24"/>
          <w:szCs w:val="24"/>
        </w:rPr>
        <w:t>commitment</w:t>
      </w:r>
      <w:r w:rsidR="00071C88" w:rsidRPr="543832D4">
        <w:rPr>
          <w:sz w:val="24"/>
          <w:szCs w:val="24"/>
        </w:rPr>
        <w:t>,</w:t>
      </w:r>
      <w:r w:rsidR="00E3089B">
        <w:rPr>
          <w:sz w:val="24"/>
          <w:szCs w:val="24"/>
        </w:rPr>
        <w:t xml:space="preserve"> and subject to market demand and sponsorship requirements</w:t>
      </w:r>
      <w:r w:rsidR="008E1591" w:rsidRPr="008E1591">
        <w:rPr>
          <w:sz w:val="24"/>
          <w:szCs w:val="24"/>
        </w:rPr>
        <w:t xml:space="preserve"> </w:t>
      </w:r>
      <w:r w:rsidR="008E1591">
        <w:rPr>
          <w:sz w:val="24"/>
          <w:szCs w:val="24"/>
        </w:rPr>
        <w:t>associated with the Temporary Skills Shortage (TSS) visa.</w:t>
      </w:r>
      <w:r w:rsidR="00071C88" w:rsidRPr="543832D4">
        <w:rPr>
          <w:sz w:val="24"/>
          <w:szCs w:val="24"/>
        </w:rPr>
        <w:t xml:space="preserve"> </w:t>
      </w:r>
      <w:r w:rsidR="008E1591">
        <w:rPr>
          <w:sz w:val="24"/>
          <w:szCs w:val="24"/>
        </w:rPr>
        <w:t>I</w:t>
      </w:r>
      <w:r w:rsidR="00071C88" w:rsidRPr="543832D4">
        <w:rPr>
          <w:sz w:val="24"/>
          <w:szCs w:val="24"/>
        </w:rPr>
        <w:t xml:space="preserve">t is not expected to displace the existing Australian workforce of traditional Indian cuisine chefs or yoga </w:t>
      </w:r>
      <w:proofErr w:type="gramStart"/>
      <w:r w:rsidR="00071C88" w:rsidRPr="543832D4">
        <w:rPr>
          <w:sz w:val="24"/>
          <w:szCs w:val="24"/>
        </w:rPr>
        <w:t>instructors</w:t>
      </w:r>
      <w:r w:rsidR="00CC0496">
        <w:rPr>
          <w:sz w:val="24"/>
          <w:szCs w:val="24"/>
        </w:rPr>
        <w:t>, but</w:t>
      </w:r>
      <w:proofErr w:type="gramEnd"/>
      <w:r w:rsidR="00CC0496">
        <w:rPr>
          <w:sz w:val="24"/>
          <w:szCs w:val="24"/>
        </w:rPr>
        <w:t xml:space="preserve"> may support the development of these traditional Indian occupations in Australia (a strong priority for India globally)</w:t>
      </w:r>
      <w:r w:rsidR="00071C88" w:rsidRPr="543832D4">
        <w:rPr>
          <w:sz w:val="24"/>
          <w:szCs w:val="24"/>
        </w:rPr>
        <w:t xml:space="preserve">. </w:t>
      </w:r>
      <w:r w:rsidR="002A6D37">
        <w:rPr>
          <w:sz w:val="24"/>
          <w:szCs w:val="24"/>
        </w:rPr>
        <w:t>T</w:t>
      </w:r>
      <w:r w:rsidR="00066BBA">
        <w:rPr>
          <w:sz w:val="24"/>
          <w:szCs w:val="24"/>
        </w:rPr>
        <w:t>here are</w:t>
      </w:r>
      <w:r w:rsidR="002A6D37">
        <w:rPr>
          <w:sz w:val="24"/>
          <w:szCs w:val="24"/>
        </w:rPr>
        <w:t xml:space="preserve"> currently</w:t>
      </w:r>
      <w:r w:rsidR="00066BBA">
        <w:rPr>
          <w:sz w:val="24"/>
          <w:szCs w:val="24"/>
        </w:rPr>
        <w:t xml:space="preserve"> </w:t>
      </w:r>
      <w:r w:rsidR="00066BBA" w:rsidRPr="00066BBA">
        <w:rPr>
          <w:sz w:val="24"/>
          <w:szCs w:val="24"/>
        </w:rPr>
        <w:t>over 94,000 chefs in Australia.</w:t>
      </w:r>
      <w:r w:rsidR="00D041AC">
        <w:rPr>
          <w:rStyle w:val="FootnoteReference"/>
          <w:sz w:val="24"/>
          <w:szCs w:val="24"/>
        </w:rPr>
        <w:footnoteReference w:id="78"/>
      </w:r>
      <w:r w:rsidR="00066BBA" w:rsidRPr="00066BBA">
        <w:rPr>
          <w:sz w:val="24"/>
          <w:szCs w:val="24"/>
        </w:rPr>
        <w:t xml:space="preserve"> </w:t>
      </w:r>
      <w:r w:rsidR="00D639CB">
        <w:rPr>
          <w:sz w:val="24"/>
          <w:szCs w:val="24"/>
        </w:rPr>
        <w:t>Data on specific cuisine chefs, such as Indian</w:t>
      </w:r>
      <w:r w:rsidR="001062B0">
        <w:rPr>
          <w:sz w:val="24"/>
          <w:szCs w:val="24"/>
        </w:rPr>
        <w:t xml:space="preserve"> cuisine</w:t>
      </w:r>
      <w:r w:rsidR="00D639CB">
        <w:rPr>
          <w:sz w:val="24"/>
          <w:szCs w:val="24"/>
        </w:rPr>
        <w:t xml:space="preserve">, is unavailable. </w:t>
      </w:r>
      <w:r w:rsidR="00AF68C3">
        <w:rPr>
          <w:sz w:val="24"/>
          <w:szCs w:val="24"/>
        </w:rPr>
        <w:t>Permanent employment data for y</w:t>
      </w:r>
      <w:r w:rsidR="00066BBA" w:rsidRPr="00066BBA">
        <w:rPr>
          <w:sz w:val="24"/>
          <w:szCs w:val="24"/>
        </w:rPr>
        <w:t>oga</w:t>
      </w:r>
      <w:r w:rsidR="00AF68C3">
        <w:rPr>
          <w:sz w:val="24"/>
          <w:szCs w:val="24"/>
        </w:rPr>
        <w:t xml:space="preserve"> instructors is </w:t>
      </w:r>
      <w:r w:rsidR="00F15D00">
        <w:rPr>
          <w:sz w:val="24"/>
          <w:szCs w:val="24"/>
        </w:rPr>
        <w:t xml:space="preserve">also </w:t>
      </w:r>
      <w:r w:rsidR="00AF68C3">
        <w:rPr>
          <w:sz w:val="24"/>
          <w:szCs w:val="24"/>
        </w:rPr>
        <w:t xml:space="preserve">unavailable but </w:t>
      </w:r>
      <w:r w:rsidR="00D8312C">
        <w:rPr>
          <w:sz w:val="24"/>
          <w:szCs w:val="24"/>
        </w:rPr>
        <w:t xml:space="preserve">if considered part of the </w:t>
      </w:r>
      <w:r w:rsidR="00066BBA" w:rsidRPr="00066BBA">
        <w:rPr>
          <w:sz w:val="24"/>
          <w:szCs w:val="24"/>
        </w:rPr>
        <w:t>Fitness Instructors</w:t>
      </w:r>
      <w:r w:rsidR="00673CB1">
        <w:rPr>
          <w:sz w:val="24"/>
          <w:szCs w:val="24"/>
        </w:rPr>
        <w:t xml:space="preserve"> occupation, there are</w:t>
      </w:r>
      <w:r w:rsidR="00F15D00">
        <w:rPr>
          <w:sz w:val="24"/>
          <w:szCs w:val="24"/>
        </w:rPr>
        <w:t xml:space="preserve"> currently</w:t>
      </w:r>
      <w:r w:rsidR="00673CB1">
        <w:rPr>
          <w:sz w:val="24"/>
          <w:szCs w:val="24"/>
        </w:rPr>
        <w:t xml:space="preserve"> </w:t>
      </w:r>
      <w:r w:rsidR="004166DD">
        <w:rPr>
          <w:sz w:val="24"/>
          <w:szCs w:val="24"/>
        </w:rPr>
        <w:t>24,000 instructors</w:t>
      </w:r>
      <w:r w:rsidR="00F15D00">
        <w:rPr>
          <w:rStyle w:val="FootnoteReference"/>
          <w:sz w:val="24"/>
          <w:szCs w:val="24"/>
        </w:rPr>
        <w:footnoteReference w:id="79"/>
      </w:r>
      <w:r w:rsidR="004166DD">
        <w:rPr>
          <w:sz w:val="24"/>
          <w:szCs w:val="24"/>
        </w:rPr>
        <w:t xml:space="preserve"> or </w:t>
      </w:r>
      <w:r w:rsidR="00F15D00">
        <w:rPr>
          <w:sz w:val="24"/>
          <w:szCs w:val="24"/>
        </w:rPr>
        <w:t>part of the</w:t>
      </w:r>
      <w:r w:rsidR="00066BBA" w:rsidRPr="00066BBA">
        <w:rPr>
          <w:sz w:val="24"/>
          <w:szCs w:val="24"/>
        </w:rPr>
        <w:t xml:space="preserve"> Other Sports Coaches and Instructors</w:t>
      </w:r>
      <w:r w:rsidR="00F15D00">
        <w:rPr>
          <w:sz w:val="24"/>
          <w:szCs w:val="24"/>
        </w:rPr>
        <w:t xml:space="preserve"> sector, currently</w:t>
      </w:r>
      <w:r w:rsidR="00932AB5">
        <w:rPr>
          <w:sz w:val="24"/>
          <w:szCs w:val="24"/>
        </w:rPr>
        <w:t xml:space="preserve"> </w:t>
      </w:r>
      <w:r w:rsidR="00FD71AA">
        <w:rPr>
          <w:sz w:val="24"/>
          <w:szCs w:val="24"/>
        </w:rPr>
        <w:t xml:space="preserve">there </w:t>
      </w:r>
      <w:r w:rsidR="00D61DA3">
        <w:rPr>
          <w:sz w:val="24"/>
          <w:szCs w:val="24"/>
        </w:rPr>
        <w:t xml:space="preserve">are </w:t>
      </w:r>
      <w:r w:rsidR="00932AB5">
        <w:rPr>
          <w:sz w:val="24"/>
          <w:szCs w:val="24"/>
        </w:rPr>
        <w:t>7,700</w:t>
      </w:r>
      <w:r w:rsidR="00D61DA3">
        <w:rPr>
          <w:sz w:val="24"/>
          <w:szCs w:val="24"/>
        </w:rPr>
        <w:t xml:space="preserve"> instructors</w:t>
      </w:r>
      <w:r w:rsidR="00066BBA" w:rsidRPr="00066BBA">
        <w:rPr>
          <w:sz w:val="24"/>
          <w:szCs w:val="24"/>
        </w:rPr>
        <w:t>.</w:t>
      </w:r>
      <w:r w:rsidR="00932AB5">
        <w:rPr>
          <w:rStyle w:val="FootnoteReference"/>
          <w:sz w:val="24"/>
          <w:szCs w:val="24"/>
        </w:rPr>
        <w:footnoteReference w:id="80"/>
      </w:r>
      <w:r w:rsidR="00066BBA" w:rsidRPr="00066BBA">
        <w:rPr>
          <w:sz w:val="24"/>
          <w:szCs w:val="24"/>
        </w:rPr>
        <w:t xml:space="preserve"> </w:t>
      </w:r>
      <w:r w:rsidR="002F0FB8">
        <w:rPr>
          <w:sz w:val="24"/>
          <w:szCs w:val="24"/>
        </w:rPr>
        <w:t>Because of the size and nature of the workforce</w:t>
      </w:r>
      <w:r w:rsidR="00FD71AA">
        <w:rPr>
          <w:sz w:val="24"/>
          <w:szCs w:val="24"/>
        </w:rPr>
        <w:t xml:space="preserve">, a cap </w:t>
      </w:r>
      <w:r w:rsidR="007F534D">
        <w:rPr>
          <w:sz w:val="24"/>
          <w:szCs w:val="24"/>
        </w:rPr>
        <w:t>of</w:t>
      </w:r>
      <w:r w:rsidR="00FD71AA">
        <w:rPr>
          <w:sz w:val="24"/>
          <w:szCs w:val="24"/>
        </w:rPr>
        <w:t xml:space="preserve"> 1,800 </w:t>
      </w:r>
      <w:r w:rsidR="00D2329A">
        <w:rPr>
          <w:sz w:val="24"/>
          <w:szCs w:val="24"/>
        </w:rPr>
        <w:t>is</w:t>
      </w:r>
      <w:r w:rsidR="0048200D">
        <w:rPr>
          <w:sz w:val="24"/>
          <w:szCs w:val="24"/>
        </w:rPr>
        <w:t xml:space="preserve"> not </w:t>
      </w:r>
      <w:r w:rsidR="00D2329A">
        <w:rPr>
          <w:sz w:val="24"/>
          <w:szCs w:val="24"/>
        </w:rPr>
        <w:t xml:space="preserve">expected to </w:t>
      </w:r>
      <w:r w:rsidR="0048200D">
        <w:rPr>
          <w:sz w:val="24"/>
          <w:szCs w:val="24"/>
        </w:rPr>
        <w:t>have a displacement effect on the existing market</w:t>
      </w:r>
      <w:r w:rsidR="007F534D">
        <w:rPr>
          <w:sz w:val="24"/>
          <w:szCs w:val="24"/>
        </w:rPr>
        <w:t>s</w:t>
      </w:r>
      <w:r w:rsidR="0048200D">
        <w:rPr>
          <w:sz w:val="24"/>
          <w:szCs w:val="24"/>
        </w:rPr>
        <w:t xml:space="preserve">. </w:t>
      </w:r>
      <w:r w:rsidR="00071C88" w:rsidRPr="543832D4">
        <w:rPr>
          <w:sz w:val="24"/>
          <w:szCs w:val="24"/>
        </w:rPr>
        <w:t xml:space="preserve">It </w:t>
      </w:r>
      <w:r w:rsidR="0048200D">
        <w:rPr>
          <w:sz w:val="24"/>
          <w:szCs w:val="24"/>
        </w:rPr>
        <w:t>could instead be predicted to benefit</w:t>
      </w:r>
      <w:r w:rsidR="00071C88" w:rsidRPr="543832D4">
        <w:rPr>
          <w:sz w:val="24"/>
          <w:szCs w:val="24"/>
        </w:rPr>
        <w:t xml:space="preserve"> the </w:t>
      </w:r>
      <w:r w:rsidR="00EA46DB">
        <w:rPr>
          <w:sz w:val="24"/>
          <w:szCs w:val="24"/>
        </w:rPr>
        <w:t xml:space="preserve">Australian </w:t>
      </w:r>
      <w:r w:rsidR="00071C88" w:rsidRPr="543832D4">
        <w:rPr>
          <w:sz w:val="24"/>
          <w:szCs w:val="24"/>
        </w:rPr>
        <w:t>market</w:t>
      </w:r>
      <w:r w:rsidR="00EA46DB">
        <w:rPr>
          <w:sz w:val="24"/>
          <w:szCs w:val="24"/>
        </w:rPr>
        <w:t xml:space="preserve"> by</w:t>
      </w:r>
      <w:r w:rsidR="002E2742">
        <w:rPr>
          <w:sz w:val="24"/>
          <w:szCs w:val="24"/>
        </w:rPr>
        <w:t xml:space="preserve"> increasing the number of skilled yoga instructors and Indian chefs for</w:t>
      </w:r>
      <w:r w:rsidR="00EA46DB">
        <w:rPr>
          <w:sz w:val="24"/>
          <w:szCs w:val="24"/>
        </w:rPr>
        <w:t xml:space="preserve"> Australian consumers</w:t>
      </w:r>
      <w:r w:rsidR="00D61DA3">
        <w:rPr>
          <w:sz w:val="24"/>
          <w:szCs w:val="24"/>
        </w:rPr>
        <w:t xml:space="preserve"> to enjoy</w:t>
      </w:r>
      <w:r w:rsidR="00EA46DB">
        <w:rPr>
          <w:sz w:val="24"/>
          <w:szCs w:val="24"/>
        </w:rPr>
        <w:t xml:space="preserve"> and </w:t>
      </w:r>
      <w:r w:rsidR="00DE6416">
        <w:rPr>
          <w:sz w:val="24"/>
          <w:szCs w:val="24"/>
        </w:rPr>
        <w:t xml:space="preserve">increase </w:t>
      </w:r>
      <w:r w:rsidR="00EA46DB">
        <w:rPr>
          <w:sz w:val="24"/>
          <w:szCs w:val="24"/>
        </w:rPr>
        <w:t xml:space="preserve">the </w:t>
      </w:r>
      <w:r w:rsidR="00D270BC">
        <w:rPr>
          <w:sz w:val="24"/>
          <w:szCs w:val="24"/>
        </w:rPr>
        <w:t xml:space="preserve">diversity and </w:t>
      </w:r>
      <w:r w:rsidR="00EA46DB">
        <w:rPr>
          <w:sz w:val="24"/>
          <w:szCs w:val="24"/>
        </w:rPr>
        <w:t xml:space="preserve">development of these skills and professions in Australia. </w:t>
      </w:r>
      <w:r w:rsidR="000402F9">
        <w:rPr>
          <w:sz w:val="24"/>
          <w:szCs w:val="24"/>
        </w:rPr>
        <w:t xml:space="preserve">Current visa entry data for </w:t>
      </w:r>
      <w:r w:rsidR="00D3383D">
        <w:rPr>
          <w:sz w:val="24"/>
          <w:szCs w:val="24"/>
        </w:rPr>
        <w:t xml:space="preserve">Indian nationals working in </w:t>
      </w:r>
      <w:r w:rsidR="000402F9">
        <w:rPr>
          <w:sz w:val="24"/>
          <w:szCs w:val="24"/>
        </w:rPr>
        <w:t xml:space="preserve">these </w:t>
      </w:r>
      <w:r w:rsidR="00D3383D">
        <w:rPr>
          <w:sz w:val="24"/>
          <w:szCs w:val="24"/>
        </w:rPr>
        <w:t xml:space="preserve">occupations is provided in </w:t>
      </w:r>
      <w:r w:rsidR="00D3383D" w:rsidRPr="0001716D">
        <w:rPr>
          <w:b/>
          <w:bCs/>
          <w:sz w:val="24"/>
          <w:szCs w:val="24"/>
          <w:u w:val="single"/>
        </w:rPr>
        <w:t xml:space="preserve">Table </w:t>
      </w:r>
      <w:r w:rsidR="00DC7DA2">
        <w:rPr>
          <w:b/>
          <w:bCs/>
          <w:sz w:val="24"/>
          <w:szCs w:val="24"/>
          <w:u w:val="single"/>
        </w:rPr>
        <w:t>1</w:t>
      </w:r>
      <w:r w:rsidR="00771E9C">
        <w:rPr>
          <w:b/>
          <w:bCs/>
          <w:sz w:val="24"/>
          <w:szCs w:val="24"/>
          <w:u w:val="single"/>
        </w:rPr>
        <w:t>3</w:t>
      </w:r>
      <w:r w:rsidR="00D3383D">
        <w:rPr>
          <w:sz w:val="24"/>
          <w:szCs w:val="24"/>
        </w:rPr>
        <w:t xml:space="preserve"> and suggests that there will be an increase based on current low numbers. </w:t>
      </w:r>
      <w:r w:rsidR="00071C88" w:rsidRPr="543832D4">
        <w:rPr>
          <w:sz w:val="24"/>
          <w:szCs w:val="24"/>
        </w:rPr>
        <w:t xml:space="preserve"> </w:t>
      </w:r>
    </w:p>
    <w:p w14:paraId="5C96EA7A" w14:textId="79A7EBCC" w:rsidR="00071C88" w:rsidRDefault="00071C88">
      <w:pPr>
        <w:pStyle w:val="ListParagraph"/>
        <w:spacing w:after="0"/>
        <w:rPr>
          <w:rFonts w:ascii="Calibri" w:hAnsi="Calibri" w:cs="Calibri"/>
          <w:sz w:val="24"/>
          <w:szCs w:val="24"/>
        </w:rPr>
      </w:pPr>
    </w:p>
    <w:p w14:paraId="3A0DE300" w14:textId="77777777" w:rsidR="007B30B0" w:rsidRDefault="007B30B0">
      <w:pPr>
        <w:pStyle w:val="ListParagraph"/>
        <w:spacing w:after="0"/>
        <w:rPr>
          <w:rFonts w:ascii="Calibri" w:hAnsi="Calibri" w:cs="Calibri"/>
          <w:sz w:val="24"/>
          <w:szCs w:val="24"/>
        </w:rPr>
      </w:pPr>
    </w:p>
    <w:p w14:paraId="5088BD67" w14:textId="1A6D3C3E" w:rsidR="00D3383D" w:rsidRDefault="00D3383D" w:rsidP="00771E9C">
      <w:pPr>
        <w:spacing w:after="0"/>
        <w:rPr>
          <w:rFonts w:ascii="Calibri" w:hAnsi="Calibri" w:cs="Calibri"/>
          <w:b/>
          <w:bCs/>
          <w:sz w:val="24"/>
          <w:szCs w:val="24"/>
        </w:rPr>
      </w:pPr>
      <w:r w:rsidRPr="0001716D">
        <w:rPr>
          <w:rFonts w:ascii="Calibri" w:hAnsi="Calibri" w:cs="Calibri"/>
          <w:b/>
          <w:bCs/>
          <w:sz w:val="24"/>
          <w:szCs w:val="24"/>
          <w:u w:val="single"/>
        </w:rPr>
        <w:lastRenderedPageBreak/>
        <w:t xml:space="preserve">Table </w:t>
      </w:r>
      <w:r w:rsidR="00DC7DA2">
        <w:rPr>
          <w:rFonts w:ascii="Calibri" w:hAnsi="Calibri" w:cs="Calibri"/>
          <w:b/>
          <w:bCs/>
          <w:sz w:val="24"/>
          <w:szCs w:val="24"/>
          <w:u w:val="single"/>
        </w:rPr>
        <w:t>1</w:t>
      </w:r>
      <w:r w:rsidR="00771E9C">
        <w:rPr>
          <w:rFonts w:ascii="Calibri" w:hAnsi="Calibri" w:cs="Calibri"/>
          <w:b/>
          <w:bCs/>
          <w:sz w:val="24"/>
          <w:szCs w:val="24"/>
          <w:u w:val="single"/>
        </w:rPr>
        <w:t>3</w:t>
      </w:r>
      <w:r w:rsidRPr="0001716D">
        <w:rPr>
          <w:rFonts w:ascii="Calibri" w:hAnsi="Calibri" w:cs="Calibri"/>
          <w:b/>
          <w:bCs/>
          <w:sz w:val="24"/>
          <w:szCs w:val="24"/>
        </w:rPr>
        <w:t xml:space="preserve">: </w:t>
      </w:r>
      <w:r w:rsidR="00606B9A" w:rsidRPr="0001716D">
        <w:rPr>
          <w:rFonts w:ascii="Calibri" w:hAnsi="Calibri" w:cs="Calibri"/>
          <w:b/>
          <w:bCs/>
          <w:sz w:val="24"/>
          <w:szCs w:val="24"/>
        </w:rPr>
        <w:t>Indian national TSS visa grant for the occupations of Chef and Other Sports Coach or Instructor</w:t>
      </w:r>
    </w:p>
    <w:p w14:paraId="2E0E9BCB" w14:textId="77777777" w:rsidR="00771E9C" w:rsidRPr="0001716D" w:rsidRDefault="00771E9C">
      <w:pPr>
        <w:spacing w:after="0"/>
        <w:rPr>
          <w:rFonts w:ascii="Calibri" w:hAnsi="Calibri" w:cs="Calibri"/>
          <w:b/>
          <w:bCs/>
          <w:sz w:val="24"/>
          <w:szCs w:val="24"/>
        </w:rPr>
      </w:pPr>
    </w:p>
    <w:tbl>
      <w:tblPr>
        <w:tblW w:w="9351" w:type="dxa"/>
        <w:tblCellMar>
          <w:left w:w="0" w:type="dxa"/>
          <w:right w:w="0" w:type="dxa"/>
        </w:tblCellMar>
        <w:tblLook w:val="04A0" w:firstRow="1" w:lastRow="0" w:firstColumn="1" w:lastColumn="0" w:noHBand="0" w:noVBand="1"/>
      </w:tblPr>
      <w:tblGrid>
        <w:gridCol w:w="3180"/>
        <w:gridCol w:w="960"/>
        <w:gridCol w:w="960"/>
        <w:gridCol w:w="960"/>
        <w:gridCol w:w="960"/>
        <w:gridCol w:w="960"/>
        <w:gridCol w:w="1371"/>
      </w:tblGrid>
      <w:tr w:rsidR="00606B9A" w14:paraId="66E11739" w14:textId="77777777" w:rsidTr="00606B9A">
        <w:trPr>
          <w:trHeight w:val="320"/>
        </w:trPr>
        <w:tc>
          <w:tcPr>
            <w:tcW w:w="31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1771F2" w14:textId="77777777" w:rsidR="00606B9A" w:rsidRDefault="00606B9A" w:rsidP="0001716D">
            <w:pPr>
              <w:spacing w:after="0"/>
              <w:rPr>
                <w:b/>
                <w:bCs/>
                <w:color w:val="000000"/>
                <w:lang w:eastAsia="en-AU"/>
              </w:rPr>
            </w:pPr>
            <w:r>
              <w:rPr>
                <w:b/>
                <w:bCs/>
              </w:rPr>
              <w:t>Primary TSS/457 Visa Grant</w:t>
            </w:r>
            <w:r>
              <w:br/>
            </w:r>
            <w:r>
              <w:rPr>
                <w:b/>
                <w:bCs/>
                <w:color w:val="000000"/>
              </w:rPr>
              <w:t>Chef</w:t>
            </w:r>
          </w:p>
        </w:tc>
        <w:tc>
          <w:tcPr>
            <w:tcW w:w="9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7B0AD6" w14:textId="77777777" w:rsidR="00606B9A" w:rsidRDefault="00606B9A" w:rsidP="0001716D">
            <w:pPr>
              <w:spacing w:after="0"/>
              <w:jc w:val="center"/>
              <w:rPr>
                <w:b/>
                <w:bCs/>
                <w:color w:val="000000"/>
              </w:rPr>
            </w:pPr>
            <w:r>
              <w:rPr>
                <w:b/>
                <w:bCs/>
                <w:color w:val="000000"/>
              </w:rPr>
              <w:t>2016-17</w:t>
            </w:r>
          </w:p>
        </w:tc>
        <w:tc>
          <w:tcPr>
            <w:tcW w:w="9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B76E2" w14:textId="77777777" w:rsidR="00606B9A" w:rsidRDefault="00606B9A" w:rsidP="0001716D">
            <w:pPr>
              <w:spacing w:after="0"/>
              <w:jc w:val="center"/>
              <w:rPr>
                <w:b/>
                <w:bCs/>
                <w:color w:val="000000"/>
              </w:rPr>
            </w:pPr>
            <w:r>
              <w:rPr>
                <w:b/>
                <w:bCs/>
                <w:color w:val="000000"/>
              </w:rPr>
              <w:t>2017-18</w:t>
            </w:r>
          </w:p>
        </w:tc>
        <w:tc>
          <w:tcPr>
            <w:tcW w:w="9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EC65FC" w14:textId="77777777" w:rsidR="00606B9A" w:rsidRDefault="00606B9A" w:rsidP="0001716D">
            <w:pPr>
              <w:spacing w:after="0"/>
              <w:jc w:val="center"/>
              <w:rPr>
                <w:b/>
                <w:bCs/>
                <w:color w:val="000000"/>
              </w:rPr>
            </w:pPr>
            <w:r>
              <w:rPr>
                <w:b/>
                <w:bCs/>
                <w:color w:val="000000"/>
              </w:rPr>
              <w:t>2018-19</w:t>
            </w:r>
          </w:p>
        </w:tc>
        <w:tc>
          <w:tcPr>
            <w:tcW w:w="9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1162FF" w14:textId="77777777" w:rsidR="00606B9A" w:rsidRDefault="00606B9A" w:rsidP="0001716D">
            <w:pPr>
              <w:spacing w:after="0"/>
              <w:jc w:val="center"/>
              <w:rPr>
                <w:b/>
                <w:bCs/>
                <w:color w:val="000000"/>
              </w:rPr>
            </w:pPr>
            <w:r>
              <w:rPr>
                <w:b/>
                <w:bCs/>
                <w:color w:val="000000"/>
              </w:rPr>
              <w:t>2019-20</w:t>
            </w:r>
          </w:p>
        </w:tc>
        <w:tc>
          <w:tcPr>
            <w:tcW w:w="9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0F7A38" w14:textId="77777777" w:rsidR="00606B9A" w:rsidRDefault="00606B9A" w:rsidP="0001716D">
            <w:pPr>
              <w:spacing w:after="0"/>
              <w:jc w:val="center"/>
              <w:rPr>
                <w:b/>
                <w:bCs/>
                <w:color w:val="000000"/>
              </w:rPr>
            </w:pPr>
            <w:r>
              <w:rPr>
                <w:b/>
                <w:bCs/>
                <w:color w:val="000000"/>
              </w:rPr>
              <w:t>2020-21</w:t>
            </w:r>
          </w:p>
        </w:tc>
        <w:tc>
          <w:tcPr>
            <w:tcW w:w="13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D0AF47" w14:textId="77777777" w:rsidR="00606B9A" w:rsidRDefault="00606B9A" w:rsidP="0001716D">
            <w:pPr>
              <w:spacing w:after="0"/>
              <w:jc w:val="center"/>
              <w:rPr>
                <w:b/>
                <w:bCs/>
                <w:color w:val="000000"/>
              </w:rPr>
            </w:pPr>
            <w:r>
              <w:rPr>
                <w:b/>
                <w:bCs/>
                <w:color w:val="000000"/>
              </w:rPr>
              <w:t>2021-22</w:t>
            </w:r>
            <w:r>
              <w:rPr>
                <w:b/>
                <w:bCs/>
                <w:color w:val="000000"/>
              </w:rPr>
              <w:br/>
            </w:r>
            <w:r>
              <w:rPr>
                <w:b/>
                <w:bCs/>
                <w:color w:val="000000"/>
                <w:sz w:val="18"/>
                <w:szCs w:val="18"/>
              </w:rPr>
              <w:t>(to 31-Dec-21)</w:t>
            </w:r>
          </w:p>
        </w:tc>
      </w:tr>
      <w:tr w:rsidR="00606B9A" w14:paraId="4DDFE884" w14:textId="77777777" w:rsidTr="00606B9A">
        <w:trPr>
          <w:trHeight w:val="290"/>
        </w:trPr>
        <w:tc>
          <w:tcPr>
            <w:tcW w:w="3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444DD24" w14:textId="77777777" w:rsidR="00606B9A" w:rsidRDefault="00606B9A" w:rsidP="0001716D">
            <w:pPr>
              <w:spacing w:after="0"/>
              <w:rPr>
                <w:color w:val="000000"/>
              </w:rPr>
            </w:pPr>
            <w:r>
              <w:rPr>
                <w:color w:val="000000"/>
              </w:rPr>
              <w:t>Indian Nationals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E49C73" w14:textId="77777777" w:rsidR="00606B9A" w:rsidRDefault="00606B9A" w:rsidP="0001716D">
            <w:pPr>
              <w:spacing w:after="0"/>
              <w:jc w:val="center"/>
              <w:rPr>
                <w:color w:val="000000"/>
              </w:rPr>
            </w:pPr>
            <w:r>
              <w:rPr>
                <w:color w:val="000000"/>
              </w:rPr>
              <w:t>83</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52B09C" w14:textId="77777777" w:rsidR="00606B9A" w:rsidRDefault="00606B9A" w:rsidP="0001716D">
            <w:pPr>
              <w:spacing w:after="0"/>
              <w:jc w:val="center"/>
              <w:rPr>
                <w:color w:val="000000"/>
              </w:rPr>
            </w:pPr>
            <w:r>
              <w:rPr>
                <w:color w:val="000000"/>
              </w:rPr>
              <w:t>100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4E196E" w14:textId="77777777" w:rsidR="00606B9A" w:rsidRDefault="00606B9A" w:rsidP="0001716D">
            <w:pPr>
              <w:spacing w:after="0"/>
              <w:jc w:val="center"/>
              <w:rPr>
                <w:color w:val="000000"/>
              </w:rPr>
            </w:pPr>
            <w:r>
              <w:rPr>
                <w:color w:val="000000"/>
              </w:rPr>
              <w:t>140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3252C0" w14:textId="77777777" w:rsidR="00606B9A" w:rsidRDefault="00606B9A" w:rsidP="0001716D">
            <w:pPr>
              <w:spacing w:after="0"/>
              <w:jc w:val="center"/>
              <w:rPr>
                <w:color w:val="000000"/>
              </w:rPr>
            </w:pPr>
            <w:r>
              <w:rPr>
                <w:color w:val="000000"/>
              </w:rPr>
              <w:t>111</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9D55A9" w14:textId="77777777" w:rsidR="00606B9A" w:rsidRDefault="00606B9A" w:rsidP="0001716D">
            <w:pPr>
              <w:spacing w:after="0"/>
              <w:jc w:val="center"/>
              <w:rPr>
                <w:color w:val="000000"/>
              </w:rPr>
            </w:pPr>
            <w:r>
              <w:rPr>
                <w:color w:val="000000"/>
              </w:rPr>
              <w:t>109</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EBF9ED" w14:textId="77777777" w:rsidR="00606B9A" w:rsidRDefault="00606B9A" w:rsidP="0001716D">
            <w:pPr>
              <w:spacing w:after="0"/>
              <w:jc w:val="center"/>
              <w:rPr>
                <w:color w:val="000000"/>
              </w:rPr>
            </w:pPr>
            <w:r>
              <w:rPr>
                <w:color w:val="000000"/>
              </w:rPr>
              <w:t>188*</w:t>
            </w:r>
          </w:p>
        </w:tc>
      </w:tr>
      <w:tr w:rsidR="00606B9A" w14:paraId="0FBB7324" w14:textId="77777777" w:rsidTr="00606B9A">
        <w:trPr>
          <w:trHeight w:val="290"/>
        </w:trPr>
        <w:tc>
          <w:tcPr>
            <w:tcW w:w="3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1E7ED9E" w14:textId="77777777" w:rsidR="00606B9A" w:rsidRDefault="00606B9A" w:rsidP="0001716D">
            <w:pPr>
              <w:spacing w:after="0"/>
              <w:rPr>
                <w:color w:val="000000"/>
              </w:rPr>
            </w:pPr>
            <w:r>
              <w:rPr>
                <w:color w:val="000000"/>
              </w:rPr>
              <w:t>All Countries/Nationalities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937BD2" w14:textId="77777777" w:rsidR="00606B9A" w:rsidRDefault="00606B9A" w:rsidP="0001716D">
            <w:pPr>
              <w:spacing w:after="0"/>
              <w:jc w:val="center"/>
              <w:rPr>
                <w:color w:val="000000"/>
              </w:rPr>
            </w:pPr>
            <w:r>
              <w:rPr>
                <w:color w:val="000000"/>
              </w:rPr>
              <w:t>1,109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0214B0" w14:textId="77777777" w:rsidR="00606B9A" w:rsidRDefault="00606B9A" w:rsidP="0001716D">
            <w:pPr>
              <w:spacing w:after="0"/>
              <w:jc w:val="center"/>
              <w:rPr>
                <w:color w:val="000000"/>
              </w:rPr>
            </w:pPr>
            <w:r>
              <w:rPr>
                <w:color w:val="000000"/>
              </w:rPr>
              <w:t>1,129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E05EE9" w14:textId="77777777" w:rsidR="00606B9A" w:rsidRDefault="00606B9A" w:rsidP="0001716D">
            <w:pPr>
              <w:spacing w:after="0"/>
              <w:jc w:val="center"/>
              <w:rPr>
                <w:color w:val="000000"/>
              </w:rPr>
            </w:pPr>
            <w:r>
              <w:rPr>
                <w:color w:val="000000"/>
              </w:rPr>
              <w:t>1,594</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A5C240" w14:textId="77777777" w:rsidR="00606B9A" w:rsidRDefault="00606B9A" w:rsidP="0001716D">
            <w:pPr>
              <w:spacing w:after="0"/>
              <w:jc w:val="center"/>
              <w:rPr>
                <w:color w:val="000000"/>
              </w:rPr>
            </w:pPr>
            <w:r>
              <w:rPr>
                <w:color w:val="000000"/>
              </w:rPr>
              <w:t>715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19CE2A" w14:textId="77777777" w:rsidR="00606B9A" w:rsidRDefault="00606B9A" w:rsidP="0001716D">
            <w:pPr>
              <w:spacing w:after="0"/>
              <w:jc w:val="center"/>
              <w:rPr>
                <w:color w:val="000000"/>
              </w:rPr>
            </w:pPr>
            <w:r>
              <w:rPr>
                <w:color w:val="000000"/>
              </w:rPr>
              <w:t>896</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0714F3" w14:textId="77777777" w:rsidR="00606B9A" w:rsidRDefault="00606B9A" w:rsidP="0001716D">
            <w:pPr>
              <w:spacing w:after="0"/>
              <w:jc w:val="center"/>
              <w:rPr>
                <w:color w:val="000000"/>
              </w:rPr>
            </w:pPr>
            <w:r>
              <w:rPr>
                <w:color w:val="000000"/>
              </w:rPr>
              <w:t>1,370</w:t>
            </w:r>
          </w:p>
        </w:tc>
      </w:tr>
      <w:tr w:rsidR="00606B9A" w14:paraId="5CA757E6" w14:textId="77777777" w:rsidTr="00606B9A">
        <w:trPr>
          <w:trHeight w:val="290"/>
        </w:trPr>
        <w:tc>
          <w:tcPr>
            <w:tcW w:w="3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53CDCC9" w14:textId="77777777" w:rsidR="00606B9A" w:rsidRDefault="00606B9A" w:rsidP="0001716D">
            <w:pPr>
              <w:spacing w:after="0"/>
              <w:rPr>
                <w:color w:val="000000"/>
              </w:rPr>
            </w:pPr>
            <w:r>
              <w:rPr>
                <w:color w:val="000000"/>
              </w:rPr>
              <w:t xml:space="preserve">Indian % of visa grant for </w:t>
            </w:r>
            <w:proofErr w:type="spellStart"/>
            <w:r>
              <w:rPr>
                <w:color w:val="000000"/>
              </w:rPr>
              <w:t>occ</w:t>
            </w:r>
            <w:r>
              <w:rPr>
                <w:color w:val="000000"/>
                <w:vertAlign w:val="superscript"/>
              </w:rPr>
              <w:t>n</w:t>
            </w:r>
            <w:proofErr w:type="spellEnd"/>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EEC10B" w14:textId="77777777" w:rsidR="00606B9A" w:rsidRDefault="00606B9A" w:rsidP="0001716D">
            <w:pPr>
              <w:spacing w:after="0"/>
              <w:jc w:val="center"/>
              <w:rPr>
                <w:color w:val="000000"/>
              </w:rPr>
            </w:pPr>
            <w:r>
              <w:rPr>
                <w:color w:val="000000"/>
              </w:rPr>
              <w:t>7.5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709B6A" w14:textId="77777777" w:rsidR="00606B9A" w:rsidRDefault="00606B9A" w:rsidP="0001716D">
            <w:pPr>
              <w:spacing w:after="0"/>
              <w:jc w:val="center"/>
              <w:rPr>
                <w:color w:val="000000"/>
              </w:rPr>
            </w:pPr>
            <w:r>
              <w:rPr>
                <w:color w:val="000000"/>
              </w:rPr>
              <w:t>8.9</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06F1E0" w14:textId="77777777" w:rsidR="00606B9A" w:rsidRDefault="00606B9A" w:rsidP="0001716D">
            <w:pPr>
              <w:spacing w:after="0"/>
              <w:jc w:val="center"/>
              <w:rPr>
                <w:color w:val="000000"/>
              </w:rPr>
            </w:pPr>
            <w:r>
              <w:rPr>
                <w:color w:val="000000"/>
              </w:rPr>
              <w:t>8.8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79D2FA" w14:textId="77777777" w:rsidR="00606B9A" w:rsidRDefault="00606B9A" w:rsidP="0001716D">
            <w:pPr>
              <w:spacing w:after="0"/>
              <w:jc w:val="center"/>
              <w:rPr>
                <w:color w:val="000000"/>
              </w:rPr>
            </w:pPr>
            <w:r>
              <w:rPr>
                <w:color w:val="000000"/>
              </w:rPr>
              <w:t>15.5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9F87EE" w14:textId="77777777" w:rsidR="00606B9A" w:rsidRDefault="00606B9A" w:rsidP="0001716D">
            <w:pPr>
              <w:spacing w:after="0"/>
              <w:jc w:val="center"/>
              <w:rPr>
                <w:color w:val="000000"/>
              </w:rPr>
            </w:pPr>
            <w:r>
              <w:rPr>
                <w:color w:val="000000"/>
              </w:rPr>
              <w:t>12.2</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2E7766" w14:textId="77777777" w:rsidR="00606B9A" w:rsidRDefault="00606B9A" w:rsidP="0001716D">
            <w:pPr>
              <w:spacing w:after="0"/>
              <w:jc w:val="center"/>
              <w:rPr>
                <w:color w:val="000000"/>
              </w:rPr>
            </w:pPr>
            <w:r>
              <w:rPr>
                <w:color w:val="000000"/>
              </w:rPr>
              <w:t>13.7</w:t>
            </w:r>
          </w:p>
        </w:tc>
      </w:tr>
      <w:tr w:rsidR="00606B9A" w14:paraId="306789D3" w14:textId="77777777" w:rsidTr="00606B9A">
        <w:trPr>
          <w:trHeight w:val="290"/>
        </w:trPr>
        <w:tc>
          <w:tcPr>
            <w:tcW w:w="3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E3F636" w14:textId="77777777" w:rsidR="00606B9A" w:rsidRDefault="00606B9A" w:rsidP="0001716D">
            <w:pPr>
              <w:spacing w:after="0"/>
              <w:rPr>
                <w:b/>
                <w:bCs/>
                <w:color w:val="000000"/>
              </w:rPr>
            </w:pPr>
            <w:r>
              <w:rPr>
                <w:b/>
                <w:bCs/>
                <w:color w:val="000000"/>
              </w:rPr>
              <w:t>Other Sports Coach or Instructor</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693F6C" w14:textId="77777777" w:rsidR="00606B9A" w:rsidRDefault="00606B9A" w:rsidP="0001716D">
            <w:pPr>
              <w:spacing w:after="0"/>
              <w:rPr>
                <w:b/>
                <w:bCs/>
                <w:color w:val="000000"/>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B2E8D9" w14:textId="77777777" w:rsidR="00606B9A" w:rsidRDefault="00606B9A" w:rsidP="0001716D">
            <w:pPr>
              <w:spacing w:after="0"/>
              <w:rPr>
                <w:rFonts w:ascii="Times New Roman" w:eastAsia="Times New Roman" w:hAnsi="Times New Roman" w:cs="Times New Roman"/>
                <w:sz w:val="20"/>
                <w:szCs w:val="20"/>
                <w:lang w:eastAsia="en-AU"/>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9BCC23" w14:textId="77777777" w:rsidR="00606B9A" w:rsidRDefault="00606B9A" w:rsidP="0001716D">
            <w:pPr>
              <w:spacing w:after="0"/>
              <w:rPr>
                <w:rFonts w:ascii="Times New Roman" w:eastAsia="Times New Roman" w:hAnsi="Times New Roman" w:cs="Times New Roman"/>
                <w:sz w:val="20"/>
                <w:szCs w:val="20"/>
                <w:lang w:eastAsia="en-AU"/>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F32591" w14:textId="77777777" w:rsidR="00606B9A" w:rsidRDefault="00606B9A" w:rsidP="0001716D">
            <w:pPr>
              <w:spacing w:after="0"/>
              <w:rPr>
                <w:rFonts w:ascii="Times New Roman" w:eastAsia="Times New Roman" w:hAnsi="Times New Roman" w:cs="Times New Roman"/>
                <w:sz w:val="20"/>
                <w:szCs w:val="20"/>
                <w:lang w:eastAsia="en-AU"/>
              </w:rPr>
            </w:pP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F51721" w14:textId="77777777" w:rsidR="00606B9A" w:rsidRDefault="00606B9A" w:rsidP="0001716D">
            <w:pPr>
              <w:spacing w:after="0"/>
              <w:rPr>
                <w:rFonts w:ascii="Times New Roman" w:eastAsia="Times New Roman" w:hAnsi="Times New Roman" w:cs="Times New Roman"/>
                <w:sz w:val="20"/>
                <w:szCs w:val="20"/>
                <w:lang w:eastAsia="en-AU"/>
              </w:rPr>
            </w:pP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84EC3C" w14:textId="77777777" w:rsidR="00606B9A" w:rsidRDefault="00606B9A" w:rsidP="0001716D">
            <w:pPr>
              <w:spacing w:after="0"/>
              <w:rPr>
                <w:rFonts w:ascii="Times New Roman" w:eastAsia="Times New Roman" w:hAnsi="Times New Roman" w:cs="Times New Roman"/>
                <w:sz w:val="20"/>
                <w:szCs w:val="20"/>
                <w:lang w:eastAsia="en-AU"/>
              </w:rPr>
            </w:pPr>
          </w:p>
        </w:tc>
      </w:tr>
      <w:tr w:rsidR="00606B9A" w14:paraId="3D3AC1BF" w14:textId="77777777" w:rsidTr="00606B9A">
        <w:trPr>
          <w:trHeight w:val="290"/>
        </w:trPr>
        <w:tc>
          <w:tcPr>
            <w:tcW w:w="3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F1F2DD6" w14:textId="77777777" w:rsidR="00606B9A" w:rsidRDefault="00606B9A" w:rsidP="0001716D">
            <w:pPr>
              <w:spacing w:after="0"/>
              <w:rPr>
                <w:rFonts w:ascii="Calibri" w:hAnsi="Calibri" w:cs="Calibri"/>
                <w:color w:val="000000"/>
              </w:rPr>
            </w:pPr>
            <w:r>
              <w:rPr>
                <w:color w:val="000000"/>
              </w:rPr>
              <w:t>Indian Nationals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2E177A" w14:textId="77777777" w:rsidR="00606B9A" w:rsidRDefault="00606B9A" w:rsidP="0001716D">
            <w:pPr>
              <w:spacing w:after="0"/>
              <w:jc w:val="center"/>
              <w:rPr>
                <w:color w:val="000000"/>
              </w:rPr>
            </w:pPr>
            <w:r>
              <w:rPr>
                <w:color w:val="000000"/>
              </w:rPr>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4767A8" w14:textId="77777777" w:rsidR="00606B9A" w:rsidRDefault="00606B9A" w:rsidP="0001716D">
            <w:pPr>
              <w:spacing w:after="0"/>
              <w:jc w:val="center"/>
              <w:rPr>
                <w:color w:val="000000"/>
              </w:rPr>
            </w:pPr>
            <w:r>
              <w:rPr>
                <w:color w:val="000000"/>
              </w:rPr>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F6064AE" w14:textId="77777777" w:rsidR="00606B9A" w:rsidRDefault="00606B9A" w:rsidP="0001716D">
            <w:pPr>
              <w:spacing w:after="0"/>
              <w:jc w:val="center"/>
              <w:rPr>
                <w:color w:val="000000"/>
              </w:rPr>
            </w:pPr>
            <w:r>
              <w:rPr>
                <w:color w:val="000000"/>
              </w:rPr>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036071" w14:textId="77777777" w:rsidR="00606B9A" w:rsidRDefault="00606B9A" w:rsidP="0001716D">
            <w:pPr>
              <w:spacing w:after="0"/>
              <w:jc w:val="center"/>
              <w:rPr>
                <w:color w:val="000000"/>
              </w:rPr>
            </w:pPr>
            <w:r>
              <w:rPr>
                <w:color w:val="000000"/>
              </w:rPr>
              <w:t>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97CB5A" w14:textId="77777777" w:rsidR="00606B9A" w:rsidRDefault="00606B9A" w:rsidP="0001716D">
            <w:pPr>
              <w:spacing w:after="0"/>
              <w:jc w:val="center"/>
              <w:rPr>
                <w:color w:val="000000"/>
              </w:rPr>
            </w:pPr>
            <w:r>
              <w:rPr>
                <w:color w:val="000000"/>
              </w:rPr>
              <w:t>0</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614902" w14:textId="77777777" w:rsidR="00606B9A" w:rsidRDefault="00606B9A" w:rsidP="0001716D">
            <w:pPr>
              <w:spacing w:after="0"/>
              <w:jc w:val="center"/>
              <w:rPr>
                <w:color w:val="000000"/>
              </w:rPr>
            </w:pPr>
            <w:r>
              <w:rPr>
                <w:color w:val="000000"/>
              </w:rPr>
              <w:t>0</w:t>
            </w:r>
          </w:p>
        </w:tc>
      </w:tr>
      <w:tr w:rsidR="00606B9A" w14:paraId="5085B6C6" w14:textId="77777777" w:rsidTr="00606B9A">
        <w:trPr>
          <w:trHeight w:val="290"/>
        </w:trPr>
        <w:tc>
          <w:tcPr>
            <w:tcW w:w="3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2278512" w14:textId="77777777" w:rsidR="00606B9A" w:rsidRDefault="00606B9A" w:rsidP="0001716D">
            <w:pPr>
              <w:spacing w:after="0"/>
              <w:rPr>
                <w:color w:val="000000"/>
              </w:rPr>
            </w:pPr>
            <w:r>
              <w:rPr>
                <w:color w:val="000000"/>
              </w:rPr>
              <w:t>All Countries/Nationalities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28BE5C" w14:textId="77777777" w:rsidR="00606B9A" w:rsidRDefault="00606B9A" w:rsidP="0001716D">
            <w:pPr>
              <w:spacing w:after="0"/>
              <w:jc w:val="center"/>
              <w:rPr>
                <w:color w:val="000000"/>
              </w:rPr>
            </w:pPr>
            <w:r>
              <w:rPr>
                <w:color w:val="000000"/>
              </w:rPr>
              <w:t>66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1B9973" w14:textId="77777777" w:rsidR="00606B9A" w:rsidRDefault="00606B9A" w:rsidP="0001716D">
            <w:pPr>
              <w:spacing w:after="0"/>
              <w:jc w:val="center"/>
              <w:rPr>
                <w:color w:val="000000"/>
              </w:rPr>
            </w:pPr>
            <w:r>
              <w:rPr>
                <w:color w:val="000000"/>
              </w:rPr>
              <w:t>28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DABC4D" w14:textId="77777777" w:rsidR="00606B9A" w:rsidRDefault="00606B9A" w:rsidP="0001716D">
            <w:pPr>
              <w:spacing w:after="0"/>
              <w:jc w:val="center"/>
              <w:rPr>
                <w:color w:val="000000"/>
              </w:rPr>
            </w:pPr>
            <w:r>
              <w:rPr>
                <w:color w:val="000000"/>
              </w:rPr>
              <w:t>50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76A28D" w14:textId="77777777" w:rsidR="00606B9A" w:rsidRDefault="00606B9A" w:rsidP="0001716D">
            <w:pPr>
              <w:spacing w:after="0"/>
              <w:jc w:val="center"/>
              <w:rPr>
                <w:color w:val="000000"/>
              </w:rPr>
            </w:pPr>
            <w:r>
              <w:rPr>
                <w:color w:val="000000"/>
              </w:rPr>
              <w:t>36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46C720" w14:textId="77777777" w:rsidR="00606B9A" w:rsidRDefault="00606B9A" w:rsidP="0001716D">
            <w:pPr>
              <w:spacing w:after="0"/>
              <w:jc w:val="center"/>
              <w:rPr>
                <w:color w:val="000000"/>
              </w:rPr>
            </w:pPr>
            <w:r>
              <w:rPr>
                <w:color w:val="000000"/>
              </w:rPr>
              <w:t>21</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51F08A" w14:textId="77777777" w:rsidR="00606B9A" w:rsidRDefault="00606B9A" w:rsidP="0001716D">
            <w:pPr>
              <w:spacing w:after="0"/>
              <w:jc w:val="center"/>
              <w:rPr>
                <w:color w:val="000000"/>
              </w:rPr>
            </w:pPr>
            <w:r>
              <w:rPr>
                <w:color w:val="000000"/>
              </w:rPr>
              <w:t>11</w:t>
            </w:r>
          </w:p>
        </w:tc>
      </w:tr>
      <w:tr w:rsidR="00606B9A" w14:paraId="70A46181" w14:textId="77777777" w:rsidTr="00606B9A">
        <w:trPr>
          <w:trHeight w:val="290"/>
        </w:trPr>
        <w:tc>
          <w:tcPr>
            <w:tcW w:w="318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C19F33" w14:textId="77777777" w:rsidR="00606B9A" w:rsidRDefault="00606B9A" w:rsidP="0001716D">
            <w:pPr>
              <w:spacing w:after="0"/>
              <w:rPr>
                <w:color w:val="000000"/>
              </w:rPr>
            </w:pPr>
            <w:r>
              <w:rPr>
                <w:color w:val="000000"/>
              </w:rPr>
              <w:t xml:space="preserve">Indian % of visa grant for </w:t>
            </w:r>
            <w:proofErr w:type="spellStart"/>
            <w:r>
              <w:rPr>
                <w:color w:val="000000"/>
              </w:rPr>
              <w:t>occ</w:t>
            </w:r>
            <w:r>
              <w:rPr>
                <w:color w:val="000000"/>
                <w:vertAlign w:val="superscript"/>
              </w:rPr>
              <w:t>n</w:t>
            </w:r>
            <w:proofErr w:type="spellEnd"/>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053622" w14:textId="77777777" w:rsidR="00606B9A" w:rsidRDefault="00606B9A" w:rsidP="0001716D">
            <w:pPr>
              <w:spacing w:after="0"/>
              <w:jc w:val="center"/>
              <w:rPr>
                <w:color w:val="000000"/>
              </w:rPr>
            </w:pPr>
            <w:r>
              <w:rPr>
                <w:color w:val="000000"/>
              </w:rPr>
              <w:t>0.0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FA5837" w14:textId="77777777" w:rsidR="00606B9A" w:rsidRDefault="00606B9A" w:rsidP="0001716D">
            <w:pPr>
              <w:spacing w:after="0"/>
              <w:jc w:val="center"/>
              <w:rPr>
                <w:color w:val="000000"/>
              </w:rPr>
            </w:pPr>
            <w:r>
              <w:rPr>
                <w:color w:val="000000"/>
              </w:rPr>
              <w:t>0.0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173A16" w14:textId="77777777" w:rsidR="00606B9A" w:rsidRDefault="00606B9A" w:rsidP="0001716D">
            <w:pPr>
              <w:spacing w:after="0"/>
              <w:jc w:val="center"/>
              <w:rPr>
                <w:color w:val="000000"/>
              </w:rPr>
            </w:pPr>
            <w:r>
              <w:rPr>
                <w:color w:val="000000"/>
              </w:rPr>
              <w:t>0.0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1C0B06" w14:textId="77777777" w:rsidR="00606B9A" w:rsidRDefault="00606B9A" w:rsidP="0001716D">
            <w:pPr>
              <w:spacing w:after="0"/>
              <w:jc w:val="center"/>
              <w:rPr>
                <w:color w:val="000000"/>
              </w:rPr>
            </w:pPr>
            <w:r>
              <w:rPr>
                <w:color w:val="000000"/>
              </w:rPr>
              <w:t>0.0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DFC564" w14:textId="77777777" w:rsidR="00606B9A" w:rsidRDefault="00606B9A" w:rsidP="0001716D">
            <w:pPr>
              <w:spacing w:after="0"/>
              <w:jc w:val="center"/>
              <w:rPr>
                <w:color w:val="000000"/>
              </w:rPr>
            </w:pPr>
            <w:r>
              <w:rPr>
                <w:color w:val="000000"/>
              </w:rPr>
              <w:t>0.0</w:t>
            </w:r>
          </w:p>
        </w:tc>
        <w:tc>
          <w:tcPr>
            <w:tcW w:w="13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A4497F" w14:textId="77777777" w:rsidR="00606B9A" w:rsidRDefault="00606B9A" w:rsidP="0001716D">
            <w:pPr>
              <w:spacing w:after="0"/>
              <w:jc w:val="center"/>
              <w:rPr>
                <w:color w:val="000000"/>
              </w:rPr>
            </w:pPr>
            <w:r>
              <w:rPr>
                <w:color w:val="000000"/>
              </w:rPr>
              <w:t>0.0</w:t>
            </w:r>
          </w:p>
        </w:tc>
      </w:tr>
    </w:tbl>
    <w:p w14:paraId="7DB9AF1F" w14:textId="64594961" w:rsidR="00606B9A" w:rsidRPr="0001716D" w:rsidRDefault="00606B9A" w:rsidP="0001716D">
      <w:pPr>
        <w:spacing w:after="0"/>
        <w:rPr>
          <w:rFonts w:ascii="Calibri" w:hAnsi="Calibri" w:cs="Calibri"/>
          <w:sz w:val="20"/>
          <w:szCs w:val="20"/>
        </w:rPr>
      </w:pPr>
      <w:r w:rsidRPr="00D92D2A">
        <w:rPr>
          <w:sz w:val="20"/>
          <w:szCs w:val="20"/>
        </w:rPr>
        <w:t>*</w:t>
      </w:r>
      <w:proofErr w:type="gramStart"/>
      <w:r w:rsidR="001602F2" w:rsidRPr="0001716D">
        <w:rPr>
          <w:sz w:val="20"/>
          <w:szCs w:val="20"/>
        </w:rPr>
        <w:t>f</w:t>
      </w:r>
      <w:r w:rsidRPr="0001716D">
        <w:rPr>
          <w:sz w:val="20"/>
          <w:szCs w:val="20"/>
        </w:rPr>
        <w:t>ollows</w:t>
      </w:r>
      <w:proofErr w:type="gramEnd"/>
      <w:r w:rsidRPr="0001716D">
        <w:rPr>
          <w:sz w:val="20"/>
          <w:szCs w:val="20"/>
        </w:rPr>
        <w:t xml:space="preserve"> inclusion of Chef on PMSOL from 22 June 2022</w:t>
      </w:r>
    </w:p>
    <w:p w14:paraId="5C5A3A24" w14:textId="77777777" w:rsidR="00D3383D" w:rsidRPr="00316A63" w:rsidRDefault="00D3383D">
      <w:pPr>
        <w:pStyle w:val="ListParagraph"/>
        <w:spacing w:after="0"/>
        <w:rPr>
          <w:rFonts w:ascii="Calibri" w:hAnsi="Calibri" w:cs="Calibri"/>
          <w:sz w:val="24"/>
          <w:szCs w:val="24"/>
        </w:rPr>
      </w:pPr>
    </w:p>
    <w:p w14:paraId="24AE2223" w14:textId="4F55B8E9" w:rsidR="00071C88" w:rsidRPr="00BE7268" w:rsidRDefault="00071C88">
      <w:pPr>
        <w:pStyle w:val="ListParagraph"/>
        <w:numPr>
          <w:ilvl w:val="0"/>
          <w:numId w:val="1"/>
        </w:numPr>
        <w:spacing w:after="0"/>
        <w:ind w:left="567" w:hanging="567"/>
        <w:rPr>
          <w:sz w:val="24"/>
          <w:szCs w:val="24"/>
        </w:rPr>
      </w:pPr>
      <w:r w:rsidRPr="543832D4">
        <w:rPr>
          <w:rFonts w:ascii="Calibri" w:hAnsi="Calibri" w:cs="Calibri"/>
          <w:sz w:val="24"/>
          <w:szCs w:val="24"/>
        </w:rPr>
        <w:t>The net benefit for Australia from the mobility commitments includes greater certainty on mobility pathways</w:t>
      </w:r>
      <w:r w:rsidR="0092024C">
        <w:rPr>
          <w:rFonts w:ascii="Calibri" w:hAnsi="Calibri" w:cs="Calibri"/>
          <w:sz w:val="24"/>
          <w:szCs w:val="24"/>
        </w:rPr>
        <w:t xml:space="preserve"> and</w:t>
      </w:r>
      <w:r w:rsidRPr="543832D4">
        <w:rPr>
          <w:rFonts w:ascii="Calibri" w:hAnsi="Calibri" w:cs="Calibri"/>
          <w:sz w:val="24"/>
          <w:szCs w:val="24"/>
        </w:rPr>
        <w:t xml:space="preserve">, red tape </w:t>
      </w:r>
      <w:r w:rsidR="00A70445">
        <w:rPr>
          <w:rFonts w:ascii="Calibri" w:hAnsi="Calibri" w:cs="Calibri"/>
          <w:sz w:val="24"/>
          <w:szCs w:val="24"/>
        </w:rPr>
        <w:t>including</w:t>
      </w:r>
      <w:r w:rsidR="002A382E">
        <w:rPr>
          <w:rFonts w:ascii="Calibri" w:hAnsi="Calibri" w:cs="Calibri"/>
          <w:sz w:val="24"/>
          <w:szCs w:val="24"/>
        </w:rPr>
        <w:t xml:space="preserve"> </w:t>
      </w:r>
      <w:r w:rsidRPr="543832D4">
        <w:rPr>
          <w:rFonts w:ascii="Calibri" w:hAnsi="Calibri" w:cs="Calibri"/>
          <w:sz w:val="24"/>
          <w:szCs w:val="24"/>
        </w:rPr>
        <w:t>for Australian Contractual Service Suppliers and Independent Professionals to India in addition to</w:t>
      </w:r>
      <w:r w:rsidR="00593A0C">
        <w:rPr>
          <w:rFonts w:ascii="Calibri" w:hAnsi="Calibri" w:cs="Calibri"/>
          <w:sz w:val="24"/>
          <w:szCs w:val="24"/>
        </w:rPr>
        <w:t>, for India, a new Work and Holiday maker program and</w:t>
      </w:r>
      <w:r w:rsidRPr="543832D4">
        <w:rPr>
          <w:rFonts w:ascii="Calibri" w:hAnsi="Calibri" w:cs="Calibri"/>
          <w:sz w:val="24"/>
          <w:szCs w:val="24"/>
        </w:rPr>
        <w:t xml:space="preserve"> increased lengths of stay for students of STEM and ICT courses, priority growth sectors for Australia.</w:t>
      </w:r>
    </w:p>
    <w:p w14:paraId="47606E0F" w14:textId="77777777" w:rsidR="00071C88" w:rsidRPr="00BE7268" w:rsidRDefault="00071C88">
      <w:pPr>
        <w:pStyle w:val="ListParagraph"/>
        <w:spacing w:after="0"/>
        <w:rPr>
          <w:rFonts w:ascii="Calibri" w:hAnsi="Calibri" w:cs="Calibri"/>
          <w:sz w:val="24"/>
          <w:szCs w:val="24"/>
        </w:rPr>
      </w:pPr>
    </w:p>
    <w:p w14:paraId="7642599E" w14:textId="0A161393" w:rsidR="009C0C6F" w:rsidRPr="007B30B0" w:rsidRDefault="00071C88">
      <w:pPr>
        <w:pStyle w:val="ListParagraph"/>
        <w:numPr>
          <w:ilvl w:val="0"/>
          <w:numId w:val="1"/>
        </w:numPr>
        <w:spacing w:after="0"/>
        <w:ind w:left="567" w:hanging="567"/>
        <w:rPr>
          <w:sz w:val="24"/>
          <w:szCs w:val="24"/>
        </w:rPr>
      </w:pPr>
      <w:r w:rsidRPr="543832D4">
        <w:rPr>
          <w:rFonts w:ascii="Calibri" w:hAnsi="Calibri" w:cs="Calibri"/>
          <w:sz w:val="24"/>
          <w:szCs w:val="24"/>
        </w:rPr>
        <w:t>These increased opportunities are designed to build stronger people-to people links and improve collaboration and skills transfer in important sectors between our countries for many years to come. Without these arrangements, mobility between the India and Australia</w:t>
      </w:r>
      <w:r w:rsidR="00C572CD">
        <w:rPr>
          <w:rFonts w:ascii="Calibri" w:hAnsi="Calibri" w:cs="Calibri"/>
          <w:sz w:val="24"/>
          <w:szCs w:val="24"/>
        </w:rPr>
        <w:t>,</w:t>
      </w:r>
      <w:r w:rsidRPr="543832D4">
        <w:rPr>
          <w:rFonts w:ascii="Calibri" w:hAnsi="Calibri" w:cs="Calibri"/>
          <w:sz w:val="24"/>
          <w:szCs w:val="24"/>
        </w:rPr>
        <w:t xml:space="preserve"> in</w:t>
      </w:r>
      <w:r w:rsidR="00C572CD">
        <w:rPr>
          <w:rFonts w:ascii="Calibri" w:hAnsi="Calibri" w:cs="Calibri"/>
          <w:sz w:val="24"/>
          <w:szCs w:val="24"/>
        </w:rPr>
        <w:t>cluding in</w:t>
      </w:r>
      <w:r w:rsidRPr="543832D4">
        <w:rPr>
          <w:rFonts w:ascii="Calibri" w:hAnsi="Calibri" w:cs="Calibri"/>
          <w:sz w:val="24"/>
          <w:szCs w:val="24"/>
        </w:rPr>
        <w:t xml:space="preserve"> STEM</w:t>
      </w:r>
      <w:r w:rsidR="00C572CD">
        <w:rPr>
          <w:rFonts w:ascii="Calibri" w:hAnsi="Calibri" w:cs="Calibri"/>
          <w:sz w:val="24"/>
          <w:szCs w:val="24"/>
        </w:rPr>
        <w:t>,</w:t>
      </w:r>
      <w:r w:rsidRPr="543832D4">
        <w:rPr>
          <w:rFonts w:ascii="Calibri" w:hAnsi="Calibri" w:cs="Calibri"/>
          <w:sz w:val="24"/>
          <w:szCs w:val="24"/>
        </w:rPr>
        <w:t xml:space="preserve"> </w:t>
      </w:r>
      <w:proofErr w:type="gramStart"/>
      <w:r w:rsidRPr="543832D4">
        <w:rPr>
          <w:rFonts w:ascii="Calibri" w:hAnsi="Calibri" w:cs="Calibri"/>
          <w:sz w:val="24"/>
          <w:szCs w:val="24"/>
        </w:rPr>
        <w:t>ICT</w:t>
      </w:r>
      <w:proofErr w:type="gramEnd"/>
      <w:r w:rsidRPr="543832D4">
        <w:rPr>
          <w:rFonts w:ascii="Calibri" w:hAnsi="Calibri" w:cs="Calibri"/>
          <w:sz w:val="24"/>
          <w:szCs w:val="24"/>
        </w:rPr>
        <w:t xml:space="preserve"> </w:t>
      </w:r>
      <w:r w:rsidR="00C572CD">
        <w:rPr>
          <w:rFonts w:ascii="Calibri" w:hAnsi="Calibri" w:cs="Calibri"/>
          <w:sz w:val="24"/>
          <w:szCs w:val="24"/>
        </w:rPr>
        <w:t xml:space="preserve">and culturally significant areas, </w:t>
      </w:r>
      <w:r w:rsidRPr="543832D4">
        <w:rPr>
          <w:rFonts w:ascii="Calibri" w:hAnsi="Calibri" w:cs="Calibri"/>
          <w:sz w:val="24"/>
          <w:szCs w:val="24"/>
        </w:rPr>
        <w:t xml:space="preserve">may not grow as strongly </w:t>
      </w:r>
      <w:r w:rsidR="00C572CD">
        <w:rPr>
          <w:rFonts w:ascii="Calibri" w:hAnsi="Calibri" w:cs="Calibri"/>
          <w:sz w:val="24"/>
          <w:szCs w:val="24"/>
        </w:rPr>
        <w:t>and would be subject to more uncertainty. Together, the</w:t>
      </w:r>
      <w:r w:rsidRPr="543832D4">
        <w:rPr>
          <w:rFonts w:ascii="Calibri" w:hAnsi="Calibri" w:cs="Calibri"/>
          <w:sz w:val="24"/>
          <w:szCs w:val="24"/>
        </w:rPr>
        <w:t xml:space="preserve"> enhanced certainty and increased opportunities are likely to increase mobility and professional collaboration between our countries and therefore stimulate economic growth.</w:t>
      </w:r>
    </w:p>
    <w:p w14:paraId="0BF99B70" w14:textId="77777777" w:rsidR="007B30B0" w:rsidRPr="007B30B0" w:rsidRDefault="007B30B0" w:rsidP="007B30B0">
      <w:pPr>
        <w:spacing w:after="0"/>
        <w:rPr>
          <w:sz w:val="24"/>
          <w:szCs w:val="24"/>
        </w:rPr>
      </w:pPr>
    </w:p>
    <w:p w14:paraId="1B8E8E55" w14:textId="0B540BDD" w:rsidR="00885F3C" w:rsidRDefault="00885F3C" w:rsidP="0014704E">
      <w:pPr>
        <w:pStyle w:val="Heading1"/>
        <w:spacing w:before="0"/>
      </w:pPr>
      <w:bookmarkStart w:id="65" w:name="_Toc99370678"/>
      <w:r>
        <w:t>WHO DID YOU CONSULT AND HOW DID YOU INCORPORATE THEIR FEEDBACK?</w:t>
      </w:r>
      <w:bookmarkEnd w:id="49"/>
      <w:bookmarkEnd w:id="65"/>
    </w:p>
    <w:p w14:paraId="46F70CF3" w14:textId="77777777" w:rsidR="00885F3C" w:rsidRPr="00E91F4C" w:rsidRDefault="00885F3C">
      <w:pPr>
        <w:spacing w:after="0"/>
        <w:rPr>
          <w:sz w:val="24"/>
          <w:szCs w:val="24"/>
        </w:rPr>
      </w:pPr>
    </w:p>
    <w:p w14:paraId="0EB8975A" w14:textId="0810AD2F" w:rsidR="00885F3C" w:rsidRDefault="00885F3C">
      <w:pPr>
        <w:pStyle w:val="ListParagraph"/>
        <w:numPr>
          <w:ilvl w:val="0"/>
          <w:numId w:val="1"/>
        </w:numPr>
        <w:spacing w:after="0"/>
        <w:ind w:left="567" w:hanging="567"/>
        <w:rPr>
          <w:sz w:val="24"/>
          <w:szCs w:val="24"/>
        </w:rPr>
      </w:pPr>
      <w:r w:rsidRPr="543832D4">
        <w:rPr>
          <w:sz w:val="24"/>
          <w:szCs w:val="24"/>
        </w:rPr>
        <w:t xml:space="preserve">DFAT is committed to transparency and maintains a highly consultative approach throughout trade negotiations. We lead Australia’s whole-of-government negotiations, and our positions rely on input provided by stakeholders. Stakeholders are invited to express their views throughout the negotiations in public meetings, industry specific consultations, or written submissions. Feedback is fed directly to the leads of the relevant </w:t>
      </w:r>
      <w:r w:rsidR="00227B77">
        <w:rPr>
          <w:sz w:val="24"/>
          <w:szCs w:val="24"/>
        </w:rPr>
        <w:t>C</w:t>
      </w:r>
      <w:r w:rsidRPr="543832D4">
        <w:rPr>
          <w:sz w:val="24"/>
          <w:szCs w:val="24"/>
        </w:rPr>
        <w:t>hapter or market access negotiation and forms part of the negotiation strategy for the Australian negotiating team.</w:t>
      </w:r>
    </w:p>
    <w:p w14:paraId="5A931FB3" w14:textId="77777777" w:rsidR="00885F3C" w:rsidRDefault="00885F3C">
      <w:pPr>
        <w:pStyle w:val="ListParagraph"/>
        <w:spacing w:after="0"/>
        <w:ind w:left="567"/>
        <w:rPr>
          <w:sz w:val="24"/>
          <w:szCs w:val="24"/>
        </w:rPr>
      </w:pPr>
    </w:p>
    <w:p w14:paraId="711EDDF4" w14:textId="0AD69DFC" w:rsidR="001A4F74" w:rsidRPr="00EA2AB2" w:rsidRDefault="00885F3C" w:rsidP="0001716D">
      <w:pPr>
        <w:pStyle w:val="Heading2"/>
        <w:spacing w:before="0"/>
      </w:pPr>
      <w:bookmarkStart w:id="66" w:name="_Toc88748507"/>
      <w:bookmarkStart w:id="67" w:name="_Toc99370679"/>
      <w:r w:rsidRPr="00EA2AB2">
        <w:t>The stakeholder engagement process in the CECA negotiations</w:t>
      </w:r>
      <w:bookmarkEnd w:id="66"/>
      <w:bookmarkEnd w:id="67"/>
    </w:p>
    <w:p w14:paraId="5EC5D5DD" w14:textId="77777777" w:rsidR="00F25478" w:rsidRDefault="00F25478">
      <w:pPr>
        <w:pStyle w:val="ListParagraph"/>
        <w:spacing w:after="0"/>
        <w:ind w:left="567"/>
        <w:rPr>
          <w:sz w:val="24"/>
          <w:szCs w:val="24"/>
        </w:rPr>
      </w:pPr>
    </w:p>
    <w:p w14:paraId="48B8AB04" w14:textId="671623A4" w:rsidR="00885F3C" w:rsidRDefault="00885F3C">
      <w:pPr>
        <w:pStyle w:val="ListParagraph"/>
        <w:numPr>
          <w:ilvl w:val="0"/>
          <w:numId w:val="1"/>
        </w:numPr>
        <w:spacing w:after="0"/>
        <w:ind w:left="567" w:hanging="567"/>
        <w:rPr>
          <w:sz w:val="24"/>
          <w:szCs w:val="24"/>
        </w:rPr>
      </w:pPr>
      <w:r w:rsidRPr="543832D4">
        <w:rPr>
          <w:sz w:val="24"/>
          <w:szCs w:val="24"/>
        </w:rPr>
        <w:t xml:space="preserve">During both the earlier CECA negotiations and those which led to the </w:t>
      </w:r>
      <w:r w:rsidR="006E5E78">
        <w:rPr>
          <w:sz w:val="24"/>
          <w:szCs w:val="24"/>
        </w:rPr>
        <w:t>AI ECTA</w:t>
      </w:r>
      <w:r w:rsidRPr="543832D4">
        <w:rPr>
          <w:sz w:val="24"/>
          <w:szCs w:val="24"/>
        </w:rPr>
        <w:t xml:space="preserve">, the Australian negotiating team held numerous direct stakeholder consultations. These have included industry and worker representatives, such as peak bodies and trade unions, as well as </w:t>
      </w:r>
      <w:r w:rsidR="008633B6" w:rsidRPr="543832D4">
        <w:rPr>
          <w:sz w:val="24"/>
          <w:szCs w:val="24"/>
        </w:rPr>
        <w:t xml:space="preserve">businesses, </w:t>
      </w:r>
      <w:proofErr w:type="gramStart"/>
      <w:r w:rsidRPr="543832D4">
        <w:rPr>
          <w:sz w:val="24"/>
          <w:szCs w:val="24"/>
        </w:rPr>
        <w:t>individuals</w:t>
      </w:r>
      <w:proofErr w:type="gramEnd"/>
      <w:r w:rsidRPr="543832D4">
        <w:rPr>
          <w:sz w:val="24"/>
          <w:szCs w:val="24"/>
        </w:rPr>
        <w:t xml:space="preserve"> and other entities. Stakeholders were also invited to consider and </w:t>
      </w:r>
      <w:r w:rsidRPr="543832D4">
        <w:rPr>
          <w:sz w:val="24"/>
          <w:szCs w:val="24"/>
        </w:rPr>
        <w:lastRenderedPageBreak/>
        <w:t xml:space="preserve">comment on the commercial, economic, </w:t>
      </w:r>
      <w:proofErr w:type="gramStart"/>
      <w:r w:rsidRPr="543832D4">
        <w:rPr>
          <w:sz w:val="24"/>
          <w:szCs w:val="24"/>
        </w:rPr>
        <w:t>regional</w:t>
      </w:r>
      <w:proofErr w:type="gramEnd"/>
      <w:r w:rsidRPr="543832D4">
        <w:rPr>
          <w:sz w:val="24"/>
          <w:szCs w:val="24"/>
        </w:rPr>
        <w:t xml:space="preserve"> and other impacts that could be expected to arise from the proposed </w:t>
      </w:r>
      <w:r w:rsidR="00D10AF6">
        <w:rPr>
          <w:sz w:val="24"/>
          <w:szCs w:val="24"/>
        </w:rPr>
        <w:t>AI</w:t>
      </w:r>
      <w:r w:rsidR="00217C26">
        <w:rPr>
          <w:sz w:val="24"/>
          <w:szCs w:val="24"/>
        </w:rPr>
        <w:t xml:space="preserve"> ECTA</w:t>
      </w:r>
      <w:r w:rsidRPr="543832D4">
        <w:rPr>
          <w:sz w:val="24"/>
          <w:szCs w:val="24"/>
        </w:rPr>
        <w:t xml:space="preserve"> and a full CECA, via written submissions. </w:t>
      </w:r>
    </w:p>
    <w:p w14:paraId="38BB7183" w14:textId="77777777" w:rsidR="005D59C8" w:rsidRDefault="005D59C8">
      <w:pPr>
        <w:pStyle w:val="ListParagraph"/>
        <w:spacing w:after="0"/>
        <w:ind w:left="567"/>
        <w:rPr>
          <w:sz w:val="24"/>
          <w:szCs w:val="24"/>
        </w:rPr>
      </w:pPr>
    </w:p>
    <w:p w14:paraId="10DDD5BB" w14:textId="57623773" w:rsidR="005D59C8" w:rsidRDefault="005D59C8">
      <w:pPr>
        <w:pStyle w:val="ListParagraph"/>
        <w:numPr>
          <w:ilvl w:val="0"/>
          <w:numId w:val="1"/>
        </w:numPr>
        <w:spacing w:after="0"/>
        <w:ind w:left="567" w:hanging="567"/>
        <w:rPr>
          <w:sz w:val="24"/>
          <w:szCs w:val="24"/>
        </w:rPr>
      </w:pPr>
      <w:r w:rsidRPr="543832D4">
        <w:rPr>
          <w:sz w:val="24"/>
          <w:szCs w:val="24"/>
        </w:rPr>
        <w:t xml:space="preserve">DFAT </w:t>
      </w:r>
      <w:r w:rsidR="00E430DD" w:rsidRPr="543832D4">
        <w:rPr>
          <w:sz w:val="24"/>
          <w:szCs w:val="24"/>
        </w:rPr>
        <w:t xml:space="preserve">provided </w:t>
      </w:r>
      <w:r w:rsidR="00777AD4" w:rsidRPr="543832D4">
        <w:rPr>
          <w:sz w:val="24"/>
          <w:szCs w:val="24"/>
        </w:rPr>
        <w:t xml:space="preserve">regular updates on CECA, including the proposed </w:t>
      </w:r>
      <w:r w:rsidR="00D10AF6">
        <w:rPr>
          <w:sz w:val="24"/>
          <w:szCs w:val="24"/>
        </w:rPr>
        <w:t>AI</w:t>
      </w:r>
      <w:r w:rsidR="00217C26">
        <w:rPr>
          <w:sz w:val="24"/>
          <w:szCs w:val="24"/>
        </w:rPr>
        <w:t xml:space="preserve"> ECTA</w:t>
      </w:r>
      <w:r w:rsidR="00777AD4" w:rsidRPr="543832D4">
        <w:rPr>
          <w:sz w:val="24"/>
          <w:szCs w:val="24"/>
        </w:rPr>
        <w:t xml:space="preserve"> through established DFAT consultative groups such as the Ministerial Advisory Counci</w:t>
      </w:r>
      <w:r w:rsidR="00A55FB6" w:rsidRPr="543832D4">
        <w:rPr>
          <w:sz w:val="24"/>
          <w:szCs w:val="24"/>
        </w:rPr>
        <w:t>l</w:t>
      </w:r>
      <w:r w:rsidR="00777AD4" w:rsidRPr="543832D4">
        <w:rPr>
          <w:sz w:val="24"/>
          <w:szCs w:val="24"/>
        </w:rPr>
        <w:t>, the fortnightly Economic Diplomacy Peak Body Consultative Group and Peak Bodies meetings.</w:t>
      </w:r>
    </w:p>
    <w:p w14:paraId="6F85A4B9" w14:textId="77777777" w:rsidR="00885F3C" w:rsidRDefault="00885F3C">
      <w:pPr>
        <w:pStyle w:val="ListParagraph"/>
        <w:spacing w:after="0"/>
        <w:ind w:left="567"/>
        <w:rPr>
          <w:sz w:val="24"/>
          <w:szCs w:val="24"/>
        </w:rPr>
      </w:pPr>
    </w:p>
    <w:p w14:paraId="68F536A6" w14:textId="15C899CF" w:rsidR="00061B62" w:rsidRDefault="00061B62">
      <w:pPr>
        <w:pStyle w:val="ListParagraph"/>
        <w:numPr>
          <w:ilvl w:val="0"/>
          <w:numId w:val="1"/>
        </w:numPr>
        <w:spacing w:after="0"/>
        <w:ind w:left="567" w:hanging="567"/>
        <w:rPr>
          <w:sz w:val="24"/>
          <w:szCs w:val="24"/>
        </w:rPr>
      </w:pPr>
      <w:r w:rsidRPr="543832D4">
        <w:rPr>
          <w:sz w:val="24"/>
          <w:szCs w:val="24"/>
        </w:rPr>
        <w:t>The Australian negotiating team</w:t>
      </w:r>
      <w:r w:rsidR="00A57464" w:rsidRPr="543832D4">
        <w:rPr>
          <w:sz w:val="24"/>
          <w:szCs w:val="24"/>
        </w:rPr>
        <w:t xml:space="preserve"> also</w:t>
      </w:r>
      <w:r w:rsidRPr="543832D4">
        <w:rPr>
          <w:sz w:val="24"/>
          <w:szCs w:val="24"/>
        </w:rPr>
        <w:t xml:space="preserve"> </w:t>
      </w:r>
      <w:r w:rsidR="00B67ACD" w:rsidRPr="543832D4">
        <w:rPr>
          <w:sz w:val="24"/>
          <w:szCs w:val="24"/>
        </w:rPr>
        <w:t>contacted key industry stakeholders</w:t>
      </w:r>
      <w:r w:rsidR="007566B6" w:rsidRPr="543832D4">
        <w:rPr>
          <w:sz w:val="24"/>
          <w:szCs w:val="24"/>
        </w:rPr>
        <w:t xml:space="preserve"> </w:t>
      </w:r>
      <w:r w:rsidR="00B67ACD" w:rsidRPr="543832D4">
        <w:rPr>
          <w:sz w:val="24"/>
          <w:szCs w:val="24"/>
        </w:rPr>
        <w:t xml:space="preserve">after the December 2021 and February 2022 negotiating round in India. </w:t>
      </w:r>
      <w:r w:rsidR="00E01C34" w:rsidRPr="543832D4">
        <w:rPr>
          <w:sz w:val="24"/>
          <w:szCs w:val="24"/>
        </w:rPr>
        <w:t>These consultations play an important role in nuancing our negotiating position</w:t>
      </w:r>
      <w:r w:rsidR="0054182A" w:rsidRPr="543832D4">
        <w:rPr>
          <w:sz w:val="24"/>
          <w:szCs w:val="24"/>
        </w:rPr>
        <w:t xml:space="preserve">s and making sure we are getting the right outcomes for Australians to diversify our trade and drive an export-led recovery. </w:t>
      </w:r>
    </w:p>
    <w:p w14:paraId="6EE195C9" w14:textId="77777777" w:rsidR="00C512E7" w:rsidRPr="00C512E7" w:rsidRDefault="00C512E7" w:rsidP="0001716D">
      <w:pPr>
        <w:pStyle w:val="ListParagraph"/>
        <w:spacing w:after="0"/>
        <w:rPr>
          <w:sz w:val="24"/>
          <w:szCs w:val="24"/>
        </w:rPr>
      </w:pPr>
    </w:p>
    <w:p w14:paraId="2139C106" w14:textId="77777777" w:rsidR="00885F3C" w:rsidRPr="00E4752B" w:rsidRDefault="00885F3C" w:rsidP="0001716D">
      <w:pPr>
        <w:pStyle w:val="Heading2"/>
        <w:spacing w:before="0"/>
      </w:pPr>
      <w:bookmarkStart w:id="68" w:name="_Toc88748508"/>
      <w:bookmarkStart w:id="69" w:name="_Toc99370680"/>
      <w:r w:rsidRPr="00E4752B">
        <w:t>Business, Industry and Civil Society</w:t>
      </w:r>
      <w:bookmarkEnd w:id="68"/>
      <w:bookmarkEnd w:id="69"/>
    </w:p>
    <w:p w14:paraId="335A4D92" w14:textId="77777777" w:rsidR="00F25478" w:rsidRDefault="00F25478">
      <w:pPr>
        <w:pStyle w:val="ListParagraph"/>
        <w:spacing w:after="0"/>
        <w:ind w:left="567"/>
        <w:rPr>
          <w:sz w:val="24"/>
          <w:szCs w:val="24"/>
        </w:rPr>
      </w:pPr>
      <w:bookmarkStart w:id="70" w:name="_Hlk83303787"/>
    </w:p>
    <w:p w14:paraId="2DF82D51" w14:textId="6ABC5394" w:rsidR="00885F3C" w:rsidRDefault="00885F3C">
      <w:pPr>
        <w:pStyle w:val="ListParagraph"/>
        <w:numPr>
          <w:ilvl w:val="0"/>
          <w:numId w:val="1"/>
        </w:numPr>
        <w:spacing w:after="0"/>
        <w:ind w:left="567" w:hanging="567"/>
        <w:rPr>
          <w:sz w:val="24"/>
          <w:szCs w:val="24"/>
        </w:rPr>
      </w:pPr>
      <w:r w:rsidRPr="543832D4">
        <w:rPr>
          <w:sz w:val="24"/>
          <w:szCs w:val="24"/>
        </w:rPr>
        <w:t xml:space="preserve">Over the course of CECA negotiations since 2011, DFAT communicated with over 70 entities, including </w:t>
      </w:r>
      <w:bookmarkEnd w:id="70"/>
      <w:r w:rsidRPr="543832D4">
        <w:rPr>
          <w:sz w:val="24"/>
          <w:szCs w:val="24"/>
        </w:rPr>
        <w:t>private organisations, individuals, consumer groups and peak bodies. Engagement was through meetings with individual entities and numerous stakeholder forums.</w:t>
      </w:r>
    </w:p>
    <w:p w14:paraId="24EF37C5" w14:textId="77777777" w:rsidR="00885F3C" w:rsidRDefault="00885F3C">
      <w:pPr>
        <w:pStyle w:val="ListParagraph"/>
        <w:spacing w:after="0"/>
        <w:ind w:left="567"/>
        <w:rPr>
          <w:sz w:val="24"/>
          <w:szCs w:val="24"/>
        </w:rPr>
      </w:pPr>
    </w:p>
    <w:p w14:paraId="7FD2877C" w14:textId="6A56F1D9" w:rsidR="00FC2D70" w:rsidRPr="00A5588B" w:rsidRDefault="00885F3C">
      <w:pPr>
        <w:pStyle w:val="ListParagraph"/>
        <w:numPr>
          <w:ilvl w:val="0"/>
          <w:numId w:val="1"/>
        </w:numPr>
        <w:spacing w:after="0"/>
        <w:ind w:left="567" w:hanging="567"/>
        <w:rPr>
          <w:sz w:val="24"/>
          <w:szCs w:val="24"/>
        </w:rPr>
      </w:pPr>
      <w:bookmarkStart w:id="71" w:name="_Hlk83303929"/>
      <w:r w:rsidRPr="543832D4">
        <w:rPr>
          <w:sz w:val="24"/>
          <w:szCs w:val="24"/>
        </w:rPr>
        <w:t>Before negotiations were suspended, DFAT received 51 formal submissions</w:t>
      </w:r>
      <w:r w:rsidR="009570E1" w:rsidRPr="543832D4">
        <w:rPr>
          <w:sz w:val="24"/>
          <w:szCs w:val="24"/>
        </w:rPr>
        <w:t xml:space="preserve"> (including three from the Australian Chamber of Commerce and Industry)</w:t>
      </w:r>
      <w:r w:rsidRPr="543832D4">
        <w:rPr>
          <w:sz w:val="24"/>
          <w:szCs w:val="24"/>
        </w:rPr>
        <w:t xml:space="preserve"> from the following</w:t>
      </w:r>
      <w:r w:rsidR="00FC2D70">
        <w:rPr>
          <w:sz w:val="24"/>
          <w:szCs w:val="24"/>
        </w:rPr>
        <w:t xml:space="preserve"> </w:t>
      </w:r>
      <w:r w:rsidRPr="543832D4">
        <w:rPr>
          <w:sz w:val="24"/>
          <w:szCs w:val="24"/>
        </w:rPr>
        <w:t>entities</w:t>
      </w:r>
      <w:r w:rsidR="00FC2D70">
        <w:rPr>
          <w:sz w:val="24"/>
          <w:szCs w:val="24"/>
        </w:rPr>
        <w:t xml:space="preserve"> (</w:t>
      </w:r>
      <w:r w:rsidR="00FC2D70" w:rsidRPr="00A5588B">
        <w:rPr>
          <w:b/>
          <w:bCs/>
          <w:sz w:val="24"/>
          <w:szCs w:val="24"/>
        </w:rPr>
        <w:t xml:space="preserve">Table </w:t>
      </w:r>
      <w:r w:rsidR="001F38A9">
        <w:rPr>
          <w:b/>
          <w:bCs/>
          <w:sz w:val="24"/>
          <w:szCs w:val="24"/>
        </w:rPr>
        <w:t>1</w:t>
      </w:r>
      <w:r w:rsidR="000E6E1E">
        <w:rPr>
          <w:b/>
          <w:bCs/>
          <w:sz w:val="24"/>
          <w:szCs w:val="24"/>
        </w:rPr>
        <w:t>4</w:t>
      </w:r>
      <w:r w:rsidR="00FC2D70">
        <w:rPr>
          <w:sz w:val="24"/>
          <w:szCs w:val="24"/>
        </w:rPr>
        <w:t>)</w:t>
      </w:r>
      <w:r w:rsidRPr="543832D4">
        <w:rPr>
          <w:sz w:val="24"/>
          <w:szCs w:val="24"/>
        </w:rPr>
        <w:t xml:space="preserve">. Public submissions from these entities are available on the DFAT website </w:t>
      </w:r>
      <w:hyperlink r:id="rId23">
        <w:r w:rsidRPr="543832D4">
          <w:rPr>
            <w:rStyle w:val="Hyperlink"/>
            <w:sz w:val="24"/>
            <w:szCs w:val="24"/>
          </w:rPr>
          <w:t>here</w:t>
        </w:r>
      </w:hyperlink>
      <w:r w:rsidRPr="543832D4">
        <w:rPr>
          <w:sz w:val="24"/>
          <w:szCs w:val="24"/>
        </w:rPr>
        <w:t xml:space="preserve">. </w:t>
      </w:r>
    </w:p>
    <w:p w14:paraId="58CF8E3E" w14:textId="77777777" w:rsidR="00FC2D70" w:rsidRPr="00A5588B" w:rsidRDefault="00FC2D70">
      <w:pPr>
        <w:spacing w:after="0"/>
        <w:rPr>
          <w:b/>
          <w:bCs/>
          <w:sz w:val="24"/>
          <w:szCs w:val="24"/>
        </w:rPr>
      </w:pPr>
    </w:p>
    <w:p w14:paraId="673922C3" w14:textId="246DF13A" w:rsidR="00885F3C" w:rsidRDefault="00FC2D70">
      <w:pPr>
        <w:spacing w:after="0"/>
        <w:rPr>
          <w:b/>
          <w:bCs/>
          <w:sz w:val="24"/>
          <w:szCs w:val="24"/>
        </w:rPr>
      </w:pPr>
      <w:r w:rsidRPr="00A5588B">
        <w:rPr>
          <w:b/>
          <w:bCs/>
          <w:sz w:val="24"/>
          <w:szCs w:val="24"/>
          <w:u w:val="single"/>
        </w:rPr>
        <w:t xml:space="preserve">Table </w:t>
      </w:r>
      <w:r w:rsidR="001F38A9">
        <w:rPr>
          <w:b/>
          <w:bCs/>
          <w:sz w:val="24"/>
          <w:szCs w:val="24"/>
          <w:u w:val="single"/>
        </w:rPr>
        <w:t>1</w:t>
      </w:r>
      <w:r w:rsidR="000E6E1E">
        <w:rPr>
          <w:b/>
          <w:bCs/>
          <w:sz w:val="24"/>
          <w:szCs w:val="24"/>
          <w:u w:val="single"/>
        </w:rPr>
        <w:t>4</w:t>
      </w:r>
      <w:r w:rsidRPr="00A5588B">
        <w:rPr>
          <w:b/>
          <w:bCs/>
          <w:sz w:val="24"/>
          <w:szCs w:val="24"/>
        </w:rPr>
        <w:t xml:space="preserve">: submissions from stakeholders </w:t>
      </w:r>
    </w:p>
    <w:p w14:paraId="44F95E81" w14:textId="77777777" w:rsidR="00FC2D70" w:rsidRPr="00A5588B" w:rsidRDefault="00FC2D70" w:rsidP="00A5588B">
      <w:pPr>
        <w:spacing w:after="0"/>
        <w:rPr>
          <w:b/>
          <w:bCs/>
          <w:sz w:val="24"/>
          <w:szCs w:val="24"/>
        </w:rPr>
      </w:pPr>
    </w:p>
    <w:tbl>
      <w:tblPr>
        <w:tblStyle w:val="TableGrid"/>
        <w:tblW w:w="0" w:type="auto"/>
        <w:tblLook w:val="04A0" w:firstRow="1" w:lastRow="0" w:firstColumn="1" w:lastColumn="0" w:noHBand="0" w:noVBand="1"/>
      </w:tblPr>
      <w:tblGrid>
        <w:gridCol w:w="4531"/>
        <w:gridCol w:w="4485"/>
      </w:tblGrid>
      <w:tr w:rsidR="00885F3C" w14:paraId="10A03606" w14:textId="77777777" w:rsidTr="00C13330">
        <w:tc>
          <w:tcPr>
            <w:tcW w:w="4531" w:type="dxa"/>
            <w:tcBorders>
              <w:top w:val="single" w:sz="4" w:space="0" w:color="auto"/>
              <w:left w:val="single" w:sz="4" w:space="0" w:color="auto"/>
              <w:bottom w:val="single" w:sz="4" w:space="0" w:color="auto"/>
              <w:right w:val="single" w:sz="4" w:space="0" w:color="auto"/>
            </w:tcBorders>
            <w:hideMark/>
          </w:tcPr>
          <w:p w14:paraId="15F78868" w14:textId="77777777" w:rsidR="00885F3C" w:rsidRPr="00385EFC" w:rsidRDefault="00885F3C" w:rsidP="00A80396">
            <w:pPr>
              <w:pStyle w:val="ListParagraph"/>
              <w:numPr>
                <w:ilvl w:val="0"/>
                <w:numId w:val="5"/>
              </w:numPr>
              <w:rPr>
                <w:rFonts w:cstheme="minorHAnsi"/>
              </w:rPr>
            </w:pPr>
            <w:r w:rsidRPr="00385EFC">
              <w:rPr>
                <w:rFonts w:cstheme="minorHAnsi"/>
              </w:rPr>
              <w:t>Australia-India Business Council</w:t>
            </w:r>
          </w:p>
        </w:tc>
        <w:tc>
          <w:tcPr>
            <w:tcW w:w="4485" w:type="dxa"/>
            <w:tcBorders>
              <w:top w:val="single" w:sz="4" w:space="0" w:color="auto"/>
              <w:left w:val="single" w:sz="4" w:space="0" w:color="auto"/>
              <w:bottom w:val="single" w:sz="4" w:space="0" w:color="auto"/>
              <w:right w:val="single" w:sz="4" w:space="0" w:color="auto"/>
            </w:tcBorders>
            <w:hideMark/>
          </w:tcPr>
          <w:p w14:paraId="5438B108" w14:textId="77777777" w:rsidR="00885F3C" w:rsidRPr="00385EFC" w:rsidRDefault="00885F3C" w:rsidP="00A80396">
            <w:pPr>
              <w:pStyle w:val="ListParagraph"/>
              <w:numPr>
                <w:ilvl w:val="0"/>
                <w:numId w:val="5"/>
              </w:numPr>
              <w:rPr>
                <w:rFonts w:cstheme="minorHAnsi"/>
              </w:rPr>
            </w:pPr>
            <w:r w:rsidRPr="00385EFC">
              <w:rPr>
                <w:rFonts w:cstheme="minorHAnsi"/>
              </w:rPr>
              <w:t>Australian Business Solutions (ABS Group) Pty Ltd</w:t>
            </w:r>
          </w:p>
          <w:p w14:paraId="1DEC630A" w14:textId="77777777" w:rsidR="00885F3C" w:rsidRPr="00385EFC" w:rsidRDefault="00885F3C" w:rsidP="00EB0980">
            <w:pPr>
              <w:pStyle w:val="ListParagraph"/>
              <w:rPr>
                <w:rFonts w:cstheme="minorHAnsi"/>
              </w:rPr>
            </w:pPr>
          </w:p>
        </w:tc>
      </w:tr>
      <w:tr w:rsidR="00885F3C" w14:paraId="336DB73B" w14:textId="77777777" w:rsidTr="00C13330">
        <w:tc>
          <w:tcPr>
            <w:tcW w:w="4531" w:type="dxa"/>
            <w:tcBorders>
              <w:top w:val="single" w:sz="4" w:space="0" w:color="auto"/>
              <w:left w:val="single" w:sz="4" w:space="0" w:color="auto"/>
              <w:bottom w:val="single" w:sz="4" w:space="0" w:color="auto"/>
              <w:right w:val="single" w:sz="4" w:space="0" w:color="auto"/>
            </w:tcBorders>
            <w:hideMark/>
          </w:tcPr>
          <w:p w14:paraId="174C0D7A" w14:textId="4A71B01D" w:rsidR="00885F3C" w:rsidRPr="008F3719" w:rsidRDefault="00885F3C" w:rsidP="00A80396">
            <w:pPr>
              <w:pStyle w:val="ListParagraph"/>
              <w:numPr>
                <w:ilvl w:val="0"/>
                <w:numId w:val="5"/>
              </w:numPr>
              <w:rPr>
                <w:rFonts w:cstheme="minorHAnsi"/>
              </w:rPr>
            </w:pPr>
            <w:r w:rsidRPr="00385EFC">
              <w:rPr>
                <w:rFonts w:cstheme="minorHAnsi"/>
              </w:rPr>
              <w:t xml:space="preserve">Australian Chamber of Commerce and Industry </w:t>
            </w:r>
            <w:r w:rsidRPr="00385EFC">
              <w:rPr>
                <w:rFonts w:cstheme="minorHAnsi"/>
                <w:i/>
                <w:iCs/>
              </w:rPr>
              <w:t>(provided</w:t>
            </w:r>
            <w:r w:rsidR="009570E1" w:rsidRPr="00385EFC">
              <w:rPr>
                <w:rFonts w:cstheme="minorHAnsi"/>
                <w:i/>
                <w:iCs/>
              </w:rPr>
              <w:t xml:space="preserve"> three</w:t>
            </w:r>
            <w:r w:rsidRPr="00385EFC">
              <w:rPr>
                <w:rFonts w:cstheme="minorHAnsi"/>
                <w:i/>
                <w:iCs/>
              </w:rPr>
              <w:t xml:space="preserve"> submissions)</w:t>
            </w:r>
          </w:p>
        </w:tc>
        <w:tc>
          <w:tcPr>
            <w:tcW w:w="4485" w:type="dxa"/>
            <w:tcBorders>
              <w:top w:val="single" w:sz="4" w:space="0" w:color="auto"/>
              <w:left w:val="single" w:sz="4" w:space="0" w:color="auto"/>
              <w:bottom w:val="single" w:sz="4" w:space="0" w:color="auto"/>
              <w:right w:val="single" w:sz="4" w:space="0" w:color="auto"/>
            </w:tcBorders>
            <w:hideMark/>
          </w:tcPr>
          <w:p w14:paraId="5BADBE63" w14:textId="77777777" w:rsidR="00885F3C" w:rsidRPr="00385EFC" w:rsidRDefault="00885F3C" w:rsidP="00A80396">
            <w:pPr>
              <w:pStyle w:val="ListParagraph"/>
              <w:numPr>
                <w:ilvl w:val="0"/>
                <w:numId w:val="5"/>
              </w:numPr>
              <w:rPr>
                <w:rFonts w:cstheme="minorHAnsi"/>
              </w:rPr>
            </w:pPr>
            <w:r w:rsidRPr="00385EFC">
              <w:rPr>
                <w:rFonts w:cstheme="minorHAnsi"/>
              </w:rPr>
              <w:t>Australian Pharmacy Council</w:t>
            </w:r>
          </w:p>
        </w:tc>
      </w:tr>
      <w:tr w:rsidR="00885F3C" w14:paraId="2FBB99E4" w14:textId="77777777" w:rsidTr="00C13330">
        <w:tc>
          <w:tcPr>
            <w:tcW w:w="4531" w:type="dxa"/>
            <w:tcBorders>
              <w:top w:val="single" w:sz="4" w:space="0" w:color="auto"/>
              <w:left w:val="single" w:sz="4" w:space="0" w:color="auto"/>
              <w:bottom w:val="single" w:sz="4" w:space="0" w:color="auto"/>
              <w:right w:val="single" w:sz="4" w:space="0" w:color="auto"/>
            </w:tcBorders>
            <w:hideMark/>
          </w:tcPr>
          <w:p w14:paraId="131B0F0E" w14:textId="77777777" w:rsidR="00885F3C" w:rsidRPr="00385EFC" w:rsidRDefault="00885F3C" w:rsidP="00A80396">
            <w:pPr>
              <w:pStyle w:val="ListParagraph"/>
              <w:numPr>
                <w:ilvl w:val="0"/>
                <w:numId w:val="5"/>
              </w:numPr>
              <w:rPr>
                <w:rFonts w:cstheme="minorHAnsi"/>
              </w:rPr>
            </w:pPr>
            <w:proofErr w:type="spellStart"/>
            <w:r w:rsidRPr="00385EFC">
              <w:rPr>
                <w:rFonts w:cstheme="minorHAnsi"/>
              </w:rPr>
              <w:t>ADInstruments</w:t>
            </w:r>
            <w:proofErr w:type="spellEnd"/>
          </w:p>
          <w:p w14:paraId="101D3D8B" w14:textId="77777777" w:rsidR="00885F3C" w:rsidRPr="00385EFC" w:rsidRDefault="00885F3C" w:rsidP="00EB0980">
            <w:pPr>
              <w:pStyle w:val="ListParagraph"/>
              <w:rPr>
                <w:rFonts w:cstheme="minorHAnsi"/>
              </w:rPr>
            </w:pPr>
          </w:p>
        </w:tc>
        <w:tc>
          <w:tcPr>
            <w:tcW w:w="4485" w:type="dxa"/>
            <w:tcBorders>
              <w:top w:val="single" w:sz="4" w:space="0" w:color="auto"/>
              <w:left w:val="single" w:sz="4" w:space="0" w:color="auto"/>
              <w:bottom w:val="single" w:sz="4" w:space="0" w:color="auto"/>
              <w:right w:val="single" w:sz="4" w:space="0" w:color="auto"/>
            </w:tcBorders>
            <w:hideMark/>
          </w:tcPr>
          <w:p w14:paraId="4CCEAC7A" w14:textId="77777777" w:rsidR="00885F3C" w:rsidRPr="00385EFC" w:rsidRDefault="00885F3C" w:rsidP="00A80396">
            <w:pPr>
              <w:pStyle w:val="ListParagraph"/>
              <w:numPr>
                <w:ilvl w:val="0"/>
                <w:numId w:val="5"/>
              </w:numPr>
              <w:rPr>
                <w:rFonts w:cstheme="minorHAnsi"/>
              </w:rPr>
            </w:pPr>
            <w:r w:rsidRPr="00385EFC">
              <w:rPr>
                <w:rFonts w:cstheme="minorHAnsi"/>
              </w:rPr>
              <w:t>Advance Cairns</w:t>
            </w:r>
          </w:p>
        </w:tc>
      </w:tr>
      <w:tr w:rsidR="00885F3C" w14:paraId="4CF2F923" w14:textId="77777777" w:rsidTr="00C13330">
        <w:tc>
          <w:tcPr>
            <w:tcW w:w="4531" w:type="dxa"/>
            <w:tcBorders>
              <w:top w:val="single" w:sz="4" w:space="0" w:color="auto"/>
              <w:left w:val="single" w:sz="4" w:space="0" w:color="auto"/>
              <w:bottom w:val="single" w:sz="4" w:space="0" w:color="auto"/>
              <w:right w:val="single" w:sz="4" w:space="0" w:color="auto"/>
            </w:tcBorders>
            <w:hideMark/>
          </w:tcPr>
          <w:p w14:paraId="4B0B83F0" w14:textId="77777777" w:rsidR="00885F3C" w:rsidRPr="00385EFC" w:rsidRDefault="00885F3C" w:rsidP="00A80396">
            <w:pPr>
              <w:pStyle w:val="ListParagraph"/>
              <w:numPr>
                <w:ilvl w:val="0"/>
                <w:numId w:val="5"/>
              </w:numPr>
              <w:rPr>
                <w:rFonts w:cstheme="minorHAnsi"/>
              </w:rPr>
            </w:pPr>
            <w:r w:rsidRPr="00385EFC">
              <w:rPr>
                <w:rFonts w:cstheme="minorHAnsi"/>
              </w:rPr>
              <w:t>Andrew Godwin</w:t>
            </w:r>
          </w:p>
          <w:p w14:paraId="13D16C4D" w14:textId="77777777" w:rsidR="00885F3C" w:rsidRPr="00385EFC" w:rsidRDefault="00885F3C" w:rsidP="00EB0980">
            <w:pPr>
              <w:pStyle w:val="ListParagraph"/>
              <w:rPr>
                <w:rFonts w:cstheme="minorHAnsi"/>
              </w:rPr>
            </w:pPr>
          </w:p>
        </w:tc>
        <w:tc>
          <w:tcPr>
            <w:tcW w:w="4485" w:type="dxa"/>
            <w:tcBorders>
              <w:top w:val="single" w:sz="4" w:space="0" w:color="auto"/>
              <w:left w:val="single" w:sz="4" w:space="0" w:color="auto"/>
              <w:bottom w:val="single" w:sz="4" w:space="0" w:color="auto"/>
              <w:right w:val="single" w:sz="4" w:space="0" w:color="auto"/>
            </w:tcBorders>
            <w:hideMark/>
          </w:tcPr>
          <w:p w14:paraId="64347ED7" w14:textId="77777777" w:rsidR="00885F3C" w:rsidRPr="00385EFC" w:rsidRDefault="00885F3C" w:rsidP="00A80396">
            <w:pPr>
              <w:pStyle w:val="ListParagraph"/>
              <w:numPr>
                <w:ilvl w:val="0"/>
                <w:numId w:val="5"/>
              </w:numPr>
              <w:rPr>
                <w:rFonts w:cstheme="minorHAnsi"/>
              </w:rPr>
            </w:pPr>
            <w:r w:rsidRPr="00385EFC">
              <w:rPr>
                <w:rFonts w:cstheme="minorHAnsi"/>
              </w:rPr>
              <w:t>Australian Dairy Industry Council</w:t>
            </w:r>
          </w:p>
        </w:tc>
      </w:tr>
      <w:tr w:rsidR="00885F3C" w14:paraId="470DA9BC" w14:textId="77777777" w:rsidTr="00C13330">
        <w:tc>
          <w:tcPr>
            <w:tcW w:w="4531" w:type="dxa"/>
            <w:tcBorders>
              <w:top w:val="single" w:sz="4" w:space="0" w:color="auto"/>
              <w:left w:val="single" w:sz="4" w:space="0" w:color="auto"/>
              <w:bottom w:val="single" w:sz="4" w:space="0" w:color="auto"/>
              <w:right w:val="single" w:sz="4" w:space="0" w:color="auto"/>
            </w:tcBorders>
            <w:hideMark/>
          </w:tcPr>
          <w:p w14:paraId="204C974C" w14:textId="77777777" w:rsidR="00885F3C" w:rsidRPr="00385EFC" w:rsidRDefault="00885F3C" w:rsidP="00A80396">
            <w:pPr>
              <w:pStyle w:val="ListParagraph"/>
              <w:numPr>
                <w:ilvl w:val="0"/>
                <w:numId w:val="5"/>
              </w:numPr>
              <w:rPr>
                <w:rFonts w:cstheme="minorHAnsi"/>
              </w:rPr>
            </w:pPr>
            <w:r w:rsidRPr="00385EFC">
              <w:rPr>
                <w:rFonts w:cstheme="minorHAnsi"/>
              </w:rPr>
              <w:t>Australian Fair Trade and Investment Network (AFTINET)</w:t>
            </w:r>
          </w:p>
          <w:p w14:paraId="35550172" w14:textId="77777777" w:rsidR="00885F3C" w:rsidRPr="00385EFC" w:rsidRDefault="00885F3C" w:rsidP="00EB0980">
            <w:pPr>
              <w:pStyle w:val="ListParagraph"/>
              <w:rPr>
                <w:rFonts w:cstheme="minorHAnsi"/>
              </w:rPr>
            </w:pPr>
          </w:p>
        </w:tc>
        <w:tc>
          <w:tcPr>
            <w:tcW w:w="4485" w:type="dxa"/>
            <w:tcBorders>
              <w:top w:val="single" w:sz="4" w:space="0" w:color="auto"/>
              <w:left w:val="single" w:sz="4" w:space="0" w:color="auto"/>
              <w:bottom w:val="single" w:sz="4" w:space="0" w:color="auto"/>
              <w:right w:val="single" w:sz="4" w:space="0" w:color="auto"/>
            </w:tcBorders>
            <w:hideMark/>
          </w:tcPr>
          <w:p w14:paraId="19254D28" w14:textId="77777777" w:rsidR="00885F3C" w:rsidRPr="00385EFC" w:rsidRDefault="00885F3C" w:rsidP="00A80396">
            <w:pPr>
              <w:pStyle w:val="ListParagraph"/>
              <w:numPr>
                <w:ilvl w:val="0"/>
                <w:numId w:val="5"/>
              </w:numPr>
              <w:rPr>
                <w:rFonts w:cstheme="minorHAnsi"/>
              </w:rPr>
            </w:pPr>
            <w:r w:rsidRPr="00385EFC">
              <w:rPr>
                <w:rFonts w:cstheme="minorHAnsi"/>
              </w:rPr>
              <w:t>Australian Horticultural Exporters Association</w:t>
            </w:r>
          </w:p>
        </w:tc>
      </w:tr>
      <w:tr w:rsidR="00885F3C" w14:paraId="42DC6C0F" w14:textId="77777777" w:rsidTr="00C13330">
        <w:tc>
          <w:tcPr>
            <w:tcW w:w="4531" w:type="dxa"/>
            <w:tcBorders>
              <w:top w:val="single" w:sz="4" w:space="0" w:color="auto"/>
              <w:left w:val="single" w:sz="4" w:space="0" w:color="auto"/>
              <w:bottom w:val="single" w:sz="4" w:space="0" w:color="auto"/>
              <w:right w:val="single" w:sz="4" w:space="0" w:color="auto"/>
            </w:tcBorders>
            <w:hideMark/>
          </w:tcPr>
          <w:p w14:paraId="72355F98" w14:textId="77777777" w:rsidR="00885F3C" w:rsidRPr="00385EFC" w:rsidRDefault="00885F3C" w:rsidP="00A80396">
            <w:pPr>
              <w:pStyle w:val="ListParagraph"/>
              <w:numPr>
                <w:ilvl w:val="0"/>
                <w:numId w:val="5"/>
              </w:numPr>
              <w:rPr>
                <w:rFonts w:cstheme="minorHAnsi"/>
              </w:rPr>
            </w:pPr>
            <w:r w:rsidRPr="00385EFC">
              <w:rPr>
                <w:rFonts w:cstheme="minorHAnsi"/>
              </w:rPr>
              <w:t>Australasian Performing Right Association Limited and Australasian Mechanical Copyright Owners Society (APRA/AMCOS)</w:t>
            </w:r>
          </w:p>
          <w:p w14:paraId="04A1434F" w14:textId="77777777" w:rsidR="00885F3C" w:rsidRPr="00385EFC" w:rsidRDefault="00885F3C" w:rsidP="00EB0980">
            <w:pPr>
              <w:pStyle w:val="ListParagraph"/>
              <w:rPr>
                <w:rFonts w:cstheme="minorHAnsi"/>
              </w:rPr>
            </w:pPr>
          </w:p>
        </w:tc>
        <w:tc>
          <w:tcPr>
            <w:tcW w:w="4485" w:type="dxa"/>
            <w:tcBorders>
              <w:top w:val="single" w:sz="4" w:space="0" w:color="auto"/>
              <w:left w:val="single" w:sz="4" w:space="0" w:color="auto"/>
              <w:bottom w:val="single" w:sz="4" w:space="0" w:color="auto"/>
              <w:right w:val="single" w:sz="4" w:space="0" w:color="auto"/>
            </w:tcBorders>
            <w:hideMark/>
          </w:tcPr>
          <w:p w14:paraId="399FCF31" w14:textId="77777777" w:rsidR="00885F3C" w:rsidRPr="00385EFC" w:rsidRDefault="00885F3C" w:rsidP="00A80396">
            <w:pPr>
              <w:pStyle w:val="ListParagraph"/>
              <w:numPr>
                <w:ilvl w:val="0"/>
                <w:numId w:val="5"/>
              </w:numPr>
              <w:rPr>
                <w:rFonts w:cstheme="minorHAnsi"/>
              </w:rPr>
            </w:pPr>
            <w:r w:rsidRPr="00385EFC">
              <w:rPr>
                <w:rFonts w:cstheme="minorHAnsi"/>
              </w:rPr>
              <w:t>Australian Forest Products Association (AFPA)</w:t>
            </w:r>
          </w:p>
        </w:tc>
      </w:tr>
      <w:tr w:rsidR="00885F3C" w14:paraId="3973BE32" w14:textId="77777777" w:rsidTr="00C13330">
        <w:tc>
          <w:tcPr>
            <w:tcW w:w="4531" w:type="dxa"/>
            <w:tcBorders>
              <w:top w:val="single" w:sz="4" w:space="0" w:color="auto"/>
              <w:left w:val="single" w:sz="4" w:space="0" w:color="auto"/>
              <w:bottom w:val="single" w:sz="4" w:space="0" w:color="auto"/>
              <w:right w:val="single" w:sz="4" w:space="0" w:color="auto"/>
            </w:tcBorders>
            <w:hideMark/>
          </w:tcPr>
          <w:p w14:paraId="1D2A4C73" w14:textId="77777777" w:rsidR="00885F3C" w:rsidRPr="00385EFC" w:rsidRDefault="00885F3C" w:rsidP="00A80396">
            <w:pPr>
              <w:pStyle w:val="ListParagraph"/>
              <w:numPr>
                <w:ilvl w:val="0"/>
                <w:numId w:val="5"/>
              </w:numPr>
              <w:rPr>
                <w:rFonts w:cstheme="minorHAnsi"/>
              </w:rPr>
            </w:pPr>
            <w:r w:rsidRPr="00385EFC">
              <w:rPr>
                <w:rFonts w:cstheme="minorHAnsi"/>
              </w:rPr>
              <w:t>Australia India Business Council (AIBC)</w:t>
            </w:r>
          </w:p>
          <w:p w14:paraId="7AC398D0" w14:textId="77777777" w:rsidR="00885F3C" w:rsidRPr="00385EFC" w:rsidRDefault="00885F3C" w:rsidP="00EB0980">
            <w:pPr>
              <w:pStyle w:val="ListParagraph"/>
              <w:rPr>
                <w:rFonts w:cstheme="minorHAnsi"/>
              </w:rPr>
            </w:pPr>
          </w:p>
        </w:tc>
        <w:tc>
          <w:tcPr>
            <w:tcW w:w="4485" w:type="dxa"/>
            <w:tcBorders>
              <w:top w:val="single" w:sz="4" w:space="0" w:color="auto"/>
              <w:left w:val="single" w:sz="4" w:space="0" w:color="auto"/>
              <w:bottom w:val="single" w:sz="4" w:space="0" w:color="auto"/>
              <w:right w:val="single" w:sz="4" w:space="0" w:color="auto"/>
            </w:tcBorders>
            <w:hideMark/>
          </w:tcPr>
          <w:p w14:paraId="3CCA56E1" w14:textId="77777777" w:rsidR="00885F3C" w:rsidRPr="00385EFC" w:rsidRDefault="00885F3C" w:rsidP="00A80396">
            <w:pPr>
              <w:pStyle w:val="ListParagraph"/>
              <w:numPr>
                <w:ilvl w:val="0"/>
                <w:numId w:val="5"/>
              </w:numPr>
              <w:rPr>
                <w:rFonts w:cstheme="minorHAnsi"/>
              </w:rPr>
            </w:pPr>
            <w:r w:rsidRPr="00385EFC">
              <w:rPr>
                <w:rFonts w:cstheme="minorHAnsi"/>
              </w:rPr>
              <w:t>Australian Industry Group</w:t>
            </w:r>
          </w:p>
        </w:tc>
      </w:tr>
      <w:tr w:rsidR="00885F3C" w14:paraId="3B2224EB" w14:textId="77777777" w:rsidTr="00C13330">
        <w:tc>
          <w:tcPr>
            <w:tcW w:w="4531" w:type="dxa"/>
            <w:tcBorders>
              <w:top w:val="single" w:sz="4" w:space="0" w:color="auto"/>
              <w:left w:val="single" w:sz="4" w:space="0" w:color="auto"/>
              <w:bottom w:val="single" w:sz="4" w:space="0" w:color="auto"/>
              <w:right w:val="single" w:sz="4" w:space="0" w:color="auto"/>
            </w:tcBorders>
            <w:hideMark/>
          </w:tcPr>
          <w:p w14:paraId="28545071" w14:textId="77777777" w:rsidR="00885F3C" w:rsidRPr="00385EFC" w:rsidRDefault="00885F3C" w:rsidP="00A80396">
            <w:pPr>
              <w:pStyle w:val="ListParagraph"/>
              <w:numPr>
                <w:ilvl w:val="0"/>
                <w:numId w:val="5"/>
              </w:numPr>
              <w:rPr>
                <w:rFonts w:cstheme="minorHAnsi"/>
              </w:rPr>
            </w:pPr>
            <w:r w:rsidRPr="00385EFC">
              <w:rPr>
                <w:rFonts w:cstheme="minorHAnsi"/>
              </w:rPr>
              <w:t>ANZ Banking Group Limited</w:t>
            </w:r>
          </w:p>
        </w:tc>
        <w:tc>
          <w:tcPr>
            <w:tcW w:w="4485" w:type="dxa"/>
            <w:tcBorders>
              <w:top w:val="single" w:sz="4" w:space="0" w:color="auto"/>
              <w:left w:val="single" w:sz="4" w:space="0" w:color="auto"/>
              <w:bottom w:val="single" w:sz="4" w:space="0" w:color="auto"/>
              <w:right w:val="single" w:sz="4" w:space="0" w:color="auto"/>
            </w:tcBorders>
            <w:hideMark/>
          </w:tcPr>
          <w:p w14:paraId="459ED571" w14:textId="77777777" w:rsidR="00885F3C" w:rsidRPr="00385EFC" w:rsidRDefault="00885F3C" w:rsidP="00A80396">
            <w:pPr>
              <w:pStyle w:val="ListParagraph"/>
              <w:numPr>
                <w:ilvl w:val="0"/>
                <w:numId w:val="5"/>
              </w:numPr>
              <w:rPr>
                <w:rFonts w:cstheme="minorHAnsi"/>
              </w:rPr>
            </w:pPr>
            <w:r w:rsidRPr="00385EFC">
              <w:rPr>
                <w:rFonts w:cstheme="minorHAnsi"/>
              </w:rPr>
              <w:t xml:space="preserve">Australian Nursing and Midwifery Accreditation Council </w:t>
            </w:r>
          </w:p>
          <w:p w14:paraId="796F3A72" w14:textId="77777777" w:rsidR="00885F3C" w:rsidRPr="00385EFC" w:rsidRDefault="00885F3C" w:rsidP="00EB0980">
            <w:pPr>
              <w:pStyle w:val="ListParagraph"/>
              <w:rPr>
                <w:rFonts w:cstheme="minorHAnsi"/>
              </w:rPr>
            </w:pPr>
          </w:p>
        </w:tc>
      </w:tr>
      <w:tr w:rsidR="00885F3C" w14:paraId="4C953F9C" w14:textId="77777777" w:rsidTr="00C13330">
        <w:tc>
          <w:tcPr>
            <w:tcW w:w="4531" w:type="dxa"/>
            <w:tcBorders>
              <w:top w:val="single" w:sz="4" w:space="0" w:color="auto"/>
              <w:left w:val="single" w:sz="4" w:space="0" w:color="auto"/>
              <w:bottom w:val="single" w:sz="4" w:space="0" w:color="auto"/>
              <w:right w:val="single" w:sz="4" w:space="0" w:color="auto"/>
            </w:tcBorders>
            <w:hideMark/>
          </w:tcPr>
          <w:p w14:paraId="27EF2ECD" w14:textId="77777777" w:rsidR="00885F3C" w:rsidRPr="00385EFC" w:rsidRDefault="00885F3C" w:rsidP="00A80396">
            <w:pPr>
              <w:pStyle w:val="ListParagraph"/>
              <w:numPr>
                <w:ilvl w:val="0"/>
                <w:numId w:val="5"/>
              </w:numPr>
              <w:rPr>
                <w:rFonts w:cstheme="minorHAnsi"/>
              </w:rPr>
            </w:pPr>
            <w:r w:rsidRPr="00385EFC">
              <w:rPr>
                <w:rFonts w:cstheme="minorHAnsi"/>
              </w:rPr>
              <w:t>Australian Tea Tree Industry Association Ltd</w:t>
            </w:r>
          </w:p>
          <w:p w14:paraId="1DE349BD" w14:textId="77777777" w:rsidR="00885F3C" w:rsidRPr="00385EFC" w:rsidRDefault="00885F3C" w:rsidP="00EB0980">
            <w:pPr>
              <w:pStyle w:val="ListParagraph"/>
              <w:ind w:left="360"/>
              <w:rPr>
                <w:rFonts w:cstheme="minorHAnsi"/>
              </w:rPr>
            </w:pPr>
          </w:p>
        </w:tc>
        <w:tc>
          <w:tcPr>
            <w:tcW w:w="4485" w:type="dxa"/>
            <w:tcBorders>
              <w:top w:val="single" w:sz="4" w:space="0" w:color="auto"/>
              <w:left w:val="single" w:sz="4" w:space="0" w:color="auto"/>
              <w:bottom w:val="single" w:sz="4" w:space="0" w:color="auto"/>
              <w:right w:val="single" w:sz="4" w:space="0" w:color="auto"/>
            </w:tcBorders>
            <w:hideMark/>
          </w:tcPr>
          <w:p w14:paraId="33909447" w14:textId="77777777" w:rsidR="00885F3C" w:rsidRPr="00385EFC" w:rsidRDefault="00885F3C" w:rsidP="00A80396">
            <w:pPr>
              <w:pStyle w:val="ListParagraph"/>
              <w:numPr>
                <w:ilvl w:val="0"/>
                <w:numId w:val="5"/>
              </w:numPr>
              <w:rPr>
                <w:rFonts w:cstheme="minorHAnsi"/>
              </w:rPr>
            </w:pPr>
            <w:r w:rsidRPr="00385EFC">
              <w:rPr>
                <w:rFonts w:cstheme="minorHAnsi"/>
              </w:rPr>
              <w:t>Australian Wool Innovation Limited</w:t>
            </w:r>
          </w:p>
        </w:tc>
      </w:tr>
      <w:tr w:rsidR="00885F3C" w14:paraId="35E05AFE" w14:textId="77777777" w:rsidTr="00C13330">
        <w:tc>
          <w:tcPr>
            <w:tcW w:w="4531" w:type="dxa"/>
            <w:tcBorders>
              <w:top w:val="single" w:sz="4" w:space="0" w:color="auto"/>
              <w:left w:val="single" w:sz="4" w:space="0" w:color="auto"/>
              <w:bottom w:val="single" w:sz="4" w:space="0" w:color="auto"/>
              <w:right w:val="single" w:sz="4" w:space="0" w:color="auto"/>
            </w:tcBorders>
            <w:hideMark/>
          </w:tcPr>
          <w:p w14:paraId="14B61905" w14:textId="77777777" w:rsidR="00885F3C" w:rsidRPr="00385EFC" w:rsidRDefault="00885F3C" w:rsidP="00A80396">
            <w:pPr>
              <w:pStyle w:val="ListParagraph"/>
              <w:numPr>
                <w:ilvl w:val="0"/>
                <w:numId w:val="5"/>
              </w:numPr>
              <w:rPr>
                <w:rFonts w:cstheme="minorHAnsi"/>
              </w:rPr>
            </w:pPr>
            <w:r w:rsidRPr="00385EFC">
              <w:rPr>
                <w:rFonts w:cstheme="minorHAnsi"/>
              </w:rPr>
              <w:t>Baker &amp; McKenzie</w:t>
            </w:r>
          </w:p>
          <w:p w14:paraId="28EA8406" w14:textId="77777777" w:rsidR="00885F3C" w:rsidRPr="00385EFC" w:rsidRDefault="00885F3C" w:rsidP="00EB0980">
            <w:pPr>
              <w:pStyle w:val="ListParagraph"/>
              <w:ind w:left="360"/>
              <w:rPr>
                <w:rFonts w:cstheme="minorHAnsi"/>
              </w:rPr>
            </w:pPr>
          </w:p>
        </w:tc>
        <w:tc>
          <w:tcPr>
            <w:tcW w:w="4485" w:type="dxa"/>
            <w:tcBorders>
              <w:top w:val="single" w:sz="4" w:space="0" w:color="auto"/>
              <w:left w:val="single" w:sz="4" w:space="0" w:color="auto"/>
              <w:bottom w:val="single" w:sz="4" w:space="0" w:color="auto"/>
              <w:right w:val="single" w:sz="4" w:space="0" w:color="auto"/>
            </w:tcBorders>
            <w:hideMark/>
          </w:tcPr>
          <w:p w14:paraId="47D79E4A" w14:textId="77777777" w:rsidR="00885F3C" w:rsidRPr="00385EFC" w:rsidRDefault="00885F3C" w:rsidP="00A80396">
            <w:pPr>
              <w:pStyle w:val="ListParagraph"/>
              <w:numPr>
                <w:ilvl w:val="0"/>
                <w:numId w:val="5"/>
              </w:numPr>
              <w:rPr>
                <w:rFonts w:cstheme="minorHAnsi"/>
              </w:rPr>
            </w:pPr>
            <w:r w:rsidRPr="00385EFC">
              <w:rPr>
                <w:rFonts w:cstheme="minorHAnsi"/>
              </w:rPr>
              <w:lastRenderedPageBreak/>
              <w:t>BBX Barter Services Pvt Ltd</w:t>
            </w:r>
          </w:p>
        </w:tc>
      </w:tr>
      <w:tr w:rsidR="00885F3C" w14:paraId="64D53E81" w14:textId="77777777" w:rsidTr="00C13330">
        <w:tc>
          <w:tcPr>
            <w:tcW w:w="4531" w:type="dxa"/>
            <w:tcBorders>
              <w:top w:val="single" w:sz="4" w:space="0" w:color="auto"/>
              <w:left w:val="single" w:sz="4" w:space="0" w:color="auto"/>
              <w:bottom w:val="single" w:sz="4" w:space="0" w:color="auto"/>
              <w:right w:val="single" w:sz="4" w:space="0" w:color="auto"/>
            </w:tcBorders>
            <w:hideMark/>
          </w:tcPr>
          <w:p w14:paraId="7B0FA181" w14:textId="77777777" w:rsidR="00885F3C" w:rsidRPr="00385EFC" w:rsidRDefault="00885F3C" w:rsidP="00A80396">
            <w:pPr>
              <w:pStyle w:val="ListParagraph"/>
              <w:numPr>
                <w:ilvl w:val="0"/>
                <w:numId w:val="5"/>
              </w:numPr>
              <w:rPr>
                <w:rFonts w:cstheme="minorHAnsi"/>
              </w:rPr>
            </w:pPr>
            <w:r w:rsidRPr="00385EFC">
              <w:rPr>
                <w:rFonts w:cstheme="minorHAnsi"/>
              </w:rPr>
              <w:t>Cassegrain Tea Tree Oil Pty Ltd</w:t>
            </w:r>
          </w:p>
          <w:p w14:paraId="21B3CCE6" w14:textId="77777777" w:rsidR="00885F3C" w:rsidRPr="00385EFC" w:rsidRDefault="00885F3C" w:rsidP="00EB0980">
            <w:pPr>
              <w:pStyle w:val="ListParagraph"/>
              <w:ind w:left="360"/>
              <w:rPr>
                <w:rFonts w:cstheme="minorHAnsi"/>
              </w:rPr>
            </w:pPr>
          </w:p>
        </w:tc>
        <w:tc>
          <w:tcPr>
            <w:tcW w:w="4485" w:type="dxa"/>
            <w:tcBorders>
              <w:top w:val="single" w:sz="4" w:space="0" w:color="auto"/>
              <w:left w:val="single" w:sz="4" w:space="0" w:color="auto"/>
              <w:bottom w:val="single" w:sz="4" w:space="0" w:color="auto"/>
              <w:right w:val="single" w:sz="4" w:space="0" w:color="auto"/>
            </w:tcBorders>
            <w:hideMark/>
          </w:tcPr>
          <w:p w14:paraId="09C850ED" w14:textId="77777777" w:rsidR="00885F3C" w:rsidRPr="00385EFC" w:rsidRDefault="00885F3C" w:rsidP="00A80396">
            <w:pPr>
              <w:pStyle w:val="ListParagraph"/>
              <w:numPr>
                <w:ilvl w:val="0"/>
                <w:numId w:val="5"/>
              </w:numPr>
              <w:rPr>
                <w:rFonts w:cstheme="minorHAnsi"/>
              </w:rPr>
            </w:pPr>
            <w:r w:rsidRPr="00385EFC">
              <w:rPr>
                <w:rFonts w:cstheme="minorHAnsi"/>
              </w:rPr>
              <w:t>Copper Mines of Tasmania</w:t>
            </w:r>
          </w:p>
        </w:tc>
      </w:tr>
      <w:tr w:rsidR="00885F3C" w14:paraId="241A1710" w14:textId="77777777" w:rsidTr="00C13330">
        <w:tc>
          <w:tcPr>
            <w:tcW w:w="4531" w:type="dxa"/>
            <w:tcBorders>
              <w:top w:val="single" w:sz="4" w:space="0" w:color="auto"/>
              <w:left w:val="single" w:sz="4" w:space="0" w:color="auto"/>
              <w:bottom w:val="single" w:sz="4" w:space="0" w:color="auto"/>
              <w:right w:val="single" w:sz="4" w:space="0" w:color="auto"/>
            </w:tcBorders>
            <w:hideMark/>
          </w:tcPr>
          <w:p w14:paraId="63CBD3B9" w14:textId="77777777" w:rsidR="00885F3C" w:rsidRPr="00385EFC" w:rsidRDefault="00885F3C" w:rsidP="00A80396">
            <w:pPr>
              <w:pStyle w:val="ListParagraph"/>
              <w:numPr>
                <w:ilvl w:val="0"/>
                <w:numId w:val="5"/>
              </w:numPr>
              <w:rPr>
                <w:rFonts w:cstheme="minorHAnsi"/>
              </w:rPr>
            </w:pPr>
            <w:r w:rsidRPr="00385EFC">
              <w:rPr>
                <w:rFonts w:cstheme="minorHAnsi"/>
              </w:rPr>
              <w:t xml:space="preserve">CPSU </w:t>
            </w:r>
            <w:r w:rsidRPr="00385EFC">
              <w:rPr>
                <w:rFonts w:cstheme="minorHAnsi"/>
                <w:i/>
                <w:iCs/>
              </w:rPr>
              <w:t>(multiple submissions)</w:t>
            </w:r>
          </w:p>
        </w:tc>
        <w:tc>
          <w:tcPr>
            <w:tcW w:w="4485" w:type="dxa"/>
            <w:tcBorders>
              <w:top w:val="single" w:sz="4" w:space="0" w:color="auto"/>
              <w:left w:val="single" w:sz="4" w:space="0" w:color="auto"/>
              <w:bottom w:val="single" w:sz="4" w:space="0" w:color="auto"/>
              <w:right w:val="single" w:sz="4" w:space="0" w:color="auto"/>
            </w:tcBorders>
            <w:hideMark/>
          </w:tcPr>
          <w:p w14:paraId="1D863986" w14:textId="77777777" w:rsidR="00885F3C" w:rsidRPr="00385EFC" w:rsidRDefault="00885F3C" w:rsidP="00A80396">
            <w:pPr>
              <w:pStyle w:val="ListParagraph"/>
              <w:numPr>
                <w:ilvl w:val="0"/>
                <w:numId w:val="5"/>
              </w:numPr>
              <w:rPr>
                <w:rFonts w:cstheme="minorHAnsi"/>
              </w:rPr>
            </w:pPr>
            <w:r w:rsidRPr="00385EFC">
              <w:rPr>
                <w:rFonts w:cstheme="minorHAnsi"/>
              </w:rPr>
              <w:t xml:space="preserve">Federation of </w:t>
            </w:r>
            <w:proofErr w:type="spellStart"/>
            <w:r w:rsidRPr="00385EFC">
              <w:rPr>
                <w:rFonts w:cstheme="minorHAnsi"/>
              </w:rPr>
              <w:t>Automotives</w:t>
            </w:r>
            <w:proofErr w:type="spellEnd"/>
            <w:r w:rsidRPr="00385EFC">
              <w:rPr>
                <w:rFonts w:cstheme="minorHAnsi"/>
              </w:rPr>
              <w:t xml:space="preserve"> Products Manufacturers</w:t>
            </w:r>
          </w:p>
          <w:p w14:paraId="415990F0" w14:textId="77777777" w:rsidR="00885F3C" w:rsidRPr="00385EFC" w:rsidRDefault="00885F3C" w:rsidP="00EB0980">
            <w:pPr>
              <w:pStyle w:val="ListParagraph"/>
              <w:ind w:left="360"/>
              <w:rPr>
                <w:rFonts w:cstheme="minorHAnsi"/>
              </w:rPr>
            </w:pPr>
          </w:p>
        </w:tc>
      </w:tr>
      <w:tr w:rsidR="00885F3C" w14:paraId="77C33268" w14:textId="77777777" w:rsidTr="00C13330">
        <w:tc>
          <w:tcPr>
            <w:tcW w:w="4531" w:type="dxa"/>
            <w:tcBorders>
              <w:top w:val="single" w:sz="4" w:space="0" w:color="auto"/>
              <w:left w:val="single" w:sz="4" w:space="0" w:color="auto"/>
              <w:bottom w:val="single" w:sz="4" w:space="0" w:color="auto"/>
              <w:right w:val="single" w:sz="4" w:space="0" w:color="auto"/>
            </w:tcBorders>
            <w:hideMark/>
          </w:tcPr>
          <w:p w14:paraId="17F38C6B" w14:textId="77777777" w:rsidR="00885F3C" w:rsidRPr="00385EFC" w:rsidRDefault="00885F3C" w:rsidP="00A80396">
            <w:pPr>
              <w:pStyle w:val="ListParagraph"/>
              <w:numPr>
                <w:ilvl w:val="0"/>
                <w:numId w:val="5"/>
              </w:numPr>
              <w:rPr>
                <w:rFonts w:cstheme="minorHAnsi"/>
              </w:rPr>
            </w:pPr>
            <w:r w:rsidRPr="00385EFC">
              <w:rPr>
                <w:rFonts w:cstheme="minorHAnsi"/>
              </w:rPr>
              <w:t xml:space="preserve">Financial Services Council </w:t>
            </w:r>
          </w:p>
          <w:p w14:paraId="755EA2E9" w14:textId="77777777" w:rsidR="00885F3C" w:rsidRPr="00385EFC" w:rsidRDefault="00885F3C" w:rsidP="00EB0980">
            <w:pPr>
              <w:pStyle w:val="ListParagraph"/>
              <w:ind w:left="360"/>
              <w:rPr>
                <w:rFonts w:cstheme="minorHAnsi"/>
              </w:rPr>
            </w:pPr>
          </w:p>
        </w:tc>
        <w:tc>
          <w:tcPr>
            <w:tcW w:w="4485" w:type="dxa"/>
            <w:tcBorders>
              <w:top w:val="single" w:sz="4" w:space="0" w:color="auto"/>
              <w:left w:val="single" w:sz="4" w:space="0" w:color="auto"/>
              <w:bottom w:val="single" w:sz="4" w:space="0" w:color="auto"/>
              <w:right w:val="single" w:sz="4" w:space="0" w:color="auto"/>
            </w:tcBorders>
            <w:hideMark/>
          </w:tcPr>
          <w:p w14:paraId="4A9CADC5" w14:textId="77777777" w:rsidR="00885F3C" w:rsidRPr="00385EFC" w:rsidRDefault="00885F3C" w:rsidP="00A80396">
            <w:pPr>
              <w:pStyle w:val="ListParagraph"/>
              <w:numPr>
                <w:ilvl w:val="0"/>
                <w:numId w:val="5"/>
              </w:numPr>
              <w:rPr>
                <w:rFonts w:cstheme="minorHAnsi"/>
              </w:rPr>
            </w:pPr>
            <w:r w:rsidRPr="00385EFC">
              <w:rPr>
                <w:rFonts w:cstheme="minorHAnsi"/>
              </w:rPr>
              <w:t>Indo Australia Design Research Alliance</w:t>
            </w:r>
          </w:p>
        </w:tc>
      </w:tr>
      <w:tr w:rsidR="00885F3C" w14:paraId="3DB0B9DE" w14:textId="77777777" w:rsidTr="00C13330">
        <w:tc>
          <w:tcPr>
            <w:tcW w:w="4531" w:type="dxa"/>
            <w:tcBorders>
              <w:top w:val="single" w:sz="4" w:space="0" w:color="auto"/>
              <w:left w:val="single" w:sz="4" w:space="0" w:color="auto"/>
              <w:bottom w:val="single" w:sz="4" w:space="0" w:color="auto"/>
              <w:right w:val="single" w:sz="4" w:space="0" w:color="auto"/>
            </w:tcBorders>
            <w:hideMark/>
          </w:tcPr>
          <w:p w14:paraId="1671C9CD" w14:textId="77777777" w:rsidR="00885F3C" w:rsidRPr="00385EFC" w:rsidRDefault="00885F3C" w:rsidP="00A80396">
            <w:pPr>
              <w:pStyle w:val="ListParagraph"/>
              <w:numPr>
                <w:ilvl w:val="0"/>
                <w:numId w:val="5"/>
              </w:numPr>
              <w:rPr>
                <w:rFonts w:cstheme="minorHAnsi"/>
              </w:rPr>
            </w:pPr>
            <w:r w:rsidRPr="00385EFC">
              <w:rPr>
                <w:rFonts w:cstheme="minorHAnsi"/>
              </w:rPr>
              <w:t>The Institute of Chartered Accountants of India</w:t>
            </w:r>
          </w:p>
          <w:p w14:paraId="2657876E" w14:textId="77777777" w:rsidR="00885F3C" w:rsidRPr="00385EFC" w:rsidRDefault="00885F3C" w:rsidP="00EB0980">
            <w:pPr>
              <w:pStyle w:val="ListParagraph"/>
              <w:ind w:left="360"/>
              <w:rPr>
                <w:rFonts w:cstheme="minorHAnsi"/>
              </w:rPr>
            </w:pPr>
          </w:p>
        </w:tc>
        <w:tc>
          <w:tcPr>
            <w:tcW w:w="4485" w:type="dxa"/>
            <w:tcBorders>
              <w:top w:val="single" w:sz="4" w:space="0" w:color="auto"/>
              <w:left w:val="single" w:sz="4" w:space="0" w:color="auto"/>
              <w:bottom w:val="single" w:sz="4" w:space="0" w:color="auto"/>
              <w:right w:val="single" w:sz="4" w:space="0" w:color="auto"/>
            </w:tcBorders>
            <w:hideMark/>
          </w:tcPr>
          <w:p w14:paraId="06F34528" w14:textId="77777777" w:rsidR="00885F3C" w:rsidRPr="00385EFC" w:rsidRDefault="00885F3C" w:rsidP="00A80396">
            <w:pPr>
              <w:pStyle w:val="ListParagraph"/>
              <w:numPr>
                <w:ilvl w:val="0"/>
                <w:numId w:val="5"/>
              </w:numPr>
              <w:rPr>
                <w:rFonts w:cstheme="minorHAnsi"/>
              </w:rPr>
            </w:pPr>
            <w:r w:rsidRPr="00385EFC">
              <w:rPr>
                <w:rFonts w:cstheme="minorHAnsi"/>
              </w:rPr>
              <w:t>Insurance Australia Group</w:t>
            </w:r>
          </w:p>
        </w:tc>
      </w:tr>
      <w:tr w:rsidR="00885F3C" w14:paraId="04B2AE51" w14:textId="77777777" w:rsidTr="00C13330">
        <w:tc>
          <w:tcPr>
            <w:tcW w:w="4531" w:type="dxa"/>
            <w:tcBorders>
              <w:top w:val="single" w:sz="4" w:space="0" w:color="auto"/>
              <w:left w:val="single" w:sz="4" w:space="0" w:color="auto"/>
              <w:bottom w:val="single" w:sz="4" w:space="0" w:color="auto"/>
              <w:right w:val="single" w:sz="4" w:space="0" w:color="auto"/>
            </w:tcBorders>
            <w:hideMark/>
          </w:tcPr>
          <w:p w14:paraId="3FD7452D" w14:textId="77777777" w:rsidR="00885F3C" w:rsidRPr="00385EFC" w:rsidRDefault="00885F3C" w:rsidP="00A80396">
            <w:pPr>
              <w:pStyle w:val="ListParagraph"/>
              <w:numPr>
                <w:ilvl w:val="0"/>
                <w:numId w:val="5"/>
              </w:numPr>
              <w:rPr>
                <w:rFonts w:cstheme="minorHAnsi"/>
              </w:rPr>
            </w:pPr>
            <w:r w:rsidRPr="00385EFC">
              <w:rPr>
                <w:rFonts w:cstheme="minorHAnsi"/>
              </w:rPr>
              <w:t>Insurance Council of Australia</w:t>
            </w:r>
          </w:p>
          <w:p w14:paraId="4085ACC9" w14:textId="77777777" w:rsidR="00885F3C" w:rsidRPr="00385EFC" w:rsidRDefault="00885F3C" w:rsidP="00EB0980">
            <w:pPr>
              <w:pStyle w:val="ListParagraph"/>
              <w:ind w:left="360"/>
              <w:rPr>
                <w:rFonts w:cstheme="minorHAnsi"/>
              </w:rPr>
            </w:pPr>
          </w:p>
        </w:tc>
        <w:tc>
          <w:tcPr>
            <w:tcW w:w="4485" w:type="dxa"/>
            <w:tcBorders>
              <w:top w:val="single" w:sz="4" w:space="0" w:color="auto"/>
              <w:left w:val="single" w:sz="4" w:space="0" w:color="auto"/>
              <w:bottom w:val="single" w:sz="4" w:space="0" w:color="auto"/>
              <w:right w:val="single" w:sz="4" w:space="0" w:color="auto"/>
            </w:tcBorders>
            <w:hideMark/>
          </w:tcPr>
          <w:p w14:paraId="634261E6" w14:textId="77777777" w:rsidR="00885F3C" w:rsidRPr="00385EFC" w:rsidRDefault="00885F3C" w:rsidP="00A80396">
            <w:pPr>
              <w:pStyle w:val="ListParagraph"/>
              <w:numPr>
                <w:ilvl w:val="0"/>
                <w:numId w:val="5"/>
              </w:numPr>
              <w:rPr>
                <w:rFonts w:cstheme="minorHAnsi"/>
              </w:rPr>
            </w:pPr>
            <w:r w:rsidRPr="00385EFC">
              <w:rPr>
                <w:rFonts w:cstheme="minorHAnsi"/>
              </w:rPr>
              <w:t>International Trademark Association</w:t>
            </w:r>
          </w:p>
        </w:tc>
      </w:tr>
      <w:tr w:rsidR="00885F3C" w14:paraId="4C2B9559" w14:textId="77777777" w:rsidTr="00C13330">
        <w:tc>
          <w:tcPr>
            <w:tcW w:w="4531" w:type="dxa"/>
            <w:tcBorders>
              <w:top w:val="single" w:sz="4" w:space="0" w:color="auto"/>
              <w:left w:val="single" w:sz="4" w:space="0" w:color="auto"/>
              <w:bottom w:val="single" w:sz="4" w:space="0" w:color="auto"/>
              <w:right w:val="single" w:sz="4" w:space="0" w:color="auto"/>
            </w:tcBorders>
            <w:hideMark/>
          </w:tcPr>
          <w:p w14:paraId="55D61345" w14:textId="77777777" w:rsidR="00885F3C" w:rsidRPr="00385EFC" w:rsidRDefault="00885F3C" w:rsidP="00A80396">
            <w:pPr>
              <w:pStyle w:val="ListParagraph"/>
              <w:numPr>
                <w:ilvl w:val="0"/>
                <w:numId w:val="5"/>
              </w:numPr>
              <w:rPr>
                <w:rFonts w:cstheme="minorHAnsi"/>
              </w:rPr>
            </w:pPr>
            <w:r w:rsidRPr="00385EFC">
              <w:rPr>
                <w:rFonts w:cstheme="minorHAnsi"/>
              </w:rPr>
              <w:t>Law Council of Australia</w:t>
            </w:r>
          </w:p>
          <w:p w14:paraId="10AE209A" w14:textId="77777777" w:rsidR="00885F3C" w:rsidRPr="00385EFC" w:rsidRDefault="00885F3C" w:rsidP="00EB0980">
            <w:pPr>
              <w:pStyle w:val="ListParagraph"/>
              <w:ind w:left="360"/>
              <w:rPr>
                <w:rFonts w:cstheme="minorHAnsi"/>
              </w:rPr>
            </w:pPr>
          </w:p>
        </w:tc>
        <w:tc>
          <w:tcPr>
            <w:tcW w:w="4485" w:type="dxa"/>
            <w:tcBorders>
              <w:top w:val="single" w:sz="4" w:space="0" w:color="auto"/>
              <w:left w:val="single" w:sz="4" w:space="0" w:color="auto"/>
              <w:bottom w:val="single" w:sz="4" w:space="0" w:color="auto"/>
              <w:right w:val="single" w:sz="4" w:space="0" w:color="auto"/>
            </w:tcBorders>
            <w:hideMark/>
          </w:tcPr>
          <w:p w14:paraId="032561F5" w14:textId="77777777" w:rsidR="00885F3C" w:rsidRPr="00385EFC" w:rsidRDefault="00885F3C" w:rsidP="00A80396">
            <w:pPr>
              <w:pStyle w:val="ListParagraph"/>
              <w:numPr>
                <w:ilvl w:val="0"/>
                <w:numId w:val="5"/>
              </w:numPr>
              <w:rPr>
                <w:rFonts w:cstheme="minorHAnsi"/>
              </w:rPr>
            </w:pPr>
            <w:r w:rsidRPr="00385EFC">
              <w:rPr>
                <w:rFonts w:cstheme="minorHAnsi"/>
              </w:rPr>
              <w:t>Meat &amp; Livestock Australia</w:t>
            </w:r>
          </w:p>
        </w:tc>
      </w:tr>
      <w:tr w:rsidR="00885F3C" w14:paraId="0F9FEC55" w14:textId="77777777" w:rsidTr="00C13330">
        <w:tc>
          <w:tcPr>
            <w:tcW w:w="4531" w:type="dxa"/>
            <w:tcBorders>
              <w:top w:val="single" w:sz="4" w:space="0" w:color="auto"/>
              <w:left w:val="single" w:sz="4" w:space="0" w:color="auto"/>
              <w:bottom w:val="single" w:sz="4" w:space="0" w:color="auto"/>
              <w:right w:val="single" w:sz="4" w:space="0" w:color="auto"/>
            </w:tcBorders>
            <w:hideMark/>
          </w:tcPr>
          <w:p w14:paraId="3F0D4AA8" w14:textId="77777777" w:rsidR="00885F3C" w:rsidRPr="00385EFC" w:rsidRDefault="00885F3C" w:rsidP="00A80396">
            <w:pPr>
              <w:pStyle w:val="ListParagraph"/>
              <w:numPr>
                <w:ilvl w:val="0"/>
                <w:numId w:val="5"/>
              </w:numPr>
              <w:rPr>
                <w:rFonts w:cstheme="minorHAnsi"/>
              </w:rPr>
            </w:pPr>
            <w:r w:rsidRPr="00385EFC">
              <w:rPr>
                <w:rFonts w:cstheme="minorHAnsi"/>
              </w:rPr>
              <w:t>Molina Asthana</w:t>
            </w:r>
          </w:p>
          <w:p w14:paraId="7BF5D8E8" w14:textId="77777777" w:rsidR="00885F3C" w:rsidRPr="00385EFC" w:rsidRDefault="00885F3C" w:rsidP="00EB0980">
            <w:pPr>
              <w:pStyle w:val="ListParagraph"/>
              <w:ind w:left="360"/>
              <w:rPr>
                <w:rFonts w:cstheme="minorHAnsi"/>
              </w:rPr>
            </w:pPr>
          </w:p>
        </w:tc>
        <w:tc>
          <w:tcPr>
            <w:tcW w:w="4485" w:type="dxa"/>
            <w:tcBorders>
              <w:top w:val="single" w:sz="4" w:space="0" w:color="auto"/>
              <w:left w:val="single" w:sz="4" w:space="0" w:color="auto"/>
              <w:bottom w:val="single" w:sz="4" w:space="0" w:color="auto"/>
              <w:right w:val="single" w:sz="4" w:space="0" w:color="auto"/>
            </w:tcBorders>
            <w:hideMark/>
          </w:tcPr>
          <w:p w14:paraId="218F403B" w14:textId="77777777" w:rsidR="00885F3C" w:rsidRPr="00385EFC" w:rsidRDefault="00885F3C" w:rsidP="00A80396">
            <w:pPr>
              <w:pStyle w:val="ListParagraph"/>
              <w:numPr>
                <w:ilvl w:val="0"/>
                <w:numId w:val="5"/>
              </w:numPr>
              <w:rPr>
                <w:rFonts w:cstheme="minorHAnsi"/>
              </w:rPr>
            </w:pPr>
            <w:r w:rsidRPr="00385EFC">
              <w:rPr>
                <w:rFonts w:cstheme="minorHAnsi"/>
              </w:rPr>
              <w:t xml:space="preserve">Music Council of Australia </w:t>
            </w:r>
          </w:p>
        </w:tc>
      </w:tr>
      <w:tr w:rsidR="00885F3C" w14:paraId="6243EC7E" w14:textId="77777777" w:rsidTr="00C13330">
        <w:tc>
          <w:tcPr>
            <w:tcW w:w="4531" w:type="dxa"/>
            <w:tcBorders>
              <w:top w:val="single" w:sz="4" w:space="0" w:color="auto"/>
              <w:left w:val="single" w:sz="4" w:space="0" w:color="auto"/>
              <w:bottom w:val="single" w:sz="4" w:space="0" w:color="auto"/>
              <w:right w:val="single" w:sz="4" w:space="0" w:color="auto"/>
            </w:tcBorders>
            <w:hideMark/>
          </w:tcPr>
          <w:p w14:paraId="053A24A4" w14:textId="77777777" w:rsidR="00885F3C" w:rsidRPr="00385EFC" w:rsidRDefault="00885F3C" w:rsidP="00A80396">
            <w:pPr>
              <w:pStyle w:val="ListParagraph"/>
              <w:numPr>
                <w:ilvl w:val="0"/>
                <w:numId w:val="5"/>
              </w:numPr>
              <w:rPr>
                <w:rFonts w:cstheme="minorHAnsi"/>
              </w:rPr>
            </w:pPr>
            <w:proofErr w:type="spellStart"/>
            <w:r w:rsidRPr="00385EFC">
              <w:rPr>
                <w:rFonts w:cstheme="minorHAnsi"/>
              </w:rPr>
              <w:t>Natio</w:t>
            </w:r>
            <w:proofErr w:type="spellEnd"/>
            <w:r w:rsidRPr="00385EFC">
              <w:rPr>
                <w:rFonts w:cstheme="minorHAnsi"/>
              </w:rPr>
              <w:t xml:space="preserve"> Cosmetics</w:t>
            </w:r>
          </w:p>
          <w:p w14:paraId="229C5E0E" w14:textId="77777777" w:rsidR="00885F3C" w:rsidRPr="00385EFC" w:rsidRDefault="00885F3C" w:rsidP="00EB0980">
            <w:pPr>
              <w:pStyle w:val="ListParagraph"/>
              <w:ind w:left="360"/>
              <w:rPr>
                <w:rFonts w:cstheme="minorHAnsi"/>
              </w:rPr>
            </w:pPr>
          </w:p>
        </w:tc>
        <w:tc>
          <w:tcPr>
            <w:tcW w:w="4485" w:type="dxa"/>
            <w:tcBorders>
              <w:top w:val="single" w:sz="4" w:space="0" w:color="auto"/>
              <w:left w:val="single" w:sz="4" w:space="0" w:color="auto"/>
              <w:bottom w:val="single" w:sz="4" w:space="0" w:color="auto"/>
              <w:right w:val="single" w:sz="4" w:space="0" w:color="auto"/>
            </w:tcBorders>
            <w:hideMark/>
          </w:tcPr>
          <w:p w14:paraId="63D0F495" w14:textId="77777777" w:rsidR="00885F3C" w:rsidRPr="00385EFC" w:rsidRDefault="00885F3C" w:rsidP="00A80396">
            <w:pPr>
              <w:pStyle w:val="ListParagraph"/>
              <w:numPr>
                <w:ilvl w:val="0"/>
                <w:numId w:val="5"/>
              </w:numPr>
              <w:rPr>
                <w:rFonts w:cstheme="minorHAnsi"/>
              </w:rPr>
            </w:pPr>
            <w:r w:rsidRPr="00385EFC">
              <w:rPr>
                <w:rFonts w:cstheme="minorHAnsi"/>
              </w:rPr>
              <w:t>National Australia Bank</w:t>
            </w:r>
          </w:p>
        </w:tc>
      </w:tr>
      <w:tr w:rsidR="00885F3C" w14:paraId="489752CA" w14:textId="77777777" w:rsidTr="00C13330">
        <w:tc>
          <w:tcPr>
            <w:tcW w:w="4531" w:type="dxa"/>
            <w:tcBorders>
              <w:top w:val="single" w:sz="4" w:space="0" w:color="auto"/>
              <w:left w:val="single" w:sz="4" w:space="0" w:color="auto"/>
              <w:bottom w:val="single" w:sz="4" w:space="0" w:color="auto"/>
              <w:right w:val="single" w:sz="4" w:space="0" w:color="auto"/>
            </w:tcBorders>
            <w:hideMark/>
          </w:tcPr>
          <w:p w14:paraId="0C7EEDE4" w14:textId="679686DA" w:rsidR="00885F3C" w:rsidRPr="00385EFC" w:rsidRDefault="00885F3C" w:rsidP="00A80396">
            <w:pPr>
              <w:pStyle w:val="ListParagraph"/>
              <w:numPr>
                <w:ilvl w:val="0"/>
                <w:numId w:val="5"/>
              </w:numPr>
              <w:rPr>
                <w:rFonts w:cstheme="minorHAnsi"/>
              </w:rPr>
            </w:pPr>
            <w:r w:rsidRPr="00385EFC">
              <w:rPr>
                <w:rFonts w:cstheme="minorHAnsi"/>
              </w:rPr>
              <w:t>NSW Department of Trade and Investment</w:t>
            </w:r>
          </w:p>
        </w:tc>
        <w:tc>
          <w:tcPr>
            <w:tcW w:w="4485" w:type="dxa"/>
            <w:tcBorders>
              <w:top w:val="single" w:sz="4" w:space="0" w:color="auto"/>
              <w:left w:val="single" w:sz="4" w:space="0" w:color="auto"/>
              <w:bottom w:val="single" w:sz="4" w:space="0" w:color="auto"/>
              <w:right w:val="single" w:sz="4" w:space="0" w:color="auto"/>
            </w:tcBorders>
            <w:hideMark/>
          </w:tcPr>
          <w:p w14:paraId="1E3A42E6" w14:textId="77777777" w:rsidR="00885F3C" w:rsidRDefault="00885F3C" w:rsidP="00A80396">
            <w:pPr>
              <w:pStyle w:val="ListParagraph"/>
              <w:numPr>
                <w:ilvl w:val="0"/>
                <w:numId w:val="5"/>
              </w:numPr>
              <w:rPr>
                <w:rFonts w:cstheme="minorHAnsi"/>
              </w:rPr>
            </w:pPr>
            <w:r w:rsidRPr="00385EFC">
              <w:rPr>
                <w:rFonts w:cstheme="minorHAnsi"/>
              </w:rPr>
              <w:t>Office of Horticultural Market Access</w:t>
            </w:r>
          </w:p>
          <w:p w14:paraId="7C78FD38" w14:textId="11E1CB20" w:rsidR="003439B5" w:rsidRPr="00385EFC" w:rsidRDefault="003439B5" w:rsidP="003439B5">
            <w:pPr>
              <w:pStyle w:val="ListParagraph"/>
              <w:ind w:left="360"/>
              <w:rPr>
                <w:rFonts w:cstheme="minorHAnsi"/>
              </w:rPr>
            </w:pPr>
          </w:p>
        </w:tc>
      </w:tr>
      <w:tr w:rsidR="00885F3C" w14:paraId="2ED52607" w14:textId="77777777" w:rsidTr="00C13330">
        <w:tc>
          <w:tcPr>
            <w:tcW w:w="4531" w:type="dxa"/>
            <w:tcBorders>
              <w:top w:val="single" w:sz="4" w:space="0" w:color="auto"/>
              <w:left w:val="single" w:sz="4" w:space="0" w:color="auto"/>
              <w:bottom w:val="single" w:sz="4" w:space="0" w:color="auto"/>
              <w:right w:val="single" w:sz="4" w:space="0" w:color="auto"/>
            </w:tcBorders>
            <w:hideMark/>
          </w:tcPr>
          <w:p w14:paraId="704FFC8D" w14:textId="77777777" w:rsidR="00885F3C" w:rsidRPr="00385EFC" w:rsidRDefault="00885F3C" w:rsidP="00A80396">
            <w:pPr>
              <w:pStyle w:val="ListParagraph"/>
              <w:numPr>
                <w:ilvl w:val="0"/>
                <w:numId w:val="5"/>
              </w:numPr>
              <w:rPr>
                <w:rFonts w:cstheme="minorHAnsi"/>
              </w:rPr>
            </w:pPr>
            <w:r w:rsidRPr="00385EFC">
              <w:rPr>
                <w:rFonts w:cstheme="minorHAnsi"/>
              </w:rPr>
              <w:t>OZ Minerals Ltd</w:t>
            </w:r>
          </w:p>
          <w:p w14:paraId="4798A003" w14:textId="77777777" w:rsidR="00885F3C" w:rsidRPr="00385EFC" w:rsidRDefault="00885F3C" w:rsidP="00EB0980">
            <w:pPr>
              <w:pStyle w:val="ListParagraph"/>
              <w:ind w:left="360"/>
              <w:rPr>
                <w:rFonts w:cstheme="minorHAnsi"/>
              </w:rPr>
            </w:pPr>
          </w:p>
        </w:tc>
        <w:tc>
          <w:tcPr>
            <w:tcW w:w="4485" w:type="dxa"/>
            <w:tcBorders>
              <w:top w:val="single" w:sz="4" w:space="0" w:color="auto"/>
              <w:left w:val="single" w:sz="4" w:space="0" w:color="auto"/>
              <w:bottom w:val="single" w:sz="4" w:space="0" w:color="auto"/>
              <w:right w:val="single" w:sz="4" w:space="0" w:color="auto"/>
            </w:tcBorders>
            <w:hideMark/>
          </w:tcPr>
          <w:p w14:paraId="453F776B" w14:textId="77777777" w:rsidR="00885F3C" w:rsidRPr="00385EFC" w:rsidRDefault="00885F3C" w:rsidP="00A80396">
            <w:pPr>
              <w:pStyle w:val="ListParagraph"/>
              <w:numPr>
                <w:ilvl w:val="0"/>
                <w:numId w:val="5"/>
              </w:numPr>
              <w:rPr>
                <w:rFonts w:cstheme="minorHAnsi"/>
              </w:rPr>
            </w:pPr>
            <w:proofErr w:type="spellStart"/>
            <w:r w:rsidRPr="00385EFC">
              <w:rPr>
                <w:rFonts w:cstheme="minorHAnsi"/>
              </w:rPr>
              <w:t>Pioma</w:t>
            </w:r>
            <w:proofErr w:type="spellEnd"/>
            <w:r w:rsidRPr="00385EFC">
              <w:rPr>
                <w:rFonts w:cstheme="minorHAnsi"/>
              </w:rPr>
              <w:t xml:space="preserve"> Chemicals – Tea Tree Oil</w:t>
            </w:r>
          </w:p>
        </w:tc>
      </w:tr>
      <w:tr w:rsidR="00885F3C" w14:paraId="1CC32C52" w14:textId="77777777" w:rsidTr="00C13330">
        <w:tc>
          <w:tcPr>
            <w:tcW w:w="4531" w:type="dxa"/>
            <w:tcBorders>
              <w:top w:val="single" w:sz="4" w:space="0" w:color="auto"/>
              <w:left w:val="single" w:sz="4" w:space="0" w:color="auto"/>
              <w:bottom w:val="single" w:sz="4" w:space="0" w:color="auto"/>
              <w:right w:val="single" w:sz="4" w:space="0" w:color="auto"/>
            </w:tcBorders>
            <w:hideMark/>
          </w:tcPr>
          <w:p w14:paraId="7B6A28A2" w14:textId="65BB9701" w:rsidR="00885F3C" w:rsidRPr="00385EFC" w:rsidRDefault="00885F3C" w:rsidP="00A80396">
            <w:pPr>
              <w:pStyle w:val="ListParagraph"/>
              <w:numPr>
                <w:ilvl w:val="0"/>
                <w:numId w:val="5"/>
              </w:numPr>
              <w:rPr>
                <w:rFonts w:cstheme="minorHAnsi"/>
              </w:rPr>
            </w:pPr>
            <w:proofErr w:type="spellStart"/>
            <w:r w:rsidRPr="00385EFC">
              <w:rPr>
                <w:rFonts w:cstheme="minorHAnsi"/>
              </w:rPr>
              <w:t>RayGen</w:t>
            </w:r>
            <w:proofErr w:type="spellEnd"/>
            <w:r w:rsidRPr="00385EFC">
              <w:rPr>
                <w:rFonts w:cstheme="minorHAnsi"/>
              </w:rPr>
              <w:t xml:space="preserve"> Resources</w:t>
            </w:r>
          </w:p>
        </w:tc>
        <w:tc>
          <w:tcPr>
            <w:tcW w:w="4485" w:type="dxa"/>
            <w:tcBorders>
              <w:top w:val="single" w:sz="4" w:space="0" w:color="auto"/>
              <w:left w:val="single" w:sz="4" w:space="0" w:color="auto"/>
              <w:bottom w:val="single" w:sz="4" w:space="0" w:color="auto"/>
              <w:right w:val="single" w:sz="4" w:space="0" w:color="auto"/>
            </w:tcBorders>
            <w:hideMark/>
          </w:tcPr>
          <w:p w14:paraId="7A68FA49" w14:textId="77777777" w:rsidR="00885F3C" w:rsidRDefault="00885F3C" w:rsidP="00A80396">
            <w:pPr>
              <w:pStyle w:val="ListParagraph"/>
              <w:numPr>
                <w:ilvl w:val="0"/>
                <w:numId w:val="5"/>
              </w:numPr>
              <w:rPr>
                <w:rFonts w:cstheme="minorHAnsi"/>
              </w:rPr>
            </w:pPr>
            <w:r w:rsidRPr="00385EFC">
              <w:rPr>
                <w:rFonts w:cstheme="minorHAnsi"/>
              </w:rPr>
              <w:t>Seafood Services Australia</w:t>
            </w:r>
          </w:p>
          <w:p w14:paraId="32A5C6AA" w14:textId="3C2534D7" w:rsidR="003439B5" w:rsidRPr="00385EFC" w:rsidRDefault="003439B5" w:rsidP="003439B5">
            <w:pPr>
              <w:pStyle w:val="ListParagraph"/>
              <w:ind w:left="360"/>
              <w:rPr>
                <w:rFonts w:cstheme="minorHAnsi"/>
              </w:rPr>
            </w:pPr>
          </w:p>
        </w:tc>
      </w:tr>
      <w:tr w:rsidR="00885F3C" w14:paraId="28527ED1" w14:textId="77777777" w:rsidTr="00C13330">
        <w:tc>
          <w:tcPr>
            <w:tcW w:w="4531" w:type="dxa"/>
            <w:tcBorders>
              <w:top w:val="single" w:sz="4" w:space="0" w:color="auto"/>
              <w:left w:val="single" w:sz="4" w:space="0" w:color="auto"/>
              <w:bottom w:val="single" w:sz="4" w:space="0" w:color="auto"/>
              <w:right w:val="single" w:sz="4" w:space="0" w:color="auto"/>
            </w:tcBorders>
            <w:hideMark/>
          </w:tcPr>
          <w:p w14:paraId="068800FC" w14:textId="77777777" w:rsidR="00885F3C" w:rsidRPr="00385EFC" w:rsidRDefault="00885F3C" w:rsidP="00A80396">
            <w:pPr>
              <w:pStyle w:val="ListParagraph"/>
              <w:numPr>
                <w:ilvl w:val="0"/>
                <w:numId w:val="5"/>
              </w:numPr>
              <w:rPr>
                <w:rFonts w:cstheme="minorHAnsi"/>
              </w:rPr>
            </w:pPr>
            <w:r w:rsidRPr="00385EFC">
              <w:rPr>
                <w:rFonts w:cstheme="minorHAnsi"/>
              </w:rPr>
              <w:t>South Australian Education</w:t>
            </w:r>
          </w:p>
          <w:p w14:paraId="2A9A8A0E" w14:textId="77777777" w:rsidR="00885F3C" w:rsidRPr="00385EFC" w:rsidRDefault="00885F3C" w:rsidP="00EB0980">
            <w:pPr>
              <w:pStyle w:val="ListParagraph"/>
              <w:ind w:left="360"/>
              <w:rPr>
                <w:rFonts w:cstheme="minorHAnsi"/>
              </w:rPr>
            </w:pPr>
          </w:p>
        </w:tc>
        <w:tc>
          <w:tcPr>
            <w:tcW w:w="4485" w:type="dxa"/>
            <w:tcBorders>
              <w:top w:val="single" w:sz="4" w:space="0" w:color="auto"/>
              <w:left w:val="single" w:sz="4" w:space="0" w:color="auto"/>
              <w:bottom w:val="single" w:sz="4" w:space="0" w:color="auto"/>
              <w:right w:val="single" w:sz="4" w:space="0" w:color="auto"/>
            </w:tcBorders>
            <w:hideMark/>
          </w:tcPr>
          <w:p w14:paraId="05AF1202" w14:textId="77777777" w:rsidR="00885F3C" w:rsidRPr="00385EFC" w:rsidRDefault="00885F3C" w:rsidP="00A80396">
            <w:pPr>
              <w:pStyle w:val="ListParagraph"/>
              <w:numPr>
                <w:ilvl w:val="0"/>
                <w:numId w:val="5"/>
              </w:numPr>
              <w:rPr>
                <w:rFonts w:cstheme="minorHAnsi"/>
              </w:rPr>
            </w:pPr>
            <w:r w:rsidRPr="00385EFC">
              <w:rPr>
                <w:rFonts w:cstheme="minorHAnsi"/>
              </w:rPr>
              <w:t>South Australian Government</w:t>
            </w:r>
          </w:p>
        </w:tc>
      </w:tr>
      <w:tr w:rsidR="00885F3C" w14:paraId="12550EF0" w14:textId="77777777" w:rsidTr="00C13330">
        <w:tc>
          <w:tcPr>
            <w:tcW w:w="4531" w:type="dxa"/>
            <w:tcBorders>
              <w:top w:val="single" w:sz="4" w:space="0" w:color="auto"/>
              <w:left w:val="single" w:sz="4" w:space="0" w:color="auto"/>
              <w:bottom w:val="single" w:sz="4" w:space="0" w:color="auto"/>
              <w:right w:val="single" w:sz="4" w:space="0" w:color="auto"/>
            </w:tcBorders>
            <w:hideMark/>
          </w:tcPr>
          <w:p w14:paraId="7FD7D237" w14:textId="77777777" w:rsidR="00885F3C" w:rsidRPr="00385EFC" w:rsidRDefault="00885F3C" w:rsidP="00A80396">
            <w:pPr>
              <w:pStyle w:val="ListParagraph"/>
              <w:numPr>
                <w:ilvl w:val="0"/>
                <w:numId w:val="5"/>
              </w:numPr>
              <w:rPr>
                <w:rFonts w:cstheme="minorHAnsi"/>
              </w:rPr>
            </w:pPr>
            <w:r w:rsidRPr="00385EFC">
              <w:rPr>
                <w:rFonts w:cstheme="minorHAnsi"/>
              </w:rPr>
              <w:t>TFS Corporation Ltd (TFS)</w:t>
            </w:r>
          </w:p>
          <w:p w14:paraId="15A89453" w14:textId="77777777" w:rsidR="00885F3C" w:rsidRPr="00385EFC" w:rsidRDefault="00885F3C" w:rsidP="00EB0980">
            <w:pPr>
              <w:pStyle w:val="ListParagraph"/>
              <w:ind w:left="360"/>
              <w:rPr>
                <w:rFonts w:cstheme="minorHAnsi"/>
              </w:rPr>
            </w:pPr>
          </w:p>
        </w:tc>
        <w:tc>
          <w:tcPr>
            <w:tcW w:w="4485" w:type="dxa"/>
            <w:tcBorders>
              <w:top w:val="single" w:sz="4" w:space="0" w:color="auto"/>
              <w:left w:val="single" w:sz="4" w:space="0" w:color="auto"/>
              <w:bottom w:val="single" w:sz="4" w:space="0" w:color="auto"/>
              <w:right w:val="single" w:sz="4" w:space="0" w:color="auto"/>
            </w:tcBorders>
            <w:hideMark/>
          </w:tcPr>
          <w:p w14:paraId="7F4EEFDE" w14:textId="77777777" w:rsidR="00885F3C" w:rsidRPr="00385EFC" w:rsidRDefault="00885F3C" w:rsidP="00A80396">
            <w:pPr>
              <w:pStyle w:val="ListParagraph"/>
              <w:numPr>
                <w:ilvl w:val="0"/>
                <w:numId w:val="5"/>
              </w:numPr>
              <w:rPr>
                <w:rFonts w:cstheme="minorHAnsi"/>
              </w:rPr>
            </w:pPr>
            <w:r w:rsidRPr="00385EFC">
              <w:rPr>
                <w:rFonts w:cstheme="minorHAnsi"/>
              </w:rPr>
              <w:t>VicRoads</w:t>
            </w:r>
          </w:p>
        </w:tc>
      </w:tr>
      <w:tr w:rsidR="00885F3C" w14:paraId="17E160C4" w14:textId="77777777" w:rsidTr="00C13330">
        <w:tc>
          <w:tcPr>
            <w:tcW w:w="4531" w:type="dxa"/>
            <w:tcBorders>
              <w:top w:val="single" w:sz="4" w:space="0" w:color="auto"/>
              <w:left w:val="single" w:sz="4" w:space="0" w:color="auto"/>
              <w:bottom w:val="single" w:sz="4" w:space="0" w:color="auto"/>
              <w:right w:val="single" w:sz="4" w:space="0" w:color="auto"/>
            </w:tcBorders>
            <w:hideMark/>
          </w:tcPr>
          <w:p w14:paraId="582B000C" w14:textId="05D47B84" w:rsidR="00885F3C" w:rsidRPr="00385EFC" w:rsidRDefault="00885F3C" w:rsidP="00A80396">
            <w:pPr>
              <w:pStyle w:val="ListParagraph"/>
              <w:numPr>
                <w:ilvl w:val="0"/>
                <w:numId w:val="5"/>
              </w:numPr>
              <w:rPr>
                <w:rFonts w:cstheme="minorHAnsi"/>
              </w:rPr>
            </w:pPr>
            <w:r w:rsidRPr="00385EFC">
              <w:rPr>
                <w:rFonts w:cstheme="minorHAnsi"/>
              </w:rPr>
              <w:t>Wine Australia</w:t>
            </w:r>
          </w:p>
        </w:tc>
        <w:tc>
          <w:tcPr>
            <w:tcW w:w="4485" w:type="dxa"/>
            <w:tcBorders>
              <w:top w:val="single" w:sz="4" w:space="0" w:color="auto"/>
              <w:left w:val="single" w:sz="4" w:space="0" w:color="auto"/>
              <w:bottom w:val="single" w:sz="4" w:space="0" w:color="auto"/>
              <w:right w:val="single" w:sz="4" w:space="0" w:color="auto"/>
            </w:tcBorders>
            <w:hideMark/>
          </w:tcPr>
          <w:p w14:paraId="320471CC" w14:textId="77777777" w:rsidR="00885F3C" w:rsidRPr="00385EFC" w:rsidRDefault="00885F3C" w:rsidP="00A80396">
            <w:pPr>
              <w:pStyle w:val="ListParagraph"/>
              <w:numPr>
                <w:ilvl w:val="0"/>
                <w:numId w:val="5"/>
              </w:numPr>
              <w:rPr>
                <w:rFonts w:cstheme="minorHAnsi"/>
              </w:rPr>
            </w:pPr>
            <w:r w:rsidRPr="00385EFC">
              <w:rPr>
                <w:rFonts w:cstheme="minorHAnsi"/>
              </w:rPr>
              <w:t>Winemakers Federation of Australia</w:t>
            </w:r>
          </w:p>
          <w:p w14:paraId="04ADBABC" w14:textId="14C05834" w:rsidR="00AB09B0" w:rsidRPr="00385EFC" w:rsidRDefault="00AB09B0" w:rsidP="00AB09B0">
            <w:pPr>
              <w:pStyle w:val="ListParagraph"/>
              <w:ind w:left="360"/>
              <w:rPr>
                <w:rFonts w:cstheme="minorHAnsi"/>
              </w:rPr>
            </w:pPr>
          </w:p>
        </w:tc>
      </w:tr>
    </w:tbl>
    <w:p w14:paraId="4016DB37" w14:textId="77777777" w:rsidR="00AE6AF0" w:rsidRDefault="00AE6AF0" w:rsidP="000F5776">
      <w:pPr>
        <w:pStyle w:val="ListParagraph"/>
        <w:spacing w:after="0"/>
        <w:ind w:left="567"/>
        <w:rPr>
          <w:sz w:val="24"/>
          <w:szCs w:val="24"/>
        </w:rPr>
      </w:pPr>
    </w:p>
    <w:p w14:paraId="7F202A27" w14:textId="6C958B88" w:rsidR="00885F3C" w:rsidRDefault="00885F3C" w:rsidP="00A80396">
      <w:pPr>
        <w:pStyle w:val="ListParagraph"/>
        <w:numPr>
          <w:ilvl w:val="0"/>
          <w:numId w:val="1"/>
        </w:numPr>
        <w:spacing w:after="0"/>
        <w:ind w:left="567" w:hanging="567"/>
        <w:rPr>
          <w:sz w:val="24"/>
          <w:szCs w:val="24"/>
        </w:rPr>
      </w:pPr>
      <w:r w:rsidRPr="543832D4">
        <w:rPr>
          <w:sz w:val="24"/>
          <w:szCs w:val="24"/>
        </w:rPr>
        <w:t>Since the re-launch of CECA negotiations in 2020, DFAT has received a further 23 formal submissions from organisations and individuals</w:t>
      </w:r>
      <w:r w:rsidR="00FC2D70">
        <w:rPr>
          <w:sz w:val="24"/>
          <w:szCs w:val="24"/>
        </w:rPr>
        <w:t xml:space="preserve"> (</w:t>
      </w:r>
      <w:r w:rsidR="00FC2D70" w:rsidRPr="00A5588B">
        <w:rPr>
          <w:b/>
          <w:bCs/>
          <w:sz w:val="24"/>
          <w:szCs w:val="24"/>
        </w:rPr>
        <w:t xml:space="preserve">Table </w:t>
      </w:r>
      <w:r w:rsidR="001F38A9">
        <w:rPr>
          <w:b/>
          <w:bCs/>
          <w:sz w:val="24"/>
          <w:szCs w:val="24"/>
        </w:rPr>
        <w:t>1</w:t>
      </w:r>
      <w:r w:rsidR="000E6E1E">
        <w:rPr>
          <w:b/>
          <w:bCs/>
          <w:sz w:val="24"/>
          <w:szCs w:val="24"/>
        </w:rPr>
        <w:t>5</w:t>
      </w:r>
      <w:r w:rsidR="00FC2D70">
        <w:rPr>
          <w:sz w:val="24"/>
          <w:szCs w:val="24"/>
        </w:rPr>
        <w:t>)</w:t>
      </w:r>
      <w:r w:rsidRPr="543832D4">
        <w:rPr>
          <w:sz w:val="24"/>
          <w:szCs w:val="24"/>
        </w:rPr>
        <w:t xml:space="preserve">. </w:t>
      </w:r>
      <w:bookmarkEnd w:id="71"/>
      <w:r w:rsidRPr="543832D4">
        <w:rPr>
          <w:sz w:val="24"/>
          <w:szCs w:val="24"/>
        </w:rPr>
        <w:t xml:space="preserve">Public submissions from these entities are available on the DFAT website </w:t>
      </w:r>
      <w:hyperlink r:id="rId24">
        <w:r w:rsidRPr="543832D4">
          <w:rPr>
            <w:rStyle w:val="Hyperlink"/>
            <w:sz w:val="24"/>
            <w:szCs w:val="24"/>
          </w:rPr>
          <w:t>here</w:t>
        </w:r>
      </w:hyperlink>
      <w:r w:rsidRPr="543832D4">
        <w:rPr>
          <w:sz w:val="24"/>
          <w:szCs w:val="24"/>
        </w:rPr>
        <w:t>.</w:t>
      </w:r>
    </w:p>
    <w:p w14:paraId="25F31165" w14:textId="23C2A70F" w:rsidR="00FC2D70" w:rsidRDefault="00FC2D70" w:rsidP="00FC2D70">
      <w:pPr>
        <w:spacing w:after="0"/>
        <w:rPr>
          <w:sz w:val="24"/>
          <w:szCs w:val="24"/>
        </w:rPr>
      </w:pPr>
    </w:p>
    <w:p w14:paraId="7D8FA112" w14:textId="0468ADC5" w:rsidR="00FC2D70" w:rsidRPr="00A5588B" w:rsidRDefault="00FC2D70" w:rsidP="00FC2D70">
      <w:pPr>
        <w:spacing w:after="0"/>
        <w:rPr>
          <w:b/>
          <w:bCs/>
          <w:sz w:val="24"/>
          <w:szCs w:val="24"/>
        </w:rPr>
      </w:pPr>
      <w:r w:rsidRPr="00A5588B">
        <w:rPr>
          <w:b/>
          <w:bCs/>
          <w:sz w:val="24"/>
          <w:szCs w:val="24"/>
          <w:u w:val="single"/>
        </w:rPr>
        <w:t xml:space="preserve">Table </w:t>
      </w:r>
      <w:r w:rsidR="001F38A9">
        <w:rPr>
          <w:b/>
          <w:bCs/>
          <w:sz w:val="24"/>
          <w:szCs w:val="24"/>
          <w:u w:val="single"/>
        </w:rPr>
        <w:t>1</w:t>
      </w:r>
      <w:r w:rsidR="000E6E1E">
        <w:rPr>
          <w:b/>
          <w:bCs/>
          <w:sz w:val="24"/>
          <w:szCs w:val="24"/>
          <w:u w:val="single"/>
        </w:rPr>
        <w:t>5</w:t>
      </w:r>
      <w:r w:rsidRPr="00A5588B">
        <w:rPr>
          <w:b/>
          <w:bCs/>
          <w:sz w:val="24"/>
          <w:szCs w:val="24"/>
        </w:rPr>
        <w:t xml:space="preserve">: submissions received after the re-launch of CECA negotiations </w:t>
      </w:r>
    </w:p>
    <w:p w14:paraId="397CBB1F" w14:textId="77777777" w:rsidR="00FC2D70" w:rsidRPr="00A5588B" w:rsidRDefault="00FC2D70" w:rsidP="00A5588B">
      <w:pPr>
        <w:spacing w:after="0"/>
        <w:rPr>
          <w:sz w:val="24"/>
          <w:szCs w:val="24"/>
        </w:rPr>
      </w:pPr>
    </w:p>
    <w:tbl>
      <w:tblPr>
        <w:tblStyle w:val="TableGrid"/>
        <w:tblW w:w="0" w:type="auto"/>
        <w:tblLook w:val="04A0" w:firstRow="1" w:lastRow="0" w:firstColumn="1" w:lastColumn="0" w:noHBand="0" w:noVBand="1"/>
      </w:tblPr>
      <w:tblGrid>
        <w:gridCol w:w="4508"/>
        <w:gridCol w:w="4508"/>
      </w:tblGrid>
      <w:tr w:rsidR="00885F3C" w14:paraId="6EF09761" w14:textId="77777777" w:rsidTr="543832D4">
        <w:tc>
          <w:tcPr>
            <w:tcW w:w="4508" w:type="dxa"/>
            <w:tcBorders>
              <w:top w:val="single" w:sz="4" w:space="0" w:color="auto"/>
              <w:left w:val="single" w:sz="4" w:space="0" w:color="auto"/>
              <w:bottom w:val="single" w:sz="4" w:space="0" w:color="auto"/>
              <w:right w:val="single" w:sz="4" w:space="0" w:color="auto"/>
            </w:tcBorders>
          </w:tcPr>
          <w:p w14:paraId="1F49E2A9" w14:textId="02918559" w:rsidR="00885F3C" w:rsidRPr="00385EFC" w:rsidRDefault="00385EFC" w:rsidP="003439B5">
            <w:r>
              <w:t xml:space="preserve">1.    </w:t>
            </w:r>
            <w:r w:rsidR="00885F3C" w:rsidRPr="00385EFC">
              <w:t>ABS Group</w:t>
            </w:r>
          </w:p>
        </w:tc>
        <w:tc>
          <w:tcPr>
            <w:tcW w:w="4508" w:type="dxa"/>
            <w:tcBorders>
              <w:top w:val="single" w:sz="4" w:space="0" w:color="auto"/>
              <w:left w:val="single" w:sz="4" w:space="0" w:color="auto"/>
              <w:bottom w:val="single" w:sz="4" w:space="0" w:color="auto"/>
              <w:right w:val="single" w:sz="4" w:space="0" w:color="auto"/>
            </w:tcBorders>
          </w:tcPr>
          <w:p w14:paraId="70893D6A" w14:textId="77777777" w:rsidR="00885F3C" w:rsidRPr="00385EFC" w:rsidRDefault="00885F3C" w:rsidP="00A80396">
            <w:pPr>
              <w:pStyle w:val="ListParagraph"/>
              <w:numPr>
                <w:ilvl w:val="0"/>
                <w:numId w:val="4"/>
              </w:numPr>
            </w:pPr>
            <w:r>
              <w:t>Apple &amp; Pear Australia Ltd (APAL)</w:t>
            </w:r>
          </w:p>
          <w:p w14:paraId="5C060B69" w14:textId="77777777" w:rsidR="00885F3C" w:rsidRPr="00385EFC" w:rsidRDefault="00885F3C" w:rsidP="003439B5">
            <w:pPr>
              <w:pStyle w:val="ListParagraph"/>
            </w:pPr>
          </w:p>
        </w:tc>
      </w:tr>
      <w:tr w:rsidR="00885F3C" w14:paraId="6CD7142B" w14:textId="77777777" w:rsidTr="543832D4">
        <w:tc>
          <w:tcPr>
            <w:tcW w:w="4508" w:type="dxa"/>
            <w:tcBorders>
              <w:top w:val="single" w:sz="4" w:space="0" w:color="auto"/>
              <w:left w:val="single" w:sz="4" w:space="0" w:color="auto"/>
              <w:bottom w:val="single" w:sz="4" w:space="0" w:color="auto"/>
              <w:right w:val="single" w:sz="4" w:space="0" w:color="auto"/>
            </w:tcBorders>
          </w:tcPr>
          <w:p w14:paraId="1EEC5515" w14:textId="77777777" w:rsidR="00885F3C" w:rsidRPr="00385EFC" w:rsidRDefault="00885F3C" w:rsidP="00A80396">
            <w:pPr>
              <w:pStyle w:val="ListParagraph"/>
              <w:numPr>
                <w:ilvl w:val="0"/>
                <w:numId w:val="4"/>
              </w:numPr>
            </w:pPr>
            <w:r>
              <w:t>Australian Berries Industry</w:t>
            </w:r>
          </w:p>
        </w:tc>
        <w:tc>
          <w:tcPr>
            <w:tcW w:w="4508" w:type="dxa"/>
            <w:tcBorders>
              <w:top w:val="single" w:sz="4" w:space="0" w:color="auto"/>
              <w:left w:val="single" w:sz="4" w:space="0" w:color="auto"/>
              <w:bottom w:val="single" w:sz="4" w:space="0" w:color="auto"/>
              <w:right w:val="single" w:sz="4" w:space="0" w:color="auto"/>
            </w:tcBorders>
          </w:tcPr>
          <w:p w14:paraId="6B88CF62" w14:textId="77777777" w:rsidR="00885F3C" w:rsidRPr="00385EFC" w:rsidRDefault="00885F3C" w:rsidP="00A80396">
            <w:pPr>
              <w:pStyle w:val="ListParagraph"/>
              <w:numPr>
                <w:ilvl w:val="0"/>
                <w:numId w:val="4"/>
              </w:numPr>
            </w:pPr>
            <w:r>
              <w:t>Australian Food and Grocery Council</w:t>
            </w:r>
          </w:p>
          <w:p w14:paraId="7A88CAC0" w14:textId="77777777" w:rsidR="00885F3C" w:rsidRPr="00385EFC" w:rsidRDefault="00885F3C" w:rsidP="00EB0980">
            <w:pPr>
              <w:pStyle w:val="ListParagraph"/>
            </w:pPr>
          </w:p>
        </w:tc>
      </w:tr>
      <w:tr w:rsidR="00885F3C" w14:paraId="0143B9BC" w14:textId="77777777" w:rsidTr="543832D4">
        <w:tc>
          <w:tcPr>
            <w:tcW w:w="4508" w:type="dxa"/>
            <w:tcBorders>
              <w:top w:val="single" w:sz="4" w:space="0" w:color="auto"/>
              <w:left w:val="single" w:sz="4" w:space="0" w:color="auto"/>
              <w:bottom w:val="single" w:sz="4" w:space="0" w:color="auto"/>
              <w:right w:val="single" w:sz="4" w:space="0" w:color="auto"/>
            </w:tcBorders>
            <w:hideMark/>
          </w:tcPr>
          <w:p w14:paraId="122DAF88" w14:textId="77777777" w:rsidR="00885F3C" w:rsidRPr="00385EFC" w:rsidRDefault="00885F3C" w:rsidP="00A80396">
            <w:pPr>
              <w:pStyle w:val="ListParagraph"/>
              <w:numPr>
                <w:ilvl w:val="0"/>
                <w:numId w:val="4"/>
              </w:numPr>
            </w:pPr>
            <w:r>
              <w:t>Australian Grape and Wine</w:t>
            </w:r>
          </w:p>
        </w:tc>
        <w:tc>
          <w:tcPr>
            <w:tcW w:w="4508" w:type="dxa"/>
            <w:tcBorders>
              <w:top w:val="single" w:sz="4" w:space="0" w:color="auto"/>
              <w:left w:val="single" w:sz="4" w:space="0" w:color="auto"/>
              <w:bottom w:val="single" w:sz="4" w:space="0" w:color="auto"/>
              <w:right w:val="single" w:sz="4" w:space="0" w:color="auto"/>
            </w:tcBorders>
            <w:hideMark/>
          </w:tcPr>
          <w:p w14:paraId="7DB3BC42" w14:textId="77777777" w:rsidR="00885F3C" w:rsidRPr="00385EFC" w:rsidRDefault="00885F3C" w:rsidP="00A80396">
            <w:pPr>
              <w:pStyle w:val="ListParagraph"/>
              <w:numPr>
                <w:ilvl w:val="0"/>
                <w:numId w:val="4"/>
              </w:numPr>
            </w:pPr>
            <w:r>
              <w:t xml:space="preserve">Australian Horticultural Exporters and Importers Association (AHEIA) </w:t>
            </w:r>
          </w:p>
          <w:p w14:paraId="734A3798" w14:textId="77777777" w:rsidR="00885F3C" w:rsidRPr="00385EFC" w:rsidRDefault="00885F3C" w:rsidP="00EB0980">
            <w:pPr>
              <w:pStyle w:val="ListParagraph"/>
            </w:pPr>
          </w:p>
        </w:tc>
      </w:tr>
      <w:tr w:rsidR="00885F3C" w14:paraId="1383726C" w14:textId="77777777" w:rsidTr="543832D4">
        <w:tc>
          <w:tcPr>
            <w:tcW w:w="4508" w:type="dxa"/>
            <w:tcBorders>
              <w:top w:val="single" w:sz="4" w:space="0" w:color="auto"/>
              <w:left w:val="single" w:sz="4" w:space="0" w:color="auto"/>
              <w:bottom w:val="single" w:sz="4" w:space="0" w:color="auto"/>
              <w:right w:val="single" w:sz="4" w:space="0" w:color="auto"/>
            </w:tcBorders>
            <w:hideMark/>
          </w:tcPr>
          <w:p w14:paraId="1E3909FC" w14:textId="77777777" w:rsidR="00885F3C" w:rsidRPr="00385EFC" w:rsidRDefault="00885F3C" w:rsidP="00A80396">
            <w:pPr>
              <w:pStyle w:val="ListParagraph"/>
              <w:numPr>
                <w:ilvl w:val="0"/>
                <w:numId w:val="4"/>
              </w:numPr>
            </w:pPr>
            <w:r>
              <w:t xml:space="preserve">Australia India Chamber of Commerce and University of Adelaide </w:t>
            </w:r>
            <w:r w:rsidRPr="543832D4">
              <w:rPr>
                <w:i/>
                <w:iCs/>
              </w:rPr>
              <w:t>(joint submission)</w:t>
            </w:r>
          </w:p>
          <w:p w14:paraId="0D40D43B" w14:textId="77777777" w:rsidR="00885F3C" w:rsidRPr="00385EFC" w:rsidRDefault="00885F3C" w:rsidP="00EB0980">
            <w:pPr>
              <w:pStyle w:val="ListParagraph"/>
            </w:pPr>
          </w:p>
        </w:tc>
        <w:tc>
          <w:tcPr>
            <w:tcW w:w="4508" w:type="dxa"/>
            <w:tcBorders>
              <w:top w:val="single" w:sz="4" w:space="0" w:color="auto"/>
              <w:left w:val="single" w:sz="4" w:space="0" w:color="auto"/>
              <w:bottom w:val="single" w:sz="4" w:space="0" w:color="auto"/>
              <w:right w:val="single" w:sz="4" w:space="0" w:color="auto"/>
            </w:tcBorders>
            <w:hideMark/>
          </w:tcPr>
          <w:p w14:paraId="0B1A8596" w14:textId="77777777" w:rsidR="00885F3C" w:rsidRPr="00385EFC" w:rsidRDefault="00885F3C" w:rsidP="00A80396">
            <w:pPr>
              <w:pStyle w:val="ListParagraph"/>
              <w:numPr>
                <w:ilvl w:val="0"/>
                <w:numId w:val="4"/>
              </w:numPr>
            </w:pPr>
            <w:r>
              <w:t>Australian Nut Industry Council</w:t>
            </w:r>
          </w:p>
        </w:tc>
      </w:tr>
      <w:tr w:rsidR="00885F3C" w14:paraId="3B87D4DC" w14:textId="77777777" w:rsidTr="543832D4">
        <w:tc>
          <w:tcPr>
            <w:tcW w:w="4508" w:type="dxa"/>
            <w:tcBorders>
              <w:top w:val="single" w:sz="4" w:space="0" w:color="auto"/>
              <w:left w:val="single" w:sz="4" w:space="0" w:color="auto"/>
              <w:bottom w:val="single" w:sz="4" w:space="0" w:color="auto"/>
              <w:right w:val="single" w:sz="4" w:space="0" w:color="auto"/>
            </w:tcBorders>
            <w:hideMark/>
          </w:tcPr>
          <w:p w14:paraId="34C9476E" w14:textId="77777777" w:rsidR="00885F3C" w:rsidRPr="00385EFC" w:rsidRDefault="00885F3C" w:rsidP="00A80396">
            <w:pPr>
              <w:pStyle w:val="ListParagraph"/>
              <w:numPr>
                <w:ilvl w:val="0"/>
                <w:numId w:val="4"/>
              </w:numPr>
            </w:pPr>
            <w:r>
              <w:t>Beyond Wines Australia</w:t>
            </w:r>
          </w:p>
          <w:p w14:paraId="28C60CE9" w14:textId="77777777" w:rsidR="00885F3C" w:rsidRPr="00385EFC" w:rsidRDefault="00885F3C" w:rsidP="00EB0980">
            <w:pPr>
              <w:pStyle w:val="ListParagraph"/>
            </w:pPr>
          </w:p>
        </w:tc>
        <w:tc>
          <w:tcPr>
            <w:tcW w:w="4508" w:type="dxa"/>
            <w:tcBorders>
              <w:top w:val="single" w:sz="4" w:space="0" w:color="auto"/>
              <w:left w:val="single" w:sz="4" w:space="0" w:color="auto"/>
              <w:bottom w:val="single" w:sz="4" w:space="0" w:color="auto"/>
              <w:right w:val="single" w:sz="4" w:space="0" w:color="auto"/>
            </w:tcBorders>
            <w:hideMark/>
          </w:tcPr>
          <w:p w14:paraId="50E9FC7B" w14:textId="77777777" w:rsidR="00885F3C" w:rsidRPr="00385EFC" w:rsidRDefault="00885F3C" w:rsidP="00A80396">
            <w:pPr>
              <w:pStyle w:val="ListParagraph"/>
              <w:numPr>
                <w:ilvl w:val="0"/>
                <w:numId w:val="4"/>
              </w:numPr>
            </w:pPr>
            <w:r>
              <w:t>Dairy Australia</w:t>
            </w:r>
          </w:p>
        </w:tc>
      </w:tr>
      <w:tr w:rsidR="00885F3C" w14:paraId="20A85B4F" w14:textId="77777777" w:rsidTr="543832D4">
        <w:tc>
          <w:tcPr>
            <w:tcW w:w="4508" w:type="dxa"/>
            <w:tcBorders>
              <w:top w:val="single" w:sz="4" w:space="0" w:color="auto"/>
              <w:left w:val="single" w:sz="4" w:space="0" w:color="auto"/>
              <w:bottom w:val="single" w:sz="4" w:space="0" w:color="auto"/>
              <w:right w:val="single" w:sz="4" w:space="0" w:color="auto"/>
            </w:tcBorders>
            <w:hideMark/>
          </w:tcPr>
          <w:p w14:paraId="64FDD9BB" w14:textId="77777777" w:rsidR="00885F3C" w:rsidRPr="00385EFC" w:rsidRDefault="00885F3C" w:rsidP="00A80396">
            <w:pPr>
              <w:pStyle w:val="ListParagraph"/>
              <w:numPr>
                <w:ilvl w:val="0"/>
                <w:numId w:val="4"/>
              </w:numPr>
            </w:pPr>
            <w:proofErr w:type="spellStart"/>
            <w:r>
              <w:t>Femeconomy</w:t>
            </w:r>
            <w:proofErr w:type="spellEnd"/>
          </w:p>
          <w:p w14:paraId="7996C4A7" w14:textId="77777777" w:rsidR="00885F3C" w:rsidRPr="00385EFC" w:rsidRDefault="00885F3C" w:rsidP="00EB0980">
            <w:pPr>
              <w:pStyle w:val="ListParagraph"/>
            </w:pPr>
          </w:p>
        </w:tc>
        <w:tc>
          <w:tcPr>
            <w:tcW w:w="4508" w:type="dxa"/>
            <w:tcBorders>
              <w:top w:val="single" w:sz="4" w:space="0" w:color="auto"/>
              <w:left w:val="single" w:sz="4" w:space="0" w:color="auto"/>
              <w:bottom w:val="single" w:sz="4" w:space="0" w:color="auto"/>
              <w:right w:val="single" w:sz="4" w:space="0" w:color="auto"/>
            </w:tcBorders>
            <w:hideMark/>
          </w:tcPr>
          <w:p w14:paraId="28034630" w14:textId="77777777" w:rsidR="00885F3C" w:rsidRPr="00385EFC" w:rsidRDefault="00885F3C" w:rsidP="00A80396">
            <w:pPr>
              <w:pStyle w:val="ListParagraph"/>
              <w:numPr>
                <w:ilvl w:val="0"/>
                <w:numId w:val="4"/>
              </w:numPr>
            </w:pPr>
            <w:r>
              <w:lastRenderedPageBreak/>
              <w:t>Grain Growers Australia</w:t>
            </w:r>
          </w:p>
        </w:tc>
      </w:tr>
      <w:tr w:rsidR="00885F3C" w14:paraId="2BBD3F03" w14:textId="77777777" w:rsidTr="543832D4">
        <w:tc>
          <w:tcPr>
            <w:tcW w:w="4508" w:type="dxa"/>
            <w:tcBorders>
              <w:top w:val="single" w:sz="4" w:space="0" w:color="auto"/>
              <w:left w:val="single" w:sz="4" w:space="0" w:color="auto"/>
              <w:bottom w:val="single" w:sz="4" w:space="0" w:color="auto"/>
              <w:right w:val="single" w:sz="4" w:space="0" w:color="auto"/>
            </w:tcBorders>
            <w:hideMark/>
          </w:tcPr>
          <w:p w14:paraId="75C39E31" w14:textId="77777777" w:rsidR="00885F3C" w:rsidRPr="00385EFC" w:rsidRDefault="00885F3C" w:rsidP="00A80396">
            <w:pPr>
              <w:pStyle w:val="ListParagraph"/>
              <w:numPr>
                <w:ilvl w:val="0"/>
                <w:numId w:val="4"/>
              </w:numPr>
            </w:pPr>
            <w:r>
              <w:t>Grain Trade Australia</w:t>
            </w:r>
          </w:p>
          <w:p w14:paraId="6C98BC5A" w14:textId="77777777" w:rsidR="00885F3C" w:rsidRPr="00385EFC" w:rsidRDefault="00885F3C" w:rsidP="00EB0980">
            <w:pPr>
              <w:pStyle w:val="ListParagraph"/>
            </w:pPr>
          </w:p>
        </w:tc>
        <w:tc>
          <w:tcPr>
            <w:tcW w:w="4508" w:type="dxa"/>
            <w:tcBorders>
              <w:top w:val="single" w:sz="4" w:space="0" w:color="auto"/>
              <w:left w:val="single" w:sz="4" w:space="0" w:color="auto"/>
              <w:bottom w:val="single" w:sz="4" w:space="0" w:color="auto"/>
              <w:right w:val="single" w:sz="4" w:space="0" w:color="auto"/>
            </w:tcBorders>
            <w:hideMark/>
          </w:tcPr>
          <w:p w14:paraId="3A7EC0F5" w14:textId="77777777" w:rsidR="00885F3C" w:rsidRPr="00385EFC" w:rsidRDefault="00885F3C" w:rsidP="00A80396">
            <w:pPr>
              <w:pStyle w:val="ListParagraph"/>
              <w:numPr>
                <w:ilvl w:val="0"/>
                <w:numId w:val="4"/>
              </w:numPr>
            </w:pPr>
            <w:r>
              <w:t>Meat &amp; Livestock Australia</w:t>
            </w:r>
          </w:p>
        </w:tc>
      </w:tr>
      <w:tr w:rsidR="00885F3C" w14:paraId="1EE1FD5F" w14:textId="77777777" w:rsidTr="543832D4">
        <w:tc>
          <w:tcPr>
            <w:tcW w:w="4508" w:type="dxa"/>
            <w:tcBorders>
              <w:top w:val="single" w:sz="4" w:space="0" w:color="auto"/>
              <w:left w:val="single" w:sz="4" w:space="0" w:color="auto"/>
              <w:bottom w:val="single" w:sz="4" w:space="0" w:color="auto"/>
              <w:right w:val="single" w:sz="4" w:space="0" w:color="auto"/>
            </w:tcBorders>
            <w:hideMark/>
          </w:tcPr>
          <w:p w14:paraId="16271EEC" w14:textId="77777777" w:rsidR="00885F3C" w:rsidRPr="00385EFC" w:rsidRDefault="00885F3C" w:rsidP="00A80396">
            <w:pPr>
              <w:pStyle w:val="ListParagraph"/>
              <w:numPr>
                <w:ilvl w:val="0"/>
                <w:numId w:val="4"/>
              </w:numPr>
            </w:pPr>
            <w:r>
              <w:t>National Farmers Federation</w:t>
            </w:r>
          </w:p>
          <w:p w14:paraId="75DA0C7D" w14:textId="77777777" w:rsidR="00885F3C" w:rsidRPr="00385EFC" w:rsidRDefault="00885F3C" w:rsidP="00EB0980">
            <w:pPr>
              <w:pStyle w:val="ListParagraph"/>
            </w:pPr>
          </w:p>
        </w:tc>
        <w:tc>
          <w:tcPr>
            <w:tcW w:w="4508" w:type="dxa"/>
            <w:tcBorders>
              <w:top w:val="single" w:sz="4" w:space="0" w:color="auto"/>
              <w:left w:val="single" w:sz="4" w:space="0" w:color="auto"/>
              <w:bottom w:val="single" w:sz="4" w:space="0" w:color="auto"/>
              <w:right w:val="single" w:sz="4" w:space="0" w:color="auto"/>
            </w:tcBorders>
            <w:hideMark/>
          </w:tcPr>
          <w:p w14:paraId="491DFF8F" w14:textId="77777777" w:rsidR="00885F3C" w:rsidRPr="00385EFC" w:rsidRDefault="00885F3C" w:rsidP="00A80396">
            <w:pPr>
              <w:pStyle w:val="ListParagraph"/>
              <w:numPr>
                <w:ilvl w:val="0"/>
                <w:numId w:val="4"/>
              </w:numPr>
            </w:pPr>
            <w:r>
              <w:t>Pernod Ricard</w:t>
            </w:r>
          </w:p>
        </w:tc>
      </w:tr>
      <w:tr w:rsidR="00885F3C" w14:paraId="564CE71F" w14:textId="77777777" w:rsidTr="543832D4">
        <w:tc>
          <w:tcPr>
            <w:tcW w:w="4508" w:type="dxa"/>
            <w:tcBorders>
              <w:top w:val="single" w:sz="4" w:space="0" w:color="auto"/>
              <w:left w:val="single" w:sz="4" w:space="0" w:color="auto"/>
              <w:bottom w:val="single" w:sz="4" w:space="0" w:color="auto"/>
              <w:right w:val="single" w:sz="4" w:space="0" w:color="auto"/>
            </w:tcBorders>
          </w:tcPr>
          <w:p w14:paraId="5EC1F8FB" w14:textId="77777777" w:rsidR="00885F3C" w:rsidRPr="00385EFC" w:rsidRDefault="00885F3C" w:rsidP="00A80396">
            <w:pPr>
              <w:pStyle w:val="ListParagraph"/>
              <w:numPr>
                <w:ilvl w:val="0"/>
                <w:numId w:val="4"/>
              </w:numPr>
            </w:pPr>
            <w:r>
              <w:t xml:space="preserve">Perth </w:t>
            </w:r>
            <w:proofErr w:type="spellStart"/>
            <w:r>
              <w:t>USAsia</w:t>
            </w:r>
            <w:proofErr w:type="spellEnd"/>
          </w:p>
          <w:p w14:paraId="52799C5C" w14:textId="77777777" w:rsidR="00885F3C" w:rsidRPr="00385EFC" w:rsidRDefault="00885F3C" w:rsidP="00EB0980">
            <w:pPr>
              <w:pStyle w:val="ListParagraph"/>
            </w:pPr>
          </w:p>
        </w:tc>
        <w:tc>
          <w:tcPr>
            <w:tcW w:w="4508" w:type="dxa"/>
            <w:tcBorders>
              <w:top w:val="single" w:sz="4" w:space="0" w:color="auto"/>
              <w:left w:val="single" w:sz="4" w:space="0" w:color="auto"/>
              <w:bottom w:val="single" w:sz="4" w:space="0" w:color="auto"/>
              <w:right w:val="single" w:sz="4" w:space="0" w:color="auto"/>
            </w:tcBorders>
          </w:tcPr>
          <w:p w14:paraId="1E7053D5" w14:textId="77777777" w:rsidR="00885F3C" w:rsidRPr="00385EFC" w:rsidRDefault="00885F3C" w:rsidP="00A80396">
            <w:pPr>
              <w:pStyle w:val="ListParagraph"/>
              <w:numPr>
                <w:ilvl w:val="0"/>
                <w:numId w:val="4"/>
              </w:numPr>
            </w:pPr>
            <w:proofErr w:type="spellStart"/>
            <w:r>
              <w:t>Quintis</w:t>
            </w:r>
            <w:proofErr w:type="spellEnd"/>
            <w:r>
              <w:t xml:space="preserve"> Sandalwood</w:t>
            </w:r>
          </w:p>
        </w:tc>
      </w:tr>
      <w:tr w:rsidR="00885F3C" w14:paraId="28727B54" w14:textId="77777777" w:rsidTr="543832D4">
        <w:tc>
          <w:tcPr>
            <w:tcW w:w="4508" w:type="dxa"/>
            <w:tcBorders>
              <w:top w:val="single" w:sz="4" w:space="0" w:color="auto"/>
              <w:left w:val="single" w:sz="4" w:space="0" w:color="auto"/>
              <w:bottom w:val="single" w:sz="4" w:space="0" w:color="auto"/>
              <w:right w:val="single" w:sz="4" w:space="0" w:color="auto"/>
            </w:tcBorders>
            <w:hideMark/>
          </w:tcPr>
          <w:p w14:paraId="5F4B7ACF" w14:textId="77777777" w:rsidR="00885F3C" w:rsidRPr="00385EFC" w:rsidRDefault="00885F3C" w:rsidP="00A80396">
            <w:pPr>
              <w:pStyle w:val="ListParagraph"/>
              <w:numPr>
                <w:ilvl w:val="0"/>
                <w:numId w:val="4"/>
              </w:numPr>
            </w:pPr>
            <w:r>
              <w:t>Sheep Producers Australia</w:t>
            </w:r>
          </w:p>
          <w:p w14:paraId="6DB33C46" w14:textId="77777777" w:rsidR="00885F3C" w:rsidRPr="00385EFC" w:rsidRDefault="00885F3C" w:rsidP="00EB0980">
            <w:pPr>
              <w:pStyle w:val="ListParagraph"/>
            </w:pPr>
          </w:p>
        </w:tc>
        <w:tc>
          <w:tcPr>
            <w:tcW w:w="4508" w:type="dxa"/>
            <w:tcBorders>
              <w:top w:val="single" w:sz="4" w:space="0" w:color="auto"/>
              <w:left w:val="single" w:sz="4" w:space="0" w:color="auto"/>
              <w:bottom w:val="single" w:sz="4" w:space="0" w:color="auto"/>
              <w:right w:val="single" w:sz="4" w:space="0" w:color="auto"/>
            </w:tcBorders>
            <w:hideMark/>
          </w:tcPr>
          <w:p w14:paraId="101C4AE9" w14:textId="77777777" w:rsidR="00885F3C" w:rsidRPr="00385EFC" w:rsidRDefault="00885F3C" w:rsidP="00A80396">
            <w:pPr>
              <w:pStyle w:val="ListParagraph"/>
              <w:numPr>
                <w:ilvl w:val="0"/>
                <w:numId w:val="4"/>
              </w:numPr>
            </w:pPr>
            <w:proofErr w:type="spellStart"/>
            <w:r>
              <w:t>Swisse</w:t>
            </w:r>
            <w:proofErr w:type="spellEnd"/>
            <w:r>
              <w:t xml:space="preserve"> Wellness</w:t>
            </w:r>
          </w:p>
        </w:tc>
      </w:tr>
      <w:tr w:rsidR="00885F3C" w14:paraId="0A858965" w14:textId="77777777" w:rsidTr="543832D4">
        <w:tc>
          <w:tcPr>
            <w:tcW w:w="4508" w:type="dxa"/>
            <w:tcBorders>
              <w:top w:val="single" w:sz="4" w:space="0" w:color="auto"/>
              <w:left w:val="single" w:sz="4" w:space="0" w:color="auto"/>
              <w:bottom w:val="single" w:sz="4" w:space="0" w:color="auto"/>
              <w:right w:val="single" w:sz="4" w:space="0" w:color="auto"/>
            </w:tcBorders>
            <w:hideMark/>
          </w:tcPr>
          <w:p w14:paraId="4AF1FF36" w14:textId="77777777" w:rsidR="00885F3C" w:rsidRPr="00385EFC" w:rsidRDefault="00885F3C" w:rsidP="00A80396">
            <w:pPr>
              <w:pStyle w:val="ListParagraph"/>
              <w:numPr>
                <w:ilvl w:val="0"/>
                <w:numId w:val="4"/>
              </w:numPr>
            </w:pPr>
            <w:r>
              <w:t xml:space="preserve">The </w:t>
            </w:r>
            <w:proofErr w:type="spellStart"/>
            <w:r>
              <w:t>Tahbilk</w:t>
            </w:r>
            <w:proofErr w:type="spellEnd"/>
            <w:r>
              <w:t xml:space="preserve"> Group</w:t>
            </w:r>
          </w:p>
          <w:p w14:paraId="40D88F36" w14:textId="77777777" w:rsidR="00885F3C" w:rsidRPr="00385EFC" w:rsidRDefault="00885F3C" w:rsidP="00EB0980">
            <w:pPr>
              <w:pStyle w:val="ListParagraph"/>
            </w:pPr>
          </w:p>
        </w:tc>
        <w:tc>
          <w:tcPr>
            <w:tcW w:w="4508" w:type="dxa"/>
            <w:tcBorders>
              <w:top w:val="single" w:sz="4" w:space="0" w:color="auto"/>
              <w:left w:val="single" w:sz="4" w:space="0" w:color="auto"/>
              <w:bottom w:val="single" w:sz="4" w:space="0" w:color="auto"/>
              <w:right w:val="single" w:sz="4" w:space="0" w:color="auto"/>
            </w:tcBorders>
          </w:tcPr>
          <w:p w14:paraId="4EFAE73A" w14:textId="77777777" w:rsidR="00885F3C" w:rsidRPr="00385EFC" w:rsidRDefault="00885F3C" w:rsidP="00A80396">
            <w:pPr>
              <w:pStyle w:val="ListParagraph"/>
              <w:numPr>
                <w:ilvl w:val="0"/>
                <w:numId w:val="4"/>
              </w:numPr>
            </w:pPr>
            <w:r>
              <w:t>Vibe Ayurveda</w:t>
            </w:r>
          </w:p>
        </w:tc>
      </w:tr>
      <w:tr w:rsidR="00885F3C" w14:paraId="437305DF" w14:textId="77777777" w:rsidTr="543832D4">
        <w:tc>
          <w:tcPr>
            <w:tcW w:w="4508" w:type="dxa"/>
            <w:tcBorders>
              <w:top w:val="single" w:sz="4" w:space="0" w:color="auto"/>
              <w:left w:val="single" w:sz="4" w:space="0" w:color="auto"/>
              <w:bottom w:val="single" w:sz="4" w:space="0" w:color="auto"/>
              <w:right w:val="single" w:sz="4" w:space="0" w:color="auto"/>
            </w:tcBorders>
          </w:tcPr>
          <w:p w14:paraId="37E88D5D" w14:textId="77777777" w:rsidR="00885F3C" w:rsidRPr="00385EFC" w:rsidRDefault="00885F3C" w:rsidP="00A80396">
            <w:pPr>
              <w:pStyle w:val="ListParagraph"/>
              <w:numPr>
                <w:ilvl w:val="0"/>
                <w:numId w:val="4"/>
              </w:numPr>
            </w:pPr>
            <w:r>
              <w:t>K-Mart</w:t>
            </w:r>
          </w:p>
          <w:p w14:paraId="3FF49BB1" w14:textId="4A9B03AB" w:rsidR="008A1D7C" w:rsidRPr="00385EFC" w:rsidRDefault="008A1D7C" w:rsidP="00EB0980">
            <w:pPr>
              <w:pStyle w:val="ListParagraph"/>
              <w:ind w:left="360"/>
            </w:pPr>
          </w:p>
        </w:tc>
        <w:tc>
          <w:tcPr>
            <w:tcW w:w="4508" w:type="dxa"/>
            <w:tcBorders>
              <w:top w:val="single" w:sz="4" w:space="0" w:color="auto"/>
              <w:left w:val="single" w:sz="4" w:space="0" w:color="auto"/>
              <w:bottom w:val="single" w:sz="4" w:space="0" w:color="auto"/>
              <w:right w:val="single" w:sz="4" w:space="0" w:color="auto"/>
            </w:tcBorders>
          </w:tcPr>
          <w:p w14:paraId="2605B164" w14:textId="14EBF233" w:rsidR="00885F3C" w:rsidRPr="00385EFC" w:rsidRDefault="00D835AF" w:rsidP="00A80396">
            <w:pPr>
              <w:pStyle w:val="ListParagraph"/>
              <w:numPr>
                <w:ilvl w:val="0"/>
                <w:numId w:val="4"/>
              </w:numPr>
            </w:pPr>
            <w:r>
              <w:t>Cherry Growers Australia</w:t>
            </w:r>
          </w:p>
        </w:tc>
      </w:tr>
      <w:tr w:rsidR="00D835AF" w14:paraId="35A54440" w14:textId="77777777" w:rsidTr="543832D4">
        <w:tc>
          <w:tcPr>
            <w:tcW w:w="4508" w:type="dxa"/>
            <w:tcBorders>
              <w:top w:val="single" w:sz="4" w:space="0" w:color="auto"/>
              <w:left w:val="single" w:sz="4" w:space="0" w:color="auto"/>
              <w:bottom w:val="single" w:sz="4" w:space="0" w:color="auto"/>
              <w:right w:val="single" w:sz="4" w:space="0" w:color="auto"/>
            </w:tcBorders>
          </w:tcPr>
          <w:p w14:paraId="7DC9F76F" w14:textId="77777777" w:rsidR="00D835AF" w:rsidRDefault="00D835AF" w:rsidP="00A80396">
            <w:pPr>
              <w:pStyle w:val="ListParagraph"/>
              <w:numPr>
                <w:ilvl w:val="0"/>
                <w:numId w:val="4"/>
              </w:numPr>
            </w:pPr>
            <w:r>
              <w:t>Australia-India Institute</w:t>
            </w:r>
          </w:p>
          <w:p w14:paraId="184808D0" w14:textId="796A4AF1" w:rsidR="00D835AF" w:rsidRDefault="00D835AF" w:rsidP="00D835AF">
            <w:pPr>
              <w:pStyle w:val="ListParagraph"/>
              <w:ind w:left="360"/>
            </w:pPr>
          </w:p>
        </w:tc>
        <w:tc>
          <w:tcPr>
            <w:tcW w:w="4508" w:type="dxa"/>
            <w:tcBorders>
              <w:top w:val="single" w:sz="4" w:space="0" w:color="auto"/>
              <w:left w:val="single" w:sz="4" w:space="0" w:color="auto"/>
              <w:bottom w:val="single" w:sz="4" w:space="0" w:color="auto"/>
              <w:right w:val="single" w:sz="4" w:space="0" w:color="auto"/>
            </w:tcBorders>
          </w:tcPr>
          <w:p w14:paraId="1E86D4FA" w14:textId="440CFD0E" w:rsidR="00D835AF" w:rsidRDefault="00D835AF" w:rsidP="00A80396">
            <w:pPr>
              <w:pStyle w:val="ListParagraph"/>
              <w:numPr>
                <w:ilvl w:val="0"/>
                <w:numId w:val="4"/>
              </w:numPr>
            </w:pPr>
            <w:r>
              <w:t>Citrus Australia</w:t>
            </w:r>
          </w:p>
        </w:tc>
      </w:tr>
      <w:tr w:rsidR="00D835AF" w14:paraId="75FA34F3" w14:textId="77777777" w:rsidTr="543832D4">
        <w:tc>
          <w:tcPr>
            <w:tcW w:w="4508" w:type="dxa"/>
            <w:tcBorders>
              <w:top w:val="single" w:sz="4" w:space="0" w:color="auto"/>
              <w:left w:val="single" w:sz="4" w:space="0" w:color="auto"/>
              <w:bottom w:val="single" w:sz="4" w:space="0" w:color="auto"/>
              <w:right w:val="single" w:sz="4" w:space="0" w:color="auto"/>
            </w:tcBorders>
          </w:tcPr>
          <w:p w14:paraId="00B6EEA0" w14:textId="77777777" w:rsidR="00D835AF" w:rsidRDefault="00D835AF" w:rsidP="00A80396">
            <w:pPr>
              <w:pStyle w:val="ListParagraph"/>
              <w:numPr>
                <w:ilvl w:val="0"/>
                <w:numId w:val="4"/>
              </w:numPr>
            </w:pPr>
            <w:proofErr w:type="spellStart"/>
            <w:r>
              <w:t>Summerfruit</w:t>
            </w:r>
            <w:proofErr w:type="spellEnd"/>
            <w:r>
              <w:t xml:space="preserve"> Australia</w:t>
            </w:r>
          </w:p>
          <w:p w14:paraId="6D8E4E7E" w14:textId="48264F24" w:rsidR="00D835AF" w:rsidRDefault="00D835AF" w:rsidP="00D835AF">
            <w:pPr>
              <w:pStyle w:val="ListParagraph"/>
              <w:ind w:left="360"/>
            </w:pPr>
          </w:p>
        </w:tc>
        <w:tc>
          <w:tcPr>
            <w:tcW w:w="4508" w:type="dxa"/>
            <w:tcBorders>
              <w:top w:val="single" w:sz="4" w:space="0" w:color="auto"/>
              <w:left w:val="single" w:sz="4" w:space="0" w:color="auto"/>
              <w:bottom w:val="single" w:sz="4" w:space="0" w:color="auto"/>
              <w:right w:val="single" w:sz="4" w:space="0" w:color="auto"/>
            </w:tcBorders>
          </w:tcPr>
          <w:p w14:paraId="07662DDD" w14:textId="77777777" w:rsidR="00D835AF" w:rsidRDefault="00D835AF" w:rsidP="00D835AF">
            <w:pPr>
              <w:pStyle w:val="ListParagraph"/>
              <w:ind w:left="360"/>
            </w:pPr>
          </w:p>
        </w:tc>
      </w:tr>
    </w:tbl>
    <w:p w14:paraId="2EB50CDC" w14:textId="77777777" w:rsidR="00885F3C" w:rsidRDefault="00885F3C" w:rsidP="0014704E">
      <w:pPr>
        <w:pStyle w:val="ListParagraph"/>
        <w:spacing w:after="0"/>
        <w:ind w:left="567"/>
        <w:rPr>
          <w:sz w:val="24"/>
          <w:szCs w:val="24"/>
        </w:rPr>
      </w:pPr>
    </w:p>
    <w:p w14:paraId="72BB2D62" w14:textId="28B456C9" w:rsidR="00885F3C" w:rsidRDefault="00885F3C" w:rsidP="00A80396">
      <w:pPr>
        <w:pStyle w:val="ListParagraph"/>
        <w:numPr>
          <w:ilvl w:val="0"/>
          <w:numId w:val="1"/>
        </w:numPr>
        <w:spacing w:after="0"/>
        <w:ind w:left="567" w:hanging="567"/>
        <w:rPr>
          <w:sz w:val="24"/>
          <w:szCs w:val="24"/>
        </w:rPr>
      </w:pPr>
      <w:r w:rsidRPr="543832D4">
        <w:rPr>
          <w:sz w:val="24"/>
          <w:szCs w:val="24"/>
        </w:rPr>
        <w:t xml:space="preserve">Regarding </w:t>
      </w:r>
      <w:r w:rsidRPr="543832D4">
        <w:rPr>
          <w:b/>
          <w:bCs/>
          <w:sz w:val="24"/>
          <w:szCs w:val="24"/>
        </w:rPr>
        <w:t>goods exports</w:t>
      </w:r>
      <w:r w:rsidRPr="543832D4">
        <w:rPr>
          <w:sz w:val="24"/>
          <w:szCs w:val="24"/>
        </w:rPr>
        <w:t xml:space="preserve">, </w:t>
      </w:r>
      <w:r w:rsidR="009A37EA" w:rsidRPr="543832D4">
        <w:rPr>
          <w:sz w:val="24"/>
          <w:szCs w:val="24"/>
        </w:rPr>
        <w:t>the outcomes sought by stakeholders</w:t>
      </w:r>
      <w:r w:rsidRPr="543832D4">
        <w:rPr>
          <w:sz w:val="24"/>
          <w:szCs w:val="24"/>
        </w:rPr>
        <w:t>,</w:t>
      </w:r>
      <w:r w:rsidR="009A37EA" w:rsidRPr="543832D4">
        <w:rPr>
          <w:sz w:val="24"/>
          <w:szCs w:val="24"/>
        </w:rPr>
        <w:t xml:space="preserve"> which were</w:t>
      </w:r>
      <w:r w:rsidRPr="543832D4">
        <w:rPr>
          <w:sz w:val="24"/>
          <w:szCs w:val="24"/>
        </w:rPr>
        <w:t xml:space="preserve"> compiled from submissions, are summarised as follows:  </w:t>
      </w:r>
    </w:p>
    <w:p w14:paraId="11C90429" w14:textId="77777777" w:rsidR="00885F3C" w:rsidRDefault="00885F3C" w:rsidP="0014704E">
      <w:pPr>
        <w:pStyle w:val="ListParagraph"/>
        <w:spacing w:after="0"/>
        <w:ind w:left="1440"/>
        <w:rPr>
          <w:sz w:val="24"/>
          <w:szCs w:val="24"/>
          <w:highlight w:val="yellow"/>
        </w:rPr>
      </w:pPr>
    </w:p>
    <w:p w14:paraId="14AFCF15" w14:textId="77777777" w:rsidR="00EF100B" w:rsidRDefault="00885F3C" w:rsidP="00A80396">
      <w:pPr>
        <w:pStyle w:val="ListParagraph"/>
        <w:numPr>
          <w:ilvl w:val="1"/>
          <w:numId w:val="4"/>
        </w:numPr>
        <w:spacing w:after="0"/>
        <w:rPr>
          <w:sz w:val="24"/>
          <w:szCs w:val="24"/>
        </w:rPr>
      </w:pPr>
      <w:r w:rsidRPr="543832D4">
        <w:rPr>
          <w:sz w:val="24"/>
          <w:szCs w:val="24"/>
        </w:rPr>
        <w:t xml:space="preserve">reduce or eliminate or reduce tariffs for Australian exports, including fruit (apples, stone fruit, blueberries, dates, citrus, table grapes, </w:t>
      </w:r>
      <w:proofErr w:type="gramStart"/>
      <w:r w:rsidRPr="543832D4">
        <w:rPr>
          <w:sz w:val="24"/>
          <w:szCs w:val="24"/>
        </w:rPr>
        <w:t>kiwifruit</w:t>
      </w:r>
      <w:proofErr w:type="gramEnd"/>
      <w:r w:rsidRPr="543832D4">
        <w:rPr>
          <w:sz w:val="24"/>
          <w:szCs w:val="24"/>
        </w:rPr>
        <w:t xml:space="preserve"> and pears), wine, nuts, grains, </w:t>
      </w:r>
      <w:r w:rsidR="0094322F" w:rsidRPr="543832D4">
        <w:rPr>
          <w:sz w:val="24"/>
          <w:szCs w:val="24"/>
        </w:rPr>
        <w:t xml:space="preserve">dairy, </w:t>
      </w:r>
      <w:r w:rsidRPr="543832D4">
        <w:rPr>
          <w:sz w:val="24"/>
          <w:szCs w:val="24"/>
        </w:rPr>
        <w:t>wool, cotton, malt, sandalwood</w:t>
      </w:r>
      <w:r w:rsidR="00CF1985" w:rsidRPr="543832D4">
        <w:rPr>
          <w:sz w:val="24"/>
          <w:szCs w:val="24"/>
        </w:rPr>
        <w:t xml:space="preserve">, </w:t>
      </w:r>
      <w:r w:rsidRPr="543832D4">
        <w:rPr>
          <w:sz w:val="24"/>
          <w:szCs w:val="24"/>
        </w:rPr>
        <w:t>seafood</w:t>
      </w:r>
      <w:r w:rsidR="00CF1985" w:rsidRPr="543832D4">
        <w:rPr>
          <w:sz w:val="24"/>
          <w:szCs w:val="24"/>
        </w:rPr>
        <w:t xml:space="preserve">, </w:t>
      </w:r>
      <w:r w:rsidR="00EE5C6E" w:rsidRPr="543832D4">
        <w:rPr>
          <w:sz w:val="24"/>
          <w:szCs w:val="24"/>
        </w:rPr>
        <w:t xml:space="preserve">tea tree oil, </w:t>
      </w:r>
      <w:r w:rsidR="00CF1985" w:rsidRPr="543832D4">
        <w:rPr>
          <w:sz w:val="24"/>
          <w:szCs w:val="24"/>
        </w:rPr>
        <w:t>computer</w:t>
      </w:r>
      <w:r w:rsidR="00141C6C" w:rsidRPr="543832D4">
        <w:rPr>
          <w:sz w:val="24"/>
          <w:szCs w:val="24"/>
        </w:rPr>
        <w:t xml:space="preserve"> products</w:t>
      </w:r>
      <w:r w:rsidR="009C0C08" w:rsidRPr="543832D4">
        <w:rPr>
          <w:sz w:val="24"/>
          <w:szCs w:val="24"/>
        </w:rPr>
        <w:t>,</w:t>
      </w:r>
      <w:r w:rsidR="00273B2C" w:rsidRPr="543832D4">
        <w:rPr>
          <w:sz w:val="24"/>
          <w:szCs w:val="24"/>
        </w:rPr>
        <w:t xml:space="preserve"> </w:t>
      </w:r>
      <w:r w:rsidR="00733C28" w:rsidRPr="543832D4">
        <w:rPr>
          <w:sz w:val="24"/>
          <w:szCs w:val="24"/>
        </w:rPr>
        <w:t>solar</w:t>
      </w:r>
      <w:r w:rsidR="00141C6C" w:rsidRPr="543832D4">
        <w:rPr>
          <w:sz w:val="24"/>
          <w:szCs w:val="24"/>
        </w:rPr>
        <w:t xml:space="preserve"> products</w:t>
      </w:r>
      <w:r w:rsidR="009C0C6F" w:rsidRPr="543832D4">
        <w:rPr>
          <w:sz w:val="24"/>
          <w:szCs w:val="24"/>
        </w:rPr>
        <w:t xml:space="preserve"> and </w:t>
      </w:r>
      <w:r w:rsidR="00141C6C" w:rsidRPr="543832D4">
        <w:rPr>
          <w:sz w:val="24"/>
          <w:szCs w:val="24"/>
        </w:rPr>
        <w:t>processed foods</w:t>
      </w:r>
      <w:r w:rsidR="00F171C0" w:rsidRPr="543832D4">
        <w:rPr>
          <w:sz w:val="24"/>
          <w:szCs w:val="24"/>
        </w:rPr>
        <w:t>,</w:t>
      </w:r>
    </w:p>
    <w:p w14:paraId="0EBB581B" w14:textId="7926E2EC" w:rsidR="00EF100B" w:rsidRPr="00EF100B" w:rsidRDefault="00EF100B" w:rsidP="00A80396">
      <w:pPr>
        <w:pStyle w:val="ListParagraph"/>
        <w:numPr>
          <w:ilvl w:val="1"/>
          <w:numId w:val="4"/>
        </w:numPr>
        <w:spacing w:after="0"/>
        <w:rPr>
          <w:sz w:val="24"/>
          <w:szCs w:val="24"/>
        </w:rPr>
      </w:pPr>
      <w:r w:rsidRPr="00EF100B">
        <w:rPr>
          <w:sz w:val="24"/>
          <w:szCs w:val="24"/>
        </w:rPr>
        <w:t>seek tariff reduced quotas for certain citrus products</w:t>
      </w:r>
      <w:r>
        <w:rPr>
          <w:sz w:val="24"/>
          <w:szCs w:val="24"/>
        </w:rPr>
        <w:t>,</w:t>
      </w:r>
    </w:p>
    <w:p w14:paraId="1AD3C745" w14:textId="7F4B227C" w:rsidR="00885F3C" w:rsidRDefault="00885F3C" w:rsidP="00A80396">
      <w:pPr>
        <w:pStyle w:val="ListParagraph"/>
        <w:numPr>
          <w:ilvl w:val="1"/>
          <w:numId w:val="4"/>
        </w:numPr>
        <w:spacing w:after="0"/>
        <w:rPr>
          <w:sz w:val="24"/>
          <w:szCs w:val="24"/>
        </w:rPr>
      </w:pPr>
      <w:r w:rsidRPr="543832D4">
        <w:rPr>
          <w:sz w:val="24"/>
          <w:szCs w:val="24"/>
        </w:rPr>
        <w:t>reduce tariffs in a phased approach for sensitive products</w:t>
      </w:r>
      <w:r w:rsidR="00F171C0" w:rsidRPr="543832D4">
        <w:rPr>
          <w:sz w:val="24"/>
          <w:szCs w:val="24"/>
        </w:rPr>
        <w:t>,</w:t>
      </w:r>
      <w:r w:rsidRPr="543832D4">
        <w:rPr>
          <w:sz w:val="24"/>
          <w:szCs w:val="24"/>
        </w:rPr>
        <w:t xml:space="preserve"> </w:t>
      </w:r>
    </w:p>
    <w:p w14:paraId="499054F1" w14:textId="0076DCE5" w:rsidR="00885F3C" w:rsidRDefault="00885F3C" w:rsidP="00A80396">
      <w:pPr>
        <w:pStyle w:val="ListParagraph"/>
        <w:numPr>
          <w:ilvl w:val="1"/>
          <w:numId w:val="4"/>
        </w:numPr>
        <w:spacing w:after="0"/>
        <w:rPr>
          <w:sz w:val="24"/>
          <w:szCs w:val="24"/>
        </w:rPr>
      </w:pPr>
      <w:r w:rsidRPr="543832D4">
        <w:rPr>
          <w:sz w:val="24"/>
          <w:szCs w:val="24"/>
        </w:rPr>
        <w:t>reduce tariff on goods from India being imported into Australia</w:t>
      </w:r>
      <w:r w:rsidR="00F171C0" w:rsidRPr="543832D4">
        <w:rPr>
          <w:sz w:val="24"/>
          <w:szCs w:val="24"/>
        </w:rPr>
        <w:t>,</w:t>
      </w:r>
      <w:r w:rsidRPr="543832D4">
        <w:rPr>
          <w:sz w:val="24"/>
          <w:szCs w:val="24"/>
        </w:rPr>
        <w:t xml:space="preserve"> </w:t>
      </w:r>
    </w:p>
    <w:p w14:paraId="41178834" w14:textId="6B04FBC1" w:rsidR="00885F3C" w:rsidRDefault="00885F3C" w:rsidP="00A80396">
      <w:pPr>
        <w:pStyle w:val="ListParagraph"/>
        <w:numPr>
          <w:ilvl w:val="1"/>
          <w:numId w:val="4"/>
        </w:numPr>
        <w:spacing w:after="0"/>
        <w:rPr>
          <w:sz w:val="24"/>
          <w:szCs w:val="24"/>
        </w:rPr>
      </w:pPr>
      <w:r w:rsidRPr="543832D4">
        <w:rPr>
          <w:sz w:val="24"/>
          <w:szCs w:val="24"/>
        </w:rPr>
        <w:t xml:space="preserve">reduce non-tariff barriers, including by simplifying complex regulatory frameworks and improving access to information about regulations, customs procedures, tender </w:t>
      </w:r>
      <w:proofErr w:type="gramStart"/>
      <w:r w:rsidRPr="543832D4">
        <w:rPr>
          <w:sz w:val="24"/>
          <w:szCs w:val="24"/>
        </w:rPr>
        <w:t>processes</w:t>
      </w:r>
      <w:proofErr w:type="gramEnd"/>
      <w:r w:rsidRPr="543832D4">
        <w:rPr>
          <w:sz w:val="24"/>
          <w:szCs w:val="24"/>
        </w:rPr>
        <w:t xml:space="preserve"> and state/federal taxes in India</w:t>
      </w:r>
      <w:r w:rsidR="00F171C0" w:rsidRPr="543832D4">
        <w:rPr>
          <w:sz w:val="24"/>
          <w:szCs w:val="24"/>
        </w:rPr>
        <w:t>,</w:t>
      </w:r>
      <w:r w:rsidRPr="543832D4">
        <w:rPr>
          <w:sz w:val="24"/>
          <w:szCs w:val="24"/>
        </w:rPr>
        <w:t xml:space="preserve">  </w:t>
      </w:r>
    </w:p>
    <w:p w14:paraId="3ED106E3" w14:textId="393B0EA8" w:rsidR="00885F3C" w:rsidRDefault="00885F3C" w:rsidP="00A80396">
      <w:pPr>
        <w:pStyle w:val="ListParagraph"/>
        <w:numPr>
          <w:ilvl w:val="1"/>
          <w:numId w:val="4"/>
        </w:numPr>
        <w:spacing w:after="0"/>
        <w:rPr>
          <w:sz w:val="24"/>
          <w:szCs w:val="24"/>
        </w:rPr>
      </w:pPr>
      <w:r w:rsidRPr="543832D4">
        <w:rPr>
          <w:sz w:val="24"/>
          <w:szCs w:val="24"/>
        </w:rPr>
        <w:t>reduce tariffs for coal and copper concentrates</w:t>
      </w:r>
      <w:r w:rsidR="00F171C0" w:rsidRPr="543832D4">
        <w:rPr>
          <w:sz w:val="24"/>
          <w:szCs w:val="24"/>
        </w:rPr>
        <w:t>,</w:t>
      </w:r>
      <w:r w:rsidRPr="543832D4">
        <w:rPr>
          <w:sz w:val="24"/>
          <w:szCs w:val="24"/>
        </w:rPr>
        <w:t xml:space="preserve"> </w:t>
      </w:r>
    </w:p>
    <w:p w14:paraId="7401FDB1" w14:textId="29AE057F" w:rsidR="00885F3C" w:rsidRDefault="00885F3C" w:rsidP="00A80396">
      <w:pPr>
        <w:pStyle w:val="ListParagraph"/>
        <w:numPr>
          <w:ilvl w:val="1"/>
          <w:numId w:val="4"/>
        </w:numPr>
        <w:spacing w:after="0"/>
        <w:rPr>
          <w:sz w:val="24"/>
          <w:szCs w:val="24"/>
        </w:rPr>
      </w:pPr>
      <w:r w:rsidRPr="543832D4">
        <w:rPr>
          <w:sz w:val="24"/>
          <w:szCs w:val="24"/>
        </w:rPr>
        <w:t>seek same preferential tariff treatment as those afforded to other trading partners, including for sandalwood, as well as mineral and metal products</w:t>
      </w:r>
      <w:r w:rsidR="00F171C0" w:rsidRPr="543832D4">
        <w:rPr>
          <w:sz w:val="24"/>
          <w:szCs w:val="24"/>
        </w:rPr>
        <w:t>,</w:t>
      </w:r>
    </w:p>
    <w:p w14:paraId="0B6E573B" w14:textId="67ED44B1" w:rsidR="00885F3C" w:rsidRDefault="00885F3C" w:rsidP="00A80396">
      <w:pPr>
        <w:pStyle w:val="ListParagraph"/>
        <w:numPr>
          <w:ilvl w:val="1"/>
          <w:numId w:val="4"/>
        </w:numPr>
        <w:spacing w:after="0"/>
        <w:rPr>
          <w:sz w:val="24"/>
          <w:szCs w:val="24"/>
        </w:rPr>
      </w:pPr>
      <w:r w:rsidRPr="543832D4">
        <w:rPr>
          <w:sz w:val="24"/>
          <w:szCs w:val="24"/>
        </w:rPr>
        <w:t>duty free treatment of wood</w:t>
      </w:r>
      <w:r w:rsidR="001A43F6" w:rsidRPr="543832D4">
        <w:rPr>
          <w:sz w:val="24"/>
          <w:szCs w:val="24"/>
        </w:rPr>
        <w:t xml:space="preserve">, </w:t>
      </w:r>
      <w:proofErr w:type="gramStart"/>
      <w:r w:rsidRPr="543832D4">
        <w:rPr>
          <w:sz w:val="24"/>
          <w:szCs w:val="24"/>
        </w:rPr>
        <w:t>paper</w:t>
      </w:r>
      <w:proofErr w:type="gramEnd"/>
      <w:r w:rsidRPr="543832D4">
        <w:rPr>
          <w:sz w:val="24"/>
          <w:szCs w:val="24"/>
        </w:rPr>
        <w:t xml:space="preserve"> </w:t>
      </w:r>
      <w:r w:rsidR="001A43F6" w:rsidRPr="543832D4">
        <w:rPr>
          <w:sz w:val="24"/>
          <w:szCs w:val="24"/>
        </w:rPr>
        <w:t xml:space="preserve">and forestry </w:t>
      </w:r>
      <w:r w:rsidRPr="543832D4">
        <w:rPr>
          <w:sz w:val="24"/>
          <w:szCs w:val="24"/>
        </w:rPr>
        <w:t>products from Australia</w:t>
      </w:r>
      <w:r w:rsidR="00F171C0" w:rsidRPr="543832D4">
        <w:rPr>
          <w:sz w:val="24"/>
          <w:szCs w:val="24"/>
        </w:rPr>
        <w:t>,</w:t>
      </w:r>
      <w:r w:rsidRPr="543832D4">
        <w:rPr>
          <w:sz w:val="24"/>
          <w:szCs w:val="24"/>
        </w:rPr>
        <w:t xml:space="preserve"> </w:t>
      </w:r>
    </w:p>
    <w:p w14:paraId="3A20ABF3" w14:textId="14711EA2" w:rsidR="008E2B47" w:rsidRDefault="008E2B47" w:rsidP="00A80396">
      <w:pPr>
        <w:pStyle w:val="ListParagraph"/>
        <w:numPr>
          <w:ilvl w:val="1"/>
          <w:numId w:val="4"/>
        </w:numPr>
        <w:spacing w:after="0"/>
        <w:rPr>
          <w:sz w:val="24"/>
          <w:szCs w:val="24"/>
        </w:rPr>
      </w:pPr>
      <w:r w:rsidRPr="543832D4">
        <w:rPr>
          <w:sz w:val="24"/>
          <w:szCs w:val="24"/>
        </w:rPr>
        <w:t>duty free trade of automobiles</w:t>
      </w:r>
      <w:r w:rsidR="00F171C0" w:rsidRPr="543832D4">
        <w:rPr>
          <w:sz w:val="24"/>
          <w:szCs w:val="24"/>
        </w:rPr>
        <w:t>,</w:t>
      </w:r>
      <w:r w:rsidRPr="543832D4">
        <w:rPr>
          <w:sz w:val="24"/>
          <w:szCs w:val="24"/>
        </w:rPr>
        <w:t xml:space="preserve"> </w:t>
      </w:r>
    </w:p>
    <w:p w14:paraId="1FF6DEA3" w14:textId="52B0E8A5" w:rsidR="001A43F6" w:rsidRDefault="001A43F6" w:rsidP="00A80396">
      <w:pPr>
        <w:pStyle w:val="ListParagraph"/>
        <w:numPr>
          <w:ilvl w:val="1"/>
          <w:numId w:val="4"/>
        </w:numPr>
        <w:spacing w:after="0"/>
        <w:rPr>
          <w:sz w:val="24"/>
          <w:szCs w:val="24"/>
        </w:rPr>
      </w:pPr>
      <w:r w:rsidRPr="543832D4">
        <w:rPr>
          <w:sz w:val="24"/>
          <w:szCs w:val="24"/>
        </w:rPr>
        <w:t>acknowledgement of Australia’s internationally recognised food and safety regime</w:t>
      </w:r>
      <w:r w:rsidR="00F171C0" w:rsidRPr="543832D4">
        <w:rPr>
          <w:sz w:val="24"/>
          <w:szCs w:val="24"/>
        </w:rPr>
        <w:t>,</w:t>
      </w:r>
    </w:p>
    <w:p w14:paraId="23152384" w14:textId="67D9D9D5" w:rsidR="00885F3C" w:rsidRDefault="00885F3C" w:rsidP="00A80396">
      <w:pPr>
        <w:pStyle w:val="ListParagraph"/>
        <w:numPr>
          <w:ilvl w:val="1"/>
          <w:numId w:val="4"/>
        </w:numPr>
        <w:spacing w:after="0"/>
        <w:rPr>
          <w:sz w:val="24"/>
          <w:szCs w:val="24"/>
        </w:rPr>
      </w:pPr>
      <w:r w:rsidRPr="543832D4">
        <w:rPr>
          <w:sz w:val="24"/>
          <w:szCs w:val="24"/>
        </w:rPr>
        <w:t>seek more streamlined rules of origin</w:t>
      </w:r>
      <w:r w:rsidR="00F171C0" w:rsidRPr="543832D4">
        <w:rPr>
          <w:sz w:val="24"/>
          <w:szCs w:val="24"/>
        </w:rPr>
        <w:t>,</w:t>
      </w:r>
    </w:p>
    <w:p w14:paraId="7D003174" w14:textId="2B869CB1" w:rsidR="00885F3C" w:rsidRDefault="00885F3C" w:rsidP="00A80396">
      <w:pPr>
        <w:pStyle w:val="ListParagraph"/>
        <w:numPr>
          <w:ilvl w:val="1"/>
          <w:numId w:val="4"/>
        </w:numPr>
        <w:spacing w:after="0"/>
        <w:rPr>
          <w:sz w:val="24"/>
          <w:szCs w:val="24"/>
        </w:rPr>
      </w:pPr>
      <w:r w:rsidRPr="543832D4">
        <w:rPr>
          <w:sz w:val="24"/>
          <w:szCs w:val="24"/>
        </w:rPr>
        <w:t>support action on simplification and harmonisation of customs procedures</w:t>
      </w:r>
      <w:r w:rsidR="00F171C0" w:rsidRPr="543832D4">
        <w:rPr>
          <w:sz w:val="24"/>
          <w:szCs w:val="24"/>
        </w:rPr>
        <w:t>,</w:t>
      </w:r>
    </w:p>
    <w:p w14:paraId="0B761951" w14:textId="61787AC3" w:rsidR="00885F3C" w:rsidRDefault="00885F3C" w:rsidP="00A80396">
      <w:pPr>
        <w:pStyle w:val="ListParagraph"/>
        <w:numPr>
          <w:ilvl w:val="1"/>
          <w:numId w:val="4"/>
        </w:numPr>
        <w:spacing w:after="0"/>
        <w:rPr>
          <w:sz w:val="24"/>
          <w:szCs w:val="24"/>
        </w:rPr>
      </w:pPr>
      <w:r w:rsidRPr="543832D4">
        <w:rPr>
          <w:sz w:val="24"/>
          <w:szCs w:val="24"/>
        </w:rPr>
        <w:t>consider using the most appropriate HS code when classifying products to determine duties that should be applied</w:t>
      </w:r>
      <w:r w:rsidR="00F171C0" w:rsidRPr="543832D4">
        <w:rPr>
          <w:sz w:val="24"/>
          <w:szCs w:val="24"/>
        </w:rPr>
        <w:t>, and</w:t>
      </w:r>
    </w:p>
    <w:p w14:paraId="4CB5FABD" w14:textId="77777777" w:rsidR="00885F3C" w:rsidRPr="00D51E8A" w:rsidRDefault="00885F3C" w:rsidP="00A80396">
      <w:pPr>
        <w:pStyle w:val="ListParagraph"/>
        <w:numPr>
          <w:ilvl w:val="1"/>
          <w:numId w:val="4"/>
        </w:numPr>
        <w:spacing w:after="0"/>
        <w:rPr>
          <w:sz w:val="24"/>
          <w:szCs w:val="24"/>
        </w:rPr>
      </w:pPr>
      <w:r w:rsidRPr="543832D4">
        <w:rPr>
          <w:sz w:val="24"/>
          <w:szCs w:val="24"/>
        </w:rPr>
        <w:t xml:space="preserve">have provisions in the agreement on anti-dumping, countervailing measures and safeguards. </w:t>
      </w:r>
    </w:p>
    <w:p w14:paraId="7C60F4FB" w14:textId="77777777" w:rsidR="00885F3C" w:rsidRDefault="00885F3C" w:rsidP="0014704E">
      <w:pPr>
        <w:pStyle w:val="ListParagraph"/>
        <w:spacing w:after="0"/>
        <w:ind w:left="567"/>
        <w:rPr>
          <w:sz w:val="24"/>
          <w:szCs w:val="24"/>
        </w:rPr>
      </w:pPr>
    </w:p>
    <w:p w14:paraId="04313B7E" w14:textId="49717BCB" w:rsidR="0086248D" w:rsidRDefault="00806371" w:rsidP="00A80396">
      <w:pPr>
        <w:pStyle w:val="ListParagraph"/>
        <w:numPr>
          <w:ilvl w:val="0"/>
          <w:numId w:val="1"/>
        </w:numPr>
        <w:spacing w:after="0"/>
        <w:ind w:left="567" w:hanging="567"/>
        <w:rPr>
          <w:sz w:val="24"/>
          <w:szCs w:val="24"/>
        </w:rPr>
      </w:pPr>
      <w:r w:rsidRPr="543832D4">
        <w:rPr>
          <w:sz w:val="24"/>
          <w:szCs w:val="24"/>
        </w:rPr>
        <w:t xml:space="preserve">The proposed </w:t>
      </w:r>
      <w:r w:rsidR="0075790E">
        <w:rPr>
          <w:sz w:val="24"/>
          <w:szCs w:val="24"/>
        </w:rPr>
        <w:t>AI</w:t>
      </w:r>
      <w:r w:rsidR="00217C26">
        <w:rPr>
          <w:sz w:val="24"/>
          <w:szCs w:val="24"/>
        </w:rPr>
        <w:t xml:space="preserve"> ECTA</w:t>
      </w:r>
      <w:r w:rsidRPr="543832D4">
        <w:rPr>
          <w:sz w:val="24"/>
          <w:szCs w:val="24"/>
        </w:rPr>
        <w:t xml:space="preserve"> addresses the submissions received from </w:t>
      </w:r>
      <w:r w:rsidR="0031298E" w:rsidRPr="543832D4">
        <w:rPr>
          <w:sz w:val="24"/>
          <w:szCs w:val="24"/>
        </w:rPr>
        <w:t>2</w:t>
      </w:r>
      <w:r w:rsidR="00C260FC" w:rsidRPr="543832D4">
        <w:rPr>
          <w:sz w:val="24"/>
          <w:szCs w:val="24"/>
        </w:rPr>
        <w:t>6</w:t>
      </w:r>
      <w:r w:rsidR="00E54DE8" w:rsidRPr="543832D4">
        <w:rPr>
          <w:sz w:val="24"/>
          <w:szCs w:val="24"/>
        </w:rPr>
        <w:t xml:space="preserve"> </w:t>
      </w:r>
      <w:r w:rsidRPr="543832D4">
        <w:rPr>
          <w:sz w:val="24"/>
          <w:szCs w:val="24"/>
        </w:rPr>
        <w:t>stakeholders regarding the reduction in tariffs for a range of Australian products</w:t>
      </w:r>
      <w:r w:rsidR="00E37011" w:rsidRPr="543832D4">
        <w:rPr>
          <w:sz w:val="24"/>
          <w:szCs w:val="24"/>
        </w:rPr>
        <w:t xml:space="preserve"> (please see a summary </w:t>
      </w:r>
      <w:r w:rsidR="004D64E2" w:rsidRPr="543832D4">
        <w:rPr>
          <w:sz w:val="24"/>
          <w:szCs w:val="24"/>
        </w:rPr>
        <w:t xml:space="preserve">of </w:t>
      </w:r>
      <w:r w:rsidR="004138FF" w:rsidRPr="543832D4">
        <w:rPr>
          <w:sz w:val="24"/>
          <w:szCs w:val="24"/>
        </w:rPr>
        <w:t xml:space="preserve">key </w:t>
      </w:r>
      <w:r w:rsidR="004138FF" w:rsidRPr="543832D4">
        <w:rPr>
          <w:sz w:val="24"/>
          <w:szCs w:val="24"/>
        </w:rPr>
        <w:lastRenderedPageBreak/>
        <w:t>outcomes in paragraph 164</w:t>
      </w:r>
      <w:r w:rsidR="00E37011" w:rsidRPr="543832D4">
        <w:rPr>
          <w:sz w:val="24"/>
          <w:szCs w:val="24"/>
        </w:rPr>
        <w:t>, below</w:t>
      </w:r>
      <w:r w:rsidR="0056265B" w:rsidRPr="543832D4">
        <w:rPr>
          <w:sz w:val="24"/>
          <w:szCs w:val="24"/>
        </w:rPr>
        <w:t>, as well as</w:t>
      </w:r>
      <w:r w:rsidR="00E51AC1" w:rsidRPr="543832D4">
        <w:rPr>
          <w:sz w:val="24"/>
          <w:szCs w:val="24"/>
        </w:rPr>
        <w:t xml:space="preserve"> in the ‘Benefits and Impacts Analysis’ section on trade in goods</w:t>
      </w:r>
      <w:r w:rsidR="00E37011" w:rsidRPr="543832D4">
        <w:rPr>
          <w:sz w:val="24"/>
          <w:szCs w:val="24"/>
        </w:rPr>
        <w:t>.</w:t>
      </w:r>
      <w:r w:rsidRPr="543832D4">
        <w:rPr>
          <w:sz w:val="24"/>
          <w:szCs w:val="24"/>
        </w:rPr>
        <w:t xml:space="preserve"> </w:t>
      </w:r>
    </w:p>
    <w:p w14:paraId="502882CC" w14:textId="77777777" w:rsidR="0086248D" w:rsidRDefault="0086248D" w:rsidP="0014704E">
      <w:pPr>
        <w:pStyle w:val="ListParagraph"/>
        <w:spacing w:after="0"/>
        <w:ind w:left="567"/>
        <w:rPr>
          <w:sz w:val="24"/>
          <w:szCs w:val="24"/>
        </w:rPr>
      </w:pPr>
    </w:p>
    <w:p w14:paraId="46725756" w14:textId="70B8D085" w:rsidR="00885F3C" w:rsidRDefault="00C56C40" w:rsidP="00A80396">
      <w:pPr>
        <w:pStyle w:val="ListParagraph"/>
        <w:numPr>
          <w:ilvl w:val="0"/>
          <w:numId w:val="1"/>
        </w:numPr>
        <w:spacing w:after="0"/>
        <w:ind w:left="567" w:hanging="567"/>
        <w:rPr>
          <w:sz w:val="24"/>
          <w:szCs w:val="24"/>
        </w:rPr>
      </w:pPr>
      <w:r w:rsidRPr="543832D4">
        <w:rPr>
          <w:sz w:val="24"/>
          <w:szCs w:val="24"/>
        </w:rPr>
        <w:t xml:space="preserve">However, as with all negotiations, it was not possible to </w:t>
      </w:r>
      <w:r w:rsidR="00A17241" w:rsidRPr="543832D4">
        <w:rPr>
          <w:sz w:val="24"/>
          <w:szCs w:val="24"/>
        </w:rPr>
        <w:t xml:space="preserve">incorporate the </w:t>
      </w:r>
      <w:r w:rsidR="0004420E" w:rsidRPr="543832D4">
        <w:rPr>
          <w:sz w:val="24"/>
          <w:szCs w:val="24"/>
        </w:rPr>
        <w:t>outcomes sought by stakeholders with respect to the reduction in tariffs</w:t>
      </w:r>
      <w:r w:rsidR="00C02850" w:rsidRPr="543832D4">
        <w:rPr>
          <w:sz w:val="24"/>
          <w:szCs w:val="24"/>
        </w:rPr>
        <w:t xml:space="preserve"> for all the different goods identified. </w:t>
      </w:r>
      <w:r w:rsidR="00AF666D" w:rsidRPr="543832D4">
        <w:rPr>
          <w:sz w:val="24"/>
          <w:szCs w:val="24"/>
        </w:rPr>
        <w:t>For example, the types of goods raised in</w:t>
      </w:r>
      <w:r w:rsidR="004030E6" w:rsidRPr="543832D4">
        <w:rPr>
          <w:sz w:val="24"/>
          <w:szCs w:val="24"/>
        </w:rPr>
        <w:t xml:space="preserve"> 1</w:t>
      </w:r>
      <w:r w:rsidR="00C260FC" w:rsidRPr="543832D4">
        <w:rPr>
          <w:sz w:val="24"/>
          <w:szCs w:val="24"/>
        </w:rPr>
        <w:t>1</w:t>
      </w:r>
      <w:r w:rsidR="00AF666D" w:rsidRPr="543832D4">
        <w:rPr>
          <w:sz w:val="24"/>
          <w:szCs w:val="24"/>
        </w:rPr>
        <w:t xml:space="preserve"> submissions</w:t>
      </w:r>
      <w:r w:rsidR="00441B79" w:rsidRPr="543832D4">
        <w:rPr>
          <w:sz w:val="24"/>
          <w:szCs w:val="24"/>
        </w:rPr>
        <w:t xml:space="preserve">, including tea tree oil, </w:t>
      </w:r>
      <w:r w:rsidR="00D87020" w:rsidRPr="543832D4">
        <w:rPr>
          <w:sz w:val="24"/>
          <w:szCs w:val="24"/>
        </w:rPr>
        <w:t xml:space="preserve">automobiles, </w:t>
      </w:r>
      <w:r w:rsidR="00AE6AF0">
        <w:rPr>
          <w:sz w:val="24"/>
          <w:szCs w:val="24"/>
        </w:rPr>
        <w:t xml:space="preserve">dairy, goat meat, </w:t>
      </w:r>
      <w:r w:rsidR="00D87020" w:rsidRPr="543832D4">
        <w:rPr>
          <w:sz w:val="24"/>
          <w:szCs w:val="24"/>
        </w:rPr>
        <w:t xml:space="preserve">computer products, </w:t>
      </w:r>
      <w:r w:rsidR="00AE6AF0">
        <w:rPr>
          <w:sz w:val="24"/>
          <w:szCs w:val="24"/>
        </w:rPr>
        <w:t xml:space="preserve">and </w:t>
      </w:r>
      <w:r w:rsidR="00D87020" w:rsidRPr="543832D4">
        <w:rPr>
          <w:sz w:val="24"/>
          <w:szCs w:val="24"/>
        </w:rPr>
        <w:t>solar products</w:t>
      </w:r>
      <w:r w:rsidR="00AE6AF0">
        <w:rPr>
          <w:sz w:val="24"/>
          <w:szCs w:val="24"/>
        </w:rPr>
        <w:t>,</w:t>
      </w:r>
      <w:r w:rsidR="00AF666D" w:rsidRPr="543832D4">
        <w:rPr>
          <w:sz w:val="24"/>
          <w:szCs w:val="24"/>
        </w:rPr>
        <w:t xml:space="preserve"> have not been afforded market access opportunities under the proposed </w:t>
      </w:r>
      <w:r w:rsidR="0075790E">
        <w:rPr>
          <w:sz w:val="24"/>
          <w:szCs w:val="24"/>
        </w:rPr>
        <w:t>AI</w:t>
      </w:r>
      <w:r w:rsidR="00217C26">
        <w:rPr>
          <w:sz w:val="24"/>
          <w:szCs w:val="24"/>
        </w:rPr>
        <w:t xml:space="preserve"> ECTA</w:t>
      </w:r>
      <w:r w:rsidR="00441B79" w:rsidRPr="543832D4">
        <w:rPr>
          <w:sz w:val="24"/>
          <w:szCs w:val="24"/>
        </w:rPr>
        <w:t xml:space="preserve">. </w:t>
      </w:r>
      <w:r w:rsidR="00AF666D" w:rsidRPr="543832D4">
        <w:rPr>
          <w:sz w:val="24"/>
          <w:szCs w:val="24"/>
        </w:rPr>
        <w:t xml:space="preserve">Australia and India will continue discussions on trade in goods in advance of negotiations for a full CECA and there may be a possibility for some of these goods to be incorporated. </w:t>
      </w:r>
    </w:p>
    <w:p w14:paraId="607506B4" w14:textId="77777777" w:rsidR="00FD57F9" w:rsidRPr="00FD57F9" w:rsidRDefault="00FD57F9" w:rsidP="0014704E">
      <w:pPr>
        <w:pStyle w:val="ListParagraph"/>
        <w:spacing w:after="0"/>
        <w:ind w:left="567"/>
        <w:rPr>
          <w:sz w:val="24"/>
          <w:szCs w:val="24"/>
        </w:rPr>
      </w:pPr>
    </w:p>
    <w:p w14:paraId="2B8D4A39" w14:textId="626095A0" w:rsidR="00885F3C" w:rsidRPr="00D25B9A" w:rsidRDefault="00885F3C" w:rsidP="00A80396">
      <w:pPr>
        <w:pStyle w:val="ListParagraph"/>
        <w:numPr>
          <w:ilvl w:val="0"/>
          <w:numId w:val="1"/>
        </w:numPr>
        <w:spacing w:after="0"/>
        <w:ind w:left="567" w:hanging="567"/>
        <w:rPr>
          <w:sz w:val="24"/>
          <w:szCs w:val="24"/>
        </w:rPr>
      </w:pPr>
      <w:r w:rsidRPr="543832D4">
        <w:rPr>
          <w:sz w:val="24"/>
          <w:szCs w:val="24"/>
        </w:rPr>
        <w:t>Please find below a summary of the key outcomes for goods exports</w:t>
      </w:r>
      <w:r w:rsidR="00AE6AF0">
        <w:rPr>
          <w:sz w:val="24"/>
          <w:szCs w:val="24"/>
        </w:rPr>
        <w:t>, i</w:t>
      </w:r>
      <w:r w:rsidR="00DB0EC1" w:rsidRPr="543832D4">
        <w:rPr>
          <w:sz w:val="24"/>
          <w:szCs w:val="24"/>
        </w:rPr>
        <w:t>ncluding</w:t>
      </w:r>
      <w:r w:rsidRPr="543832D4">
        <w:rPr>
          <w:sz w:val="24"/>
          <w:szCs w:val="24"/>
        </w:rPr>
        <w:t>:</w:t>
      </w:r>
    </w:p>
    <w:p w14:paraId="2A060180" w14:textId="5C15DB76" w:rsidR="00E713B3" w:rsidRDefault="00E713B3" w:rsidP="00050DB7">
      <w:pPr>
        <w:pStyle w:val="ListParagraph"/>
        <w:spacing w:after="0"/>
        <w:ind w:left="1080"/>
        <w:rPr>
          <w:sz w:val="24"/>
          <w:szCs w:val="24"/>
        </w:rPr>
      </w:pPr>
    </w:p>
    <w:p w14:paraId="1DDC50FE" w14:textId="2E486848" w:rsidR="000131AD" w:rsidRDefault="000131AD" w:rsidP="00A80396">
      <w:pPr>
        <w:pStyle w:val="ListParagraph"/>
        <w:numPr>
          <w:ilvl w:val="0"/>
          <w:numId w:val="12"/>
        </w:numPr>
        <w:spacing w:after="0"/>
        <w:rPr>
          <w:rFonts w:eastAsiaTheme="minorEastAsia"/>
          <w:sz w:val="24"/>
          <w:szCs w:val="24"/>
        </w:rPr>
      </w:pPr>
      <w:r w:rsidRPr="543832D4">
        <w:rPr>
          <w:sz w:val="24"/>
          <w:szCs w:val="24"/>
        </w:rPr>
        <w:t>elimination of tariffs</w:t>
      </w:r>
      <w:r w:rsidR="00C3560D" w:rsidRPr="543832D4">
        <w:rPr>
          <w:sz w:val="24"/>
          <w:szCs w:val="24"/>
        </w:rPr>
        <w:t xml:space="preserve"> at entry into force for </w:t>
      </w:r>
      <w:r w:rsidR="005711AC" w:rsidRPr="543832D4">
        <w:rPr>
          <w:sz w:val="24"/>
          <w:szCs w:val="24"/>
        </w:rPr>
        <w:t>sheep meat, rock lobsters,</w:t>
      </w:r>
      <w:r w:rsidR="0053748C" w:rsidRPr="543832D4">
        <w:rPr>
          <w:sz w:val="24"/>
          <w:szCs w:val="24"/>
        </w:rPr>
        <w:t xml:space="preserve"> wool</w:t>
      </w:r>
      <w:r w:rsidR="00675027">
        <w:rPr>
          <w:sz w:val="24"/>
          <w:szCs w:val="24"/>
        </w:rPr>
        <w:t xml:space="preserve"> </w:t>
      </w:r>
      <w:r w:rsidR="0053748C" w:rsidRPr="543832D4">
        <w:rPr>
          <w:sz w:val="24"/>
          <w:szCs w:val="24"/>
        </w:rPr>
        <w:t>and coal</w:t>
      </w:r>
      <w:r w:rsidR="00B50DF0" w:rsidRPr="543832D4">
        <w:rPr>
          <w:sz w:val="24"/>
          <w:szCs w:val="24"/>
        </w:rPr>
        <w:t>,</w:t>
      </w:r>
      <w:r w:rsidR="543832D4" w:rsidRPr="543832D4">
        <w:rPr>
          <w:rFonts w:ascii="Calibri" w:eastAsia="Calibri" w:hAnsi="Calibri" w:cs="Calibri"/>
          <w:sz w:val="24"/>
          <w:szCs w:val="24"/>
        </w:rPr>
        <w:t xml:space="preserve"> metallic ores such as manganese ores, coal, coke and semi-coke of coal, LNG, titanium dioxide, certain non-ferrous metals (copper</w:t>
      </w:r>
      <w:r w:rsidR="004E4688">
        <w:rPr>
          <w:rFonts w:ascii="Calibri" w:eastAsia="Calibri" w:hAnsi="Calibri" w:cs="Calibri"/>
          <w:sz w:val="24"/>
          <w:szCs w:val="24"/>
        </w:rPr>
        <w:t xml:space="preserve"> </w:t>
      </w:r>
      <w:r w:rsidR="543832D4" w:rsidRPr="543832D4">
        <w:rPr>
          <w:rFonts w:ascii="Calibri" w:eastAsia="Calibri" w:hAnsi="Calibri" w:cs="Calibri"/>
          <w:sz w:val="24"/>
          <w:szCs w:val="24"/>
        </w:rPr>
        <w:t xml:space="preserve">and </w:t>
      </w:r>
      <w:r w:rsidR="000F5776" w:rsidRPr="543832D4">
        <w:rPr>
          <w:rFonts w:ascii="Calibri" w:eastAsia="Calibri" w:hAnsi="Calibri" w:cs="Calibri"/>
          <w:sz w:val="24"/>
          <w:szCs w:val="24"/>
        </w:rPr>
        <w:t>nickel</w:t>
      </w:r>
      <w:r w:rsidR="000F5776">
        <w:rPr>
          <w:rFonts w:ascii="Calibri" w:eastAsia="Calibri" w:hAnsi="Calibri" w:cs="Calibri"/>
          <w:sz w:val="24"/>
          <w:szCs w:val="24"/>
        </w:rPr>
        <w:t>)</w:t>
      </w:r>
      <w:r w:rsidR="543832D4" w:rsidRPr="543832D4">
        <w:rPr>
          <w:rFonts w:ascii="Calibri" w:eastAsia="Calibri" w:hAnsi="Calibri" w:cs="Calibri"/>
          <w:sz w:val="24"/>
          <w:szCs w:val="24"/>
        </w:rPr>
        <w:t>,</w:t>
      </w:r>
    </w:p>
    <w:p w14:paraId="552D7DA9" w14:textId="5C15DB76" w:rsidR="543832D4" w:rsidRDefault="543832D4" w:rsidP="543832D4">
      <w:pPr>
        <w:spacing w:after="0"/>
        <w:ind w:left="360"/>
        <w:rPr>
          <w:sz w:val="24"/>
          <w:szCs w:val="24"/>
        </w:rPr>
      </w:pPr>
    </w:p>
    <w:p w14:paraId="1A4975BE" w14:textId="55ABC931" w:rsidR="005711AC" w:rsidRDefault="005711AC" w:rsidP="00A80396">
      <w:pPr>
        <w:pStyle w:val="ListParagraph"/>
        <w:numPr>
          <w:ilvl w:val="0"/>
          <w:numId w:val="12"/>
        </w:numPr>
        <w:spacing w:after="0"/>
        <w:rPr>
          <w:rFonts w:eastAsiaTheme="minorEastAsia"/>
          <w:sz w:val="24"/>
          <w:szCs w:val="24"/>
        </w:rPr>
      </w:pPr>
      <w:r w:rsidRPr="543832D4">
        <w:rPr>
          <w:sz w:val="24"/>
          <w:szCs w:val="24"/>
        </w:rPr>
        <w:t xml:space="preserve">elimination </w:t>
      </w:r>
      <w:r w:rsidR="000131AD" w:rsidRPr="543832D4">
        <w:rPr>
          <w:sz w:val="24"/>
          <w:szCs w:val="24"/>
        </w:rPr>
        <w:t xml:space="preserve">of tariffs </w:t>
      </w:r>
      <w:r w:rsidRPr="543832D4">
        <w:rPr>
          <w:sz w:val="24"/>
          <w:szCs w:val="24"/>
        </w:rPr>
        <w:t xml:space="preserve">over </w:t>
      </w:r>
      <w:r w:rsidR="00E23A79" w:rsidRPr="543832D4">
        <w:rPr>
          <w:sz w:val="24"/>
          <w:szCs w:val="24"/>
        </w:rPr>
        <w:t xml:space="preserve">3, 5, 7 or 10 years </w:t>
      </w:r>
      <w:r w:rsidR="000F5776" w:rsidRPr="543832D4">
        <w:rPr>
          <w:sz w:val="24"/>
          <w:szCs w:val="24"/>
        </w:rPr>
        <w:t>for,</w:t>
      </w:r>
      <w:r w:rsidR="00E23A79" w:rsidRPr="543832D4">
        <w:rPr>
          <w:sz w:val="24"/>
          <w:szCs w:val="24"/>
        </w:rPr>
        <w:t xml:space="preserve"> certain fruit and vegetables, certain nuts, fish</w:t>
      </w:r>
      <w:r w:rsidR="00091710">
        <w:rPr>
          <w:sz w:val="24"/>
          <w:szCs w:val="24"/>
        </w:rPr>
        <w:t xml:space="preserve">, </w:t>
      </w:r>
      <w:r w:rsidR="00E23A79" w:rsidRPr="543832D4">
        <w:rPr>
          <w:sz w:val="24"/>
          <w:szCs w:val="24"/>
        </w:rPr>
        <w:t>sandalwood</w:t>
      </w:r>
      <w:r w:rsidR="00AE6AF0">
        <w:rPr>
          <w:sz w:val="24"/>
          <w:szCs w:val="24"/>
        </w:rPr>
        <w:t>,</w:t>
      </w:r>
      <w:r w:rsidR="00091710">
        <w:rPr>
          <w:sz w:val="24"/>
          <w:szCs w:val="24"/>
        </w:rPr>
        <w:t xml:space="preserve"> </w:t>
      </w:r>
      <w:r w:rsidR="00E23A79" w:rsidRPr="543832D4">
        <w:rPr>
          <w:sz w:val="24"/>
          <w:szCs w:val="24"/>
        </w:rPr>
        <w:t>cotton</w:t>
      </w:r>
      <w:r w:rsidR="00091710">
        <w:rPr>
          <w:sz w:val="24"/>
          <w:szCs w:val="24"/>
        </w:rPr>
        <w:t xml:space="preserve">, </w:t>
      </w:r>
      <w:r w:rsidR="00E23A79" w:rsidRPr="543832D4">
        <w:rPr>
          <w:sz w:val="24"/>
          <w:szCs w:val="24"/>
        </w:rPr>
        <w:t xml:space="preserve">food preparation, </w:t>
      </w:r>
      <w:r w:rsidR="00AE6AF0">
        <w:rPr>
          <w:sz w:val="24"/>
          <w:szCs w:val="24"/>
        </w:rPr>
        <w:t xml:space="preserve">and </w:t>
      </w:r>
      <w:r w:rsidR="00E23A79" w:rsidRPr="543832D4">
        <w:rPr>
          <w:sz w:val="24"/>
          <w:szCs w:val="24"/>
        </w:rPr>
        <w:t>alumina</w:t>
      </w:r>
      <w:r w:rsidR="00B50DF0" w:rsidRPr="543832D4">
        <w:rPr>
          <w:sz w:val="24"/>
          <w:szCs w:val="24"/>
        </w:rPr>
        <w:t>,</w:t>
      </w:r>
    </w:p>
    <w:p w14:paraId="600C04D9" w14:textId="5C15DB76" w:rsidR="543832D4" w:rsidRDefault="543832D4" w:rsidP="543832D4">
      <w:pPr>
        <w:spacing w:after="0"/>
        <w:ind w:left="360"/>
        <w:rPr>
          <w:sz w:val="24"/>
          <w:szCs w:val="24"/>
        </w:rPr>
      </w:pPr>
    </w:p>
    <w:p w14:paraId="5B0E6535" w14:textId="0F5120D6" w:rsidR="009D7A74" w:rsidRDefault="009D7A74" w:rsidP="00A80396">
      <w:pPr>
        <w:pStyle w:val="ListParagraph"/>
        <w:numPr>
          <w:ilvl w:val="0"/>
          <w:numId w:val="12"/>
        </w:numPr>
        <w:spacing w:after="0"/>
        <w:rPr>
          <w:rFonts w:eastAsiaTheme="minorEastAsia"/>
          <w:sz w:val="24"/>
          <w:szCs w:val="24"/>
        </w:rPr>
      </w:pPr>
      <w:r w:rsidRPr="543832D4">
        <w:rPr>
          <w:sz w:val="24"/>
          <w:szCs w:val="24"/>
        </w:rPr>
        <w:t xml:space="preserve">elimination </w:t>
      </w:r>
      <w:r w:rsidR="00AE6AF0">
        <w:rPr>
          <w:sz w:val="24"/>
          <w:szCs w:val="24"/>
        </w:rPr>
        <w:t xml:space="preserve">and reduction </w:t>
      </w:r>
      <w:r w:rsidRPr="543832D4">
        <w:rPr>
          <w:sz w:val="24"/>
          <w:szCs w:val="24"/>
        </w:rPr>
        <w:t>of tariffs in-quota over 4-1</w:t>
      </w:r>
      <w:r w:rsidR="00602659" w:rsidRPr="543832D4">
        <w:rPr>
          <w:sz w:val="24"/>
          <w:szCs w:val="24"/>
        </w:rPr>
        <w:t>0</w:t>
      </w:r>
      <w:r w:rsidRPr="543832D4">
        <w:rPr>
          <w:sz w:val="24"/>
          <w:szCs w:val="24"/>
        </w:rPr>
        <w:t xml:space="preserve"> years for </w:t>
      </w:r>
      <w:r w:rsidR="00AE6AF0">
        <w:rPr>
          <w:sz w:val="24"/>
          <w:szCs w:val="24"/>
        </w:rPr>
        <w:t xml:space="preserve">lentils, </w:t>
      </w:r>
      <w:r w:rsidRPr="543832D4">
        <w:rPr>
          <w:sz w:val="24"/>
          <w:szCs w:val="24"/>
        </w:rPr>
        <w:t xml:space="preserve">cotton, almonds, oranges, </w:t>
      </w:r>
      <w:proofErr w:type="gramStart"/>
      <w:r w:rsidRPr="543832D4">
        <w:rPr>
          <w:sz w:val="24"/>
          <w:szCs w:val="24"/>
        </w:rPr>
        <w:t>mandarins</w:t>
      </w:r>
      <w:proofErr w:type="gramEnd"/>
      <w:r w:rsidRPr="543832D4">
        <w:rPr>
          <w:sz w:val="24"/>
          <w:szCs w:val="24"/>
        </w:rPr>
        <w:t xml:space="preserve"> and pears</w:t>
      </w:r>
      <w:r w:rsidR="00B50DF0" w:rsidRPr="543832D4">
        <w:rPr>
          <w:sz w:val="24"/>
          <w:szCs w:val="24"/>
        </w:rPr>
        <w:t xml:space="preserve">, and </w:t>
      </w:r>
    </w:p>
    <w:p w14:paraId="2BC984DE" w14:textId="54EA9B1C" w:rsidR="543832D4" w:rsidRDefault="543832D4" w:rsidP="543832D4">
      <w:pPr>
        <w:spacing w:after="0"/>
        <w:ind w:left="360"/>
        <w:rPr>
          <w:sz w:val="24"/>
          <w:szCs w:val="24"/>
        </w:rPr>
      </w:pPr>
    </w:p>
    <w:p w14:paraId="246915D5" w14:textId="5C15DB76" w:rsidR="00A7150D" w:rsidRDefault="00A7150D" w:rsidP="00A80396">
      <w:pPr>
        <w:pStyle w:val="ListParagraph"/>
        <w:numPr>
          <w:ilvl w:val="0"/>
          <w:numId w:val="12"/>
        </w:numPr>
        <w:spacing w:after="0"/>
        <w:rPr>
          <w:rFonts w:eastAsiaTheme="minorEastAsia"/>
          <w:sz w:val="24"/>
          <w:szCs w:val="24"/>
        </w:rPr>
      </w:pPr>
      <w:r w:rsidRPr="543832D4">
        <w:rPr>
          <w:sz w:val="24"/>
          <w:szCs w:val="24"/>
        </w:rPr>
        <w:t>India w</w:t>
      </w:r>
      <w:r w:rsidR="00B50DF0" w:rsidRPr="543832D4">
        <w:rPr>
          <w:sz w:val="24"/>
          <w:szCs w:val="24"/>
        </w:rPr>
        <w:t>ill</w:t>
      </w:r>
      <w:r w:rsidRPr="543832D4">
        <w:rPr>
          <w:sz w:val="24"/>
          <w:szCs w:val="24"/>
        </w:rPr>
        <w:t xml:space="preserve"> bind itself to maintain existing duty-free entry for barley and oats and hides and skins.</w:t>
      </w:r>
    </w:p>
    <w:p w14:paraId="511BD5B9" w14:textId="77777777" w:rsidR="00885F3C" w:rsidRPr="0001716D" w:rsidRDefault="00885F3C" w:rsidP="0001716D">
      <w:pPr>
        <w:spacing w:after="0"/>
        <w:rPr>
          <w:sz w:val="24"/>
          <w:szCs w:val="24"/>
        </w:rPr>
      </w:pPr>
    </w:p>
    <w:p w14:paraId="33E2EB5B" w14:textId="10F9A76C" w:rsidR="00885F3C" w:rsidRDefault="00885F3C" w:rsidP="00A80396">
      <w:pPr>
        <w:pStyle w:val="ListParagraph"/>
        <w:numPr>
          <w:ilvl w:val="0"/>
          <w:numId w:val="1"/>
        </w:numPr>
        <w:spacing w:after="0"/>
        <w:ind w:left="567" w:hanging="567"/>
        <w:rPr>
          <w:sz w:val="24"/>
          <w:szCs w:val="24"/>
        </w:rPr>
      </w:pPr>
      <w:r w:rsidRPr="543832D4">
        <w:rPr>
          <w:sz w:val="24"/>
          <w:szCs w:val="24"/>
        </w:rPr>
        <w:t xml:space="preserve">The outcomes, as outlined above, mean that Australia </w:t>
      </w:r>
      <w:r w:rsidR="00050DB7" w:rsidRPr="543832D4">
        <w:rPr>
          <w:sz w:val="24"/>
          <w:szCs w:val="24"/>
        </w:rPr>
        <w:t>will be</w:t>
      </w:r>
      <w:r w:rsidRPr="543832D4">
        <w:rPr>
          <w:sz w:val="24"/>
          <w:szCs w:val="24"/>
        </w:rPr>
        <w:t xml:space="preserve"> on the same level playing field </w:t>
      </w:r>
      <w:r w:rsidR="00AE6AF0">
        <w:rPr>
          <w:sz w:val="24"/>
          <w:szCs w:val="24"/>
        </w:rPr>
        <w:t>on</w:t>
      </w:r>
      <w:r w:rsidRPr="543832D4">
        <w:rPr>
          <w:sz w:val="24"/>
          <w:szCs w:val="24"/>
        </w:rPr>
        <w:t xml:space="preserve"> </w:t>
      </w:r>
      <w:proofErr w:type="gramStart"/>
      <w:r w:rsidRPr="543832D4">
        <w:rPr>
          <w:sz w:val="24"/>
          <w:szCs w:val="24"/>
        </w:rPr>
        <w:t>a number of</w:t>
      </w:r>
      <w:proofErr w:type="gramEnd"/>
      <w:r w:rsidRPr="543832D4">
        <w:rPr>
          <w:sz w:val="24"/>
          <w:szCs w:val="24"/>
        </w:rPr>
        <w:t xml:space="preserve"> goods as other trading partners that have preferential trade agreements with India. The proposed </w:t>
      </w:r>
      <w:r w:rsidR="0075790E">
        <w:rPr>
          <w:sz w:val="24"/>
          <w:szCs w:val="24"/>
        </w:rPr>
        <w:t xml:space="preserve">AI </w:t>
      </w:r>
      <w:r w:rsidR="00217C26">
        <w:rPr>
          <w:sz w:val="24"/>
          <w:szCs w:val="24"/>
        </w:rPr>
        <w:t>ECTA</w:t>
      </w:r>
      <w:r w:rsidRPr="543832D4">
        <w:rPr>
          <w:sz w:val="24"/>
          <w:szCs w:val="24"/>
        </w:rPr>
        <w:t xml:space="preserve"> has secured greater market access for a range of Australian goods that stakeholders had identified were subject to high tariffs. Further analysis of the outcomes for goods exports is contained in the Benefits and Impact Analysis section, above.</w:t>
      </w:r>
    </w:p>
    <w:p w14:paraId="236BD109" w14:textId="77777777" w:rsidR="00885F3C" w:rsidRDefault="00885F3C" w:rsidP="0014704E">
      <w:pPr>
        <w:pStyle w:val="ListParagraph"/>
        <w:spacing w:after="0"/>
        <w:ind w:left="567"/>
        <w:rPr>
          <w:sz w:val="24"/>
          <w:szCs w:val="24"/>
        </w:rPr>
      </w:pPr>
    </w:p>
    <w:p w14:paraId="736CC9B0" w14:textId="54A21BD9" w:rsidR="00885F3C" w:rsidRPr="00F5582D" w:rsidRDefault="00624198" w:rsidP="00A80396">
      <w:pPr>
        <w:pStyle w:val="ListParagraph"/>
        <w:numPr>
          <w:ilvl w:val="0"/>
          <w:numId w:val="1"/>
        </w:numPr>
        <w:spacing w:after="0"/>
        <w:ind w:left="567" w:hanging="567"/>
        <w:rPr>
          <w:sz w:val="24"/>
          <w:szCs w:val="24"/>
        </w:rPr>
      </w:pPr>
      <w:r w:rsidRPr="543832D4">
        <w:rPr>
          <w:sz w:val="24"/>
          <w:szCs w:val="24"/>
        </w:rPr>
        <w:t xml:space="preserve">The outcomes sought by </w:t>
      </w:r>
      <w:r w:rsidR="00CE26F9" w:rsidRPr="543832D4">
        <w:rPr>
          <w:b/>
          <w:bCs/>
          <w:sz w:val="24"/>
          <w:szCs w:val="24"/>
        </w:rPr>
        <w:t>f</w:t>
      </w:r>
      <w:r w:rsidR="00885F3C" w:rsidRPr="543832D4">
        <w:rPr>
          <w:b/>
          <w:bCs/>
          <w:sz w:val="24"/>
          <w:szCs w:val="24"/>
        </w:rPr>
        <w:t>inancial services</w:t>
      </w:r>
      <w:r w:rsidR="00885F3C" w:rsidRPr="543832D4">
        <w:rPr>
          <w:sz w:val="24"/>
          <w:szCs w:val="24"/>
        </w:rPr>
        <w:t xml:space="preserve"> </w:t>
      </w:r>
      <w:r w:rsidRPr="543832D4">
        <w:rPr>
          <w:sz w:val="24"/>
          <w:szCs w:val="24"/>
        </w:rPr>
        <w:t>stakeholders</w:t>
      </w:r>
      <w:r w:rsidR="00885F3C" w:rsidRPr="543832D4">
        <w:rPr>
          <w:sz w:val="24"/>
          <w:szCs w:val="24"/>
        </w:rPr>
        <w:t xml:space="preserve">, compiled from </w:t>
      </w:r>
      <w:r w:rsidR="008774B7" w:rsidRPr="543832D4">
        <w:rPr>
          <w:sz w:val="24"/>
          <w:szCs w:val="24"/>
        </w:rPr>
        <w:t>s</w:t>
      </w:r>
      <w:r w:rsidR="00885F3C" w:rsidRPr="543832D4">
        <w:rPr>
          <w:sz w:val="24"/>
          <w:szCs w:val="24"/>
        </w:rPr>
        <w:t xml:space="preserve">ubmissions, are summarised as follows: </w:t>
      </w:r>
    </w:p>
    <w:p w14:paraId="7113EC39" w14:textId="2737DC1B" w:rsidR="00184140" w:rsidRPr="00184140" w:rsidRDefault="00184140" w:rsidP="00184140">
      <w:pPr>
        <w:spacing w:after="0"/>
        <w:rPr>
          <w:sz w:val="24"/>
          <w:szCs w:val="24"/>
        </w:rPr>
      </w:pPr>
    </w:p>
    <w:p w14:paraId="3E0DEC19" w14:textId="6E131584" w:rsidR="00DD3F96" w:rsidRPr="00DD3F96" w:rsidRDefault="00885F3C" w:rsidP="00A80396">
      <w:pPr>
        <w:pStyle w:val="ListParagraph"/>
        <w:numPr>
          <w:ilvl w:val="0"/>
          <w:numId w:val="13"/>
        </w:numPr>
        <w:spacing w:after="0"/>
        <w:rPr>
          <w:sz w:val="24"/>
          <w:szCs w:val="24"/>
        </w:rPr>
      </w:pPr>
      <w:r w:rsidRPr="00DD3F96">
        <w:rPr>
          <w:sz w:val="24"/>
          <w:szCs w:val="24"/>
        </w:rPr>
        <w:t>mutual recognition by securities regulators of financial services licences</w:t>
      </w:r>
      <w:r w:rsidR="00B92BEA">
        <w:rPr>
          <w:sz w:val="24"/>
          <w:szCs w:val="24"/>
        </w:rPr>
        <w:t>,</w:t>
      </w:r>
      <w:r w:rsidRPr="00DD3F96">
        <w:rPr>
          <w:sz w:val="24"/>
          <w:szCs w:val="24"/>
        </w:rPr>
        <w:t xml:space="preserve"> </w:t>
      </w:r>
    </w:p>
    <w:p w14:paraId="5B0225A8" w14:textId="6D2D6555" w:rsidR="00DD3F96" w:rsidRPr="00DD3F96" w:rsidRDefault="00885F3C" w:rsidP="00A80396">
      <w:pPr>
        <w:pStyle w:val="ListParagraph"/>
        <w:numPr>
          <w:ilvl w:val="0"/>
          <w:numId w:val="13"/>
        </w:numPr>
        <w:spacing w:after="0"/>
        <w:rPr>
          <w:sz w:val="24"/>
          <w:szCs w:val="24"/>
        </w:rPr>
      </w:pPr>
      <w:r w:rsidRPr="00DD3F96">
        <w:rPr>
          <w:sz w:val="24"/>
          <w:szCs w:val="24"/>
        </w:rPr>
        <w:t xml:space="preserve">set benchmarks for “behind the border” regulatory barriers, including in relation to data protection, </w:t>
      </w:r>
      <w:proofErr w:type="gramStart"/>
      <w:r w:rsidRPr="00DD3F96">
        <w:rPr>
          <w:sz w:val="24"/>
          <w:szCs w:val="24"/>
        </w:rPr>
        <w:t>privacy</w:t>
      </w:r>
      <w:proofErr w:type="gramEnd"/>
      <w:r w:rsidRPr="00DD3F96">
        <w:rPr>
          <w:sz w:val="24"/>
          <w:szCs w:val="24"/>
        </w:rPr>
        <w:t xml:space="preserve"> and storage, as well as regulator and prudential supervision</w:t>
      </w:r>
      <w:r w:rsidR="00B92BEA">
        <w:rPr>
          <w:sz w:val="24"/>
          <w:szCs w:val="24"/>
        </w:rPr>
        <w:t>,</w:t>
      </w:r>
    </w:p>
    <w:p w14:paraId="63A6A6E2" w14:textId="0374773A" w:rsidR="00DD3F96" w:rsidRPr="00DD3F96" w:rsidRDefault="00885F3C" w:rsidP="00A80396">
      <w:pPr>
        <w:pStyle w:val="ListParagraph"/>
        <w:numPr>
          <w:ilvl w:val="0"/>
          <w:numId w:val="13"/>
        </w:numPr>
        <w:spacing w:after="0"/>
        <w:rPr>
          <w:sz w:val="24"/>
          <w:szCs w:val="24"/>
        </w:rPr>
      </w:pPr>
      <w:r w:rsidRPr="00DD3F96">
        <w:rPr>
          <w:sz w:val="24"/>
          <w:szCs w:val="24"/>
        </w:rPr>
        <w:t>reduce regulatory burden and more streamlined processes to allow greater market access in the financial services sector</w:t>
      </w:r>
      <w:r w:rsidR="00B92BEA">
        <w:rPr>
          <w:sz w:val="24"/>
          <w:szCs w:val="24"/>
        </w:rPr>
        <w:t>, and</w:t>
      </w:r>
    </w:p>
    <w:p w14:paraId="3902FBDF" w14:textId="0180146E" w:rsidR="00184140" w:rsidRPr="00184140" w:rsidRDefault="00885F3C" w:rsidP="00A80396">
      <w:pPr>
        <w:pStyle w:val="ListParagraph"/>
        <w:numPr>
          <w:ilvl w:val="0"/>
          <w:numId w:val="13"/>
        </w:numPr>
        <w:spacing w:after="0"/>
        <w:rPr>
          <w:sz w:val="24"/>
          <w:szCs w:val="24"/>
        </w:rPr>
      </w:pPr>
      <w:r w:rsidRPr="00DD3F96">
        <w:rPr>
          <w:sz w:val="24"/>
          <w:szCs w:val="24"/>
        </w:rPr>
        <w:t>in the insurance sector: (</w:t>
      </w:r>
      <w:proofErr w:type="spellStart"/>
      <w:r w:rsidRPr="00DD3F96">
        <w:rPr>
          <w:sz w:val="24"/>
          <w:szCs w:val="24"/>
        </w:rPr>
        <w:t>i</w:t>
      </w:r>
      <w:proofErr w:type="spellEnd"/>
      <w:r w:rsidRPr="00DD3F96">
        <w:rPr>
          <w:sz w:val="24"/>
          <w:szCs w:val="24"/>
        </w:rPr>
        <w:t>) raise the foreign direct investment cap from 26 per</w:t>
      </w:r>
      <w:r w:rsidR="00854D6C" w:rsidRPr="00DD3F96">
        <w:rPr>
          <w:sz w:val="24"/>
          <w:szCs w:val="24"/>
        </w:rPr>
        <w:t xml:space="preserve"> </w:t>
      </w:r>
      <w:r w:rsidRPr="00DD3F96">
        <w:rPr>
          <w:sz w:val="24"/>
          <w:szCs w:val="24"/>
        </w:rPr>
        <w:t>cent to 49 per</w:t>
      </w:r>
      <w:r w:rsidR="00854D6C" w:rsidRPr="00DD3F96">
        <w:rPr>
          <w:sz w:val="24"/>
          <w:szCs w:val="24"/>
        </w:rPr>
        <w:t xml:space="preserve"> </w:t>
      </w:r>
      <w:r w:rsidRPr="00DD3F96">
        <w:rPr>
          <w:sz w:val="24"/>
          <w:szCs w:val="24"/>
        </w:rPr>
        <w:t>cent; and (ii) have in place a social security agreement</w:t>
      </w:r>
      <w:r w:rsidR="00184140">
        <w:rPr>
          <w:sz w:val="24"/>
          <w:szCs w:val="24"/>
        </w:rPr>
        <w:t>.</w:t>
      </w:r>
    </w:p>
    <w:p w14:paraId="577E21C8" w14:textId="77777777" w:rsidR="00885F3C" w:rsidRDefault="00885F3C" w:rsidP="0014704E">
      <w:pPr>
        <w:pStyle w:val="ListParagraph"/>
        <w:spacing w:after="0"/>
        <w:ind w:left="567"/>
        <w:rPr>
          <w:sz w:val="24"/>
          <w:szCs w:val="24"/>
        </w:rPr>
      </w:pPr>
    </w:p>
    <w:p w14:paraId="02DFC31D" w14:textId="1AAAFB8E" w:rsidR="00FD660B" w:rsidRDefault="00B37D0B" w:rsidP="00A80396">
      <w:pPr>
        <w:pStyle w:val="ListParagraph"/>
        <w:numPr>
          <w:ilvl w:val="0"/>
          <w:numId w:val="1"/>
        </w:numPr>
        <w:spacing w:after="0"/>
        <w:ind w:left="567" w:hanging="567"/>
        <w:rPr>
          <w:sz w:val="24"/>
          <w:szCs w:val="24"/>
        </w:rPr>
      </w:pPr>
      <w:r w:rsidRPr="543832D4">
        <w:rPr>
          <w:sz w:val="24"/>
          <w:szCs w:val="24"/>
        </w:rPr>
        <w:t>Australia has been able to capitalise on India’s recent liberalisation in the financial services sector</w:t>
      </w:r>
      <w:r w:rsidR="006473F8" w:rsidRPr="543832D4">
        <w:rPr>
          <w:sz w:val="24"/>
          <w:szCs w:val="24"/>
        </w:rPr>
        <w:t xml:space="preserve">. For example, in March 2021, India increased the foreign equity limit from </w:t>
      </w:r>
      <w:r w:rsidR="001E5D72">
        <w:rPr>
          <w:sz w:val="24"/>
          <w:szCs w:val="24"/>
        </w:rPr>
        <w:t>49</w:t>
      </w:r>
      <w:r w:rsidR="001E5D72" w:rsidRPr="543832D4">
        <w:rPr>
          <w:sz w:val="24"/>
          <w:szCs w:val="24"/>
        </w:rPr>
        <w:t xml:space="preserve"> </w:t>
      </w:r>
      <w:r w:rsidR="006473F8" w:rsidRPr="543832D4">
        <w:rPr>
          <w:sz w:val="24"/>
          <w:szCs w:val="24"/>
        </w:rPr>
        <w:t xml:space="preserve">to </w:t>
      </w:r>
      <w:r w:rsidR="00091CD2">
        <w:rPr>
          <w:sz w:val="24"/>
          <w:szCs w:val="24"/>
        </w:rPr>
        <w:t>74</w:t>
      </w:r>
      <w:r w:rsidR="006473F8" w:rsidRPr="543832D4">
        <w:rPr>
          <w:sz w:val="24"/>
          <w:szCs w:val="24"/>
        </w:rPr>
        <w:t xml:space="preserve"> </w:t>
      </w:r>
      <w:r w:rsidR="006473F8" w:rsidRPr="543832D4">
        <w:rPr>
          <w:sz w:val="24"/>
          <w:szCs w:val="24"/>
        </w:rPr>
        <w:lastRenderedPageBreak/>
        <w:t>per cent and India has agreed to lock in 49 per cent foreign equity</w:t>
      </w:r>
      <w:r w:rsidR="00716376" w:rsidRPr="543832D4">
        <w:rPr>
          <w:sz w:val="24"/>
          <w:szCs w:val="24"/>
        </w:rPr>
        <w:t xml:space="preserve"> for Australia in the proposed </w:t>
      </w:r>
      <w:r w:rsidR="0075790E">
        <w:rPr>
          <w:sz w:val="24"/>
          <w:szCs w:val="24"/>
        </w:rPr>
        <w:t>AI</w:t>
      </w:r>
      <w:r w:rsidR="00217C26">
        <w:rPr>
          <w:sz w:val="24"/>
          <w:szCs w:val="24"/>
        </w:rPr>
        <w:t xml:space="preserve"> ECTA</w:t>
      </w:r>
      <w:r w:rsidR="00716376" w:rsidRPr="543832D4">
        <w:rPr>
          <w:sz w:val="24"/>
          <w:szCs w:val="24"/>
        </w:rPr>
        <w:t xml:space="preserve">. This is </w:t>
      </w:r>
      <w:r w:rsidR="003E47DF">
        <w:rPr>
          <w:sz w:val="24"/>
          <w:szCs w:val="24"/>
        </w:rPr>
        <w:t>higher than the</w:t>
      </w:r>
      <w:r w:rsidR="00716376" w:rsidRPr="543832D4">
        <w:rPr>
          <w:sz w:val="24"/>
          <w:szCs w:val="24"/>
        </w:rPr>
        <w:t xml:space="preserve"> foreign equity limit </w:t>
      </w:r>
      <w:r w:rsidR="000F5776" w:rsidRPr="543832D4">
        <w:rPr>
          <w:sz w:val="24"/>
          <w:szCs w:val="24"/>
        </w:rPr>
        <w:t>India offered</w:t>
      </w:r>
      <w:r w:rsidR="003E47DF">
        <w:rPr>
          <w:sz w:val="24"/>
          <w:szCs w:val="24"/>
        </w:rPr>
        <w:t xml:space="preserve"> to Japan, Korea and Singapore in their FTA</w:t>
      </w:r>
      <w:r w:rsidR="00716376" w:rsidRPr="543832D4">
        <w:rPr>
          <w:sz w:val="24"/>
          <w:szCs w:val="24"/>
        </w:rPr>
        <w:t xml:space="preserve">.  </w:t>
      </w:r>
    </w:p>
    <w:p w14:paraId="150C1DE6" w14:textId="77777777" w:rsidR="00716376" w:rsidRDefault="00716376" w:rsidP="0014704E">
      <w:pPr>
        <w:pStyle w:val="ListParagraph"/>
        <w:spacing w:after="0"/>
        <w:ind w:left="567"/>
        <w:rPr>
          <w:sz w:val="24"/>
          <w:szCs w:val="24"/>
        </w:rPr>
      </w:pPr>
    </w:p>
    <w:p w14:paraId="67F4BD16" w14:textId="4ED12A77" w:rsidR="00716376" w:rsidRDefault="00276F59" w:rsidP="00A80396">
      <w:pPr>
        <w:pStyle w:val="ListParagraph"/>
        <w:numPr>
          <w:ilvl w:val="0"/>
          <w:numId w:val="1"/>
        </w:numPr>
        <w:spacing w:after="0"/>
        <w:ind w:left="567" w:hanging="567"/>
        <w:rPr>
          <w:sz w:val="24"/>
          <w:szCs w:val="24"/>
        </w:rPr>
      </w:pPr>
      <w:r w:rsidRPr="543832D4">
        <w:rPr>
          <w:sz w:val="24"/>
          <w:szCs w:val="24"/>
        </w:rPr>
        <w:t xml:space="preserve">The Financial Services Annex will </w:t>
      </w:r>
      <w:r w:rsidR="00CD0F99" w:rsidRPr="543832D4">
        <w:rPr>
          <w:sz w:val="24"/>
          <w:szCs w:val="24"/>
        </w:rPr>
        <w:t xml:space="preserve">promote regulatory transparency in authorisation procedures that are necessary to supply financial services, may assist to </w:t>
      </w:r>
      <w:r w:rsidR="00E03D0E" w:rsidRPr="543832D4">
        <w:rPr>
          <w:sz w:val="24"/>
          <w:szCs w:val="24"/>
        </w:rPr>
        <w:t>streamline processes by</w:t>
      </w:r>
      <w:r w:rsidR="00CD0F99" w:rsidRPr="543832D4">
        <w:rPr>
          <w:sz w:val="24"/>
          <w:szCs w:val="24"/>
        </w:rPr>
        <w:t xml:space="preserve"> increasing transparency. Particularly, as stakeholders have indicated that they struggle to navigate </w:t>
      </w:r>
      <w:r w:rsidR="00B31E06" w:rsidRPr="543832D4">
        <w:rPr>
          <w:sz w:val="24"/>
          <w:szCs w:val="24"/>
        </w:rPr>
        <w:t xml:space="preserve">the authorisation system. </w:t>
      </w:r>
    </w:p>
    <w:p w14:paraId="68FB83C8" w14:textId="77777777" w:rsidR="00FD660B" w:rsidRDefault="00FD660B" w:rsidP="0014704E">
      <w:pPr>
        <w:pStyle w:val="ListParagraph"/>
        <w:spacing w:after="0"/>
        <w:ind w:left="567"/>
        <w:rPr>
          <w:sz w:val="24"/>
          <w:szCs w:val="24"/>
        </w:rPr>
      </w:pPr>
    </w:p>
    <w:p w14:paraId="1CE2EA19" w14:textId="6654B4AC" w:rsidR="00885F3C" w:rsidRPr="004C4834" w:rsidRDefault="003458C5" w:rsidP="00A80396">
      <w:pPr>
        <w:pStyle w:val="ListParagraph"/>
        <w:numPr>
          <w:ilvl w:val="0"/>
          <w:numId w:val="1"/>
        </w:numPr>
        <w:spacing w:after="0"/>
        <w:ind w:left="567" w:hanging="567"/>
        <w:rPr>
          <w:sz w:val="24"/>
          <w:szCs w:val="24"/>
        </w:rPr>
      </w:pPr>
      <w:r w:rsidRPr="543832D4">
        <w:rPr>
          <w:sz w:val="24"/>
          <w:szCs w:val="24"/>
        </w:rPr>
        <w:t xml:space="preserve">The proposed </w:t>
      </w:r>
      <w:r w:rsidR="0075790E">
        <w:rPr>
          <w:sz w:val="24"/>
          <w:szCs w:val="24"/>
        </w:rPr>
        <w:t>AI</w:t>
      </w:r>
      <w:r w:rsidR="00217C26">
        <w:rPr>
          <w:sz w:val="24"/>
          <w:szCs w:val="24"/>
        </w:rPr>
        <w:t xml:space="preserve"> ECTA</w:t>
      </w:r>
      <w:r w:rsidRPr="543832D4">
        <w:rPr>
          <w:sz w:val="24"/>
          <w:szCs w:val="24"/>
        </w:rPr>
        <w:t xml:space="preserve"> will </w:t>
      </w:r>
      <w:r w:rsidR="005B50D0" w:rsidRPr="543832D4">
        <w:rPr>
          <w:sz w:val="24"/>
          <w:szCs w:val="24"/>
        </w:rPr>
        <w:t xml:space="preserve">also </w:t>
      </w:r>
      <w:r w:rsidRPr="543832D4">
        <w:rPr>
          <w:sz w:val="24"/>
          <w:szCs w:val="24"/>
        </w:rPr>
        <w:t xml:space="preserve">provide a basis for ongoing discussions between India and Australia on some of the issues identified. For example, a dedicated Financial Services Working Group will enhance the relationship between our financial services government representatives to </w:t>
      </w:r>
      <w:r w:rsidR="00696C3A" w:rsidRPr="543832D4">
        <w:rPr>
          <w:sz w:val="24"/>
          <w:szCs w:val="24"/>
        </w:rPr>
        <w:t xml:space="preserve">continue to discuss issues that could be included in a full CECA. This will include increased cooperation on emerging issues in the sector and continuing to discuss the barriers facing financial services suppliers in each country. In addition to ongoing consultation on the implementation of the MFN discipline with respect to insurance and insurance-related services, </w:t>
      </w:r>
      <w:proofErr w:type="gramStart"/>
      <w:r w:rsidR="00696C3A" w:rsidRPr="543832D4">
        <w:rPr>
          <w:sz w:val="24"/>
          <w:szCs w:val="24"/>
        </w:rPr>
        <w:t>banking</w:t>
      </w:r>
      <w:proofErr w:type="gramEnd"/>
      <w:r w:rsidR="00696C3A" w:rsidRPr="543832D4">
        <w:rPr>
          <w:sz w:val="24"/>
          <w:szCs w:val="24"/>
        </w:rPr>
        <w:t xml:space="preserve"> and other financial services. </w:t>
      </w:r>
    </w:p>
    <w:p w14:paraId="483B7EE6" w14:textId="77777777" w:rsidR="00885F3C" w:rsidRPr="00DD2615" w:rsidRDefault="00885F3C" w:rsidP="0014704E">
      <w:pPr>
        <w:pStyle w:val="ListParagraph"/>
        <w:spacing w:after="0"/>
        <w:ind w:left="567"/>
        <w:rPr>
          <w:sz w:val="24"/>
          <w:szCs w:val="24"/>
        </w:rPr>
      </w:pPr>
    </w:p>
    <w:p w14:paraId="2D8011C7" w14:textId="08979296" w:rsidR="00885F3C" w:rsidRDefault="00624198" w:rsidP="00A80396">
      <w:pPr>
        <w:pStyle w:val="ListParagraph"/>
        <w:numPr>
          <w:ilvl w:val="0"/>
          <w:numId w:val="1"/>
        </w:numPr>
        <w:spacing w:after="0"/>
        <w:ind w:left="567" w:hanging="567"/>
        <w:rPr>
          <w:sz w:val="24"/>
          <w:szCs w:val="24"/>
        </w:rPr>
      </w:pPr>
      <w:r w:rsidRPr="543832D4">
        <w:rPr>
          <w:sz w:val="24"/>
          <w:szCs w:val="24"/>
        </w:rPr>
        <w:t xml:space="preserve">The outcomes sought by </w:t>
      </w:r>
      <w:r w:rsidR="00CE26F9" w:rsidRPr="543832D4">
        <w:rPr>
          <w:b/>
          <w:bCs/>
          <w:sz w:val="24"/>
          <w:szCs w:val="24"/>
        </w:rPr>
        <w:t>p</w:t>
      </w:r>
      <w:r w:rsidR="00885F3C" w:rsidRPr="543832D4">
        <w:rPr>
          <w:b/>
          <w:bCs/>
          <w:sz w:val="24"/>
          <w:szCs w:val="24"/>
        </w:rPr>
        <w:t>rofessional services</w:t>
      </w:r>
      <w:r w:rsidR="00885F3C" w:rsidRPr="543832D4">
        <w:rPr>
          <w:sz w:val="24"/>
          <w:szCs w:val="24"/>
        </w:rPr>
        <w:t xml:space="preserve"> stakeholder</w:t>
      </w:r>
      <w:r w:rsidRPr="543832D4">
        <w:rPr>
          <w:sz w:val="24"/>
          <w:szCs w:val="24"/>
        </w:rPr>
        <w:t>s</w:t>
      </w:r>
      <w:r w:rsidR="00885F3C" w:rsidRPr="543832D4">
        <w:rPr>
          <w:sz w:val="24"/>
          <w:szCs w:val="24"/>
        </w:rPr>
        <w:t xml:space="preserve">, compiled from submissions, are summarised as follows: </w:t>
      </w:r>
    </w:p>
    <w:p w14:paraId="2536B911" w14:textId="77777777" w:rsidR="00885F3C" w:rsidRPr="00F34199" w:rsidRDefault="00885F3C" w:rsidP="0014704E">
      <w:pPr>
        <w:pStyle w:val="ListParagraph"/>
        <w:spacing w:after="0"/>
        <w:rPr>
          <w:sz w:val="24"/>
          <w:szCs w:val="24"/>
        </w:rPr>
      </w:pPr>
    </w:p>
    <w:p w14:paraId="63EE6579" w14:textId="260EA5EB" w:rsidR="00DD3F96" w:rsidRDefault="00885F3C" w:rsidP="00A80396">
      <w:pPr>
        <w:pStyle w:val="ListParagraph"/>
        <w:numPr>
          <w:ilvl w:val="0"/>
          <w:numId w:val="14"/>
        </w:numPr>
        <w:spacing w:after="0"/>
        <w:rPr>
          <w:sz w:val="24"/>
          <w:szCs w:val="24"/>
        </w:rPr>
      </w:pPr>
      <w:r>
        <w:rPr>
          <w:sz w:val="24"/>
          <w:szCs w:val="24"/>
        </w:rPr>
        <w:t xml:space="preserve">mutual recognition of professional qualifications, including for lawyers, engineers, </w:t>
      </w:r>
      <w:proofErr w:type="gramStart"/>
      <w:r>
        <w:rPr>
          <w:sz w:val="24"/>
          <w:szCs w:val="24"/>
        </w:rPr>
        <w:t>accountants</w:t>
      </w:r>
      <w:proofErr w:type="gramEnd"/>
      <w:r>
        <w:rPr>
          <w:sz w:val="24"/>
          <w:szCs w:val="24"/>
        </w:rPr>
        <w:t xml:space="preserve"> and architects</w:t>
      </w:r>
      <w:r w:rsidR="00B92BEA">
        <w:rPr>
          <w:sz w:val="24"/>
          <w:szCs w:val="24"/>
        </w:rPr>
        <w:t>,</w:t>
      </w:r>
    </w:p>
    <w:p w14:paraId="18C55252" w14:textId="5D2CB0A9" w:rsidR="00DD3F96" w:rsidRDefault="00885F3C" w:rsidP="00A80396">
      <w:pPr>
        <w:pStyle w:val="ListParagraph"/>
        <w:numPr>
          <w:ilvl w:val="0"/>
          <w:numId w:val="14"/>
        </w:numPr>
        <w:spacing w:after="0"/>
        <w:rPr>
          <w:sz w:val="24"/>
          <w:szCs w:val="24"/>
        </w:rPr>
      </w:pPr>
      <w:r w:rsidRPr="00DD3F96">
        <w:rPr>
          <w:sz w:val="24"/>
          <w:szCs w:val="24"/>
        </w:rPr>
        <w:t xml:space="preserve">liberalise legal services in India, including allow foreign firms to establish and operate representative offices, allow domestic firms to employ foreign lawyers, permit Australian and Indian law firms to formally </w:t>
      </w:r>
      <w:proofErr w:type="gramStart"/>
      <w:r w:rsidRPr="00DD3F96">
        <w:rPr>
          <w:sz w:val="24"/>
          <w:szCs w:val="24"/>
        </w:rPr>
        <w:t>enter into</w:t>
      </w:r>
      <w:proofErr w:type="gramEnd"/>
      <w:r w:rsidRPr="00DD3F96">
        <w:rPr>
          <w:sz w:val="24"/>
          <w:szCs w:val="24"/>
        </w:rPr>
        <w:t xml:space="preserve"> commercial associations and permit the restricted practice of foreign and international law by Australian lawyers</w:t>
      </w:r>
      <w:r w:rsidR="00B92BEA">
        <w:rPr>
          <w:sz w:val="24"/>
          <w:szCs w:val="24"/>
        </w:rPr>
        <w:t>, and</w:t>
      </w:r>
      <w:r w:rsidR="00A26C8A" w:rsidRPr="00DD3F96">
        <w:rPr>
          <w:sz w:val="24"/>
          <w:szCs w:val="24"/>
        </w:rPr>
        <w:t xml:space="preserve"> </w:t>
      </w:r>
    </w:p>
    <w:p w14:paraId="7551F27A" w14:textId="381BACEA" w:rsidR="00885F3C" w:rsidRPr="00DD3F96" w:rsidRDefault="00885F3C" w:rsidP="00A80396">
      <w:pPr>
        <w:pStyle w:val="ListParagraph"/>
        <w:numPr>
          <w:ilvl w:val="0"/>
          <w:numId w:val="14"/>
        </w:numPr>
        <w:spacing w:after="0"/>
        <w:rPr>
          <w:sz w:val="24"/>
          <w:szCs w:val="24"/>
        </w:rPr>
      </w:pPr>
      <w:r w:rsidRPr="00DD3F96">
        <w:rPr>
          <w:sz w:val="24"/>
          <w:szCs w:val="24"/>
        </w:rPr>
        <w:t xml:space="preserve">maintain existing processes for the relevant professional bodies, including for pharmacists, </w:t>
      </w:r>
      <w:proofErr w:type="gramStart"/>
      <w:r w:rsidRPr="00DD3F96">
        <w:rPr>
          <w:sz w:val="24"/>
          <w:szCs w:val="24"/>
        </w:rPr>
        <w:t>nurses</w:t>
      </w:r>
      <w:proofErr w:type="gramEnd"/>
      <w:r w:rsidRPr="00DD3F96">
        <w:rPr>
          <w:sz w:val="24"/>
          <w:szCs w:val="24"/>
        </w:rPr>
        <w:t xml:space="preserve"> and midwives to assess the competencies of individuals trained overseas prior to their registration or commencement of employment in Australia. </w:t>
      </w:r>
    </w:p>
    <w:p w14:paraId="63D02F86" w14:textId="77777777" w:rsidR="00885F3C" w:rsidRDefault="00885F3C" w:rsidP="0014704E">
      <w:pPr>
        <w:pStyle w:val="ListParagraph"/>
        <w:spacing w:after="0"/>
        <w:ind w:left="567"/>
        <w:rPr>
          <w:sz w:val="24"/>
          <w:szCs w:val="24"/>
        </w:rPr>
      </w:pPr>
    </w:p>
    <w:p w14:paraId="44BC1599" w14:textId="5AA425F7" w:rsidR="00885F3C" w:rsidRDefault="005426F7" w:rsidP="00A80396">
      <w:pPr>
        <w:pStyle w:val="ListParagraph"/>
        <w:numPr>
          <w:ilvl w:val="0"/>
          <w:numId w:val="1"/>
        </w:numPr>
        <w:spacing w:after="0"/>
        <w:ind w:left="567" w:hanging="567"/>
        <w:rPr>
          <w:sz w:val="24"/>
          <w:szCs w:val="24"/>
        </w:rPr>
      </w:pPr>
      <w:r w:rsidRPr="543832D4">
        <w:rPr>
          <w:sz w:val="24"/>
          <w:szCs w:val="24"/>
        </w:rPr>
        <w:t xml:space="preserve">The proposed </w:t>
      </w:r>
      <w:r w:rsidR="0075790E">
        <w:rPr>
          <w:sz w:val="24"/>
          <w:szCs w:val="24"/>
        </w:rPr>
        <w:t>AI</w:t>
      </w:r>
      <w:r w:rsidR="00217C26">
        <w:rPr>
          <w:sz w:val="24"/>
          <w:szCs w:val="24"/>
        </w:rPr>
        <w:t xml:space="preserve"> ECTA</w:t>
      </w:r>
      <w:r w:rsidRPr="543832D4">
        <w:rPr>
          <w:sz w:val="24"/>
          <w:szCs w:val="24"/>
        </w:rPr>
        <w:t xml:space="preserve"> </w:t>
      </w:r>
      <w:r w:rsidR="003C3119" w:rsidRPr="543832D4">
        <w:rPr>
          <w:sz w:val="24"/>
          <w:szCs w:val="24"/>
        </w:rPr>
        <w:t xml:space="preserve">will provide a solid platform for </w:t>
      </w:r>
      <w:r w:rsidR="00AF1882" w:rsidRPr="543832D4">
        <w:rPr>
          <w:sz w:val="24"/>
          <w:szCs w:val="24"/>
        </w:rPr>
        <w:t>Australia and India to continue discussions and to look at ways to</w:t>
      </w:r>
      <w:r w:rsidR="00E65A47" w:rsidRPr="543832D4">
        <w:rPr>
          <w:sz w:val="24"/>
          <w:szCs w:val="24"/>
        </w:rPr>
        <w:t xml:space="preserve"> further</w:t>
      </w:r>
      <w:r w:rsidR="00AF1882" w:rsidRPr="543832D4">
        <w:rPr>
          <w:sz w:val="24"/>
          <w:szCs w:val="24"/>
        </w:rPr>
        <w:t xml:space="preserve"> liberalise professional services. For example, establishment of a </w:t>
      </w:r>
      <w:r w:rsidR="003C3119" w:rsidRPr="543832D4">
        <w:rPr>
          <w:sz w:val="24"/>
          <w:szCs w:val="24"/>
        </w:rPr>
        <w:t xml:space="preserve">Professional Services Working Group </w:t>
      </w:r>
      <w:r w:rsidR="00AF1882" w:rsidRPr="543832D4">
        <w:rPr>
          <w:sz w:val="24"/>
          <w:szCs w:val="24"/>
        </w:rPr>
        <w:t>will help to</w:t>
      </w:r>
      <w:r w:rsidR="003C3119" w:rsidRPr="543832D4">
        <w:rPr>
          <w:sz w:val="24"/>
          <w:szCs w:val="24"/>
        </w:rPr>
        <w:t xml:space="preserve"> facilitate the mutual recognition of qualifications, </w:t>
      </w:r>
      <w:proofErr w:type="gramStart"/>
      <w:r w:rsidR="003C3119" w:rsidRPr="543832D4">
        <w:rPr>
          <w:sz w:val="24"/>
          <w:szCs w:val="24"/>
        </w:rPr>
        <w:t>licensing</w:t>
      </w:r>
      <w:proofErr w:type="gramEnd"/>
      <w:r w:rsidR="003C3119" w:rsidRPr="543832D4">
        <w:rPr>
          <w:sz w:val="24"/>
          <w:szCs w:val="24"/>
        </w:rPr>
        <w:t xml:space="preserve"> and registration procedures between professional services bodies. </w:t>
      </w:r>
    </w:p>
    <w:p w14:paraId="58745555" w14:textId="77777777" w:rsidR="00AB4D1D" w:rsidRDefault="00AB4D1D" w:rsidP="0014704E">
      <w:pPr>
        <w:pStyle w:val="ListParagraph"/>
        <w:spacing w:after="0"/>
        <w:ind w:left="567"/>
        <w:rPr>
          <w:sz w:val="24"/>
          <w:szCs w:val="24"/>
        </w:rPr>
      </w:pPr>
    </w:p>
    <w:p w14:paraId="16FB0B40" w14:textId="66515BC1" w:rsidR="00AB4D1D" w:rsidRDefault="00A5377C" w:rsidP="00A80396">
      <w:pPr>
        <w:pStyle w:val="ListParagraph"/>
        <w:numPr>
          <w:ilvl w:val="0"/>
          <w:numId w:val="1"/>
        </w:numPr>
        <w:spacing w:after="0"/>
        <w:ind w:left="567" w:hanging="567"/>
        <w:rPr>
          <w:sz w:val="24"/>
          <w:szCs w:val="24"/>
        </w:rPr>
      </w:pPr>
      <w:r w:rsidRPr="543832D4">
        <w:rPr>
          <w:sz w:val="24"/>
          <w:szCs w:val="24"/>
        </w:rPr>
        <w:t xml:space="preserve">While </w:t>
      </w:r>
      <w:r w:rsidR="008D5EAF" w:rsidRPr="543832D4">
        <w:rPr>
          <w:sz w:val="24"/>
          <w:szCs w:val="24"/>
        </w:rPr>
        <w:t xml:space="preserve">stakeholders have raised the challenges of not being able to practice in </w:t>
      </w:r>
      <w:r w:rsidR="00660394" w:rsidRPr="543832D4">
        <w:rPr>
          <w:sz w:val="24"/>
          <w:szCs w:val="24"/>
        </w:rPr>
        <w:t>India, including on a fly-in / fly-out basis or as a ‘registered foreign legal consultant’</w:t>
      </w:r>
      <w:r w:rsidR="006D35D1" w:rsidRPr="543832D4">
        <w:rPr>
          <w:sz w:val="24"/>
          <w:szCs w:val="24"/>
        </w:rPr>
        <w:t xml:space="preserve">, these issues would not be addressed in the proposed </w:t>
      </w:r>
      <w:r w:rsidR="0075790E">
        <w:rPr>
          <w:sz w:val="24"/>
          <w:szCs w:val="24"/>
        </w:rPr>
        <w:t>AI</w:t>
      </w:r>
      <w:r w:rsidR="00217C26">
        <w:rPr>
          <w:sz w:val="24"/>
          <w:szCs w:val="24"/>
        </w:rPr>
        <w:t xml:space="preserve"> ECTA</w:t>
      </w:r>
      <w:r w:rsidRPr="543832D4">
        <w:rPr>
          <w:sz w:val="24"/>
          <w:szCs w:val="24"/>
        </w:rPr>
        <w:t xml:space="preserve">. This is given such </w:t>
      </w:r>
      <w:r w:rsidR="00264EC9" w:rsidRPr="543832D4">
        <w:rPr>
          <w:sz w:val="24"/>
          <w:szCs w:val="24"/>
        </w:rPr>
        <w:t xml:space="preserve">liberalisations </w:t>
      </w:r>
      <w:r w:rsidR="006D35D1" w:rsidRPr="543832D4">
        <w:rPr>
          <w:sz w:val="24"/>
          <w:szCs w:val="24"/>
        </w:rPr>
        <w:t xml:space="preserve">will require regulatory reform in India. Nonetheless, </w:t>
      </w:r>
      <w:r w:rsidR="00A26C8A" w:rsidRPr="543832D4">
        <w:rPr>
          <w:sz w:val="24"/>
          <w:szCs w:val="24"/>
        </w:rPr>
        <w:t xml:space="preserve">establishment of the Professional Services Working Group will ensure discussions on these issues continue and </w:t>
      </w:r>
      <w:r w:rsidR="00AA43AE" w:rsidRPr="543832D4">
        <w:rPr>
          <w:sz w:val="24"/>
          <w:szCs w:val="24"/>
        </w:rPr>
        <w:t xml:space="preserve">could perhaps be </w:t>
      </w:r>
      <w:r w:rsidR="00A26C8A" w:rsidRPr="543832D4">
        <w:rPr>
          <w:sz w:val="24"/>
          <w:szCs w:val="24"/>
        </w:rPr>
        <w:t xml:space="preserve">addressed in a full CECA. </w:t>
      </w:r>
    </w:p>
    <w:p w14:paraId="63B84A2C" w14:textId="77777777" w:rsidR="00C303BC" w:rsidRPr="00C303BC" w:rsidRDefault="00C303BC" w:rsidP="0014704E">
      <w:pPr>
        <w:pStyle w:val="ListParagraph"/>
        <w:spacing w:after="0"/>
        <w:rPr>
          <w:sz w:val="24"/>
          <w:szCs w:val="24"/>
        </w:rPr>
      </w:pPr>
    </w:p>
    <w:p w14:paraId="3AD04A1F" w14:textId="5A39F1F3" w:rsidR="00C303BC" w:rsidRPr="00CA2404" w:rsidRDefault="00E65F71" w:rsidP="00A80396">
      <w:pPr>
        <w:pStyle w:val="ListParagraph"/>
        <w:numPr>
          <w:ilvl w:val="0"/>
          <w:numId w:val="1"/>
        </w:numPr>
        <w:spacing w:after="0"/>
        <w:ind w:left="567" w:hanging="567"/>
        <w:rPr>
          <w:sz w:val="24"/>
          <w:szCs w:val="24"/>
        </w:rPr>
      </w:pPr>
      <w:r w:rsidRPr="543832D4">
        <w:rPr>
          <w:sz w:val="24"/>
          <w:szCs w:val="24"/>
        </w:rPr>
        <w:lastRenderedPageBreak/>
        <w:t xml:space="preserve">The proposed </w:t>
      </w:r>
      <w:r w:rsidR="006E5E78">
        <w:rPr>
          <w:sz w:val="24"/>
          <w:szCs w:val="24"/>
        </w:rPr>
        <w:t>AI ECTA</w:t>
      </w:r>
      <w:r w:rsidRPr="543832D4">
        <w:rPr>
          <w:sz w:val="24"/>
          <w:szCs w:val="24"/>
        </w:rPr>
        <w:t xml:space="preserve"> will not change existing processes that are in place for relevant professional bodies to</w:t>
      </w:r>
      <w:r w:rsidR="00365831" w:rsidRPr="543832D4">
        <w:rPr>
          <w:sz w:val="24"/>
          <w:szCs w:val="24"/>
        </w:rPr>
        <w:t xml:space="preserve"> assess the competencies of pharmacists, nurses and midwives trained overseas</w:t>
      </w:r>
      <w:r w:rsidRPr="543832D4">
        <w:rPr>
          <w:sz w:val="24"/>
          <w:szCs w:val="24"/>
        </w:rPr>
        <w:t xml:space="preserve">. </w:t>
      </w:r>
    </w:p>
    <w:p w14:paraId="7E957A53" w14:textId="77777777" w:rsidR="00885F3C" w:rsidRDefault="00885F3C" w:rsidP="0014704E">
      <w:pPr>
        <w:pStyle w:val="ListParagraph"/>
        <w:spacing w:after="0"/>
        <w:ind w:left="567"/>
        <w:rPr>
          <w:sz w:val="24"/>
          <w:szCs w:val="24"/>
        </w:rPr>
      </w:pPr>
    </w:p>
    <w:p w14:paraId="4782C9FF" w14:textId="66C9A844" w:rsidR="00885F3C" w:rsidRDefault="00885F3C" w:rsidP="00A80396">
      <w:pPr>
        <w:pStyle w:val="ListParagraph"/>
        <w:numPr>
          <w:ilvl w:val="0"/>
          <w:numId w:val="1"/>
        </w:numPr>
        <w:spacing w:after="0"/>
        <w:ind w:left="567" w:hanging="567"/>
        <w:rPr>
          <w:sz w:val="24"/>
          <w:szCs w:val="24"/>
        </w:rPr>
      </w:pPr>
      <w:r w:rsidRPr="543832D4">
        <w:rPr>
          <w:sz w:val="24"/>
          <w:szCs w:val="24"/>
        </w:rPr>
        <w:t xml:space="preserve">On </w:t>
      </w:r>
      <w:r w:rsidRPr="543832D4">
        <w:rPr>
          <w:b/>
          <w:bCs/>
          <w:sz w:val="24"/>
          <w:szCs w:val="24"/>
        </w:rPr>
        <w:t>telecommunication</w:t>
      </w:r>
      <w:r w:rsidRPr="543832D4">
        <w:rPr>
          <w:sz w:val="24"/>
          <w:szCs w:val="24"/>
        </w:rPr>
        <w:t xml:space="preserve">s, a stakeholder requested a specific telecommunications services </w:t>
      </w:r>
      <w:r w:rsidR="00227B77">
        <w:rPr>
          <w:sz w:val="24"/>
          <w:szCs w:val="24"/>
        </w:rPr>
        <w:t>C</w:t>
      </w:r>
      <w:r w:rsidRPr="543832D4">
        <w:rPr>
          <w:sz w:val="24"/>
          <w:szCs w:val="24"/>
        </w:rPr>
        <w:t xml:space="preserve">hapter being included in the CECA to strengthen transparency. A stakeholder also suggested the CECA reflect other international agreements that encourage cross-border services for data. </w:t>
      </w:r>
    </w:p>
    <w:p w14:paraId="7F8C219C" w14:textId="77777777" w:rsidR="00885F3C" w:rsidRPr="007A567E" w:rsidRDefault="00885F3C" w:rsidP="0014704E">
      <w:pPr>
        <w:pStyle w:val="ListParagraph"/>
        <w:spacing w:after="0"/>
        <w:rPr>
          <w:sz w:val="24"/>
          <w:szCs w:val="24"/>
        </w:rPr>
      </w:pPr>
    </w:p>
    <w:p w14:paraId="3DF2660B" w14:textId="7C03D443" w:rsidR="00885F3C" w:rsidRDefault="00885F3C" w:rsidP="00A80396">
      <w:pPr>
        <w:pStyle w:val="ListParagraph"/>
        <w:numPr>
          <w:ilvl w:val="0"/>
          <w:numId w:val="1"/>
        </w:numPr>
        <w:spacing w:after="0"/>
        <w:ind w:left="567" w:hanging="567"/>
        <w:rPr>
          <w:sz w:val="24"/>
          <w:szCs w:val="24"/>
        </w:rPr>
      </w:pPr>
      <w:r w:rsidRPr="543832D4">
        <w:rPr>
          <w:sz w:val="24"/>
          <w:szCs w:val="24"/>
        </w:rPr>
        <w:t xml:space="preserve">The proposed </w:t>
      </w:r>
      <w:r w:rsidR="0075790E">
        <w:rPr>
          <w:sz w:val="24"/>
          <w:szCs w:val="24"/>
        </w:rPr>
        <w:t>AI</w:t>
      </w:r>
      <w:r w:rsidR="00217C26">
        <w:rPr>
          <w:sz w:val="24"/>
          <w:szCs w:val="24"/>
        </w:rPr>
        <w:t xml:space="preserve"> ECTA</w:t>
      </w:r>
      <w:r w:rsidRPr="543832D4">
        <w:rPr>
          <w:sz w:val="24"/>
          <w:szCs w:val="24"/>
        </w:rPr>
        <w:t xml:space="preserve"> incorporates stakeholder views through inclusion of a specific telecommunications annex, which includes stronger transparency provisions around regulation and licencing across voice, data transmission and private leased services. Strong provisions guaranteeing non-discriminatory interconnection should also assist in facilitating new market opportunities, such as enterprise data services, which was an issue raised by stakeholders during consultations. Matters relating to data localisation are being considered in the financial services </w:t>
      </w:r>
      <w:r w:rsidR="00227B77">
        <w:rPr>
          <w:sz w:val="24"/>
          <w:szCs w:val="24"/>
        </w:rPr>
        <w:t>C</w:t>
      </w:r>
      <w:r w:rsidRPr="543832D4">
        <w:rPr>
          <w:sz w:val="24"/>
          <w:szCs w:val="24"/>
        </w:rPr>
        <w:t xml:space="preserve">hapter.  </w:t>
      </w:r>
    </w:p>
    <w:p w14:paraId="17417DF4" w14:textId="77777777" w:rsidR="00885F3C" w:rsidRPr="006B3EF7" w:rsidRDefault="00885F3C" w:rsidP="0014704E">
      <w:pPr>
        <w:pStyle w:val="ListParagraph"/>
        <w:spacing w:after="0"/>
        <w:rPr>
          <w:sz w:val="24"/>
          <w:szCs w:val="24"/>
        </w:rPr>
      </w:pPr>
    </w:p>
    <w:p w14:paraId="00D04318" w14:textId="1F258419" w:rsidR="00A6067B" w:rsidRPr="00A6067B" w:rsidRDefault="00885F3C" w:rsidP="00A80396">
      <w:pPr>
        <w:pStyle w:val="ListParagraph"/>
        <w:numPr>
          <w:ilvl w:val="0"/>
          <w:numId w:val="1"/>
        </w:numPr>
        <w:spacing w:after="0"/>
        <w:ind w:left="567" w:hanging="567"/>
        <w:rPr>
          <w:sz w:val="24"/>
          <w:szCs w:val="24"/>
        </w:rPr>
      </w:pPr>
      <w:r w:rsidRPr="543832D4">
        <w:rPr>
          <w:sz w:val="24"/>
          <w:szCs w:val="24"/>
        </w:rPr>
        <w:t xml:space="preserve">On </w:t>
      </w:r>
      <w:r w:rsidRPr="543832D4">
        <w:rPr>
          <w:b/>
          <w:bCs/>
          <w:sz w:val="24"/>
          <w:szCs w:val="24"/>
        </w:rPr>
        <w:t>temporary entry</w:t>
      </w:r>
      <w:r w:rsidRPr="543832D4">
        <w:rPr>
          <w:sz w:val="24"/>
          <w:szCs w:val="24"/>
        </w:rPr>
        <w:t xml:space="preserve">, </w:t>
      </w:r>
      <w:r w:rsidR="00626558" w:rsidRPr="543832D4">
        <w:rPr>
          <w:sz w:val="24"/>
          <w:szCs w:val="24"/>
        </w:rPr>
        <w:t xml:space="preserve">the outcomes sought by </w:t>
      </w:r>
      <w:r w:rsidRPr="543832D4">
        <w:rPr>
          <w:sz w:val="24"/>
          <w:szCs w:val="24"/>
        </w:rPr>
        <w:t>stakeholder</w:t>
      </w:r>
      <w:r w:rsidR="00626558" w:rsidRPr="543832D4">
        <w:rPr>
          <w:sz w:val="24"/>
          <w:szCs w:val="24"/>
        </w:rPr>
        <w:t>s</w:t>
      </w:r>
      <w:r w:rsidRPr="543832D4">
        <w:rPr>
          <w:sz w:val="24"/>
          <w:szCs w:val="24"/>
        </w:rPr>
        <w:t xml:space="preserve">, compiled from submissions, are summarised as follows: </w:t>
      </w:r>
    </w:p>
    <w:p w14:paraId="4A57D466" w14:textId="77777777" w:rsidR="00A6067B" w:rsidRDefault="00A6067B" w:rsidP="0014704E">
      <w:pPr>
        <w:pStyle w:val="ListParagraph"/>
        <w:spacing w:after="0"/>
        <w:ind w:left="1440"/>
        <w:rPr>
          <w:sz w:val="24"/>
          <w:szCs w:val="24"/>
        </w:rPr>
      </w:pPr>
    </w:p>
    <w:p w14:paraId="21CE1878" w14:textId="7012F570" w:rsidR="00DD3F96" w:rsidRDefault="00885F3C" w:rsidP="00A80396">
      <w:pPr>
        <w:pStyle w:val="ListParagraph"/>
        <w:numPr>
          <w:ilvl w:val="0"/>
          <w:numId w:val="15"/>
        </w:numPr>
        <w:spacing w:after="0"/>
        <w:rPr>
          <w:sz w:val="24"/>
          <w:szCs w:val="24"/>
        </w:rPr>
      </w:pPr>
      <w:r>
        <w:rPr>
          <w:sz w:val="24"/>
          <w:szCs w:val="24"/>
        </w:rPr>
        <w:t>more streamlined visa processes that allow for greater movement of people between Australia and India</w:t>
      </w:r>
      <w:r w:rsidR="00CD1A22">
        <w:rPr>
          <w:sz w:val="24"/>
          <w:szCs w:val="24"/>
        </w:rPr>
        <w:t>, including academics</w:t>
      </w:r>
      <w:r w:rsidR="004F4F43">
        <w:rPr>
          <w:sz w:val="24"/>
          <w:szCs w:val="24"/>
        </w:rPr>
        <w:t>,</w:t>
      </w:r>
    </w:p>
    <w:p w14:paraId="7E089568" w14:textId="225EB3A4" w:rsidR="00DD3F96" w:rsidRDefault="006E2EE4">
      <w:pPr>
        <w:pStyle w:val="ListParagraph"/>
        <w:numPr>
          <w:ilvl w:val="0"/>
          <w:numId w:val="15"/>
        </w:numPr>
        <w:spacing w:after="0"/>
        <w:rPr>
          <w:sz w:val="24"/>
          <w:szCs w:val="24"/>
        </w:rPr>
      </w:pPr>
      <w:r w:rsidRPr="00DD3F96">
        <w:rPr>
          <w:sz w:val="24"/>
          <w:szCs w:val="24"/>
        </w:rPr>
        <w:t>better link between education outcomes and skilled migration opportunities</w:t>
      </w:r>
      <w:r w:rsidR="00F13D56" w:rsidRPr="00DD3F96">
        <w:rPr>
          <w:sz w:val="24"/>
          <w:szCs w:val="24"/>
        </w:rPr>
        <w:t>, as international students can help address some of Australia’s skills shortages</w:t>
      </w:r>
      <w:r w:rsidR="004F4F43">
        <w:rPr>
          <w:sz w:val="24"/>
          <w:szCs w:val="24"/>
        </w:rPr>
        <w:t>,</w:t>
      </w:r>
      <w:r w:rsidR="00F13D56" w:rsidRPr="00DD3F96">
        <w:rPr>
          <w:sz w:val="24"/>
          <w:szCs w:val="24"/>
        </w:rPr>
        <w:t xml:space="preserve"> </w:t>
      </w:r>
    </w:p>
    <w:p w14:paraId="1A93E25B" w14:textId="02396CE3" w:rsidR="00B92BEA" w:rsidRDefault="004F4F43">
      <w:pPr>
        <w:pStyle w:val="ListParagraph"/>
        <w:numPr>
          <w:ilvl w:val="0"/>
          <w:numId w:val="15"/>
        </w:numPr>
        <w:spacing w:after="0"/>
        <w:rPr>
          <w:sz w:val="24"/>
          <w:szCs w:val="24"/>
        </w:rPr>
      </w:pPr>
      <w:r>
        <w:rPr>
          <w:sz w:val="24"/>
          <w:szCs w:val="24"/>
        </w:rPr>
        <w:t>introduction of work rights post study to make Australia a more attractive international study destination,</w:t>
      </w:r>
    </w:p>
    <w:p w14:paraId="06B9DA57" w14:textId="261E5EFD" w:rsidR="00DD3F96" w:rsidRDefault="00054A3A">
      <w:pPr>
        <w:pStyle w:val="ListParagraph"/>
        <w:numPr>
          <w:ilvl w:val="0"/>
          <w:numId w:val="15"/>
        </w:numPr>
        <w:spacing w:after="0"/>
        <w:rPr>
          <w:sz w:val="24"/>
          <w:szCs w:val="24"/>
        </w:rPr>
      </w:pPr>
      <w:r w:rsidRPr="00DD3F96">
        <w:rPr>
          <w:sz w:val="24"/>
          <w:szCs w:val="24"/>
        </w:rPr>
        <w:t>sustainable growth in student mobility</w:t>
      </w:r>
      <w:r w:rsidR="004F4F43">
        <w:rPr>
          <w:sz w:val="24"/>
          <w:szCs w:val="24"/>
        </w:rPr>
        <w:t>,</w:t>
      </w:r>
    </w:p>
    <w:p w14:paraId="32C1310B" w14:textId="6746B6BF" w:rsidR="00DD3F96" w:rsidRDefault="00885F3C">
      <w:pPr>
        <w:pStyle w:val="ListParagraph"/>
        <w:numPr>
          <w:ilvl w:val="0"/>
          <w:numId w:val="15"/>
        </w:numPr>
        <w:spacing w:after="0"/>
        <w:rPr>
          <w:sz w:val="24"/>
          <w:szCs w:val="24"/>
        </w:rPr>
      </w:pPr>
      <w:r w:rsidRPr="00DD3F96">
        <w:rPr>
          <w:sz w:val="24"/>
          <w:szCs w:val="24"/>
        </w:rPr>
        <w:t>free trade agreements should not include agreements on movement of natural persons and/or migration policy</w:t>
      </w:r>
      <w:r w:rsidR="004F4F43">
        <w:rPr>
          <w:sz w:val="24"/>
          <w:szCs w:val="24"/>
        </w:rPr>
        <w:t xml:space="preserve">, and </w:t>
      </w:r>
    </w:p>
    <w:p w14:paraId="51FA03F5" w14:textId="05A1FF06" w:rsidR="00885F3C" w:rsidRPr="00DD3F96" w:rsidRDefault="00885F3C">
      <w:pPr>
        <w:pStyle w:val="ListParagraph"/>
        <w:numPr>
          <w:ilvl w:val="0"/>
          <w:numId w:val="15"/>
        </w:numPr>
        <w:spacing w:after="0"/>
        <w:rPr>
          <w:sz w:val="24"/>
          <w:szCs w:val="24"/>
        </w:rPr>
      </w:pPr>
      <w:r w:rsidRPr="00DD3F96">
        <w:rPr>
          <w:sz w:val="24"/>
          <w:szCs w:val="24"/>
        </w:rPr>
        <w:t xml:space="preserve">reference to ILO and UN standards on labour rights and the environment. </w:t>
      </w:r>
    </w:p>
    <w:p w14:paraId="7F76A165" w14:textId="77777777" w:rsidR="00885F3C" w:rsidRDefault="00885F3C" w:rsidP="0001716D">
      <w:pPr>
        <w:pStyle w:val="ListParagraph"/>
        <w:spacing w:after="0"/>
        <w:ind w:left="567"/>
        <w:rPr>
          <w:sz w:val="24"/>
          <w:szCs w:val="24"/>
        </w:rPr>
      </w:pPr>
    </w:p>
    <w:p w14:paraId="186D5BE7" w14:textId="0BDEE9B5" w:rsidR="00081689" w:rsidRDefault="00081689">
      <w:pPr>
        <w:pStyle w:val="ListParagraph"/>
        <w:numPr>
          <w:ilvl w:val="0"/>
          <w:numId w:val="1"/>
        </w:numPr>
        <w:spacing w:after="0"/>
        <w:ind w:left="567" w:hanging="567"/>
        <w:rPr>
          <w:sz w:val="24"/>
          <w:szCs w:val="24"/>
        </w:rPr>
      </w:pPr>
      <w:r w:rsidRPr="543832D4">
        <w:rPr>
          <w:sz w:val="24"/>
          <w:szCs w:val="24"/>
        </w:rPr>
        <w:t xml:space="preserve">The </w:t>
      </w:r>
      <w:r w:rsidR="00782B52" w:rsidRPr="543832D4">
        <w:rPr>
          <w:sz w:val="24"/>
          <w:szCs w:val="24"/>
        </w:rPr>
        <w:t xml:space="preserve">proposed </w:t>
      </w:r>
      <w:r w:rsidR="0075790E">
        <w:rPr>
          <w:sz w:val="24"/>
          <w:szCs w:val="24"/>
        </w:rPr>
        <w:t>AI</w:t>
      </w:r>
      <w:r w:rsidR="00217C26">
        <w:rPr>
          <w:sz w:val="24"/>
          <w:szCs w:val="24"/>
        </w:rPr>
        <w:t xml:space="preserve"> ECTA</w:t>
      </w:r>
      <w:r w:rsidR="00C66866" w:rsidRPr="543832D4">
        <w:rPr>
          <w:sz w:val="24"/>
          <w:szCs w:val="24"/>
        </w:rPr>
        <w:t xml:space="preserve"> includes </w:t>
      </w:r>
      <w:r w:rsidR="0037355C">
        <w:rPr>
          <w:sz w:val="24"/>
          <w:szCs w:val="24"/>
        </w:rPr>
        <w:t>a Chapter on Temporary Movement of Natural Person and side letters</w:t>
      </w:r>
      <w:r w:rsidR="00C66866" w:rsidRPr="543832D4">
        <w:rPr>
          <w:sz w:val="24"/>
          <w:szCs w:val="24"/>
        </w:rPr>
        <w:t>,</w:t>
      </w:r>
      <w:r w:rsidR="0043057F">
        <w:rPr>
          <w:sz w:val="24"/>
          <w:szCs w:val="24"/>
        </w:rPr>
        <w:t xml:space="preserve"> providing</w:t>
      </w:r>
      <w:r w:rsidR="00C66866" w:rsidRPr="543832D4">
        <w:rPr>
          <w:sz w:val="24"/>
          <w:szCs w:val="24"/>
        </w:rPr>
        <w:t xml:space="preserve"> </w:t>
      </w:r>
      <w:r w:rsidR="00AC4C2E" w:rsidRPr="543832D4">
        <w:rPr>
          <w:sz w:val="24"/>
          <w:szCs w:val="24"/>
        </w:rPr>
        <w:t xml:space="preserve">a framework on rules that would better facilitate the movement of professionals, businesspeople, </w:t>
      </w:r>
      <w:proofErr w:type="gramStart"/>
      <w:r w:rsidR="00AC4C2E" w:rsidRPr="543832D4">
        <w:rPr>
          <w:sz w:val="24"/>
          <w:szCs w:val="24"/>
        </w:rPr>
        <w:t>students</w:t>
      </w:r>
      <w:proofErr w:type="gramEnd"/>
      <w:r w:rsidR="00AC4C2E" w:rsidRPr="543832D4">
        <w:rPr>
          <w:sz w:val="24"/>
          <w:szCs w:val="24"/>
        </w:rPr>
        <w:t xml:space="preserve"> and individuals would enhance our trade relationship and strengthen our people-to-people links. </w:t>
      </w:r>
    </w:p>
    <w:p w14:paraId="4FC85B16" w14:textId="77777777" w:rsidR="00081689" w:rsidRDefault="00081689">
      <w:pPr>
        <w:pStyle w:val="ListParagraph"/>
        <w:spacing w:after="0"/>
        <w:ind w:left="567"/>
        <w:rPr>
          <w:sz w:val="24"/>
          <w:szCs w:val="24"/>
        </w:rPr>
      </w:pPr>
    </w:p>
    <w:p w14:paraId="051AA644" w14:textId="615B0CA3" w:rsidR="00885F3C" w:rsidRDefault="00D746DA">
      <w:pPr>
        <w:pStyle w:val="ListParagraph"/>
        <w:numPr>
          <w:ilvl w:val="0"/>
          <w:numId w:val="1"/>
        </w:numPr>
        <w:spacing w:after="0"/>
        <w:ind w:left="567" w:hanging="567"/>
        <w:rPr>
          <w:sz w:val="24"/>
          <w:szCs w:val="24"/>
        </w:rPr>
      </w:pPr>
      <w:r w:rsidRPr="543832D4">
        <w:rPr>
          <w:sz w:val="24"/>
          <w:szCs w:val="24"/>
        </w:rPr>
        <w:t xml:space="preserve">The </w:t>
      </w:r>
      <w:r w:rsidR="00D024CD" w:rsidRPr="543832D4">
        <w:rPr>
          <w:sz w:val="24"/>
          <w:szCs w:val="24"/>
        </w:rPr>
        <w:t xml:space="preserve">Chapter on </w:t>
      </w:r>
      <w:r w:rsidR="00F25D22" w:rsidRPr="543832D4">
        <w:rPr>
          <w:sz w:val="24"/>
          <w:szCs w:val="24"/>
        </w:rPr>
        <w:t xml:space="preserve">‘Entry and </w:t>
      </w:r>
      <w:r w:rsidR="00D024CD" w:rsidRPr="543832D4">
        <w:rPr>
          <w:sz w:val="24"/>
          <w:szCs w:val="24"/>
        </w:rPr>
        <w:t xml:space="preserve">Temporary </w:t>
      </w:r>
      <w:r w:rsidR="00F25D22" w:rsidRPr="543832D4">
        <w:rPr>
          <w:sz w:val="24"/>
          <w:szCs w:val="24"/>
        </w:rPr>
        <w:t xml:space="preserve">Movement of Natural Persons </w:t>
      </w:r>
      <w:r w:rsidR="00D024CD" w:rsidRPr="543832D4">
        <w:rPr>
          <w:sz w:val="24"/>
          <w:szCs w:val="24"/>
        </w:rPr>
        <w:t>will include provisions that will enhance opportunities for business travel. It will provide certainty on visa pathways for businesses and professionals working across India and Australia.</w:t>
      </w:r>
      <w:r w:rsidR="00523987" w:rsidRPr="543832D4">
        <w:rPr>
          <w:sz w:val="24"/>
          <w:szCs w:val="24"/>
        </w:rPr>
        <w:t xml:space="preserve"> </w:t>
      </w:r>
      <w:r w:rsidR="005F19AB" w:rsidRPr="543832D4">
        <w:rPr>
          <w:sz w:val="24"/>
          <w:szCs w:val="24"/>
        </w:rPr>
        <w:t xml:space="preserve">This will address the key concern that has been raised by stakeholders, which was around </w:t>
      </w:r>
      <w:r w:rsidR="003C05B6" w:rsidRPr="543832D4">
        <w:rPr>
          <w:sz w:val="24"/>
          <w:szCs w:val="24"/>
        </w:rPr>
        <w:t>the lack of clarity and the long</w:t>
      </w:r>
      <w:r w:rsidR="00040EDC" w:rsidRPr="543832D4">
        <w:rPr>
          <w:sz w:val="24"/>
          <w:szCs w:val="24"/>
        </w:rPr>
        <w:t xml:space="preserve"> period of time required to obtain a business visa. </w:t>
      </w:r>
    </w:p>
    <w:p w14:paraId="5EFA8152" w14:textId="77777777" w:rsidR="00040EDC" w:rsidRDefault="00040EDC">
      <w:pPr>
        <w:pStyle w:val="ListParagraph"/>
        <w:spacing w:after="0"/>
        <w:ind w:left="567"/>
        <w:rPr>
          <w:sz w:val="24"/>
          <w:szCs w:val="24"/>
        </w:rPr>
      </w:pPr>
    </w:p>
    <w:p w14:paraId="74606AEB" w14:textId="7D00C418" w:rsidR="00040EDC" w:rsidRPr="00FF7539" w:rsidRDefault="00170E24" w:rsidP="00FF7539">
      <w:pPr>
        <w:pStyle w:val="ListParagraph"/>
        <w:numPr>
          <w:ilvl w:val="0"/>
          <w:numId w:val="1"/>
        </w:numPr>
        <w:spacing w:after="0"/>
        <w:ind w:left="567" w:hanging="567"/>
        <w:rPr>
          <w:sz w:val="24"/>
          <w:szCs w:val="24"/>
        </w:rPr>
      </w:pPr>
      <w:r w:rsidRPr="543832D4">
        <w:rPr>
          <w:sz w:val="24"/>
          <w:szCs w:val="24"/>
        </w:rPr>
        <w:t xml:space="preserve">The </w:t>
      </w:r>
      <w:r w:rsidR="005C5F1E">
        <w:rPr>
          <w:sz w:val="24"/>
          <w:szCs w:val="24"/>
        </w:rPr>
        <w:t xml:space="preserve">outcome on </w:t>
      </w:r>
      <w:r w:rsidR="005F0CDE" w:rsidRPr="543832D4">
        <w:rPr>
          <w:sz w:val="24"/>
          <w:szCs w:val="24"/>
        </w:rPr>
        <w:t>post-work study</w:t>
      </w:r>
      <w:r w:rsidR="005C5F1E">
        <w:rPr>
          <w:sz w:val="24"/>
          <w:szCs w:val="24"/>
        </w:rPr>
        <w:t xml:space="preserve"> work commits Australia to maintain</w:t>
      </w:r>
      <w:r w:rsidR="005F0CDE" w:rsidRPr="543832D4">
        <w:rPr>
          <w:sz w:val="24"/>
          <w:szCs w:val="24"/>
        </w:rPr>
        <w:t xml:space="preserve"> opportunities for Indian students to live, study and work in Australia temporarily upon completion of their studies, including for a diploma or trade qualification, </w:t>
      </w:r>
      <w:proofErr w:type="gramStart"/>
      <w:r w:rsidR="005F0CDE" w:rsidRPr="543832D4">
        <w:rPr>
          <w:sz w:val="24"/>
          <w:szCs w:val="24"/>
        </w:rPr>
        <w:t>bachelor</w:t>
      </w:r>
      <w:proofErr w:type="gramEnd"/>
      <w:r w:rsidR="005F0CDE" w:rsidRPr="543832D4">
        <w:rPr>
          <w:sz w:val="24"/>
          <w:szCs w:val="24"/>
        </w:rPr>
        <w:t xml:space="preserve"> degree, </w:t>
      </w:r>
      <w:proofErr w:type="spellStart"/>
      <w:r w:rsidR="005F0CDE" w:rsidRPr="543832D4">
        <w:rPr>
          <w:sz w:val="24"/>
          <w:szCs w:val="24"/>
        </w:rPr>
        <w:t>masters</w:t>
      </w:r>
      <w:proofErr w:type="spellEnd"/>
      <w:r w:rsidR="005F0CDE" w:rsidRPr="543832D4">
        <w:rPr>
          <w:sz w:val="24"/>
          <w:szCs w:val="24"/>
        </w:rPr>
        <w:t xml:space="preserve"> degree or </w:t>
      </w:r>
      <w:r w:rsidR="005F0CDE" w:rsidRPr="543832D4">
        <w:rPr>
          <w:sz w:val="24"/>
          <w:szCs w:val="24"/>
        </w:rPr>
        <w:lastRenderedPageBreak/>
        <w:t xml:space="preserve">doctoral degree. </w:t>
      </w:r>
      <w:r w:rsidR="00B92F22" w:rsidRPr="543832D4">
        <w:rPr>
          <w:sz w:val="24"/>
          <w:szCs w:val="24"/>
        </w:rPr>
        <w:t xml:space="preserve">This </w:t>
      </w:r>
      <w:r w:rsidR="00C86851" w:rsidRPr="543832D4">
        <w:rPr>
          <w:sz w:val="24"/>
          <w:szCs w:val="24"/>
        </w:rPr>
        <w:t>may help to alleviate the skill shortages in particular sector</w:t>
      </w:r>
      <w:r w:rsidR="00EB396A" w:rsidRPr="543832D4">
        <w:rPr>
          <w:sz w:val="24"/>
          <w:szCs w:val="24"/>
        </w:rPr>
        <w:t>s</w:t>
      </w:r>
      <w:r w:rsidR="00FF7539" w:rsidRPr="00FF7539">
        <w:rPr>
          <w:sz w:val="24"/>
          <w:szCs w:val="24"/>
        </w:rPr>
        <w:t xml:space="preserve"> </w:t>
      </w:r>
      <w:r w:rsidR="00FF7539">
        <w:rPr>
          <w:sz w:val="24"/>
          <w:szCs w:val="24"/>
        </w:rPr>
        <w:t>and make studying in Australia more attractive for Indian students, noting education is our largest services export to India. The extension of such assess to Australians in India will provide greater awareness of the Indian market for Australian business, supporting future growth in trade and investment between our two countries</w:t>
      </w:r>
      <w:r w:rsidR="00F13D56" w:rsidRPr="00FF7539">
        <w:rPr>
          <w:sz w:val="24"/>
          <w:szCs w:val="24"/>
        </w:rPr>
        <w:t xml:space="preserve">. </w:t>
      </w:r>
    </w:p>
    <w:p w14:paraId="0A68FABD" w14:textId="77777777" w:rsidR="00A84FDC" w:rsidRPr="00A84FDC" w:rsidRDefault="00A84FDC">
      <w:pPr>
        <w:pStyle w:val="ListParagraph"/>
        <w:spacing w:after="0"/>
        <w:rPr>
          <w:sz w:val="24"/>
          <w:szCs w:val="24"/>
        </w:rPr>
      </w:pPr>
    </w:p>
    <w:p w14:paraId="04F553CD" w14:textId="77777777" w:rsidR="00340637" w:rsidRDefault="00340637">
      <w:pPr>
        <w:pStyle w:val="ListParagraph"/>
        <w:numPr>
          <w:ilvl w:val="0"/>
          <w:numId w:val="1"/>
        </w:numPr>
        <w:spacing w:after="0"/>
        <w:ind w:left="567" w:hanging="567"/>
        <w:rPr>
          <w:sz w:val="24"/>
          <w:szCs w:val="24"/>
        </w:rPr>
      </w:pPr>
      <w:r w:rsidRPr="543832D4">
        <w:rPr>
          <w:sz w:val="24"/>
          <w:szCs w:val="24"/>
        </w:rPr>
        <w:t xml:space="preserve">On </w:t>
      </w:r>
      <w:r w:rsidRPr="543832D4">
        <w:rPr>
          <w:b/>
          <w:bCs/>
          <w:sz w:val="24"/>
          <w:szCs w:val="24"/>
        </w:rPr>
        <w:t>mining, resources and energy and infrastructure</w:t>
      </w:r>
      <w:r w:rsidRPr="543832D4">
        <w:rPr>
          <w:sz w:val="24"/>
          <w:szCs w:val="24"/>
        </w:rPr>
        <w:t xml:space="preserve">, the outcomes sought by stakeholders, which were compiled from submissions, are summarised as follows: </w:t>
      </w:r>
    </w:p>
    <w:p w14:paraId="529CA395" w14:textId="77777777" w:rsidR="00340637" w:rsidRPr="00201C26" w:rsidRDefault="00340637">
      <w:pPr>
        <w:pStyle w:val="ListParagraph"/>
        <w:spacing w:after="0"/>
        <w:rPr>
          <w:sz w:val="24"/>
          <w:szCs w:val="24"/>
        </w:rPr>
      </w:pPr>
    </w:p>
    <w:p w14:paraId="5E3C693D" w14:textId="77777777" w:rsidR="00340637" w:rsidRDefault="00340637">
      <w:pPr>
        <w:pStyle w:val="ListParagraph"/>
        <w:numPr>
          <w:ilvl w:val="0"/>
          <w:numId w:val="9"/>
        </w:numPr>
        <w:spacing w:after="0"/>
        <w:rPr>
          <w:sz w:val="24"/>
          <w:szCs w:val="24"/>
        </w:rPr>
      </w:pPr>
      <w:r>
        <w:rPr>
          <w:sz w:val="24"/>
          <w:szCs w:val="24"/>
        </w:rPr>
        <w:t xml:space="preserve">transparency and certainty for businesses, including around contracts, dispute resolutions and mineral leases </w:t>
      </w:r>
    </w:p>
    <w:p w14:paraId="4E9E2865" w14:textId="77777777" w:rsidR="00340637" w:rsidRDefault="00340637">
      <w:pPr>
        <w:pStyle w:val="ListParagraph"/>
        <w:numPr>
          <w:ilvl w:val="0"/>
          <w:numId w:val="9"/>
        </w:numPr>
        <w:spacing w:after="0"/>
        <w:rPr>
          <w:sz w:val="24"/>
          <w:szCs w:val="24"/>
        </w:rPr>
      </w:pPr>
      <w:r>
        <w:rPr>
          <w:sz w:val="24"/>
          <w:szCs w:val="24"/>
        </w:rPr>
        <w:t>streamlined approvals for signi</w:t>
      </w:r>
      <w:r w:rsidRPr="002C624B">
        <w:rPr>
          <w:sz w:val="24"/>
          <w:szCs w:val="24"/>
        </w:rPr>
        <w:t>ficant investments</w:t>
      </w:r>
    </w:p>
    <w:p w14:paraId="24807F5D" w14:textId="77777777" w:rsidR="00340637" w:rsidRDefault="00340637">
      <w:pPr>
        <w:pStyle w:val="ListParagraph"/>
        <w:numPr>
          <w:ilvl w:val="0"/>
          <w:numId w:val="9"/>
        </w:numPr>
        <w:spacing w:after="0"/>
        <w:rPr>
          <w:sz w:val="24"/>
          <w:szCs w:val="24"/>
        </w:rPr>
      </w:pPr>
      <w:r>
        <w:rPr>
          <w:sz w:val="24"/>
          <w:szCs w:val="24"/>
        </w:rPr>
        <w:t xml:space="preserve">investment opportunities for infrastructure </w:t>
      </w:r>
      <w:r w:rsidRPr="002C624B">
        <w:rPr>
          <w:sz w:val="24"/>
          <w:szCs w:val="24"/>
        </w:rPr>
        <w:t xml:space="preserve"> </w:t>
      </w:r>
    </w:p>
    <w:p w14:paraId="70A2D000" w14:textId="71A30DE1" w:rsidR="00340637" w:rsidRDefault="00340637">
      <w:pPr>
        <w:pStyle w:val="ListParagraph"/>
        <w:numPr>
          <w:ilvl w:val="0"/>
          <w:numId w:val="9"/>
        </w:numPr>
        <w:spacing w:after="0"/>
        <w:rPr>
          <w:sz w:val="24"/>
          <w:szCs w:val="24"/>
        </w:rPr>
      </w:pPr>
      <w:r>
        <w:rPr>
          <w:sz w:val="24"/>
          <w:szCs w:val="24"/>
        </w:rPr>
        <w:t xml:space="preserve">expand cooperation in mining services, </w:t>
      </w:r>
      <w:proofErr w:type="gramStart"/>
      <w:r>
        <w:rPr>
          <w:sz w:val="24"/>
          <w:szCs w:val="24"/>
        </w:rPr>
        <w:t>expertise</w:t>
      </w:r>
      <w:proofErr w:type="gramEnd"/>
      <w:r>
        <w:rPr>
          <w:sz w:val="24"/>
          <w:szCs w:val="24"/>
        </w:rPr>
        <w:t xml:space="preserve"> and technology</w:t>
      </w:r>
    </w:p>
    <w:p w14:paraId="175860AF" w14:textId="5BFABC57" w:rsidR="00A001A6" w:rsidRPr="00DB040D" w:rsidRDefault="00A001A6">
      <w:pPr>
        <w:pStyle w:val="ListParagraph"/>
        <w:numPr>
          <w:ilvl w:val="0"/>
          <w:numId w:val="9"/>
        </w:numPr>
        <w:spacing w:after="0"/>
        <w:rPr>
          <w:sz w:val="24"/>
          <w:szCs w:val="24"/>
        </w:rPr>
      </w:pPr>
      <w:r>
        <w:rPr>
          <w:sz w:val="24"/>
          <w:szCs w:val="24"/>
        </w:rPr>
        <w:t xml:space="preserve">local policies and practices do not limit opportunities for investment in the mining, </w:t>
      </w:r>
      <w:proofErr w:type="gramStart"/>
      <w:r>
        <w:rPr>
          <w:sz w:val="24"/>
          <w:szCs w:val="24"/>
        </w:rPr>
        <w:t>energy</w:t>
      </w:r>
      <w:proofErr w:type="gramEnd"/>
      <w:r>
        <w:rPr>
          <w:sz w:val="24"/>
          <w:szCs w:val="24"/>
        </w:rPr>
        <w:t xml:space="preserve"> and engineering sectors</w:t>
      </w:r>
    </w:p>
    <w:p w14:paraId="31127933" w14:textId="77777777" w:rsidR="00340637" w:rsidRDefault="00340637">
      <w:pPr>
        <w:pStyle w:val="ListParagraph"/>
        <w:spacing w:after="0"/>
        <w:ind w:left="567"/>
        <w:rPr>
          <w:sz w:val="24"/>
          <w:szCs w:val="24"/>
        </w:rPr>
      </w:pPr>
    </w:p>
    <w:p w14:paraId="7CB274DD" w14:textId="216FC8BA" w:rsidR="00340637" w:rsidRPr="00EA1476" w:rsidRDefault="00EA1476">
      <w:pPr>
        <w:pStyle w:val="ListParagraph"/>
        <w:numPr>
          <w:ilvl w:val="0"/>
          <w:numId w:val="1"/>
        </w:numPr>
        <w:spacing w:after="0"/>
        <w:ind w:left="567" w:hanging="567"/>
        <w:rPr>
          <w:sz w:val="24"/>
          <w:szCs w:val="24"/>
        </w:rPr>
      </w:pPr>
      <w:r w:rsidRPr="543832D4">
        <w:rPr>
          <w:sz w:val="24"/>
          <w:szCs w:val="24"/>
        </w:rPr>
        <w:t>The</w:t>
      </w:r>
      <w:r w:rsidR="002E656A" w:rsidRPr="543832D4">
        <w:rPr>
          <w:sz w:val="24"/>
          <w:szCs w:val="24"/>
        </w:rPr>
        <w:t xml:space="preserve"> issues raised and outcomes sought by stakeholders</w:t>
      </w:r>
      <w:r w:rsidR="00264702" w:rsidRPr="543832D4">
        <w:rPr>
          <w:sz w:val="24"/>
          <w:szCs w:val="24"/>
        </w:rPr>
        <w:t xml:space="preserve"> have not been addressed in the </w:t>
      </w:r>
      <w:r w:rsidR="00B05255" w:rsidRPr="543832D4">
        <w:rPr>
          <w:sz w:val="24"/>
          <w:szCs w:val="24"/>
        </w:rPr>
        <w:t xml:space="preserve">proposed </w:t>
      </w:r>
      <w:r w:rsidR="0075790E">
        <w:rPr>
          <w:sz w:val="24"/>
          <w:szCs w:val="24"/>
        </w:rPr>
        <w:t>AI</w:t>
      </w:r>
      <w:r w:rsidR="00217C26">
        <w:rPr>
          <w:sz w:val="24"/>
          <w:szCs w:val="24"/>
        </w:rPr>
        <w:t xml:space="preserve"> ECTA</w:t>
      </w:r>
      <w:r w:rsidR="00264702" w:rsidRPr="543832D4">
        <w:rPr>
          <w:sz w:val="24"/>
          <w:szCs w:val="24"/>
        </w:rPr>
        <w:t xml:space="preserve">, as they relate largely to domestic practices. </w:t>
      </w:r>
    </w:p>
    <w:p w14:paraId="653A3FCA" w14:textId="77777777" w:rsidR="00340637" w:rsidRPr="00340637" w:rsidRDefault="00340637">
      <w:pPr>
        <w:pStyle w:val="ListParagraph"/>
        <w:spacing w:after="0"/>
        <w:rPr>
          <w:sz w:val="24"/>
          <w:szCs w:val="24"/>
        </w:rPr>
      </w:pPr>
    </w:p>
    <w:p w14:paraId="20AA8D0B" w14:textId="587452B9" w:rsidR="00502F0F" w:rsidRDefault="00EA1476">
      <w:pPr>
        <w:pStyle w:val="ListParagraph"/>
        <w:numPr>
          <w:ilvl w:val="0"/>
          <w:numId w:val="1"/>
        </w:numPr>
        <w:spacing w:after="0"/>
        <w:ind w:left="567" w:hanging="567"/>
        <w:rPr>
          <w:sz w:val="24"/>
          <w:szCs w:val="24"/>
        </w:rPr>
      </w:pPr>
      <w:r w:rsidRPr="543832D4">
        <w:rPr>
          <w:sz w:val="24"/>
          <w:szCs w:val="24"/>
        </w:rPr>
        <w:t>Eight s</w:t>
      </w:r>
      <w:r w:rsidR="00E36A25" w:rsidRPr="543832D4">
        <w:rPr>
          <w:sz w:val="24"/>
          <w:szCs w:val="24"/>
        </w:rPr>
        <w:t>takeholders</w:t>
      </w:r>
      <w:r w:rsidR="00F37B0D" w:rsidRPr="543832D4">
        <w:rPr>
          <w:sz w:val="24"/>
          <w:szCs w:val="24"/>
        </w:rPr>
        <w:t xml:space="preserve"> also</w:t>
      </w:r>
      <w:r w:rsidR="00A84FDC" w:rsidRPr="543832D4">
        <w:rPr>
          <w:sz w:val="24"/>
          <w:szCs w:val="24"/>
        </w:rPr>
        <w:t xml:space="preserve"> sought outcomes in relation to </w:t>
      </w:r>
      <w:r w:rsidR="00A84FDC" w:rsidRPr="543832D4">
        <w:rPr>
          <w:b/>
          <w:bCs/>
          <w:sz w:val="24"/>
          <w:szCs w:val="24"/>
        </w:rPr>
        <w:t>intellectual property</w:t>
      </w:r>
      <w:r w:rsidR="00B142D9" w:rsidRPr="543832D4">
        <w:rPr>
          <w:b/>
          <w:bCs/>
          <w:sz w:val="24"/>
          <w:szCs w:val="24"/>
        </w:rPr>
        <w:t xml:space="preserve">, </w:t>
      </w:r>
      <w:r w:rsidR="00A84FDC" w:rsidRPr="543832D4">
        <w:rPr>
          <w:b/>
          <w:bCs/>
          <w:sz w:val="24"/>
          <w:szCs w:val="24"/>
        </w:rPr>
        <w:t>investments</w:t>
      </w:r>
      <w:r w:rsidR="00B142D9" w:rsidRPr="543832D4">
        <w:rPr>
          <w:b/>
          <w:bCs/>
          <w:sz w:val="24"/>
          <w:szCs w:val="24"/>
        </w:rPr>
        <w:t>, government procurement and digital trade</w:t>
      </w:r>
      <w:r w:rsidR="005C7098" w:rsidRPr="543832D4">
        <w:rPr>
          <w:b/>
          <w:bCs/>
          <w:sz w:val="24"/>
          <w:szCs w:val="24"/>
        </w:rPr>
        <w:t xml:space="preserve">. </w:t>
      </w:r>
      <w:r w:rsidR="005368DD" w:rsidRPr="543832D4">
        <w:rPr>
          <w:sz w:val="24"/>
          <w:szCs w:val="24"/>
        </w:rPr>
        <w:t>T</w:t>
      </w:r>
      <w:r w:rsidR="005C7098" w:rsidRPr="543832D4">
        <w:rPr>
          <w:sz w:val="24"/>
          <w:szCs w:val="24"/>
        </w:rPr>
        <w:t xml:space="preserve">he proposed </w:t>
      </w:r>
      <w:r w:rsidR="0075790E">
        <w:rPr>
          <w:sz w:val="24"/>
          <w:szCs w:val="24"/>
        </w:rPr>
        <w:t>AI</w:t>
      </w:r>
      <w:r w:rsidR="00217C26">
        <w:rPr>
          <w:sz w:val="24"/>
          <w:szCs w:val="24"/>
        </w:rPr>
        <w:t xml:space="preserve"> ECTA</w:t>
      </w:r>
      <w:r w:rsidR="005C7098" w:rsidRPr="543832D4">
        <w:rPr>
          <w:sz w:val="24"/>
          <w:szCs w:val="24"/>
        </w:rPr>
        <w:t xml:space="preserve"> does not include any agreement on these issues</w:t>
      </w:r>
      <w:r w:rsidR="006C4193">
        <w:rPr>
          <w:sz w:val="24"/>
          <w:szCs w:val="24"/>
        </w:rPr>
        <w:t>. However</w:t>
      </w:r>
      <w:r w:rsidR="00561D93">
        <w:rPr>
          <w:sz w:val="24"/>
          <w:szCs w:val="24"/>
        </w:rPr>
        <w:t>,</w:t>
      </w:r>
      <w:r w:rsidR="006C4193">
        <w:rPr>
          <w:sz w:val="24"/>
          <w:szCs w:val="24"/>
        </w:rPr>
        <w:t xml:space="preserve"> the full CECA Agreement will include government procurement and digital trade</w:t>
      </w:r>
      <w:r w:rsidR="00561D93">
        <w:rPr>
          <w:sz w:val="24"/>
          <w:szCs w:val="24"/>
        </w:rPr>
        <w:t>.</w:t>
      </w:r>
      <w:r w:rsidR="005368DD" w:rsidRPr="543832D4">
        <w:rPr>
          <w:sz w:val="24"/>
          <w:szCs w:val="24"/>
        </w:rPr>
        <w:t xml:space="preserve"> </w:t>
      </w:r>
    </w:p>
    <w:p w14:paraId="49F19A6A" w14:textId="77777777" w:rsidR="00502F0F" w:rsidRPr="00502F0F" w:rsidRDefault="00502F0F" w:rsidP="00502F0F">
      <w:pPr>
        <w:pStyle w:val="ListParagraph"/>
        <w:rPr>
          <w:sz w:val="24"/>
          <w:szCs w:val="24"/>
        </w:rPr>
      </w:pPr>
    </w:p>
    <w:p w14:paraId="6B3FD205" w14:textId="018D7AC0" w:rsidR="00A84FDC" w:rsidRPr="007F4920" w:rsidRDefault="007F4920" w:rsidP="00A80396">
      <w:pPr>
        <w:pStyle w:val="ListParagraph"/>
        <w:numPr>
          <w:ilvl w:val="0"/>
          <w:numId w:val="1"/>
        </w:numPr>
        <w:spacing w:after="0"/>
        <w:ind w:left="567" w:hanging="567"/>
        <w:rPr>
          <w:sz w:val="24"/>
          <w:szCs w:val="24"/>
        </w:rPr>
      </w:pPr>
      <w:r>
        <w:rPr>
          <w:sz w:val="24"/>
          <w:szCs w:val="24"/>
        </w:rPr>
        <w:t xml:space="preserve">Seven stakeholders identified challenges </w:t>
      </w:r>
      <w:r w:rsidRPr="543832D4">
        <w:rPr>
          <w:sz w:val="24"/>
          <w:szCs w:val="24"/>
        </w:rPr>
        <w:t xml:space="preserve">and </w:t>
      </w:r>
      <w:r>
        <w:rPr>
          <w:sz w:val="24"/>
          <w:szCs w:val="24"/>
        </w:rPr>
        <w:t xml:space="preserve">sought </w:t>
      </w:r>
      <w:r w:rsidRPr="543832D4">
        <w:rPr>
          <w:sz w:val="24"/>
          <w:szCs w:val="24"/>
        </w:rPr>
        <w:t xml:space="preserve">outcomes in relation to </w:t>
      </w:r>
      <w:r w:rsidRPr="543832D4">
        <w:rPr>
          <w:b/>
          <w:bCs/>
          <w:sz w:val="24"/>
          <w:szCs w:val="24"/>
        </w:rPr>
        <w:t>ease of doing business</w:t>
      </w:r>
      <w:r w:rsidRPr="543832D4">
        <w:rPr>
          <w:sz w:val="24"/>
          <w:szCs w:val="24"/>
        </w:rPr>
        <w:t xml:space="preserve"> and </w:t>
      </w:r>
      <w:r w:rsidRPr="543832D4">
        <w:rPr>
          <w:b/>
          <w:bCs/>
          <w:sz w:val="24"/>
          <w:szCs w:val="24"/>
        </w:rPr>
        <w:t>taxation for foreign organisations</w:t>
      </w:r>
      <w:r>
        <w:rPr>
          <w:sz w:val="24"/>
          <w:szCs w:val="24"/>
        </w:rPr>
        <w:t xml:space="preserve">, while five stakeholders sought </w:t>
      </w:r>
      <w:r>
        <w:rPr>
          <w:b/>
          <w:bCs/>
          <w:sz w:val="24"/>
          <w:szCs w:val="24"/>
        </w:rPr>
        <w:t>greater collaboration opportunities</w:t>
      </w:r>
      <w:r>
        <w:rPr>
          <w:sz w:val="24"/>
          <w:szCs w:val="24"/>
        </w:rPr>
        <w:t xml:space="preserve"> in a range of fields between Australian and Indian entities, and one stakeholder suggested </w:t>
      </w:r>
      <w:r>
        <w:rPr>
          <w:b/>
          <w:bCs/>
          <w:sz w:val="24"/>
          <w:szCs w:val="24"/>
        </w:rPr>
        <w:t>gender</w:t>
      </w:r>
      <w:r w:rsidR="0075790E">
        <w:rPr>
          <w:b/>
          <w:bCs/>
          <w:sz w:val="24"/>
          <w:szCs w:val="24"/>
        </w:rPr>
        <w:t>-</w:t>
      </w:r>
      <w:r>
        <w:rPr>
          <w:b/>
          <w:bCs/>
          <w:sz w:val="24"/>
          <w:szCs w:val="24"/>
        </w:rPr>
        <w:t xml:space="preserve">based analysis of trade policy </w:t>
      </w:r>
      <w:r>
        <w:rPr>
          <w:sz w:val="24"/>
          <w:szCs w:val="24"/>
        </w:rPr>
        <w:t>be applied in FTAs. These</w:t>
      </w:r>
      <w:r w:rsidRPr="543832D4">
        <w:rPr>
          <w:sz w:val="24"/>
          <w:szCs w:val="24"/>
        </w:rPr>
        <w:t xml:space="preserve"> issues </w:t>
      </w:r>
      <w:r>
        <w:rPr>
          <w:sz w:val="24"/>
          <w:szCs w:val="24"/>
        </w:rPr>
        <w:t xml:space="preserve">were not addressed, as they were </w:t>
      </w:r>
      <w:r w:rsidRPr="543832D4">
        <w:rPr>
          <w:sz w:val="24"/>
          <w:szCs w:val="24"/>
        </w:rPr>
        <w:t xml:space="preserve">outside the scope of the proposed </w:t>
      </w:r>
      <w:r w:rsidR="0075790E">
        <w:rPr>
          <w:sz w:val="24"/>
          <w:szCs w:val="24"/>
        </w:rPr>
        <w:t>AI</w:t>
      </w:r>
      <w:r w:rsidR="00217C26">
        <w:rPr>
          <w:sz w:val="24"/>
          <w:szCs w:val="24"/>
        </w:rPr>
        <w:t xml:space="preserve"> ECTA</w:t>
      </w:r>
      <w:r w:rsidRPr="543832D4">
        <w:rPr>
          <w:sz w:val="24"/>
          <w:szCs w:val="24"/>
        </w:rPr>
        <w:t xml:space="preserve">. </w:t>
      </w:r>
    </w:p>
    <w:p w14:paraId="56B52CD1" w14:textId="77777777" w:rsidR="00E7389D" w:rsidRDefault="00E7389D" w:rsidP="0014704E">
      <w:pPr>
        <w:spacing w:after="0"/>
        <w:rPr>
          <w:b/>
          <w:bCs/>
          <w:sz w:val="24"/>
          <w:szCs w:val="24"/>
        </w:rPr>
      </w:pPr>
    </w:p>
    <w:p w14:paraId="6A693ADE" w14:textId="7174E5B8" w:rsidR="00885F3C" w:rsidRPr="00E43434" w:rsidRDefault="00885F3C" w:rsidP="0014704E">
      <w:pPr>
        <w:spacing w:after="0"/>
        <w:rPr>
          <w:b/>
          <w:bCs/>
          <w:sz w:val="24"/>
          <w:szCs w:val="24"/>
        </w:rPr>
      </w:pPr>
      <w:r w:rsidRPr="00D01918">
        <w:rPr>
          <w:b/>
          <w:bCs/>
          <w:sz w:val="24"/>
          <w:szCs w:val="24"/>
        </w:rPr>
        <w:t>Australian Government agencies</w:t>
      </w:r>
    </w:p>
    <w:p w14:paraId="38C1D214" w14:textId="77777777" w:rsidR="00C85E71" w:rsidRDefault="00C85E71" w:rsidP="00C85E71">
      <w:pPr>
        <w:pStyle w:val="ListParagraph"/>
        <w:spacing w:after="0"/>
        <w:ind w:left="567"/>
        <w:rPr>
          <w:sz w:val="24"/>
          <w:szCs w:val="24"/>
        </w:rPr>
      </w:pPr>
      <w:bookmarkStart w:id="72" w:name="_Hlk83303975"/>
    </w:p>
    <w:p w14:paraId="62045161" w14:textId="2BAAC2E9" w:rsidR="00885F3C" w:rsidRDefault="00885F3C" w:rsidP="00A80396">
      <w:pPr>
        <w:pStyle w:val="ListParagraph"/>
        <w:numPr>
          <w:ilvl w:val="0"/>
          <w:numId w:val="1"/>
        </w:numPr>
        <w:spacing w:after="0"/>
        <w:ind w:left="567" w:hanging="567"/>
        <w:rPr>
          <w:sz w:val="24"/>
          <w:szCs w:val="24"/>
        </w:rPr>
      </w:pPr>
      <w:r w:rsidRPr="543832D4">
        <w:rPr>
          <w:sz w:val="24"/>
          <w:szCs w:val="24"/>
        </w:rPr>
        <w:t xml:space="preserve">Australian Government departments were extensively consulted throughout the CECA negotiations that have led to the </w:t>
      </w:r>
      <w:r w:rsidR="00480BD0">
        <w:rPr>
          <w:sz w:val="24"/>
          <w:szCs w:val="24"/>
        </w:rPr>
        <w:t>AI</w:t>
      </w:r>
      <w:r w:rsidR="00217C26">
        <w:rPr>
          <w:sz w:val="24"/>
          <w:szCs w:val="24"/>
        </w:rPr>
        <w:t xml:space="preserve"> ECTA</w:t>
      </w:r>
      <w:r w:rsidRPr="543832D4">
        <w:rPr>
          <w:sz w:val="24"/>
          <w:szCs w:val="24"/>
        </w:rPr>
        <w:t xml:space="preserve">. Regular inter-departmental meetings were held, updates on the status of negotiations were provided and relevant agencies were invited to participate in negotiations. </w:t>
      </w:r>
    </w:p>
    <w:p w14:paraId="688AF1D4" w14:textId="77777777" w:rsidR="000908CF" w:rsidRPr="00D01918" w:rsidRDefault="000908CF" w:rsidP="00A5588B">
      <w:pPr>
        <w:pStyle w:val="ListParagraph"/>
        <w:spacing w:after="0"/>
        <w:ind w:left="567"/>
        <w:rPr>
          <w:sz w:val="24"/>
          <w:szCs w:val="24"/>
        </w:rPr>
      </w:pPr>
    </w:p>
    <w:p w14:paraId="1BED7E06" w14:textId="41E863CE" w:rsidR="00885F3C" w:rsidRDefault="00885F3C" w:rsidP="0014704E">
      <w:pPr>
        <w:pStyle w:val="Heading2"/>
        <w:spacing w:before="0"/>
      </w:pPr>
      <w:bookmarkStart w:id="73" w:name="_Toc88748509"/>
      <w:bookmarkStart w:id="74" w:name="_Toc99370681"/>
      <w:bookmarkEnd w:id="72"/>
      <w:r>
        <w:t>State and territory governments</w:t>
      </w:r>
      <w:bookmarkEnd w:id="73"/>
      <w:bookmarkEnd w:id="74"/>
      <w:r>
        <w:br/>
      </w:r>
    </w:p>
    <w:p w14:paraId="069412C6" w14:textId="7B6EE3AF" w:rsidR="00514B93" w:rsidRPr="000B473D" w:rsidRDefault="00885F3C" w:rsidP="000B473D">
      <w:pPr>
        <w:pStyle w:val="ListParagraph"/>
        <w:numPr>
          <w:ilvl w:val="0"/>
          <w:numId w:val="1"/>
        </w:numPr>
        <w:spacing w:after="0"/>
        <w:ind w:left="567" w:hanging="567"/>
        <w:rPr>
          <w:sz w:val="24"/>
          <w:szCs w:val="24"/>
        </w:rPr>
      </w:pPr>
      <w:bookmarkStart w:id="75" w:name="_Hlk83304007"/>
      <w:r w:rsidRPr="543832D4">
        <w:rPr>
          <w:sz w:val="24"/>
          <w:szCs w:val="24"/>
        </w:rPr>
        <w:t xml:space="preserve">State and territory governments have been </w:t>
      </w:r>
      <w:r w:rsidR="00514B93" w:rsidRPr="543832D4">
        <w:rPr>
          <w:sz w:val="24"/>
          <w:szCs w:val="24"/>
        </w:rPr>
        <w:t>engaged and consulted</w:t>
      </w:r>
      <w:r w:rsidRPr="543832D4">
        <w:rPr>
          <w:sz w:val="24"/>
          <w:szCs w:val="24"/>
        </w:rPr>
        <w:t xml:space="preserve"> throughout the negotiations</w:t>
      </w:r>
      <w:r w:rsidR="00514B93" w:rsidRPr="543832D4">
        <w:rPr>
          <w:sz w:val="24"/>
          <w:szCs w:val="24"/>
        </w:rPr>
        <w:t>, including through emails and meetings</w:t>
      </w:r>
      <w:r w:rsidRPr="543832D4">
        <w:rPr>
          <w:sz w:val="24"/>
          <w:szCs w:val="24"/>
        </w:rPr>
        <w:t>.</w:t>
      </w:r>
      <w:bookmarkStart w:id="76" w:name="_Hlk83825210"/>
      <w:bookmarkEnd w:id="75"/>
      <w:r w:rsidR="00C06154" w:rsidRPr="543832D4">
        <w:rPr>
          <w:sz w:val="24"/>
          <w:szCs w:val="24"/>
        </w:rPr>
        <w:t xml:space="preserve"> DFAT met with state and territory governments in </w:t>
      </w:r>
      <w:r w:rsidR="000F5776" w:rsidRPr="543832D4">
        <w:rPr>
          <w:sz w:val="24"/>
          <w:szCs w:val="24"/>
        </w:rPr>
        <w:t>January</w:t>
      </w:r>
      <w:r w:rsidR="000F5776">
        <w:rPr>
          <w:sz w:val="24"/>
          <w:szCs w:val="24"/>
        </w:rPr>
        <w:t>,</w:t>
      </w:r>
      <w:r w:rsidR="000F5776" w:rsidRPr="543832D4">
        <w:rPr>
          <w:sz w:val="24"/>
          <w:szCs w:val="24"/>
        </w:rPr>
        <w:t xml:space="preserve"> </w:t>
      </w:r>
      <w:proofErr w:type="gramStart"/>
      <w:r w:rsidR="000F5776" w:rsidRPr="543832D4">
        <w:rPr>
          <w:sz w:val="24"/>
          <w:szCs w:val="24"/>
        </w:rPr>
        <w:t>February</w:t>
      </w:r>
      <w:proofErr w:type="gramEnd"/>
      <w:r w:rsidR="00B563CE">
        <w:rPr>
          <w:sz w:val="24"/>
          <w:szCs w:val="24"/>
        </w:rPr>
        <w:t xml:space="preserve"> and March</w:t>
      </w:r>
      <w:r w:rsidR="00C06154" w:rsidRPr="543832D4">
        <w:rPr>
          <w:sz w:val="24"/>
          <w:szCs w:val="24"/>
        </w:rPr>
        <w:t xml:space="preserve"> 2022</w:t>
      </w:r>
      <w:r w:rsidR="00514B93" w:rsidRPr="543832D4">
        <w:rPr>
          <w:sz w:val="24"/>
          <w:szCs w:val="24"/>
        </w:rPr>
        <w:t xml:space="preserve">. </w:t>
      </w:r>
      <w:bookmarkEnd w:id="76"/>
    </w:p>
    <w:p w14:paraId="5BB654F9" w14:textId="2EE0F141" w:rsidR="006D5572" w:rsidRDefault="006D5572" w:rsidP="0014704E">
      <w:pPr>
        <w:pStyle w:val="Heading1"/>
        <w:spacing w:before="0"/>
      </w:pPr>
      <w:bookmarkStart w:id="77" w:name="_Toc99370682"/>
      <w:r>
        <w:lastRenderedPageBreak/>
        <w:t>WHAT IS THE BEST OPTION FROM THOSE YOU HAVE CONSIDERED?</w:t>
      </w:r>
      <w:bookmarkEnd w:id="77"/>
    </w:p>
    <w:p w14:paraId="7CE6BF9A" w14:textId="77777777" w:rsidR="006D5572" w:rsidRPr="002F21A4" w:rsidRDefault="006D5572" w:rsidP="0014704E">
      <w:pPr>
        <w:spacing w:after="0"/>
        <w:rPr>
          <w:sz w:val="24"/>
          <w:szCs w:val="24"/>
        </w:rPr>
      </w:pPr>
    </w:p>
    <w:p w14:paraId="3B516D68" w14:textId="2055A51F" w:rsidR="006D5572" w:rsidRDefault="006D5572" w:rsidP="00A80396">
      <w:pPr>
        <w:pStyle w:val="ListParagraph"/>
        <w:numPr>
          <w:ilvl w:val="0"/>
          <w:numId w:val="1"/>
        </w:numPr>
        <w:spacing w:after="0"/>
        <w:ind w:left="567" w:hanging="567"/>
        <w:rPr>
          <w:sz w:val="24"/>
          <w:szCs w:val="24"/>
        </w:rPr>
      </w:pPr>
      <w:bookmarkStart w:id="78" w:name="_Hlk83304107"/>
      <w:r w:rsidRPr="543832D4">
        <w:rPr>
          <w:sz w:val="24"/>
          <w:szCs w:val="24"/>
        </w:rPr>
        <w:t xml:space="preserve">As outlined in the ‘Options to achieve these objectives’ section, this RIS considers two options: </w:t>
      </w:r>
      <w:r w:rsidR="00AB0A9A">
        <w:rPr>
          <w:sz w:val="24"/>
          <w:szCs w:val="24"/>
        </w:rPr>
        <w:t xml:space="preserve">Option 1 – sign the proposed </w:t>
      </w:r>
      <w:r w:rsidR="006E5E78">
        <w:rPr>
          <w:sz w:val="24"/>
          <w:szCs w:val="24"/>
        </w:rPr>
        <w:t>AI ECTA</w:t>
      </w:r>
      <w:r w:rsidR="00AB0A9A">
        <w:rPr>
          <w:sz w:val="24"/>
          <w:szCs w:val="24"/>
        </w:rPr>
        <w:t xml:space="preserve"> and Option 2 – not sign the </w:t>
      </w:r>
      <w:r w:rsidRPr="543832D4">
        <w:rPr>
          <w:sz w:val="24"/>
          <w:szCs w:val="24"/>
        </w:rPr>
        <w:t xml:space="preserve">proposed </w:t>
      </w:r>
      <w:r w:rsidR="006E5E78">
        <w:rPr>
          <w:sz w:val="24"/>
          <w:szCs w:val="24"/>
        </w:rPr>
        <w:t>AI ECTA</w:t>
      </w:r>
      <w:r w:rsidRPr="543832D4">
        <w:rPr>
          <w:sz w:val="24"/>
          <w:szCs w:val="24"/>
        </w:rPr>
        <w:t xml:space="preserve">. Based on these two options, the </w:t>
      </w:r>
      <w:r w:rsidRPr="543832D4">
        <w:rPr>
          <w:b/>
          <w:bCs/>
          <w:sz w:val="24"/>
          <w:szCs w:val="24"/>
        </w:rPr>
        <w:t xml:space="preserve">best option is to sign the proposed </w:t>
      </w:r>
      <w:r w:rsidR="0075790E">
        <w:rPr>
          <w:b/>
          <w:bCs/>
          <w:sz w:val="24"/>
          <w:szCs w:val="24"/>
        </w:rPr>
        <w:t>AI</w:t>
      </w:r>
      <w:r w:rsidR="00217C26">
        <w:rPr>
          <w:b/>
          <w:bCs/>
          <w:sz w:val="24"/>
          <w:szCs w:val="24"/>
        </w:rPr>
        <w:t xml:space="preserve"> ECTA</w:t>
      </w:r>
      <w:r w:rsidRPr="543832D4">
        <w:rPr>
          <w:sz w:val="24"/>
          <w:szCs w:val="24"/>
        </w:rPr>
        <w:t xml:space="preserve"> for the reasons set out below. </w:t>
      </w:r>
    </w:p>
    <w:p w14:paraId="4537CB84" w14:textId="77777777" w:rsidR="00FF5E64" w:rsidRDefault="00FF5E64" w:rsidP="00A5588B">
      <w:pPr>
        <w:pStyle w:val="ListParagraph"/>
        <w:spacing w:after="0"/>
        <w:ind w:left="567"/>
        <w:rPr>
          <w:sz w:val="24"/>
          <w:szCs w:val="24"/>
        </w:rPr>
      </w:pPr>
    </w:p>
    <w:p w14:paraId="03C751D0" w14:textId="419D6F65" w:rsidR="007C211B" w:rsidRDefault="00FF5E64" w:rsidP="00FF064C">
      <w:pPr>
        <w:pStyle w:val="ListParagraph"/>
        <w:numPr>
          <w:ilvl w:val="0"/>
          <w:numId w:val="1"/>
        </w:numPr>
        <w:spacing w:after="0"/>
        <w:ind w:left="567" w:hanging="567"/>
        <w:rPr>
          <w:sz w:val="24"/>
          <w:szCs w:val="24"/>
        </w:rPr>
      </w:pPr>
      <w:r>
        <w:rPr>
          <w:sz w:val="24"/>
          <w:szCs w:val="24"/>
        </w:rPr>
        <w:t xml:space="preserve">In reaching this conclusion, </w:t>
      </w:r>
      <w:r w:rsidR="00725EF4">
        <w:rPr>
          <w:sz w:val="24"/>
          <w:szCs w:val="24"/>
        </w:rPr>
        <w:t xml:space="preserve">DFAT </w:t>
      </w:r>
      <w:r w:rsidR="004F0FEA">
        <w:rPr>
          <w:sz w:val="24"/>
          <w:szCs w:val="24"/>
        </w:rPr>
        <w:t xml:space="preserve">relied on </w:t>
      </w:r>
      <w:r w:rsidR="0095534E">
        <w:rPr>
          <w:sz w:val="24"/>
          <w:szCs w:val="24"/>
        </w:rPr>
        <w:t xml:space="preserve">a range of </w:t>
      </w:r>
      <w:r w:rsidR="004F0FEA">
        <w:rPr>
          <w:sz w:val="24"/>
          <w:szCs w:val="24"/>
        </w:rPr>
        <w:t xml:space="preserve">qualitive and quantitative evidence, with a greater weight placed on qualitative analysis given </w:t>
      </w:r>
      <w:r w:rsidR="00687535">
        <w:rPr>
          <w:sz w:val="24"/>
          <w:szCs w:val="24"/>
        </w:rPr>
        <w:t>DFAT has</w:t>
      </w:r>
      <w:r w:rsidR="0095534E">
        <w:rPr>
          <w:sz w:val="24"/>
          <w:szCs w:val="24"/>
        </w:rPr>
        <w:t xml:space="preserve"> not had the opportunity </w:t>
      </w:r>
      <w:r w:rsidR="00687535">
        <w:rPr>
          <w:sz w:val="24"/>
          <w:szCs w:val="24"/>
        </w:rPr>
        <w:t xml:space="preserve">to undertake </w:t>
      </w:r>
      <w:r w:rsidR="00C16C63">
        <w:rPr>
          <w:sz w:val="24"/>
          <w:szCs w:val="24"/>
        </w:rPr>
        <w:t xml:space="preserve">a </w:t>
      </w:r>
      <w:r w:rsidR="00687535">
        <w:rPr>
          <w:sz w:val="24"/>
          <w:szCs w:val="24"/>
        </w:rPr>
        <w:t>feasibility stud</w:t>
      </w:r>
      <w:r w:rsidR="00C16C63">
        <w:rPr>
          <w:sz w:val="24"/>
          <w:szCs w:val="24"/>
        </w:rPr>
        <w:t>y</w:t>
      </w:r>
      <w:r w:rsidR="00687535">
        <w:rPr>
          <w:sz w:val="24"/>
          <w:szCs w:val="24"/>
        </w:rPr>
        <w:t xml:space="preserve"> to </w:t>
      </w:r>
      <w:r w:rsidR="00C919ED">
        <w:rPr>
          <w:sz w:val="24"/>
          <w:szCs w:val="24"/>
        </w:rPr>
        <w:t>determine</w:t>
      </w:r>
      <w:r w:rsidR="00E203F7">
        <w:rPr>
          <w:sz w:val="24"/>
          <w:szCs w:val="24"/>
        </w:rPr>
        <w:t>, in detail, the</w:t>
      </w:r>
      <w:r w:rsidR="0095534E">
        <w:rPr>
          <w:sz w:val="24"/>
          <w:szCs w:val="24"/>
        </w:rPr>
        <w:t xml:space="preserve"> quantitative effects of the proposed </w:t>
      </w:r>
      <w:r w:rsidR="0075790E">
        <w:rPr>
          <w:sz w:val="24"/>
          <w:szCs w:val="24"/>
        </w:rPr>
        <w:t>AI</w:t>
      </w:r>
      <w:r w:rsidR="00217C26">
        <w:rPr>
          <w:sz w:val="24"/>
          <w:szCs w:val="24"/>
        </w:rPr>
        <w:t xml:space="preserve"> ECTA</w:t>
      </w:r>
      <w:r w:rsidR="0095534E">
        <w:rPr>
          <w:sz w:val="24"/>
          <w:szCs w:val="24"/>
        </w:rPr>
        <w:t>.</w:t>
      </w:r>
      <w:r w:rsidR="007C211B">
        <w:rPr>
          <w:sz w:val="24"/>
          <w:szCs w:val="24"/>
        </w:rPr>
        <w:t xml:space="preserve"> </w:t>
      </w:r>
      <w:r w:rsidR="00BE3896">
        <w:rPr>
          <w:sz w:val="24"/>
          <w:szCs w:val="24"/>
        </w:rPr>
        <w:t>Nonetheless</w:t>
      </w:r>
      <w:r w:rsidR="00E203F7" w:rsidRPr="00A5588B">
        <w:rPr>
          <w:sz w:val="24"/>
          <w:szCs w:val="24"/>
        </w:rPr>
        <w:t xml:space="preserve">, a high-level quantitative analysis of the existing tariff lines, </w:t>
      </w:r>
      <w:r w:rsidR="00EA20C4">
        <w:rPr>
          <w:sz w:val="24"/>
          <w:szCs w:val="24"/>
        </w:rPr>
        <w:t xml:space="preserve">a quantitative and </w:t>
      </w:r>
      <w:r w:rsidR="00317368">
        <w:rPr>
          <w:sz w:val="24"/>
          <w:szCs w:val="24"/>
        </w:rPr>
        <w:t>qualitative assessment of the</w:t>
      </w:r>
      <w:r w:rsidR="00E203F7" w:rsidRPr="00A5588B">
        <w:rPr>
          <w:sz w:val="24"/>
          <w:szCs w:val="24"/>
        </w:rPr>
        <w:t xml:space="preserve"> </w:t>
      </w:r>
      <w:r w:rsidR="0079063B" w:rsidRPr="00A5588B">
        <w:rPr>
          <w:sz w:val="24"/>
          <w:szCs w:val="24"/>
        </w:rPr>
        <w:t xml:space="preserve">benefits and impacts of the proposed </w:t>
      </w:r>
      <w:r w:rsidR="00E203F7" w:rsidRPr="00A5588B">
        <w:rPr>
          <w:sz w:val="24"/>
          <w:szCs w:val="24"/>
        </w:rPr>
        <w:t xml:space="preserve">elimination or reduction in tariffs, alongside </w:t>
      </w:r>
      <w:r w:rsidR="00317368">
        <w:rPr>
          <w:sz w:val="24"/>
          <w:szCs w:val="24"/>
        </w:rPr>
        <w:t>a</w:t>
      </w:r>
      <w:r w:rsidR="00E203F7" w:rsidRPr="00A5588B">
        <w:rPr>
          <w:sz w:val="24"/>
          <w:szCs w:val="24"/>
        </w:rPr>
        <w:t xml:space="preserve"> qualitative analysis of </w:t>
      </w:r>
      <w:r w:rsidR="0079063B" w:rsidRPr="00A5588B">
        <w:rPr>
          <w:sz w:val="24"/>
          <w:szCs w:val="24"/>
        </w:rPr>
        <w:t xml:space="preserve">outcomes stakeholders have requested and </w:t>
      </w:r>
      <w:r w:rsidR="00E50A2B">
        <w:rPr>
          <w:sz w:val="24"/>
          <w:szCs w:val="24"/>
        </w:rPr>
        <w:t>a qualitative consideration of the</w:t>
      </w:r>
      <w:r w:rsidR="00E27BFB" w:rsidRPr="00A5588B">
        <w:rPr>
          <w:sz w:val="24"/>
          <w:szCs w:val="24"/>
        </w:rPr>
        <w:t xml:space="preserve"> benefits and impacts for the Australian services sectors</w:t>
      </w:r>
      <w:r w:rsidR="00E50A2B">
        <w:rPr>
          <w:sz w:val="24"/>
          <w:szCs w:val="24"/>
        </w:rPr>
        <w:t xml:space="preserve"> and the</w:t>
      </w:r>
      <w:r w:rsidR="00AC2EF9">
        <w:rPr>
          <w:sz w:val="24"/>
          <w:szCs w:val="24"/>
        </w:rPr>
        <w:t xml:space="preserve"> temporary</w:t>
      </w:r>
      <w:r w:rsidR="00E50A2B">
        <w:rPr>
          <w:sz w:val="24"/>
          <w:szCs w:val="24"/>
        </w:rPr>
        <w:t xml:space="preserve"> mov</w:t>
      </w:r>
      <w:r w:rsidR="00AC2EF9">
        <w:rPr>
          <w:sz w:val="24"/>
          <w:szCs w:val="24"/>
        </w:rPr>
        <w:t>ement of natural persons,</w:t>
      </w:r>
      <w:r w:rsidR="00E27BFB" w:rsidRPr="00A5588B">
        <w:rPr>
          <w:sz w:val="24"/>
          <w:szCs w:val="24"/>
        </w:rPr>
        <w:t xml:space="preserve"> indicates that </w:t>
      </w:r>
      <w:r w:rsidR="003C5DD5" w:rsidRPr="00A5588B">
        <w:rPr>
          <w:sz w:val="24"/>
          <w:szCs w:val="24"/>
        </w:rPr>
        <w:t>it would be in Australia’s interests to sign t</w:t>
      </w:r>
      <w:r w:rsidR="00E27BFB" w:rsidRPr="00A5588B">
        <w:rPr>
          <w:sz w:val="24"/>
          <w:szCs w:val="24"/>
        </w:rPr>
        <w:t xml:space="preserve">he proposed </w:t>
      </w:r>
      <w:r w:rsidR="0075790E">
        <w:rPr>
          <w:sz w:val="24"/>
          <w:szCs w:val="24"/>
        </w:rPr>
        <w:t>AI</w:t>
      </w:r>
      <w:r w:rsidR="00217C26">
        <w:rPr>
          <w:sz w:val="24"/>
          <w:szCs w:val="24"/>
        </w:rPr>
        <w:t xml:space="preserve"> ECTA</w:t>
      </w:r>
      <w:r w:rsidR="003C5DD5" w:rsidRPr="00A5588B">
        <w:rPr>
          <w:sz w:val="24"/>
          <w:szCs w:val="24"/>
        </w:rPr>
        <w:t>.</w:t>
      </w:r>
      <w:r w:rsidR="00BE3896">
        <w:rPr>
          <w:sz w:val="24"/>
          <w:szCs w:val="24"/>
        </w:rPr>
        <w:t xml:space="preserve"> </w:t>
      </w:r>
      <w:r w:rsidR="007F52E1" w:rsidRPr="00A5588B">
        <w:rPr>
          <w:b/>
          <w:bCs/>
          <w:sz w:val="24"/>
          <w:szCs w:val="24"/>
        </w:rPr>
        <w:t xml:space="preserve">Table </w:t>
      </w:r>
      <w:r w:rsidR="00FC2D70" w:rsidRPr="00A5588B">
        <w:rPr>
          <w:b/>
          <w:bCs/>
          <w:sz w:val="24"/>
          <w:szCs w:val="24"/>
        </w:rPr>
        <w:t>1</w:t>
      </w:r>
      <w:r w:rsidR="000E6E1E">
        <w:rPr>
          <w:b/>
          <w:bCs/>
          <w:sz w:val="24"/>
          <w:szCs w:val="24"/>
        </w:rPr>
        <w:t>6</w:t>
      </w:r>
      <w:r w:rsidR="00FC2D70">
        <w:rPr>
          <w:sz w:val="24"/>
          <w:szCs w:val="24"/>
        </w:rPr>
        <w:t xml:space="preserve"> provides a summary of the advantages and disadvantages of Options 1 and 2. </w:t>
      </w:r>
    </w:p>
    <w:p w14:paraId="6AB8482B" w14:textId="77777777" w:rsidR="00CC4E77" w:rsidRPr="00A5588B" w:rsidRDefault="00CC4E77" w:rsidP="00A5588B">
      <w:pPr>
        <w:pStyle w:val="ListParagraph"/>
        <w:spacing w:after="0"/>
        <w:rPr>
          <w:sz w:val="24"/>
          <w:szCs w:val="24"/>
        </w:rPr>
      </w:pPr>
    </w:p>
    <w:p w14:paraId="24D717C9" w14:textId="38F443EF" w:rsidR="00CC4E77" w:rsidRPr="00A5588B" w:rsidRDefault="00CC4E77" w:rsidP="00FF064C">
      <w:pPr>
        <w:spacing w:after="0"/>
        <w:rPr>
          <w:b/>
          <w:bCs/>
          <w:sz w:val="24"/>
          <w:szCs w:val="24"/>
        </w:rPr>
      </w:pPr>
      <w:r w:rsidRPr="00A5588B">
        <w:rPr>
          <w:b/>
          <w:bCs/>
          <w:sz w:val="24"/>
          <w:szCs w:val="24"/>
          <w:u w:val="single"/>
        </w:rPr>
        <w:t>Table 1</w:t>
      </w:r>
      <w:r w:rsidR="000E6E1E">
        <w:rPr>
          <w:b/>
          <w:bCs/>
          <w:sz w:val="24"/>
          <w:szCs w:val="24"/>
          <w:u w:val="single"/>
        </w:rPr>
        <w:t>6</w:t>
      </w:r>
      <w:r w:rsidR="00E77147">
        <w:rPr>
          <w:b/>
          <w:bCs/>
          <w:sz w:val="24"/>
          <w:szCs w:val="24"/>
        </w:rPr>
        <w:t>:</w:t>
      </w:r>
      <w:r w:rsidRPr="00A5588B">
        <w:rPr>
          <w:b/>
          <w:bCs/>
          <w:sz w:val="24"/>
          <w:szCs w:val="24"/>
        </w:rPr>
        <w:t xml:space="preserve"> summary of the advantages and disa</w:t>
      </w:r>
      <w:r w:rsidR="000C7802" w:rsidRPr="00A5588B">
        <w:rPr>
          <w:b/>
          <w:bCs/>
          <w:sz w:val="24"/>
          <w:szCs w:val="24"/>
        </w:rPr>
        <w:t xml:space="preserve">dvantages of Options 1 and 2 </w:t>
      </w:r>
    </w:p>
    <w:p w14:paraId="45F74E4A" w14:textId="0CE6BB09" w:rsidR="000C7802" w:rsidRDefault="000C7802" w:rsidP="00CC4E77">
      <w:pPr>
        <w:spacing w:after="0"/>
        <w:rPr>
          <w:sz w:val="24"/>
          <w:szCs w:val="24"/>
        </w:rPr>
      </w:pPr>
    </w:p>
    <w:tbl>
      <w:tblPr>
        <w:tblStyle w:val="TableGrid"/>
        <w:tblW w:w="0" w:type="auto"/>
        <w:tblLook w:val="04A0" w:firstRow="1" w:lastRow="0" w:firstColumn="1" w:lastColumn="0" w:noHBand="0" w:noVBand="1"/>
      </w:tblPr>
      <w:tblGrid>
        <w:gridCol w:w="1087"/>
        <w:gridCol w:w="1817"/>
        <w:gridCol w:w="2336"/>
        <w:gridCol w:w="2874"/>
        <w:gridCol w:w="1515"/>
      </w:tblGrid>
      <w:tr w:rsidR="006D4302" w:rsidRPr="00B33CC4" w14:paraId="769DB6F4" w14:textId="77777777" w:rsidTr="00BC0A90">
        <w:trPr>
          <w:tblHeader/>
        </w:trPr>
        <w:tc>
          <w:tcPr>
            <w:tcW w:w="0" w:type="auto"/>
          </w:tcPr>
          <w:p w14:paraId="37A28C07" w14:textId="77777777" w:rsidR="002E2CBD" w:rsidRPr="0001716D" w:rsidRDefault="002E2CBD" w:rsidP="00E667BF">
            <w:pPr>
              <w:rPr>
                <w:b/>
                <w:bCs/>
                <w:sz w:val="18"/>
                <w:szCs w:val="18"/>
              </w:rPr>
            </w:pPr>
            <w:bookmarkStart w:id="79" w:name="_Hlk99553963"/>
            <w:r w:rsidRPr="0001716D">
              <w:rPr>
                <w:b/>
                <w:bCs/>
                <w:sz w:val="18"/>
                <w:szCs w:val="18"/>
              </w:rPr>
              <w:t>Category</w:t>
            </w:r>
          </w:p>
        </w:tc>
        <w:tc>
          <w:tcPr>
            <w:tcW w:w="1817" w:type="dxa"/>
          </w:tcPr>
          <w:p w14:paraId="71E2ACBA" w14:textId="77777777" w:rsidR="002E2CBD" w:rsidRPr="0001716D" w:rsidRDefault="002E2CBD" w:rsidP="00E667BF">
            <w:pPr>
              <w:rPr>
                <w:b/>
                <w:bCs/>
                <w:sz w:val="18"/>
                <w:szCs w:val="18"/>
              </w:rPr>
            </w:pPr>
            <w:r w:rsidRPr="0001716D">
              <w:rPr>
                <w:b/>
                <w:bCs/>
                <w:sz w:val="18"/>
                <w:szCs w:val="18"/>
              </w:rPr>
              <w:t>Benefit or cost</w:t>
            </w:r>
          </w:p>
        </w:tc>
        <w:tc>
          <w:tcPr>
            <w:tcW w:w="2336" w:type="dxa"/>
          </w:tcPr>
          <w:p w14:paraId="200940A7" w14:textId="77777777" w:rsidR="002E2CBD" w:rsidRPr="0001716D" w:rsidRDefault="002E2CBD" w:rsidP="00E667BF">
            <w:pPr>
              <w:rPr>
                <w:b/>
                <w:bCs/>
                <w:sz w:val="18"/>
                <w:szCs w:val="18"/>
              </w:rPr>
            </w:pPr>
            <w:r w:rsidRPr="0001716D">
              <w:rPr>
                <w:b/>
                <w:bCs/>
                <w:sz w:val="18"/>
                <w:szCs w:val="18"/>
              </w:rPr>
              <w:t>Method of assessment</w:t>
            </w:r>
          </w:p>
        </w:tc>
        <w:tc>
          <w:tcPr>
            <w:tcW w:w="2874" w:type="dxa"/>
          </w:tcPr>
          <w:p w14:paraId="1E01FB7F" w14:textId="4FC74A49" w:rsidR="002E2CBD" w:rsidRPr="0001716D" w:rsidRDefault="002E2CBD" w:rsidP="00E667BF">
            <w:pPr>
              <w:rPr>
                <w:b/>
                <w:bCs/>
                <w:sz w:val="18"/>
                <w:szCs w:val="18"/>
              </w:rPr>
            </w:pPr>
            <w:r w:rsidRPr="0001716D">
              <w:rPr>
                <w:b/>
                <w:bCs/>
                <w:sz w:val="18"/>
                <w:szCs w:val="18"/>
              </w:rPr>
              <w:t xml:space="preserve">Option 1 – sign the proposed </w:t>
            </w:r>
            <w:r w:rsidR="006E5E78">
              <w:rPr>
                <w:b/>
                <w:bCs/>
                <w:sz w:val="18"/>
                <w:szCs w:val="18"/>
              </w:rPr>
              <w:t>AI ECTA</w:t>
            </w:r>
          </w:p>
        </w:tc>
        <w:tc>
          <w:tcPr>
            <w:tcW w:w="0" w:type="auto"/>
          </w:tcPr>
          <w:p w14:paraId="4D19ECC9" w14:textId="2B79AF22" w:rsidR="002E2CBD" w:rsidRPr="0001716D" w:rsidRDefault="002E2CBD" w:rsidP="00E667BF">
            <w:pPr>
              <w:rPr>
                <w:b/>
                <w:bCs/>
                <w:sz w:val="18"/>
                <w:szCs w:val="18"/>
              </w:rPr>
            </w:pPr>
            <w:r w:rsidRPr="0001716D">
              <w:rPr>
                <w:b/>
                <w:bCs/>
                <w:sz w:val="18"/>
                <w:szCs w:val="18"/>
              </w:rPr>
              <w:t xml:space="preserve">Option 2 – not sign the proposed </w:t>
            </w:r>
            <w:r w:rsidR="006E5E78">
              <w:rPr>
                <w:b/>
                <w:bCs/>
                <w:sz w:val="18"/>
                <w:szCs w:val="18"/>
              </w:rPr>
              <w:t>AI ECTA</w:t>
            </w:r>
            <w:r w:rsidRPr="0001716D">
              <w:rPr>
                <w:b/>
                <w:bCs/>
                <w:sz w:val="18"/>
                <w:szCs w:val="18"/>
              </w:rPr>
              <w:t xml:space="preserve"> </w:t>
            </w:r>
          </w:p>
        </w:tc>
      </w:tr>
      <w:tr w:rsidR="006D4302" w:rsidRPr="00B33CC4" w14:paraId="2DFF24CB" w14:textId="77777777" w:rsidTr="00BC0A90">
        <w:tc>
          <w:tcPr>
            <w:tcW w:w="0" w:type="auto"/>
            <w:vMerge w:val="restart"/>
          </w:tcPr>
          <w:p w14:paraId="1B80A9FA" w14:textId="77777777" w:rsidR="002E2CBD" w:rsidRPr="0001716D" w:rsidRDefault="002E2CBD" w:rsidP="00E667BF">
            <w:pPr>
              <w:rPr>
                <w:b/>
                <w:bCs/>
                <w:sz w:val="18"/>
                <w:szCs w:val="18"/>
              </w:rPr>
            </w:pPr>
            <w:r w:rsidRPr="0001716D">
              <w:rPr>
                <w:b/>
                <w:bCs/>
                <w:sz w:val="18"/>
                <w:szCs w:val="18"/>
              </w:rPr>
              <w:t>Strategic benefits to Australia</w:t>
            </w:r>
          </w:p>
        </w:tc>
        <w:tc>
          <w:tcPr>
            <w:tcW w:w="1817" w:type="dxa"/>
          </w:tcPr>
          <w:p w14:paraId="297353F3" w14:textId="77777777" w:rsidR="002E2CBD" w:rsidRDefault="002E2CBD" w:rsidP="00E667BF">
            <w:pPr>
              <w:rPr>
                <w:sz w:val="18"/>
                <w:szCs w:val="18"/>
              </w:rPr>
            </w:pPr>
            <w:r w:rsidRPr="0001716D">
              <w:rPr>
                <w:sz w:val="18"/>
                <w:szCs w:val="18"/>
              </w:rPr>
              <w:t>Increased diversification of export markets</w:t>
            </w:r>
          </w:p>
          <w:p w14:paraId="32058EB3" w14:textId="124CDAD2" w:rsidR="004A689A" w:rsidRPr="0001716D" w:rsidRDefault="004A689A" w:rsidP="00E667BF">
            <w:pPr>
              <w:rPr>
                <w:sz w:val="18"/>
                <w:szCs w:val="18"/>
              </w:rPr>
            </w:pPr>
          </w:p>
        </w:tc>
        <w:tc>
          <w:tcPr>
            <w:tcW w:w="2336" w:type="dxa"/>
          </w:tcPr>
          <w:p w14:paraId="1A402952" w14:textId="77777777" w:rsidR="002E2CBD" w:rsidRPr="0001716D" w:rsidRDefault="002E2CBD" w:rsidP="00E667BF">
            <w:pPr>
              <w:rPr>
                <w:sz w:val="18"/>
                <w:szCs w:val="18"/>
              </w:rPr>
            </w:pPr>
            <w:r w:rsidRPr="0001716D">
              <w:rPr>
                <w:sz w:val="18"/>
                <w:szCs w:val="18"/>
              </w:rPr>
              <w:t>Qualitative</w:t>
            </w:r>
          </w:p>
        </w:tc>
        <w:tc>
          <w:tcPr>
            <w:tcW w:w="2874" w:type="dxa"/>
          </w:tcPr>
          <w:p w14:paraId="2A7DDC6C" w14:textId="77777777" w:rsidR="002E2CBD" w:rsidRPr="0001716D" w:rsidRDefault="002E2CBD" w:rsidP="00E667BF">
            <w:pPr>
              <w:rPr>
                <w:sz w:val="18"/>
                <w:szCs w:val="18"/>
              </w:rPr>
            </w:pPr>
            <w:r w:rsidRPr="0001716D">
              <w:rPr>
                <w:sz w:val="18"/>
                <w:szCs w:val="18"/>
              </w:rPr>
              <w:t>Increased diversification relative to status quo</w:t>
            </w:r>
          </w:p>
        </w:tc>
        <w:tc>
          <w:tcPr>
            <w:tcW w:w="0" w:type="auto"/>
          </w:tcPr>
          <w:p w14:paraId="397DE677" w14:textId="77777777" w:rsidR="002E2CBD" w:rsidRPr="0001716D" w:rsidRDefault="002E2CBD" w:rsidP="00E667BF">
            <w:pPr>
              <w:rPr>
                <w:sz w:val="18"/>
                <w:szCs w:val="18"/>
              </w:rPr>
            </w:pPr>
            <w:r w:rsidRPr="0001716D">
              <w:rPr>
                <w:sz w:val="18"/>
                <w:szCs w:val="18"/>
              </w:rPr>
              <w:t>Status quo</w:t>
            </w:r>
          </w:p>
        </w:tc>
      </w:tr>
      <w:tr w:rsidR="006D4302" w:rsidRPr="00B33CC4" w14:paraId="57756CF5" w14:textId="77777777" w:rsidTr="00BC0A90">
        <w:tc>
          <w:tcPr>
            <w:tcW w:w="0" w:type="auto"/>
            <w:vMerge/>
          </w:tcPr>
          <w:p w14:paraId="3033571D" w14:textId="77777777" w:rsidR="002E2CBD" w:rsidRPr="0001716D" w:rsidRDefault="002E2CBD" w:rsidP="00E667BF">
            <w:pPr>
              <w:rPr>
                <w:b/>
                <w:bCs/>
                <w:sz w:val="18"/>
                <w:szCs w:val="18"/>
              </w:rPr>
            </w:pPr>
          </w:p>
        </w:tc>
        <w:tc>
          <w:tcPr>
            <w:tcW w:w="1817" w:type="dxa"/>
          </w:tcPr>
          <w:p w14:paraId="43D00CF9" w14:textId="77777777" w:rsidR="004A689A" w:rsidRDefault="002E2CBD" w:rsidP="00E667BF">
            <w:pPr>
              <w:rPr>
                <w:sz w:val="18"/>
                <w:szCs w:val="18"/>
              </w:rPr>
            </w:pPr>
            <w:r w:rsidRPr="0001716D">
              <w:rPr>
                <w:sz w:val="18"/>
                <w:szCs w:val="18"/>
              </w:rPr>
              <w:t>Strengthened regional economic architecture during a period of geopolitical uncertainty and trade tensions</w:t>
            </w:r>
          </w:p>
          <w:p w14:paraId="3CA1C56F" w14:textId="33B50D68" w:rsidR="002E2CBD" w:rsidRPr="0001716D" w:rsidRDefault="002E2CBD" w:rsidP="00E667BF">
            <w:pPr>
              <w:rPr>
                <w:sz w:val="18"/>
                <w:szCs w:val="18"/>
              </w:rPr>
            </w:pPr>
            <w:r w:rsidRPr="0001716D">
              <w:rPr>
                <w:sz w:val="18"/>
                <w:szCs w:val="18"/>
              </w:rPr>
              <w:t xml:space="preserve"> </w:t>
            </w:r>
          </w:p>
        </w:tc>
        <w:tc>
          <w:tcPr>
            <w:tcW w:w="2336" w:type="dxa"/>
          </w:tcPr>
          <w:p w14:paraId="251FFB42" w14:textId="77777777" w:rsidR="002E2CBD" w:rsidRPr="0001716D" w:rsidRDefault="002E2CBD" w:rsidP="00E667BF">
            <w:pPr>
              <w:rPr>
                <w:sz w:val="18"/>
                <w:szCs w:val="18"/>
              </w:rPr>
            </w:pPr>
            <w:r w:rsidRPr="0001716D">
              <w:rPr>
                <w:sz w:val="18"/>
                <w:szCs w:val="18"/>
              </w:rPr>
              <w:t>Qualitative</w:t>
            </w:r>
          </w:p>
        </w:tc>
        <w:tc>
          <w:tcPr>
            <w:tcW w:w="2874" w:type="dxa"/>
          </w:tcPr>
          <w:p w14:paraId="56F6D4D6" w14:textId="77777777" w:rsidR="002E2CBD" w:rsidRPr="0001716D" w:rsidRDefault="002E2CBD" w:rsidP="00E667BF">
            <w:pPr>
              <w:rPr>
                <w:sz w:val="18"/>
                <w:szCs w:val="18"/>
              </w:rPr>
            </w:pPr>
            <w:r w:rsidRPr="0001716D">
              <w:rPr>
                <w:sz w:val="18"/>
                <w:szCs w:val="18"/>
              </w:rPr>
              <w:t>Strengthened relative to status quo</w:t>
            </w:r>
          </w:p>
        </w:tc>
        <w:tc>
          <w:tcPr>
            <w:tcW w:w="0" w:type="auto"/>
          </w:tcPr>
          <w:p w14:paraId="565008FB" w14:textId="77777777" w:rsidR="002E2CBD" w:rsidRPr="0001716D" w:rsidRDefault="002E2CBD" w:rsidP="00E667BF">
            <w:pPr>
              <w:rPr>
                <w:sz w:val="18"/>
                <w:szCs w:val="18"/>
              </w:rPr>
            </w:pPr>
            <w:r w:rsidRPr="0001716D">
              <w:rPr>
                <w:sz w:val="18"/>
                <w:szCs w:val="18"/>
              </w:rPr>
              <w:t>Status quo</w:t>
            </w:r>
          </w:p>
        </w:tc>
      </w:tr>
      <w:tr w:rsidR="006D4302" w:rsidRPr="00B33CC4" w14:paraId="26AFCC90" w14:textId="77777777" w:rsidTr="00BC0A90">
        <w:tc>
          <w:tcPr>
            <w:tcW w:w="0" w:type="auto"/>
            <w:vMerge/>
          </w:tcPr>
          <w:p w14:paraId="4EE1E2CC" w14:textId="77777777" w:rsidR="002E2CBD" w:rsidRPr="0001716D" w:rsidRDefault="002E2CBD" w:rsidP="00E667BF">
            <w:pPr>
              <w:rPr>
                <w:b/>
                <w:bCs/>
                <w:sz w:val="18"/>
                <w:szCs w:val="18"/>
              </w:rPr>
            </w:pPr>
          </w:p>
        </w:tc>
        <w:tc>
          <w:tcPr>
            <w:tcW w:w="1817" w:type="dxa"/>
          </w:tcPr>
          <w:p w14:paraId="3864330F" w14:textId="77777777" w:rsidR="002E2CBD" w:rsidRDefault="002E2CBD" w:rsidP="00E667BF">
            <w:pPr>
              <w:rPr>
                <w:sz w:val="18"/>
                <w:szCs w:val="18"/>
              </w:rPr>
            </w:pPr>
            <w:r w:rsidRPr="0001716D">
              <w:rPr>
                <w:sz w:val="18"/>
                <w:szCs w:val="18"/>
              </w:rPr>
              <w:t>Foundation for future full CECA which could address issues such as procurement</w:t>
            </w:r>
          </w:p>
          <w:p w14:paraId="4AC6863F" w14:textId="1F8E7D28" w:rsidR="004A689A" w:rsidRPr="0001716D" w:rsidRDefault="004A689A" w:rsidP="00E667BF">
            <w:pPr>
              <w:rPr>
                <w:sz w:val="18"/>
                <w:szCs w:val="18"/>
              </w:rPr>
            </w:pPr>
          </w:p>
        </w:tc>
        <w:tc>
          <w:tcPr>
            <w:tcW w:w="2336" w:type="dxa"/>
          </w:tcPr>
          <w:p w14:paraId="3D190C6F" w14:textId="77777777" w:rsidR="002E2CBD" w:rsidRPr="0001716D" w:rsidRDefault="002E2CBD" w:rsidP="00E667BF">
            <w:pPr>
              <w:rPr>
                <w:sz w:val="18"/>
                <w:szCs w:val="18"/>
              </w:rPr>
            </w:pPr>
            <w:r w:rsidRPr="0001716D">
              <w:rPr>
                <w:sz w:val="18"/>
                <w:szCs w:val="18"/>
              </w:rPr>
              <w:t>Qualitative</w:t>
            </w:r>
          </w:p>
        </w:tc>
        <w:tc>
          <w:tcPr>
            <w:tcW w:w="2874" w:type="dxa"/>
          </w:tcPr>
          <w:p w14:paraId="04FEC73C" w14:textId="77777777" w:rsidR="002E2CBD" w:rsidRPr="0001716D" w:rsidRDefault="002E2CBD" w:rsidP="00E667BF">
            <w:pPr>
              <w:rPr>
                <w:sz w:val="18"/>
                <w:szCs w:val="18"/>
              </w:rPr>
            </w:pPr>
            <w:r w:rsidRPr="0001716D">
              <w:rPr>
                <w:sz w:val="18"/>
                <w:szCs w:val="18"/>
              </w:rPr>
              <w:t xml:space="preserve">Stronger foundation for future CECA </w:t>
            </w:r>
          </w:p>
        </w:tc>
        <w:tc>
          <w:tcPr>
            <w:tcW w:w="0" w:type="auto"/>
          </w:tcPr>
          <w:p w14:paraId="3D2DF228" w14:textId="77777777" w:rsidR="002E2CBD" w:rsidRPr="0001716D" w:rsidRDefault="002E2CBD" w:rsidP="00E667BF">
            <w:pPr>
              <w:rPr>
                <w:sz w:val="18"/>
                <w:szCs w:val="18"/>
              </w:rPr>
            </w:pPr>
            <w:r w:rsidRPr="0001716D">
              <w:rPr>
                <w:sz w:val="18"/>
                <w:szCs w:val="18"/>
              </w:rPr>
              <w:t>Weaker foundation for future CECA</w:t>
            </w:r>
          </w:p>
        </w:tc>
      </w:tr>
      <w:tr w:rsidR="006D4302" w:rsidRPr="00B33CC4" w14:paraId="534B4887" w14:textId="77777777" w:rsidTr="00BC0A90">
        <w:tc>
          <w:tcPr>
            <w:tcW w:w="0" w:type="auto"/>
            <w:vMerge/>
          </w:tcPr>
          <w:p w14:paraId="41477698" w14:textId="77777777" w:rsidR="002E2CBD" w:rsidRPr="0001716D" w:rsidRDefault="002E2CBD" w:rsidP="00E667BF">
            <w:pPr>
              <w:rPr>
                <w:b/>
                <w:bCs/>
                <w:sz w:val="18"/>
                <w:szCs w:val="18"/>
              </w:rPr>
            </w:pPr>
          </w:p>
        </w:tc>
        <w:tc>
          <w:tcPr>
            <w:tcW w:w="1817" w:type="dxa"/>
          </w:tcPr>
          <w:p w14:paraId="6D9D8D97" w14:textId="77777777" w:rsidR="002E2CBD" w:rsidRPr="0001716D" w:rsidRDefault="002E2CBD" w:rsidP="00E667BF">
            <w:pPr>
              <w:rPr>
                <w:sz w:val="18"/>
                <w:szCs w:val="18"/>
              </w:rPr>
            </w:pPr>
            <w:r w:rsidRPr="0001716D">
              <w:rPr>
                <w:sz w:val="18"/>
                <w:szCs w:val="18"/>
              </w:rPr>
              <w:t xml:space="preserve">Welfare gains for both Australia and India </w:t>
            </w:r>
          </w:p>
        </w:tc>
        <w:tc>
          <w:tcPr>
            <w:tcW w:w="2336" w:type="dxa"/>
          </w:tcPr>
          <w:p w14:paraId="504DDB08" w14:textId="77777777" w:rsidR="002E2CBD" w:rsidRPr="0001716D" w:rsidRDefault="002E2CBD" w:rsidP="00E667BF">
            <w:pPr>
              <w:rPr>
                <w:sz w:val="18"/>
                <w:szCs w:val="18"/>
              </w:rPr>
            </w:pPr>
            <w:r w:rsidRPr="0001716D">
              <w:rPr>
                <w:sz w:val="18"/>
                <w:szCs w:val="18"/>
              </w:rPr>
              <w:t xml:space="preserve">Independent economic modelling (2009) </w:t>
            </w:r>
          </w:p>
        </w:tc>
        <w:tc>
          <w:tcPr>
            <w:tcW w:w="2874" w:type="dxa"/>
          </w:tcPr>
          <w:p w14:paraId="7B270258" w14:textId="77777777" w:rsidR="002E2CBD" w:rsidRDefault="002E2CBD" w:rsidP="00E667BF">
            <w:pPr>
              <w:rPr>
                <w:sz w:val="18"/>
                <w:szCs w:val="18"/>
              </w:rPr>
            </w:pPr>
            <w:r w:rsidRPr="0001716D">
              <w:rPr>
                <w:sz w:val="18"/>
                <w:szCs w:val="18"/>
              </w:rPr>
              <w:t>Gains of between 0.15 and 1.14 per cent of GDP (India) and between 0.23 and 1.17 per cent of GDP (Australia) relative to baseline</w:t>
            </w:r>
          </w:p>
          <w:p w14:paraId="55D8A170" w14:textId="7707A3E2" w:rsidR="004A689A" w:rsidRPr="0001716D" w:rsidRDefault="004A689A" w:rsidP="00E667BF">
            <w:pPr>
              <w:rPr>
                <w:sz w:val="18"/>
                <w:szCs w:val="18"/>
              </w:rPr>
            </w:pPr>
          </w:p>
        </w:tc>
        <w:tc>
          <w:tcPr>
            <w:tcW w:w="0" w:type="auto"/>
          </w:tcPr>
          <w:p w14:paraId="72B6363A" w14:textId="77777777" w:rsidR="002E2CBD" w:rsidRPr="0001716D" w:rsidRDefault="002E2CBD" w:rsidP="00E667BF">
            <w:pPr>
              <w:rPr>
                <w:sz w:val="18"/>
                <w:szCs w:val="18"/>
              </w:rPr>
            </w:pPr>
            <w:r w:rsidRPr="0001716D">
              <w:rPr>
                <w:sz w:val="18"/>
                <w:szCs w:val="18"/>
              </w:rPr>
              <w:t xml:space="preserve">Baseline </w:t>
            </w:r>
          </w:p>
        </w:tc>
      </w:tr>
      <w:tr w:rsidR="006D4302" w:rsidRPr="00B33CC4" w14:paraId="790F5B15" w14:textId="77777777" w:rsidTr="00BC0A90">
        <w:tc>
          <w:tcPr>
            <w:tcW w:w="0" w:type="auto"/>
            <w:vMerge w:val="restart"/>
          </w:tcPr>
          <w:p w14:paraId="0A2A4DD2" w14:textId="77777777" w:rsidR="002E2CBD" w:rsidRPr="0001716D" w:rsidRDefault="002E2CBD" w:rsidP="00E667BF">
            <w:pPr>
              <w:rPr>
                <w:b/>
                <w:bCs/>
                <w:sz w:val="18"/>
                <w:szCs w:val="18"/>
              </w:rPr>
            </w:pPr>
            <w:r w:rsidRPr="0001716D">
              <w:rPr>
                <w:b/>
                <w:bCs/>
                <w:sz w:val="18"/>
                <w:szCs w:val="18"/>
              </w:rPr>
              <w:t>Benefits to Australian businesses and consumers</w:t>
            </w:r>
          </w:p>
        </w:tc>
        <w:tc>
          <w:tcPr>
            <w:tcW w:w="1817" w:type="dxa"/>
          </w:tcPr>
          <w:p w14:paraId="13F81E8C" w14:textId="77777777" w:rsidR="002E2CBD" w:rsidRPr="0001716D" w:rsidRDefault="002E2CBD" w:rsidP="00E667BF">
            <w:pPr>
              <w:rPr>
                <w:sz w:val="18"/>
                <w:szCs w:val="18"/>
              </w:rPr>
            </w:pPr>
            <w:r w:rsidRPr="0001716D">
              <w:rPr>
                <w:sz w:val="18"/>
                <w:szCs w:val="18"/>
              </w:rPr>
              <w:t>Reduced tariff barriers for wide variety of goods exports</w:t>
            </w:r>
          </w:p>
        </w:tc>
        <w:tc>
          <w:tcPr>
            <w:tcW w:w="2336" w:type="dxa"/>
          </w:tcPr>
          <w:p w14:paraId="30B8AF9C" w14:textId="77777777" w:rsidR="002E2CBD" w:rsidRPr="0001716D" w:rsidRDefault="002E2CBD" w:rsidP="00E667BF">
            <w:pPr>
              <w:rPr>
                <w:sz w:val="18"/>
                <w:szCs w:val="18"/>
              </w:rPr>
            </w:pPr>
            <w:r w:rsidRPr="0001716D">
              <w:rPr>
                <w:sz w:val="18"/>
                <w:szCs w:val="18"/>
              </w:rPr>
              <w:t>DFAT analysis of tariff lines and average imports (2018-2020)</w:t>
            </w:r>
          </w:p>
        </w:tc>
        <w:tc>
          <w:tcPr>
            <w:tcW w:w="2874" w:type="dxa"/>
          </w:tcPr>
          <w:p w14:paraId="51DFF698" w14:textId="216E1B11" w:rsidR="002E2CBD" w:rsidRDefault="002E2CBD" w:rsidP="00E667BF">
            <w:pPr>
              <w:rPr>
                <w:sz w:val="18"/>
                <w:szCs w:val="18"/>
              </w:rPr>
            </w:pPr>
            <w:r w:rsidRPr="0001716D">
              <w:rPr>
                <w:sz w:val="18"/>
                <w:szCs w:val="18"/>
              </w:rPr>
              <w:t xml:space="preserve">Elimination </w:t>
            </w:r>
            <w:r w:rsidR="00AE6AF0">
              <w:rPr>
                <w:sz w:val="18"/>
                <w:szCs w:val="18"/>
              </w:rPr>
              <w:t xml:space="preserve">and binding at zero </w:t>
            </w:r>
            <w:r w:rsidR="00A4704F">
              <w:rPr>
                <w:sz w:val="18"/>
                <w:szCs w:val="18"/>
              </w:rPr>
              <w:t xml:space="preserve">or reduction </w:t>
            </w:r>
            <w:r w:rsidRPr="0001716D">
              <w:rPr>
                <w:sz w:val="18"/>
                <w:szCs w:val="18"/>
              </w:rPr>
              <w:t xml:space="preserve">of tariffs for </w:t>
            </w:r>
            <w:r w:rsidR="00A4704F">
              <w:rPr>
                <w:sz w:val="18"/>
                <w:szCs w:val="18"/>
              </w:rPr>
              <w:t>70.3</w:t>
            </w:r>
            <w:r w:rsidRPr="0001716D">
              <w:rPr>
                <w:sz w:val="18"/>
                <w:szCs w:val="18"/>
              </w:rPr>
              <w:t>% of tariff lines, covering 90.</w:t>
            </w:r>
            <w:r w:rsidR="00A4704F">
              <w:rPr>
                <w:sz w:val="18"/>
                <w:szCs w:val="18"/>
              </w:rPr>
              <w:t>6</w:t>
            </w:r>
            <w:r w:rsidRPr="0001716D">
              <w:rPr>
                <w:sz w:val="18"/>
                <w:szCs w:val="18"/>
              </w:rPr>
              <w:t>% of trade by value</w:t>
            </w:r>
          </w:p>
          <w:p w14:paraId="3835C9D7" w14:textId="2291E3E1" w:rsidR="004A689A" w:rsidRPr="0001716D" w:rsidRDefault="004A689A" w:rsidP="00E667BF">
            <w:pPr>
              <w:rPr>
                <w:sz w:val="18"/>
                <w:szCs w:val="18"/>
              </w:rPr>
            </w:pPr>
          </w:p>
        </w:tc>
        <w:tc>
          <w:tcPr>
            <w:tcW w:w="0" w:type="auto"/>
          </w:tcPr>
          <w:p w14:paraId="028D129A" w14:textId="77777777" w:rsidR="002E2CBD" w:rsidRPr="0001716D" w:rsidRDefault="002E2CBD" w:rsidP="00E667BF">
            <w:pPr>
              <w:rPr>
                <w:sz w:val="18"/>
                <w:szCs w:val="18"/>
              </w:rPr>
            </w:pPr>
            <w:r w:rsidRPr="0001716D">
              <w:rPr>
                <w:sz w:val="18"/>
                <w:szCs w:val="18"/>
              </w:rPr>
              <w:t>No clear pathway to tariff elimination</w:t>
            </w:r>
          </w:p>
        </w:tc>
      </w:tr>
      <w:tr w:rsidR="006D4302" w:rsidRPr="00B33CC4" w14:paraId="45ECD600" w14:textId="77777777" w:rsidTr="00BC0A90">
        <w:tc>
          <w:tcPr>
            <w:tcW w:w="0" w:type="auto"/>
            <w:vMerge/>
          </w:tcPr>
          <w:p w14:paraId="5D263D39" w14:textId="77777777" w:rsidR="002E2CBD" w:rsidRPr="0001716D" w:rsidRDefault="002E2CBD" w:rsidP="00E667BF">
            <w:pPr>
              <w:rPr>
                <w:sz w:val="18"/>
                <w:szCs w:val="18"/>
              </w:rPr>
            </w:pPr>
          </w:p>
        </w:tc>
        <w:tc>
          <w:tcPr>
            <w:tcW w:w="1817" w:type="dxa"/>
          </w:tcPr>
          <w:p w14:paraId="1F07A992" w14:textId="77777777" w:rsidR="002E2CBD" w:rsidRPr="0001716D" w:rsidRDefault="002E2CBD" w:rsidP="00E667BF">
            <w:pPr>
              <w:rPr>
                <w:sz w:val="18"/>
                <w:szCs w:val="18"/>
              </w:rPr>
            </w:pPr>
            <w:r w:rsidRPr="0001716D">
              <w:rPr>
                <w:sz w:val="18"/>
                <w:szCs w:val="18"/>
              </w:rPr>
              <w:t>Potential to build export markets where there currently are limited exports to India</w:t>
            </w:r>
          </w:p>
        </w:tc>
        <w:tc>
          <w:tcPr>
            <w:tcW w:w="2336" w:type="dxa"/>
          </w:tcPr>
          <w:p w14:paraId="0401152B" w14:textId="38C370A0" w:rsidR="004A689A" w:rsidRPr="0001716D" w:rsidRDefault="002E2CBD" w:rsidP="00C3143A">
            <w:pPr>
              <w:rPr>
                <w:sz w:val="18"/>
                <w:szCs w:val="18"/>
              </w:rPr>
            </w:pPr>
            <w:r w:rsidRPr="0001716D">
              <w:rPr>
                <w:sz w:val="18"/>
                <w:szCs w:val="18"/>
              </w:rPr>
              <w:t>DFAT analysis of key Australian exports and potential for growth in Indian market (measured by Indian imports from Australia compared to Indian imports from World)</w:t>
            </w:r>
          </w:p>
        </w:tc>
        <w:tc>
          <w:tcPr>
            <w:tcW w:w="2874" w:type="dxa"/>
          </w:tcPr>
          <w:p w14:paraId="3895BEE8" w14:textId="37010CED" w:rsidR="002E2CBD" w:rsidRPr="0001716D" w:rsidRDefault="002E2CBD" w:rsidP="00E667BF">
            <w:pPr>
              <w:rPr>
                <w:sz w:val="18"/>
                <w:szCs w:val="18"/>
              </w:rPr>
            </w:pPr>
            <w:r w:rsidRPr="0001716D">
              <w:rPr>
                <w:sz w:val="18"/>
                <w:szCs w:val="18"/>
              </w:rPr>
              <w:t>Stronger potential for growth in exports of many commodities</w:t>
            </w:r>
            <w:r w:rsidR="00AE6AF0">
              <w:rPr>
                <w:sz w:val="18"/>
                <w:szCs w:val="18"/>
              </w:rPr>
              <w:t xml:space="preserve"> with a </w:t>
            </w:r>
            <w:proofErr w:type="gramStart"/>
            <w:r w:rsidR="00AE6AF0">
              <w:rPr>
                <w:sz w:val="18"/>
                <w:szCs w:val="18"/>
              </w:rPr>
              <w:t>zero tariff</w:t>
            </w:r>
            <w:proofErr w:type="gramEnd"/>
            <w:r w:rsidR="00AE6AF0">
              <w:rPr>
                <w:sz w:val="18"/>
                <w:szCs w:val="18"/>
              </w:rPr>
              <w:t xml:space="preserve"> binding</w:t>
            </w:r>
          </w:p>
        </w:tc>
        <w:tc>
          <w:tcPr>
            <w:tcW w:w="0" w:type="auto"/>
          </w:tcPr>
          <w:p w14:paraId="63C98B2B" w14:textId="77777777" w:rsidR="002E2CBD" w:rsidRPr="0001716D" w:rsidRDefault="002E2CBD" w:rsidP="00E667BF">
            <w:pPr>
              <w:rPr>
                <w:sz w:val="18"/>
                <w:szCs w:val="18"/>
              </w:rPr>
            </w:pPr>
            <w:r w:rsidRPr="0001716D">
              <w:rPr>
                <w:sz w:val="18"/>
                <w:szCs w:val="18"/>
              </w:rPr>
              <w:t>Weaker potential for growth in exports of many commodities</w:t>
            </w:r>
          </w:p>
        </w:tc>
      </w:tr>
      <w:tr w:rsidR="006D4302" w:rsidRPr="00B33CC4" w14:paraId="263C458F" w14:textId="77777777" w:rsidTr="00BC0A90">
        <w:tc>
          <w:tcPr>
            <w:tcW w:w="0" w:type="auto"/>
            <w:vMerge/>
          </w:tcPr>
          <w:p w14:paraId="29DA8EA0" w14:textId="77777777" w:rsidR="002E2CBD" w:rsidRPr="0001716D" w:rsidRDefault="002E2CBD" w:rsidP="00E667BF">
            <w:pPr>
              <w:rPr>
                <w:sz w:val="18"/>
                <w:szCs w:val="18"/>
              </w:rPr>
            </w:pPr>
          </w:p>
        </w:tc>
        <w:tc>
          <w:tcPr>
            <w:tcW w:w="1817" w:type="dxa"/>
          </w:tcPr>
          <w:p w14:paraId="409E54AF" w14:textId="77777777" w:rsidR="002E2CBD" w:rsidRPr="0001716D" w:rsidRDefault="002E2CBD" w:rsidP="00E667BF">
            <w:pPr>
              <w:rPr>
                <w:sz w:val="18"/>
                <w:szCs w:val="18"/>
              </w:rPr>
            </w:pPr>
            <w:r w:rsidRPr="0001716D">
              <w:rPr>
                <w:sz w:val="18"/>
                <w:szCs w:val="18"/>
              </w:rPr>
              <w:t>Reduced tariff barriers on Australian merchandise imports from India</w:t>
            </w:r>
          </w:p>
        </w:tc>
        <w:tc>
          <w:tcPr>
            <w:tcW w:w="2336" w:type="dxa"/>
          </w:tcPr>
          <w:p w14:paraId="15239F22" w14:textId="77777777" w:rsidR="002E2CBD" w:rsidRPr="0001716D" w:rsidRDefault="002E2CBD" w:rsidP="00E667BF">
            <w:pPr>
              <w:rPr>
                <w:sz w:val="18"/>
                <w:szCs w:val="18"/>
              </w:rPr>
            </w:pPr>
            <w:r w:rsidRPr="0001716D">
              <w:rPr>
                <w:sz w:val="18"/>
                <w:szCs w:val="18"/>
              </w:rPr>
              <w:t>DFAT analysis of Australian imports from India</w:t>
            </w:r>
          </w:p>
        </w:tc>
        <w:tc>
          <w:tcPr>
            <w:tcW w:w="2874" w:type="dxa"/>
          </w:tcPr>
          <w:p w14:paraId="656ADAD8" w14:textId="77777777" w:rsidR="002E2CBD" w:rsidRDefault="002E2CBD" w:rsidP="00E667BF">
            <w:pPr>
              <w:rPr>
                <w:sz w:val="18"/>
                <w:szCs w:val="18"/>
              </w:rPr>
            </w:pPr>
            <w:r w:rsidRPr="0001716D">
              <w:rPr>
                <w:sz w:val="18"/>
                <w:szCs w:val="18"/>
              </w:rPr>
              <w:t>Almost 98 per cent of Australian imports from India will enter duty-free on EIF</w:t>
            </w:r>
          </w:p>
          <w:p w14:paraId="129CA1DD" w14:textId="56A079BB" w:rsidR="004A689A" w:rsidRPr="0001716D" w:rsidRDefault="004A689A" w:rsidP="00E667BF">
            <w:pPr>
              <w:rPr>
                <w:sz w:val="18"/>
                <w:szCs w:val="18"/>
              </w:rPr>
            </w:pPr>
          </w:p>
        </w:tc>
        <w:tc>
          <w:tcPr>
            <w:tcW w:w="0" w:type="auto"/>
            <w:shd w:val="clear" w:color="auto" w:fill="auto"/>
          </w:tcPr>
          <w:p w14:paraId="1DFA4BD7" w14:textId="73240359" w:rsidR="00F0733F" w:rsidRPr="006D4302" w:rsidRDefault="006D4302" w:rsidP="00E667BF">
            <w:pPr>
              <w:rPr>
                <w:sz w:val="18"/>
                <w:szCs w:val="18"/>
              </w:rPr>
            </w:pPr>
            <w:r w:rsidRPr="006873C3">
              <w:rPr>
                <w:sz w:val="18"/>
                <w:szCs w:val="18"/>
              </w:rPr>
              <w:t xml:space="preserve">Around half of </w:t>
            </w:r>
            <w:r w:rsidR="002E2CBD" w:rsidRPr="006D4302">
              <w:rPr>
                <w:sz w:val="18"/>
                <w:szCs w:val="18"/>
              </w:rPr>
              <w:t>Australian imports from India</w:t>
            </w:r>
            <w:r w:rsidRPr="006D4302">
              <w:rPr>
                <w:sz w:val="18"/>
                <w:szCs w:val="18"/>
              </w:rPr>
              <w:t xml:space="preserve"> by value are currently subject to import duties not exceeding 5 percent</w:t>
            </w:r>
          </w:p>
        </w:tc>
      </w:tr>
      <w:tr w:rsidR="006D4302" w:rsidRPr="00B33CC4" w14:paraId="3E2FC8AE" w14:textId="77777777" w:rsidTr="00BC0A90">
        <w:tc>
          <w:tcPr>
            <w:tcW w:w="0" w:type="auto"/>
            <w:vMerge/>
          </w:tcPr>
          <w:p w14:paraId="7145393E" w14:textId="77777777" w:rsidR="002E2CBD" w:rsidRPr="0001716D" w:rsidRDefault="002E2CBD" w:rsidP="00E667BF">
            <w:pPr>
              <w:rPr>
                <w:sz w:val="18"/>
                <w:szCs w:val="18"/>
              </w:rPr>
            </w:pPr>
          </w:p>
        </w:tc>
        <w:tc>
          <w:tcPr>
            <w:tcW w:w="1817" w:type="dxa"/>
          </w:tcPr>
          <w:p w14:paraId="07B1E581" w14:textId="77777777" w:rsidR="002E2CBD" w:rsidRPr="0001716D" w:rsidRDefault="002E2CBD" w:rsidP="00E667BF">
            <w:pPr>
              <w:rPr>
                <w:sz w:val="18"/>
                <w:szCs w:val="18"/>
              </w:rPr>
            </w:pPr>
            <w:r w:rsidRPr="0001716D">
              <w:rPr>
                <w:sz w:val="18"/>
                <w:szCs w:val="18"/>
              </w:rPr>
              <w:t>Increased economic activity due to enhanced two-way trade</w:t>
            </w:r>
          </w:p>
        </w:tc>
        <w:tc>
          <w:tcPr>
            <w:tcW w:w="2336" w:type="dxa"/>
          </w:tcPr>
          <w:p w14:paraId="01D4AA93" w14:textId="77777777" w:rsidR="002E2CBD" w:rsidRDefault="002E2CBD" w:rsidP="00E667BF">
            <w:pPr>
              <w:rPr>
                <w:sz w:val="18"/>
                <w:szCs w:val="18"/>
              </w:rPr>
            </w:pPr>
            <w:r w:rsidRPr="0001716D">
              <w:rPr>
                <w:sz w:val="18"/>
                <w:szCs w:val="18"/>
              </w:rPr>
              <w:t>Productivity Commission report “Rising Protectionism: Challenges, threats and opportunities for Australia”</w:t>
            </w:r>
          </w:p>
          <w:p w14:paraId="4EBE4195" w14:textId="25C14083" w:rsidR="004A689A" w:rsidRPr="0001716D" w:rsidRDefault="004A689A" w:rsidP="00E667BF">
            <w:pPr>
              <w:rPr>
                <w:sz w:val="18"/>
                <w:szCs w:val="18"/>
              </w:rPr>
            </w:pPr>
          </w:p>
        </w:tc>
        <w:tc>
          <w:tcPr>
            <w:tcW w:w="2874" w:type="dxa"/>
          </w:tcPr>
          <w:p w14:paraId="73E6C20C" w14:textId="77777777" w:rsidR="002E2CBD" w:rsidRPr="0001716D" w:rsidRDefault="002E2CBD" w:rsidP="00E667BF">
            <w:pPr>
              <w:rPr>
                <w:sz w:val="18"/>
                <w:szCs w:val="18"/>
              </w:rPr>
            </w:pPr>
            <w:r w:rsidRPr="0001716D">
              <w:rPr>
                <w:sz w:val="18"/>
                <w:szCs w:val="18"/>
              </w:rPr>
              <w:t>Greater economic activity</w:t>
            </w:r>
          </w:p>
        </w:tc>
        <w:tc>
          <w:tcPr>
            <w:tcW w:w="0" w:type="auto"/>
          </w:tcPr>
          <w:p w14:paraId="76AF4D27" w14:textId="77777777" w:rsidR="002E2CBD" w:rsidRPr="0001716D" w:rsidRDefault="002E2CBD" w:rsidP="00E667BF">
            <w:pPr>
              <w:rPr>
                <w:sz w:val="18"/>
                <w:szCs w:val="18"/>
              </w:rPr>
            </w:pPr>
            <w:r w:rsidRPr="0001716D">
              <w:rPr>
                <w:sz w:val="18"/>
                <w:szCs w:val="18"/>
              </w:rPr>
              <w:t>Less economic activity</w:t>
            </w:r>
          </w:p>
        </w:tc>
      </w:tr>
      <w:tr w:rsidR="006D4302" w:rsidRPr="00B33CC4" w14:paraId="6EC4258B" w14:textId="77777777" w:rsidTr="00BC0A90">
        <w:tc>
          <w:tcPr>
            <w:tcW w:w="0" w:type="auto"/>
            <w:vMerge/>
          </w:tcPr>
          <w:p w14:paraId="4A328A43" w14:textId="77777777" w:rsidR="002E2CBD" w:rsidRPr="0001716D" w:rsidRDefault="002E2CBD" w:rsidP="00E667BF">
            <w:pPr>
              <w:rPr>
                <w:sz w:val="18"/>
                <w:szCs w:val="18"/>
              </w:rPr>
            </w:pPr>
          </w:p>
        </w:tc>
        <w:tc>
          <w:tcPr>
            <w:tcW w:w="1817" w:type="dxa"/>
          </w:tcPr>
          <w:p w14:paraId="0FEEF805" w14:textId="77777777" w:rsidR="002E2CBD" w:rsidRPr="0001716D" w:rsidRDefault="002E2CBD" w:rsidP="00E667BF">
            <w:pPr>
              <w:rPr>
                <w:sz w:val="18"/>
                <w:szCs w:val="18"/>
              </w:rPr>
            </w:pPr>
            <w:r w:rsidRPr="0001716D">
              <w:rPr>
                <w:sz w:val="18"/>
                <w:szCs w:val="18"/>
              </w:rPr>
              <w:t>Increased certainty for Australian services suppliers</w:t>
            </w:r>
          </w:p>
        </w:tc>
        <w:tc>
          <w:tcPr>
            <w:tcW w:w="2336" w:type="dxa"/>
          </w:tcPr>
          <w:p w14:paraId="5DAD9CD3" w14:textId="77777777" w:rsidR="002E2CBD" w:rsidRPr="0001716D" w:rsidRDefault="002E2CBD" w:rsidP="00E667BF">
            <w:pPr>
              <w:rPr>
                <w:sz w:val="18"/>
                <w:szCs w:val="18"/>
              </w:rPr>
            </w:pPr>
            <w:r w:rsidRPr="0001716D">
              <w:rPr>
                <w:sz w:val="18"/>
                <w:szCs w:val="18"/>
              </w:rPr>
              <w:t>Qualitative assessment</w:t>
            </w:r>
          </w:p>
        </w:tc>
        <w:tc>
          <w:tcPr>
            <w:tcW w:w="2874" w:type="dxa"/>
          </w:tcPr>
          <w:p w14:paraId="68662FA7" w14:textId="77777777" w:rsidR="002E2CBD" w:rsidRPr="0001716D" w:rsidRDefault="002E2CBD" w:rsidP="00E667BF">
            <w:pPr>
              <w:rPr>
                <w:sz w:val="18"/>
                <w:szCs w:val="18"/>
              </w:rPr>
            </w:pPr>
            <w:r w:rsidRPr="0001716D">
              <w:rPr>
                <w:sz w:val="18"/>
                <w:szCs w:val="18"/>
              </w:rPr>
              <w:t>Existing market access regulations will be “locked in”</w:t>
            </w:r>
          </w:p>
          <w:p w14:paraId="333F142D" w14:textId="77777777" w:rsidR="002E2CBD" w:rsidRPr="0001716D" w:rsidRDefault="002E2CBD" w:rsidP="00E667BF">
            <w:pPr>
              <w:rPr>
                <w:sz w:val="18"/>
                <w:szCs w:val="18"/>
              </w:rPr>
            </w:pPr>
          </w:p>
          <w:p w14:paraId="15F5DB84" w14:textId="77777777" w:rsidR="002E2CBD" w:rsidRPr="0001716D" w:rsidRDefault="002E2CBD" w:rsidP="00E667BF">
            <w:pPr>
              <w:rPr>
                <w:sz w:val="18"/>
                <w:szCs w:val="18"/>
              </w:rPr>
            </w:pPr>
          </w:p>
        </w:tc>
        <w:tc>
          <w:tcPr>
            <w:tcW w:w="0" w:type="auto"/>
          </w:tcPr>
          <w:p w14:paraId="13F31047" w14:textId="77777777" w:rsidR="002E2CBD" w:rsidRPr="0001716D" w:rsidRDefault="002E2CBD" w:rsidP="00E667BF">
            <w:pPr>
              <w:rPr>
                <w:sz w:val="18"/>
                <w:szCs w:val="18"/>
              </w:rPr>
            </w:pPr>
            <w:r w:rsidRPr="0001716D">
              <w:rPr>
                <w:sz w:val="18"/>
                <w:szCs w:val="18"/>
              </w:rPr>
              <w:t>No obligation to “lock in” existing regulations</w:t>
            </w:r>
          </w:p>
        </w:tc>
      </w:tr>
      <w:tr w:rsidR="006D4302" w14:paraId="3ACBD201" w14:textId="77777777" w:rsidTr="00BC0A90">
        <w:tc>
          <w:tcPr>
            <w:tcW w:w="0" w:type="auto"/>
            <w:vMerge/>
          </w:tcPr>
          <w:p w14:paraId="75E136B6" w14:textId="77777777" w:rsidR="002E2CBD" w:rsidRPr="0001716D" w:rsidRDefault="002E2CBD" w:rsidP="00E667BF">
            <w:pPr>
              <w:rPr>
                <w:sz w:val="18"/>
                <w:szCs w:val="18"/>
              </w:rPr>
            </w:pPr>
          </w:p>
        </w:tc>
        <w:tc>
          <w:tcPr>
            <w:tcW w:w="1817" w:type="dxa"/>
          </w:tcPr>
          <w:p w14:paraId="0D739253" w14:textId="77777777" w:rsidR="002E2CBD" w:rsidRDefault="002E2CBD" w:rsidP="00E667BF">
            <w:pPr>
              <w:rPr>
                <w:sz w:val="18"/>
                <w:szCs w:val="18"/>
              </w:rPr>
            </w:pPr>
            <w:r w:rsidRPr="0001716D">
              <w:rPr>
                <w:sz w:val="18"/>
                <w:szCs w:val="18"/>
              </w:rPr>
              <w:t>Telecommunications sector</w:t>
            </w:r>
          </w:p>
          <w:p w14:paraId="5BFCCFA3" w14:textId="44D07DB6" w:rsidR="004A689A" w:rsidRPr="0001716D" w:rsidRDefault="004A689A" w:rsidP="00E667BF">
            <w:pPr>
              <w:rPr>
                <w:sz w:val="18"/>
                <w:szCs w:val="18"/>
              </w:rPr>
            </w:pPr>
          </w:p>
        </w:tc>
        <w:tc>
          <w:tcPr>
            <w:tcW w:w="2336" w:type="dxa"/>
          </w:tcPr>
          <w:p w14:paraId="0CB6933C" w14:textId="77777777" w:rsidR="002E2CBD" w:rsidRPr="0001716D" w:rsidRDefault="002E2CBD" w:rsidP="00E667BF">
            <w:pPr>
              <w:rPr>
                <w:sz w:val="18"/>
                <w:szCs w:val="18"/>
              </w:rPr>
            </w:pPr>
            <w:r w:rsidRPr="0001716D">
              <w:rPr>
                <w:sz w:val="18"/>
                <w:szCs w:val="18"/>
              </w:rPr>
              <w:t>Qualitative assessment</w:t>
            </w:r>
          </w:p>
        </w:tc>
        <w:tc>
          <w:tcPr>
            <w:tcW w:w="2874" w:type="dxa"/>
          </w:tcPr>
          <w:p w14:paraId="533B114E" w14:textId="77777777" w:rsidR="002E2CBD" w:rsidRPr="0001716D" w:rsidRDefault="002E2CBD" w:rsidP="00E667BF">
            <w:pPr>
              <w:rPr>
                <w:sz w:val="18"/>
                <w:szCs w:val="18"/>
              </w:rPr>
            </w:pPr>
            <w:r w:rsidRPr="0001716D">
              <w:rPr>
                <w:sz w:val="18"/>
                <w:szCs w:val="18"/>
              </w:rPr>
              <w:t xml:space="preserve">Enhanced transparency </w:t>
            </w:r>
          </w:p>
        </w:tc>
        <w:tc>
          <w:tcPr>
            <w:tcW w:w="0" w:type="auto"/>
          </w:tcPr>
          <w:p w14:paraId="1C13B322" w14:textId="77777777" w:rsidR="002E2CBD" w:rsidRPr="0001716D" w:rsidRDefault="002E2CBD" w:rsidP="00E667BF">
            <w:pPr>
              <w:rPr>
                <w:sz w:val="18"/>
                <w:szCs w:val="18"/>
              </w:rPr>
            </w:pPr>
            <w:r w:rsidRPr="0001716D">
              <w:rPr>
                <w:sz w:val="18"/>
                <w:szCs w:val="18"/>
              </w:rPr>
              <w:t>Baseline</w:t>
            </w:r>
          </w:p>
        </w:tc>
      </w:tr>
      <w:tr w:rsidR="006D4302" w14:paraId="370E5697" w14:textId="77777777" w:rsidTr="00BC0A90">
        <w:tc>
          <w:tcPr>
            <w:tcW w:w="0" w:type="auto"/>
          </w:tcPr>
          <w:p w14:paraId="3844421C" w14:textId="77777777" w:rsidR="002E2CBD" w:rsidRPr="0001716D" w:rsidRDefault="002E2CBD" w:rsidP="00E667BF">
            <w:pPr>
              <w:rPr>
                <w:b/>
                <w:bCs/>
                <w:sz w:val="18"/>
                <w:szCs w:val="18"/>
              </w:rPr>
            </w:pPr>
            <w:r w:rsidRPr="0001716D">
              <w:rPr>
                <w:b/>
                <w:bCs/>
                <w:sz w:val="18"/>
                <w:szCs w:val="18"/>
              </w:rPr>
              <w:t>Regulatory burden</w:t>
            </w:r>
          </w:p>
        </w:tc>
        <w:tc>
          <w:tcPr>
            <w:tcW w:w="1817" w:type="dxa"/>
          </w:tcPr>
          <w:p w14:paraId="2DA90C88" w14:textId="153386B2" w:rsidR="002E2CBD" w:rsidRDefault="00255C0D" w:rsidP="00E667BF">
            <w:pPr>
              <w:rPr>
                <w:sz w:val="18"/>
                <w:szCs w:val="18"/>
              </w:rPr>
            </w:pPr>
            <w:r>
              <w:rPr>
                <w:sz w:val="18"/>
                <w:szCs w:val="18"/>
              </w:rPr>
              <w:t>R</w:t>
            </w:r>
            <w:r w:rsidR="002E2CBD" w:rsidRPr="0001716D">
              <w:rPr>
                <w:sz w:val="18"/>
                <w:szCs w:val="18"/>
              </w:rPr>
              <w:t>egulatory burden</w:t>
            </w:r>
            <w:r>
              <w:rPr>
                <w:sz w:val="18"/>
                <w:szCs w:val="18"/>
              </w:rPr>
              <w:t>, comprising:</w:t>
            </w:r>
          </w:p>
          <w:p w14:paraId="3D74CCE2" w14:textId="77777777" w:rsidR="00255C0D" w:rsidRPr="0001716D" w:rsidRDefault="00255C0D" w:rsidP="00E667BF">
            <w:pPr>
              <w:rPr>
                <w:sz w:val="18"/>
                <w:szCs w:val="18"/>
              </w:rPr>
            </w:pPr>
          </w:p>
          <w:p w14:paraId="0FD1DA0E" w14:textId="77777777" w:rsidR="00857F42" w:rsidRDefault="00857F42" w:rsidP="00255C0D">
            <w:pPr>
              <w:rPr>
                <w:sz w:val="18"/>
                <w:szCs w:val="18"/>
              </w:rPr>
            </w:pPr>
            <w:r>
              <w:rPr>
                <w:sz w:val="18"/>
                <w:szCs w:val="18"/>
              </w:rPr>
              <w:t xml:space="preserve">costs incurred by all businesses to learn about the CECA rules </w:t>
            </w:r>
          </w:p>
          <w:p w14:paraId="617596E6" w14:textId="77777777" w:rsidR="00857F42" w:rsidRDefault="00857F42" w:rsidP="00255C0D">
            <w:pPr>
              <w:rPr>
                <w:sz w:val="18"/>
                <w:szCs w:val="18"/>
              </w:rPr>
            </w:pPr>
          </w:p>
          <w:p w14:paraId="29C00BF0" w14:textId="7997F188" w:rsidR="00255C0D" w:rsidRDefault="002E2CBD" w:rsidP="00255C0D">
            <w:pPr>
              <w:rPr>
                <w:sz w:val="18"/>
                <w:szCs w:val="18"/>
              </w:rPr>
            </w:pPr>
            <w:r w:rsidRPr="00857F42">
              <w:rPr>
                <w:sz w:val="18"/>
                <w:szCs w:val="18"/>
              </w:rPr>
              <w:t xml:space="preserve">costs incurred by </w:t>
            </w:r>
            <w:r w:rsidR="00255C0D">
              <w:rPr>
                <w:sz w:val="18"/>
                <w:szCs w:val="18"/>
              </w:rPr>
              <w:t xml:space="preserve">exporting </w:t>
            </w:r>
            <w:r w:rsidRPr="00857F42">
              <w:rPr>
                <w:sz w:val="18"/>
                <w:szCs w:val="18"/>
              </w:rPr>
              <w:t xml:space="preserve">businesses in to understand </w:t>
            </w:r>
            <w:proofErr w:type="gramStart"/>
            <w:r w:rsidRPr="00857F42">
              <w:rPr>
                <w:sz w:val="18"/>
                <w:szCs w:val="18"/>
              </w:rPr>
              <w:t>requirements;</w:t>
            </w:r>
            <w:proofErr w:type="gramEnd"/>
            <w:r w:rsidRPr="00857F42">
              <w:rPr>
                <w:sz w:val="18"/>
                <w:szCs w:val="18"/>
              </w:rPr>
              <w:t xml:space="preserve"> </w:t>
            </w:r>
          </w:p>
          <w:p w14:paraId="4CDA54F6" w14:textId="77777777" w:rsidR="00255C0D" w:rsidRDefault="00255C0D" w:rsidP="00255C0D">
            <w:pPr>
              <w:rPr>
                <w:sz w:val="18"/>
                <w:szCs w:val="18"/>
              </w:rPr>
            </w:pPr>
          </w:p>
          <w:p w14:paraId="49528783" w14:textId="1DCD7F33" w:rsidR="00255C0D" w:rsidRPr="0001716D" w:rsidRDefault="002E2CBD" w:rsidP="00E667BF">
            <w:pPr>
              <w:rPr>
                <w:sz w:val="18"/>
                <w:szCs w:val="18"/>
              </w:rPr>
            </w:pPr>
            <w:r w:rsidRPr="00857F42">
              <w:rPr>
                <w:sz w:val="18"/>
                <w:szCs w:val="18"/>
              </w:rPr>
              <w:t>costs of COO over 10 years</w:t>
            </w:r>
          </w:p>
        </w:tc>
        <w:tc>
          <w:tcPr>
            <w:tcW w:w="2336" w:type="dxa"/>
          </w:tcPr>
          <w:p w14:paraId="7E2578B7" w14:textId="77777777" w:rsidR="002E2CBD" w:rsidRPr="0001716D" w:rsidRDefault="002E2CBD" w:rsidP="00E667BF">
            <w:pPr>
              <w:rPr>
                <w:sz w:val="18"/>
                <w:szCs w:val="18"/>
              </w:rPr>
            </w:pPr>
            <w:r w:rsidRPr="0001716D">
              <w:rPr>
                <w:sz w:val="18"/>
                <w:szCs w:val="18"/>
              </w:rPr>
              <w:t>DFAT quantitative assessment</w:t>
            </w:r>
          </w:p>
        </w:tc>
        <w:tc>
          <w:tcPr>
            <w:tcW w:w="2874" w:type="dxa"/>
          </w:tcPr>
          <w:p w14:paraId="7E94F34C" w14:textId="67CD98CC" w:rsidR="002E2CBD" w:rsidRPr="0001716D" w:rsidRDefault="00857F42" w:rsidP="00E667BF">
            <w:pPr>
              <w:rPr>
                <w:sz w:val="18"/>
                <w:szCs w:val="18"/>
              </w:rPr>
            </w:pPr>
            <w:r>
              <w:rPr>
                <w:sz w:val="18"/>
                <w:szCs w:val="18"/>
              </w:rPr>
              <w:t>Approximately AU$1</w:t>
            </w:r>
            <w:r w:rsidR="006F669B">
              <w:rPr>
                <w:sz w:val="18"/>
                <w:szCs w:val="18"/>
              </w:rPr>
              <w:t>7</w:t>
            </w:r>
            <w:r>
              <w:rPr>
                <w:sz w:val="18"/>
                <w:szCs w:val="18"/>
              </w:rPr>
              <w:t xml:space="preserve"> million </w:t>
            </w:r>
            <w:r w:rsidR="002E2CBD" w:rsidRPr="0001716D">
              <w:rPr>
                <w:sz w:val="18"/>
                <w:szCs w:val="18"/>
              </w:rPr>
              <w:t>over 10 years</w:t>
            </w:r>
          </w:p>
        </w:tc>
        <w:tc>
          <w:tcPr>
            <w:tcW w:w="0" w:type="auto"/>
          </w:tcPr>
          <w:p w14:paraId="33469D53" w14:textId="77777777" w:rsidR="002E2CBD" w:rsidRPr="0001716D" w:rsidRDefault="002E2CBD" w:rsidP="00E667BF">
            <w:pPr>
              <w:rPr>
                <w:sz w:val="18"/>
                <w:szCs w:val="18"/>
              </w:rPr>
            </w:pPr>
            <w:r w:rsidRPr="0001716D">
              <w:rPr>
                <w:sz w:val="18"/>
                <w:szCs w:val="18"/>
              </w:rPr>
              <w:t>Baseline</w:t>
            </w:r>
          </w:p>
        </w:tc>
      </w:tr>
      <w:tr w:rsidR="00BC0A90" w14:paraId="6ABFFEC6" w14:textId="77777777" w:rsidTr="00BC0A90">
        <w:tc>
          <w:tcPr>
            <w:tcW w:w="0" w:type="auto"/>
            <w:hideMark/>
          </w:tcPr>
          <w:p w14:paraId="62AEA205" w14:textId="77777777" w:rsidR="00BC0A90" w:rsidRDefault="00BC0A90">
            <w:pPr>
              <w:rPr>
                <w:b/>
                <w:bCs/>
                <w:sz w:val="18"/>
                <w:szCs w:val="18"/>
              </w:rPr>
            </w:pPr>
            <w:r>
              <w:rPr>
                <w:b/>
                <w:bCs/>
                <w:sz w:val="18"/>
                <w:szCs w:val="18"/>
              </w:rPr>
              <w:t xml:space="preserve">Tariff foregone </w:t>
            </w:r>
          </w:p>
        </w:tc>
        <w:tc>
          <w:tcPr>
            <w:tcW w:w="1817" w:type="dxa"/>
          </w:tcPr>
          <w:p w14:paraId="608A930C" w14:textId="77777777" w:rsidR="00BC0A90" w:rsidRDefault="00BC0A90">
            <w:pPr>
              <w:rPr>
                <w:sz w:val="18"/>
                <w:szCs w:val="18"/>
              </w:rPr>
            </w:pPr>
            <w:r>
              <w:rPr>
                <w:sz w:val="18"/>
                <w:szCs w:val="18"/>
              </w:rPr>
              <w:t xml:space="preserve">Australian consumers will benefit from increased competition, greater variety of choice in products and lower prices. </w:t>
            </w:r>
          </w:p>
          <w:p w14:paraId="3F382F84" w14:textId="77777777" w:rsidR="00BC0A90" w:rsidRDefault="00BC0A90">
            <w:pPr>
              <w:rPr>
                <w:sz w:val="18"/>
                <w:szCs w:val="18"/>
              </w:rPr>
            </w:pPr>
          </w:p>
          <w:p w14:paraId="7C9C02D6" w14:textId="60EC05FA" w:rsidR="00BC0A90" w:rsidRDefault="00BC0A90">
            <w:pPr>
              <w:rPr>
                <w:sz w:val="18"/>
                <w:szCs w:val="18"/>
              </w:rPr>
            </w:pPr>
            <w:r>
              <w:rPr>
                <w:sz w:val="18"/>
                <w:szCs w:val="18"/>
              </w:rPr>
              <w:t xml:space="preserve">Reduced costs and improved access to goods will also benefit sectors of Australia’s manufacturing industries. </w:t>
            </w:r>
          </w:p>
        </w:tc>
        <w:tc>
          <w:tcPr>
            <w:tcW w:w="2336" w:type="dxa"/>
            <w:hideMark/>
          </w:tcPr>
          <w:p w14:paraId="0825D278" w14:textId="77777777" w:rsidR="00BC0A90" w:rsidRDefault="00BC0A90">
            <w:pPr>
              <w:rPr>
                <w:sz w:val="18"/>
                <w:szCs w:val="18"/>
              </w:rPr>
            </w:pPr>
            <w:r>
              <w:rPr>
                <w:sz w:val="18"/>
                <w:szCs w:val="18"/>
              </w:rPr>
              <w:t>Treasury costing</w:t>
            </w:r>
          </w:p>
        </w:tc>
        <w:tc>
          <w:tcPr>
            <w:tcW w:w="2874" w:type="dxa"/>
          </w:tcPr>
          <w:p w14:paraId="2E07E97C" w14:textId="6B618FAB" w:rsidR="00BC0A90" w:rsidRDefault="00BC0A90">
            <w:pPr>
              <w:rPr>
                <w:sz w:val="18"/>
                <w:szCs w:val="18"/>
              </w:rPr>
            </w:pPr>
            <w:r>
              <w:rPr>
                <w:sz w:val="18"/>
                <w:szCs w:val="18"/>
              </w:rPr>
              <w:t xml:space="preserve">AU$335 million over the forward estimates (following entry into force of the proposed AI ECTA) </w:t>
            </w:r>
          </w:p>
          <w:p w14:paraId="0095141D" w14:textId="77777777" w:rsidR="00BC0A90" w:rsidRDefault="00BC0A90">
            <w:pPr>
              <w:rPr>
                <w:sz w:val="18"/>
                <w:szCs w:val="18"/>
              </w:rPr>
            </w:pPr>
          </w:p>
        </w:tc>
        <w:tc>
          <w:tcPr>
            <w:tcW w:w="0" w:type="auto"/>
            <w:hideMark/>
          </w:tcPr>
          <w:p w14:paraId="72315CBF" w14:textId="77777777" w:rsidR="00BC0A90" w:rsidRDefault="00BC0A90">
            <w:pPr>
              <w:rPr>
                <w:sz w:val="18"/>
                <w:szCs w:val="18"/>
              </w:rPr>
            </w:pPr>
            <w:r>
              <w:rPr>
                <w:sz w:val="18"/>
                <w:szCs w:val="18"/>
              </w:rPr>
              <w:t>Opportunity cost of $335 million forgone over the forward estimates</w:t>
            </w:r>
          </w:p>
        </w:tc>
      </w:tr>
      <w:tr w:rsidR="00796FE6" w14:paraId="5219BF2C" w14:textId="77777777" w:rsidTr="005A3481">
        <w:tc>
          <w:tcPr>
            <w:tcW w:w="0" w:type="auto"/>
            <w:tcBorders>
              <w:top w:val="nil"/>
              <w:left w:val="single" w:sz="8" w:space="0" w:color="auto"/>
              <w:bottom w:val="single" w:sz="8" w:space="0" w:color="auto"/>
              <w:right w:val="single" w:sz="8" w:space="0" w:color="auto"/>
            </w:tcBorders>
            <w:hideMark/>
          </w:tcPr>
          <w:p w14:paraId="629DF32E" w14:textId="616F5513" w:rsidR="00796FE6" w:rsidRDefault="00796FE6" w:rsidP="00796FE6">
            <w:pPr>
              <w:rPr>
                <w:b/>
                <w:bCs/>
                <w:sz w:val="18"/>
                <w:szCs w:val="18"/>
              </w:rPr>
            </w:pPr>
            <w:r>
              <w:rPr>
                <w:b/>
                <w:bCs/>
                <w:sz w:val="18"/>
                <w:szCs w:val="18"/>
              </w:rPr>
              <w:t>Double Taxation Avoidance Agreement</w:t>
            </w:r>
          </w:p>
        </w:tc>
        <w:tc>
          <w:tcPr>
            <w:tcW w:w="1817" w:type="dxa"/>
            <w:tcBorders>
              <w:top w:val="nil"/>
              <w:left w:val="nil"/>
              <w:bottom w:val="single" w:sz="8" w:space="0" w:color="auto"/>
              <w:right w:val="single" w:sz="8" w:space="0" w:color="auto"/>
            </w:tcBorders>
          </w:tcPr>
          <w:p w14:paraId="60871236" w14:textId="071F958B" w:rsidR="00796FE6" w:rsidRDefault="00796FE6" w:rsidP="00796FE6">
            <w:pPr>
              <w:rPr>
                <w:sz w:val="18"/>
                <w:szCs w:val="18"/>
              </w:rPr>
            </w:pPr>
            <w:r>
              <w:rPr>
                <w:sz w:val="18"/>
                <w:szCs w:val="18"/>
              </w:rPr>
              <w:t xml:space="preserve">Cost to revenue of $145 million over the forward estimates </w:t>
            </w:r>
          </w:p>
        </w:tc>
        <w:tc>
          <w:tcPr>
            <w:tcW w:w="2336" w:type="dxa"/>
            <w:tcBorders>
              <w:top w:val="nil"/>
              <w:left w:val="nil"/>
              <w:bottom w:val="single" w:sz="8" w:space="0" w:color="auto"/>
              <w:right w:val="single" w:sz="8" w:space="0" w:color="auto"/>
            </w:tcBorders>
          </w:tcPr>
          <w:p w14:paraId="38D28E0A" w14:textId="61B8AE97" w:rsidR="00796FE6" w:rsidRDefault="00796FE6" w:rsidP="00796FE6">
            <w:pPr>
              <w:rPr>
                <w:sz w:val="18"/>
                <w:szCs w:val="18"/>
              </w:rPr>
            </w:pPr>
            <w:r>
              <w:rPr>
                <w:sz w:val="18"/>
                <w:szCs w:val="18"/>
              </w:rPr>
              <w:t>Treasury costing</w:t>
            </w:r>
          </w:p>
        </w:tc>
        <w:tc>
          <w:tcPr>
            <w:tcW w:w="2874" w:type="dxa"/>
            <w:tcBorders>
              <w:top w:val="nil"/>
              <w:left w:val="nil"/>
              <w:bottom w:val="single" w:sz="8" w:space="0" w:color="auto"/>
              <w:right w:val="single" w:sz="8" w:space="0" w:color="auto"/>
            </w:tcBorders>
          </w:tcPr>
          <w:p w14:paraId="009FE91B" w14:textId="050EC06F" w:rsidR="00796FE6" w:rsidRDefault="00796FE6" w:rsidP="00796FE6">
            <w:pPr>
              <w:rPr>
                <w:sz w:val="18"/>
                <w:szCs w:val="18"/>
              </w:rPr>
            </w:pPr>
            <w:r>
              <w:rPr>
                <w:sz w:val="18"/>
                <w:szCs w:val="18"/>
              </w:rPr>
              <w:t xml:space="preserve">This would mean that Australia would not tax Indian technical service firms supplying services to Australia remotely.  It would result in a cost to revenue of $145 million over the forward estimates. </w:t>
            </w:r>
          </w:p>
        </w:tc>
        <w:tc>
          <w:tcPr>
            <w:tcW w:w="0" w:type="auto"/>
            <w:tcBorders>
              <w:top w:val="nil"/>
              <w:left w:val="nil"/>
              <w:bottom w:val="single" w:sz="8" w:space="0" w:color="auto"/>
              <w:right w:val="single" w:sz="8" w:space="0" w:color="auto"/>
            </w:tcBorders>
          </w:tcPr>
          <w:p w14:paraId="11BE71A0" w14:textId="21F9132E" w:rsidR="00796FE6" w:rsidRDefault="00796FE6" w:rsidP="00796FE6">
            <w:pPr>
              <w:rPr>
                <w:sz w:val="18"/>
                <w:szCs w:val="18"/>
              </w:rPr>
            </w:pPr>
            <w:r>
              <w:rPr>
                <w:sz w:val="18"/>
                <w:szCs w:val="18"/>
              </w:rPr>
              <w:t xml:space="preserve">Indian technical services firms providing services to Australia remotely would continue to be taxed in Australia. There would be no impact on revenue </w:t>
            </w:r>
          </w:p>
        </w:tc>
      </w:tr>
      <w:bookmarkEnd w:id="79"/>
      <w:tr w:rsidR="00BC0A90" w14:paraId="7DE93D8B" w14:textId="0277AA70" w:rsidTr="00BC0A90">
        <w:tc>
          <w:tcPr>
            <w:tcW w:w="5240" w:type="dxa"/>
            <w:gridSpan w:val="3"/>
            <w:hideMark/>
          </w:tcPr>
          <w:p w14:paraId="5A33524D" w14:textId="1777906B" w:rsidR="00BC0A90" w:rsidRDefault="00BC0A90" w:rsidP="00BC0A90">
            <w:pPr>
              <w:rPr>
                <w:sz w:val="18"/>
                <w:szCs w:val="18"/>
              </w:rPr>
            </w:pPr>
            <w:r>
              <w:rPr>
                <w:b/>
                <w:bCs/>
                <w:sz w:val="18"/>
                <w:szCs w:val="18"/>
              </w:rPr>
              <w:t>Net benefit or cost</w:t>
            </w:r>
          </w:p>
        </w:tc>
        <w:tc>
          <w:tcPr>
            <w:tcW w:w="2874" w:type="dxa"/>
            <w:shd w:val="clear" w:color="auto" w:fill="auto"/>
          </w:tcPr>
          <w:p w14:paraId="39672BF0" w14:textId="77777777" w:rsidR="00BC0A90" w:rsidRDefault="00BC0A90" w:rsidP="00BC0A90">
            <w:pPr>
              <w:rPr>
                <w:sz w:val="18"/>
                <w:szCs w:val="18"/>
              </w:rPr>
            </w:pPr>
            <w:r>
              <w:rPr>
                <w:sz w:val="18"/>
                <w:szCs w:val="18"/>
              </w:rPr>
              <w:t>Significant strategic benefits</w:t>
            </w:r>
          </w:p>
          <w:p w14:paraId="460D63AA" w14:textId="77777777" w:rsidR="00BC0A90" w:rsidRDefault="00BC0A90" w:rsidP="00BC0A90">
            <w:pPr>
              <w:rPr>
                <w:sz w:val="18"/>
                <w:szCs w:val="18"/>
              </w:rPr>
            </w:pPr>
          </w:p>
          <w:p w14:paraId="0AB5438F" w14:textId="77777777" w:rsidR="00BC0A90" w:rsidRDefault="00BC0A90" w:rsidP="00BC0A90">
            <w:pPr>
              <w:rPr>
                <w:sz w:val="18"/>
                <w:szCs w:val="18"/>
              </w:rPr>
            </w:pPr>
            <w:r>
              <w:rPr>
                <w:sz w:val="18"/>
                <w:szCs w:val="18"/>
              </w:rPr>
              <w:t>Significant benefits to Australian businesses and consumers</w:t>
            </w:r>
          </w:p>
          <w:p w14:paraId="66ED6D69" w14:textId="77777777" w:rsidR="00BC0A90" w:rsidRDefault="00BC0A90" w:rsidP="00BC0A90">
            <w:pPr>
              <w:rPr>
                <w:sz w:val="18"/>
                <w:szCs w:val="18"/>
              </w:rPr>
            </w:pPr>
          </w:p>
          <w:p w14:paraId="6BA05F5F" w14:textId="000212AC" w:rsidR="00BC0A90" w:rsidRDefault="00BC0A90" w:rsidP="00BC0A90">
            <w:pPr>
              <w:rPr>
                <w:rFonts w:ascii="Times New Roman" w:eastAsia="Times New Roman" w:hAnsi="Times New Roman" w:cs="Times New Roman"/>
                <w:sz w:val="20"/>
                <w:szCs w:val="20"/>
                <w:lang w:eastAsia="en-AU"/>
              </w:rPr>
            </w:pPr>
            <w:r>
              <w:rPr>
                <w:sz w:val="18"/>
                <w:szCs w:val="18"/>
              </w:rPr>
              <w:t>Revenue and expenditure impacts of $</w:t>
            </w:r>
            <w:r>
              <w:rPr>
                <w:sz w:val="18"/>
                <w:szCs w:val="18"/>
              </w:rPr>
              <w:t>482</w:t>
            </w:r>
            <w:r>
              <w:rPr>
                <w:sz w:val="18"/>
                <w:szCs w:val="18"/>
              </w:rPr>
              <w:t xml:space="preserve"> million over the forward estimates</w:t>
            </w:r>
          </w:p>
        </w:tc>
        <w:tc>
          <w:tcPr>
            <w:tcW w:w="1515" w:type="dxa"/>
            <w:shd w:val="clear" w:color="auto" w:fill="auto"/>
          </w:tcPr>
          <w:p w14:paraId="4DBCB749" w14:textId="77777777" w:rsidR="00BC0A90" w:rsidRDefault="00BC0A90" w:rsidP="00BC0A90">
            <w:pPr>
              <w:rPr>
                <w:sz w:val="18"/>
                <w:szCs w:val="18"/>
              </w:rPr>
            </w:pPr>
            <w:r>
              <w:rPr>
                <w:sz w:val="18"/>
                <w:szCs w:val="18"/>
              </w:rPr>
              <w:t>No benefits relative to the status quo</w:t>
            </w:r>
          </w:p>
          <w:p w14:paraId="5BD0388B" w14:textId="77777777" w:rsidR="00BC0A90" w:rsidRDefault="00BC0A90" w:rsidP="00BC0A90">
            <w:pPr>
              <w:rPr>
                <w:sz w:val="18"/>
                <w:szCs w:val="18"/>
              </w:rPr>
            </w:pPr>
          </w:p>
          <w:p w14:paraId="43D245F5" w14:textId="5E162235" w:rsidR="00BC0A90" w:rsidRDefault="00BC0A90" w:rsidP="00BC0A90">
            <w:pPr>
              <w:rPr>
                <w:rFonts w:ascii="Times New Roman" w:eastAsia="Times New Roman" w:hAnsi="Times New Roman" w:cs="Times New Roman"/>
                <w:sz w:val="20"/>
                <w:szCs w:val="20"/>
                <w:lang w:eastAsia="en-AU"/>
              </w:rPr>
            </w:pPr>
            <w:r>
              <w:rPr>
                <w:sz w:val="18"/>
                <w:szCs w:val="18"/>
              </w:rPr>
              <w:t>No regulatory burden relative to the status quo</w:t>
            </w:r>
          </w:p>
        </w:tc>
      </w:tr>
    </w:tbl>
    <w:p w14:paraId="3DDF0F5D" w14:textId="50D4C471" w:rsidR="006D5572" w:rsidRPr="00517C2E" w:rsidRDefault="005D64E9">
      <w:pPr>
        <w:pStyle w:val="Heading2"/>
        <w:spacing w:before="0"/>
      </w:pPr>
      <w:bookmarkStart w:id="80" w:name="_Toc99370683"/>
      <w:r>
        <w:t xml:space="preserve">Assessment of </w:t>
      </w:r>
      <w:r w:rsidR="00787609">
        <w:t xml:space="preserve">Option 1 – signing the proposed </w:t>
      </w:r>
      <w:r w:rsidR="0075790E">
        <w:t>AI</w:t>
      </w:r>
      <w:r w:rsidR="00217C26">
        <w:t xml:space="preserve"> ECTA</w:t>
      </w:r>
      <w:bookmarkEnd w:id="80"/>
      <w:r w:rsidR="006D5572">
        <w:t xml:space="preserve"> </w:t>
      </w:r>
    </w:p>
    <w:p w14:paraId="7D2C7B7E" w14:textId="2EFAE43D" w:rsidR="00C85E71" w:rsidRDefault="00C85E71">
      <w:pPr>
        <w:spacing w:after="0"/>
        <w:rPr>
          <w:sz w:val="24"/>
          <w:szCs w:val="24"/>
        </w:rPr>
      </w:pPr>
    </w:p>
    <w:p w14:paraId="6A12C8B5" w14:textId="4742487A" w:rsidR="006171A6" w:rsidRDefault="006171A6">
      <w:pPr>
        <w:spacing w:after="0"/>
        <w:rPr>
          <w:sz w:val="24"/>
          <w:szCs w:val="24"/>
        </w:rPr>
      </w:pPr>
      <w:r>
        <w:rPr>
          <w:b/>
          <w:bCs/>
          <w:sz w:val="24"/>
          <w:szCs w:val="24"/>
        </w:rPr>
        <w:t xml:space="preserve">Advantages </w:t>
      </w:r>
      <w:r w:rsidR="00AF57C8">
        <w:rPr>
          <w:b/>
          <w:bCs/>
          <w:sz w:val="24"/>
          <w:szCs w:val="24"/>
        </w:rPr>
        <w:t xml:space="preserve">of Option 1 </w:t>
      </w:r>
    </w:p>
    <w:p w14:paraId="78D463FE" w14:textId="070D07A1" w:rsidR="006171A6" w:rsidRDefault="006171A6">
      <w:pPr>
        <w:spacing w:after="0"/>
        <w:rPr>
          <w:sz w:val="24"/>
          <w:szCs w:val="24"/>
        </w:rPr>
      </w:pPr>
    </w:p>
    <w:p w14:paraId="7C7B1D2D" w14:textId="77777777" w:rsidR="006171A6" w:rsidRPr="00A5588B" w:rsidRDefault="006171A6">
      <w:pPr>
        <w:spacing w:after="0"/>
        <w:rPr>
          <w:b/>
          <w:bCs/>
          <w:sz w:val="24"/>
          <w:szCs w:val="24"/>
        </w:rPr>
      </w:pPr>
      <w:r w:rsidRPr="00A5588B">
        <w:rPr>
          <w:b/>
          <w:bCs/>
          <w:i/>
          <w:iCs/>
          <w:sz w:val="24"/>
          <w:szCs w:val="24"/>
        </w:rPr>
        <w:t xml:space="preserve">It advances the Australian Government’s objectives </w:t>
      </w:r>
    </w:p>
    <w:p w14:paraId="1A1B3B30" w14:textId="77777777" w:rsidR="006171A6" w:rsidRDefault="006171A6">
      <w:pPr>
        <w:pStyle w:val="ListParagraph"/>
        <w:spacing w:after="0"/>
        <w:ind w:left="567"/>
        <w:rPr>
          <w:sz w:val="24"/>
          <w:szCs w:val="24"/>
        </w:rPr>
      </w:pPr>
    </w:p>
    <w:p w14:paraId="21BA7363" w14:textId="0D8107FC" w:rsidR="006171A6" w:rsidRDefault="006171A6">
      <w:pPr>
        <w:pStyle w:val="ListParagraph"/>
        <w:numPr>
          <w:ilvl w:val="0"/>
          <w:numId w:val="1"/>
        </w:numPr>
        <w:spacing w:after="0"/>
        <w:ind w:left="567" w:hanging="567"/>
        <w:rPr>
          <w:sz w:val="24"/>
          <w:szCs w:val="24"/>
        </w:rPr>
      </w:pPr>
      <w:r w:rsidRPr="543832D4">
        <w:rPr>
          <w:sz w:val="24"/>
          <w:szCs w:val="24"/>
        </w:rPr>
        <w:t xml:space="preserve">Signing the proposed </w:t>
      </w:r>
      <w:r w:rsidR="0075790E">
        <w:rPr>
          <w:sz w:val="24"/>
          <w:szCs w:val="24"/>
        </w:rPr>
        <w:t>AI</w:t>
      </w:r>
      <w:r w:rsidR="00217C26">
        <w:rPr>
          <w:sz w:val="24"/>
          <w:szCs w:val="24"/>
        </w:rPr>
        <w:t xml:space="preserve"> ECTA</w:t>
      </w:r>
      <w:r w:rsidRPr="543832D4">
        <w:rPr>
          <w:sz w:val="24"/>
          <w:szCs w:val="24"/>
        </w:rPr>
        <w:t xml:space="preserve"> will further the Australian Government’s objectives, which are set out in the ‘What are the option to achieve these objectives’ section, in the following ways:  </w:t>
      </w:r>
    </w:p>
    <w:p w14:paraId="08E9535E" w14:textId="77777777" w:rsidR="006171A6" w:rsidRDefault="006171A6">
      <w:pPr>
        <w:pStyle w:val="ListParagraph"/>
        <w:spacing w:after="0"/>
        <w:ind w:left="567"/>
        <w:rPr>
          <w:sz w:val="24"/>
          <w:szCs w:val="24"/>
        </w:rPr>
      </w:pPr>
    </w:p>
    <w:p w14:paraId="7A2FEBAD" w14:textId="343C0318" w:rsidR="006171A6" w:rsidRDefault="006171A6">
      <w:pPr>
        <w:pStyle w:val="ListParagraph"/>
        <w:numPr>
          <w:ilvl w:val="0"/>
          <w:numId w:val="3"/>
        </w:numPr>
        <w:spacing w:after="0"/>
        <w:rPr>
          <w:sz w:val="24"/>
          <w:szCs w:val="24"/>
        </w:rPr>
      </w:pPr>
      <w:r>
        <w:rPr>
          <w:sz w:val="24"/>
          <w:szCs w:val="24"/>
        </w:rPr>
        <w:t xml:space="preserve">it will advance the Australian Government’s trade diversification agenda by opening new markets for Australian exporters and suppliers. This will help to mitigate the risks associated with market concentration and it is also an important pillar in supporting Australian businesses to recover in a post COVID-19 environment, </w:t>
      </w:r>
    </w:p>
    <w:p w14:paraId="1B714456" w14:textId="77777777" w:rsidR="006171A6" w:rsidRDefault="006171A6">
      <w:pPr>
        <w:pStyle w:val="ListParagraph"/>
        <w:spacing w:after="0"/>
        <w:ind w:left="927"/>
        <w:rPr>
          <w:sz w:val="24"/>
          <w:szCs w:val="24"/>
        </w:rPr>
      </w:pPr>
    </w:p>
    <w:p w14:paraId="63574DB7" w14:textId="1711940D" w:rsidR="006171A6" w:rsidRPr="00645407" w:rsidRDefault="006171A6">
      <w:pPr>
        <w:pStyle w:val="ListParagraph"/>
        <w:numPr>
          <w:ilvl w:val="0"/>
          <w:numId w:val="3"/>
        </w:numPr>
        <w:spacing w:after="0" w:line="240" w:lineRule="auto"/>
        <w:rPr>
          <w:sz w:val="24"/>
          <w:szCs w:val="24"/>
        </w:rPr>
      </w:pPr>
      <w:r>
        <w:rPr>
          <w:sz w:val="24"/>
          <w:szCs w:val="24"/>
        </w:rPr>
        <w:t>it will deepen Australia’s economic links with likeminded trading partners in the region and demonstrate Australia and India’s commitment to trade liberalisation, which is important in a global environment where protectionist sentiments are growing.</w:t>
      </w:r>
    </w:p>
    <w:p w14:paraId="19EA64D0" w14:textId="45875A2A" w:rsidR="006171A6" w:rsidRDefault="006171A6">
      <w:pPr>
        <w:spacing w:after="0"/>
        <w:rPr>
          <w:sz w:val="24"/>
          <w:szCs w:val="24"/>
        </w:rPr>
      </w:pPr>
    </w:p>
    <w:p w14:paraId="7DC78080" w14:textId="1F626BBF" w:rsidR="006171A6" w:rsidRPr="00D25DF5" w:rsidRDefault="006171A6">
      <w:pPr>
        <w:spacing w:after="0"/>
        <w:rPr>
          <w:b/>
          <w:bCs/>
          <w:i/>
          <w:iCs/>
          <w:sz w:val="24"/>
          <w:szCs w:val="24"/>
        </w:rPr>
      </w:pPr>
      <w:r w:rsidRPr="00D25DF5">
        <w:rPr>
          <w:b/>
          <w:bCs/>
          <w:i/>
          <w:iCs/>
          <w:sz w:val="24"/>
          <w:szCs w:val="24"/>
        </w:rPr>
        <w:t xml:space="preserve">It will bring benefits to Australian exporters, </w:t>
      </w:r>
      <w:proofErr w:type="gramStart"/>
      <w:r w:rsidRPr="00D25DF5">
        <w:rPr>
          <w:b/>
          <w:bCs/>
          <w:i/>
          <w:iCs/>
          <w:sz w:val="24"/>
          <w:szCs w:val="24"/>
        </w:rPr>
        <w:t>suppliers</w:t>
      </w:r>
      <w:proofErr w:type="gramEnd"/>
      <w:r w:rsidRPr="00D25DF5">
        <w:rPr>
          <w:b/>
          <w:bCs/>
          <w:i/>
          <w:iCs/>
          <w:sz w:val="24"/>
          <w:szCs w:val="24"/>
        </w:rPr>
        <w:t xml:space="preserve"> and consumers </w:t>
      </w:r>
    </w:p>
    <w:p w14:paraId="41873015" w14:textId="39B3969E" w:rsidR="006F7169" w:rsidRDefault="006F7169">
      <w:pPr>
        <w:pStyle w:val="ListParagraph"/>
        <w:spacing w:after="0"/>
        <w:ind w:left="927"/>
        <w:rPr>
          <w:sz w:val="24"/>
          <w:szCs w:val="24"/>
        </w:rPr>
      </w:pPr>
    </w:p>
    <w:p w14:paraId="2D9A4F92" w14:textId="2A1BF55D" w:rsidR="00950317" w:rsidRDefault="00950317">
      <w:pPr>
        <w:pStyle w:val="ListParagraph"/>
        <w:numPr>
          <w:ilvl w:val="0"/>
          <w:numId w:val="1"/>
        </w:numPr>
        <w:spacing w:after="0"/>
        <w:ind w:left="567" w:hanging="567"/>
        <w:rPr>
          <w:sz w:val="24"/>
          <w:szCs w:val="24"/>
        </w:rPr>
      </w:pPr>
      <w:r w:rsidRPr="543832D4">
        <w:rPr>
          <w:sz w:val="24"/>
          <w:szCs w:val="24"/>
        </w:rPr>
        <w:t xml:space="preserve">Signing the proposed </w:t>
      </w:r>
      <w:r w:rsidR="0075790E">
        <w:rPr>
          <w:sz w:val="24"/>
          <w:szCs w:val="24"/>
        </w:rPr>
        <w:t>AI</w:t>
      </w:r>
      <w:r w:rsidR="00217C26">
        <w:rPr>
          <w:sz w:val="24"/>
          <w:szCs w:val="24"/>
        </w:rPr>
        <w:t xml:space="preserve"> ECTA</w:t>
      </w:r>
      <w:r w:rsidRPr="543832D4">
        <w:rPr>
          <w:sz w:val="24"/>
          <w:szCs w:val="24"/>
        </w:rPr>
        <w:t xml:space="preserve"> will </w:t>
      </w:r>
      <w:r>
        <w:rPr>
          <w:sz w:val="24"/>
          <w:szCs w:val="24"/>
        </w:rPr>
        <w:t xml:space="preserve">bring benefits to Australian exporters, </w:t>
      </w:r>
      <w:proofErr w:type="gramStart"/>
      <w:r>
        <w:rPr>
          <w:sz w:val="24"/>
          <w:szCs w:val="24"/>
        </w:rPr>
        <w:t>suppliers</w:t>
      </w:r>
      <w:proofErr w:type="gramEnd"/>
      <w:r>
        <w:rPr>
          <w:sz w:val="24"/>
          <w:szCs w:val="24"/>
        </w:rPr>
        <w:t xml:space="preserve"> and consumers in the following ways: </w:t>
      </w:r>
      <w:r w:rsidRPr="543832D4">
        <w:rPr>
          <w:sz w:val="24"/>
          <w:szCs w:val="24"/>
        </w:rPr>
        <w:t xml:space="preserve">  </w:t>
      </w:r>
    </w:p>
    <w:p w14:paraId="39A5EDA3" w14:textId="77777777" w:rsidR="00950317" w:rsidRDefault="00950317">
      <w:pPr>
        <w:pStyle w:val="ListParagraph"/>
        <w:spacing w:after="0"/>
        <w:ind w:left="927"/>
        <w:rPr>
          <w:sz w:val="24"/>
          <w:szCs w:val="24"/>
        </w:rPr>
      </w:pPr>
    </w:p>
    <w:p w14:paraId="29B4E545" w14:textId="48D08840" w:rsidR="007E2920" w:rsidRDefault="007E2920" w:rsidP="0001716D">
      <w:pPr>
        <w:pStyle w:val="ListParagraph"/>
        <w:numPr>
          <w:ilvl w:val="0"/>
          <w:numId w:val="19"/>
        </w:numPr>
        <w:spacing w:after="0"/>
        <w:rPr>
          <w:sz w:val="24"/>
          <w:szCs w:val="24"/>
        </w:rPr>
      </w:pPr>
      <w:r>
        <w:rPr>
          <w:sz w:val="24"/>
          <w:szCs w:val="24"/>
        </w:rPr>
        <w:t xml:space="preserve">it will provide early market access, which Australian businesses and consumers can benefit from, while a full CECA is still being negotiated. </w:t>
      </w:r>
      <w:r w:rsidR="00AF628B">
        <w:rPr>
          <w:sz w:val="24"/>
          <w:szCs w:val="24"/>
        </w:rPr>
        <w:t xml:space="preserve">This will allow Australian exporters and suppliers to secure preferential market access into one of the world’s </w:t>
      </w:r>
      <w:r w:rsidR="00AF628B">
        <w:rPr>
          <w:sz w:val="24"/>
          <w:szCs w:val="24"/>
        </w:rPr>
        <w:lastRenderedPageBreak/>
        <w:t xml:space="preserve">largest and growing economies, ahead of other trading partners – many of whom are still in negotiations with India, </w:t>
      </w:r>
    </w:p>
    <w:p w14:paraId="0307D62C" w14:textId="77777777" w:rsidR="00F064D4" w:rsidRDefault="00F064D4" w:rsidP="0001716D">
      <w:pPr>
        <w:pStyle w:val="ListParagraph"/>
        <w:spacing w:after="0"/>
        <w:ind w:left="927"/>
        <w:rPr>
          <w:sz w:val="24"/>
          <w:szCs w:val="24"/>
        </w:rPr>
      </w:pPr>
    </w:p>
    <w:p w14:paraId="4911F2A7" w14:textId="0DA0A7B6" w:rsidR="006171A6" w:rsidRDefault="00F064D4" w:rsidP="0001716D">
      <w:pPr>
        <w:pStyle w:val="ListParagraph"/>
        <w:numPr>
          <w:ilvl w:val="0"/>
          <w:numId w:val="19"/>
        </w:numPr>
        <w:spacing w:after="0"/>
        <w:rPr>
          <w:sz w:val="24"/>
          <w:szCs w:val="24"/>
        </w:rPr>
      </w:pPr>
      <w:r>
        <w:rPr>
          <w:sz w:val="24"/>
          <w:szCs w:val="24"/>
        </w:rPr>
        <w:t xml:space="preserve">the proposed </w:t>
      </w:r>
      <w:r w:rsidR="0075790E">
        <w:rPr>
          <w:sz w:val="24"/>
          <w:szCs w:val="24"/>
        </w:rPr>
        <w:t>AI</w:t>
      </w:r>
      <w:r w:rsidR="00217C26">
        <w:rPr>
          <w:sz w:val="24"/>
          <w:szCs w:val="24"/>
        </w:rPr>
        <w:t xml:space="preserve"> ECTA</w:t>
      </w:r>
      <w:r>
        <w:rPr>
          <w:sz w:val="24"/>
          <w:szCs w:val="24"/>
        </w:rPr>
        <w:t xml:space="preserve"> will eliminate</w:t>
      </w:r>
      <w:r w:rsidR="00AE6AF0">
        <w:rPr>
          <w:sz w:val="24"/>
          <w:szCs w:val="24"/>
        </w:rPr>
        <w:t>, bind at zero</w:t>
      </w:r>
      <w:r>
        <w:rPr>
          <w:sz w:val="24"/>
          <w:szCs w:val="24"/>
        </w:rPr>
        <w:t xml:space="preserve"> or reduce the high tariffs currently imposed on wide range of goods, which will make Australian goods more competitive and enable them to compete with goods from other countries that have existing FTAs with India, </w:t>
      </w:r>
    </w:p>
    <w:p w14:paraId="651B3544" w14:textId="77777777" w:rsidR="00F064D4" w:rsidRPr="00D25DF5" w:rsidRDefault="00F064D4" w:rsidP="0001716D">
      <w:pPr>
        <w:pStyle w:val="ListParagraph"/>
        <w:spacing w:after="0"/>
        <w:rPr>
          <w:sz w:val="24"/>
          <w:szCs w:val="24"/>
        </w:rPr>
      </w:pPr>
    </w:p>
    <w:p w14:paraId="2FAEEF33" w14:textId="1733B8BE" w:rsidR="00F064D4" w:rsidRPr="00D25DF5" w:rsidRDefault="00F064D4">
      <w:pPr>
        <w:pStyle w:val="ListParagraph"/>
        <w:numPr>
          <w:ilvl w:val="0"/>
          <w:numId w:val="19"/>
        </w:numPr>
        <w:spacing w:after="0"/>
        <w:rPr>
          <w:sz w:val="24"/>
          <w:szCs w:val="24"/>
        </w:rPr>
      </w:pPr>
      <w:r>
        <w:rPr>
          <w:sz w:val="24"/>
          <w:szCs w:val="24"/>
        </w:rPr>
        <w:t xml:space="preserve">it will </w:t>
      </w:r>
      <w:r w:rsidR="00A27DF3">
        <w:rPr>
          <w:sz w:val="24"/>
          <w:szCs w:val="24"/>
        </w:rPr>
        <w:t>assist Australian businesses to diversify the markets for their products</w:t>
      </w:r>
      <w:r w:rsidR="00DF6997">
        <w:rPr>
          <w:sz w:val="24"/>
          <w:szCs w:val="24"/>
        </w:rPr>
        <w:t xml:space="preserve">, which is important </w:t>
      </w:r>
      <w:r w:rsidR="005D1A80">
        <w:rPr>
          <w:sz w:val="24"/>
          <w:szCs w:val="24"/>
        </w:rPr>
        <w:t xml:space="preserve">in an era </w:t>
      </w:r>
      <w:r w:rsidR="001052B0">
        <w:rPr>
          <w:sz w:val="24"/>
          <w:szCs w:val="24"/>
        </w:rPr>
        <w:t xml:space="preserve">where </w:t>
      </w:r>
      <w:r w:rsidR="002E6837">
        <w:rPr>
          <w:sz w:val="24"/>
          <w:szCs w:val="24"/>
        </w:rPr>
        <w:t xml:space="preserve">bilateral uncertainties could have a detrimental impact on trade. </w:t>
      </w:r>
    </w:p>
    <w:p w14:paraId="1CBA69A5" w14:textId="77777777" w:rsidR="002E2CBD" w:rsidRDefault="002E2CBD">
      <w:pPr>
        <w:spacing w:after="0"/>
        <w:rPr>
          <w:b/>
          <w:bCs/>
          <w:i/>
          <w:iCs/>
          <w:sz w:val="24"/>
          <w:szCs w:val="24"/>
        </w:rPr>
      </w:pPr>
    </w:p>
    <w:p w14:paraId="0A96C2FF" w14:textId="396CC47B" w:rsidR="006171A6" w:rsidRPr="00D25DF5" w:rsidRDefault="006171A6">
      <w:pPr>
        <w:spacing w:after="0"/>
        <w:rPr>
          <w:b/>
          <w:bCs/>
          <w:i/>
          <w:iCs/>
          <w:sz w:val="24"/>
          <w:szCs w:val="24"/>
        </w:rPr>
      </w:pPr>
      <w:r w:rsidRPr="00D25DF5">
        <w:rPr>
          <w:b/>
          <w:bCs/>
          <w:i/>
          <w:iCs/>
          <w:sz w:val="24"/>
          <w:szCs w:val="24"/>
        </w:rPr>
        <w:t xml:space="preserve">It aligns with feedback received from stakeholders during consultations </w:t>
      </w:r>
    </w:p>
    <w:p w14:paraId="54C3780B" w14:textId="77777777" w:rsidR="006171A6" w:rsidRDefault="006171A6">
      <w:pPr>
        <w:pStyle w:val="ListParagraph"/>
        <w:spacing w:after="0"/>
        <w:ind w:left="567"/>
        <w:rPr>
          <w:sz w:val="24"/>
          <w:szCs w:val="24"/>
        </w:rPr>
      </w:pPr>
    </w:p>
    <w:p w14:paraId="69E11BCE" w14:textId="674EAA10" w:rsidR="006171A6" w:rsidRPr="008D16BA" w:rsidRDefault="006171A6">
      <w:pPr>
        <w:pStyle w:val="ListParagraph"/>
        <w:numPr>
          <w:ilvl w:val="0"/>
          <w:numId w:val="1"/>
        </w:numPr>
        <w:spacing w:after="0"/>
        <w:ind w:left="567" w:hanging="567"/>
        <w:rPr>
          <w:sz w:val="24"/>
          <w:szCs w:val="24"/>
        </w:rPr>
      </w:pPr>
      <w:r w:rsidRPr="543832D4">
        <w:rPr>
          <w:sz w:val="24"/>
          <w:szCs w:val="24"/>
        </w:rPr>
        <w:t xml:space="preserve">In the context of trade in goods and trade in services, stakeholders have sought several key outcomes, as set out in the ‘Who did you consult and how did you incorporate their feedback’ section. The proposed </w:t>
      </w:r>
      <w:r w:rsidR="0075790E">
        <w:rPr>
          <w:sz w:val="24"/>
          <w:szCs w:val="24"/>
        </w:rPr>
        <w:t>AI</w:t>
      </w:r>
      <w:r w:rsidR="00217C26">
        <w:rPr>
          <w:sz w:val="24"/>
          <w:szCs w:val="24"/>
        </w:rPr>
        <w:t xml:space="preserve"> ECTA</w:t>
      </w:r>
      <w:r w:rsidRPr="543832D4">
        <w:rPr>
          <w:sz w:val="24"/>
          <w:szCs w:val="24"/>
        </w:rPr>
        <w:t xml:space="preserve"> will deliver on stakeholder outcomes in several ways, including: </w:t>
      </w:r>
    </w:p>
    <w:p w14:paraId="7BF4978E" w14:textId="77777777" w:rsidR="006171A6" w:rsidRDefault="006171A6">
      <w:pPr>
        <w:pStyle w:val="ListParagraph"/>
        <w:spacing w:after="0"/>
        <w:ind w:left="567"/>
        <w:rPr>
          <w:sz w:val="24"/>
          <w:szCs w:val="24"/>
        </w:rPr>
      </w:pPr>
    </w:p>
    <w:p w14:paraId="71672E1A" w14:textId="77777777" w:rsidR="006171A6" w:rsidRDefault="006171A6">
      <w:pPr>
        <w:pStyle w:val="ListParagraph"/>
        <w:numPr>
          <w:ilvl w:val="0"/>
          <w:numId w:val="8"/>
        </w:numPr>
        <w:spacing w:after="0"/>
        <w:rPr>
          <w:sz w:val="24"/>
          <w:szCs w:val="24"/>
        </w:rPr>
      </w:pPr>
      <w:r>
        <w:rPr>
          <w:sz w:val="24"/>
          <w:szCs w:val="24"/>
        </w:rPr>
        <w:t>facilitate greater market access for Australian goods into the Indian market through the elimination or gradual reduction in tariffs. This would make Australian goods more competitive, which would be beneficial for Australian exporters,</w:t>
      </w:r>
    </w:p>
    <w:p w14:paraId="1E607DAE" w14:textId="77777777" w:rsidR="006171A6" w:rsidRPr="00A9578C" w:rsidRDefault="006171A6">
      <w:pPr>
        <w:pStyle w:val="ListParagraph"/>
        <w:spacing w:after="0"/>
        <w:ind w:left="927"/>
        <w:rPr>
          <w:sz w:val="24"/>
          <w:szCs w:val="24"/>
        </w:rPr>
      </w:pPr>
    </w:p>
    <w:p w14:paraId="76C234C7" w14:textId="77777777" w:rsidR="006171A6" w:rsidRDefault="006171A6">
      <w:pPr>
        <w:pStyle w:val="ListParagraph"/>
        <w:numPr>
          <w:ilvl w:val="0"/>
          <w:numId w:val="8"/>
        </w:numPr>
        <w:spacing w:after="0"/>
        <w:rPr>
          <w:sz w:val="24"/>
          <w:szCs w:val="24"/>
        </w:rPr>
      </w:pPr>
      <w:r>
        <w:rPr>
          <w:sz w:val="24"/>
          <w:szCs w:val="24"/>
        </w:rPr>
        <w:t>provide increased certainty for Australian service suppliers already doing business in India by binding existing market access,</w:t>
      </w:r>
    </w:p>
    <w:p w14:paraId="136FBBD1" w14:textId="77777777" w:rsidR="006171A6" w:rsidRPr="00F8147B" w:rsidRDefault="006171A6">
      <w:pPr>
        <w:pStyle w:val="ListParagraph"/>
        <w:spacing w:after="0"/>
        <w:rPr>
          <w:sz w:val="24"/>
          <w:szCs w:val="24"/>
        </w:rPr>
      </w:pPr>
    </w:p>
    <w:p w14:paraId="40850EC7" w14:textId="77777777" w:rsidR="006171A6" w:rsidRDefault="006171A6">
      <w:pPr>
        <w:pStyle w:val="ListParagraph"/>
        <w:numPr>
          <w:ilvl w:val="0"/>
          <w:numId w:val="8"/>
        </w:numPr>
        <w:spacing w:after="0"/>
        <w:rPr>
          <w:sz w:val="24"/>
          <w:szCs w:val="24"/>
        </w:rPr>
      </w:pPr>
      <w:r w:rsidRPr="00F8147B">
        <w:rPr>
          <w:sz w:val="24"/>
          <w:szCs w:val="24"/>
        </w:rPr>
        <w:t>enhance transparency in the telecommunications sector, which would better clarify the market conditions for Australia’s telecommunications service suppliers in India</w:t>
      </w:r>
      <w:r>
        <w:rPr>
          <w:sz w:val="24"/>
          <w:szCs w:val="24"/>
        </w:rPr>
        <w:t>,</w:t>
      </w:r>
    </w:p>
    <w:p w14:paraId="4B94B791" w14:textId="77777777" w:rsidR="006171A6" w:rsidRPr="00F8147B" w:rsidRDefault="006171A6">
      <w:pPr>
        <w:pStyle w:val="ListParagraph"/>
        <w:spacing w:after="0"/>
        <w:rPr>
          <w:sz w:val="24"/>
          <w:szCs w:val="24"/>
        </w:rPr>
      </w:pPr>
    </w:p>
    <w:p w14:paraId="23531643" w14:textId="77777777" w:rsidR="006171A6" w:rsidRDefault="006171A6">
      <w:pPr>
        <w:pStyle w:val="ListParagraph"/>
        <w:numPr>
          <w:ilvl w:val="0"/>
          <w:numId w:val="8"/>
        </w:numPr>
        <w:spacing w:after="0"/>
        <w:rPr>
          <w:sz w:val="24"/>
          <w:szCs w:val="24"/>
        </w:rPr>
      </w:pPr>
      <w:r w:rsidRPr="00F8147B">
        <w:rPr>
          <w:sz w:val="24"/>
          <w:szCs w:val="24"/>
        </w:rPr>
        <w:t>establish a framework to improve the two-way movement of professionals</w:t>
      </w:r>
      <w:r>
        <w:rPr>
          <w:sz w:val="24"/>
          <w:szCs w:val="24"/>
        </w:rPr>
        <w:t>,</w:t>
      </w:r>
    </w:p>
    <w:p w14:paraId="4589C0FC" w14:textId="77777777" w:rsidR="006171A6" w:rsidRPr="00F8147B" w:rsidRDefault="006171A6">
      <w:pPr>
        <w:pStyle w:val="ListParagraph"/>
        <w:spacing w:after="0"/>
        <w:rPr>
          <w:sz w:val="24"/>
          <w:szCs w:val="24"/>
        </w:rPr>
      </w:pPr>
    </w:p>
    <w:p w14:paraId="50BD69AC" w14:textId="77777777" w:rsidR="006171A6" w:rsidRPr="00124430" w:rsidRDefault="006171A6">
      <w:pPr>
        <w:pStyle w:val="ListParagraph"/>
        <w:numPr>
          <w:ilvl w:val="0"/>
          <w:numId w:val="8"/>
        </w:numPr>
        <w:spacing w:after="0"/>
        <w:rPr>
          <w:sz w:val="24"/>
          <w:szCs w:val="24"/>
        </w:rPr>
      </w:pPr>
      <w:r w:rsidRPr="00F8147B">
        <w:rPr>
          <w:sz w:val="24"/>
          <w:szCs w:val="24"/>
        </w:rPr>
        <w:t>promote opportunities for business travel,</w:t>
      </w:r>
      <w:r>
        <w:rPr>
          <w:sz w:val="24"/>
          <w:szCs w:val="24"/>
        </w:rPr>
        <w:t xml:space="preserve"> including by providing </w:t>
      </w:r>
      <w:r w:rsidRPr="00F8147B">
        <w:rPr>
          <w:sz w:val="24"/>
          <w:szCs w:val="24"/>
        </w:rPr>
        <w:t xml:space="preserve">certainty on visa pathways for businesses and professionals working across India and Australia.  </w:t>
      </w:r>
    </w:p>
    <w:p w14:paraId="2FC1A1B5" w14:textId="32655CE5" w:rsidR="00AF57C8" w:rsidRDefault="00AF57C8">
      <w:pPr>
        <w:spacing w:after="0"/>
        <w:rPr>
          <w:sz w:val="24"/>
          <w:szCs w:val="24"/>
        </w:rPr>
      </w:pPr>
    </w:p>
    <w:p w14:paraId="75A9833F" w14:textId="6766071B" w:rsidR="00AF57C8" w:rsidRPr="00D25DF5" w:rsidRDefault="00AF57C8">
      <w:pPr>
        <w:spacing w:after="0"/>
        <w:rPr>
          <w:b/>
          <w:bCs/>
          <w:sz w:val="24"/>
          <w:szCs w:val="24"/>
        </w:rPr>
      </w:pPr>
      <w:r w:rsidRPr="00D25DF5">
        <w:rPr>
          <w:b/>
          <w:bCs/>
          <w:sz w:val="24"/>
          <w:szCs w:val="24"/>
        </w:rPr>
        <w:t xml:space="preserve">Disadvantages </w:t>
      </w:r>
      <w:r>
        <w:rPr>
          <w:b/>
          <w:bCs/>
          <w:sz w:val="24"/>
          <w:szCs w:val="24"/>
        </w:rPr>
        <w:t xml:space="preserve">of Option 1 </w:t>
      </w:r>
    </w:p>
    <w:p w14:paraId="04474309" w14:textId="327DD329" w:rsidR="00C04F49" w:rsidRDefault="00C04F49">
      <w:pPr>
        <w:spacing w:after="0"/>
        <w:rPr>
          <w:sz w:val="24"/>
          <w:szCs w:val="24"/>
        </w:rPr>
      </w:pPr>
    </w:p>
    <w:p w14:paraId="7F7D1E6E" w14:textId="3994323D" w:rsidR="0033547B" w:rsidRDefault="00C04F49">
      <w:pPr>
        <w:pStyle w:val="ListParagraph"/>
        <w:numPr>
          <w:ilvl w:val="0"/>
          <w:numId w:val="1"/>
        </w:numPr>
        <w:spacing w:after="0"/>
        <w:ind w:left="567" w:hanging="567"/>
        <w:rPr>
          <w:sz w:val="24"/>
          <w:szCs w:val="24"/>
        </w:rPr>
      </w:pPr>
      <w:r>
        <w:rPr>
          <w:sz w:val="24"/>
          <w:szCs w:val="24"/>
        </w:rPr>
        <w:t xml:space="preserve">The proposed </w:t>
      </w:r>
      <w:r w:rsidR="006E5E78">
        <w:rPr>
          <w:sz w:val="24"/>
          <w:szCs w:val="24"/>
        </w:rPr>
        <w:t>AI ECTA</w:t>
      </w:r>
      <w:r>
        <w:rPr>
          <w:sz w:val="24"/>
          <w:szCs w:val="24"/>
        </w:rPr>
        <w:t xml:space="preserve"> does not address all the issues </w:t>
      </w:r>
      <w:r w:rsidR="00002B38">
        <w:rPr>
          <w:sz w:val="24"/>
          <w:szCs w:val="24"/>
        </w:rPr>
        <w:t xml:space="preserve">outlined in Minister Tehan and Minister Goyal’s joint media release following the Joint Ministerial Commission. </w:t>
      </w:r>
      <w:r w:rsidR="00631BC8">
        <w:rPr>
          <w:sz w:val="24"/>
          <w:szCs w:val="24"/>
        </w:rPr>
        <w:t>For example, investment</w:t>
      </w:r>
      <w:r w:rsidR="00297E2F">
        <w:rPr>
          <w:sz w:val="24"/>
          <w:szCs w:val="24"/>
        </w:rPr>
        <w:t xml:space="preserve"> and digital trade are not included in the proposed </w:t>
      </w:r>
      <w:r w:rsidR="006E5E78">
        <w:rPr>
          <w:sz w:val="24"/>
          <w:szCs w:val="24"/>
        </w:rPr>
        <w:t>AI ECTA</w:t>
      </w:r>
      <w:r w:rsidR="00297E2F">
        <w:rPr>
          <w:sz w:val="24"/>
          <w:szCs w:val="24"/>
        </w:rPr>
        <w:t>.</w:t>
      </w:r>
      <w:r w:rsidR="00E766D0">
        <w:rPr>
          <w:sz w:val="24"/>
          <w:szCs w:val="24"/>
        </w:rPr>
        <w:t xml:space="preserve"> </w:t>
      </w:r>
    </w:p>
    <w:p w14:paraId="7CE408B1" w14:textId="77777777" w:rsidR="0033547B" w:rsidRDefault="0033547B">
      <w:pPr>
        <w:pStyle w:val="ListParagraph"/>
        <w:spacing w:after="0"/>
        <w:ind w:left="567"/>
        <w:rPr>
          <w:sz w:val="24"/>
          <w:szCs w:val="24"/>
        </w:rPr>
      </w:pPr>
    </w:p>
    <w:p w14:paraId="201A90FB" w14:textId="05581160" w:rsidR="00C04F49" w:rsidRPr="00D25DF5" w:rsidRDefault="00F64BAE">
      <w:pPr>
        <w:pStyle w:val="ListParagraph"/>
        <w:numPr>
          <w:ilvl w:val="0"/>
          <w:numId w:val="1"/>
        </w:numPr>
        <w:spacing w:after="0"/>
        <w:ind w:left="567" w:hanging="567"/>
        <w:rPr>
          <w:sz w:val="24"/>
          <w:szCs w:val="24"/>
        </w:rPr>
      </w:pPr>
      <w:r>
        <w:rPr>
          <w:sz w:val="24"/>
          <w:szCs w:val="24"/>
        </w:rPr>
        <w:t xml:space="preserve">Nonetheless, the proposed </w:t>
      </w:r>
      <w:r w:rsidR="0075790E">
        <w:rPr>
          <w:sz w:val="24"/>
          <w:szCs w:val="24"/>
        </w:rPr>
        <w:t>AI</w:t>
      </w:r>
      <w:r w:rsidR="00217C26">
        <w:rPr>
          <w:sz w:val="24"/>
          <w:szCs w:val="24"/>
        </w:rPr>
        <w:t xml:space="preserve"> ECTA</w:t>
      </w:r>
      <w:r>
        <w:rPr>
          <w:sz w:val="24"/>
          <w:szCs w:val="24"/>
        </w:rPr>
        <w:t xml:space="preserve"> will</w:t>
      </w:r>
      <w:r w:rsidR="00285496">
        <w:rPr>
          <w:sz w:val="24"/>
          <w:szCs w:val="24"/>
        </w:rPr>
        <w:t xml:space="preserve"> </w:t>
      </w:r>
      <w:r w:rsidR="00297E2F">
        <w:rPr>
          <w:sz w:val="24"/>
          <w:szCs w:val="24"/>
        </w:rPr>
        <w:t>provide a solid platform for ongoing discussions between Australia and India on these issues</w:t>
      </w:r>
      <w:r w:rsidR="00AC2A45">
        <w:rPr>
          <w:sz w:val="24"/>
          <w:szCs w:val="24"/>
        </w:rPr>
        <w:t xml:space="preserve"> and on more sensitive matters such as</w:t>
      </w:r>
      <w:r w:rsidR="0033547B">
        <w:rPr>
          <w:sz w:val="24"/>
          <w:szCs w:val="24"/>
        </w:rPr>
        <w:t xml:space="preserve"> government procurement,</w:t>
      </w:r>
      <w:r w:rsidR="00297E2F">
        <w:rPr>
          <w:sz w:val="24"/>
          <w:szCs w:val="24"/>
        </w:rPr>
        <w:t xml:space="preserve"> </w:t>
      </w:r>
      <w:r w:rsidR="00066C4E">
        <w:rPr>
          <w:sz w:val="24"/>
          <w:szCs w:val="24"/>
        </w:rPr>
        <w:t xml:space="preserve">as part of negotiations for </w:t>
      </w:r>
      <w:r w:rsidR="00E766D0">
        <w:rPr>
          <w:sz w:val="24"/>
          <w:szCs w:val="24"/>
        </w:rPr>
        <w:t>a full CECA</w:t>
      </w:r>
      <w:r w:rsidR="0001378B">
        <w:rPr>
          <w:sz w:val="24"/>
          <w:szCs w:val="24"/>
        </w:rPr>
        <w:t xml:space="preserve">. </w:t>
      </w:r>
    </w:p>
    <w:p w14:paraId="5D568E64" w14:textId="77777777" w:rsidR="00C85E71" w:rsidRDefault="00C85E71">
      <w:pPr>
        <w:spacing w:after="0"/>
        <w:rPr>
          <w:b/>
          <w:bCs/>
          <w:sz w:val="24"/>
          <w:szCs w:val="24"/>
        </w:rPr>
      </w:pPr>
    </w:p>
    <w:p w14:paraId="7AD7484F" w14:textId="1E9F40BB" w:rsidR="00D6540E" w:rsidRPr="00517C2E" w:rsidRDefault="00D6540E">
      <w:pPr>
        <w:pStyle w:val="Heading2"/>
        <w:spacing w:before="0"/>
      </w:pPr>
      <w:bookmarkStart w:id="81" w:name="_Toc99370684"/>
      <w:r>
        <w:lastRenderedPageBreak/>
        <w:t xml:space="preserve">Assessment of Option 2 – </w:t>
      </w:r>
      <w:r w:rsidR="00F24B59">
        <w:t xml:space="preserve">not </w:t>
      </w:r>
      <w:r>
        <w:t xml:space="preserve">signing the proposed </w:t>
      </w:r>
      <w:r w:rsidR="0075790E">
        <w:t>AI</w:t>
      </w:r>
      <w:r w:rsidR="00217C26">
        <w:t xml:space="preserve"> ECTA</w:t>
      </w:r>
      <w:bookmarkEnd w:id="81"/>
      <w:r>
        <w:t xml:space="preserve"> </w:t>
      </w:r>
    </w:p>
    <w:p w14:paraId="4DB79307" w14:textId="63D83016" w:rsidR="00002B38" w:rsidRPr="00D25DF5" w:rsidRDefault="00002B38" w:rsidP="00F03F07"/>
    <w:p w14:paraId="39888ABB" w14:textId="53F8F1BC" w:rsidR="00C85E71" w:rsidRDefault="00002B38">
      <w:pPr>
        <w:spacing w:after="0"/>
        <w:rPr>
          <w:rFonts w:cstheme="minorHAnsi"/>
          <w:b/>
          <w:bCs/>
          <w:sz w:val="24"/>
          <w:szCs w:val="24"/>
        </w:rPr>
      </w:pPr>
      <w:r w:rsidRPr="00D25DF5">
        <w:rPr>
          <w:rFonts w:cstheme="minorHAnsi"/>
          <w:b/>
          <w:bCs/>
          <w:sz w:val="24"/>
          <w:szCs w:val="24"/>
        </w:rPr>
        <w:t xml:space="preserve">Advantages </w:t>
      </w:r>
    </w:p>
    <w:p w14:paraId="105E88CD" w14:textId="77777777" w:rsidR="00002B38" w:rsidRPr="00D25DF5" w:rsidRDefault="00002B38">
      <w:pPr>
        <w:spacing w:after="0"/>
        <w:rPr>
          <w:rFonts w:cstheme="minorHAnsi"/>
          <w:b/>
          <w:bCs/>
          <w:sz w:val="24"/>
          <w:szCs w:val="24"/>
        </w:rPr>
      </w:pPr>
    </w:p>
    <w:p w14:paraId="16E926F2" w14:textId="5E8309E4" w:rsidR="00A063F1" w:rsidRDefault="000B5FBD">
      <w:pPr>
        <w:pStyle w:val="ListParagraph"/>
        <w:numPr>
          <w:ilvl w:val="0"/>
          <w:numId w:val="1"/>
        </w:numPr>
        <w:spacing w:after="0"/>
        <w:ind w:left="567" w:hanging="567"/>
        <w:rPr>
          <w:sz w:val="24"/>
          <w:szCs w:val="24"/>
        </w:rPr>
      </w:pPr>
      <w:r>
        <w:rPr>
          <w:sz w:val="24"/>
          <w:szCs w:val="24"/>
        </w:rPr>
        <w:t>There are no advantages to no</w:t>
      </w:r>
      <w:r w:rsidR="003F3258">
        <w:rPr>
          <w:sz w:val="24"/>
          <w:szCs w:val="24"/>
        </w:rPr>
        <w:t>t</w:t>
      </w:r>
      <w:r>
        <w:rPr>
          <w:sz w:val="24"/>
          <w:szCs w:val="24"/>
        </w:rPr>
        <w:t xml:space="preserve"> signing the proposed </w:t>
      </w:r>
      <w:r w:rsidR="0075790E">
        <w:rPr>
          <w:sz w:val="24"/>
          <w:szCs w:val="24"/>
        </w:rPr>
        <w:t>AI</w:t>
      </w:r>
      <w:r w:rsidR="00217C26">
        <w:rPr>
          <w:sz w:val="24"/>
          <w:szCs w:val="24"/>
        </w:rPr>
        <w:t xml:space="preserve"> ECTA</w:t>
      </w:r>
      <w:r>
        <w:rPr>
          <w:sz w:val="24"/>
          <w:szCs w:val="24"/>
        </w:rPr>
        <w:t xml:space="preserve">. </w:t>
      </w:r>
      <w:bookmarkStart w:id="82" w:name="_Toc88748511"/>
    </w:p>
    <w:p w14:paraId="7050E6CF" w14:textId="77777777" w:rsidR="00F0733F" w:rsidRDefault="00F0733F" w:rsidP="00452734">
      <w:pPr>
        <w:spacing w:after="0"/>
        <w:rPr>
          <w:b/>
          <w:bCs/>
          <w:sz w:val="24"/>
          <w:szCs w:val="24"/>
        </w:rPr>
      </w:pPr>
    </w:p>
    <w:p w14:paraId="313EC838" w14:textId="3E8430CC" w:rsidR="00002B38" w:rsidRDefault="00002B38">
      <w:pPr>
        <w:spacing w:after="0"/>
        <w:rPr>
          <w:b/>
          <w:bCs/>
          <w:sz w:val="24"/>
          <w:szCs w:val="24"/>
        </w:rPr>
      </w:pPr>
      <w:r>
        <w:rPr>
          <w:b/>
          <w:bCs/>
          <w:sz w:val="24"/>
          <w:szCs w:val="24"/>
        </w:rPr>
        <w:t xml:space="preserve">Disadvantages </w:t>
      </w:r>
    </w:p>
    <w:p w14:paraId="143A6464" w14:textId="77777777" w:rsidR="00002B38" w:rsidRPr="00D25DF5" w:rsidRDefault="00002B38">
      <w:pPr>
        <w:spacing w:after="0"/>
        <w:rPr>
          <w:b/>
          <w:bCs/>
          <w:sz w:val="24"/>
          <w:szCs w:val="24"/>
        </w:rPr>
      </w:pPr>
    </w:p>
    <w:p w14:paraId="7C84A891" w14:textId="641F665D" w:rsidR="005C0120" w:rsidRDefault="005C0120">
      <w:pPr>
        <w:pStyle w:val="ListParagraph"/>
        <w:numPr>
          <w:ilvl w:val="0"/>
          <w:numId w:val="1"/>
        </w:numPr>
        <w:spacing w:after="0"/>
        <w:ind w:left="567" w:hanging="567"/>
        <w:rPr>
          <w:sz w:val="24"/>
          <w:szCs w:val="24"/>
        </w:rPr>
      </w:pPr>
      <w:r>
        <w:rPr>
          <w:sz w:val="24"/>
          <w:szCs w:val="24"/>
        </w:rPr>
        <w:t xml:space="preserve">There are many disadvantages of not signing the proposed </w:t>
      </w:r>
      <w:r w:rsidR="0075790E">
        <w:rPr>
          <w:sz w:val="24"/>
          <w:szCs w:val="24"/>
        </w:rPr>
        <w:t>AI</w:t>
      </w:r>
      <w:r w:rsidR="00217C26">
        <w:rPr>
          <w:sz w:val="24"/>
          <w:szCs w:val="24"/>
        </w:rPr>
        <w:t xml:space="preserve"> ECTA</w:t>
      </w:r>
      <w:r>
        <w:rPr>
          <w:sz w:val="24"/>
          <w:szCs w:val="24"/>
        </w:rPr>
        <w:t xml:space="preserve">. </w:t>
      </w:r>
    </w:p>
    <w:p w14:paraId="15EFF11C" w14:textId="77777777" w:rsidR="005C0120" w:rsidRDefault="005C0120">
      <w:pPr>
        <w:pStyle w:val="ListParagraph"/>
        <w:spacing w:after="0"/>
        <w:ind w:left="567"/>
        <w:rPr>
          <w:sz w:val="24"/>
          <w:szCs w:val="24"/>
        </w:rPr>
      </w:pPr>
    </w:p>
    <w:p w14:paraId="7AECE7D3" w14:textId="23A6E543" w:rsidR="00713D40" w:rsidRDefault="00713D40">
      <w:pPr>
        <w:pStyle w:val="ListParagraph"/>
        <w:numPr>
          <w:ilvl w:val="0"/>
          <w:numId w:val="1"/>
        </w:numPr>
        <w:spacing w:after="0"/>
        <w:ind w:left="567" w:hanging="567"/>
        <w:rPr>
          <w:sz w:val="24"/>
          <w:szCs w:val="24"/>
        </w:rPr>
      </w:pPr>
      <w:r>
        <w:rPr>
          <w:sz w:val="24"/>
          <w:szCs w:val="24"/>
        </w:rPr>
        <w:t xml:space="preserve">As outlined in the ‘Problem identification’, the ‘Purpose and objectives’ and ‘Options to achieve these objectives’ sections, Australia’s trade with India is predominantly inhibited by significantly high tariffs. Not signing the proposed </w:t>
      </w:r>
      <w:r w:rsidR="0075790E">
        <w:rPr>
          <w:sz w:val="24"/>
          <w:szCs w:val="24"/>
        </w:rPr>
        <w:t>AI</w:t>
      </w:r>
      <w:r w:rsidR="00217C26">
        <w:rPr>
          <w:sz w:val="24"/>
          <w:szCs w:val="24"/>
        </w:rPr>
        <w:t xml:space="preserve"> ECTA</w:t>
      </w:r>
      <w:r>
        <w:rPr>
          <w:sz w:val="24"/>
          <w:szCs w:val="24"/>
        </w:rPr>
        <w:t xml:space="preserve"> means that India will remain an unattractive and inaccessible market for </w:t>
      </w:r>
      <w:proofErr w:type="gramStart"/>
      <w:r>
        <w:rPr>
          <w:sz w:val="24"/>
          <w:szCs w:val="24"/>
        </w:rPr>
        <w:t>a number of</w:t>
      </w:r>
      <w:proofErr w:type="gramEnd"/>
      <w:r>
        <w:rPr>
          <w:sz w:val="24"/>
          <w:szCs w:val="24"/>
        </w:rPr>
        <w:t xml:space="preserve"> key Australian exports, especially in the agriculture and horticulture sectors. Australian </w:t>
      </w:r>
      <w:r w:rsidR="005C0120">
        <w:rPr>
          <w:sz w:val="24"/>
          <w:szCs w:val="24"/>
        </w:rPr>
        <w:t xml:space="preserve">exports to India will continue to be dominated by coal and other products will not be able to enter or be competitive in the Indian market. This would have adverse impacts on Australian businesses trying to diversify their export markets as part of their post pandemic recovery efforts. </w:t>
      </w:r>
    </w:p>
    <w:p w14:paraId="6DC12B86" w14:textId="77777777" w:rsidR="005C0120" w:rsidRPr="00D25DF5" w:rsidRDefault="005C0120" w:rsidP="0001716D">
      <w:pPr>
        <w:pStyle w:val="ListParagraph"/>
        <w:spacing w:after="0"/>
        <w:rPr>
          <w:sz w:val="24"/>
          <w:szCs w:val="24"/>
        </w:rPr>
      </w:pPr>
    </w:p>
    <w:p w14:paraId="73C61F76" w14:textId="4D0951CB" w:rsidR="00EE36FC" w:rsidRDefault="005C0120" w:rsidP="000B473D">
      <w:pPr>
        <w:pStyle w:val="ListParagraph"/>
        <w:numPr>
          <w:ilvl w:val="0"/>
          <w:numId w:val="1"/>
        </w:numPr>
        <w:spacing w:after="0"/>
        <w:ind w:left="567" w:hanging="567"/>
        <w:rPr>
          <w:sz w:val="24"/>
          <w:szCs w:val="24"/>
        </w:rPr>
      </w:pPr>
      <w:r>
        <w:rPr>
          <w:sz w:val="24"/>
          <w:szCs w:val="24"/>
        </w:rPr>
        <w:t xml:space="preserve">Not signing the proposed </w:t>
      </w:r>
      <w:r w:rsidR="0075790E">
        <w:rPr>
          <w:sz w:val="24"/>
          <w:szCs w:val="24"/>
        </w:rPr>
        <w:t>AI</w:t>
      </w:r>
      <w:r w:rsidR="00217C26">
        <w:rPr>
          <w:sz w:val="24"/>
          <w:szCs w:val="24"/>
        </w:rPr>
        <w:t xml:space="preserve"> ECTA</w:t>
      </w:r>
      <w:r>
        <w:rPr>
          <w:sz w:val="24"/>
          <w:szCs w:val="24"/>
        </w:rPr>
        <w:t xml:space="preserve"> could potentially stall negotiations for a full CECA, as Minister Tehan and Minister Goyal had committed to reach an interim agreement ahead of a full CECA. This would be detrimental to Australia’s longer-term economic interests, as it will </w:t>
      </w:r>
      <w:r w:rsidR="00105640">
        <w:rPr>
          <w:sz w:val="24"/>
          <w:szCs w:val="24"/>
        </w:rPr>
        <w:t>impede</w:t>
      </w:r>
      <w:r>
        <w:rPr>
          <w:sz w:val="24"/>
          <w:szCs w:val="24"/>
        </w:rPr>
        <w:t xml:space="preserve"> Australia’s trade diversification agenda </w:t>
      </w:r>
      <w:r w:rsidR="001D1B68">
        <w:rPr>
          <w:sz w:val="24"/>
          <w:szCs w:val="24"/>
        </w:rPr>
        <w:t xml:space="preserve">and Australian businesses will continue to have difficulties tapping into one of the largest and growing markets in the world. </w:t>
      </w:r>
      <w:r w:rsidR="00836E86">
        <w:rPr>
          <w:sz w:val="24"/>
          <w:szCs w:val="24"/>
        </w:rPr>
        <w:t>Should India agree on FTAs with other trading partners, Australian goods and services will become less competitive in the Indian market</w:t>
      </w:r>
      <w:r w:rsidR="00ED20A1">
        <w:rPr>
          <w:sz w:val="24"/>
          <w:szCs w:val="24"/>
        </w:rPr>
        <w:t xml:space="preserve">, which may result in a greater market concentration of Australian products in India, which as outlined in the ‘Problem identification’ section carries risks. </w:t>
      </w:r>
    </w:p>
    <w:p w14:paraId="7993BE7F" w14:textId="77777777" w:rsidR="000B473D" w:rsidRPr="000B473D" w:rsidRDefault="000B473D" w:rsidP="000B473D">
      <w:pPr>
        <w:spacing w:after="0"/>
        <w:rPr>
          <w:sz w:val="24"/>
          <w:szCs w:val="24"/>
        </w:rPr>
      </w:pPr>
    </w:p>
    <w:p w14:paraId="46E15CB9" w14:textId="4B96D069" w:rsidR="006D5572" w:rsidRPr="00F459C9" w:rsidRDefault="006D5572" w:rsidP="0014704E">
      <w:pPr>
        <w:pStyle w:val="Heading1"/>
        <w:spacing w:before="0"/>
      </w:pPr>
      <w:bookmarkStart w:id="83" w:name="_Toc99370685"/>
      <w:r>
        <w:t>HOW WILL YOU IMPLEMENT AND EVALUATE YOUR CHOSEN OPTION?</w:t>
      </w:r>
      <w:bookmarkEnd w:id="82"/>
      <w:bookmarkEnd w:id="83"/>
    </w:p>
    <w:p w14:paraId="327590DD" w14:textId="114E8809" w:rsidR="00F108DD" w:rsidRDefault="00F108DD" w:rsidP="0014704E">
      <w:pPr>
        <w:spacing w:after="0"/>
      </w:pPr>
    </w:p>
    <w:p w14:paraId="0CC5774C" w14:textId="67744199" w:rsidR="00F108DD" w:rsidRPr="00F108DD" w:rsidRDefault="006951BB" w:rsidP="0001716D">
      <w:pPr>
        <w:pStyle w:val="Heading2"/>
        <w:spacing w:before="0"/>
      </w:pPr>
      <w:bookmarkStart w:id="84" w:name="_Toc99370686"/>
      <w:r>
        <w:t>Implementing</w:t>
      </w:r>
      <w:r w:rsidR="00F108DD" w:rsidRPr="00511F74">
        <w:t xml:space="preserve"> the proposed </w:t>
      </w:r>
      <w:r w:rsidR="0075790E">
        <w:t>AI</w:t>
      </w:r>
      <w:r w:rsidR="00217C26">
        <w:t xml:space="preserve"> ECTA</w:t>
      </w:r>
      <w:bookmarkEnd w:id="84"/>
    </w:p>
    <w:p w14:paraId="375B6C5C" w14:textId="77777777" w:rsidR="00C85E71" w:rsidRDefault="00C85E71">
      <w:pPr>
        <w:spacing w:after="0"/>
        <w:rPr>
          <w:i/>
          <w:iCs/>
          <w:sz w:val="24"/>
          <w:szCs w:val="24"/>
        </w:rPr>
      </w:pPr>
    </w:p>
    <w:p w14:paraId="5E421AF7" w14:textId="47B9A0D2" w:rsidR="00DF238B" w:rsidRPr="00D25DF5" w:rsidRDefault="00DF238B">
      <w:pPr>
        <w:spacing w:after="0"/>
        <w:rPr>
          <w:b/>
          <w:bCs/>
          <w:i/>
          <w:iCs/>
          <w:sz w:val="24"/>
          <w:szCs w:val="24"/>
        </w:rPr>
      </w:pPr>
      <w:r w:rsidRPr="00D25DF5">
        <w:rPr>
          <w:b/>
          <w:bCs/>
          <w:i/>
          <w:iCs/>
          <w:sz w:val="24"/>
          <w:szCs w:val="24"/>
        </w:rPr>
        <w:t>Australian domestic laws</w:t>
      </w:r>
    </w:p>
    <w:p w14:paraId="7054AC33" w14:textId="77777777" w:rsidR="00C85E71" w:rsidRDefault="00C85E71">
      <w:pPr>
        <w:pStyle w:val="ListParagraph"/>
        <w:spacing w:after="0"/>
        <w:ind w:left="567"/>
        <w:rPr>
          <w:sz w:val="24"/>
          <w:szCs w:val="24"/>
        </w:rPr>
      </w:pPr>
    </w:p>
    <w:p w14:paraId="52F769DE" w14:textId="0C9EA52E" w:rsidR="008F3719" w:rsidRDefault="006D5572">
      <w:pPr>
        <w:pStyle w:val="ListParagraph"/>
        <w:numPr>
          <w:ilvl w:val="0"/>
          <w:numId w:val="1"/>
        </w:numPr>
        <w:spacing w:after="0"/>
        <w:ind w:left="567" w:hanging="567"/>
        <w:rPr>
          <w:sz w:val="24"/>
          <w:szCs w:val="24"/>
        </w:rPr>
      </w:pPr>
      <w:r w:rsidRPr="543832D4">
        <w:rPr>
          <w:sz w:val="24"/>
          <w:szCs w:val="24"/>
        </w:rPr>
        <w:t xml:space="preserve">In line with Australia’s treaty making processes, once agreed, the text of the proposed </w:t>
      </w:r>
      <w:r w:rsidR="0075790E">
        <w:rPr>
          <w:sz w:val="24"/>
          <w:szCs w:val="24"/>
        </w:rPr>
        <w:t>AI</w:t>
      </w:r>
      <w:r w:rsidR="00217C26">
        <w:rPr>
          <w:sz w:val="24"/>
          <w:szCs w:val="24"/>
        </w:rPr>
        <w:t xml:space="preserve"> ECTA</w:t>
      </w:r>
      <w:r w:rsidRPr="543832D4">
        <w:rPr>
          <w:sz w:val="24"/>
          <w:szCs w:val="24"/>
        </w:rPr>
        <w:t xml:space="preserve"> will be tabled in Parliament. The Joint Standing Committee on Treaties (JSCOT) will then conduct an inquiry into the proposed </w:t>
      </w:r>
      <w:r w:rsidR="0075790E">
        <w:rPr>
          <w:sz w:val="24"/>
          <w:szCs w:val="24"/>
        </w:rPr>
        <w:t>AI</w:t>
      </w:r>
      <w:r w:rsidR="00217C26">
        <w:rPr>
          <w:sz w:val="24"/>
          <w:szCs w:val="24"/>
        </w:rPr>
        <w:t xml:space="preserve"> ECTA</w:t>
      </w:r>
      <w:r w:rsidRPr="543832D4">
        <w:rPr>
          <w:sz w:val="24"/>
          <w:szCs w:val="24"/>
        </w:rPr>
        <w:t xml:space="preserve"> and report back to the Parliament. Following consideration by the JSCOT, Parliament will consider any legislation or amendments to existing legislation that may be necessary to implement the proposed </w:t>
      </w:r>
      <w:r w:rsidR="0075790E">
        <w:rPr>
          <w:sz w:val="24"/>
          <w:szCs w:val="24"/>
        </w:rPr>
        <w:t>AI</w:t>
      </w:r>
      <w:r w:rsidR="00217C26">
        <w:rPr>
          <w:sz w:val="24"/>
          <w:szCs w:val="24"/>
        </w:rPr>
        <w:t xml:space="preserve"> ECTA</w:t>
      </w:r>
      <w:r w:rsidRPr="543832D4">
        <w:rPr>
          <w:sz w:val="24"/>
          <w:szCs w:val="24"/>
        </w:rPr>
        <w:t xml:space="preserve"> prior to treaty action being taken.</w:t>
      </w:r>
    </w:p>
    <w:p w14:paraId="77F83A1F" w14:textId="77777777" w:rsidR="008F3719" w:rsidRDefault="008F3719">
      <w:pPr>
        <w:pStyle w:val="ListParagraph"/>
        <w:spacing w:after="0"/>
        <w:ind w:left="567"/>
        <w:rPr>
          <w:sz w:val="24"/>
          <w:szCs w:val="24"/>
        </w:rPr>
      </w:pPr>
    </w:p>
    <w:p w14:paraId="0DC9A64D" w14:textId="3D3392DA" w:rsidR="005445AC" w:rsidRPr="008F3719" w:rsidRDefault="005445AC">
      <w:pPr>
        <w:pStyle w:val="ListParagraph"/>
        <w:numPr>
          <w:ilvl w:val="0"/>
          <w:numId w:val="1"/>
        </w:numPr>
        <w:spacing w:after="0"/>
        <w:ind w:left="567" w:hanging="567"/>
        <w:rPr>
          <w:sz w:val="24"/>
          <w:szCs w:val="24"/>
        </w:rPr>
      </w:pPr>
      <w:r w:rsidRPr="008F3719">
        <w:rPr>
          <w:sz w:val="24"/>
          <w:szCs w:val="24"/>
        </w:rPr>
        <w:t xml:space="preserve">To give effect to commitments in the proposed </w:t>
      </w:r>
      <w:r w:rsidR="0075790E">
        <w:rPr>
          <w:sz w:val="24"/>
          <w:szCs w:val="24"/>
        </w:rPr>
        <w:t>AI</w:t>
      </w:r>
      <w:r w:rsidR="00217C26">
        <w:rPr>
          <w:sz w:val="24"/>
          <w:szCs w:val="24"/>
        </w:rPr>
        <w:t xml:space="preserve"> ECTA</w:t>
      </w:r>
      <w:r w:rsidRPr="008F3719">
        <w:rPr>
          <w:sz w:val="24"/>
          <w:szCs w:val="24"/>
        </w:rPr>
        <w:t xml:space="preserve">, Australia will need to make the following changes: </w:t>
      </w:r>
    </w:p>
    <w:p w14:paraId="6DCA5467" w14:textId="77777777" w:rsidR="005445AC" w:rsidRPr="005445AC" w:rsidRDefault="005445AC" w:rsidP="0001716D">
      <w:pPr>
        <w:pStyle w:val="ListParagraph"/>
        <w:spacing w:after="0"/>
        <w:rPr>
          <w:sz w:val="24"/>
          <w:szCs w:val="24"/>
        </w:rPr>
      </w:pPr>
    </w:p>
    <w:p w14:paraId="0A2D253F" w14:textId="7E95976C" w:rsidR="005A6432" w:rsidRDefault="00793C6E">
      <w:pPr>
        <w:pStyle w:val="ListParagraph"/>
        <w:numPr>
          <w:ilvl w:val="1"/>
          <w:numId w:val="5"/>
        </w:numPr>
        <w:spacing w:after="0"/>
        <w:rPr>
          <w:sz w:val="24"/>
          <w:szCs w:val="24"/>
        </w:rPr>
      </w:pPr>
      <w:r>
        <w:rPr>
          <w:sz w:val="24"/>
          <w:szCs w:val="24"/>
        </w:rPr>
        <w:lastRenderedPageBreak/>
        <w:t xml:space="preserve">amend the </w:t>
      </w:r>
      <w:r>
        <w:rPr>
          <w:i/>
          <w:iCs/>
          <w:sz w:val="24"/>
          <w:szCs w:val="24"/>
        </w:rPr>
        <w:t>Customs Tariff Act 1995</w:t>
      </w:r>
      <w:r>
        <w:rPr>
          <w:sz w:val="24"/>
          <w:szCs w:val="24"/>
        </w:rPr>
        <w:t xml:space="preserve"> to incorporate preferential tariff rates that will apply to goods imported from India under the proposed </w:t>
      </w:r>
      <w:r w:rsidR="006E5E78">
        <w:rPr>
          <w:sz w:val="24"/>
          <w:szCs w:val="24"/>
        </w:rPr>
        <w:t>AI ECTA</w:t>
      </w:r>
      <w:r>
        <w:rPr>
          <w:sz w:val="24"/>
          <w:szCs w:val="24"/>
        </w:rPr>
        <w:t xml:space="preserve">; </w:t>
      </w:r>
      <w:r w:rsidR="00484565">
        <w:rPr>
          <w:sz w:val="24"/>
          <w:szCs w:val="24"/>
        </w:rPr>
        <w:t xml:space="preserve">and the </w:t>
      </w:r>
      <w:r w:rsidR="00484565">
        <w:rPr>
          <w:i/>
          <w:iCs/>
          <w:sz w:val="24"/>
          <w:szCs w:val="24"/>
        </w:rPr>
        <w:t xml:space="preserve">Customs (International Obligations) Regulation 2015 </w:t>
      </w:r>
      <w:r w:rsidR="00484565">
        <w:rPr>
          <w:sz w:val="24"/>
          <w:szCs w:val="24"/>
        </w:rPr>
        <w:t xml:space="preserve">and </w:t>
      </w:r>
      <w:r w:rsidR="00484565">
        <w:rPr>
          <w:i/>
          <w:iCs/>
          <w:sz w:val="24"/>
          <w:szCs w:val="24"/>
        </w:rPr>
        <w:t>Customs Tariff Regulations 2004</w:t>
      </w:r>
      <w:r w:rsidR="00484565">
        <w:rPr>
          <w:sz w:val="24"/>
          <w:szCs w:val="24"/>
        </w:rPr>
        <w:t xml:space="preserve"> to allow for refunds of excess customs duty paid</w:t>
      </w:r>
      <w:r w:rsidR="00E82459">
        <w:rPr>
          <w:sz w:val="24"/>
          <w:szCs w:val="24"/>
        </w:rPr>
        <w:t>,</w:t>
      </w:r>
      <w:r w:rsidR="00484565">
        <w:rPr>
          <w:sz w:val="24"/>
          <w:szCs w:val="24"/>
        </w:rPr>
        <w:t xml:space="preserve"> </w:t>
      </w:r>
    </w:p>
    <w:p w14:paraId="0AA1A97A" w14:textId="77777777" w:rsidR="003D0883" w:rsidRDefault="003D0883">
      <w:pPr>
        <w:pStyle w:val="ListParagraph"/>
        <w:spacing w:after="0"/>
        <w:ind w:left="1080"/>
        <w:rPr>
          <w:sz w:val="24"/>
          <w:szCs w:val="24"/>
        </w:rPr>
      </w:pPr>
    </w:p>
    <w:p w14:paraId="0F15FB61" w14:textId="4BDF0F75" w:rsidR="00484565" w:rsidRDefault="000E48FE">
      <w:pPr>
        <w:pStyle w:val="ListParagraph"/>
        <w:numPr>
          <w:ilvl w:val="1"/>
          <w:numId w:val="5"/>
        </w:numPr>
        <w:spacing w:after="0"/>
        <w:rPr>
          <w:sz w:val="24"/>
          <w:szCs w:val="24"/>
        </w:rPr>
      </w:pPr>
      <w:r>
        <w:rPr>
          <w:sz w:val="24"/>
          <w:szCs w:val="24"/>
        </w:rPr>
        <w:t xml:space="preserve">amend the </w:t>
      </w:r>
      <w:r>
        <w:rPr>
          <w:i/>
          <w:iCs/>
          <w:sz w:val="24"/>
          <w:szCs w:val="24"/>
        </w:rPr>
        <w:t>Customs Act 1901</w:t>
      </w:r>
      <w:r>
        <w:rPr>
          <w:sz w:val="24"/>
          <w:szCs w:val="24"/>
        </w:rPr>
        <w:t xml:space="preserve"> and create a Customs (Australia-India </w:t>
      </w:r>
      <w:r w:rsidR="0075790E">
        <w:rPr>
          <w:sz w:val="24"/>
          <w:szCs w:val="24"/>
        </w:rPr>
        <w:t>AI</w:t>
      </w:r>
      <w:r w:rsidR="00217C26">
        <w:rPr>
          <w:sz w:val="24"/>
          <w:szCs w:val="24"/>
        </w:rPr>
        <w:t xml:space="preserve"> ECTA</w:t>
      </w:r>
      <w:r>
        <w:rPr>
          <w:sz w:val="24"/>
          <w:szCs w:val="24"/>
        </w:rPr>
        <w:t xml:space="preserve"> Rules of Origin) Regulation to establish the rules for determining the originating status of goods imported from India for the purpose of determining eligibility for preferential tariff treatment</w:t>
      </w:r>
      <w:r w:rsidR="00E82459">
        <w:rPr>
          <w:sz w:val="24"/>
          <w:szCs w:val="24"/>
        </w:rPr>
        <w:t>, and</w:t>
      </w:r>
    </w:p>
    <w:p w14:paraId="638E067D" w14:textId="77777777" w:rsidR="005A6432" w:rsidRDefault="005A6432">
      <w:pPr>
        <w:pStyle w:val="ListParagraph"/>
        <w:spacing w:after="0"/>
        <w:ind w:left="1080"/>
        <w:rPr>
          <w:sz w:val="24"/>
          <w:szCs w:val="24"/>
        </w:rPr>
      </w:pPr>
    </w:p>
    <w:p w14:paraId="4205A651" w14:textId="03633B9D" w:rsidR="005445AC" w:rsidRPr="0075478E" w:rsidRDefault="005445AC">
      <w:pPr>
        <w:pStyle w:val="ListParagraph"/>
        <w:numPr>
          <w:ilvl w:val="1"/>
          <w:numId w:val="5"/>
        </w:numPr>
        <w:spacing w:after="0"/>
        <w:rPr>
          <w:sz w:val="24"/>
          <w:szCs w:val="24"/>
        </w:rPr>
      </w:pPr>
      <w:r>
        <w:rPr>
          <w:sz w:val="24"/>
          <w:szCs w:val="24"/>
        </w:rPr>
        <w:t>update Australia’s visa system to include new categories for post-work study and culturally significant occupations such as traditional chefs and yoga instructors</w:t>
      </w:r>
      <w:r w:rsidR="005A6432">
        <w:rPr>
          <w:sz w:val="24"/>
          <w:szCs w:val="24"/>
        </w:rPr>
        <w:t xml:space="preserve">, as well </w:t>
      </w:r>
      <w:r w:rsidR="005A6432" w:rsidRPr="0075478E">
        <w:rPr>
          <w:sz w:val="24"/>
          <w:szCs w:val="24"/>
        </w:rPr>
        <w:t>as revise the Work and Holiday (subclass 462) visa to include Indian citizens who meet the eligibility requirements</w:t>
      </w:r>
      <w:r w:rsidR="00E41F0D" w:rsidRPr="0075478E">
        <w:rPr>
          <w:sz w:val="24"/>
          <w:szCs w:val="24"/>
        </w:rPr>
        <w:t>.</w:t>
      </w:r>
      <w:r w:rsidR="005A6432" w:rsidRPr="0075478E">
        <w:rPr>
          <w:sz w:val="24"/>
          <w:szCs w:val="24"/>
        </w:rPr>
        <w:t xml:space="preserve"> </w:t>
      </w:r>
    </w:p>
    <w:p w14:paraId="4491BDE3" w14:textId="77777777" w:rsidR="00C720D0" w:rsidRPr="0075478E" w:rsidRDefault="00C720D0" w:rsidP="0001716D">
      <w:pPr>
        <w:pStyle w:val="ListParagraph"/>
        <w:spacing w:after="0"/>
        <w:rPr>
          <w:sz w:val="24"/>
          <w:szCs w:val="24"/>
        </w:rPr>
      </w:pPr>
    </w:p>
    <w:p w14:paraId="1D994DA8" w14:textId="6EA81029" w:rsidR="00C720D0" w:rsidRPr="0075478E" w:rsidRDefault="001051F2">
      <w:pPr>
        <w:pStyle w:val="ListParagraph"/>
        <w:numPr>
          <w:ilvl w:val="0"/>
          <w:numId w:val="1"/>
        </w:numPr>
        <w:spacing w:after="0"/>
        <w:ind w:left="567" w:hanging="567"/>
        <w:rPr>
          <w:sz w:val="24"/>
          <w:szCs w:val="24"/>
        </w:rPr>
      </w:pPr>
      <w:r w:rsidRPr="0075478E">
        <w:rPr>
          <w:sz w:val="24"/>
          <w:szCs w:val="24"/>
        </w:rPr>
        <w:t>DFAT has worked closely with the Department of Home Affairs throughout the negotiation</w:t>
      </w:r>
      <w:r w:rsidR="00153656" w:rsidRPr="0075478E">
        <w:rPr>
          <w:sz w:val="24"/>
          <w:szCs w:val="24"/>
        </w:rPr>
        <w:t>s and Home Affairs is aware of the legislative amendments</w:t>
      </w:r>
      <w:r w:rsidR="00AA7104" w:rsidRPr="0075478E">
        <w:rPr>
          <w:sz w:val="24"/>
          <w:szCs w:val="24"/>
        </w:rPr>
        <w:t>, as outlined in the above paragraph,</w:t>
      </w:r>
      <w:r w:rsidR="00153656" w:rsidRPr="0075478E">
        <w:rPr>
          <w:sz w:val="24"/>
          <w:szCs w:val="24"/>
        </w:rPr>
        <w:t xml:space="preserve"> that would need to be made to give effect to the proposed </w:t>
      </w:r>
      <w:r w:rsidR="0075790E">
        <w:rPr>
          <w:sz w:val="24"/>
          <w:szCs w:val="24"/>
        </w:rPr>
        <w:t>AI</w:t>
      </w:r>
      <w:r w:rsidR="00217C26" w:rsidRPr="0075478E">
        <w:rPr>
          <w:sz w:val="24"/>
          <w:szCs w:val="24"/>
        </w:rPr>
        <w:t xml:space="preserve"> ECTA</w:t>
      </w:r>
      <w:r w:rsidR="00153656" w:rsidRPr="0075478E">
        <w:rPr>
          <w:sz w:val="24"/>
          <w:szCs w:val="24"/>
        </w:rPr>
        <w:t xml:space="preserve">. </w:t>
      </w:r>
      <w:r w:rsidR="00425ED3" w:rsidRPr="0075478E">
        <w:rPr>
          <w:sz w:val="24"/>
          <w:szCs w:val="24"/>
        </w:rPr>
        <w:t xml:space="preserve">From the date of signing, Home Affairs will have 12 months to </w:t>
      </w:r>
      <w:r w:rsidR="009C3EAF" w:rsidRPr="0075478E">
        <w:rPr>
          <w:sz w:val="24"/>
          <w:szCs w:val="24"/>
        </w:rPr>
        <w:t>make the necessary legislative amendments</w:t>
      </w:r>
      <w:r w:rsidR="00C64358" w:rsidRPr="0075478E">
        <w:rPr>
          <w:sz w:val="24"/>
          <w:szCs w:val="24"/>
        </w:rPr>
        <w:t xml:space="preserve"> and implement the outcomes for post-study work</w:t>
      </w:r>
      <w:r w:rsidR="00B632ED" w:rsidRPr="0075478E">
        <w:rPr>
          <w:sz w:val="24"/>
          <w:szCs w:val="24"/>
        </w:rPr>
        <w:t xml:space="preserve">, which </w:t>
      </w:r>
      <w:r w:rsidR="00B73F84" w:rsidRPr="0075478E">
        <w:rPr>
          <w:sz w:val="24"/>
          <w:szCs w:val="24"/>
        </w:rPr>
        <w:t xml:space="preserve">is an adequate amount of time to make the changes required. </w:t>
      </w:r>
      <w:r w:rsidR="004271B2" w:rsidRPr="0075478E">
        <w:rPr>
          <w:sz w:val="24"/>
          <w:szCs w:val="24"/>
        </w:rPr>
        <w:t xml:space="preserve">Home Affairs will have two years to make legislative amendments </w:t>
      </w:r>
      <w:r w:rsidR="00787F3C" w:rsidRPr="0075478E">
        <w:rPr>
          <w:sz w:val="24"/>
          <w:szCs w:val="24"/>
        </w:rPr>
        <w:t>and implement</w:t>
      </w:r>
      <w:r w:rsidR="005728E2" w:rsidRPr="0075478E">
        <w:rPr>
          <w:sz w:val="24"/>
          <w:szCs w:val="24"/>
        </w:rPr>
        <w:t xml:space="preserve"> the </w:t>
      </w:r>
      <w:r w:rsidR="004271B2" w:rsidRPr="0075478E">
        <w:rPr>
          <w:sz w:val="24"/>
          <w:szCs w:val="24"/>
        </w:rPr>
        <w:t>Work and Holiday Maker program</w:t>
      </w:r>
      <w:r w:rsidR="0075478E" w:rsidRPr="0075478E">
        <w:rPr>
          <w:sz w:val="24"/>
          <w:szCs w:val="24"/>
        </w:rPr>
        <w:t xml:space="preserve"> with India, which was considered adequate time to extend this program for the first time to India</w:t>
      </w:r>
      <w:r w:rsidR="004271B2" w:rsidRPr="0075478E">
        <w:rPr>
          <w:sz w:val="24"/>
          <w:szCs w:val="24"/>
        </w:rPr>
        <w:t>.</w:t>
      </w:r>
    </w:p>
    <w:p w14:paraId="0B26FB4E" w14:textId="77777777" w:rsidR="00C85E71" w:rsidRDefault="00C85E71">
      <w:pPr>
        <w:spacing w:after="0"/>
        <w:rPr>
          <w:i/>
          <w:iCs/>
          <w:sz w:val="24"/>
          <w:szCs w:val="24"/>
        </w:rPr>
      </w:pPr>
    </w:p>
    <w:p w14:paraId="532B2B1F" w14:textId="4080DD58" w:rsidR="00E67FDD" w:rsidRPr="00D25DF5" w:rsidRDefault="00E67FDD">
      <w:pPr>
        <w:spacing w:after="0"/>
        <w:rPr>
          <w:b/>
          <w:bCs/>
          <w:i/>
          <w:iCs/>
          <w:sz w:val="24"/>
          <w:szCs w:val="24"/>
        </w:rPr>
      </w:pPr>
      <w:r w:rsidRPr="00D25DF5">
        <w:rPr>
          <w:b/>
          <w:bCs/>
          <w:i/>
          <w:iCs/>
          <w:sz w:val="24"/>
          <w:szCs w:val="24"/>
        </w:rPr>
        <w:t xml:space="preserve">Proposed </w:t>
      </w:r>
      <w:r w:rsidR="0075790E">
        <w:rPr>
          <w:b/>
          <w:bCs/>
          <w:i/>
          <w:iCs/>
          <w:sz w:val="24"/>
          <w:szCs w:val="24"/>
        </w:rPr>
        <w:t>AI</w:t>
      </w:r>
      <w:r w:rsidR="00217C26">
        <w:rPr>
          <w:b/>
          <w:bCs/>
          <w:i/>
          <w:iCs/>
          <w:sz w:val="24"/>
          <w:szCs w:val="24"/>
        </w:rPr>
        <w:t xml:space="preserve"> ECTA</w:t>
      </w:r>
      <w:r w:rsidRPr="00D25DF5">
        <w:rPr>
          <w:b/>
          <w:bCs/>
          <w:i/>
          <w:iCs/>
          <w:sz w:val="24"/>
          <w:szCs w:val="24"/>
        </w:rPr>
        <w:t xml:space="preserve"> Committees </w:t>
      </w:r>
    </w:p>
    <w:p w14:paraId="60AC7B56" w14:textId="77777777" w:rsidR="00C85E71" w:rsidRPr="00C85E71" w:rsidRDefault="00C85E71">
      <w:pPr>
        <w:pStyle w:val="ListParagraph"/>
        <w:spacing w:after="0"/>
        <w:ind w:left="567"/>
      </w:pPr>
    </w:p>
    <w:p w14:paraId="1CA6DA6E" w14:textId="2AB85AE7" w:rsidR="007B6394" w:rsidRPr="007434FA" w:rsidRDefault="007B6394">
      <w:pPr>
        <w:pStyle w:val="ListParagraph"/>
        <w:numPr>
          <w:ilvl w:val="0"/>
          <w:numId w:val="1"/>
        </w:numPr>
        <w:spacing w:after="0"/>
        <w:ind w:left="567" w:hanging="567"/>
      </w:pPr>
      <w:r w:rsidRPr="543832D4">
        <w:rPr>
          <w:sz w:val="24"/>
          <w:szCs w:val="24"/>
        </w:rPr>
        <w:t xml:space="preserve">The proposed </w:t>
      </w:r>
      <w:r w:rsidR="0075790E">
        <w:rPr>
          <w:sz w:val="24"/>
          <w:szCs w:val="24"/>
        </w:rPr>
        <w:t>AI</w:t>
      </w:r>
      <w:r w:rsidR="00217C26">
        <w:rPr>
          <w:sz w:val="24"/>
          <w:szCs w:val="24"/>
        </w:rPr>
        <w:t xml:space="preserve"> ECTA</w:t>
      </w:r>
      <w:r w:rsidRPr="543832D4">
        <w:rPr>
          <w:sz w:val="24"/>
          <w:szCs w:val="24"/>
        </w:rPr>
        <w:t xml:space="preserve"> includes legal and institutional provisions that establish the administrative provisions necessary for its operation. This includes the processes by which the agreement will enter into force, and provisions detailing how the agreement may be subsequently amended or terminated. </w:t>
      </w:r>
      <w:bookmarkStart w:id="85" w:name="_Hlk83304524"/>
    </w:p>
    <w:p w14:paraId="1F7163D2" w14:textId="7D8412E7" w:rsidR="000973C1" w:rsidRDefault="007B6394" w:rsidP="00A80396">
      <w:pPr>
        <w:pStyle w:val="ListParagraph"/>
        <w:numPr>
          <w:ilvl w:val="0"/>
          <w:numId w:val="1"/>
        </w:numPr>
        <w:spacing w:after="0"/>
        <w:ind w:left="567" w:hanging="567"/>
        <w:rPr>
          <w:sz w:val="24"/>
          <w:szCs w:val="24"/>
        </w:rPr>
      </w:pPr>
      <w:r w:rsidRPr="543832D4">
        <w:rPr>
          <w:sz w:val="24"/>
          <w:szCs w:val="24"/>
        </w:rPr>
        <w:t xml:space="preserve">The proposed </w:t>
      </w:r>
      <w:r w:rsidR="0075790E">
        <w:rPr>
          <w:sz w:val="24"/>
          <w:szCs w:val="24"/>
        </w:rPr>
        <w:t>AI</w:t>
      </w:r>
      <w:r w:rsidR="00217C26">
        <w:rPr>
          <w:sz w:val="24"/>
          <w:szCs w:val="24"/>
        </w:rPr>
        <w:t xml:space="preserve"> ECTA</w:t>
      </w:r>
      <w:r w:rsidRPr="543832D4">
        <w:rPr>
          <w:sz w:val="24"/>
          <w:szCs w:val="24"/>
        </w:rPr>
        <w:t xml:space="preserve"> includes a structure of regular committee meetings intended to create an ongoing dialogue between Australia and India. </w:t>
      </w:r>
    </w:p>
    <w:p w14:paraId="5C0F3592" w14:textId="77777777" w:rsidR="000973C1" w:rsidRPr="000973C1" w:rsidRDefault="000973C1" w:rsidP="0014704E">
      <w:pPr>
        <w:pStyle w:val="ListParagraph"/>
        <w:spacing w:after="0"/>
        <w:rPr>
          <w:sz w:val="24"/>
          <w:szCs w:val="24"/>
        </w:rPr>
      </w:pPr>
    </w:p>
    <w:p w14:paraId="6E695370" w14:textId="4ED61098" w:rsidR="00426DDD" w:rsidRDefault="000973C1" w:rsidP="00A80396">
      <w:pPr>
        <w:pStyle w:val="ListParagraph"/>
        <w:numPr>
          <w:ilvl w:val="0"/>
          <w:numId w:val="1"/>
        </w:numPr>
        <w:spacing w:after="0"/>
        <w:ind w:left="567" w:hanging="567"/>
        <w:rPr>
          <w:sz w:val="24"/>
          <w:szCs w:val="24"/>
        </w:rPr>
      </w:pPr>
      <w:r w:rsidRPr="543832D4">
        <w:rPr>
          <w:sz w:val="24"/>
          <w:szCs w:val="24"/>
        </w:rPr>
        <w:t xml:space="preserve">The Joint Committee </w:t>
      </w:r>
      <w:r w:rsidR="00214EC3" w:rsidRPr="543832D4">
        <w:rPr>
          <w:sz w:val="24"/>
          <w:szCs w:val="24"/>
        </w:rPr>
        <w:t xml:space="preserve">is the overarching committee under the proposed </w:t>
      </w:r>
      <w:r w:rsidR="0075790E">
        <w:rPr>
          <w:sz w:val="24"/>
          <w:szCs w:val="24"/>
        </w:rPr>
        <w:t>AI</w:t>
      </w:r>
      <w:r w:rsidR="00217C26">
        <w:rPr>
          <w:sz w:val="24"/>
          <w:szCs w:val="24"/>
        </w:rPr>
        <w:t xml:space="preserve"> ECTA</w:t>
      </w:r>
      <w:r w:rsidR="00214EC3" w:rsidRPr="543832D4">
        <w:rPr>
          <w:sz w:val="24"/>
          <w:szCs w:val="24"/>
        </w:rPr>
        <w:t xml:space="preserve"> and </w:t>
      </w:r>
      <w:r w:rsidRPr="543832D4">
        <w:rPr>
          <w:sz w:val="24"/>
          <w:szCs w:val="24"/>
        </w:rPr>
        <w:t xml:space="preserve">will play a key role in assessing, </w:t>
      </w:r>
      <w:proofErr w:type="gramStart"/>
      <w:r w:rsidRPr="543832D4">
        <w:rPr>
          <w:sz w:val="24"/>
          <w:szCs w:val="24"/>
        </w:rPr>
        <w:t>reviewing</w:t>
      </w:r>
      <w:proofErr w:type="gramEnd"/>
      <w:r w:rsidRPr="543832D4">
        <w:rPr>
          <w:sz w:val="24"/>
          <w:szCs w:val="24"/>
        </w:rPr>
        <w:t xml:space="preserve"> and monitoring the implantation and operations of the proposed </w:t>
      </w:r>
      <w:r w:rsidR="00214EC3" w:rsidRPr="543832D4">
        <w:rPr>
          <w:sz w:val="24"/>
          <w:szCs w:val="24"/>
        </w:rPr>
        <w:t>a</w:t>
      </w:r>
      <w:r w:rsidRPr="543832D4">
        <w:rPr>
          <w:sz w:val="24"/>
          <w:szCs w:val="24"/>
        </w:rPr>
        <w:t>greement</w:t>
      </w:r>
      <w:r w:rsidR="001F2A1E" w:rsidRPr="543832D4">
        <w:rPr>
          <w:sz w:val="24"/>
          <w:szCs w:val="24"/>
        </w:rPr>
        <w:t xml:space="preserve">. </w:t>
      </w:r>
    </w:p>
    <w:p w14:paraId="59B2E6F9" w14:textId="77777777" w:rsidR="00426DDD" w:rsidRPr="00426DDD" w:rsidRDefault="00426DDD" w:rsidP="0014704E">
      <w:pPr>
        <w:pStyle w:val="ListParagraph"/>
        <w:spacing w:after="0"/>
        <w:rPr>
          <w:sz w:val="24"/>
          <w:szCs w:val="24"/>
        </w:rPr>
      </w:pPr>
    </w:p>
    <w:p w14:paraId="0CD38960" w14:textId="0547679F" w:rsidR="007F54CC" w:rsidRDefault="001F2A1E" w:rsidP="00A80396">
      <w:pPr>
        <w:pStyle w:val="ListParagraph"/>
        <w:numPr>
          <w:ilvl w:val="0"/>
          <w:numId w:val="1"/>
        </w:numPr>
        <w:spacing w:after="0"/>
        <w:ind w:left="567" w:hanging="567"/>
        <w:rPr>
          <w:sz w:val="24"/>
          <w:szCs w:val="24"/>
        </w:rPr>
      </w:pPr>
      <w:r w:rsidRPr="543832D4">
        <w:rPr>
          <w:sz w:val="24"/>
          <w:szCs w:val="24"/>
        </w:rPr>
        <w:t>Th</w:t>
      </w:r>
      <w:r w:rsidR="00426DDD" w:rsidRPr="543832D4">
        <w:rPr>
          <w:sz w:val="24"/>
          <w:szCs w:val="24"/>
        </w:rPr>
        <w:t xml:space="preserve">e Joint Committee will also be responsible for </w:t>
      </w:r>
      <w:r w:rsidR="000973C1" w:rsidRPr="543832D4">
        <w:rPr>
          <w:sz w:val="24"/>
          <w:szCs w:val="24"/>
        </w:rPr>
        <w:t>supervis</w:t>
      </w:r>
      <w:r w:rsidR="00426DDD" w:rsidRPr="543832D4">
        <w:rPr>
          <w:sz w:val="24"/>
          <w:szCs w:val="24"/>
        </w:rPr>
        <w:t>ing</w:t>
      </w:r>
      <w:r w:rsidR="000973C1" w:rsidRPr="543832D4">
        <w:rPr>
          <w:sz w:val="24"/>
          <w:szCs w:val="24"/>
        </w:rPr>
        <w:t xml:space="preserve"> and coordinate the work of the subcommittees and working groups listed in the table, </w:t>
      </w:r>
      <w:r w:rsidR="00214EC3" w:rsidRPr="543832D4">
        <w:rPr>
          <w:sz w:val="24"/>
          <w:szCs w:val="24"/>
        </w:rPr>
        <w:t>below</w:t>
      </w:r>
      <w:r w:rsidRPr="543832D4">
        <w:rPr>
          <w:sz w:val="24"/>
          <w:szCs w:val="24"/>
        </w:rPr>
        <w:t xml:space="preserve">, which </w:t>
      </w:r>
      <w:r w:rsidR="00751DAB" w:rsidRPr="543832D4">
        <w:rPr>
          <w:sz w:val="24"/>
          <w:szCs w:val="24"/>
        </w:rPr>
        <w:t>will be established</w:t>
      </w:r>
      <w:r w:rsidRPr="543832D4">
        <w:rPr>
          <w:sz w:val="24"/>
          <w:szCs w:val="24"/>
        </w:rPr>
        <w:t xml:space="preserve"> to monitor implementation and enable</w:t>
      </w:r>
      <w:r w:rsidR="00751DAB" w:rsidRPr="543832D4">
        <w:rPr>
          <w:sz w:val="24"/>
          <w:szCs w:val="24"/>
        </w:rPr>
        <w:t xml:space="preserve"> technical consultation provisions in the relevant </w:t>
      </w:r>
      <w:r w:rsidR="00227B77">
        <w:rPr>
          <w:sz w:val="24"/>
          <w:szCs w:val="24"/>
        </w:rPr>
        <w:t>C</w:t>
      </w:r>
      <w:r w:rsidR="00751DAB" w:rsidRPr="543832D4">
        <w:rPr>
          <w:sz w:val="24"/>
          <w:szCs w:val="24"/>
        </w:rPr>
        <w:t xml:space="preserve">hapters of the proposed </w:t>
      </w:r>
      <w:r w:rsidR="0075790E">
        <w:rPr>
          <w:sz w:val="24"/>
          <w:szCs w:val="24"/>
        </w:rPr>
        <w:t>AI</w:t>
      </w:r>
      <w:r w:rsidR="00217C26">
        <w:rPr>
          <w:sz w:val="24"/>
          <w:szCs w:val="24"/>
        </w:rPr>
        <w:t xml:space="preserve"> ECTA</w:t>
      </w:r>
      <w:r w:rsidR="00751DAB" w:rsidRPr="543832D4">
        <w:rPr>
          <w:sz w:val="24"/>
          <w:szCs w:val="24"/>
        </w:rPr>
        <w:t xml:space="preserve">. </w:t>
      </w:r>
    </w:p>
    <w:bookmarkEnd w:id="85"/>
    <w:p w14:paraId="4341F212" w14:textId="77777777" w:rsidR="000973C1" w:rsidRPr="000973C1" w:rsidRDefault="000973C1" w:rsidP="0014704E">
      <w:pPr>
        <w:pStyle w:val="ListParagraph"/>
        <w:spacing w:after="0"/>
        <w:rPr>
          <w:sz w:val="24"/>
          <w:szCs w:val="24"/>
        </w:rPr>
      </w:pPr>
    </w:p>
    <w:p w14:paraId="1E850D46" w14:textId="1F5EEE6B" w:rsidR="007B6394" w:rsidRPr="00C85E71" w:rsidRDefault="000973C1" w:rsidP="00A80396">
      <w:pPr>
        <w:pStyle w:val="ListParagraph"/>
        <w:numPr>
          <w:ilvl w:val="0"/>
          <w:numId w:val="1"/>
        </w:numPr>
        <w:spacing w:after="0"/>
        <w:ind w:left="567" w:hanging="567"/>
      </w:pPr>
      <w:r w:rsidRPr="543832D4">
        <w:rPr>
          <w:sz w:val="24"/>
          <w:szCs w:val="24"/>
        </w:rPr>
        <w:t>T</w:t>
      </w:r>
      <w:r w:rsidR="007B6394" w:rsidRPr="543832D4">
        <w:rPr>
          <w:sz w:val="24"/>
          <w:szCs w:val="24"/>
        </w:rPr>
        <w:t xml:space="preserve">he Committee architecture in the proposed </w:t>
      </w:r>
      <w:r w:rsidR="0075790E">
        <w:rPr>
          <w:sz w:val="24"/>
          <w:szCs w:val="24"/>
        </w:rPr>
        <w:t>AI</w:t>
      </w:r>
      <w:r w:rsidR="00217C26">
        <w:rPr>
          <w:sz w:val="24"/>
          <w:szCs w:val="24"/>
        </w:rPr>
        <w:t xml:space="preserve"> ECTA</w:t>
      </w:r>
      <w:r w:rsidR="007B6394" w:rsidRPr="543832D4">
        <w:rPr>
          <w:sz w:val="24"/>
          <w:szCs w:val="24"/>
        </w:rPr>
        <w:t xml:space="preserve"> is provided below:</w:t>
      </w:r>
    </w:p>
    <w:p w14:paraId="49542C0F" w14:textId="77777777" w:rsidR="00C85E71" w:rsidRPr="007434FA" w:rsidRDefault="00C85E71" w:rsidP="00C85E71">
      <w:pPr>
        <w:spacing w:after="0"/>
      </w:pPr>
    </w:p>
    <w:tbl>
      <w:tblPr>
        <w:tblW w:w="0" w:type="auto"/>
        <w:tblInd w:w="805" w:type="dxa"/>
        <w:tblLook w:val="04A0" w:firstRow="1" w:lastRow="0" w:firstColumn="1" w:lastColumn="0" w:noHBand="0" w:noVBand="1"/>
      </w:tblPr>
      <w:tblGrid>
        <w:gridCol w:w="8496"/>
      </w:tblGrid>
      <w:tr w:rsidR="007B6394" w:rsidRPr="004E60D0" w14:paraId="4B4D129A" w14:textId="77777777" w:rsidTr="00C13330">
        <w:trPr>
          <w:trHeight w:val="52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5B0148" w14:textId="17ED466E" w:rsidR="007B6394" w:rsidRPr="007944BF" w:rsidRDefault="007B6394" w:rsidP="0014704E">
            <w:pPr>
              <w:spacing w:after="0"/>
              <w:jc w:val="center"/>
              <w:rPr>
                <w:rFonts w:ascii="Calibri" w:hAnsi="Calibri" w:cs="Calibri"/>
                <w:b/>
                <w:bCs/>
                <w:color w:val="000000"/>
                <w:lang w:eastAsia="en-AU"/>
              </w:rPr>
            </w:pPr>
            <w:bookmarkStart w:id="86" w:name="_Hlk82452066"/>
            <w:r w:rsidRPr="007944BF">
              <w:rPr>
                <w:rFonts w:ascii="Calibri" w:hAnsi="Calibri" w:cs="Calibri"/>
                <w:b/>
                <w:bCs/>
                <w:color w:val="000000"/>
                <w:lang w:eastAsia="en-AU"/>
              </w:rPr>
              <w:lastRenderedPageBreak/>
              <w:t xml:space="preserve">COMMITTEE ARCHITECTURE IN THE </w:t>
            </w:r>
            <w:r>
              <w:rPr>
                <w:rFonts w:ascii="Calibri" w:hAnsi="Calibri" w:cs="Calibri"/>
                <w:b/>
                <w:bCs/>
                <w:color w:val="000000"/>
                <w:lang w:eastAsia="en-AU"/>
              </w:rPr>
              <w:t xml:space="preserve">PROPOSED </w:t>
            </w:r>
            <w:r w:rsidR="0075790E">
              <w:rPr>
                <w:rFonts w:ascii="Calibri" w:hAnsi="Calibri" w:cs="Calibri"/>
                <w:b/>
                <w:bCs/>
                <w:color w:val="000000"/>
                <w:lang w:eastAsia="en-AU"/>
              </w:rPr>
              <w:t>AI</w:t>
            </w:r>
            <w:r w:rsidR="00217C26">
              <w:rPr>
                <w:rFonts w:ascii="Calibri" w:hAnsi="Calibri" w:cs="Calibri"/>
                <w:b/>
                <w:bCs/>
                <w:color w:val="000000"/>
                <w:lang w:eastAsia="en-AU"/>
              </w:rPr>
              <w:t xml:space="preserve"> ECTA</w:t>
            </w:r>
          </w:p>
        </w:tc>
      </w:tr>
      <w:tr w:rsidR="007B6394" w:rsidRPr="004E60D0" w14:paraId="42F08C23" w14:textId="77777777" w:rsidTr="00C13330">
        <w:trPr>
          <w:trHeight w:val="527"/>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66CF8A11" w14:textId="77777777" w:rsidR="007B6394" w:rsidRPr="004E60D0" w:rsidRDefault="007B6394" w:rsidP="0014704E">
            <w:pPr>
              <w:spacing w:after="0"/>
              <w:rPr>
                <w:rFonts w:ascii="Calibri" w:hAnsi="Calibri" w:cs="Calibri"/>
                <w:color w:val="000000"/>
                <w:lang w:eastAsia="en-AU"/>
              </w:rPr>
            </w:pPr>
            <w:r>
              <w:rPr>
                <w:rFonts w:ascii="Calibri" w:hAnsi="Calibri" w:cs="Calibri"/>
                <w:color w:val="000000"/>
                <w:lang w:eastAsia="en-AU"/>
              </w:rPr>
              <w:t>J</w:t>
            </w:r>
            <w:r w:rsidRPr="004E60D0">
              <w:rPr>
                <w:rFonts w:ascii="Calibri" w:hAnsi="Calibri" w:cs="Calibri"/>
                <w:color w:val="000000"/>
                <w:lang w:eastAsia="en-AU"/>
              </w:rPr>
              <w:t>oint Committee</w:t>
            </w:r>
          </w:p>
        </w:tc>
      </w:tr>
      <w:tr w:rsidR="007B6394" w:rsidRPr="004E60D0" w14:paraId="39370C00" w14:textId="77777777" w:rsidTr="00C13330">
        <w:trPr>
          <w:trHeight w:val="52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13CEC04" w14:textId="77777777" w:rsidR="007B6394" w:rsidRPr="004E60D0" w:rsidRDefault="007B6394" w:rsidP="0014704E">
            <w:pPr>
              <w:spacing w:after="0"/>
              <w:rPr>
                <w:rFonts w:ascii="Calibri" w:hAnsi="Calibri" w:cs="Calibri"/>
                <w:color w:val="000000"/>
                <w:lang w:eastAsia="en-AU"/>
              </w:rPr>
            </w:pPr>
            <w:r>
              <w:rPr>
                <w:rFonts w:ascii="Calibri" w:hAnsi="Calibri" w:cs="Calibri"/>
                <w:color w:val="000000"/>
                <w:lang w:eastAsia="en-AU"/>
              </w:rPr>
              <w:t>Committee on Trade in Goods</w:t>
            </w:r>
          </w:p>
        </w:tc>
      </w:tr>
      <w:tr w:rsidR="007B6394" w:rsidRPr="004E60D0" w14:paraId="5C7B3B42" w14:textId="77777777" w:rsidTr="00C13330">
        <w:trPr>
          <w:trHeight w:val="527"/>
        </w:trPr>
        <w:tc>
          <w:tcPr>
            <w:tcW w:w="0" w:type="auto"/>
            <w:tcBorders>
              <w:top w:val="nil"/>
              <w:left w:val="single" w:sz="4" w:space="0" w:color="auto"/>
              <w:bottom w:val="single" w:sz="4" w:space="0" w:color="auto"/>
              <w:right w:val="single" w:sz="4" w:space="0" w:color="auto"/>
            </w:tcBorders>
            <w:shd w:val="clear" w:color="auto" w:fill="auto"/>
            <w:vAlign w:val="bottom"/>
          </w:tcPr>
          <w:p w14:paraId="0FD43ED5" w14:textId="77777777" w:rsidR="007B6394" w:rsidRPr="004E60D0" w:rsidRDefault="007B6394" w:rsidP="0014704E">
            <w:pPr>
              <w:spacing w:after="0"/>
              <w:rPr>
                <w:rFonts w:ascii="Calibri" w:hAnsi="Calibri" w:cs="Calibri"/>
                <w:color w:val="000000"/>
                <w:lang w:eastAsia="en-AU"/>
              </w:rPr>
            </w:pPr>
            <w:r>
              <w:rPr>
                <w:rFonts w:ascii="Calibri" w:hAnsi="Calibri" w:cs="Calibri"/>
                <w:color w:val="000000"/>
                <w:lang w:eastAsia="en-AU"/>
              </w:rPr>
              <w:t xml:space="preserve">Services Sub-Committee </w:t>
            </w:r>
          </w:p>
        </w:tc>
      </w:tr>
      <w:tr w:rsidR="007B6394" w:rsidRPr="004E60D0" w14:paraId="6F5CD921" w14:textId="77777777" w:rsidTr="00C13330">
        <w:trPr>
          <w:trHeight w:val="527"/>
        </w:trPr>
        <w:tc>
          <w:tcPr>
            <w:tcW w:w="0" w:type="auto"/>
            <w:tcBorders>
              <w:top w:val="nil"/>
              <w:left w:val="single" w:sz="4" w:space="0" w:color="auto"/>
              <w:bottom w:val="single" w:sz="4" w:space="0" w:color="auto"/>
              <w:right w:val="single" w:sz="4" w:space="0" w:color="auto"/>
            </w:tcBorders>
            <w:shd w:val="clear" w:color="auto" w:fill="auto"/>
            <w:vAlign w:val="bottom"/>
          </w:tcPr>
          <w:p w14:paraId="7E9D308F" w14:textId="77777777" w:rsidR="007B6394" w:rsidRPr="004E60D0" w:rsidRDefault="007B6394" w:rsidP="0014704E">
            <w:pPr>
              <w:spacing w:after="0"/>
              <w:rPr>
                <w:rFonts w:ascii="Calibri" w:hAnsi="Calibri" w:cs="Calibri"/>
                <w:color w:val="000000"/>
                <w:lang w:eastAsia="en-AU"/>
              </w:rPr>
            </w:pPr>
            <w:r>
              <w:rPr>
                <w:rFonts w:ascii="Calibri" w:hAnsi="Calibri" w:cs="Calibri"/>
                <w:color w:val="000000"/>
                <w:lang w:eastAsia="en-AU"/>
              </w:rPr>
              <w:t>Professional Services Working Group</w:t>
            </w:r>
          </w:p>
        </w:tc>
      </w:tr>
      <w:tr w:rsidR="00DB567B" w:rsidRPr="004E60D0" w14:paraId="7BB8448F" w14:textId="77777777" w:rsidTr="00C13330">
        <w:trPr>
          <w:trHeight w:val="527"/>
        </w:trPr>
        <w:tc>
          <w:tcPr>
            <w:tcW w:w="0" w:type="auto"/>
            <w:tcBorders>
              <w:top w:val="nil"/>
              <w:left w:val="single" w:sz="4" w:space="0" w:color="auto"/>
              <w:bottom w:val="single" w:sz="4" w:space="0" w:color="auto"/>
              <w:right w:val="single" w:sz="4" w:space="0" w:color="auto"/>
            </w:tcBorders>
            <w:shd w:val="clear" w:color="auto" w:fill="auto"/>
            <w:vAlign w:val="bottom"/>
          </w:tcPr>
          <w:p w14:paraId="0243BD0D" w14:textId="152EFDF9" w:rsidR="00DB567B" w:rsidRDefault="00DB567B" w:rsidP="0014704E">
            <w:pPr>
              <w:spacing w:after="0"/>
              <w:rPr>
                <w:rFonts w:ascii="Calibri" w:hAnsi="Calibri" w:cs="Calibri"/>
                <w:color w:val="000000"/>
                <w:lang w:eastAsia="en-AU"/>
              </w:rPr>
            </w:pPr>
            <w:r>
              <w:rPr>
                <w:rFonts w:ascii="Calibri" w:hAnsi="Calibri" w:cs="Calibri"/>
                <w:color w:val="000000"/>
                <w:lang w:eastAsia="en-AU"/>
              </w:rPr>
              <w:t>Working Group on Temporary Movement of Natural Persons</w:t>
            </w:r>
          </w:p>
        </w:tc>
      </w:tr>
      <w:tr w:rsidR="00792E8F" w:rsidRPr="004E60D0" w14:paraId="66DA5CF7" w14:textId="77777777" w:rsidTr="00C13330">
        <w:trPr>
          <w:trHeight w:val="527"/>
        </w:trPr>
        <w:tc>
          <w:tcPr>
            <w:tcW w:w="0" w:type="auto"/>
            <w:tcBorders>
              <w:top w:val="nil"/>
              <w:left w:val="single" w:sz="4" w:space="0" w:color="auto"/>
              <w:bottom w:val="single" w:sz="4" w:space="0" w:color="auto"/>
              <w:right w:val="single" w:sz="4" w:space="0" w:color="auto"/>
            </w:tcBorders>
            <w:shd w:val="clear" w:color="auto" w:fill="auto"/>
            <w:vAlign w:val="bottom"/>
          </w:tcPr>
          <w:p w14:paraId="3C24B256" w14:textId="597E3BA5" w:rsidR="00792E8F" w:rsidRDefault="00792E8F" w:rsidP="0014704E">
            <w:pPr>
              <w:spacing w:after="0"/>
              <w:rPr>
                <w:rFonts w:ascii="Calibri" w:hAnsi="Calibri" w:cs="Calibri"/>
                <w:color w:val="000000"/>
                <w:lang w:eastAsia="en-AU"/>
              </w:rPr>
            </w:pPr>
            <w:r>
              <w:rPr>
                <w:rFonts w:ascii="Calibri" w:hAnsi="Calibri" w:cs="Calibri"/>
                <w:color w:val="000000"/>
                <w:lang w:eastAsia="en-AU"/>
              </w:rPr>
              <w:t>Financial Services Working Group</w:t>
            </w:r>
          </w:p>
        </w:tc>
      </w:tr>
      <w:tr w:rsidR="007B6394" w:rsidRPr="004E60D0" w14:paraId="7B6D0DE4" w14:textId="77777777" w:rsidTr="00C13330">
        <w:trPr>
          <w:trHeight w:val="527"/>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802B881" w14:textId="77777777" w:rsidR="007B6394" w:rsidRPr="004E60D0" w:rsidRDefault="007B6394" w:rsidP="0014704E">
            <w:pPr>
              <w:spacing w:after="0"/>
              <w:rPr>
                <w:rFonts w:ascii="Calibri" w:hAnsi="Calibri" w:cs="Calibri"/>
                <w:color w:val="000000"/>
                <w:lang w:eastAsia="en-AU"/>
              </w:rPr>
            </w:pPr>
            <w:r>
              <w:rPr>
                <w:rFonts w:ascii="Calibri" w:hAnsi="Calibri" w:cs="Calibri"/>
                <w:color w:val="000000"/>
                <w:lang w:eastAsia="en-AU"/>
              </w:rPr>
              <w:t xml:space="preserve">Joint Technical Committee on Rules of Origin and Origin Procedures  </w:t>
            </w:r>
          </w:p>
        </w:tc>
      </w:tr>
      <w:tr w:rsidR="007B6394" w:rsidRPr="004E60D0" w14:paraId="1B1569DC" w14:textId="77777777" w:rsidTr="00C13330">
        <w:trPr>
          <w:trHeight w:val="527"/>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1BAECA6" w14:textId="77777777" w:rsidR="007B6394" w:rsidRDefault="007B6394" w:rsidP="0014704E">
            <w:pPr>
              <w:spacing w:after="0"/>
              <w:rPr>
                <w:rFonts w:ascii="Calibri" w:hAnsi="Calibri" w:cs="Calibri"/>
                <w:color w:val="000000"/>
                <w:lang w:eastAsia="en-AU"/>
              </w:rPr>
            </w:pPr>
            <w:r>
              <w:rPr>
                <w:rFonts w:ascii="Calibri" w:hAnsi="Calibri" w:cs="Calibri"/>
                <w:color w:val="000000"/>
                <w:lang w:eastAsia="en-AU"/>
              </w:rPr>
              <w:t xml:space="preserve">Committee on Sanitary and Phytosanitary Measures </w:t>
            </w:r>
          </w:p>
        </w:tc>
      </w:tr>
      <w:tr w:rsidR="007B6394" w:rsidRPr="004E60D0" w14:paraId="2B66CADC" w14:textId="77777777" w:rsidTr="00C13330">
        <w:trPr>
          <w:trHeight w:val="527"/>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F8AD053" w14:textId="77777777" w:rsidR="007B6394" w:rsidRDefault="007B6394" w:rsidP="0014704E">
            <w:pPr>
              <w:spacing w:after="0"/>
              <w:rPr>
                <w:rFonts w:ascii="Calibri" w:hAnsi="Calibri" w:cs="Calibri"/>
                <w:color w:val="000000"/>
                <w:lang w:eastAsia="en-AU"/>
              </w:rPr>
            </w:pPr>
            <w:r>
              <w:rPr>
                <w:rFonts w:ascii="Calibri" w:hAnsi="Calibri" w:cs="Calibri"/>
                <w:color w:val="000000"/>
                <w:lang w:eastAsia="en-AU"/>
              </w:rPr>
              <w:t xml:space="preserve">Sub-Committee on Standards, Technical Regulations and Conformity Assessment Procedures </w:t>
            </w:r>
          </w:p>
        </w:tc>
      </w:tr>
      <w:tr w:rsidR="007B6394" w:rsidRPr="004E60D0" w14:paraId="6F78AD63" w14:textId="77777777" w:rsidTr="00C13330">
        <w:trPr>
          <w:trHeight w:val="527"/>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1811112" w14:textId="77777777" w:rsidR="007B6394" w:rsidRDefault="007B6394" w:rsidP="0014704E">
            <w:pPr>
              <w:spacing w:after="0"/>
              <w:rPr>
                <w:rFonts w:ascii="Calibri" w:hAnsi="Calibri" w:cs="Calibri"/>
                <w:color w:val="000000"/>
                <w:lang w:eastAsia="en-AU"/>
              </w:rPr>
            </w:pPr>
            <w:r>
              <w:rPr>
                <w:rFonts w:ascii="Calibri" w:hAnsi="Calibri" w:cs="Calibri"/>
                <w:color w:val="000000"/>
                <w:lang w:eastAsia="en-AU"/>
              </w:rPr>
              <w:t xml:space="preserve">Working Group on Rules of Origin and Customs and Trade Facilitation </w:t>
            </w:r>
          </w:p>
        </w:tc>
      </w:tr>
      <w:tr w:rsidR="00FB2B32" w:rsidRPr="004E60D0" w14:paraId="2D05D5BC" w14:textId="77777777" w:rsidTr="00C13330">
        <w:trPr>
          <w:trHeight w:val="527"/>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C2BF294" w14:textId="383FB37B" w:rsidR="00FB2B32" w:rsidRDefault="00FB2B32" w:rsidP="0014704E">
            <w:pPr>
              <w:spacing w:after="0"/>
              <w:rPr>
                <w:rFonts w:ascii="Calibri" w:hAnsi="Calibri" w:cs="Calibri"/>
                <w:color w:val="000000"/>
                <w:lang w:eastAsia="en-AU"/>
              </w:rPr>
            </w:pPr>
            <w:r>
              <w:rPr>
                <w:rFonts w:ascii="Calibri" w:hAnsi="Calibri" w:cs="Calibri"/>
                <w:color w:val="000000"/>
                <w:lang w:eastAsia="en-AU"/>
              </w:rPr>
              <w:t xml:space="preserve">Implementation and Negotiation Subcommittee </w:t>
            </w:r>
          </w:p>
        </w:tc>
      </w:tr>
      <w:bookmarkEnd w:id="86"/>
    </w:tbl>
    <w:p w14:paraId="21C69469" w14:textId="64A15511" w:rsidR="00CD0E23" w:rsidRDefault="00CD0E23">
      <w:pPr>
        <w:spacing w:after="0"/>
        <w:rPr>
          <w:b/>
          <w:bCs/>
          <w:sz w:val="24"/>
          <w:szCs w:val="24"/>
        </w:rPr>
      </w:pPr>
    </w:p>
    <w:p w14:paraId="1342E9A2" w14:textId="63B1A3A6" w:rsidR="00FC7B52" w:rsidRDefault="00FC7B52" w:rsidP="0001716D">
      <w:pPr>
        <w:pStyle w:val="Heading2"/>
        <w:spacing w:before="0"/>
      </w:pPr>
      <w:bookmarkStart w:id="87" w:name="_Toc99370687"/>
      <w:r>
        <w:t>Implementation risks</w:t>
      </w:r>
      <w:bookmarkEnd w:id="87"/>
      <w:r>
        <w:t xml:space="preserve"> </w:t>
      </w:r>
    </w:p>
    <w:p w14:paraId="2BCFE35C" w14:textId="77777777" w:rsidR="00C85E71" w:rsidRDefault="00C85E71">
      <w:pPr>
        <w:pStyle w:val="ListParagraph"/>
        <w:spacing w:after="0"/>
        <w:ind w:left="567"/>
        <w:rPr>
          <w:sz w:val="24"/>
          <w:szCs w:val="24"/>
        </w:rPr>
      </w:pPr>
    </w:p>
    <w:p w14:paraId="3ED2855F" w14:textId="7C5AA472" w:rsidR="00FC7B52" w:rsidRDefault="00FC7B52">
      <w:pPr>
        <w:pStyle w:val="ListParagraph"/>
        <w:numPr>
          <w:ilvl w:val="0"/>
          <w:numId w:val="1"/>
        </w:numPr>
        <w:spacing w:after="0"/>
        <w:ind w:left="567" w:hanging="567"/>
        <w:rPr>
          <w:sz w:val="24"/>
          <w:szCs w:val="24"/>
        </w:rPr>
      </w:pPr>
      <w:r w:rsidRPr="543832D4">
        <w:rPr>
          <w:sz w:val="24"/>
          <w:szCs w:val="24"/>
        </w:rPr>
        <w:t>D</w:t>
      </w:r>
      <w:r w:rsidR="00A86B4D" w:rsidRPr="543832D4">
        <w:rPr>
          <w:sz w:val="24"/>
          <w:szCs w:val="24"/>
        </w:rPr>
        <w:t>elays i</w:t>
      </w:r>
      <w:r w:rsidR="003C7585" w:rsidRPr="543832D4">
        <w:rPr>
          <w:sz w:val="24"/>
          <w:szCs w:val="24"/>
        </w:rPr>
        <w:t>n any aspects of the treaty making process</w:t>
      </w:r>
      <w:r w:rsidR="00A86B4D" w:rsidRPr="543832D4">
        <w:rPr>
          <w:sz w:val="24"/>
          <w:szCs w:val="24"/>
        </w:rPr>
        <w:t xml:space="preserve"> could </w:t>
      </w:r>
      <w:r w:rsidR="00113743" w:rsidRPr="543832D4">
        <w:rPr>
          <w:sz w:val="24"/>
          <w:szCs w:val="24"/>
        </w:rPr>
        <w:t xml:space="preserve">result in delays in the proposed </w:t>
      </w:r>
      <w:r w:rsidR="0075790E">
        <w:rPr>
          <w:sz w:val="24"/>
          <w:szCs w:val="24"/>
        </w:rPr>
        <w:t>AI</w:t>
      </w:r>
      <w:r w:rsidR="00217C26">
        <w:rPr>
          <w:sz w:val="24"/>
          <w:szCs w:val="24"/>
        </w:rPr>
        <w:t xml:space="preserve"> ECTA</w:t>
      </w:r>
      <w:r w:rsidR="00113743" w:rsidRPr="543832D4">
        <w:rPr>
          <w:sz w:val="24"/>
          <w:szCs w:val="24"/>
        </w:rPr>
        <w:t xml:space="preserve"> coming into effect. This could result in reputational risks for Australia, as depending on the reasons for the delays, it could be perceived as Australia stalling on its commitments.</w:t>
      </w:r>
      <w:r w:rsidR="003C7585" w:rsidRPr="543832D4">
        <w:rPr>
          <w:sz w:val="24"/>
          <w:szCs w:val="24"/>
        </w:rPr>
        <w:t xml:space="preserve"> DFAT is working closely with the Treaties Secretariat to mitigate this risk by ensuring</w:t>
      </w:r>
      <w:r w:rsidR="00E06B1C" w:rsidRPr="543832D4">
        <w:rPr>
          <w:sz w:val="24"/>
          <w:szCs w:val="24"/>
        </w:rPr>
        <w:t xml:space="preserve"> the Secretariat</w:t>
      </w:r>
      <w:r w:rsidR="003C7585" w:rsidRPr="543832D4">
        <w:rPr>
          <w:sz w:val="24"/>
          <w:szCs w:val="24"/>
        </w:rPr>
        <w:t xml:space="preserve"> </w:t>
      </w:r>
      <w:r w:rsidR="00E06B1C" w:rsidRPr="543832D4">
        <w:rPr>
          <w:sz w:val="24"/>
          <w:szCs w:val="24"/>
        </w:rPr>
        <w:t xml:space="preserve">is </w:t>
      </w:r>
      <w:r w:rsidR="003C7585" w:rsidRPr="543832D4">
        <w:rPr>
          <w:sz w:val="24"/>
          <w:szCs w:val="24"/>
        </w:rPr>
        <w:t xml:space="preserve">aware of the proposed timeframes and </w:t>
      </w:r>
      <w:proofErr w:type="gramStart"/>
      <w:r w:rsidR="007C1F69" w:rsidRPr="543832D4">
        <w:rPr>
          <w:sz w:val="24"/>
          <w:szCs w:val="24"/>
        </w:rPr>
        <w:t>is able to</w:t>
      </w:r>
      <w:proofErr w:type="gramEnd"/>
      <w:r w:rsidR="007C1F69" w:rsidRPr="543832D4">
        <w:rPr>
          <w:sz w:val="24"/>
          <w:szCs w:val="24"/>
        </w:rPr>
        <w:t xml:space="preserve"> factor this into their </w:t>
      </w:r>
      <w:r w:rsidR="006A7518" w:rsidRPr="543832D4">
        <w:rPr>
          <w:sz w:val="24"/>
          <w:szCs w:val="24"/>
        </w:rPr>
        <w:t xml:space="preserve">work plan </w:t>
      </w:r>
      <w:r w:rsidR="007C1F69" w:rsidRPr="543832D4">
        <w:rPr>
          <w:sz w:val="24"/>
          <w:szCs w:val="24"/>
        </w:rPr>
        <w:t>to ensure the</w:t>
      </w:r>
      <w:r w:rsidR="00CA18E2" w:rsidRPr="543832D4">
        <w:rPr>
          <w:sz w:val="24"/>
          <w:szCs w:val="24"/>
        </w:rPr>
        <w:t xml:space="preserve"> proposed </w:t>
      </w:r>
      <w:r w:rsidR="0075790E">
        <w:rPr>
          <w:sz w:val="24"/>
          <w:szCs w:val="24"/>
        </w:rPr>
        <w:t>AI</w:t>
      </w:r>
      <w:r w:rsidR="00217C26">
        <w:rPr>
          <w:sz w:val="24"/>
          <w:szCs w:val="24"/>
        </w:rPr>
        <w:t xml:space="preserve"> ECTA</w:t>
      </w:r>
      <w:r w:rsidR="00CA18E2" w:rsidRPr="543832D4">
        <w:rPr>
          <w:sz w:val="24"/>
          <w:szCs w:val="24"/>
        </w:rPr>
        <w:t xml:space="preserve"> can be tabled on time. </w:t>
      </w:r>
    </w:p>
    <w:p w14:paraId="4854967E" w14:textId="583DAF3F" w:rsidR="00C94BB3" w:rsidRDefault="00737986" w:rsidP="00A80396">
      <w:pPr>
        <w:pStyle w:val="ListParagraph"/>
        <w:numPr>
          <w:ilvl w:val="0"/>
          <w:numId w:val="1"/>
        </w:numPr>
        <w:spacing w:after="0"/>
        <w:ind w:left="567" w:hanging="567"/>
        <w:rPr>
          <w:sz w:val="24"/>
          <w:szCs w:val="24"/>
        </w:rPr>
      </w:pPr>
      <w:r w:rsidRPr="543832D4">
        <w:rPr>
          <w:sz w:val="24"/>
          <w:szCs w:val="24"/>
        </w:rPr>
        <w:t xml:space="preserve">Delays on implementation of </w:t>
      </w:r>
      <w:r w:rsidR="00CC2B11" w:rsidRPr="543832D4">
        <w:rPr>
          <w:sz w:val="24"/>
          <w:szCs w:val="24"/>
        </w:rPr>
        <w:t xml:space="preserve">the proposed </w:t>
      </w:r>
      <w:r w:rsidR="0075790E">
        <w:rPr>
          <w:sz w:val="24"/>
          <w:szCs w:val="24"/>
        </w:rPr>
        <w:t>AI</w:t>
      </w:r>
      <w:r w:rsidR="00217C26">
        <w:rPr>
          <w:sz w:val="24"/>
          <w:szCs w:val="24"/>
        </w:rPr>
        <w:t xml:space="preserve"> ECTA</w:t>
      </w:r>
      <w:r w:rsidR="00CC2B11" w:rsidRPr="543832D4">
        <w:rPr>
          <w:sz w:val="24"/>
          <w:szCs w:val="24"/>
        </w:rPr>
        <w:t xml:space="preserve"> </w:t>
      </w:r>
      <w:r w:rsidRPr="543832D4">
        <w:rPr>
          <w:sz w:val="24"/>
          <w:szCs w:val="24"/>
        </w:rPr>
        <w:t xml:space="preserve">on either Australia or India’s side could impede </w:t>
      </w:r>
      <w:r w:rsidR="00CC2B11" w:rsidRPr="543832D4">
        <w:rPr>
          <w:sz w:val="24"/>
          <w:szCs w:val="24"/>
        </w:rPr>
        <w:t>liberalisation measures</w:t>
      </w:r>
      <w:r w:rsidR="002F3778" w:rsidRPr="543832D4">
        <w:rPr>
          <w:sz w:val="24"/>
          <w:szCs w:val="24"/>
        </w:rPr>
        <w:t>, which</w:t>
      </w:r>
      <w:r w:rsidR="00CC2B11" w:rsidRPr="543832D4">
        <w:rPr>
          <w:sz w:val="24"/>
          <w:szCs w:val="24"/>
        </w:rPr>
        <w:t xml:space="preserve"> would bring about delays for Australian businesses and suppliers</w:t>
      </w:r>
      <w:r w:rsidR="002F3778" w:rsidRPr="543832D4">
        <w:rPr>
          <w:sz w:val="24"/>
          <w:szCs w:val="24"/>
        </w:rPr>
        <w:t xml:space="preserve">. Australia and India will work closely to mitigate this risk, including through engagement in the committees, subcommittees and working groups established under the proposed </w:t>
      </w:r>
      <w:r w:rsidR="0075790E">
        <w:rPr>
          <w:sz w:val="24"/>
          <w:szCs w:val="24"/>
        </w:rPr>
        <w:t>AI</w:t>
      </w:r>
      <w:r w:rsidR="00217C26">
        <w:rPr>
          <w:sz w:val="24"/>
          <w:szCs w:val="24"/>
        </w:rPr>
        <w:t xml:space="preserve"> ECTA</w:t>
      </w:r>
      <w:r w:rsidR="002F3778" w:rsidRPr="543832D4">
        <w:rPr>
          <w:sz w:val="24"/>
          <w:szCs w:val="24"/>
        </w:rPr>
        <w:t xml:space="preserve">.  </w:t>
      </w:r>
    </w:p>
    <w:p w14:paraId="7DF205DB" w14:textId="77777777" w:rsidR="00D237F2" w:rsidRPr="00D237F2" w:rsidRDefault="00D237F2" w:rsidP="0014704E">
      <w:pPr>
        <w:pStyle w:val="ListParagraph"/>
        <w:spacing w:after="0"/>
        <w:rPr>
          <w:sz w:val="24"/>
          <w:szCs w:val="24"/>
        </w:rPr>
      </w:pPr>
    </w:p>
    <w:p w14:paraId="5B5C45E3" w14:textId="5178F853" w:rsidR="00D237F2" w:rsidRPr="00D237F2" w:rsidRDefault="00D237F2" w:rsidP="00EC65BE">
      <w:pPr>
        <w:pStyle w:val="ListParagraph"/>
        <w:numPr>
          <w:ilvl w:val="0"/>
          <w:numId w:val="1"/>
        </w:numPr>
        <w:spacing w:after="0"/>
        <w:ind w:left="567" w:hanging="567"/>
        <w:rPr>
          <w:sz w:val="24"/>
          <w:szCs w:val="24"/>
        </w:rPr>
      </w:pPr>
      <w:r w:rsidRPr="543832D4">
        <w:rPr>
          <w:sz w:val="24"/>
          <w:szCs w:val="24"/>
        </w:rPr>
        <w:t xml:space="preserve">Lack of </w:t>
      </w:r>
      <w:r w:rsidR="00A85447">
        <w:rPr>
          <w:sz w:val="24"/>
          <w:szCs w:val="24"/>
        </w:rPr>
        <w:t xml:space="preserve">industry </w:t>
      </w:r>
      <w:r w:rsidRPr="543832D4">
        <w:rPr>
          <w:sz w:val="24"/>
          <w:szCs w:val="24"/>
        </w:rPr>
        <w:t xml:space="preserve">awareness </w:t>
      </w:r>
      <w:r w:rsidR="00A85447">
        <w:rPr>
          <w:sz w:val="24"/>
          <w:szCs w:val="24"/>
        </w:rPr>
        <w:t>about</w:t>
      </w:r>
      <w:r w:rsidRPr="543832D4">
        <w:rPr>
          <w:sz w:val="24"/>
          <w:szCs w:val="24"/>
        </w:rPr>
        <w:t xml:space="preserve"> the propose</w:t>
      </w:r>
      <w:r w:rsidR="008D79E0" w:rsidRPr="543832D4">
        <w:rPr>
          <w:sz w:val="24"/>
          <w:szCs w:val="24"/>
        </w:rPr>
        <w:t>d</w:t>
      </w:r>
      <w:r w:rsidRPr="543832D4">
        <w:rPr>
          <w:sz w:val="24"/>
          <w:szCs w:val="24"/>
        </w:rPr>
        <w:t xml:space="preserve"> </w:t>
      </w:r>
      <w:r w:rsidR="0075790E">
        <w:rPr>
          <w:sz w:val="24"/>
          <w:szCs w:val="24"/>
        </w:rPr>
        <w:t>AI</w:t>
      </w:r>
      <w:r w:rsidR="00217C26">
        <w:rPr>
          <w:sz w:val="24"/>
          <w:szCs w:val="24"/>
        </w:rPr>
        <w:t xml:space="preserve"> ECTA</w:t>
      </w:r>
      <w:r w:rsidRPr="543832D4">
        <w:rPr>
          <w:sz w:val="24"/>
          <w:szCs w:val="24"/>
        </w:rPr>
        <w:t xml:space="preserve"> could also impede</w:t>
      </w:r>
      <w:r w:rsidR="008D79E0" w:rsidRPr="543832D4">
        <w:rPr>
          <w:sz w:val="24"/>
          <w:szCs w:val="24"/>
        </w:rPr>
        <w:t xml:space="preserve"> implementation, </w:t>
      </w:r>
      <w:r w:rsidR="00A85447">
        <w:rPr>
          <w:sz w:val="24"/>
          <w:szCs w:val="24"/>
        </w:rPr>
        <w:t xml:space="preserve">as </w:t>
      </w:r>
      <w:r w:rsidR="00D951C2">
        <w:rPr>
          <w:sz w:val="24"/>
          <w:szCs w:val="24"/>
        </w:rPr>
        <w:t xml:space="preserve">businesses that that do not have knowledge about the interim agreement and how they </w:t>
      </w:r>
      <w:r w:rsidR="001F0756">
        <w:rPr>
          <w:sz w:val="24"/>
          <w:szCs w:val="24"/>
        </w:rPr>
        <w:t xml:space="preserve">could </w:t>
      </w:r>
      <w:r w:rsidR="000B6F97">
        <w:rPr>
          <w:sz w:val="24"/>
          <w:szCs w:val="24"/>
        </w:rPr>
        <w:t>use the outcomes negotiated will not be using the interim agreement to expand or tap into the Indian market</w:t>
      </w:r>
      <w:r w:rsidR="00743475">
        <w:rPr>
          <w:sz w:val="24"/>
          <w:szCs w:val="24"/>
        </w:rPr>
        <w:t xml:space="preserve">. </w:t>
      </w:r>
      <w:proofErr w:type="gramStart"/>
      <w:r w:rsidR="00743475">
        <w:rPr>
          <w:sz w:val="24"/>
          <w:szCs w:val="24"/>
        </w:rPr>
        <w:t xml:space="preserve">This </w:t>
      </w:r>
      <w:r w:rsidR="008D79E0" w:rsidRPr="543832D4">
        <w:rPr>
          <w:sz w:val="24"/>
          <w:szCs w:val="24"/>
        </w:rPr>
        <w:t>is why</w:t>
      </w:r>
      <w:proofErr w:type="gramEnd"/>
      <w:r w:rsidR="008D79E0" w:rsidRPr="543832D4">
        <w:rPr>
          <w:sz w:val="24"/>
          <w:szCs w:val="24"/>
        </w:rPr>
        <w:t xml:space="preserve"> DFAT</w:t>
      </w:r>
      <w:r w:rsidR="00C5407C">
        <w:rPr>
          <w:sz w:val="24"/>
          <w:szCs w:val="24"/>
        </w:rPr>
        <w:t>, in collaboration with Austrade,</w:t>
      </w:r>
      <w:r w:rsidR="008D79E0" w:rsidRPr="543832D4">
        <w:rPr>
          <w:sz w:val="24"/>
          <w:szCs w:val="24"/>
        </w:rPr>
        <w:t xml:space="preserve"> will be undertaking outreach </w:t>
      </w:r>
      <w:r w:rsidR="00887136" w:rsidRPr="543832D4">
        <w:rPr>
          <w:sz w:val="24"/>
          <w:szCs w:val="24"/>
        </w:rPr>
        <w:t xml:space="preserve">activities with </w:t>
      </w:r>
      <w:r w:rsidR="00743475">
        <w:rPr>
          <w:sz w:val="24"/>
          <w:szCs w:val="24"/>
        </w:rPr>
        <w:t>industry</w:t>
      </w:r>
      <w:r w:rsidR="00C5407C">
        <w:rPr>
          <w:sz w:val="24"/>
          <w:szCs w:val="24"/>
        </w:rPr>
        <w:t xml:space="preserve"> and a range of </w:t>
      </w:r>
      <w:r w:rsidR="00887136" w:rsidRPr="543832D4">
        <w:rPr>
          <w:sz w:val="24"/>
          <w:szCs w:val="24"/>
        </w:rPr>
        <w:t>stakeholders</w:t>
      </w:r>
      <w:r w:rsidR="00C5407C">
        <w:rPr>
          <w:sz w:val="24"/>
          <w:szCs w:val="24"/>
        </w:rPr>
        <w:t>, as outlined in the</w:t>
      </w:r>
      <w:r w:rsidR="00887136" w:rsidRPr="543832D4">
        <w:rPr>
          <w:sz w:val="24"/>
          <w:szCs w:val="24"/>
        </w:rPr>
        <w:t xml:space="preserve"> section</w:t>
      </w:r>
      <w:r w:rsidR="00C5407C">
        <w:rPr>
          <w:sz w:val="24"/>
          <w:szCs w:val="24"/>
        </w:rPr>
        <w:t xml:space="preserve">, below. </w:t>
      </w:r>
      <w:r w:rsidR="00887136" w:rsidRPr="543832D4">
        <w:rPr>
          <w:sz w:val="24"/>
          <w:szCs w:val="24"/>
        </w:rPr>
        <w:t xml:space="preserve"> </w:t>
      </w:r>
    </w:p>
    <w:p w14:paraId="235969F3" w14:textId="77777777" w:rsidR="00C85E71" w:rsidRDefault="00C85E71" w:rsidP="00A5588B">
      <w:pPr>
        <w:spacing w:after="0"/>
        <w:rPr>
          <w:b/>
          <w:bCs/>
          <w:sz w:val="24"/>
          <w:szCs w:val="24"/>
        </w:rPr>
      </w:pPr>
    </w:p>
    <w:p w14:paraId="2D4D74E3" w14:textId="28DB6C55" w:rsidR="007434FA" w:rsidRPr="00D259C1" w:rsidRDefault="007654E7" w:rsidP="00D25DF5">
      <w:pPr>
        <w:pStyle w:val="Heading2"/>
        <w:spacing w:before="0"/>
      </w:pPr>
      <w:bookmarkStart w:id="88" w:name="_Toc99370688"/>
      <w:r>
        <w:t>Engaging with stakeholders</w:t>
      </w:r>
      <w:r w:rsidR="00511F74">
        <w:t xml:space="preserve"> </w:t>
      </w:r>
      <w:r w:rsidR="006951BB">
        <w:t>to p</w:t>
      </w:r>
      <w:r w:rsidR="00443A30">
        <w:t>ro</w:t>
      </w:r>
      <w:r w:rsidR="006951BB">
        <w:t xml:space="preserve">mote the proposed </w:t>
      </w:r>
      <w:r w:rsidR="0075790E">
        <w:t>AI</w:t>
      </w:r>
      <w:r w:rsidR="00217C26">
        <w:t xml:space="preserve"> ECTA</w:t>
      </w:r>
      <w:bookmarkEnd w:id="88"/>
      <w:r w:rsidR="006951BB">
        <w:t xml:space="preserve"> </w:t>
      </w:r>
    </w:p>
    <w:p w14:paraId="62216B1C" w14:textId="77777777" w:rsidR="00C85E71" w:rsidRDefault="00C85E71" w:rsidP="00C85E71">
      <w:pPr>
        <w:pStyle w:val="ListParagraph"/>
        <w:spacing w:after="0"/>
        <w:ind w:left="567"/>
        <w:rPr>
          <w:sz w:val="24"/>
          <w:szCs w:val="24"/>
        </w:rPr>
      </w:pPr>
    </w:p>
    <w:p w14:paraId="7335DC04" w14:textId="65E41837" w:rsidR="007434FA" w:rsidRDefault="006D5572" w:rsidP="00A80396">
      <w:pPr>
        <w:pStyle w:val="ListParagraph"/>
        <w:numPr>
          <w:ilvl w:val="0"/>
          <w:numId w:val="1"/>
        </w:numPr>
        <w:spacing w:after="0"/>
        <w:ind w:left="567" w:hanging="567"/>
        <w:rPr>
          <w:sz w:val="24"/>
          <w:szCs w:val="24"/>
        </w:rPr>
      </w:pPr>
      <w:r w:rsidRPr="543832D4">
        <w:rPr>
          <w:sz w:val="24"/>
          <w:szCs w:val="24"/>
        </w:rPr>
        <w:lastRenderedPageBreak/>
        <w:t xml:space="preserve">Engagement with stakeholders will continue after the conclusion of the proposed </w:t>
      </w:r>
      <w:r w:rsidR="0075790E">
        <w:rPr>
          <w:sz w:val="24"/>
          <w:szCs w:val="24"/>
        </w:rPr>
        <w:t>AI</w:t>
      </w:r>
      <w:r w:rsidR="00217C26">
        <w:rPr>
          <w:sz w:val="24"/>
          <w:szCs w:val="24"/>
        </w:rPr>
        <w:t xml:space="preserve"> ECTA</w:t>
      </w:r>
      <w:r w:rsidRPr="543832D4">
        <w:rPr>
          <w:sz w:val="24"/>
          <w:szCs w:val="24"/>
        </w:rPr>
        <w:t xml:space="preserve"> negotiations to raise awareness of it’s the opportunities it provides and ensure that businesses and consumers are well placed to access the benefits of the agreement. DFAT and Austrade will undertake proactive advocacy to lift awareness and uptake of the proposed </w:t>
      </w:r>
      <w:r w:rsidR="0075790E">
        <w:rPr>
          <w:sz w:val="24"/>
          <w:szCs w:val="24"/>
        </w:rPr>
        <w:t>AI</w:t>
      </w:r>
      <w:r w:rsidR="00217C26">
        <w:rPr>
          <w:sz w:val="24"/>
          <w:szCs w:val="24"/>
        </w:rPr>
        <w:t xml:space="preserve"> ECTA</w:t>
      </w:r>
      <w:r w:rsidRPr="543832D4">
        <w:rPr>
          <w:sz w:val="24"/>
          <w:szCs w:val="24"/>
        </w:rPr>
        <w:t xml:space="preserve"> benefits from Australian business.</w:t>
      </w:r>
    </w:p>
    <w:p w14:paraId="744682A8" w14:textId="77777777" w:rsidR="007434FA" w:rsidRPr="007434FA" w:rsidRDefault="007434FA" w:rsidP="0014704E">
      <w:pPr>
        <w:pStyle w:val="ListParagraph"/>
        <w:spacing w:after="0"/>
        <w:rPr>
          <w:sz w:val="24"/>
          <w:szCs w:val="24"/>
        </w:rPr>
      </w:pPr>
    </w:p>
    <w:p w14:paraId="04864698" w14:textId="615099FC" w:rsidR="006D5572" w:rsidRPr="007434FA" w:rsidRDefault="006D5572" w:rsidP="00A80396">
      <w:pPr>
        <w:pStyle w:val="ListParagraph"/>
        <w:numPr>
          <w:ilvl w:val="0"/>
          <w:numId w:val="1"/>
        </w:numPr>
        <w:spacing w:after="0"/>
        <w:ind w:left="567" w:hanging="567"/>
        <w:rPr>
          <w:sz w:val="24"/>
          <w:szCs w:val="24"/>
        </w:rPr>
      </w:pPr>
      <w:r w:rsidRPr="543832D4">
        <w:rPr>
          <w:sz w:val="24"/>
          <w:szCs w:val="24"/>
        </w:rPr>
        <w:t xml:space="preserve">Following signing of the proposed </w:t>
      </w:r>
      <w:r w:rsidR="0075790E">
        <w:rPr>
          <w:sz w:val="24"/>
          <w:szCs w:val="24"/>
        </w:rPr>
        <w:t>AI</w:t>
      </w:r>
      <w:r w:rsidR="00217C26">
        <w:rPr>
          <w:sz w:val="24"/>
          <w:szCs w:val="24"/>
        </w:rPr>
        <w:t xml:space="preserve"> ECTA</w:t>
      </w:r>
      <w:r w:rsidRPr="543832D4">
        <w:rPr>
          <w:sz w:val="24"/>
          <w:szCs w:val="24"/>
        </w:rPr>
        <w:t xml:space="preserve">, DFAT will ensure its published webpages offer a range of practical resources that will help Australian importers and exporters take advantage of the proposed </w:t>
      </w:r>
      <w:r w:rsidR="0075790E">
        <w:rPr>
          <w:sz w:val="24"/>
          <w:szCs w:val="24"/>
        </w:rPr>
        <w:t>AI</w:t>
      </w:r>
      <w:r w:rsidR="00217C26">
        <w:rPr>
          <w:sz w:val="24"/>
          <w:szCs w:val="24"/>
        </w:rPr>
        <w:t xml:space="preserve"> ECTA</w:t>
      </w:r>
      <w:r w:rsidRPr="543832D4">
        <w:rPr>
          <w:sz w:val="24"/>
          <w:szCs w:val="24"/>
        </w:rPr>
        <w:t>. These will include:</w:t>
      </w:r>
    </w:p>
    <w:p w14:paraId="2E4EF3A3" w14:textId="77777777" w:rsidR="006D5572" w:rsidRDefault="006D5572" w:rsidP="0014704E">
      <w:pPr>
        <w:pStyle w:val="ListParagraph"/>
        <w:spacing w:after="0"/>
        <w:ind w:left="1080"/>
        <w:rPr>
          <w:sz w:val="24"/>
          <w:szCs w:val="24"/>
        </w:rPr>
      </w:pPr>
    </w:p>
    <w:p w14:paraId="25E57375" w14:textId="6C304650" w:rsidR="006D5572" w:rsidRDefault="006D5572" w:rsidP="00A80396">
      <w:pPr>
        <w:pStyle w:val="ListParagraph"/>
        <w:numPr>
          <w:ilvl w:val="0"/>
          <w:numId w:val="17"/>
        </w:numPr>
        <w:spacing w:after="0"/>
        <w:rPr>
          <w:sz w:val="24"/>
          <w:szCs w:val="24"/>
        </w:rPr>
      </w:pPr>
      <w:r w:rsidRPr="00766037">
        <w:rPr>
          <w:sz w:val="24"/>
          <w:szCs w:val="24"/>
        </w:rPr>
        <w:t xml:space="preserve">the full text of the proposed </w:t>
      </w:r>
      <w:r w:rsidR="0075790E">
        <w:rPr>
          <w:sz w:val="24"/>
          <w:szCs w:val="24"/>
        </w:rPr>
        <w:t>AI</w:t>
      </w:r>
      <w:r w:rsidR="00217C26">
        <w:rPr>
          <w:sz w:val="24"/>
          <w:szCs w:val="24"/>
        </w:rPr>
        <w:t xml:space="preserve"> ECTA</w:t>
      </w:r>
      <w:r w:rsidRPr="00766037">
        <w:rPr>
          <w:sz w:val="24"/>
          <w:szCs w:val="24"/>
        </w:rPr>
        <w:t>, plus side letters/initiatives and tariff schedules</w:t>
      </w:r>
      <w:r w:rsidR="00F04F2F" w:rsidRPr="00766037">
        <w:rPr>
          <w:sz w:val="24"/>
          <w:szCs w:val="24"/>
        </w:rPr>
        <w:t>,</w:t>
      </w:r>
    </w:p>
    <w:p w14:paraId="67BE94AE" w14:textId="13066F3D" w:rsidR="006D5572" w:rsidRDefault="006D5572" w:rsidP="00A80396">
      <w:pPr>
        <w:pStyle w:val="ListParagraph"/>
        <w:numPr>
          <w:ilvl w:val="0"/>
          <w:numId w:val="17"/>
        </w:numPr>
        <w:spacing w:after="0"/>
        <w:rPr>
          <w:sz w:val="24"/>
          <w:szCs w:val="24"/>
        </w:rPr>
      </w:pPr>
      <w:r w:rsidRPr="00766037">
        <w:rPr>
          <w:sz w:val="24"/>
          <w:szCs w:val="24"/>
        </w:rPr>
        <w:t xml:space="preserve">outcomes documents, background documents and </w:t>
      </w:r>
      <w:r w:rsidR="00227B77">
        <w:rPr>
          <w:sz w:val="24"/>
          <w:szCs w:val="24"/>
        </w:rPr>
        <w:t>C</w:t>
      </w:r>
      <w:r w:rsidRPr="00766037">
        <w:rPr>
          <w:sz w:val="24"/>
          <w:szCs w:val="24"/>
        </w:rPr>
        <w:t xml:space="preserve">hapter summaries that provide plain-English descriptions relating to elements of the proposed </w:t>
      </w:r>
      <w:r w:rsidR="0075790E">
        <w:rPr>
          <w:sz w:val="24"/>
          <w:szCs w:val="24"/>
        </w:rPr>
        <w:t>AI</w:t>
      </w:r>
      <w:r w:rsidR="00217C26">
        <w:rPr>
          <w:sz w:val="24"/>
          <w:szCs w:val="24"/>
        </w:rPr>
        <w:t xml:space="preserve"> ECTA</w:t>
      </w:r>
      <w:r w:rsidR="00F04F2F" w:rsidRPr="00766037">
        <w:rPr>
          <w:sz w:val="24"/>
          <w:szCs w:val="24"/>
        </w:rPr>
        <w:t>,</w:t>
      </w:r>
      <w:r w:rsidR="00E82459" w:rsidRPr="00766037">
        <w:rPr>
          <w:sz w:val="24"/>
          <w:szCs w:val="24"/>
        </w:rPr>
        <w:t xml:space="preserve"> and</w:t>
      </w:r>
    </w:p>
    <w:p w14:paraId="54A001E0" w14:textId="78E63A84" w:rsidR="006D5572" w:rsidRPr="00766037" w:rsidRDefault="006D5572" w:rsidP="00A80396">
      <w:pPr>
        <w:pStyle w:val="ListParagraph"/>
        <w:numPr>
          <w:ilvl w:val="0"/>
          <w:numId w:val="17"/>
        </w:numPr>
        <w:spacing w:after="0"/>
        <w:rPr>
          <w:sz w:val="24"/>
          <w:szCs w:val="24"/>
        </w:rPr>
      </w:pPr>
      <w:r w:rsidRPr="00766037">
        <w:rPr>
          <w:sz w:val="24"/>
          <w:szCs w:val="24"/>
        </w:rPr>
        <w:t xml:space="preserve">a news section that provides updates on developments relating to the proposed </w:t>
      </w:r>
      <w:r w:rsidR="0075790E">
        <w:rPr>
          <w:sz w:val="24"/>
          <w:szCs w:val="24"/>
        </w:rPr>
        <w:t>AI</w:t>
      </w:r>
      <w:r w:rsidR="00217C26">
        <w:rPr>
          <w:sz w:val="24"/>
          <w:szCs w:val="24"/>
        </w:rPr>
        <w:t xml:space="preserve"> ECTA</w:t>
      </w:r>
      <w:r w:rsidRPr="00766037">
        <w:rPr>
          <w:sz w:val="24"/>
          <w:szCs w:val="24"/>
        </w:rPr>
        <w:t xml:space="preserve"> and frequently asked questions.</w:t>
      </w:r>
    </w:p>
    <w:p w14:paraId="1974CBF7" w14:textId="77777777" w:rsidR="006D5572" w:rsidRDefault="006D5572" w:rsidP="0014704E">
      <w:pPr>
        <w:pStyle w:val="ListParagraph"/>
        <w:spacing w:after="0"/>
        <w:ind w:left="1080"/>
        <w:rPr>
          <w:sz w:val="24"/>
          <w:szCs w:val="24"/>
        </w:rPr>
      </w:pPr>
    </w:p>
    <w:p w14:paraId="2FB0FB33" w14:textId="335FE579" w:rsidR="007434FA" w:rsidRPr="007434FA" w:rsidRDefault="007434FA" w:rsidP="00A80396">
      <w:pPr>
        <w:pStyle w:val="ListParagraph"/>
        <w:numPr>
          <w:ilvl w:val="0"/>
          <w:numId w:val="1"/>
        </w:numPr>
        <w:spacing w:after="0"/>
        <w:ind w:left="567" w:hanging="567"/>
      </w:pPr>
      <w:r w:rsidRPr="543832D4">
        <w:rPr>
          <w:sz w:val="24"/>
          <w:szCs w:val="24"/>
        </w:rPr>
        <w:t>DFAT will also publish</w:t>
      </w:r>
      <w:r w:rsidR="006D5572" w:rsidRPr="543832D4">
        <w:rPr>
          <w:sz w:val="24"/>
          <w:szCs w:val="24"/>
        </w:rPr>
        <w:t xml:space="preserve"> additional resources for importers and exporters which will include a guide for business wanting to use the proposed </w:t>
      </w:r>
      <w:r w:rsidR="0075790E">
        <w:rPr>
          <w:sz w:val="24"/>
          <w:szCs w:val="24"/>
        </w:rPr>
        <w:t>AI</w:t>
      </w:r>
      <w:r w:rsidR="00217C26">
        <w:rPr>
          <w:sz w:val="24"/>
          <w:szCs w:val="24"/>
        </w:rPr>
        <w:t xml:space="preserve"> ECTA</w:t>
      </w:r>
      <w:r w:rsidR="00B24381" w:rsidRPr="543832D4">
        <w:rPr>
          <w:sz w:val="24"/>
          <w:szCs w:val="24"/>
        </w:rPr>
        <w:t xml:space="preserve"> </w:t>
      </w:r>
      <w:r w:rsidR="006D5572" w:rsidRPr="543832D4">
        <w:rPr>
          <w:sz w:val="24"/>
          <w:szCs w:val="24"/>
        </w:rPr>
        <w:t>to export and import goods, including information about complying with origin documentation requirements.</w:t>
      </w:r>
    </w:p>
    <w:p w14:paraId="5BE3C810" w14:textId="77777777" w:rsidR="007434FA" w:rsidRPr="007434FA" w:rsidRDefault="007434FA" w:rsidP="0014704E">
      <w:pPr>
        <w:pStyle w:val="ListParagraph"/>
        <w:spacing w:after="0"/>
        <w:ind w:left="567"/>
      </w:pPr>
    </w:p>
    <w:p w14:paraId="20D0E5AE" w14:textId="3703E0C8" w:rsidR="007434FA" w:rsidRPr="007654E7" w:rsidRDefault="006D5572" w:rsidP="00A80396">
      <w:pPr>
        <w:pStyle w:val="ListParagraph"/>
        <w:numPr>
          <w:ilvl w:val="0"/>
          <w:numId w:val="1"/>
        </w:numPr>
        <w:spacing w:after="0"/>
        <w:ind w:left="567" w:hanging="567"/>
      </w:pPr>
      <w:r w:rsidRPr="543832D4">
        <w:rPr>
          <w:sz w:val="24"/>
          <w:szCs w:val="24"/>
        </w:rPr>
        <w:t xml:space="preserve">DFAT’s social media accounts (such as Twitter, Facebook and the DFAT blog) will be platforms for promoting increased understanding and utilisation of the proposed </w:t>
      </w:r>
      <w:r w:rsidR="0075790E">
        <w:rPr>
          <w:sz w:val="24"/>
          <w:szCs w:val="24"/>
        </w:rPr>
        <w:t>AI</w:t>
      </w:r>
      <w:r w:rsidR="00217C26">
        <w:rPr>
          <w:sz w:val="24"/>
          <w:szCs w:val="24"/>
        </w:rPr>
        <w:t xml:space="preserve"> ECTA</w:t>
      </w:r>
      <w:r w:rsidRPr="543832D4">
        <w:rPr>
          <w:sz w:val="24"/>
          <w:szCs w:val="24"/>
        </w:rPr>
        <w:t xml:space="preserve">. Once the proposed </w:t>
      </w:r>
      <w:r w:rsidR="006E5E78">
        <w:rPr>
          <w:sz w:val="24"/>
          <w:szCs w:val="24"/>
        </w:rPr>
        <w:t>AI ECTA</w:t>
      </w:r>
      <w:r w:rsidRPr="543832D4">
        <w:rPr>
          <w:sz w:val="24"/>
          <w:szCs w:val="24"/>
        </w:rPr>
        <w:t xml:space="preserve"> has entered into force, DFAT will use social media posts to draw tariff outcomes and other benefits of the proposed </w:t>
      </w:r>
      <w:r w:rsidR="0075790E">
        <w:rPr>
          <w:sz w:val="24"/>
          <w:szCs w:val="24"/>
        </w:rPr>
        <w:t>AI</w:t>
      </w:r>
      <w:r w:rsidR="00217C26">
        <w:rPr>
          <w:sz w:val="24"/>
          <w:szCs w:val="24"/>
        </w:rPr>
        <w:t xml:space="preserve"> ECTA</w:t>
      </w:r>
      <w:r w:rsidRPr="543832D4">
        <w:rPr>
          <w:sz w:val="24"/>
          <w:szCs w:val="24"/>
        </w:rPr>
        <w:t xml:space="preserve"> to the attention of the wider public.</w:t>
      </w:r>
      <w:r>
        <w:tab/>
      </w:r>
      <w:bookmarkStart w:id="89" w:name="_Hlk83304491"/>
    </w:p>
    <w:p w14:paraId="293BA5DF" w14:textId="77777777" w:rsidR="007654E7" w:rsidRDefault="007654E7" w:rsidP="0014704E">
      <w:pPr>
        <w:pStyle w:val="ListParagraph"/>
        <w:spacing w:after="0"/>
      </w:pPr>
    </w:p>
    <w:p w14:paraId="09080062" w14:textId="2AD335FB" w:rsidR="007434FA" w:rsidRPr="008B4FA1" w:rsidRDefault="007654E7" w:rsidP="0001716D">
      <w:pPr>
        <w:pStyle w:val="Heading2"/>
        <w:spacing w:before="0"/>
      </w:pPr>
      <w:bookmarkStart w:id="90" w:name="_Toc99370689"/>
      <w:r w:rsidRPr="008B4FA1">
        <w:t xml:space="preserve">Evaluating the proposed </w:t>
      </w:r>
      <w:r w:rsidR="0075790E">
        <w:t>AI</w:t>
      </w:r>
      <w:r w:rsidR="00217C26">
        <w:t xml:space="preserve"> ECTA</w:t>
      </w:r>
      <w:bookmarkEnd w:id="90"/>
      <w:r w:rsidRPr="008B4FA1">
        <w:t xml:space="preserve"> </w:t>
      </w:r>
    </w:p>
    <w:p w14:paraId="07E9053F" w14:textId="77777777" w:rsidR="00C85E71" w:rsidRDefault="00C85E71">
      <w:pPr>
        <w:pStyle w:val="ListParagraph"/>
        <w:spacing w:after="0"/>
        <w:ind w:left="567"/>
        <w:rPr>
          <w:sz w:val="24"/>
          <w:szCs w:val="24"/>
        </w:rPr>
      </w:pPr>
    </w:p>
    <w:p w14:paraId="0717BB96" w14:textId="613A21B1" w:rsidR="00646867" w:rsidRDefault="00162121">
      <w:pPr>
        <w:pStyle w:val="ListParagraph"/>
        <w:numPr>
          <w:ilvl w:val="0"/>
          <w:numId w:val="1"/>
        </w:numPr>
        <w:spacing w:after="0"/>
        <w:ind w:left="567" w:hanging="567"/>
        <w:rPr>
          <w:sz w:val="24"/>
          <w:szCs w:val="24"/>
        </w:rPr>
      </w:pPr>
      <w:r w:rsidRPr="543832D4">
        <w:rPr>
          <w:sz w:val="24"/>
          <w:szCs w:val="24"/>
        </w:rPr>
        <w:t>Australia’s FTAs are not static. They are implemented over time and are subject to regular review to maximise the benefits they deliver.</w:t>
      </w:r>
    </w:p>
    <w:p w14:paraId="0E2B7A97" w14:textId="77777777" w:rsidR="000D36C5" w:rsidRDefault="000D36C5" w:rsidP="0001716D">
      <w:pPr>
        <w:pStyle w:val="ListParagraph"/>
        <w:spacing w:after="0"/>
        <w:ind w:left="567"/>
        <w:rPr>
          <w:sz w:val="24"/>
          <w:szCs w:val="24"/>
        </w:rPr>
      </w:pPr>
    </w:p>
    <w:p w14:paraId="09356A42" w14:textId="03CAADC3" w:rsidR="000D36C5" w:rsidRDefault="000D36C5">
      <w:pPr>
        <w:pStyle w:val="ListParagraph"/>
        <w:numPr>
          <w:ilvl w:val="0"/>
          <w:numId w:val="1"/>
        </w:numPr>
        <w:spacing w:after="0"/>
        <w:ind w:left="567" w:hanging="567"/>
        <w:rPr>
          <w:sz w:val="24"/>
          <w:szCs w:val="24"/>
        </w:rPr>
      </w:pPr>
      <w:r w:rsidRPr="000D36C5">
        <w:rPr>
          <w:sz w:val="24"/>
          <w:szCs w:val="24"/>
        </w:rPr>
        <w:t xml:space="preserve">Australia and India, through the Joint Committee, will undertake a general review of the proposed </w:t>
      </w:r>
      <w:r w:rsidR="0075790E">
        <w:rPr>
          <w:sz w:val="24"/>
          <w:szCs w:val="24"/>
        </w:rPr>
        <w:t>AI</w:t>
      </w:r>
      <w:r w:rsidR="00217C26">
        <w:rPr>
          <w:sz w:val="24"/>
          <w:szCs w:val="24"/>
        </w:rPr>
        <w:t xml:space="preserve"> ECTA</w:t>
      </w:r>
      <w:r w:rsidRPr="000D36C5">
        <w:rPr>
          <w:sz w:val="24"/>
          <w:szCs w:val="24"/>
        </w:rPr>
        <w:t xml:space="preserve"> at ministerial level within one year following the entry into force of the interim agreement. </w:t>
      </w:r>
      <w:proofErr w:type="gramStart"/>
      <w:r w:rsidRPr="000D36C5">
        <w:rPr>
          <w:sz w:val="24"/>
          <w:szCs w:val="24"/>
        </w:rPr>
        <w:t>Following the initial review, it</w:t>
      </w:r>
      <w:proofErr w:type="gramEnd"/>
      <w:r w:rsidRPr="000D36C5">
        <w:rPr>
          <w:sz w:val="24"/>
          <w:szCs w:val="24"/>
        </w:rPr>
        <w:t xml:space="preserve"> is anticipated that the Joint Committee will then undertake a general review every two years, or at such times as agreed between Australia and India.</w:t>
      </w:r>
    </w:p>
    <w:p w14:paraId="1B844D67" w14:textId="6EE94C0F" w:rsidR="00A44761" w:rsidRDefault="00162121">
      <w:pPr>
        <w:pStyle w:val="ListParagraph"/>
        <w:spacing w:after="0"/>
        <w:ind w:left="567"/>
        <w:rPr>
          <w:sz w:val="24"/>
          <w:szCs w:val="24"/>
        </w:rPr>
      </w:pPr>
      <w:r w:rsidRPr="008B4FA1">
        <w:rPr>
          <w:sz w:val="24"/>
          <w:szCs w:val="24"/>
        </w:rPr>
        <w:t xml:space="preserve"> </w:t>
      </w:r>
    </w:p>
    <w:p w14:paraId="5373B7B0" w14:textId="1178C193" w:rsidR="00490FC6" w:rsidRDefault="00646867">
      <w:pPr>
        <w:pStyle w:val="ListParagraph"/>
        <w:numPr>
          <w:ilvl w:val="0"/>
          <w:numId w:val="1"/>
        </w:numPr>
        <w:spacing w:after="0"/>
        <w:ind w:left="567" w:hanging="567"/>
        <w:rPr>
          <w:sz w:val="24"/>
          <w:szCs w:val="24"/>
        </w:rPr>
      </w:pPr>
      <w:r w:rsidRPr="543832D4">
        <w:rPr>
          <w:sz w:val="24"/>
          <w:szCs w:val="24"/>
        </w:rPr>
        <w:t xml:space="preserve">As this proposed </w:t>
      </w:r>
      <w:r w:rsidR="0075790E">
        <w:rPr>
          <w:sz w:val="24"/>
          <w:szCs w:val="24"/>
        </w:rPr>
        <w:t>AI</w:t>
      </w:r>
      <w:r w:rsidR="00217C26">
        <w:rPr>
          <w:sz w:val="24"/>
          <w:szCs w:val="24"/>
        </w:rPr>
        <w:t xml:space="preserve"> ECTA</w:t>
      </w:r>
      <w:r w:rsidRPr="543832D4">
        <w:rPr>
          <w:sz w:val="24"/>
          <w:szCs w:val="24"/>
        </w:rPr>
        <w:t xml:space="preserve"> is an ‘early harvest’ agreement, the interim agreement will include a mechanism to support transition to a full CECA</w:t>
      </w:r>
      <w:r w:rsidR="0054218D" w:rsidRPr="543832D4">
        <w:rPr>
          <w:sz w:val="24"/>
          <w:szCs w:val="24"/>
        </w:rPr>
        <w:t xml:space="preserve">, which will be supported by the Implementation and Negotiation Subcommittee. </w:t>
      </w:r>
      <w:bookmarkStart w:id="91" w:name="_Toc88748512"/>
      <w:bookmarkEnd w:id="78"/>
      <w:bookmarkEnd w:id="89"/>
    </w:p>
    <w:p w14:paraId="195AC5CA" w14:textId="77777777" w:rsidR="00490FC6" w:rsidRPr="00D25DF5" w:rsidRDefault="00490FC6" w:rsidP="0001716D">
      <w:pPr>
        <w:pStyle w:val="ListParagraph"/>
        <w:spacing w:after="0"/>
        <w:rPr>
          <w:sz w:val="24"/>
          <w:szCs w:val="24"/>
          <w:u w:val="single"/>
        </w:rPr>
      </w:pPr>
    </w:p>
    <w:p w14:paraId="51D91E90" w14:textId="60A6CC90" w:rsidR="002A7A5E" w:rsidRPr="000B473D" w:rsidRDefault="00BA038A">
      <w:pPr>
        <w:pStyle w:val="ListParagraph"/>
        <w:numPr>
          <w:ilvl w:val="0"/>
          <w:numId w:val="1"/>
        </w:numPr>
        <w:spacing w:after="0"/>
        <w:ind w:left="567" w:hanging="567"/>
        <w:rPr>
          <w:sz w:val="28"/>
          <w:szCs w:val="28"/>
        </w:rPr>
      </w:pPr>
      <w:r w:rsidRPr="000B473D">
        <w:rPr>
          <w:sz w:val="24"/>
          <w:szCs w:val="24"/>
        </w:rPr>
        <w:t xml:space="preserve">It is anticipated that a Post Implementation Review (PIR) will be undertaken of a full CECA, which will also include a review of the proposed </w:t>
      </w:r>
      <w:r w:rsidR="0075790E" w:rsidRPr="000B473D">
        <w:rPr>
          <w:sz w:val="24"/>
          <w:szCs w:val="24"/>
        </w:rPr>
        <w:t>AI</w:t>
      </w:r>
      <w:r w:rsidR="00217C26" w:rsidRPr="000B473D">
        <w:rPr>
          <w:sz w:val="24"/>
          <w:szCs w:val="24"/>
        </w:rPr>
        <w:t xml:space="preserve"> ECTA</w:t>
      </w:r>
      <w:r w:rsidRPr="000B473D">
        <w:rPr>
          <w:sz w:val="24"/>
          <w:szCs w:val="24"/>
        </w:rPr>
        <w:t xml:space="preserve">. This is on the basis that a full CECA will build on the interim agreement and the PIR will be an opportunity to consider the </w:t>
      </w:r>
      <w:r w:rsidRPr="000B473D">
        <w:rPr>
          <w:sz w:val="24"/>
          <w:szCs w:val="24"/>
        </w:rPr>
        <w:lastRenderedPageBreak/>
        <w:t>effectiveness of CECA</w:t>
      </w:r>
      <w:proofErr w:type="gramStart"/>
      <w:r w:rsidRPr="000B473D">
        <w:rPr>
          <w:sz w:val="24"/>
          <w:szCs w:val="24"/>
        </w:rPr>
        <w:t>, as a whole, including</w:t>
      </w:r>
      <w:proofErr w:type="gramEnd"/>
      <w:r w:rsidRPr="000B473D">
        <w:rPr>
          <w:sz w:val="24"/>
          <w:szCs w:val="24"/>
        </w:rPr>
        <w:t xml:space="preserve"> the impacts the interim agreement and a full CECA </w:t>
      </w:r>
      <w:r w:rsidR="0044333D" w:rsidRPr="000B473D">
        <w:rPr>
          <w:sz w:val="24"/>
          <w:szCs w:val="24"/>
        </w:rPr>
        <w:t xml:space="preserve">has had on businesses </w:t>
      </w:r>
      <w:r w:rsidR="00B77C16" w:rsidRPr="000B473D">
        <w:rPr>
          <w:sz w:val="24"/>
          <w:szCs w:val="24"/>
        </w:rPr>
        <w:t>or other groups in the community.</w:t>
      </w:r>
      <w:r w:rsidR="0044333D" w:rsidRPr="000B473D">
        <w:rPr>
          <w:sz w:val="24"/>
          <w:szCs w:val="24"/>
        </w:rPr>
        <w:t xml:space="preserve"> </w:t>
      </w:r>
    </w:p>
    <w:p w14:paraId="3817363D" w14:textId="77777777" w:rsidR="002A7A5E" w:rsidRPr="00D25DF5" w:rsidRDefault="002A7A5E">
      <w:pPr>
        <w:spacing w:after="0"/>
        <w:rPr>
          <w:sz w:val="24"/>
          <w:szCs w:val="24"/>
        </w:rPr>
      </w:pPr>
    </w:p>
    <w:p w14:paraId="4516DC76" w14:textId="793B1E55" w:rsidR="002A7A5E" w:rsidRPr="008B4FA1" w:rsidRDefault="002A7A5E">
      <w:pPr>
        <w:pStyle w:val="Heading2"/>
        <w:spacing w:before="0"/>
      </w:pPr>
      <w:bookmarkStart w:id="92" w:name="_Toc99370690"/>
      <w:r>
        <w:t>Potential metrics for success</w:t>
      </w:r>
      <w:bookmarkEnd w:id="92"/>
      <w:r>
        <w:t xml:space="preserve"> </w:t>
      </w:r>
    </w:p>
    <w:p w14:paraId="19146426" w14:textId="77777777" w:rsidR="002A7A5E" w:rsidRDefault="002A7A5E">
      <w:pPr>
        <w:pStyle w:val="ListParagraph"/>
        <w:spacing w:after="0"/>
        <w:ind w:left="567"/>
        <w:rPr>
          <w:sz w:val="24"/>
          <w:szCs w:val="24"/>
        </w:rPr>
      </w:pPr>
    </w:p>
    <w:p w14:paraId="3D484145" w14:textId="7A0297EF" w:rsidR="00270F8D" w:rsidRPr="00270F8D" w:rsidRDefault="00270F8D" w:rsidP="0001716D">
      <w:pPr>
        <w:pStyle w:val="ListParagraph"/>
        <w:numPr>
          <w:ilvl w:val="0"/>
          <w:numId w:val="1"/>
        </w:numPr>
        <w:spacing w:after="0"/>
        <w:ind w:left="567" w:hanging="567"/>
        <w:rPr>
          <w:sz w:val="24"/>
          <w:szCs w:val="24"/>
        </w:rPr>
      </w:pPr>
      <w:r w:rsidRPr="00270F8D">
        <w:rPr>
          <w:sz w:val="24"/>
          <w:szCs w:val="24"/>
        </w:rPr>
        <w:t xml:space="preserve">As part of the general review referred to in </w:t>
      </w:r>
      <w:r w:rsidR="00AD7265">
        <w:rPr>
          <w:sz w:val="24"/>
          <w:szCs w:val="24"/>
        </w:rPr>
        <w:t xml:space="preserve">the section above on </w:t>
      </w:r>
      <w:r w:rsidR="00071F17">
        <w:rPr>
          <w:sz w:val="24"/>
          <w:szCs w:val="24"/>
        </w:rPr>
        <w:t>‘</w:t>
      </w:r>
      <w:r w:rsidR="00AD7265">
        <w:rPr>
          <w:sz w:val="24"/>
          <w:szCs w:val="24"/>
        </w:rPr>
        <w:t xml:space="preserve">Evaluating the proposed </w:t>
      </w:r>
      <w:r w:rsidR="0075790E">
        <w:rPr>
          <w:sz w:val="24"/>
          <w:szCs w:val="24"/>
        </w:rPr>
        <w:t>AI</w:t>
      </w:r>
      <w:r w:rsidR="00217C26">
        <w:rPr>
          <w:sz w:val="24"/>
          <w:szCs w:val="24"/>
        </w:rPr>
        <w:t xml:space="preserve"> ECTA</w:t>
      </w:r>
      <w:r w:rsidR="00071F17">
        <w:rPr>
          <w:sz w:val="24"/>
          <w:szCs w:val="24"/>
        </w:rPr>
        <w:t>’</w:t>
      </w:r>
      <w:r w:rsidRPr="00270F8D">
        <w:rPr>
          <w:sz w:val="24"/>
          <w:szCs w:val="24"/>
        </w:rPr>
        <w:t xml:space="preserve">, potential metrics for success, includes the extent to which:  </w:t>
      </w:r>
    </w:p>
    <w:p w14:paraId="17FCB615" w14:textId="77777777" w:rsidR="00270F8D" w:rsidRPr="00270F8D" w:rsidRDefault="00270F8D">
      <w:pPr>
        <w:spacing w:after="0"/>
        <w:rPr>
          <w:sz w:val="24"/>
          <w:szCs w:val="24"/>
        </w:rPr>
      </w:pPr>
    </w:p>
    <w:p w14:paraId="54E1F814" w14:textId="1A86EC88" w:rsidR="00270F8D" w:rsidRPr="0001716D" w:rsidRDefault="00270F8D" w:rsidP="0001716D">
      <w:pPr>
        <w:pStyle w:val="ListParagraph"/>
        <w:numPr>
          <w:ilvl w:val="0"/>
          <w:numId w:val="22"/>
        </w:numPr>
        <w:spacing w:after="0"/>
        <w:rPr>
          <w:sz w:val="24"/>
          <w:szCs w:val="24"/>
        </w:rPr>
      </w:pPr>
      <w:r w:rsidRPr="0001716D">
        <w:rPr>
          <w:sz w:val="24"/>
          <w:szCs w:val="24"/>
        </w:rPr>
        <w:t xml:space="preserve">the proposed </w:t>
      </w:r>
      <w:r w:rsidR="0075790E">
        <w:rPr>
          <w:sz w:val="24"/>
          <w:szCs w:val="24"/>
        </w:rPr>
        <w:t>AI</w:t>
      </w:r>
      <w:r w:rsidR="00217C26">
        <w:rPr>
          <w:sz w:val="24"/>
          <w:szCs w:val="24"/>
        </w:rPr>
        <w:t xml:space="preserve"> ECTA</w:t>
      </w:r>
      <w:r w:rsidRPr="0001716D">
        <w:rPr>
          <w:sz w:val="24"/>
          <w:szCs w:val="24"/>
        </w:rPr>
        <w:t xml:space="preserve"> has facilitated </w:t>
      </w:r>
      <w:r w:rsidR="009A3662">
        <w:rPr>
          <w:sz w:val="24"/>
          <w:szCs w:val="24"/>
        </w:rPr>
        <w:t>bilateral trade</w:t>
      </w:r>
      <w:r w:rsidRPr="0001716D">
        <w:rPr>
          <w:sz w:val="24"/>
          <w:szCs w:val="24"/>
        </w:rPr>
        <w:t xml:space="preserve"> for goods and services, </w:t>
      </w:r>
    </w:p>
    <w:p w14:paraId="7BF6F6CC" w14:textId="77777777" w:rsidR="00270F8D" w:rsidRPr="00270F8D" w:rsidRDefault="00270F8D">
      <w:pPr>
        <w:spacing w:after="0"/>
        <w:rPr>
          <w:sz w:val="24"/>
          <w:szCs w:val="24"/>
        </w:rPr>
      </w:pPr>
    </w:p>
    <w:p w14:paraId="4C66E0A7" w14:textId="452CCB6A" w:rsidR="00270F8D" w:rsidRPr="00270F8D" w:rsidRDefault="00270F8D" w:rsidP="0001716D">
      <w:pPr>
        <w:pStyle w:val="ListParagraph"/>
        <w:numPr>
          <w:ilvl w:val="0"/>
          <w:numId w:val="22"/>
        </w:numPr>
        <w:spacing w:after="0"/>
        <w:rPr>
          <w:sz w:val="24"/>
          <w:szCs w:val="24"/>
        </w:rPr>
      </w:pPr>
      <w:r w:rsidRPr="00270F8D">
        <w:rPr>
          <w:sz w:val="24"/>
          <w:szCs w:val="24"/>
        </w:rPr>
        <w:t xml:space="preserve">balanced outcomes are being achieved, </w:t>
      </w:r>
      <w:proofErr w:type="gramStart"/>
      <w:r w:rsidRPr="00270F8D">
        <w:rPr>
          <w:sz w:val="24"/>
          <w:szCs w:val="24"/>
        </w:rPr>
        <w:t>as a result of</w:t>
      </w:r>
      <w:proofErr w:type="gramEnd"/>
      <w:r w:rsidRPr="00270F8D">
        <w:rPr>
          <w:sz w:val="24"/>
          <w:szCs w:val="24"/>
        </w:rPr>
        <w:t xml:space="preserve"> the implementation and operation of the proposed </w:t>
      </w:r>
      <w:r w:rsidR="0075790E">
        <w:rPr>
          <w:sz w:val="24"/>
          <w:szCs w:val="24"/>
        </w:rPr>
        <w:t>AI</w:t>
      </w:r>
      <w:r w:rsidR="00217C26">
        <w:rPr>
          <w:sz w:val="24"/>
          <w:szCs w:val="24"/>
        </w:rPr>
        <w:t xml:space="preserve"> ECTA</w:t>
      </w:r>
      <w:r w:rsidRPr="00270F8D">
        <w:rPr>
          <w:sz w:val="24"/>
          <w:szCs w:val="24"/>
        </w:rPr>
        <w:t xml:space="preserve">, </w:t>
      </w:r>
    </w:p>
    <w:p w14:paraId="21C539EA" w14:textId="77777777" w:rsidR="00270F8D" w:rsidRPr="00270F8D" w:rsidRDefault="00270F8D">
      <w:pPr>
        <w:spacing w:after="0"/>
        <w:rPr>
          <w:sz w:val="24"/>
          <w:szCs w:val="24"/>
        </w:rPr>
      </w:pPr>
    </w:p>
    <w:p w14:paraId="264B9848" w14:textId="62846936" w:rsidR="00270F8D" w:rsidRPr="00270F8D" w:rsidRDefault="00270F8D" w:rsidP="0001716D">
      <w:pPr>
        <w:pStyle w:val="ListParagraph"/>
        <w:numPr>
          <w:ilvl w:val="0"/>
          <w:numId w:val="22"/>
        </w:numPr>
        <w:spacing w:after="0"/>
        <w:rPr>
          <w:sz w:val="24"/>
          <w:szCs w:val="24"/>
        </w:rPr>
      </w:pPr>
      <w:r w:rsidRPr="00270F8D">
        <w:rPr>
          <w:sz w:val="24"/>
          <w:szCs w:val="24"/>
        </w:rPr>
        <w:t xml:space="preserve">the disciplines contained in the proposed </w:t>
      </w:r>
      <w:r w:rsidR="0075790E">
        <w:rPr>
          <w:sz w:val="24"/>
          <w:szCs w:val="24"/>
        </w:rPr>
        <w:t>AI</w:t>
      </w:r>
      <w:r w:rsidR="00217C26">
        <w:rPr>
          <w:sz w:val="24"/>
          <w:szCs w:val="24"/>
        </w:rPr>
        <w:t xml:space="preserve"> ECTA</w:t>
      </w:r>
      <w:r w:rsidRPr="00270F8D">
        <w:rPr>
          <w:sz w:val="24"/>
          <w:szCs w:val="24"/>
        </w:rPr>
        <w:t xml:space="preserve"> remain relevant to the trade issues and challenges between Australia and India, </w:t>
      </w:r>
    </w:p>
    <w:p w14:paraId="3D1DC691" w14:textId="77777777" w:rsidR="00270F8D" w:rsidRPr="00270F8D" w:rsidRDefault="00270F8D">
      <w:pPr>
        <w:spacing w:after="0"/>
        <w:rPr>
          <w:sz w:val="24"/>
          <w:szCs w:val="24"/>
        </w:rPr>
      </w:pPr>
    </w:p>
    <w:p w14:paraId="473B3D99" w14:textId="3EC8324E" w:rsidR="002442A1" w:rsidRPr="0001716D" w:rsidRDefault="00270F8D" w:rsidP="0001716D">
      <w:pPr>
        <w:pStyle w:val="ListParagraph"/>
        <w:numPr>
          <w:ilvl w:val="0"/>
          <w:numId w:val="22"/>
        </w:numPr>
        <w:spacing w:after="0"/>
        <w:rPr>
          <w:sz w:val="24"/>
          <w:szCs w:val="24"/>
        </w:rPr>
      </w:pPr>
      <w:r w:rsidRPr="00270F8D">
        <w:rPr>
          <w:sz w:val="24"/>
          <w:szCs w:val="24"/>
        </w:rPr>
        <w:t>the relevant committees, subsidiary bodies or working groups are working effectively.</w:t>
      </w:r>
    </w:p>
    <w:p w14:paraId="7F75DE4A" w14:textId="77777777" w:rsidR="00630736" w:rsidRDefault="00630736" w:rsidP="0001716D">
      <w:pPr>
        <w:pStyle w:val="ListParagraph"/>
        <w:spacing w:after="0"/>
        <w:ind w:left="567"/>
        <w:rPr>
          <w:sz w:val="24"/>
          <w:szCs w:val="24"/>
        </w:rPr>
      </w:pPr>
    </w:p>
    <w:p w14:paraId="3562B2C6" w14:textId="0CC5364E" w:rsidR="0092365F" w:rsidRDefault="00DA268D">
      <w:pPr>
        <w:pStyle w:val="ListParagraph"/>
        <w:numPr>
          <w:ilvl w:val="0"/>
          <w:numId w:val="1"/>
        </w:numPr>
        <w:spacing w:after="0"/>
        <w:ind w:left="567" w:hanging="567"/>
        <w:rPr>
          <w:sz w:val="24"/>
          <w:szCs w:val="24"/>
        </w:rPr>
      </w:pPr>
      <w:r w:rsidRPr="00DA268D">
        <w:rPr>
          <w:sz w:val="24"/>
          <w:szCs w:val="24"/>
        </w:rPr>
        <w:t xml:space="preserve">More broadly, other potential metrics for success that the department may use to evaluate the effectiveness of the proposed </w:t>
      </w:r>
      <w:r w:rsidR="0075790E">
        <w:rPr>
          <w:sz w:val="24"/>
          <w:szCs w:val="24"/>
        </w:rPr>
        <w:t>AI</w:t>
      </w:r>
      <w:r w:rsidR="00217C26">
        <w:rPr>
          <w:sz w:val="24"/>
          <w:szCs w:val="24"/>
        </w:rPr>
        <w:t xml:space="preserve"> ECTA</w:t>
      </w:r>
      <w:r w:rsidRPr="00DA268D">
        <w:rPr>
          <w:sz w:val="24"/>
          <w:szCs w:val="24"/>
        </w:rPr>
        <w:t xml:space="preserve"> may include: </w:t>
      </w:r>
    </w:p>
    <w:p w14:paraId="5CE631FB" w14:textId="77777777" w:rsidR="00EC7D30" w:rsidRPr="00DA268D" w:rsidRDefault="00EC7D30">
      <w:pPr>
        <w:pStyle w:val="ListParagraph"/>
        <w:spacing w:after="0"/>
        <w:ind w:left="567"/>
        <w:rPr>
          <w:sz w:val="24"/>
          <w:szCs w:val="24"/>
        </w:rPr>
      </w:pPr>
    </w:p>
    <w:p w14:paraId="6C37A1B0" w14:textId="04C10137" w:rsidR="00EC7D30" w:rsidRDefault="00EC7D30" w:rsidP="0001716D">
      <w:pPr>
        <w:pStyle w:val="ListParagraph"/>
        <w:numPr>
          <w:ilvl w:val="0"/>
          <w:numId w:val="24"/>
        </w:numPr>
        <w:spacing w:after="0"/>
        <w:rPr>
          <w:sz w:val="24"/>
          <w:szCs w:val="24"/>
        </w:rPr>
      </w:pPr>
      <w:r>
        <w:rPr>
          <w:sz w:val="24"/>
          <w:szCs w:val="24"/>
        </w:rPr>
        <w:t>whether opportunities for Australian businesses have improved under the prop</w:t>
      </w:r>
      <w:r w:rsidR="000010D3">
        <w:rPr>
          <w:sz w:val="24"/>
          <w:szCs w:val="24"/>
        </w:rPr>
        <w:t xml:space="preserve">osed </w:t>
      </w:r>
      <w:r w:rsidR="0075790E">
        <w:rPr>
          <w:sz w:val="24"/>
          <w:szCs w:val="24"/>
        </w:rPr>
        <w:t>AI</w:t>
      </w:r>
      <w:r w:rsidR="00217C26">
        <w:rPr>
          <w:sz w:val="24"/>
          <w:szCs w:val="24"/>
        </w:rPr>
        <w:t xml:space="preserve"> ECTA</w:t>
      </w:r>
      <w:r w:rsidR="000010D3">
        <w:rPr>
          <w:sz w:val="24"/>
          <w:szCs w:val="24"/>
        </w:rPr>
        <w:t>,</w:t>
      </w:r>
    </w:p>
    <w:p w14:paraId="293FECF1" w14:textId="77777777" w:rsidR="00EC1BDF" w:rsidRDefault="00EC1BDF">
      <w:pPr>
        <w:pStyle w:val="ListParagraph"/>
        <w:spacing w:after="0"/>
        <w:ind w:left="1080"/>
        <w:rPr>
          <w:sz w:val="24"/>
          <w:szCs w:val="24"/>
        </w:rPr>
      </w:pPr>
    </w:p>
    <w:p w14:paraId="43442089" w14:textId="7B585B44" w:rsidR="000010D3" w:rsidRDefault="000010D3" w:rsidP="0001716D">
      <w:pPr>
        <w:pStyle w:val="ListParagraph"/>
        <w:numPr>
          <w:ilvl w:val="0"/>
          <w:numId w:val="24"/>
        </w:numPr>
        <w:spacing w:after="0"/>
        <w:rPr>
          <w:sz w:val="24"/>
          <w:szCs w:val="24"/>
        </w:rPr>
      </w:pPr>
      <w:r>
        <w:rPr>
          <w:sz w:val="24"/>
          <w:szCs w:val="24"/>
        </w:rPr>
        <w:t xml:space="preserve">whether the outcomes of the proposed </w:t>
      </w:r>
      <w:r w:rsidR="006E5E78">
        <w:rPr>
          <w:sz w:val="24"/>
          <w:szCs w:val="24"/>
        </w:rPr>
        <w:t>AI ECTA</w:t>
      </w:r>
      <w:r>
        <w:rPr>
          <w:sz w:val="24"/>
          <w:szCs w:val="24"/>
        </w:rPr>
        <w:t xml:space="preserve"> have met business and other stakeholder expectations</w:t>
      </w:r>
      <w:r w:rsidR="00EC1BDF">
        <w:rPr>
          <w:sz w:val="24"/>
          <w:szCs w:val="24"/>
        </w:rPr>
        <w:t>,</w:t>
      </w:r>
      <w:r>
        <w:rPr>
          <w:sz w:val="24"/>
          <w:szCs w:val="24"/>
        </w:rPr>
        <w:t xml:space="preserve">  </w:t>
      </w:r>
    </w:p>
    <w:p w14:paraId="64A0872D" w14:textId="77777777" w:rsidR="00EC1BDF" w:rsidRDefault="00EC1BDF">
      <w:pPr>
        <w:pStyle w:val="ListParagraph"/>
        <w:spacing w:after="0"/>
        <w:ind w:left="1080"/>
        <w:rPr>
          <w:sz w:val="24"/>
          <w:szCs w:val="24"/>
        </w:rPr>
      </w:pPr>
    </w:p>
    <w:p w14:paraId="6F55C5AB" w14:textId="07B23A11" w:rsidR="000010D3" w:rsidRDefault="000010D3" w:rsidP="0001716D">
      <w:pPr>
        <w:pStyle w:val="ListParagraph"/>
        <w:numPr>
          <w:ilvl w:val="0"/>
          <w:numId w:val="24"/>
        </w:numPr>
        <w:spacing w:after="0"/>
        <w:rPr>
          <w:sz w:val="24"/>
          <w:szCs w:val="24"/>
        </w:rPr>
      </w:pPr>
      <w:r>
        <w:rPr>
          <w:sz w:val="24"/>
          <w:szCs w:val="24"/>
        </w:rPr>
        <w:t xml:space="preserve">whether the proposed </w:t>
      </w:r>
      <w:r w:rsidR="006E5E78">
        <w:rPr>
          <w:sz w:val="24"/>
          <w:szCs w:val="24"/>
        </w:rPr>
        <w:t>AI ECTA</w:t>
      </w:r>
      <w:r>
        <w:rPr>
          <w:sz w:val="24"/>
          <w:szCs w:val="24"/>
        </w:rPr>
        <w:t xml:space="preserve"> has reduced any administrative or regulatory costs for business</w:t>
      </w:r>
      <w:r w:rsidR="00EC1BDF">
        <w:rPr>
          <w:sz w:val="24"/>
          <w:szCs w:val="24"/>
        </w:rPr>
        <w:t>.</w:t>
      </w:r>
    </w:p>
    <w:p w14:paraId="0AB6593F" w14:textId="0F9DEBD6" w:rsidR="00BB6D33" w:rsidRPr="00A5588B" w:rsidRDefault="00646867">
      <w:pPr>
        <w:pStyle w:val="ListParagraph"/>
        <w:numPr>
          <w:ilvl w:val="0"/>
          <w:numId w:val="1"/>
        </w:numPr>
        <w:spacing w:after="0"/>
        <w:ind w:left="567" w:hanging="567"/>
        <w:rPr>
          <w:sz w:val="24"/>
          <w:szCs w:val="24"/>
        </w:rPr>
      </w:pPr>
      <w:r w:rsidRPr="00EC65BE">
        <w:br w:type="page"/>
      </w:r>
    </w:p>
    <w:p w14:paraId="67C1EC8D" w14:textId="536CA9AE" w:rsidR="005608D1" w:rsidRPr="00DE6897" w:rsidRDefault="005608D1" w:rsidP="0014704E">
      <w:pPr>
        <w:pStyle w:val="Heading1"/>
        <w:spacing w:before="0"/>
        <w:rPr>
          <w:rFonts w:cstheme="minorHAnsi"/>
          <w:u w:val="single"/>
        </w:rPr>
      </w:pPr>
      <w:bookmarkStart w:id="93" w:name="_Toc99370691"/>
      <w:r w:rsidRPr="005C5451">
        <w:rPr>
          <w:rFonts w:cstheme="minorHAnsi"/>
          <w:u w:val="single"/>
        </w:rPr>
        <w:lastRenderedPageBreak/>
        <w:t>ATTACHMENT A:</w:t>
      </w:r>
      <w:r w:rsidRPr="00DE6897">
        <w:rPr>
          <w:rFonts w:cstheme="minorHAnsi"/>
          <w:u w:val="single"/>
        </w:rPr>
        <w:t xml:space="preserve"> </w:t>
      </w:r>
      <w:bookmarkEnd w:id="91"/>
      <w:r w:rsidRPr="00DE6897">
        <w:rPr>
          <w:rFonts w:cstheme="minorHAnsi"/>
          <w:caps/>
          <w:u w:val="single"/>
        </w:rPr>
        <w:t>Joint Statement on a Comprehensive Strategic Partnership between Republic of India and Australia</w:t>
      </w:r>
      <w:bookmarkEnd w:id="93"/>
    </w:p>
    <w:p w14:paraId="159CCD78" w14:textId="77777777" w:rsidR="005608D1" w:rsidRPr="00D323B6" w:rsidRDefault="005608D1" w:rsidP="0014704E">
      <w:pPr>
        <w:spacing w:after="0"/>
        <w:ind w:right="72" w:hanging="29"/>
        <w:jc w:val="both"/>
        <w:rPr>
          <w:rFonts w:cstheme="minorHAnsi"/>
          <w:color w:val="000000"/>
          <w:spacing w:val="10"/>
          <w:sz w:val="24"/>
          <w:szCs w:val="24"/>
          <w:highlight w:val="white"/>
        </w:rPr>
      </w:pPr>
    </w:p>
    <w:p w14:paraId="3B832BD1" w14:textId="59905B96" w:rsidR="005608D1" w:rsidRPr="00BB1B15" w:rsidRDefault="005608D1" w:rsidP="00A80396">
      <w:pPr>
        <w:pStyle w:val="ListParagraph"/>
        <w:numPr>
          <w:ilvl w:val="0"/>
          <w:numId w:val="6"/>
        </w:numPr>
        <w:suppressAutoHyphens/>
        <w:spacing w:after="0" w:line="240" w:lineRule="auto"/>
        <w:ind w:left="0" w:right="89" w:firstLine="0"/>
        <w:rPr>
          <w:sz w:val="24"/>
          <w:szCs w:val="24"/>
        </w:rPr>
      </w:pPr>
      <w:r w:rsidRPr="00BB1B15">
        <w:rPr>
          <w:sz w:val="24"/>
          <w:szCs w:val="24"/>
        </w:rPr>
        <w:t>Hon'ble Prime Minister of India Shri Narendra Modi and the Hon Scott Morrison MP,</w:t>
      </w:r>
      <w:r w:rsidRPr="00D323B6">
        <w:rPr>
          <w:rFonts w:cstheme="minorHAnsi"/>
          <w:color w:val="000000"/>
          <w:spacing w:val="16"/>
          <w:sz w:val="24"/>
          <w:szCs w:val="24"/>
          <w:highlight w:val="white"/>
        </w:rPr>
        <w:t xml:space="preserve"> </w:t>
      </w:r>
      <w:r w:rsidRPr="00BB1B15">
        <w:rPr>
          <w:sz w:val="24"/>
          <w:szCs w:val="24"/>
        </w:rPr>
        <w:t xml:space="preserve">Prime Minister of Australia jointly participated in an India-Australia Leaders’ Virtual Summit on 04 June 2020. </w:t>
      </w:r>
    </w:p>
    <w:p w14:paraId="3234C5BF" w14:textId="77777777" w:rsidR="005608D1" w:rsidRPr="00D323B6" w:rsidRDefault="005608D1" w:rsidP="0014704E">
      <w:pPr>
        <w:pStyle w:val="ListParagraph"/>
        <w:tabs>
          <w:tab w:val="decimal" w:pos="979"/>
        </w:tabs>
        <w:spacing w:after="0"/>
        <w:ind w:left="331" w:right="72"/>
        <w:rPr>
          <w:rFonts w:cstheme="minorHAnsi"/>
          <w:b/>
          <w:color w:val="000000"/>
          <w:spacing w:val="14"/>
          <w:sz w:val="24"/>
          <w:szCs w:val="24"/>
          <w:highlight w:val="white"/>
        </w:rPr>
      </w:pPr>
    </w:p>
    <w:p w14:paraId="2D92FB8B" w14:textId="77777777" w:rsidR="005608D1" w:rsidRPr="00D323B6" w:rsidRDefault="005608D1" w:rsidP="00A80396">
      <w:pPr>
        <w:numPr>
          <w:ilvl w:val="0"/>
          <w:numId w:val="7"/>
        </w:numPr>
        <w:suppressAutoHyphens/>
        <w:spacing w:after="0" w:line="240" w:lineRule="auto"/>
        <w:ind w:left="720" w:right="74" w:hanging="720"/>
        <w:contextualSpacing/>
        <w:rPr>
          <w:rFonts w:cstheme="minorHAnsi"/>
          <w:b/>
          <w:color w:val="000000"/>
          <w:spacing w:val="14"/>
          <w:sz w:val="24"/>
          <w:szCs w:val="24"/>
          <w:highlight w:val="white"/>
        </w:rPr>
      </w:pPr>
      <w:r w:rsidRPr="00D323B6">
        <w:rPr>
          <w:rFonts w:cstheme="minorHAnsi"/>
          <w:b/>
          <w:color w:val="000000"/>
          <w:spacing w:val="14"/>
          <w:sz w:val="24"/>
          <w:szCs w:val="24"/>
          <w:highlight w:val="white"/>
        </w:rPr>
        <w:t>Comprehensive Strategic Partnership</w:t>
      </w:r>
    </w:p>
    <w:p w14:paraId="7AC8BE16" w14:textId="77777777" w:rsidR="005608D1" w:rsidRPr="00D323B6" w:rsidRDefault="005608D1" w:rsidP="0014704E">
      <w:pPr>
        <w:spacing w:after="0"/>
        <w:ind w:right="74"/>
        <w:contextualSpacing/>
        <w:rPr>
          <w:rFonts w:cstheme="minorHAnsi"/>
          <w:b/>
          <w:color w:val="00000A"/>
          <w:sz w:val="24"/>
          <w:szCs w:val="24"/>
          <w:highlight w:val="white"/>
        </w:rPr>
      </w:pPr>
    </w:p>
    <w:p w14:paraId="023153D9" w14:textId="77777777" w:rsidR="005608D1" w:rsidRPr="00BB1B15" w:rsidRDefault="005608D1" w:rsidP="00A80396">
      <w:pPr>
        <w:pStyle w:val="ListParagraph"/>
        <w:numPr>
          <w:ilvl w:val="0"/>
          <w:numId w:val="6"/>
        </w:numPr>
        <w:suppressAutoHyphens/>
        <w:spacing w:after="0" w:line="240" w:lineRule="auto"/>
        <w:ind w:left="0" w:right="89" w:firstLine="0"/>
        <w:rPr>
          <w:sz w:val="24"/>
          <w:szCs w:val="24"/>
        </w:rPr>
      </w:pPr>
      <w:r w:rsidRPr="00BB1B15">
        <w:rPr>
          <w:sz w:val="24"/>
          <w:szCs w:val="24"/>
        </w:rPr>
        <w:t xml:space="preserve">The meeting between the two Prime Ministers took place in a cordial atmosphere and was highly productive. During the meeting, both Prime Ministers noted the progress in the relationship across many fields, as well as the importance of a globally coordinated response to COVID-19 and working to build a prosperous, </w:t>
      </w:r>
      <w:proofErr w:type="gramStart"/>
      <w:r w:rsidRPr="00BB1B15">
        <w:rPr>
          <w:sz w:val="24"/>
          <w:szCs w:val="24"/>
        </w:rPr>
        <w:t>open</w:t>
      </w:r>
      <w:proofErr w:type="gramEnd"/>
      <w:r w:rsidRPr="00BB1B15">
        <w:rPr>
          <w:sz w:val="24"/>
          <w:szCs w:val="24"/>
        </w:rPr>
        <w:t xml:space="preserve"> and stable post-COVID-19 world.  Affirming their commitment to strengthening India-Australia ties for the long term, they committed to elevate the bilateral Strategic Partnership concluded in 2009 to a Comprehensive Strategic Partnership (CSP).</w:t>
      </w:r>
    </w:p>
    <w:p w14:paraId="396A5711" w14:textId="77777777" w:rsidR="005608D1" w:rsidRPr="00D323B6" w:rsidRDefault="005608D1" w:rsidP="0014704E">
      <w:pPr>
        <w:pStyle w:val="ListParagraph"/>
        <w:spacing w:after="0"/>
        <w:ind w:left="0" w:right="72"/>
        <w:rPr>
          <w:rFonts w:cstheme="minorHAnsi"/>
          <w:strike/>
          <w:color w:val="000000"/>
          <w:spacing w:val="16"/>
          <w:sz w:val="24"/>
          <w:szCs w:val="24"/>
          <w:highlight w:val="white"/>
        </w:rPr>
      </w:pPr>
    </w:p>
    <w:p w14:paraId="3F9AF999" w14:textId="77777777" w:rsidR="005608D1" w:rsidRPr="00BB1B15" w:rsidRDefault="005608D1" w:rsidP="00A80396">
      <w:pPr>
        <w:pStyle w:val="ListParagraph"/>
        <w:numPr>
          <w:ilvl w:val="0"/>
          <w:numId w:val="6"/>
        </w:numPr>
        <w:suppressAutoHyphens/>
        <w:spacing w:after="0" w:line="240" w:lineRule="auto"/>
        <w:ind w:left="0" w:right="89" w:firstLine="0"/>
        <w:rPr>
          <w:sz w:val="24"/>
          <w:szCs w:val="24"/>
        </w:rPr>
      </w:pPr>
      <w:r w:rsidRPr="00BB1B15">
        <w:rPr>
          <w:sz w:val="24"/>
          <w:szCs w:val="24"/>
        </w:rPr>
        <w:t xml:space="preserve">The CSP is based on mutual understanding, trust, common interests and the shared values of democracy and rule of law. It reflects India and Australia’s strong commitment to practical global cooperation to address major challenges like COVID-19. It is in line with India's increasing engagement in the Indo-Pacific region through her Indo-Pacific vision and Australia's Indo-Pacific approach and its Pacific Step-Up for the South Pacific. Both countries share the vision of an open, free, rules-based Indo-Pacific region supported by inclusive global and regional institutions that promote prosperous, </w:t>
      </w:r>
      <w:proofErr w:type="gramStart"/>
      <w:r w:rsidRPr="00BB1B15">
        <w:rPr>
          <w:sz w:val="24"/>
          <w:szCs w:val="24"/>
        </w:rPr>
        <w:t>stable</w:t>
      </w:r>
      <w:proofErr w:type="gramEnd"/>
      <w:r w:rsidRPr="00BB1B15">
        <w:rPr>
          <w:sz w:val="24"/>
          <w:szCs w:val="24"/>
        </w:rPr>
        <w:t xml:space="preserve"> and sovereign states on the basis of shared interests. Under the CSP, both countries decided to work together in the areas of </w:t>
      </w:r>
      <w:proofErr w:type="gramStart"/>
      <w:r w:rsidRPr="00BB1B15">
        <w:rPr>
          <w:sz w:val="24"/>
          <w:szCs w:val="24"/>
        </w:rPr>
        <w:t>mutual cooperation</w:t>
      </w:r>
      <w:proofErr w:type="gramEnd"/>
      <w:r w:rsidRPr="00BB1B15">
        <w:rPr>
          <w:sz w:val="24"/>
          <w:szCs w:val="24"/>
        </w:rPr>
        <w:t xml:space="preserve"> as per the following:</w:t>
      </w:r>
    </w:p>
    <w:p w14:paraId="37664BEF" w14:textId="77777777" w:rsidR="005608D1" w:rsidRPr="00D323B6" w:rsidRDefault="005608D1" w:rsidP="0014704E">
      <w:pPr>
        <w:spacing w:after="0"/>
        <w:ind w:right="72" w:hanging="29"/>
        <w:rPr>
          <w:rFonts w:cstheme="minorHAnsi"/>
          <w:color w:val="000000"/>
          <w:spacing w:val="16"/>
          <w:sz w:val="24"/>
          <w:szCs w:val="24"/>
          <w:highlight w:val="white"/>
        </w:rPr>
      </w:pPr>
    </w:p>
    <w:p w14:paraId="6A7BD222" w14:textId="77777777" w:rsidR="005608D1" w:rsidRPr="00D323B6" w:rsidRDefault="005608D1" w:rsidP="00A80396">
      <w:pPr>
        <w:numPr>
          <w:ilvl w:val="0"/>
          <w:numId w:val="7"/>
        </w:numPr>
        <w:suppressAutoHyphens/>
        <w:spacing w:after="0" w:line="240" w:lineRule="auto"/>
        <w:ind w:left="720" w:right="74" w:hanging="720"/>
        <w:contextualSpacing/>
        <w:rPr>
          <w:rFonts w:cstheme="minorHAnsi"/>
          <w:b/>
          <w:color w:val="000000"/>
          <w:spacing w:val="14"/>
          <w:sz w:val="24"/>
          <w:szCs w:val="24"/>
          <w:highlight w:val="white"/>
        </w:rPr>
      </w:pPr>
      <w:r w:rsidRPr="00D323B6">
        <w:rPr>
          <w:rFonts w:cstheme="minorHAnsi"/>
          <w:b/>
          <w:color w:val="000000"/>
          <w:spacing w:val="14"/>
          <w:sz w:val="24"/>
          <w:szCs w:val="24"/>
          <w:highlight w:val="white"/>
        </w:rPr>
        <w:t xml:space="preserve">Enhancing science, </w:t>
      </w:r>
      <w:proofErr w:type="gramStart"/>
      <w:r w:rsidRPr="00D323B6">
        <w:rPr>
          <w:rFonts w:cstheme="minorHAnsi"/>
          <w:b/>
          <w:color w:val="000000"/>
          <w:spacing w:val="14"/>
          <w:sz w:val="24"/>
          <w:szCs w:val="24"/>
          <w:highlight w:val="white"/>
        </w:rPr>
        <w:t>technology</w:t>
      </w:r>
      <w:proofErr w:type="gramEnd"/>
      <w:r w:rsidRPr="00D323B6">
        <w:rPr>
          <w:rFonts w:cstheme="minorHAnsi"/>
          <w:b/>
          <w:color w:val="000000"/>
          <w:spacing w:val="14"/>
          <w:sz w:val="24"/>
          <w:szCs w:val="24"/>
          <w:highlight w:val="white"/>
        </w:rPr>
        <w:t xml:space="preserve"> and research collaboration</w:t>
      </w:r>
    </w:p>
    <w:p w14:paraId="2B39590A" w14:textId="77777777" w:rsidR="005608D1" w:rsidRPr="00D323B6" w:rsidRDefault="005608D1" w:rsidP="0014704E">
      <w:pPr>
        <w:pStyle w:val="ListParagraph"/>
        <w:spacing w:after="0"/>
        <w:ind w:left="0" w:right="72"/>
        <w:rPr>
          <w:rFonts w:cstheme="minorHAnsi"/>
          <w:b/>
          <w:color w:val="000000"/>
          <w:spacing w:val="14"/>
          <w:sz w:val="24"/>
          <w:szCs w:val="24"/>
          <w:highlight w:val="white"/>
        </w:rPr>
      </w:pPr>
    </w:p>
    <w:p w14:paraId="5219A3AE" w14:textId="77777777" w:rsidR="005608D1" w:rsidRPr="00BB1B15" w:rsidRDefault="005608D1" w:rsidP="00A80396">
      <w:pPr>
        <w:pStyle w:val="ListParagraph"/>
        <w:numPr>
          <w:ilvl w:val="0"/>
          <w:numId w:val="6"/>
        </w:numPr>
        <w:suppressAutoHyphens/>
        <w:spacing w:after="0" w:line="240" w:lineRule="auto"/>
        <w:ind w:left="0" w:right="89" w:firstLine="0"/>
        <w:rPr>
          <w:sz w:val="24"/>
          <w:szCs w:val="24"/>
        </w:rPr>
      </w:pPr>
      <w:r w:rsidRPr="00BB1B15">
        <w:rPr>
          <w:sz w:val="24"/>
          <w:szCs w:val="24"/>
        </w:rPr>
        <w:t>India and Australia recognise the importance of global cooperation for saving lives and managing the economic impacts of COVID-19, and future global challenges. We will share the benefits of scientific and medical research and development, strengthen healthcare systems, and reflect on the recommendations of the independent and comprehensive evaluation of the international health response to COVID-19 to improve capacity for global pandemic prevention, preparedness, and response.</w:t>
      </w:r>
    </w:p>
    <w:p w14:paraId="3CA93C41" w14:textId="77777777" w:rsidR="005608D1" w:rsidRPr="00D323B6" w:rsidRDefault="005608D1" w:rsidP="0014704E">
      <w:pPr>
        <w:pStyle w:val="ListParagraph"/>
        <w:spacing w:after="0"/>
        <w:ind w:left="0" w:right="72"/>
        <w:rPr>
          <w:rFonts w:cstheme="minorHAnsi"/>
          <w:color w:val="000000"/>
          <w:spacing w:val="16"/>
          <w:sz w:val="24"/>
          <w:szCs w:val="24"/>
          <w:highlight w:val="white"/>
        </w:rPr>
      </w:pPr>
    </w:p>
    <w:p w14:paraId="43794E9F" w14:textId="77777777" w:rsidR="005608D1" w:rsidRPr="00BB1B15" w:rsidRDefault="005608D1" w:rsidP="00A80396">
      <w:pPr>
        <w:pStyle w:val="ListParagraph"/>
        <w:numPr>
          <w:ilvl w:val="0"/>
          <w:numId w:val="6"/>
        </w:numPr>
        <w:suppressAutoHyphens/>
        <w:spacing w:after="0" w:line="240" w:lineRule="auto"/>
        <w:ind w:left="0" w:right="89" w:firstLine="0"/>
        <w:rPr>
          <w:sz w:val="24"/>
          <w:szCs w:val="24"/>
        </w:rPr>
      </w:pPr>
      <w:r w:rsidRPr="00BB1B15">
        <w:rPr>
          <w:sz w:val="24"/>
          <w:szCs w:val="24"/>
        </w:rPr>
        <w:t xml:space="preserve">India and Australia resolve to boost collaboration on science, </w:t>
      </w:r>
      <w:proofErr w:type="gramStart"/>
      <w:r w:rsidRPr="00BB1B15">
        <w:rPr>
          <w:sz w:val="24"/>
          <w:szCs w:val="24"/>
        </w:rPr>
        <w:t>technology</w:t>
      </w:r>
      <w:proofErr w:type="gramEnd"/>
      <w:r w:rsidRPr="00BB1B15">
        <w:rPr>
          <w:sz w:val="24"/>
          <w:szCs w:val="24"/>
        </w:rPr>
        <w:t xml:space="preserve"> and research to support their national COVID-19 responses. We have committed to a new phase of the Australia – India Strategic Research Fund to promote innovative solutions for responding to and treating COVID-19, as well as other jointly determined priorities, to be preceded by a one-off Special COVID-19 Collaboration Round in 2020.</w:t>
      </w:r>
    </w:p>
    <w:p w14:paraId="1FCA0EC4" w14:textId="77777777" w:rsidR="005608D1" w:rsidRPr="00D323B6" w:rsidRDefault="005608D1" w:rsidP="0014704E">
      <w:pPr>
        <w:pStyle w:val="ListParagraph"/>
        <w:spacing w:after="0"/>
        <w:ind w:left="329" w:right="74"/>
        <w:rPr>
          <w:rFonts w:cstheme="minorHAnsi"/>
          <w:color w:val="000000"/>
          <w:spacing w:val="16"/>
          <w:sz w:val="24"/>
          <w:szCs w:val="24"/>
          <w:highlight w:val="white"/>
        </w:rPr>
      </w:pPr>
    </w:p>
    <w:p w14:paraId="25A54959" w14:textId="26DD1006" w:rsidR="005608D1" w:rsidRPr="00BB1B15" w:rsidRDefault="005608D1" w:rsidP="00A80396">
      <w:pPr>
        <w:pStyle w:val="ListParagraph"/>
        <w:numPr>
          <w:ilvl w:val="0"/>
          <w:numId w:val="6"/>
        </w:numPr>
        <w:suppressAutoHyphens/>
        <w:spacing w:after="0" w:line="240" w:lineRule="auto"/>
        <w:ind w:left="0" w:right="89" w:firstLine="0"/>
        <w:rPr>
          <w:sz w:val="24"/>
          <w:szCs w:val="24"/>
        </w:rPr>
      </w:pPr>
      <w:r w:rsidRPr="543832D4">
        <w:rPr>
          <w:sz w:val="24"/>
          <w:szCs w:val="24"/>
        </w:rPr>
        <w:t xml:space="preserve">India and Australia jointly decided to work cooperatively through multilateral, regional and plurilateral mechanisms to strengthen and diversify supply chains for critical health, technology and other goods and services. We will work together to strengthen international institutions to ensure they are </w:t>
      </w:r>
      <w:proofErr w:type="gramStart"/>
      <w:r w:rsidRPr="543832D4">
        <w:rPr>
          <w:sz w:val="24"/>
          <w:szCs w:val="24"/>
        </w:rPr>
        <w:t>inclusive</w:t>
      </w:r>
      <w:proofErr w:type="gramEnd"/>
      <w:r w:rsidRPr="543832D4">
        <w:rPr>
          <w:sz w:val="24"/>
          <w:szCs w:val="24"/>
        </w:rPr>
        <w:t xml:space="preserve"> and rules based.</w:t>
      </w:r>
    </w:p>
    <w:p w14:paraId="50FBB47F" w14:textId="77777777" w:rsidR="005608D1" w:rsidRPr="00D323B6" w:rsidRDefault="005608D1" w:rsidP="0014704E">
      <w:pPr>
        <w:pStyle w:val="ListParagraph"/>
        <w:spacing w:after="0"/>
        <w:ind w:left="329" w:right="74"/>
        <w:rPr>
          <w:rFonts w:cstheme="minorHAnsi"/>
          <w:color w:val="000000"/>
          <w:spacing w:val="16"/>
          <w:sz w:val="24"/>
          <w:szCs w:val="24"/>
          <w:highlight w:val="white"/>
        </w:rPr>
      </w:pPr>
    </w:p>
    <w:p w14:paraId="63484BD1" w14:textId="77777777" w:rsidR="005608D1" w:rsidRPr="00BB1B15" w:rsidRDefault="005608D1" w:rsidP="00A80396">
      <w:pPr>
        <w:pStyle w:val="ListParagraph"/>
        <w:numPr>
          <w:ilvl w:val="0"/>
          <w:numId w:val="6"/>
        </w:numPr>
        <w:suppressAutoHyphens/>
        <w:spacing w:after="0" w:line="240" w:lineRule="auto"/>
        <w:ind w:left="0" w:right="89" w:firstLine="0"/>
        <w:rPr>
          <w:sz w:val="24"/>
          <w:szCs w:val="24"/>
        </w:rPr>
      </w:pPr>
      <w:r w:rsidRPr="00BB1B15">
        <w:rPr>
          <w:sz w:val="24"/>
          <w:szCs w:val="24"/>
        </w:rPr>
        <w:lastRenderedPageBreak/>
        <w:t xml:space="preserve">Both countries jointly decided to work together in the areas of digital economy, cyber security and critical and emerging technologies as identified by the </w:t>
      </w:r>
      <w:r w:rsidRPr="00BB1B15">
        <w:rPr>
          <w:b/>
          <w:bCs/>
          <w:sz w:val="24"/>
          <w:szCs w:val="24"/>
        </w:rPr>
        <w:t>Framework Arrangement on Cyber and Cyber-Enabled Critical Technology Cooperation.</w:t>
      </w:r>
    </w:p>
    <w:p w14:paraId="67918F67" w14:textId="77777777" w:rsidR="005608D1" w:rsidRPr="00D323B6" w:rsidRDefault="005608D1" w:rsidP="0014704E">
      <w:pPr>
        <w:pStyle w:val="ListParagraph"/>
        <w:spacing w:after="0"/>
        <w:ind w:left="331" w:right="72"/>
        <w:rPr>
          <w:rFonts w:cstheme="minorHAnsi"/>
          <w:color w:val="000000"/>
          <w:spacing w:val="16"/>
          <w:sz w:val="24"/>
          <w:szCs w:val="24"/>
          <w:highlight w:val="white"/>
        </w:rPr>
      </w:pPr>
    </w:p>
    <w:p w14:paraId="563753A2" w14:textId="77777777" w:rsidR="005608D1" w:rsidRPr="00BB1B15" w:rsidRDefault="005608D1" w:rsidP="00A80396">
      <w:pPr>
        <w:pStyle w:val="ListParagraph"/>
        <w:numPr>
          <w:ilvl w:val="0"/>
          <w:numId w:val="6"/>
        </w:numPr>
        <w:suppressAutoHyphens/>
        <w:spacing w:after="0" w:line="240" w:lineRule="auto"/>
        <w:ind w:left="0" w:right="89" w:firstLine="0"/>
        <w:rPr>
          <w:sz w:val="24"/>
          <w:szCs w:val="24"/>
        </w:rPr>
      </w:pPr>
      <w:r w:rsidRPr="00BB1B15">
        <w:rPr>
          <w:sz w:val="24"/>
          <w:szCs w:val="24"/>
        </w:rPr>
        <w:t xml:space="preserve">Australia conveyed that India could consider it as a stable, </w:t>
      </w:r>
      <w:proofErr w:type="gramStart"/>
      <w:r w:rsidRPr="00BB1B15">
        <w:rPr>
          <w:sz w:val="24"/>
          <w:szCs w:val="24"/>
        </w:rPr>
        <w:t>reliable</w:t>
      </w:r>
      <w:proofErr w:type="gramEnd"/>
      <w:r w:rsidRPr="00BB1B15">
        <w:rPr>
          <w:sz w:val="24"/>
          <w:szCs w:val="24"/>
        </w:rPr>
        <w:t xml:space="preserve"> and trusted supplier of high-quality mineral resources to India. Both sides jointly decided to diversify and expand the existing resources partnership. The </w:t>
      </w:r>
      <w:r w:rsidRPr="00BB1B15">
        <w:rPr>
          <w:b/>
          <w:bCs/>
          <w:sz w:val="24"/>
          <w:szCs w:val="24"/>
        </w:rPr>
        <w:t xml:space="preserve">MOU on cooperation in the field of mining and processing of Critical and Strategic minerals </w:t>
      </w:r>
      <w:r w:rsidRPr="00BB1B15">
        <w:rPr>
          <w:sz w:val="24"/>
          <w:szCs w:val="24"/>
        </w:rPr>
        <w:t>identifies specific areas where both sides will work together to meet the technological demands of the future economy. Both countries jointly decided to cooperate on new technologies for exploration and extraction of other minerals.</w:t>
      </w:r>
    </w:p>
    <w:p w14:paraId="2390594D" w14:textId="77777777" w:rsidR="005608D1" w:rsidRPr="00D323B6" w:rsidRDefault="005608D1" w:rsidP="0014704E">
      <w:pPr>
        <w:spacing w:after="0"/>
        <w:ind w:right="72"/>
        <w:rPr>
          <w:rFonts w:cstheme="minorHAnsi"/>
          <w:color w:val="000000"/>
          <w:spacing w:val="16"/>
          <w:sz w:val="24"/>
          <w:szCs w:val="24"/>
          <w:highlight w:val="white"/>
        </w:rPr>
      </w:pPr>
    </w:p>
    <w:p w14:paraId="73BEA494" w14:textId="77777777" w:rsidR="005608D1" w:rsidRPr="00D323B6" w:rsidRDefault="005608D1" w:rsidP="00A80396">
      <w:pPr>
        <w:numPr>
          <w:ilvl w:val="0"/>
          <w:numId w:val="7"/>
        </w:numPr>
        <w:suppressAutoHyphens/>
        <w:spacing w:after="0" w:line="240" w:lineRule="auto"/>
        <w:ind w:left="720" w:right="74" w:hanging="720"/>
        <w:contextualSpacing/>
        <w:rPr>
          <w:rFonts w:cstheme="minorHAnsi"/>
          <w:b/>
          <w:color w:val="000000"/>
          <w:spacing w:val="14"/>
          <w:sz w:val="24"/>
          <w:szCs w:val="24"/>
          <w:highlight w:val="white"/>
        </w:rPr>
      </w:pPr>
      <w:r w:rsidRPr="00D323B6">
        <w:rPr>
          <w:rFonts w:cstheme="minorHAnsi"/>
          <w:b/>
          <w:color w:val="000000"/>
          <w:spacing w:val="14"/>
          <w:sz w:val="24"/>
          <w:szCs w:val="24"/>
          <w:highlight w:val="white"/>
        </w:rPr>
        <w:t>Maritime cooperation for an Open and Inclusive Indo-Pacific</w:t>
      </w:r>
    </w:p>
    <w:p w14:paraId="73BCB826" w14:textId="77777777" w:rsidR="005608D1" w:rsidRPr="00D323B6" w:rsidRDefault="005608D1" w:rsidP="0014704E">
      <w:pPr>
        <w:spacing w:after="0"/>
        <w:ind w:right="74"/>
        <w:contextualSpacing/>
        <w:rPr>
          <w:rFonts w:cstheme="minorHAnsi"/>
          <w:b/>
          <w:color w:val="000000"/>
          <w:spacing w:val="14"/>
          <w:sz w:val="24"/>
          <w:szCs w:val="24"/>
          <w:highlight w:val="white"/>
        </w:rPr>
      </w:pPr>
    </w:p>
    <w:p w14:paraId="29F189B5" w14:textId="77777777" w:rsidR="005608D1" w:rsidRPr="00BB1B15" w:rsidRDefault="005608D1" w:rsidP="00A80396">
      <w:pPr>
        <w:pStyle w:val="ListParagraph"/>
        <w:numPr>
          <w:ilvl w:val="0"/>
          <w:numId w:val="6"/>
        </w:numPr>
        <w:suppressAutoHyphens/>
        <w:spacing w:after="0" w:line="240" w:lineRule="auto"/>
        <w:ind w:left="0" w:right="89" w:firstLine="0"/>
        <w:rPr>
          <w:sz w:val="24"/>
          <w:szCs w:val="24"/>
        </w:rPr>
      </w:pPr>
      <w:r w:rsidRPr="00BB1B15">
        <w:rPr>
          <w:sz w:val="24"/>
          <w:szCs w:val="24"/>
        </w:rPr>
        <w:t xml:space="preserve">Both countries share a view that many of the future challenges are likely to occur in, and emanate from, the maritime domain. We agreed to boost cooperation in the maritime domain as encapsulated in our </w:t>
      </w:r>
      <w:r w:rsidRPr="00BB1B15">
        <w:rPr>
          <w:b/>
          <w:bCs/>
          <w:sz w:val="24"/>
          <w:szCs w:val="24"/>
        </w:rPr>
        <w:t>Joint Declaration on a Shared Vision for Maritime Cooperation in the Indo-Pacific</w:t>
      </w:r>
      <w:r w:rsidRPr="00BB1B15">
        <w:rPr>
          <w:sz w:val="24"/>
          <w:szCs w:val="24"/>
        </w:rPr>
        <w:t xml:space="preserve">. Our enhanced arrangements will facilitate deeper engagement between our two countries including maritime domain </w:t>
      </w:r>
      <w:proofErr w:type="gramStart"/>
      <w:r w:rsidRPr="00BB1B15">
        <w:rPr>
          <w:sz w:val="24"/>
          <w:szCs w:val="24"/>
        </w:rPr>
        <w:t>awareness, and</w:t>
      </w:r>
      <w:proofErr w:type="gramEnd"/>
      <w:r w:rsidRPr="00BB1B15">
        <w:rPr>
          <w:sz w:val="24"/>
          <w:szCs w:val="24"/>
        </w:rPr>
        <w:t xml:space="preserve"> expanded linkages between our maritime agencies.</w:t>
      </w:r>
    </w:p>
    <w:p w14:paraId="323CC0FE" w14:textId="77777777" w:rsidR="005608D1" w:rsidRPr="00D323B6" w:rsidRDefault="005608D1" w:rsidP="0014704E">
      <w:pPr>
        <w:pStyle w:val="ListParagraph"/>
        <w:spacing w:after="0"/>
        <w:ind w:right="89"/>
        <w:rPr>
          <w:rFonts w:cstheme="minorHAnsi"/>
          <w:sz w:val="24"/>
          <w:szCs w:val="24"/>
        </w:rPr>
      </w:pPr>
    </w:p>
    <w:p w14:paraId="5FC49AC0" w14:textId="7EBC29D4" w:rsidR="005608D1" w:rsidRPr="00BB1B15" w:rsidRDefault="005608D1" w:rsidP="00A80396">
      <w:pPr>
        <w:pStyle w:val="ListParagraph"/>
        <w:numPr>
          <w:ilvl w:val="0"/>
          <w:numId w:val="6"/>
        </w:numPr>
        <w:suppressAutoHyphens/>
        <w:spacing w:after="0" w:line="240" w:lineRule="auto"/>
        <w:ind w:left="0" w:right="89" w:firstLine="0"/>
        <w:rPr>
          <w:sz w:val="24"/>
          <w:szCs w:val="24"/>
        </w:rPr>
      </w:pPr>
      <w:r w:rsidRPr="543832D4">
        <w:rPr>
          <w:sz w:val="24"/>
          <w:szCs w:val="24"/>
        </w:rPr>
        <w:t xml:space="preserve">Both India and Australia are committed to work together with partners and relevant regional organisations across the Indo-Pacific, including ASEAN, to enhance capacity for sustainable management of marine resources and challenge in maritime domains.  In this regard, Australia expressed support for India’s Indo-Pacific Oceans Initiative (IPOI) which will promote better coordination and cooperation among the countries in the region on maritime related issues. </w:t>
      </w:r>
    </w:p>
    <w:p w14:paraId="1471A6B9" w14:textId="77777777" w:rsidR="005608D1" w:rsidRPr="00D323B6" w:rsidRDefault="005608D1" w:rsidP="0014704E">
      <w:pPr>
        <w:pStyle w:val="ListParagraph"/>
        <w:spacing w:after="0"/>
        <w:ind w:left="329" w:right="74"/>
        <w:rPr>
          <w:rFonts w:cstheme="minorHAnsi"/>
          <w:color w:val="000000"/>
          <w:spacing w:val="16"/>
          <w:sz w:val="24"/>
          <w:szCs w:val="24"/>
          <w:highlight w:val="white"/>
        </w:rPr>
      </w:pPr>
    </w:p>
    <w:p w14:paraId="6715BB0E" w14:textId="77777777" w:rsidR="005608D1" w:rsidRPr="00BB1B15" w:rsidRDefault="005608D1" w:rsidP="00A80396">
      <w:pPr>
        <w:pStyle w:val="ListParagraph"/>
        <w:numPr>
          <w:ilvl w:val="0"/>
          <w:numId w:val="6"/>
        </w:numPr>
        <w:suppressAutoHyphens/>
        <w:spacing w:after="0" w:line="240" w:lineRule="auto"/>
        <w:ind w:left="0" w:right="89" w:firstLine="0"/>
        <w:rPr>
          <w:sz w:val="24"/>
          <w:szCs w:val="24"/>
        </w:rPr>
      </w:pPr>
      <w:r w:rsidRPr="00BB1B15">
        <w:rPr>
          <w:sz w:val="24"/>
          <w:szCs w:val="24"/>
        </w:rPr>
        <w:t>Both sides agreed to share technologies and resources to support the health and sustainability of oceans and water resources, including through regional institutions. They also concurred to build on existing commitments to combat marine litter and single-use plastic waste, and target Illegal, Unreported and Unregulated (IUU) fishing.</w:t>
      </w:r>
    </w:p>
    <w:p w14:paraId="47B5FC99" w14:textId="77777777" w:rsidR="005608D1" w:rsidRPr="00D323B6" w:rsidRDefault="005608D1" w:rsidP="0014704E">
      <w:pPr>
        <w:pStyle w:val="ListParagraph"/>
        <w:spacing w:after="0"/>
        <w:ind w:right="89"/>
        <w:rPr>
          <w:rFonts w:cstheme="minorHAnsi"/>
          <w:color w:val="000000"/>
          <w:spacing w:val="16"/>
          <w:sz w:val="24"/>
          <w:szCs w:val="24"/>
          <w:highlight w:val="white"/>
        </w:rPr>
      </w:pPr>
    </w:p>
    <w:p w14:paraId="2BA864BB" w14:textId="77777777" w:rsidR="005608D1" w:rsidRPr="00D323B6" w:rsidRDefault="005608D1" w:rsidP="0014704E">
      <w:pPr>
        <w:pStyle w:val="ListParagraph"/>
        <w:spacing w:after="0"/>
        <w:ind w:left="329" w:right="74"/>
        <w:rPr>
          <w:rFonts w:cstheme="minorHAnsi"/>
          <w:color w:val="000000"/>
          <w:spacing w:val="16"/>
          <w:sz w:val="24"/>
          <w:szCs w:val="24"/>
          <w:highlight w:val="white"/>
        </w:rPr>
      </w:pPr>
    </w:p>
    <w:p w14:paraId="762D2A07" w14:textId="77777777" w:rsidR="005608D1" w:rsidRPr="00D323B6" w:rsidRDefault="005608D1" w:rsidP="00A80396">
      <w:pPr>
        <w:numPr>
          <w:ilvl w:val="0"/>
          <w:numId w:val="7"/>
        </w:numPr>
        <w:suppressAutoHyphens/>
        <w:spacing w:after="0" w:line="240" w:lineRule="auto"/>
        <w:ind w:left="720" w:right="74" w:hanging="720"/>
        <w:contextualSpacing/>
        <w:rPr>
          <w:rFonts w:cstheme="minorHAnsi"/>
          <w:b/>
          <w:color w:val="000000"/>
          <w:spacing w:val="14"/>
          <w:sz w:val="24"/>
          <w:szCs w:val="24"/>
          <w:highlight w:val="white"/>
        </w:rPr>
      </w:pPr>
      <w:r w:rsidRPr="00D323B6">
        <w:rPr>
          <w:rFonts w:cstheme="minorHAnsi"/>
          <w:b/>
          <w:color w:val="000000"/>
          <w:spacing w:val="14"/>
          <w:sz w:val="24"/>
          <w:szCs w:val="24"/>
          <w:highlight w:val="white"/>
        </w:rPr>
        <w:t>Defence Cooperation</w:t>
      </w:r>
    </w:p>
    <w:p w14:paraId="3DB2556A" w14:textId="77777777" w:rsidR="005608D1" w:rsidRPr="00D323B6" w:rsidRDefault="005608D1" w:rsidP="0014704E">
      <w:pPr>
        <w:spacing w:after="0"/>
        <w:ind w:left="720" w:right="74"/>
        <w:contextualSpacing/>
        <w:rPr>
          <w:rFonts w:cstheme="minorHAnsi"/>
          <w:color w:val="00000A"/>
          <w:sz w:val="24"/>
          <w:szCs w:val="24"/>
          <w:highlight w:val="white"/>
        </w:rPr>
      </w:pPr>
    </w:p>
    <w:p w14:paraId="69C6A7F3" w14:textId="411800DE" w:rsidR="00BB1B15" w:rsidRPr="00225A6C" w:rsidRDefault="005608D1" w:rsidP="00A80396">
      <w:pPr>
        <w:pStyle w:val="ListParagraph"/>
        <w:numPr>
          <w:ilvl w:val="0"/>
          <w:numId w:val="6"/>
        </w:numPr>
        <w:suppressAutoHyphens/>
        <w:spacing w:after="0" w:line="240" w:lineRule="auto"/>
        <w:ind w:left="0" w:firstLine="0"/>
        <w:rPr>
          <w:sz w:val="24"/>
          <w:szCs w:val="24"/>
        </w:rPr>
      </w:pPr>
      <w:r w:rsidRPr="00D323B6">
        <w:rPr>
          <w:rFonts w:cstheme="minorHAnsi"/>
          <w:color w:val="000000"/>
          <w:spacing w:val="16"/>
          <w:sz w:val="24"/>
          <w:szCs w:val="24"/>
          <w:highlight w:val="white"/>
        </w:rPr>
        <w:t>B</w:t>
      </w:r>
      <w:r w:rsidRPr="00BB1B15">
        <w:rPr>
          <w:sz w:val="24"/>
          <w:szCs w:val="24"/>
        </w:rPr>
        <w:t xml:space="preserve">oth sides agreed to continue to deepen and broaden defence cooperation by enhancing the scope and complexity of their military exercises and engagement activities to develop new ways to address shared security challenges. Both sides agreed to increase military inter-operability through defence exercises through their </w:t>
      </w:r>
      <w:r w:rsidRPr="00BB1B15">
        <w:rPr>
          <w:b/>
          <w:bCs/>
          <w:sz w:val="24"/>
          <w:szCs w:val="24"/>
        </w:rPr>
        <w:t>Arrangement concerning Mutual Logistics Support (MLSA)</w:t>
      </w:r>
      <w:r w:rsidRPr="00BB1B15">
        <w:rPr>
          <w:sz w:val="24"/>
          <w:szCs w:val="24"/>
        </w:rPr>
        <w:t xml:space="preserve">. It was agreed that the Implementing Arrangement concerning cooperation in Defence Science and Technology to the </w:t>
      </w:r>
      <w:r w:rsidRPr="00BB1B15">
        <w:rPr>
          <w:b/>
          <w:bCs/>
          <w:sz w:val="24"/>
          <w:szCs w:val="24"/>
        </w:rPr>
        <w:t xml:space="preserve">MoU on Defence Cooperation </w:t>
      </w:r>
      <w:r w:rsidRPr="00BB1B15">
        <w:rPr>
          <w:sz w:val="24"/>
          <w:szCs w:val="24"/>
        </w:rPr>
        <w:t>provides a framework for growing collaboration between the defence science and technology research organisations of both countries.</w:t>
      </w:r>
    </w:p>
    <w:p w14:paraId="20F062E9" w14:textId="77777777" w:rsidR="00BB1B15" w:rsidRPr="00D323B6" w:rsidRDefault="00BB1B15" w:rsidP="0014704E">
      <w:pPr>
        <w:pStyle w:val="ListParagraph"/>
        <w:spacing w:after="0"/>
        <w:ind w:left="0" w:right="72"/>
        <w:rPr>
          <w:rFonts w:cstheme="minorHAnsi"/>
          <w:b/>
          <w:color w:val="000000"/>
          <w:spacing w:val="16"/>
          <w:sz w:val="24"/>
          <w:szCs w:val="24"/>
          <w:highlight w:val="white"/>
        </w:rPr>
      </w:pPr>
    </w:p>
    <w:p w14:paraId="5922DF87" w14:textId="77777777" w:rsidR="005608D1" w:rsidRPr="00D323B6" w:rsidRDefault="005608D1" w:rsidP="00A80396">
      <w:pPr>
        <w:numPr>
          <w:ilvl w:val="0"/>
          <w:numId w:val="7"/>
        </w:numPr>
        <w:suppressAutoHyphens/>
        <w:spacing w:after="0" w:line="240" w:lineRule="auto"/>
        <w:ind w:left="720" w:right="74" w:hanging="720"/>
        <w:contextualSpacing/>
        <w:rPr>
          <w:rFonts w:cstheme="minorHAnsi"/>
          <w:b/>
          <w:color w:val="000000"/>
          <w:spacing w:val="14"/>
          <w:sz w:val="24"/>
          <w:szCs w:val="24"/>
          <w:highlight w:val="white"/>
        </w:rPr>
      </w:pPr>
      <w:r w:rsidRPr="00D323B6">
        <w:rPr>
          <w:rFonts w:cstheme="minorHAnsi"/>
          <w:b/>
          <w:color w:val="000000"/>
          <w:spacing w:val="14"/>
          <w:sz w:val="24"/>
          <w:szCs w:val="24"/>
          <w:highlight w:val="white"/>
        </w:rPr>
        <w:t>Regional and Multilateral cooperation</w:t>
      </w:r>
    </w:p>
    <w:p w14:paraId="29E61137" w14:textId="77777777" w:rsidR="005608D1" w:rsidRPr="00D323B6" w:rsidRDefault="005608D1" w:rsidP="0014704E">
      <w:pPr>
        <w:spacing w:after="0"/>
        <w:ind w:right="74"/>
        <w:contextualSpacing/>
        <w:rPr>
          <w:rFonts w:cstheme="minorHAnsi"/>
          <w:b/>
          <w:color w:val="000000"/>
          <w:spacing w:val="14"/>
          <w:sz w:val="24"/>
          <w:szCs w:val="24"/>
          <w:highlight w:val="white"/>
        </w:rPr>
      </w:pPr>
    </w:p>
    <w:p w14:paraId="7A2F3648" w14:textId="77777777" w:rsidR="005608D1" w:rsidRPr="00BB1B15" w:rsidRDefault="005608D1" w:rsidP="00A80396">
      <w:pPr>
        <w:pStyle w:val="ListParagraph"/>
        <w:numPr>
          <w:ilvl w:val="0"/>
          <w:numId w:val="6"/>
        </w:numPr>
        <w:suppressAutoHyphens/>
        <w:spacing w:after="0" w:line="240" w:lineRule="auto"/>
        <w:ind w:left="0" w:right="89" w:firstLine="0"/>
        <w:rPr>
          <w:sz w:val="24"/>
          <w:szCs w:val="24"/>
        </w:rPr>
      </w:pPr>
      <w:r w:rsidRPr="00BB1B15">
        <w:rPr>
          <w:sz w:val="24"/>
          <w:szCs w:val="24"/>
        </w:rPr>
        <w:t xml:space="preserve">Both India and Australia share a vision of a free, open, </w:t>
      </w:r>
      <w:proofErr w:type="gramStart"/>
      <w:r w:rsidRPr="00BB1B15">
        <w:rPr>
          <w:sz w:val="24"/>
          <w:szCs w:val="24"/>
        </w:rPr>
        <w:t>inclusive</w:t>
      </w:r>
      <w:proofErr w:type="gramEnd"/>
      <w:r w:rsidRPr="00BB1B15">
        <w:rPr>
          <w:sz w:val="24"/>
          <w:szCs w:val="24"/>
        </w:rPr>
        <w:t xml:space="preserve"> and rules-based Indo-Pacific region to support the freedom of navigation, over-flight and peaceful and cooperative use </w:t>
      </w:r>
      <w:r w:rsidRPr="00BB1B15">
        <w:rPr>
          <w:sz w:val="24"/>
          <w:szCs w:val="24"/>
        </w:rPr>
        <w:lastRenderedPageBreak/>
        <w:t xml:space="preserve">of the seas by adherence of all nations to international law including the United Nations Convention on the Law of the Sea (UNCLOS) and peaceful resolution of disputes rather than through unilateral or coercive actions. </w:t>
      </w:r>
    </w:p>
    <w:p w14:paraId="0042570E" w14:textId="77777777" w:rsidR="005608D1" w:rsidRPr="00D323B6" w:rsidRDefault="005608D1" w:rsidP="0014704E">
      <w:pPr>
        <w:pStyle w:val="ListParagraph"/>
        <w:spacing w:after="0"/>
        <w:ind w:left="329" w:right="74"/>
        <w:rPr>
          <w:rFonts w:cstheme="minorHAnsi"/>
          <w:color w:val="000000"/>
          <w:spacing w:val="16"/>
          <w:sz w:val="24"/>
          <w:szCs w:val="24"/>
          <w:highlight w:val="white"/>
        </w:rPr>
      </w:pPr>
    </w:p>
    <w:p w14:paraId="0C1260F9" w14:textId="77777777" w:rsidR="005608D1" w:rsidRPr="00BB1B15" w:rsidRDefault="005608D1" w:rsidP="00A80396">
      <w:pPr>
        <w:pStyle w:val="ListParagraph"/>
        <w:numPr>
          <w:ilvl w:val="0"/>
          <w:numId w:val="6"/>
        </w:numPr>
        <w:suppressAutoHyphens/>
        <w:spacing w:after="0" w:line="240" w:lineRule="auto"/>
        <w:ind w:left="0" w:right="89" w:firstLine="0"/>
        <w:rPr>
          <w:sz w:val="24"/>
          <w:szCs w:val="24"/>
        </w:rPr>
      </w:pPr>
      <w:r w:rsidRPr="00BB1B15">
        <w:rPr>
          <w:sz w:val="24"/>
          <w:szCs w:val="24"/>
        </w:rPr>
        <w:t>Both sides share a commitment to supporting a strong and resilient regional architecture, with ASEAN at its centre. Both countries agreed to continue to work with the East Asia Summit (EAS) and other ASEAN-led institutions; the ASEAN Defence Ministers’ Meeting (ADMM Plus), Indian Ocean Naval Symposium (IONS) and Indian Ocean Rim Association (IORA) to realise our long-term objectives for the region. Both sides committed to continue to work through plurilateral and trilateral mechanisms as mutually agreed.</w:t>
      </w:r>
    </w:p>
    <w:p w14:paraId="381EDC5E" w14:textId="77777777" w:rsidR="005608D1" w:rsidRPr="00D323B6" w:rsidRDefault="005608D1" w:rsidP="0014704E">
      <w:pPr>
        <w:pStyle w:val="ListParagraph"/>
        <w:spacing w:after="0"/>
        <w:ind w:left="329" w:right="74"/>
        <w:rPr>
          <w:rFonts w:cstheme="minorHAnsi"/>
          <w:color w:val="000000"/>
          <w:spacing w:val="16"/>
          <w:sz w:val="24"/>
          <w:szCs w:val="24"/>
          <w:highlight w:val="white"/>
        </w:rPr>
      </w:pPr>
    </w:p>
    <w:p w14:paraId="12F8D4F0" w14:textId="77777777" w:rsidR="005608D1" w:rsidRPr="00BB1B15" w:rsidRDefault="005608D1" w:rsidP="00A80396">
      <w:pPr>
        <w:pStyle w:val="ListParagraph"/>
        <w:numPr>
          <w:ilvl w:val="0"/>
          <w:numId w:val="6"/>
        </w:numPr>
        <w:suppressAutoHyphens/>
        <w:spacing w:after="0" w:line="240" w:lineRule="auto"/>
        <w:ind w:left="0" w:right="89" w:firstLine="0"/>
        <w:rPr>
          <w:sz w:val="24"/>
          <w:szCs w:val="24"/>
        </w:rPr>
      </w:pPr>
      <w:r w:rsidRPr="00BB1B15">
        <w:rPr>
          <w:sz w:val="24"/>
          <w:szCs w:val="24"/>
        </w:rPr>
        <w:t xml:space="preserve">Both sides commit to continue to work together through various plurilateral mechanisms, including trilateral meetings with Japan, trilateral meetings with Indonesia and consultations on COVID-19 with Japan, New Zealand, the Republic of Korea, Vietnam, and the United States. They welcomed the inaugural Quad ministerial meeting with Japan and the United States in </w:t>
      </w:r>
      <w:proofErr w:type="gramStart"/>
      <w:r w:rsidRPr="00BB1B15">
        <w:rPr>
          <w:sz w:val="24"/>
          <w:szCs w:val="24"/>
        </w:rPr>
        <w:t>September 2019, and</w:t>
      </w:r>
      <w:proofErr w:type="gramEnd"/>
      <w:r w:rsidRPr="00BB1B15">
        <w:rPr>
          <w:sz w:val="24"/>
          <w:szCs w:val="24"/>
        </w:rPr>
        <w:t xml:space="preserve"> reaffirmed their commitment to ongoing Quad consultations. </w:t>
      </w:r>
    </w:p>
    <w:p w14:paraId="6F0DBAB9" w14:textId="77777777" w:rsidR="005608D1" w:rsidRPr="00D323B6" w:rsidRDefault="005608D1" w:rsidP="0014704E">
      <w:pPr>
        <w:pStyle w:val="ListParagraph"/>
        <w:spacing w:after="0"/>
        <w:ind w:left="329" w:right="74"/>
        <w:rPr>
          <w:rFonts w:cstheme="minorHAnsi"/>
          <w:color w:val="000000"/>
          <w:spacing w:val="16"/>
          <w:sz w:val="24"/>
          <w:szCs w:val="24"/>
          <w:highlight w:val="white"/>
        </w:rPr>
      </w:pPr>
    </w:p>
    <w:p w14:paraId="7CC14C9B" w14:textId="77777777" w:rsidR="005608D1" w:rsidRPr="00BB1B15" w:rsidRDefault="005608D1" w:rsidP="00A80396">
      <w:pPr>
        <w:pStyle w:val="ListParagraph"/>
        <w:numPr>
          <w:ilvl w:val="0"/>
          <w:numId w:val="6"/>
        </w:numPr>
        <w:suppressAutoHyphens/>
        <w:spacing w:after="0" w:line="240" w:lineRule="auto"/>
        <w:ind w:left="0" w:right="89" w:firstLine="0"/>
        <w:rPr>
          <w:sz w:val="24"/>
          <w:szCs w:val="24"/>
        </w:rPr>
      </w:pPr>
      <w:r w:rsidRPr="00BB1B15">
        <w:rPr>
          <w:sz w:val="24"/>
          <w:szCs w:val="24"/>
        </w:rPr>
        <w:t>Both sides recognised the importance of the prosperity and security of the South Pacific and will exchange views on their respective approaches to the South Pacific region under Australia’s Pacific Step Up and India’s Forum for India-Pacific Islands Cooperation (FIPIC), with a view to cooperate in the region.</w:t>
      </w:r>
    </w:p>
    <w:p w14:paraId="1EA4CAD3" w14:textId="77777777" w:rsidR="005608D1" w:rsidRPr="00D323B6" w:rsidRDefault="005608D1" w:rsidP="0014704E">
      <w:pPr>
        <w:pStyle w:val="ListParagraph"/>
        <w:spacing w:after="0"/>
        <w:ind w:left="329" w:right="74"/>
        <w:rPr>
          <w:rFonts w:cstheme="minorHAnsi"/>
          <w:color w:val="000000"/>
          <w:spacing w:val="16"/>
          <w:sz w:val="24"/>
          <w:szCs w:val="24"/>
          <w:highlight w:val="white"/>
        </w:rPr>
      </w:pPr>
    </w:p>
    <w:p w14:paraId="3305C583" w14:textId="77777777" w:rsidR="005608D1" w:rsidRPr="00BB1B15" w:rsidRDefault="005608D1" w:rsidP="00A80396">
      <w:pPr>
        <w:pStyle w:val="ListParagraph"/>
        <w:numPr>
          <w:ilvl w:val="0"/>
          <w:numId w:val="6"/>
        </w:numPr>
        <w:suppressAutoHyphens/>
        <w:spacing w:after="0" w:line="240" w:lineRule="auto"/>
        <w:ind w:left="0" w:right="89" w:firstLine="0"/>
        <w:rPr>
          <w:sz w:val="24"/>
          <w:szCs w:val="24"/>
        </w:rPr>
      </w:pPr>
      <w:r w:rsidRPr="00BB1B15">
        <w:rPr>
          <w:sz w:val="24"/>
          <w:szCs w:val="24"/>
        </w:rPr>
        <w:t>Both sides reiterated their support for continued bilateral civil nuclear cooperation and their commitment to further strengthen global non-proliferation. Australia expressed its strong support for India's membership of the Nuclear Suppliers Group (NSG).</w:t>
      </w:r>
    </w:p>
    <w:p w14:paraId="7F7709A7" w14:textId="77777777" w:rsidR="005608D1" w:rsidRPr="00D323B6" w:rsidRDefault="005608D1" w:rsidP="0014704E">
      <w:pPr>
        <w:spacing w:after="0"/>
        <w:ind w:right="72" w:hanging="29"/>
        <w:rPr>
          <w:rFonts w:cstheme="minorHAnsi"/>
          <w:color w:val="000000"/>
          <w:spacing w:val="16"/>
          <w:sz w:val="24"/>
          <w:szCs w:val="24"/>
          <w:highlight w:val="white"/>
        </w:rPr>
      </w:pPr>
    </w:p>
    <w:p w14:paraId="14BA4E6C" w14:textId="77777777" w:rsidR="005608D1" w:rsidRPr="00D323B6" w:rsidRDefault="005608D1" w:rsidP="00A80396">
      <w:pPr>
        <w:numPr>
          <w:ilvl w:val="0"/>
          <w:numId w:val="7"/>
        </w:numPr>
        <w:suppressAutoHyphens/>
        <w:spacing w:after="0" w:line="240" w:lineRule="auto"/>
        <w:ind w:left="720" w:right="74" w:hanging="720"/>
        <w:contextualSpacing/>
        <w:rPr>
          <w:rFonts w:cstheme="minorHAnsi"/>
          <w:b/>
          <w:color w:val="000000"/>
          <w:spacing w:val="14"/>
          <w:sz w:val="24"/>
          <w:szCs w:val="24"/>
          <w:highlight w:val="white"/>
        </w:rPr>
      </w:pPr>
      <w:r w:rsidRPr="00D323B6">
        <w:rPr>
          <w:rFonts w:cstheme="minorHAnsi"/>
          <w:b/>
          <w:color w:val="000000"/>
          <w:spacing w:val="14"/>
          <w:sz w:val="24"/>
          <w:szCs w:val="24"/>
          <w:highlight w:val="white"/>
        </w:rPr>
        <w:t>Terrorism</w:t>
      </w:r>
    </w:p>
    <w:p w14:paraId="4A5F375C" w14:textId="77777777" w:rsidR="005608D1" w:rsidRPr="00D323B6" w:rsidRDefault="005608D1" w:rsidP="0014704E">
      <w:pPr>
        <w:spacing w:after="0"/>
        <w:ind w:right="74"/>
        <w:contextualSpacing/>
        <w:rPr>
          <w:rFonts w:cstheme="minorHAnsi"/>
          <w:b/>
          <w:color w:val="000000"/>
          <w:spacing w:val="14"/>
          <w:sz w:val="24"/>
          <w:szCs w:val="24"/>
          <w:highlight w:val="white"/>
        </w:rPr>
      </w:pPr>
    </w:p>
    <w:p w14:paraId="41DBB21E" w14:textId="77777777" w:rsidR="005608D1" w:rsidRPr="00BB1B15" w:rsidRDefault="005608D1" w:rsidP="00A80396">
      <w:pPr>
        <w:pStyle w:val="ListParagraph"/>
        <w:numPr>
          <w:ilvl w:val="0"/>
          <w:numId w:val="6"/>
        </w:numPr>
        <w:suppressAutoHyphens/>
        <w:spacing w:after="0" w:line="240" w:lineRule="auto"/>
        <w:ind w:left="0" w:right="89" w:firstLine="0"/>
        <w:rPr>
          <w:sz w:val="24"/>
          <w:szCs w:val="24"/>
        </w:rPr>
      </w:pPr>
      <w:r w:rsidRPr="00BB1B15">
        <w:rPr>
          <w:sz w:val="24"/>
          <w:szCs w:val="24"/>
        </w:rPr>
        <w:t xml:space="preserve">Recognising that terrorism remains a threat to peace and stability in our region, both sides strongly condemned terrorism in all its forms and </w:t>
      </w:r>
      <w:proofErr w:type="gramStart"/>
      <w:r w:rsidRPr="00BB1B15">
        <w:rPr>
          <w:sz w:val="24"/>
          <w:szCs w:val="24"/>
        </w:rPr>
        <w:t>manifestations, and</w:t>
      </w:r>
      <w:proofErr w:type="gramEnd"/>
      <w:r w:rsidRPr="00BB1B15">
        <w:rPr>
          <w:sz w:val="24"/>
          <w:szCs w:val="24"/>
        </w:rPr>
        <w:t xml:space="preserve"> stressed that there can be no justification for acts of terror on any grounds whatsoever. Consistent with resolutions of the United Nations and the 2015 G20 Statement on the Fight against Terrorism, both sides support a comprehensive approach in combating terrorism, including by countering violent extremism, preventing radicalisation to terrorism, stemming recruitment, preventing the movement of terrorists including Foreign Terrorist Fighters, disruption of financial support to terrorists, countering incitement to commit terrorist acts and facilitating the investigation and prosecution of terrorist acts. Both sides reiterate our resolve to work with internet companies to strengthen transparency to prevent online terrorist activity consistent with the G20 Osaka Leaders agreement on Preventing Exploitation of the Internet for Terrorism and Violent Extremism Conducive to Terrorism.</w:t>
      </w:r>
    </w:p>
    <w:p w14:paraId="244CFFBE" w14:textId="77777777" w:rsidR="005608D1" w:rsidRPr="00D323B6" w:rsidRDefault="005608D1" w:rsidP="0014704E">
      <w:pPr>
        <w:pStyle w:val="ListParagraph"/>
        <w:spacing w:after="0"/>
        <w:ind w:left="329" w:right="74"/>
        <w:rPr>
          <w:rFonts w:cstheme="minorHAnsi"/>
          <w:color w:val="000000"/>
          <w:spacing w:val="16"/>
          <w:sz w:val="24"/>
          <w:szCs w:val="24"/>
          <w:highlight w:val="white"/>
        </w:rPr>
      </w:pPr>
    </w:p>
    <w:p w14:paraId="38FBE381" w14:textId="77777777" w:rsidR="005608D1" w:rsidRPr="00BB1B15" w:rsidRDefault="005608D1" w:rsidP="00A80396">
      <w:pPr>
        <w:pStyle w:val="ListParagraph"/>
        <w:numPr>
          <w:ilvl w:val="0"/>
          <w:numId w:val="6"/>
        </w:numPr>
        <w:suppressAutoHyphens/>
        <w:spacing w:after="0" w:line="240" w:lineRule="auto"/>
        <w:ind w:left="0" w:right="89" w:firstLine="0"/>
        <w:rPr>
          <w:sz w:val="24"/>
          <w:szCs w:val="24"/>
        </w:rPr>
      </w:pPr>
      <w:r w:rsidRPr="00BB1B15">
        <w:rPr>
          <w:sz w:val="24"/>
          <w:szCs w:val="24"/>
        </w:rPr>
        <w:t>Both sides will also assess and address potential risks associated with virtual assets and new financial</w:t>
      </w:r>
      <w:r w:rsidRPr="00BB1B15">
        <w:t> technologies</w:t>
      </w:r>
      <w:r w:rsidRPr="00BB1B15">
        <w:rPr>
          <w:sz w:val="24"/>
          <w:szCs w:val="24"/>
        </w:rPr>
        <w:t> that may be abused for the purpose of </w:t>
      </w:r>
      <w:r w:rsidRPr="00BB1B15">
        <w:t>money laundering and </w:t>
      </w:r>
      <w:r w:rsidRPr="00BB1B15">
        <w:rPr>
          <w:sz w:val="24"/>
          <w:szCs w:val="24"/>
        </w:rPr>
        <w:t>terrorist financing and take steps to ensure that such</w:t>
      </w:r>
      <w:r w:rsidRPr="00BB1B15">
        <w:t> virtual</w:t>
      </w:r>
      <w:r w:rsidRPr="00BB1B15">
        <w:rPr>
          <w:sz w:val="24"/>
          <w:szCs w:val="24"/>
        </w:rPr>
        <w:t> assets</w:t>
      </w:r>
      <w:r w:rsidRPr="00BB1B15">
        <w:t> service providers</w:t>
      </w:r>
      <w:r w:rsidRPr="00BB1B15">
        <w:rPr>
          <w:sz w:val="24"/>
          <w:szCs w:val="24"/>
        </w:rPr>
        <w:t> are subject to Anti-Money Laundering/Countering Financing for Terrorism (AML/CFT)</w:t>
      </w:r>
      <w:r w:rsidRPr="00BB1B15">
        <w:t> regulations.</w:t>
      </w:r>
      <w:r w:rsidRPr="00BB1B15">
        <w:rPr>
          <w:sz w:val="24"/>
          <w:szCs w:val="24"/>
        </w:rPr>
        <w:t xml:space="preserve"> Both sides called for early adoption of a Comprehensive Convention on International Terrorism (CCIT).</w:t>
      </w:r>
    </w:p>
    <w:p w14:paraId="3253B0A5" w14:textId="50E62EE5" w:rsidR="005608D1" w:rsidRDefault="005608D1" w:rsidP="0014704E">
      <w:pPr>
        <w:tabs>
          <w:tab w:val="decimal" w:pos="720"/>
          <w:tab w:val="decimal" w:pos="792"/>
        </w:tabs>
        <w:spacing w:after="0"/>
        <w:ind w:right="72" w:hanging="29"/>
        <w:rPr>
          <w:rFonts w:eastAsia="Times New Roman" w:cstheme="minorHAnsi"/>
          <w:color w:val="000000"/>
          <w:spacing w:val="16"/>
          <w:sz w:val="24"/>
          <w:szCs w:val="24"/>
          <w:highlight w:val="white"/>
        </w:rPr>
      </w:pPr>
    </w:p>
    <w:p w14:paraId="29A1F6C3" w14:textId="77777777" w:rsidR="00225A6C" w:rsidRPr="00D323B6" w:rsidRDefault="00225A6C" w:rsidP="0014704E">
      <w:pPr>
        <w:tabs>
          <w:tab w:val="decimal" w:pos="720"/>
          <w:tab w:val="decimal" w:pos="792"/>
        </w:tabs>
        <w:spacing w:after="0"/>
        <w:ind w:right="72" w:hanging="29"/>
        <w:rPr>
          <w:rFonts w:eastAsia="Times New Roman" w:cstheme="minorHAnsi"/>
          <w:color w:val="000000"/>
          <w:spacing w:val="16"/>
          <w:sz w:val="24"/>
          <w:szCs w:val="24"/>
          <w:highlight w:val="white"/>
        </w:rPr>
      </w:pPr>
    </w:p>
    <w:p w14:paraId="4FAC692E" w14:textId="77777777" w:rsidR="005608D1" w:rsidRPr="00D323B6" w:rsidRDefault="005608D1" w:rsidP="00A80396">
      <w:pPr>
        <w:numPr>
          <w:ilvl w:val="0"/>
          <w:numId w:val="7"/>
        </w:numPr>
        <w:suppressAutoHyphens/>
        <w:spacing w:after="0" w:line="240" w:lineRule="auto"/>
        <w:ind w:left="720" w:right="74" w:hanging="720"/>
        <w:contextualSpacing/>
        <w:rPr>
          <w:rFonts w:eastAsia="Source Han Sans CN Regular" w:cstheme="minorHAnsi"/>
          <w:b/>
          <w:color w:val="000000"/>
          <w:spacing w:val="14"/>
          <w:sz w:val="24"/>
          <w:szCs w:val="24"/>
          <w:highlight w:val="white"/>
        </w:rPr>
      </w:pPr>
      <w:r w:rsidRPr="00D323B6">
        <w:rPr>
          <w:rFonts w:cstheme="minorHAnsi"/>
          <w:b/>
          <w:color w:val="000000"/>
          <w:spacing w:val="14"/>
          <w:sz w:val="24"/>
          <w:szCs w:val="24"/>
          <w:highlight w:val="white"/>
        </w:rPr>
        <w:lastRenderedPageBreak/>
        <w:t>Economic cooperation: A More Prosperous Shared Future</w:t>
      </w:r>
    </w:p>
    <w:p w14:paraId="244BEF3E" w14:textId="77777777" w:rsidR="005608D1" w:rsidRPr="00D323B6" w:rsidRDefault="005608D1" w:rsidP="0014704E">
      <w:pPr>
        <w:spacing w:after="0"/>
        <w:ind w:right="74"/>
        <w:contextualSpacing/>
        <w:rPr>
          <w:rFonts w:cstheme="minorHAnsi"/>
          <w:b/>
          <w:color w:val="000000"/>
          <w:spacing w:val="14"/>
          <w:sz w:val="24"/>
          <w:szCs w:val="24"/>
          <w:highlight w:val="white"/>
        </w:rPr>
      </w:pPr>
    </w:p>
    <w:p w14:paraId="1025D5B9" w14:textId="72E0AE6A" w:rsidR="005608D1" w:rsidRPr="00BB1B15" w:rsidRDefault="005608D1" w:rsidP="00A80396">
      <w:pPr>
        <w:pStyle w:val="ListParagraph"/>
        <w:numPr>
          <w:ilvl w:val="0"/>
          <w:numId w:val="6"/>
        </w:numPr>
        <w:suppressAutoHyphens/>
        <w:spacing w:after="0" w:line="240" w:lineRule="auto"/>
        <w:ind w:left="0" w:right="89" w:firstLine="0"/>
        <w:rPr>
          <w:sz w:val="24"/>
          <w:szCs w:val="24"/>
        </w:rPr>
      </w:pPr>
      <w:r w:rsidRPr="543832D4">
        <w:rPr>
          <w:sz w:val="24"/>
          <w:szCs w:val="24"/>
        </w:rPr>
        <w:t>The two sides committed to encourage expanded trade and investment flows to the benefit of both the economies. In view of the remarkable growth in the trading relationship between India and Australia, both sides decided to    re-engage on a bilateral Comprehensive Economic Cooperation Agreement (CECA), while suitably considering earlier bilateral discussions, where a mutually agreed way forward can be found.</w:t>
      </w:r>
    </w:p>
    <w:p w14:paraId="1684D687" w14:textId="77777777" w:rsidR="005608D1" w:rsidRPr="00D323B6" w:rsidRDefault="005608D1" w:rsidP="0014704E">
      <w:pPr>
        <w:pStyle w:val="ListParagraph"/>
        <w:spacing w:after="0"/>
        <w:ind w:left="0" w:right="74"/>
        <w:rPr>
          <w:rFonts w:cstheme="minorHAnsi"/>
          <w:color w:val="000000"/>
          <w:spacing w:val="16"/>
          <w:sz w:val="24"/>
          <w:szCs w:val="24"/>
          <w:highlight w:val="white"/>
        </w:rPr>
      </w:pPr>
    </w:p>
    <w:p w14:paraId="44FA0D60" w14:textId="77777777" w:rsidR="005608D1" w:rsidRPr="00D323B6" w:rsidRDefault="005608D1" w:rsidP="0014704E">
      <w:pPr>
        <w:pStyle w:val="ListParagraph"/>
        <w:spacing w:after="0"/>
        <w:rPr>
          <w:rFonts w:cstheme="minorHAnsi"/>
          <w:color w:val="000000"/>
          <w:spacing w:val="16"/>
          <w:sz w:val="24"/>
          <w:szCs w:val="24"/>
          <w:highlight w:val="white"/>
        </w:rPr>
      </w:pPr>
    </w:p>
    <w:p w14:paraId="47DFEFF2" w14:textId="77777777" w:rsidR="005608D1" w:rsidRPr="00BB1B15" w:rsidRDefault="005608D1" w:rsidP="00A80396">
      <w:pPr>
        <w:pStyle w:val="ListParagraph"/>
        <w:numPr>
          <w:ilvl w:val="0"/>
          <w:numId w:val="6"/>
        </w:numPr>
        <w:suppressAutoHyphens/>
        <w:spacing w:after="0" w:line="240" w:lineRule="auto"/>
        <w:ind w:left="0" w:right="89" w:firstLine="0"/>
        <w:rPr>
          <w:sz w:val="24"/>
          <w:szCs w:val="24"/>
        </w:rPr>
      </w:pPr>
      <w:r w:rsidRPr="00BB1B15">
        <w:rPr>
          <w:sz w:val="24"/>
          <w:szCs w:val="24"/>
        </w:rPr>
        <w:t>Both countries committed to work closely together on our approach to international economic issues through the G20 and in that context, Australia welcomed India’s hosting of the G20 in 2022.</w:t>
      </w:r>
    </w:p>
    <w:p w14:paraId="7504F492" w14:textId="77777777" w:rsidR="005608D1" w:rsidRPr="00D323B6" w:rsidRDefault="005608D1" w:rsidP="0014704E">
      <w:pPr>
        <w:pStyle w:val="ListParagraph"/>
        <w:spacing w:after="0"/>
        <w:rPr>
          <w:rFonts w:cstheme="minorHAnsi"/>
          <w:color w:val="000000"/>
          <w:spacing w:val="16"/>
          <w:sz w:val="24"/>
          <w:szCs w:val="24"/>
          <w:highlight w:val="white"/>
        </w:rPr>
      </w:pPr>
    </w:p>
    <w:p w14:paraId="5A278730" w14:textId="77777777" w:rsidR="005608D1" w:rsidRPr="00BB1B15" w:rsidRDefault="005608D1" w:rsidP="00A80396">
      <w:pPr>
        <w:pStyle w:val="ListParagraph"/>
        <w:numPr>
          <w:ilvl w:val="0"/>
          <w:numId w:val="6"/>
        </w:numPr>
        <w:suppressAutoHyphens/>
        <w:spacing w:after="0" w:line="240" w:lineRule="auto"/>
        <w:ind w:left="0" w:right="89" w:firstLine="0"/>
        <w:rPr>
          <w:sz w:val="24"/>
          <w:szCs w:val="24"/>
        </w:rPr>
      </w:pPr>
      <w:r w:rsidRPr="00BB1B15">
        <w:rPr>
          <w:sz w:val="24"/>
          <w:szCs w:val="24"/>
        </w:rPr>
        <w:t>Both sides share a common commitment to the rules-based multilateral trading system and committed to work together to protect and shape the rules that promote economic growth, development, trade liberalisation and open markets in accordance with the Preamble of the Marrakesh Agreement establishing the World Trade Organization (WTO). This includes reforming and strengthening the WTO, while preserving its fundamental principles so that it continues to remain relevant to the needs of all WTO Members.</w:t>
      </w:r>
    </w:p>
    <w:p w14:paraId="397A29E9" w14:textId="77777777" w:rsidR="005608D1" w:rsidRPr="00D323B6" w:rsidRDefault="005608D1" w:rsidP="0014704E">
      <w:pPr>
        <w:pStyle w:val="ListParagraph"/>
        <w:spacing w:after="0"/>
        <w:rPr>
          <w:rFonts w:cstheme="minorHAnsi"/>
          <w:color w:val="000000"/>
          <w:spacing w:val="16"/>
          <w:sz w:val="24"/>
          <w:szCs w:val="24"/>
          <w:highlight w:val="white"/>
        </w:rPr>
      </w:pPr>
    </w:p>
    <w:p w14:paraId="1EA69195" w14:textId="77777777" w:rsidR="005608D1" w:rsidRPr="00BB1B15" w:rsidRDefault="005608D1" w:rsidP="00A80396">
      <w:pPr>
        <w:pStyle w:val="ListParagraph"/>
        <w:numPr>
          <w:ilvl w:val="0"/>
          <w:numId w:val="6"/>
        </w:numPr>
        <w:suppressAutoHyphens/>
        <w:spacing w:after="0" w:line="240" w:lineRule="auto"/>
        <w:ind w:left="0" w:right="89" w:firstLine="0"/>
        <w:rPr>
          <w:sz w:val="24"/>
          <w:szCs w:val="24"/>
        </w:rPr>
      </w:pPr>
      <w:r w:rsidRPr="00BB1B15">
        <w:rPr>
          <w:sz w:val="24"/>
          <w:szCs w:val="24"/>
        </w:rPr>
        <w:t xml:space="preserve">Both sides expressed their interest in ensuring that Australian businesses are aware of opportunities through India’s "Make in India" program and the Smart Cities initiatives, and that Indian companies are aware of investment projects in Australia. </w:t>
      </w:r>
    </w:p>
    <w:p w14:paraId="772BD4F8" w14:textId="77777777" w:rsidR="005608D1" w:rsidRPr="00D323B6" w:rsidRDefault="005608D1" w:rsidP="0014704E">
      <w:pPr>
        <w:spacing w:after="0"/>
        <w:ind w:right="72"/>
        <w:rPr>
          <w:rFonts w:cstheme="minorHAnsi"/>
          <w:color w:val="000000"/>
          <w:spacing w:val="18"/>
          <w:sz w:val="24"/>
          <w:szCs w:val="24"/>
          <w:highlight w:val="white"/>
        </w:rPr>
      </w:pPr>
      <w:bookmarkStart w:id="94" w:name="move286193122111111"/>
      <w:bookmarkEnd w:id="94"/>
    </w:p>
    <w:p w14:paraId="6796381C" w14:textId="451F8764" w:rsidR="005608D1" w:rsidRPr="00BB1B15" w:rsidRDefault="005608D1" w:rsidP="00A80396">
      <w:pPr>
        <w:pStyle w:val="ListParagraph"/>
        <w:numPr>
          <w:ilvl w:val="0"/>
          <w:numId w:val="6"/>
        </w:numPr>
        <w:suppressAutoHyphens/>
        <w:spacing w:after="0" w:line="240" w:lineRule="auto"/>
        <w:ind w:left="0" w:right="89" w:firstLine="0"/>
        <w:rPr>
          <w:sz w:val="24"/>
          <w:szCs w:val="24"/>
        </w:rPr>
      </w:pPr>
      <w:r w:rsidRPr="00BB1B15">
        <w:rPr>
          <w:sz w:val="24"/>
          <w:szCs w:val="24"/>
        </w:rPr>
        <w:t>Both countries also jointly decided to continue to raise awareness among Australian investors and Superannuation Funds of opportunities in India’s infrastructure sector under the National Investment and Infrastructure Fund (NIIF).</w:t>
      </w:r>
    </w:p>
    <w:p w14:paraId="08F37A7E" w14:textId="77777777" w:rsidR="005608D1" w:rsidRPr="00D323B6" w:rsidRDefault="005608D1" w:rsidP="0014704E">
      <w:pPr>
        <w:pStyle w:val="ListParagraph"/>
        <w:spacing w:after="0"/>
        <w:ind w:left="0" w:right="74"/>
        <w:rPr>
          <w:rFonts w:cstheme="minorHAnsi"/>
          <w:color w:val="000000"/>
          <w:spacing w:val="16"/>
          <w:sz w:val="24"/>
          <w:szCs w:val="24"/>
          <w:highlight w:val="white"/>
        </w:rPr>
      </w:pPr>
    </w:p>
    <w:p w14:paraId="7FAEF1F6" w14:textId="77777777" w:rsidR="005608D1" w:rsidRPr="00BB1B15" w:rsidRDefault="005608D1" w:rsidP="00A80396">
      <w:pPr>
        <w:pStyle w:val="ListParagraph"/>
        <w:numPr>
          <w:ilvl w:val="0"/>
          <w:numId w:val="6"/>
        </w:numPr>
        <w:suppressAutoHyphens/>
        <w:spacing w:after="0" w:line="240" w:lineRule="auto"/>
        <w:ind w:left="0" w:right="89" w:firstLine="0"/>
        <w:rPr>
          <w:sz w:val="24"/>
          <w:szCs w:val="24"/>
        </w:rPr>
      </w:pPr>
      <w:r w:rsidRPr="00BB1B15">
        <w:rPr>
          <w:sz w:val="24"/>
          <w:szCs w:val="24"/>
        </w:rPr>
        <w:t xml:space="preserve">India and Australia jointly decided to explore the possibility of launching the Indian </w:t>
      </w:r>
      <w:proofErr w:type="spellStart"/>
      <w:r w:rsidRPr="00BB1B15">
        <w:rPr>
          <w:sz w:val="24"/>
          <w:szCs w:val="24"/>
        </w:rPr>
        <w:t>RuPay</w:t>
      </w:r>
      <w:proofErr w:type="spellEnd"/>
      <w:r w:rsidRPr="00BB1B15">
        <w:rPr>
          <w:sz w:val="24"/>
          <w:szCs w:val="24"/>
        </w:rPr>
        <w:t xml:space="preserve"> Card in Australia.</w:t>
      </w:r>
    </w:p>
    <w:p w14:paraId="7585616D" w14:textId="77777777" w:rsidR="005608D1" w:rsidRPr="00D323B6" w:rsidRDefault="005608D1" w:rsidP="0014704E">
      <w:pPr>
        <w:spacing w:after="0"/>
        <w:ind w:right="72"/>
        <w:rPr>
          <w:rFonts w:cstheme="minorHAnsi"/>
          <w:color w:val="000000"/>
          <w:spacing w:val="18"/>
          <w:sz w:val="24"/>
          <w:szCs w:val="24"/>
          <w:highlight w:val="white"/>
        </w:rPr>
      </w:pPr>
    </w:p>
    <w:p w14:paraId="18F78491" w14:textId="77777777" w:rsidR="005608D1" w:rsidRPr="00D323B6" w:rsidRDefault="005608D1" w:rsidP="00A80396">
      <w:pPr>
        <w:numPr>
          <w:ilvl w:val="0"/>
          <w:numId w:val="7"/>
        </w:numPr>
        <w:suppressAutoHyphens/>
        <w:spacing w:after="0" w:line="240" w:lineRule="auto"/>
        <w:ind w:left="720" w:right="74" w:hanging="720"/>
        <w:contextualSpacing/>
        <w:rPr>
          <w:rFonts w:cstheme="minorHAnsi"/>
          <w:b/>
          <w:color w:val="000000"/>
          <w:spacing w:val="14"/>
          <w:sz w:val="24"/>
          <w:szCs w:val="24"/>
          <w:highlight w:val="white"/>
        </w:rPr>
      </w:pPr>
      <w:r w:rsidRPr="00D323B6">
        <w:rPr>
          <w:rFonts w:cstheme="minorHAnsi"/>
          <w:b/>
          <w:color w:val="000000"/>
          <w:spacing w:val="14"/>
          <w:sz w:val="24"/>
          <w:szCs w:val="24"/>
          <w:highlight w:val="white"/>
        </w:rPr>
        <w:t>Innovation &amp; Entrepreneurship</w:t>
      </w:r>
    </w:p>
    <w:p w14:paraId="6AA56CCA" w14:textId="77777777" w:rsidR="005608D1" w:rsidRPr="00D323B6" w:rsidRDefault="005608D1" w:rsidP="0014704E">
      <w:pPr>
        <w:spacing w:after="0"/>
        <w:ind w:left="720" w:right="74"/>
        <w:contextualSpacing/>
        <w:rPr>
          <w:rFonts w:cstheme="minorHAnsi"/>
          <w:b/>
          <w:color w:val="000000"/>
          <w:spacing w:val="14"/>
          <w:sz w:val="24"/>
          <w:szCs w:val="24"/>
          <w:highlight w:val="white"/>
        </w:rPr>
      </w:pPr>
    </w:p>
    <w:p w14:paraId="674B7179" w14:textId="77777777" w:rsidR="005608D1" w:rsidRPr="00BB1B15" w:rsidRDefault="005608D1" w:rsidP="00A80396">
      <w:pPr>
        <w:pStyle w:val="ListParagraph"/>
        <w:numPr>
          <w:ilvl w:val="0"/>
          <w:numId w:val="6"/>
        </w:numPr>
        <w:suppressAutoHyphens/>
        <w:spacing w:after="0" w:line="240" w:lineRule="auto"/>
        <w:ind w:left="0" w:right="89" w:firstLine="0"/>
        <w:rPr>
          <w:sz w:val="24"/>
          <w:szCs w:val="24"/>
        </w:rPr>
      </w:pPr>
      <w:r w:rsidRPr="00BB1B15">
        <w:rPr>
          <w:sz w:val="24"/>
          <w:szCs w:val="24"/>
        </w:rPr>
        <w:t xml:space="preserve">In this context, both sides committed to continue fostering collaboration between entrepreneurs, developing innovative </w:t>
      </w:r>
      <w:proofErr w:type="gramStart"/>
      <w:r w:rsidRPr="00BB1B15">
        <w:rPr>
          <w:sz w:val="24"/>
          <w:szCs w:val="24"/>
        </w:rPr>
        <w:t>products</w:t>
      </w:r>
      <w:proofErr w:type="gramEnd"/>
      <w:r w:rsidRPr="00BB1B15">
        <w:rPr>
          <w:sz w:val="24"/>
          <w:szCs w:val="24"/>
        </w:rPr>
        <w:t xml:space="preserve"> and promoting start-ups and incubation centres. Both sides committed to enhance cooperation in the Micro, Small and Medium Enterprises (MSME) sector and decided that major industries of both countries should endeavour to integrate the SME/MSMEs of the other country into their supply chains, thereby diversifying bilateral trade. Both countries jointly decided to take forward SME/MSME cooperation including through the Australia India Business Exchange program.</w:t>
      </w:r>
    </w:p>
    <w:p w14:paraId="544D24F8" w14:textId="77777777" w:rsidR="005608D1" w:rsidRPr="00D323B6" w:rsidRDefault="005608D1" w:rsidP="0014704E">
      <w:pPr>
        <w:spacing w:after="0"/>
        <w:ind w:right="72" w:hanging="29"/>
        <w:rPr>
          <w:rFonts w:cstheme="minorHAnsi"/>
          <w:color w:val="000000"/>
          <w:spacing w:val="16"/>
          <w:sz w:val="24"/>
          <w:szCs w:val="24"/>
          <w:highlight w:val="white"/>
        </w:rPr>
      </w:pPr>
    </w:p>
    <w:p w14:paraId="2E901B28" w14:textId="77777777" w:rsidR="005608D1" w:rsidRPr="00D323B6" w:rsidRDefault="005608D1" w:rsidP="00A80396">
      <w:pPr>
        <w:numPr>
          <w:ilvl w:val="0"/>
          <w:numId w:val="7"/>
        </w:numPr>
        <w:suppressAutoHyphens/>
        <w:spacing w:after="0" w:line="240" w:lineRule="auto"/>
        <w:ind w:left="720" w:right="74" w:hanging="720"/>
        <w:contextualSpacing/>
        <w:rPr>
          <w:rFonts w:cstheme="minorHAnsi"/>
          <w:b/>
          <w:color w:val="000000"/>
          <w:spacing w:val="14"/>
          <w:sz w:val="24"/>
          <w:szCs w:val="24"/>
          <w:highlight w:val="white"/>
        </w:rPr>
      </w:pPr>
      <w:r w:rsidRPr="00D323B6">
        <w:rPr>
          <w:rFonts w:cstheme="minorHAnsi"/>
          <w:b/>
          <w:color w:val="000000"/>
          <w:spacing w:val="14"/>
          <w:sz w:val="24"/>
          <w:szCs w:val="24"/>
          <w:highlight w:val="white"/>
        </w:rPr>
        <w:t>Agriculture Cooperation and Water Resources Management</w:t>
      </w:r>
    </w:p>
    <w:p w14:paraId="696E97EF" w14:textId="77777777" w:rsidR="005608D1" w:rsidRPr="00D323B6" w:rsidRDefault="005608D1" w:rsidP="0014704E">
      <w:pPr>
        <w:spacing w:after="0"/>
        <w:ind w:right="89"/>
        <w:contextualSpacing/>
        <w:rPr>
          <w:rFonts w:cstheme="minorHAnsi"/>
          <w:b/>
          <w:color w:val="000000"/>
          <w:spacing w:val="14"/>
          <w:sz w:val="24"/>
          <w:szCs w:val="24"/>
          <w:highlight w:val="white"/>
        </w:rPr>
      </w:pPr>
    </w:p>
    <w:p w14:paraId="52C793D3" w14:textId="77777777" w:rsidR="005608D1" w:rsidRPr="00BB1B15" w:rsidRDefault="005608D1" w:rsidP="00A80396">
      <w:pPr>
        <w:pStyle w:val="ListParagraph"/>
        <w:numPr>
          <w:ilvl w:val="0"/>
          <w:numId w:val="6"/>
        </w:numPr>
        <w:suppressAutoHyphens/>
        <w:spacing w:after="0" w:line="240" w:lineRule="auto"/>
        <w:ind w:left="0" w:right="89" w:firstLine="0"/>
        <w:rPr>
          <w:sz w:val="24"/>
          <w:szCs w:val="24"/>
        </w:rPr>
      </w:pPr>
      <w:r w:rsidRPr="00BB1B15">
        <w:rPr>
          <w:sz w:val="24"/>
          <w:szCs w:val="24"/>
        </w:rPr>
        <w:t xml:space="preserve">Agriculture is an important pillar of the Australian and Indian economies with shared challenges and climactic conditions. Recognising the long history of collaboration in agricultural research, education, </w:t>
      </w:r>
      <w:proofErr w:type="gramStart"/>
      <w:r w:rsidRPr="00BB1B15">
        <w:rPr>
          <w:sz w:val="24"/>
          <w:szCs w:val="24"/>
        </w:rPr>
        <w:t>development</w:t>
      </w:r>
      <w:proofErr w:type="gramEnd"/>
      <w:r w:rsidRPr="00BB1B15">
        <w:rPr>
          <w:sz w:val="24"/>
          <w:szCs w:val="24"/>
        </w:rPr>
        <w:t xml:space="preserve"> and capacity building, it was jointly decided to continue building on our mutually beneficial agriculture relationship including through exploring the development of a partnership on grains management and logistics to reduce post-harvest losses, </w:t>
      </w:r>
      <w:r w:rsidRPr="00BB1B15">
        <w:rPr>
          <w:sz w:val="24"/>
          <w:szCs w:val="24"/>
        </w:rPr>
        <w:lastRenderedPageBreak/>
        <w:t>rationalise costs and ensure farmer income is not affected by supply chain disruptions (particularly in light of the COVID-19 pandemic).</w:t>
      </w:r>
    </w:p>
    <w:p w14:paraId="4D7EE3FD" w14:textId="77777777" w:rsidR="005608D1" w:rsidRPr="00BB1B15" w:rsidRDefault="005608D1" w:rsidP="0014704E">
      <w:pPr>
        <w:pStyle w:val="ListParagraph"/>
        <w:suppressAutoHyphens/>
        <w:spacing w:after="0" w:line="240" w:lineRule="auto"/>
        <w:ind w:left="0" w:right="89"/>
        <w:rPr>
          <w:sz w:val="24"/>
          <w:szCs w:val="24"/>
        </w:rPr>
      </w:pPr>
    </w:p>
    <w:p w14:paraId="17FD2EB0" w14:textId="77777777" w:rsidR="005608D1" w:rsidRPr="00BB1B15" w:rsidRDefault="005608D1" w:rsidP="00A80396">
      <w:pPr>
        <w:pStyle w:val="ListParagraph"/>
        <w:numPr>
          <w:ilvl w:val="0"/>
          <w:numId w:val="6"/>
        </w:numPr>
        <w:suppressAutoHyphens/>
        <w:spacing w:after="0" w:line="240" w:lineRule="auto"/>
        <w:ind w:left="0" w:right="89" w:firstLine="0"/>
        <w:rPr>
          <w:sz w:val="24"/>
          <w:szCs w:val="24"/>
        </w:rPr>
      </w:pPr>
      <w:r w:rsidRPr="00BB1B15">
        <w:rPr>
          <w:sz w:val="24"/>
          <w:szCs w:val="24"/>
        </w:rPr>
        <w:t xml:space="preserve">Both countries noted that on market access issues, some progress has been made and they demonstrated their strong commitment to continue the negotiations. </w:t>
      </w:r>
    </w:p>
    <w:p w14:paraId="66F4DE3E" w14:textId="77777777" w:rsidR="005608D1" w:rsidRPr="00D323B6" w:rsidRDefault="005608D1" w:rsidP="0014704E">
      <w:pPr>
        <w:spacing w:after="0"/>
        <w:ind w:right="72"/>
        <w:rPr>
          <w:rFonts w:cstheme="minorHAnsi"/>
          <w:color w:val="000000"/>
          <w:spacing w:val="16"/>
          <w:sz w:val="24"/>
          <w:szCs w:val="24"/>
          <w:highlight w:val="white"/>
        </w:rPr>
      </w:pPr>
    </w:p>
    <w:p w14:paraId="5AFED53A" w14:textId="77777777" w:rsidR="005608D1" w:rsidRPr="00BB1B15" w:rsidRDefault="005608D1" w:rsidP="00A80396">
      <w:pPr>
        <w:pStyle w:val="ListParagraph"/>
        <w:numPr>
          <w:ilvl w:val="0"/>
          <w:numId w:val="6"/>
        </w:numPr>
        <w:suppressAutoHyphens/>
        <w:spacing w:after="0" w:line="240" w:lineRule="auto"/>
        <w:ind w:left="0" w:right="89" w:firstLine="0"/>
        <w:rPr>
          <w:sz w:val="24"/>
          <w:szCs w:val="24"/>
        </w:rPr>
      </w:pPr>
      <w:r w:rsidRPr="00BB1B15">
        <w:rPr>
          <w:sz w:val="24"/>
          <w:szCs w:val="24"/>
        </w:rPr>
        <w:t xml:space="preserve">Water security is a critical challenge for both countries and it was jointly decided to deepen policy and technical cooperation on mutually agreed activities to improve water management and sustainable economic development through the </w:t>
      </w:r>
      <w:r w:rsidRPr="00BB1B15">
        <w:rPr>
          <w:b/>
          <w:bCs/>
          <w:sz w:val="24"/>
          <w:szCs w:val="24"/>
        </w:rPr>
        <w:t>Memorandum of Understanding on cooperation in the field of Water Resources Management.</w:t>
      </w:r>
    </w:p>
    <w:p w14:paraId="7D46F0B4" w14:textId="77777777" w:rsidR="005608D1" w:rsidRPr="00D323B6" w:rsidRDefault="005608D1" w:rsidP="0014704E">
      <w:pPr>
        <w:pStyle w:val="ListParagraph"/>
        <w:spacing w:after="0"/>
        <w:ind w:left="0" w:right="74"/>
        <w:rPr>
          <w:rFonts w:cstheme="minorHAnsi"/>
          <w:color w:val="000000"/>
          <w:spacing w:val="16"/>
          <w:sz w:val="24"/>
          <w:szCs w:val="24"/>
          <w:highlight w:val="white"/>
        </w:rPr>
      </w:pPr>
    </w:p>
    <w:p w14:paraId="258D130B" w14:textId="77777777" w:rsidR="005608D1" w:rsidRPr="00D323B6" w:rsidRDefault="005608D1" w:rsidP="00A80396">
      <w:pPr>
        <w:numPr>
          <w:ilvl w:val="0"/>
          <w:numId w:val="7"/>
        </w:numPr>
        <w:suppressAutoHyphens/>
        <w:spacing w:after="0" w:line="240" w:lineRule="auto"/>
        <w:ind w:left="720" w:right="74" w:hanging="720"/>
        <w:contextualSpacing/>
        <w:rPr>
          <w:rFonts w:cstheme="minorHAnsi"/>
          <w:b/>
          <w:color w:val="000000"/>
          <w:spacing w:val="14"/>
          <w:sz w:val="24"/>
          <w:szCs w:val="24"/>
          <w:highlight w:val="white"/>
        </w:rPr>
      </w:pPr>
      <w:r w:rsidRPr="00D323B6">
        <w:rPr>
          <w:rFonts w:cstheme="minorHAnsi"/>
          <w:b/>
          <w:color w:val="000000"/>
          <w:spacing w:val="14"/>
          <w:sz w:val="24"/>
          <w:szCs w:val="24"/>
          <w:highlight w:val="white"/>
        </w:rPr>
        <w:t>Education, Culture, Tourism and People-to-people ties</w:t>
      </w:r>
    </w:p>
    <w:p w14:paraId="302044F8" w14:textId="77777777" w:rsidR="005608D1" w:rsidRPr="00D323B6" w:rsidRDefault="005608D1" w:rsidP="0014704E">
      <w:pPr>
        <w:spacing w:after="0"/>
        <w:ind w:right="72" w:hanging="29"/>
        <w:rPr>
          <w:rFonts w:cstheme="minorHAnsi"/>
          <w:b/>
          <w:color w:val="000000"/>
          <w:spacing w:val="21"/>
          <w:sz w:val="24"/>
          <w:szCs w:val="24"/>
          <w:highlight w:val="white"/>
        </w:rPr>
      </w:pPr>
    </w:p>
    <w:p w14:paraId="6102ABDE" w14:textId="77777777" w:rsidR="005608D1" w:rsidRPr="00BB1B15" w:rsidRDefault="005608D1" w:rsidP="00A80396">
      <w:pPr>
        <w:pStyle w:val="ListParagraph"/>
        <w:numPr>
          <w:ilvl w:val="0"/>
          <w:numId w:val="6"/>
        </w:numPr>
        <w:suppressAutoHyphens/>
        <w:spacing w:after="0" w:line="240" w:lineRule="auto"/>
        <w:ind w:left="0" w:right="89" w:firstLine="0"/>
        <w:rPr>
          <w:sz w:val="24"/>
          <w:szCs w:val="24"/>
        </w:rPr>
      </w:pPr>
      <w:r w:rsidRPr="00BB1B15">
        <w:rPr>
          <w:sz w:val="24"/>
          <w:szCs w:val="24"/>
        </w:rPr>
        <w:t>Education, </w:t>
      </w:r>
      <w:proofErr w:type="gramStart"/>
      <w:r w:rsidRPr="00BB1B15">
        <w:rPr>
          <w:sz w:val="24"/>
          <w:szCs w:val="24"/>
        </w:rPr>
        <w:t>research</w:t>
      </w:r>
      <w:proofErr w:type="gramEnd"/>
      <w:r w:rsidRPr="00BB1B15">
        <w:rPr>
          <w:sz w:val="24"/>
          <w:szCs w:val="24"/>
        </w:rPr>
        <w:t xml:space="preserve"> and skills are a central component of the relationship. Both sides noted they underpin the progress and growth trajectories of our nations, and the exchange of students and academics between our countries generates valuable people-to-people links.  We agree to continue efforts to expand our partnership in these areas, including to deepen research collaboration.  We will work together to support the development of education campuses in each other’s countries.</w:t>
      </w:r>
    </w:p>
    <w:p w14:paraId="3E885251" w14:textId="77777777" w:rsidR="005608D1" w:rsidRPr="00D323B6" w:rsidRDefault="005608D1" w:rsidP="0014704E">
      <w:pPr>
        <w:pStyle w:val="ListParagraph"/>
        <w:spacing w:after="0"/>
        <w:ind w:left="363" w:right="74"/>
        <w:rPr>
          <w:rFonts w:cstheme="minorHAnsi"/>
          <w:color w:val="00000A"/>
          <w:sz w:val="24"/>
          <w:szCs w:val="24"/>
          <w:highlight w:val="white"/>
        </w:rPr>
      </w:pPr>
    </w:p>
    <w:p w14:paraId="0ECAD222" w14:textId="77777777" w:rsidR="005608D1" w:rsidRPr="00BB1B15" w:rsidRDefault="005608D1" w:rsidP="00A80396">
      <w:pPr>
        <w:pStyle w:val="ListParagraph"/>
        <w:numPr>
          <w:ilvl w:val="0"/>
          <w:numId w:val="6"/>
        </w:numPr>
        <w:suppressAutoHyphens/>
        <w:spacing w:after="0" w:line="240" w:lineRule="auto"/>
        <w:ind w:left="0" w:right="89" w:firstLine="0"/>
        <w:rPr>
          <w:sz w:val="24"/>
          <w:szCs w:val="24"/>
        </w:rPr>
      </w:pPr>
      <w:r w:rsidRPr="00BB1B15">
        <w:rPr>
          <w:sz w:val="24"/>
          <w:szCs w:val="24"/>
        </w:rPr>
        <w:t xml:space="preserve">As India continues its ambitious skills reform agenda, we have concluded a new </w:t>
      </w:r>
      <w:r w:rsidRPr="00BB1B15">
        <w:rPr>
          <w:b/>
          <w:bCs/>
          <w:sz w:val="24"/>
          <w:szCs w:val="24"/>
        </w:rPr>
        <w:t>Memorandum of Understanding on Cooperation in Vocational Education and Training</w:t>
      </w:r>
      <w:r w:rsidRPr="00BB1B15">
        <w:rPr>
          <w:sz w:val="24"/>
          <w:szCs w:val="24"/>
        </w:rPr>
        <w:t xml:space="preserve"> to forge new bonds of cooperation in policy development, program delivery and information exchange.</w:t>
      </w:r>
    </w:p>
    <w:p w14:paraId="15EC1AA0" w14:textId="77777777" w:rsidR="005608D1" w:rsidRPr="00D323B6" w:rsidRDefault="005608D1" w:rsidP="0014704E">
      <w:pPr>
        <w:pStyle w:val="ListParagraph"/>
        <w:spacing w:after="0"/>
        <w:rPr>
          <w:rFonts w:cstheme="minorHAnsi"/>
          <w:color w:val="000000"/>
          <w:spacing w:val="16"/>
          <w:sz w:val="24"/>
          <w:szCs w:val="24"/>
          <w:highlight w:val="white"/>
        </w:rPr>
      </w:pPr>
    </w:p>
    <w:p w14:paraId="1DC62F6A" w14:textId="45845C13" w:rsidR="005608D1" w:rsidRDefault="005608D1" w:rsidP="0014704E">
      <w:pPr>
        <w:spacing w:after="0"/>
        <w:ind w:right="74"/>
        <w:contextualSpacing/>
        <w:rPr>
          <w:rFonts w:cstheme="minorHAnsi"/>
          <w:b/>
          <w:color w:val="000000"/>
          <w:spacing w:val="14"/>
          <w:sz w:val="24"/>
          <w:szCs w:val="24"/>
          <w:highlight w:val="white"/>
        </w:rPr>
      </w:pPr>
      <w:r w:rsidRPr="00D323B6">
        <w:rPr>
          <w:rFonts w:cstheme="minorHAnsi"/>
          <w:b/>
          <w:color w:val="000000"/>
          <w:spacing w:val="14"/>
          <w:sz w:val="24"/>
          <w:szCs w:val="24"/>
          <w:highlight w:val="white"/>
        </w:rPr>
        <w:t>Tourism</w:t>
      </w:r>
    </w:p>
    <w:p w14:paraId="01CD1874" w14:textId="77777777" w:rsidR="00225A6C" w:rsidRPr="00D323B6" w:rsidRDefault="00225A6C" w:rsidP="0014704E">
      <w:pPr>
        <w:spacing w:after="0"/>
        <w:ind w:right="74"/>
        <w:contextualSpacing/>
        <w:rPr>
          <w:rFonts w:cstheme="minorHAnsi"/>
          <w:b/>
          <w:color w:val="000000"/>
          <w:spacing w:val="14"/>
          <w:sz w:val="24"/>
          <w:szCs w:val="24"/>
          <w:highlight w:val="white"/>
        </w:rPr>
      </w:pPr>
    </w:p>
    <w:p w14:paraId="75A755B7" w14:textId="77777777" w:rsidR="005608D1" w:rsidRPr="00BB1B15" w:rsidRDefault="005608D1" w:rsidP="00A80396">
      <w:pPr>
        <w:pStyle w:val="ListParagraph"/>
        <w:numPr>
          <w:ilvl w:val="0"/>
          <w:numId w:val="6"/>
        </w:numPr>
        <w:suppressAutoHyphens/>
        <w:spacing w:after="0" w:line="240" w:lineRule="auto"/>
        <w:ind w:left="0" w:right="89" w:firstLine="0"/>
        <w:rPr>
          <w:sz w:val="24"/>
          <w:szCs w:val="24"/>
        </w:rPr>
      </w:pPr>
      <w:r w:rsidRPr="00BB1B15">
        <w:rPr>
          <w:sz w:val="24"/>
          <w:szCs w:val="24"/>
        </w:rPr>
        <w:t xml:space="preserve">Building on the 2014 bilateral MOU on cooperation in the field of tourism, both sides jointly decided to renew the MOU </w:t>
      </w:r>
      <w:proofErr w:type="gramStart"/>
      <w:r w:rsidRPr="00BB1B15">
        <w:rPr>
          <w:sz w:val="24"/>
          <w:szCs w:val="24"/>
        </w:rPr>
        <w:t>in order to</w:t>
      </w:r>
      <w:proofErr w:type="gramEnd"/>
      <w:r w:rsidRPr="00BB1B15">
        <w:rPr>
          <w:sz w:val="24"/>
          <w:szCs w:val="24"/>
        </w:rPr>
        <w:t xml:space="preserve"> identify opportunities to strengthen, deepen and broaden cooperation in the travel, tourism and aviation sector.</w:t>
      </w:r>
    </w:p>
    <w:p w14:paraId="2F904465" w14:textId="77777777" w:rsidR="005608D1" w:rsidRPr="00D323B6" w:rsidRDefault="005608D1" w:rsidP="0014704E">
      <w:pPr>
        <w:spacing w:after="0"/>
        <w:ind w:right="72" w:hanging="29"/>
        <w:rPr>
          <w:rFonts w:cstheme="minorHAnsi"/>
          <w:color w:val="000000"/>
          <w:spacing w:val="15"/>
          <w:sz w:val="24"/>
          <w:szCs w:val="24"/>
          <w:highlight w:val="white"/>
        </w:rPr>
      </w:pPr>
    </w:p>
    <w:p w14:paraId="4C9C945B" w14:textId="4ADBFB32" w:rsidR="005608D1" w:rsidRDefault="005608D1" w:rsidP="0014704E">
      <w:pPr>
        <w:spacing w:after="0"/>
        <w:ind w:right="72"/>
        <w:rPr>
          <w:rFonts w:cstheme="minorHAnsi"/>
          <w:b/>
          <w:color w:val="000000"/>
          <w:spacing w:val="12"/>
          <w:sz w:val="24"/>
          <w:szCs w:val="24"/>
          <w:highlight w:val="white"/>
        </w:rPr>
      </w:pPr>
      <w:bookmarkStart w:id="95" w:name="move28689247"/>
      <w:bookmarkEnd w:id="95"/>
      <w:r w:rsidRPr="00D323B6">
        <w:rPr>
          <w:rFonts w:cstheme="minorHAnsi"/>
          <w:b/>
          <w:color w:val="000000"/>
          <w:spacing w:val="12"/>
          <w:sz w:val="24"/>
          <w:szCs w:val="24"/>
          <w:highlight w:val="white"/>
        </w:rPr>
        <w:t>Parliamentary Cooperation</w:t>
      </w:r>
    </w:p>
    <w:p w14:paraId="74408A26" w14:textId="77777777" w:rsidR="00225A6C" w:rsidRPr="00D323B6" w:rsidRDefault="00225A6C" w:rsidP="0014704E">
      <w:pPr>
        <w:spacing w:after="0"/>
        <w:ind w:right="72"/>
        <w:rPr>
          <w:rFonts w:cstheme="minorHAnsi"/>
          <w:b/>
          <w:color w:val="000000"/>
          <w:spacing w:val="12"/>
          <w:sz w:val="24"/>
          <w:szCs w:val="24"/>
          <w:highlight w:val="white"/>
        </w:rPr>
      </w:pPr>
    </w:p>
    <w:p w14:paraId="113C08C5" w14:textId="77777777" w:rsidR="005608D1" w:rsidRPr="00BB1B15" w:rsidRDefault="005608D1" w:rsidP="00A80396">
      <w:pPr>
        <w:pStyle w:val="ListParagraph"/>
        <w:numPr>
          <w:ilvl w:val="0"/>
          <w:numId w:val="6"/>
        </w:numPr>
        <w:suppressAutoHyphens/>
        <w:spacing w:after="0" w:line="240" w:lineRule="auto"/>
        <w:ind w:left="0" w:right="89" w:firstLine="0"/>
        <w:rPr>
          <w:sz w:val="24"/>
          <w:szCs w:val="24"/>
        </w:rPr>
      </w:pPr>
      <w:r w:rsidRPr="00BB1B15">
        <w:rPr>
          <w:sz w:val="24"/>
          <w:szCs w:val="24"/>
        </w:rPr>
        <w:t>Both sides noted the importance of inter-parliamentary interaction as a valuable component of their bilateral relations.</w:t>
      </w:r>
    </w:p>
    <w:p w14:paraId="47292204" w14:textId="77777777" w:rsidR="005608D1" w:rsidRPr="00D323B6" w:rsidRDefault="005608D1" w:rsidP="0014704E">
      <w:pPr>
        <w:spacing w:after="0"/>
        <w:ind w:right="72" w:hanging="29"/>
        <w:rPr>
          <w:rFonts w:cstheme="minorHAnsi"/>
          <w:color w:val="000000"/>
          <w:spacing w:val="16"/>
          <w:sz w:val="24"/>
          <w:szCs w:val="24"/>
          <w:highlight w:val="white"/>
        </w:rPr>
      </w:pPr>
    </w:p>
    <w:p w14:paraId="100AD2FD" w14:textId="6B00BD9A" w:rsidR="005608D1" w:rsidRDefault="005608D1" w:rsidP="0014704E">
      <w:pPr>
        <w:spacing w:after="0"/>
        <w:ind w:right="72"/>
        <w:rPr>
          <w:rFonts w:cstheme="minorHAnsi"/>
          <w:b/>
          <w:color w:val="000000"/>
          <w:spacing w:val="12"/>
          <w:sz w:val="24"/>
          <w:szCs w:val="24"/>
          <w:highlight w:val="white"/>
        </w:rPr>
      </w:pPr>
      <w:r w:rsidRPr="00D323B6">
        <w:rPr>
          <w:rFonts w:cstheme="minorHAnsi"/>
          <w:b/>
          <w:color w:val="000000"/>
          <w:spacing w:val="12"/>
          <w:sz w:val="24"/>
          <w:szCs w:val="24"/>
          <w:highlight w:val="white"/>
        </w:rPr>
        <w:t xml:space="preserve">People to People Connections </w:t>
      </w:r>
    </w:p>
    <w:p w14:paraId="1676A912" w14:textId="77777777" w:rsidR="00225A6C" w:rsidRPr="00D323B6" w:rsidRDefault="00225A6C" w:rsidP="0014704E">
      <w:pPr>
        <w:spacing w:after="0"/>
        <w:ind w:right="72"/>
        <w:rPr>
          <w:rFonts w:cstheme="minorHAnsi"/>
          <w:b/>
          <w:color w:val="000000"/>
          <w:spacing w:val="12"/>
          <w:sz w:val="24"/>
          <w:szCs w:val="24"/>
          <w:highlight w:val="white"/>
        </w:rPr>
      </w:pPr>
    </w:p>
    <w:p w14:paraId="46BC8B73" w14:textId="679F7DA6" w:rsidR="005608D1" w:rsidRPr="00BB1B15" w:rsidRDefault="005608D1" w:rsidP="00A80396">
      <w:pPr>
        <w:pStyle w:val="ListParagraph"/>
        <w:numPr>
          <w:ilvl w:val="0"/>
          <w:numId w:val="6"/>
        </w:numPr>
        <w:suppressAutoHyphens/>
        <w:spacing w:after="0" w:line="240" w:lineRule="auto"/>
        <w:ind w:left="0" w:right="89" w:firstLine="0"/>
        <w:rPr>
          <w:sz w:val="24"/>
          <w:szCs w:val="24"/>
        </w:rPr>
      </w:pPr>
      <w:r w:rsidRPr="00BB1B15">
        <w:rPr>
          <w:sz w:val="24"/>
          <w:szCs w:val="24"/>
        </w:rPr>
        <w:t xml:space="preserve">The expanding linkages between our people are enriching all aspects of bilateral ties. The Indian diaspora in Australia is now the fastest-growing large diaspora. In recognition of the growing contribution of </w:t>
      </w:r>
      <w:proofErr w:type="gramStart"/>
      <w:r w:rsidRPr="00BB1B15">
        <w:rPr>
          <w:sz w:val="24"/>
          <w:szCs w:val="24"/>
        </w:rPr>
        <w:t>Indian-Australians</w:t>
      </w:r>
      <w:proofErr w:type="gramEnd"/>
      <w:r w:rsidRPr="00BB1B15">
        <w:rPr>
          <w:sz w:val="24"/>
          <w:szCs w:val="24"/>
        </w:rPr>
        <w:t xml:space="preserve"> to the bilateral relationship, we will continue to work to deepen diaspora and community-level contact.</w:t>
      </w:r>
    </w:p>
    <w:p w14:paraId="4A3EA57A" w14:textId="77777777" w:rsidR="005608D1" w:rsidRPr="00D323B6" w:rsidRDefault="005608D1" w:rsidP="0014704E">
      <w:pPr>
        <w:pStyle w:val="ListParagraph"/>
        <w:spacing w:after="0"/>
        <w:ind w:left="0" w:right="74"/>
        <w:rPr>
          <w:rFonts w:cstheme="minorHAnsi"/>
          <w:color w:val="000000"/>
          <w:spacing w:val="16"/>
          <w:sz w:val="24"/>
          <w:szCs w:val="24"/>
          <w:highlight w:val="white"/>
        </w:rPr>
      </w:pPr>
    </w:p>
    <w:p w14:paraId="605F05F8" w14:textId="2738D450" w:rsidR="005608D1" w:rsidRPr="00BB1B15" w:rsidRDefault="005608D1" w:rsidP="00A80396">
      <w:pPr>
        <w:pStyle w:val="ListParagraph"/>
        <w:numPr>
          <w:ilvl w:val="0"/>
          <w:numId w:val="6"/>
        </w:numPr>
        <w:suppressAutoHyphens/>
        <w:spacing w:after="0" w:line="240" w:lineRule="auto"/>
        <w:ind w:left="0" w:right="89" w:firstLine="0"/>
        <w:rPr>
          <w:sz w:val="24"/>
          <w:szCs w:val="24"/>
        </w:rPr>
      </w:pPr>
      <w:r w:rsidRPr="00BB1B15">
        <w:rPr>
          <w:sz w:val="24"/>
          <w:szCs w:val="24"/>
        </w:rPr>
        <w:t>Both countries agreed to hold a senior-level Dialogue to discuss India’s proposed draft Migration and Mobility Partnership Arrangement, which outlines ways to cooperate on the prevention of illegal migration, people smuggling and trafficking in human beings and is also designed to facilitate mobility of students, academics and researchers and migration for professional and economic reasons.</w:t>
      </w:r>
    </w:p>
    <w:p w14:paraId="3874F454" w14:textId="77777777" w:rsidR="005608D1" w:rsidRPr="00D323B6" w:rsidRDefault="005608D1" w:rsidP="0014704E">
      <w:pPr>
        <w:pStyle w:val="ListParagraph"/>
        <w:spacing w:after="0"/>
        <w:rPr>
          <w:rFonts w:cstheme="minorHAnsi"/>
          <w:b/>
          <w:i/>
          <w:strike/>
          <w:color w:val="000000"/>
          <w:spacing w:val="16"/>
          <w:sz w:val="24"/>
          <w:szCs w:val="24"/>
          <w:highlight w:val="white"/>
          <w:u w:val="single"/>
        </w:rPr>
      </w:pPr>
    </w:p>
    <w:p w14:paraId="79CE104E" w14:textId="77777777" w:rsidR="005608D1" w:rsidRPr="00D323B6" w:rsidRDefault="005608D1" w:rsidP="00A80396">
      <w:pPr>
        <w:numPr>
          <w:ilvl w:val="0"/>
          <w:numId w:val="7"/>
        </w:numPr>
        <w:suppressAutoHyphens/>
        <w:spacing w:after="0" w:line="240" w:lineRule="auto"/>
        <w:ind w:left="720" w:right="74" w:hanging="720"/>
        <w:contextualSpacing/>
        <w:rPr>
          <w:rFonts w:cstheme="minorHAnsi"/>
          <w:b/>
          <w:color w:val="000000"/>
          <w:spacing w:val="14"/>
          <w:sz w:val="24"/>
          <w:szCs w:val="24"/>
          <w:highlight w:val="white"/>
        </w:rPr>
      </w:pPr>
      <w:bookmarkStart w:id="96" w:name="move286892471"/>
      <w:bookmarkEnd w:id="96"/>
      <w:r w:rsidRPr="00D323B6">
        <w:rPr>
          <w:rFonts w:cstheme="minorHAnsi"/>
          <w:b/>
          <w:color w:val="000000"/>
          <w:spacing w:val="14"/>
          <w:sz w:val="24"/>
          <w:szCs w:val="24"/>
          <w:highlight w:val="white"/>
        </w:rPr>
        <w:t>Support in UN and international bodies</w:t>
      </w:r>
    </w:p>
    <w:p w14:paraId="71547FB6" w14:textId="77777777" w:rsidR="005608D1" w:rsidRPr="00D323B6" w:rsidRDefault="005608D1" w:rsidP="0014704E">
      <w:pPr>
        <w:spacing w:after="0"/>
        <w:ind w:right="72" w:hanging="29"/>
        <w:rPr>
          <w:rFonts w:cstheme="minorHAnsi"/>
          <w:b/>
          <w:color w:val="000000"/>
          <w:spacing w:val="4"/>
          <w:sz w:val="24"/>
          <w:szCs w:val="24"/>
          <w:highlight w:val="white"/>
        </w:rPr>
      </w:pPr>
    </w:p>
    <w:p w14:paraId="51B4613A" w14:textId="6140CF36" w:rsidR="005608D1" w:rsidRDefault="005608D1" w:rsidP="0014704E">
      <w:pPr>
        <w:spacing w:after="0"/>
        <w:ind w:right="72"/>
        <w:rPr>
          <w:rFonts w:cstheme="minorHAnsi"/>
          <w:b/>
          <w:color w:val="000000"/>
          <w:spacing w:val="12"/>
          <w:sz w:val="24"/>
          <w:szCs w:val="24"/>
          <w:highlight w:val="white"/>
        </w:rPr>
      </w:pPr>
      <w:r w:rsidRPr="00D323B6">
        <w:rPr>
          <w:rFonts w:cstheme="minorHAnsi"/>
          <w:b/>
          <w:color w:val="000000"/>
          <w:spacing w:val="12"/>
          <w:sz w:val="24"/>
          <w:szCs w:val="24"/>
          <w:highlight w:val="white"/>
        </w:rPr>
        <w:t>Reformed Multilateralism</w:t>
      </w:r>
    </w:p>
    <w:p w14:paraId="0E5A22E3" w14:textId="77777777" w:rsidR="00225A6C" w:rsidRPr="00D323B6" w:rsidRDefault="00225A6C" w:rsidP="0014704E">
      <w:pPr>
        <w:spacing w:after="0"/>
        <w:ind w:right="72"/>
        <w:rPr>
          <w:rFonts w:cstheme="minorHAnsi"/>
          <w:b/>
          <w:color w:val="000000"/>
          <w:spacing w:val="12"/>
          <w:sz w:val="24"/>
          <w:szCs w:val="24"/>
          <w:highlight w:val="white"/>
        </w:rPr>
      </w:pPr>
    </w:p>
    <w:p w14:paraId="56B8FBEF" w14:textId="77777777" w:rsidR="005608D1" w:rsidRPr="00BB1B15" w:rsidRDefault="005608D1" w:rsidP="00A80396">
      <w:pPr>
        <w:pStyle w:val="ListParagraph"/>
        <w:numPr>
          <w:ilvl w:val="0"/>
          <w:numId w:val="6"/>
        </w:numPr>
        <w:suppressAutoHyphens/>
        <w:spacing w:after="0" w:line="240" w:lineRule="auto"/>
        <w:ind w:left="0" w:right="89" w:firstLine="0"/>
        <w:rPr>
          <w:sz w:val="24"/>
          <w:szCs w:val="24"/>
        </w:rPr>
      </w:pPr>
      <w:r w:rsidRPr="00BB1B15">
        <w:rPr>
          <w:sz w:val="24"/>
          <w:szCs w:val="24"/>
        </w:rPr>
        <w:t xml:space="preserve">Australia reiterated its support for India's candidacy for permanent membership of a reformed UN Security Council (UNSC) and India's candidature for a non-permanent seat at the United Nations Security Council for the 2021-22 term. </w:t>
      </w:r>
    </w:p>
    <w:p w14:paraId="11A5EE32" w14:textId="77777777" w:rsidR="005608D1" w:rsidRPr="00BB1B15" w:rsidRDefault="005608D1" w:rsidP="0014704E">
      <w:pPr>
        <w:pStyle w:val="ListParagraph"/>
        <w:suppressAutoHyphens/>
        <w:spacing w:after="0" w:line="240" w:lineRule="auto"/>
        <w:ind w:left="0" w:right="89"/>
        <w:rPr>
          <w:sz w:val="24"/>
          <w:szCs w:val="24"/>
        </w:rPr>
      </w:pPr>
    </w:p>
    <w:p w14:paraId="25AFBCFF" w14:textId="77777777" w:rsidR="005608D1" w:rsidRPr="00BB1B15" w:rsidRDefault="005608D1" w:rsidP="00A80396">
      <w:pPr>
        <w:pStyle w:val="ListParagraph"/>
        <w:numPr>
          <w:ilvl w:val="0"/>
          <w:numId w:val="6"/>
        </w:numPr>
        <w:suppressAutoHyphens/>
        <w:spacing w:after="0" w:line="240" w:lineRule="auto"/>
        <w:ind w:left="0" w:right="89" w:firstLine="0"/>
        <w:rPr>
          <w:sz w:val="24"/>
          <w:szCs w:val="24"/>
        </w:rPr>
      </w:pPr>
      <w:r w:rsidRPr="00BB1B15">
        <w:rPr>
          <w:sz w:val="24"/>
          <w:szCs w:val="24"/>
        </w:rPr>
        <w:t xml:space="preserve">Australia welcomes the International Energy Agency (IEA)’s strategic partnership with </w:t>
      </w:r>
      <w:proofErr w:type="gramStart"/>
      <w:r w:rsidRPr="00BB1B15">
        <w:rPr>
          <w:sz w:val="24"/>
          <w:szCs w:val="24"/>
        </w:rPr>
        <w:t>India, and</w:t>
      </w:r>
      <w:proofErr w:type="gramEnd"/>
      <w:r w:rsidRPr="00BB1B15">
        <w:rPr>
          <w:sz w:val="24"/>
          <w:szCs w:val="24"/>
        </w:rPr>
        <w:t xml:space="preserve"> looks forward to continuing to work closely on building stronger ties between India and the IEA community.</w:t>
      </w:r>
    </w:p>
    <w:p w14:paraId="61F24B64" w14:textId="77777777" w:rsidR="005608D1" w:rsidRPr="00D323B6" w:rsidRDefault="005608D1" w:rsidP="0014704E">
      <w:pPr>
        <w:spacing w:after="0"/>
        <w:ind w:left="331"/>
        <w:rPr>
          <w:rFonts w:cstheme="minorHAnsi"/>
          <w:strike/>
          <w:color w:val="000000"/>
          <w:spacing w:val="16"/>
          <w:sz w:val="24"/>
          <w:szCs w:val="24"/>
          <w:highlight w:val="white"/>
        </w:rPr>
      </w:pPr>
    </w:p>
    <w:p w14:paraId="2743237B" w14:textId="32F910E5" w:rsidR="005608D1" w:rsidRDefault="005608D1" w:rsidP="0014704E">
      <w:pPr>
        <w:spacing w:after="0"/>
        <w:ind w:right="72"/>
        <w:rPr>
          <w:rFonts w:cstheme="minorHAnsi"/>
          <w:b/>
          <w:color w:val="000000"/>
          <w:spacing w:val="12"/>
          <w:sz w:val="24"/>
          <w:szCs w:val="24"/>
          <w:highlight w:val="white"/>
        </w:rPr>
      </w:pPr>
      <w:bookmarkStart w:id="97" w:name="move286193121"/>
      <w:bookmarkEnd w:id="97"/>
      <w:r w:rsidRPr="00D323B6">
        <w:rPr>
          <w:rFonts w:cstheme="minorHAnsi"/>
          <w:b/>
          <w:color w:val="000000"/>
          <w:spacing w:val="12"/>
          <w:sz w:val="24"/>
          <w:szCs w:val="24"/>
          <w:highlight w:val="white"/>
        </w:rPr>
        <w:t>Energy and Environment</w:t>
      </w:r>
    </w:p>
    <w:p w14:paraId="1809DE09" w14:textId="77777777" w:rsidR="00225A6C" w:rsidRPr="00D323B6" w:rsidRDefault="00225A6C" w:rsidP="0014704E">
      <w:pPr>
        <w:spacing w:after="0"/>
        <w:ind w:right="72"/>
        <w:rPr>
          <w:rFonts w:cstheme="minorHAnsi"/>
          <w:b/>
          <w:color w:val="000000"/>
          <w:spacing w:val="12"/>
          <w:sz w:val="24"/>
          <w:szCs w:val="24"/>
          <w:highlight w:val="white"/>
        </w:rPr>
      </w:pPr>
    </w:p>
    <w:p w14:paraId="18BEEBC1" w14:textId="77777777" w:rsidR="005608D1" w:rsidRPr="00BB1B15" w:rsidRDefault="005608D1" w:rsidP="00A80396">
      <w:pPr>
        <w:pStyle w:val="ListParagraph"/>
        <w:numPr>
          <w:ilvl w:val="0"/>
          <w:numId w:val="6"/>
        </w:numPr>
        <w:suppressAutoHyphens/>
        <w:spacing w:after="0" w:line="240" w:lineRule="auto"/>
        <w:ind w:left="0" w:right="89" w:firstLine="0"/>
        <w:rPr>
          <w:sz w:val="24"/>
          <w:szCs w:val="24"/>
        </w:rPr>
      </w:pPr>
      <w:r w:rsidRPr="00BB1B15">
        <w:rPr>
          <w:sz w:val="24"/>
          <w:szCs w:val="24"/>
        </w:rPr>
        <w:t>India and Australia jointly decided to progress their Energy Dialogue, which will further cooperation in areas such as pumped hydro storage, cost-effective battery technologies, hydrogen and coal gasification, adoption of clean energy technology, fly ash management technologies, and solar forecasting and scheduling. Both countries committed to continue to collaborate on climate change, energy security and other issues of importance to the region and wider world, especially through the International Solar Alliance (ISA) and Coalition for Disaster Resilient Infrastructure (CDRI). Australia is proud to be a founding member of both organisations.</w:t>
      </w:r>
    </w:p>
    <w:p w14:paraId="6F67142A" w14:textId="77777777" w:rsidR="005608D1" w:rsidRPr="00D323B6" w:rsidRDefault="005608D1" w:rsidP="0014704E">
      <w:pPr>
        <w:spacing w:after="0"/>
        <w:ind w:right="72"/>
        <w:rPr>
          <w:rFonts w:cstheme="minorHAnsi"/>
          <w:iCs/>
          <w:color w:val="000000"/>
          <w:spacing w:val="16"/>
          <w:sz w:val="24"/>
          <w:szCs w:val="24"/>
          <w:highlight w:val="white"/>
        </w:rPr>
      </w:pPr>
    </w:p>
    <w:p w14:paraId="607D9348" w14:textId="77777777" w:rsidR="005608D1" w:rsidRPr="00D323B6" w:rsidRDefault="005608D1" w:rsidP="00A80396">
      <w:pPr>
        <w:numPr>
          <w:ilvl w:val="0"/>
          <w:numId w:val="7"/>
        </w:numPr>
        <w:suppressAutoHyphens/>
        <w:spacing w:after="0" w:line="240" w:lineRule="auto"/>
        <w:ind w:left="720" w:right="74" w:hanging="720"/>
        <w:contextualSpacing/>
        <w:rPr>
          <w:rFonts w:cstheme="minorHAnsi"/>
          <w:b/>
          <w:color w:val="000000"/>
          <w:spacing w:val="14"/>
          <w:sz w:val="24"/>
          <w:szCs w:val="24"/>
          <w:highlight w:val="white"/>
        </w:rPr>
      </w:pPr>
      <w:r w:rsidRPr="00D323B6">
        <w:rPr>
          <w:rFonts w:cstheme="minorHAnsi"/>
          <w:b/>
          <w:color w:val="000000"/>
          <w:spacing w:val="14"/>
          <w:sz w:val="24"/>
          <w:szCs w:val="24"/>
          <w:highlight w:val="white"/>
        </w:rPr>
        <w:t>Public Administration and Governance</w:t>
      </w:r>
    </w:p>
    <w:p w14:paraId="4C880D18" w14:textId="77777777" w:rsidR="005608D1" w:rsidRPr="00D323B6" w:rsidRDefault="005608D1" w:rsidP="0014704E">
      <w:pPr>
        <w:spacing w:after="0"/>
        <w:ind w:right="74"/>
        <w:contextualSpacing/>
        <w:rPr>
          <w:rFonts w:cstheme="minorHAnsi"/>
          <w:b/>
          <w:color w:val="000000"/>
          <w:spacing w:val="14"/>
          <w:sz w:val="24"/>
          <w:szCs w:val="24"/>
          <w:highlight w:val="white"/>
        </w:rPr>
      </w:pPr>
    </w:p>
    <w:p w14:paraId="1A6B26B1" w14:textId="77777777" w:rsidR="005608D1" w:rsidRPr="00BB1B15" w:rsidRDefault="005608D1" w:rsidP="00A80396">
      <w:pPr>
        <w:pStyle w:val="ListParagraph"/>
        <w:numPr>
          <w:ilvl w:val="0"/>
          <w:numId w:val="6"/>
        </w:numPr>
        <w:suppressAutoHyphens/>
        <w:spacing w:after="0" w:line="240" w:lineRule="auto"/>
        <w:ind w:left="0" w:right="89" w:firstLine="0"/>
        <w:rPr>
          <w:sz w:val="24"/>
          <w:szCs w:val="24"/>
        </w:rPr>
      </w:pPr>
      <w:r w:rsidRPr="00BB1B15">
        <w:rPr>
          <w:sz w:val="24"/>
          <w:szCs w:val="24"/>
        </w:rPr>
        <w:t xml:space="preserve">India and Australia are proud, </w:t>
      </w:r>
      <w:proofErr w:type="gramStart"/>
      <w:r w:rsidRPr="00BB1B15">
        <w:rPr>
          <w:sz w:val="24"/>
          <w:szCs w:val="24"/>
        </w:rPr>
        <w:t>diverse</w:t>
      </w:r>
      <w:proofErr w:type="gramEnd"/>
      <w:r w:rsidRPr="00BB1B15">
        <w:rPr>
          <w:sz w:val="24"/>
          <w:szCs w:val="24"/>
        </w:rPr>
        <w:t xml:space="preserve"> and multicultural democracies. Both nations have similar systems of governance founded on robust and accountable public institutions. In this regard, both sides committed to work together in the field of public administration to exchange knowledge in areas of mutual interest through </w:t>
      </w:r>
      <w:proofErr w:type="gramStart"/>
      <w:r w:rsidRPr="00BB1B15">
        <w:rPr>
          <w:sz w:val="24"/>
          <w:szCs w:val="24"/>
        </w:rPr>
        <w:t>an</w:t>
      </w:r>
      <w:proofErr w:type="gramEnd"/>
      <w:r w:rsidRPr="00BB1B15">
        <w:rPr>
          <w:sz w:val="24"/>
          <w:szCs w:val="24"/>
        </w:rPr>
        <w:t xml:space="preserve"> </w:t>
      </w:r>
      <w:r w:rsidRPr="00BB1B15">
        <w:rPr>
          <w:b/>
          <w:bCs/>
          <w:sz w:val="24"/>
          <w:szCs w:val="24"/>
        </w:rPr>
        <w:t>Memorandum of Understanding on Co-operation in the field of Public Administration and Governance Reforms</w:t>
      </w:r>
      <w:r w:rsidRPr="00BB1B15">
        <w:rPr>
          <w:sz w:val="24"/>
          <w:szCs w:val="24"/>
        </w:rPr>
        <w:t>.</w:t>
      </w:r>
    </w:p>
    <w:p w14:paraId="1BB80708" w14:textId="77777777" w:rsidR="005608D1" w:rsidRPr="00D323B6" w:rsidRDefault="005608D1" w:rsidP="0014704E">
      <w:pPr>
        <w:pStyle w:val="ListParagraph"/>
        <w:spacing w:after="0"/>
        <w:ind w:left="329" w:right="74"/>
        <w:rPr>
          <w:rFonts w:cstheme="minorHAnsi"/>
          <w:color w:val="000000"/>
          <w:spacing w:val="16"/>
          <w:sz w:val="24"/>
          <w:szCs w:val="24"/>
          <w:highlight w:val="white"/>
        </w:rPr>
      </w:pPr>
    </w:p>
    <w:p w14:paraId="7DF27041" w14:textId="77777777" w:rsidR="005608D1" w:rsidRPr="00BB1B15" w:rsidRDefault="005608D1" w:rsidP="00A80396">
      <w:pPr>
        <w:pStyle w:val="ListParagraph"/>
        <w:numPr>
          <w:ilvl w:val="0"/>
          <w:numId w:val="6"/>
        </w:numPr>
        <w:suppressAutoHyphens/>
        <w:spacing w:after="0" w:line="240" w:lineRule="auto"/>
        <w:ind w:left="0" w:right="89" w:firstLine="0"/>
        <w:rPr>
          <w:sz w:val="24"/>
          <w:szCs w:val="24"/>
        </w:rPr>
      </w:pPr>
      <w:r w:rsidRPr="00BB1B15">
        <w:rPr>
          <w:sz w:val="24"/>
          <w:szCs w:val="24"/>
        </w:rPr>
        <w:t xml:space="preserve">Recalling the celebrations of his 150th anniversary, both leaders paid tribute to the </w:t>
      </w:r>
      <w:proofErr w:type="gramStart"/>
      <w:r w:rsidRPr="00BB1B15">
        <w:rPr>
          <w:sz w:val="24"/>
          <w:szCs w:val="24"/>
        </w:rPr>
        <w:t>lasting legacy</w:t>
      </w:r>
      <w:proofErr w:type="gramEnd"/>
      <w:r w:rsidRPr="00BB1B15">
        <w:rPr>
          <w:sz w:val="24"/>
          <w:szCs w:val="24"/>
        </w:rPr>
        <w:t xml:space="preserve"> of Mahatma Gandhi and his philosophy of non-violence and harmony.</w:t>
      </w:r>
    </w:p>
    <w:p w14:paraId="58C97036" w14:textId="77777777" w:rsidR="005608D1" w:rsidRPr="00D323B6" w:rsidRDefault="005608D1" w:rsidP="0014704E">
      <w:pPr>
        <w:tabs>
          <w:tab w:val="decimal" w:pos="648"/>
        </w:tabs>
        <w:spacing w:after="0"/>
        <w:ind w:right="72" w:hanging="29"/>
        <w:rPr>
          <w:rFonts w:cstheme="minorHAnsi"/>
          <w:color w:val="000000"/>
          <w:spacing w:val="16"/>
          <w:sz w:val="24"/>
          <w:szCs w:val="24"/>
          <w:highlight w:val="white"/>
        </w:rPr>
      </w:pPr>
    </w:p>
    <w:p w14:paraId="42E2B889" w14:textId="77777777" w:rsidR="005608D1" w:rsidRPr="00D323B6" w:rsidRDefault="005608D1" w:rsidP="00A80396">
      <w:pPr>
        <w:numPr>
          <w:ilvl w:val="0"/>
          <w:numId w:val="7"/>
        </w:numPr>
        <w:suppressAutoHyphens/>
        <w:spacing w:after="0" w:line="240" w:lineRule="auto"/>
        <w:ind w:left="720" w:right="74" w:hanging="720"/>
        <w:contextualSpacing/>
        <w:rPr>
          <w:rFonts w:cstheme="minorHAnsi"/>
          <w:b/>
          <w:color w:val="000000"/>
          <w:spacing w:val="14"/>
          <w:sz w:val="24"/>
          <w:szCs w:val="24"/>
          <w:highlight w:val="white"/>
        </w:rPr>
      </w:pPr>
      <w:r w:rsidRPr="00D323B6">
        <w:rPr>
          <w:rFonts w:cstheme="minorHAnsi"/>
          <w:b/>
          <w:color w:val="000000"/>
          <w:spacing w:val="14"/>
          <w:sz w:val="24"/>
          <w:szCs w:val="24"/>
          <w:highlight w:val="white"/>
        </w:rPr>
        <w:t xml:space="preserve">Implementation </w:t>
      </w:r>
    </w:p>
    <w:p w14:paraId="0ECE2F59" w14:textId="77777777" w:rsidR="005608D1" w:rsidRPr="00D323B6" w:rsidRDefault="005608D1" w:rsidP="0014704E">
      <w:pPr>
        <w:spacing w:after="0"/>
        <w:ind w:right="74"/>
        <w:contextualSpacing/>
        <w:rPr>
          <w:rFonts w:cstheme="minorHAnsi"/>
          <w:b/>
          <w:color w:val="000000"/>
          <w:spacing w:val="14"/>
          <w:sz w:val="24"/>
          <w:szCs w:val="24"/>
          <w:highlight w:val="white"/>
        </w:rPr>
      </w:pPr>
    </w:p>
    <w:p w14:paraId="16FB1910" w14:textId="77777777" w:rsidR="005608D1" w:rsidRPr="00BB1B15" w:rsidRDefault="005608D1" w:rsidP="00A80396">
      <w:pPr>
        <w:pStyle w:val="ListParagraph"/>
        <w:numPr>
          <w:ilvl w:val="0"/>
          <w:numId w:val="6"/>
        </w:numPr>
        <w:suppressAutoHyphens/>
        <w:spacing w:after="0" w:line="240" w:lineRule="auto"/>
        <w:ind w:left="0" w:right="89" w:firstLine="0"/>
        <w:rPr>
          <w:sz w:val="24"/>
          <w:szCs w:val="24"/>
        </w:rPr>
      </w:pPr>
      <w:r w:rsidRPr="00BB1B15">
        <w:rPr>
          <w:sz w:val="24"/>
          <w:szCs w:val="24"/>
        </w:rPr>
        <w:t>To provide oversight of the CSP and to deepen economic and strategic cooperation into the future, India and Australia affirm their desire to increase the frequency of Prime Ministerial contact through reciprocal bilateral visits and annual meetings in the margins of international events.</w:t>
      </w:r>
    </w:p>
    <w:p w14:paraId="39FD4957" w14:textId="77777777" w:rsidR="005608D1" w:rsidRPr="00BB1B15" w:rsidRDefault="005608D1" w:rsidP="0014704E">
      <w:pPr>
        <w:pStyle w:val="ListParagraph"/>
        <w:suppressAutoHyphens/>
        <w:spacing w:after="0" w:line="240" w:lineRule="auto"/>
        <w:ind w:left="0" w:right="89"/>
        <w:rPr>
          <w:sz w:val="24"/>
          <w:szCs w:val="24"/>
        </w:rPr>
      </w:pPr>
    </w:p>
    <w:p w14:paraId="44F34FDE" w14:textId="77777777" w:rsidR="005608D1" w:rsidRPr="00BB1B15" w:rsidRDefault="005608D1" w:rsidP="00A80396">
      <w:pPr>
        <w:pStyle w:val="ListParagraph"/>
        <w:numPr>
          <w:ilvl w:val="0"/>
          <w:numId w:val="6"/>
        </w:numPr>
        <w:suppressAutoHyphens/>
        <w:spacing w:after="0" w:line="240" w:lineRule="auto"/>
        <w:ind w:left="0" w:right="89" w:firstLine="0"/>
        <w:rPr>
          <w:sz w:val="24"/>
          <w:szCs w:val="24"/>
        </w:rPr>
      </w:pPr>
      <w:r w:rsidRPr="00BB1B15">
        <w:rPr>
          <w:sz w:val="24"/>
          <w:szCs w:val="24"/>
        </w:rPr>
        <w:t xml:space="preserve">To pursue CSP, our Foreign and Defence Ministers will meet in a ‘2+2’ format to discuss strategic issues at least every two years. </w:t>
      </w:r>
    </w:p>
    <w:p w14:paraId="454BD981" w14:textId="77777777" w:rsidR="005608D1" w:rsidRPr="00BB1B15" w:rsidRDefault="005608D1" w:rsidP="0014704E">
      <w:pPr>
        <w:pStyle w:val="ListParagraph"/>
        <w:suppressAutoHyphens/>
        <w:spacing w:after="0" w:line="240" w:lineRule="auto"/>
        <w:ind w:left="0" w:right="89"/>
        <w:rPr>
          <w:sz w:val="24"/>
          <w:szCs w:val="24"/>
        </w:rPr>
      </w:pPr>
    </w:p>
    <w:p w14:paraId="09E40C3F" w14:textId="77777777" w:rsidR="005608D1" w:rsidRPr="00BB1B15" w:rsidRDefault="005608D1" w:rsidP="00A80396">
      <w:pPr>
        <w:pStyle w:val="ListParagraph"/>
        <w:numPr>
          <w:ilvl w:val="0"/>
          <w:numId w:val="6"/>
        </w:numPr>
        <w:suppressAutoHyphens/>
        <w:spacing w:after="0" w:line="240" w:lineRule="auto"/>
        <w:ind w:left="0" w:right="89" w:firstLine="0"/>
        <w:rPr>
          <w:sz w:val="24"/>
          <w:szCs w:val="24"/>
        </w:rPr>
      </w:pPr>
      <w:r w:rsidRPr="00BB1B15">
        <w:rPr>
          <w:sz w:val="24"/>
          <w:szCs w:val="24"/>
        </w:rPr>
        <w:t xml:space="preserve">Both countries also jointly decided to continue their regular interactions under the </w:t>
      </w:r>
      <w:r w:rsidRPr="00BB1B15">
        <w:rPr>
          <w:b/>
          <w:bCs/>
          <w:sz w:val="24"/>
          <w:szCs w:val="24"/>
        </w:rPr>
        <w:t>Foreign Ministers Framework Dialogue (FMFD)</w:t>
      </w:r>
      <w:r w:rsidRPr="00BB1B15">
        <w:rPr>
          <w:sz w:val="24"/>
          <w:szCs w:val="24"/>
        </w:rPr>
        <w:t>.</w:t>
      </w:r>
    </w:p>
    <w:p w14:paraId="0CB69353" w14:textId="77777777" w:rsidR="005608D1" w:rsidRPr="00D323B6" w:rsidRDefault="005608D1" w:rsidP="0014704E">
      <w:pPr>
        <w:pStyle w:val="ListParagraph"/>
        <w:spacing w:after="0"/>
        <w:ind w:left="0" w:right="74"/>
        <w:rPr>
          <w:rFonts w:cstheme="minorHAnsi"/>
          <w:color w:val="000000"/>
          <w:spacing w:val="16"/>
          <w:sz w:val="24"/>
          <w:szCs w:val="24"/>
          <w:highlight w:val="white"/>
        </w:rPr>
      </w:pPr>
    </w:p>
    <w:p w14:paraId="533E80BD" w14:textId="77777777" w:rsidR="005608D1" w:rsidRPr="00BB1B15" w:rsidRDefault="005608D1" w:rsidP="00A80396">
      <w:pPr>
        <w:pStyle w:val="ListParagraph"/>
        <w:numPr>
          <w:ilvl w:val="0"/>
          <w:numId w:val="6"/>
        </w:numPr>
        <w:suppressAutoHyphens/>
        <w:spacing w:after="0" w:line="240" w:lineRule="auto"/>
        <w:ind w:left="0" w:right="89" w:firstLine="0"/>
        <w:rPr>
          <w:sz w:val="24"/>
          <w:szCs w:val="24"/>
        </w:rPr>
      </w:pPr>
      <w:r w:rsidRPr="00BB1B15">
        <w:rPr>
          <w:sz w:val="24"/>
          <w:szCs w:val="24"/>
        </w:rPr>
        <w:lastRenderedPageBreak/>
        <w:t xml:space="preserve">Both sides jointly decided to continue regular meetings of the annual Australia-India Joint Ministerial Commission to enhance trade and investment relations between the two countries. </w:t>
      </w:r>
    </w:p>
    <w:p w14:paraId="1FDDA53C" w14:textId="77777777" w:rsidR="005608D1" w:rsidRPr="00BB1B15" w:rsidRDefault="005608D1" w:rsidP="0014704E">
      <w:pPr>
        <w:pStyle w:val="ListParagraph"/>
        <w:suppressAutoHyphens/>
        <w:spacing w:after="0" w:line="240" w:lineRule="auto"/>
        <w:ind w:left="0" w:right="89"/>
        <w:rPr>
          <w:sz w:val="24"/>
          <w:szCs w:val="24"/>
        </w:rPr>
      </w:pPr>
    </w:p>
    <w:p w14:paraId="1518A8B8" w14:textId="77777777" w:rsidR="005608D1" w:rsidRPr="00BB1B15" w:rsidRDefault="005608D1" w:rsidP="00A80396">
      <w:pPr>
        <w:pStyle w:val="ListParagraph"/>
        <w:numPr>
          <w:ilvl w:val="0"/>
          <w:numId w:val="6"/>
        </w:numPr>
        <w:suppressAutoHyphens/>
        <w:spacing w:after="0" w:line="240" w:lineRule="auto"/>
        <w:ind w:left="0" w:right="89" w:firstLine="0"/>
        <w:rPr>
          <w:sz w:val="24"/>
          <w:szCs w:val="24"/>
        </w:rPr>
      </w:pPr>
      <w:r w:rsidRPr="00BB1B15">
        <w:rPr>
          <w:sz w:val="24"/>
          <w:szCs w:val="24"/>
        </w:rPr>
        <w:t xml:space="preserve">India and Australia reiterated their commitment to enhance cooperation under the annual </w:t>
      </w:r>
      <w:r w:rsidRPr="00BB1B15">
        <w:rPr>
          <w:b/>
          <w:bCs/>
          <w:sz w:val="24"/>
          <w:szCs w:val="24"/>
        </w:rPr>
        <w:t>Australia-India 'Energy Dialogue.</w:t>
      </w:r>
      <w:r w:rsidRPr="00BB1B15">
        <w:rPr>
          <w:sz w:val="24"/>
          <w:szCs w:val="24"/>
        </w:rPr>
        <w:t>'</w:t>
      </w:r>
    </w:p>
    <w:p w14:paraId="6E0D5DFA" w14:textId="77777777" w:rsidR="005608D1" w:rsidRPr="00BB1B15" w:rsidRDefault="005608D1" w:rsidP="0014704E">
      <w:pPr>
        <w:pStyle w:val="ListParagraph"/>
        <w:suppressAutoHyphens/>
        <w:spacing w:after="0" w:line="240" w:lineRule="auto"/>
        <w:ind w:left="0" w:right="89"/>
        <w:rPr>
          <w:sz w:val="24"/>
          <w:szCs w:val="24"/>
        </w:rPr>
      </w:pPr>
    </w:p>
    <w:p w14:paraId="11DB366F" w14:textId="77777777" w:rsidR="005608D1" w:rsidRPr="00BB1B15" w:rsidRDefault="005608D1" w:rsidP="00A80396">
      <w:pPr>
        <w:pStyle w:val="ListParagraph"/>
        <w:numPr>
          <w:ilvl w:val="0"/>
          <w:numId w:val="6"/>
        </w:numPr>
        <w:suppressAutoHyphens/>
        <w:spacing w:after="0" w:line="240" w:lineRule="auto"/>
        <w:ind w:left="0" w:right="89" w:firstLine="0"/>
        <w:rPr>
          <w:sz w:val="24"/>
          <w:szCs w:val="24"/>
        </w:rPr>
      </w:pPr>
      <w:r w:rsidRPr="00BB1B15">
        <w:rPr>
          <w:sz w:val="24"/>
          <w:szCs w:val="24"/>
        </w:rPr>
        <w:t xml:space="preserve">Both countries also jointly decided to use the existing </w:t>
      </w:r>
      <w:r w:rsidRPr="00BB1B15">
        <w:rPr>
          <w:b/>
          <w:bCs/>
          <w:sz w:val="24"/>
          <w:szCs w:val="24"/>
        </w:rPr>
        <w:t>'Consular Dialogue'</w:t>
      </w:r>
      <w:r w:rsidRPr="00BB1B15">
        <w:rPr>
          <w:sz w:val="24"/>
          <w:szCs w:val="24"/>
        </w:rPr>
        <w:t xml:space="preserve"> Mechanism to address the entire gamut of consular matters.</w:t>
      </w:r>
    </w:p>
    <w:p w14:paraId="21C4087B" w14:textId="77777777" w:rsidR="005608D1" w:rsidRPr="00BB1B15" w:rsidRDefault="005608D1" w:rsidP="0014704E">
      <w:pPr>
        <w:pStyle w:val="ListParagraph"/>
        <w:suppressAutoHyphens/>
        <w:spacing w:after="0" w:line="240" w:lineRule="auto"/>
        <w:ind w:left="0" w:right="89"/>
        <w:rPr>
          <w:sz w:val="24"/>
          <w:szCs w:val="24"/>
        </w:rPr>
      </w:pPr>
    </w:p>
    <w:p w14:paraId="78862D73" w14:textId="77777777" w:rsidR="005608D1" w:rsidRPr="00BB1B15" w:rsidRDefault="005608D1" w:rsidP="00A80396">
      <w:pPr>
        <w:pStyle w:val="ListParagraph"/>
        <w:numPr>
          <w:ilvl w:val="0"/>
          <w:numId w:val="6"/>
        </w:numPr>
        <w:suppressAutoHyphens/>
        <w:spacing w:after="0" w:line="240" w:lineRule="auto"/>
        <w:ind w:left="0" w:right="89" w:firstLine="0"/>
        <w:rPr>
          <w:sz w:val="24"/>
          <w:szCs w:val="24"/>
        </w:rPr>
      </w:pPr>
      <w:r w:rsidRPr="00BB1B15">
        <w:rPr>
          <w:sz w:val="24"/>
          <w:szCs w:val="24"/>
        </w:rPr>
        <w:t xml:space="preserve">Both sides jointly decided to enhance their partnership in the domain of education through the </w:t>
      </w:r>
      <w:r w:rsidRPr="00BB1B15">
        <w:rPr>
          <w:b/>
          <w:bCs/>
          <w:sz w:val="24"/>
          <w:szCs w:val="24"/>
        </w:rPr>
        <w:t>Australia-India Education Council</w:t>
      </w:r>
      <w:r w:rsidRPr="00BB1B15">
        <w:rPr>
          <w:sz w:val="24"/>
          <w:szCs w:val="24"/>
        </w:rPr>
        <w:t xml:space="preserve">.  </w:t>
      </w:r>
    </w:p>
    <w:p w14:paraId="4E8A7BA7" w14:textId="77777777" w:rsidR="005608D1" w:rsidRPr="00BB1B15" w:rsidRDefault="005608D1" w:rsidP="0014704E">
      <w:pPr>
        <w:pStyle w:val="ListParagraph"/>
        <w:suppressAutoHyphens/>
        <w:spacing w:after="0" w:line="240" w:lineRule="auto"/>
        <w:ind w:left="0" w:right="89"/>
        <w:rPr>
          <w:sz w:val="24"/>
          <w:szCs w:val="24"/>
        </w:rPr>
      </w:pPr>
    </w:p>
    <w:p w14:paraId="31B69EA5" w14:textId="77777777" w:rsidR="005608D1" w:rsidRPr="00BB1B15" w:rsidRDefault="005608D1" w:rsidP="00A80396">
      <w:pPr>
        <w:pStyle w:val="ListParagraph"/>
        <w:numPr>
          <w:ilvl w:val="0"/>
          <w:numId w:val="6"/>
        </w:numPr>
        <w:suppressAutoHyphens/>
        <w:spacing w:after="0" w:line="240" w:lineRule="auto"/>
        <w:ind w:left="0" w:right="89" w:firstLine="0"/>
        <w:rPr>
          <w:sz w:val="24"/>
          <w:szCs w:val="24"/>
        </w:rPr>
      </w:pPr>
      <w:r w:rsidRPr="00BB1B15">
        <w:rPr>
          <w:sz w:val="24"/>
          <w:szCs w:val="24"/>
        </w:rPr>
        <w:t xml:space="preserve">The Virtual Summit is yet another milestone in furthering the longstanding, deep and cooperative ties between India and Australia. The list of the Joint declarations </w:t>
      </w:r>
      <w:proofErr w:type="gramStart"/>
      <w:r w:rsidRPr="00BB1B15">
        <w:rPr>
          <w:sz w:val="24"/>
          <w:szCs w:val="24"/>
        </w:rPr>
        <w:t>announced</w:t>
      </w:r>
      <w:proofErr w:type="gramEnd"/>
      <w:r w:rsidRPr="00BB1B15">
        <w:rPr>
          <w:sz w:val="24"/>
          <w:szCs w:val="24"/>
        </w:rPr>
        <w:t xml:space="preserve"> and </w:t>
      </w:r>
      <w:proofErr w:type="spellStart"/>
      <w:r w:rsidRPr="00BB1B15">
        <w:rPr>
          <w:sz w:val="24"/>
          <w:szCs w:val="24"/>
        </w:rPr>
        <w:t>MoUs</w:t>
      </w:r>
      <w:proofErr w:type="spellEnd"/>
      <w:r w:rsidRPr="00BB1B15">
        <w:rPr>
          <w:sz w:val="24"/>
          <w:szCs w:val="24"/>
        </w:rPr>
        <w:t>/Arrangements signed, during the Virtual Summit is enclosed at the Annexure.</w:t>
      </w:r>
    </w:p>
    <w:p w14:paraId="45F0E5C6" w14:textId="77777777" w:rsidR="005608D1" w:rsidRPr="00D323B6" w:rsidRDefault="005608D1" w:rsidP="0014704E">
      <w:pPr>
        <w:spacing w:after="0"/>
        <w:ind w:right="72" w:hanging="29"/>
        <w:rPr>
          <w:rFonts w:cstheme="minorHAnsi"/>
          <w:color w:val="000000"/>
          <w:spacing w:val="16"/>
          <w:sz w:val="24"/>
          <w:szCs w:val="24"/>
          <w:highlight w:val="white"/>
        </w:rPr>
      </w:pPr>
    </w:p>
    <w:p w14:paraId="45ABC1DC" w14:textId="77777777" w:rsidR="005608D1" w:rsidRPr="00D323B6" w:rsidRDefault="005608D1" w:rsidP="0014704E">
      <w:pPr>
        <w:spacing w:after="0"/>
        <w:ind w:right="72" w:hanging="29"/>
        <w:rPr>
          <w:rFonts w:cstheme="minorHAnsi"/>
          <w:color w:val="000000"/>
          <w:spacing w:val="16"/>
          <w:sz w:val="24"/>
          <w:szCs w:val="24"/>
          <w:highlight w:val="white"/>
        </w:rPr>
      </w:pPr>
    </w:p>
    <w:p w14:paraId="6938E219" w14:textId="77777777" w:rsidR="005608D1" w:rsidRPr="00D323B6" w:rsidRDefault="005608D1" w:rsidP="0014704E">
      <w:pPr>
        <w:spacing w:after="0"/>
        <w:ind w:right="72" w:hanging="29"/>
        <w:rPr>
          <w:rFonts w:cstheme="minorHAnsi"/>
          <w:color w:val="000000"/>
          <w:spacing w:val="16"/>
          <w:sz w:val="24"/>
          <w:szCs w:val="24"/>
          <w:highlight w:val="white"/>
        </w:rPr>
      </w:pPr>
    </w:p>
    <w:p w14:paraId="4646B65E" w14:textId="77777777" w:rsidR="005608D1" w:rsidRPr="00BB1B15" w:rsidRDefault="005608D1" w:rsidP="0014704E">
      <w:pPr>
        <w:tabs>
          <w:tab w:val="decimal" w:pos="648"/>
        </w:tabs>
        <w:spacing w:after="0"/>
        <w:ind w:right="72" w:hanging="29"/>
        <w:jc w:val="right"/>
        <w:rPr>
          <w:rFonts w:cstheme="minorHAnsi"/>
          <w:b/>
          <w:color w:val="000000"/>
          <w:spacing w:val="14"/>
          <w:sz w:val="24"/>
          <w:szCs w:val="24"/>
          <w:highlight w:val="white"/>
        </w:rPr>
      </w:pPr>
      <w:r w:rsidRPr="00BB1B15">
        <w:rPr>
          <w:rFonts w:cstheme="minorHAnsi"/>
          <w:b/>
          <w:color w:val="000000"/>
          <w:spacing w:val="14"/>
          <w:sz w:val="24"/>
          <w:szCs w:val="24"/>
          <w:highlight w:val="white"/>
        </w:rPr>
        <w:t>New Delhi and Canberra, 04 June 2020</w:t>
      </w:r>
    </w:p>
    <w:p w14:paraId="21CF1376" w14:textId="77777777" w:rsidR="005608D1" w:rsidRPr="00D323B6" w:rsidRDefault="005608D1" w:rsidP="00EB0980">
      <w:pPr>
        <w:rPr>
          <w:rFonts w:cstheme="minorHAnsi"/>
          <w:color w:val="00000A"/>
          <w:sz w:val="24"/>
          <w:szCs w:val="24"/>
          <w:highlight w:val="white"/>
        </w:rPr>
      </w:pPr>
    </w:p>
    <w:p w14:paraId="202A4B25" w14:textId="77777777" w:rsidR="005608D1" w:rsidRPr="00D323B6" w:rsidRDefault="005608D1" w:rsidP="00EB0980">
      <w:pPr>
        <w:rPr>
          <w:rFonts w:cstheme="minorHAnsi"/>
          <w:sz w:val="24"/>
          <w:szCs w:val="24"/>
          <w:highlight w:val="white"/>
        </w:rPr>
      </w:pPr>
    </w:p>
    <w:p w14:paraId="1191838A" w14:textId="77777777" w:rsidR="005608D1" w:rsidRPr="00D323B6" w:rsidRDefault="005608D1" w:rsidP="00EB0980">
      <w:pPr>
        <w:rPr>
          <w:rFonts w:cstheme="minorHAnsi"/>
          <w:sz w:val="24"/>
          <w:szCs w:val="24"/>
          <w:highlight w:val="white"/>
        </w:rPr>
      </w:pPr>
    </w:p>
    <w:p w14:paraId="27522027" w14:textId="6147B5E0" w:rsidR="005608D1" w:rsidRPr="00D323B6" w:rsidRDefault="005608D1" w:rsidP="00EB0980">
      <w:pPr>
        <w:rPr>
          <w:rFonts w:cstheme="minorHAnsi"/>
          <w:b/>
          <w:bCs/>
          <w:color w:val="000000"/>
          <w:spacing w:val="15"/>
          <w:sz w:val="24"/>
          <w:szCs w:val="24"/>
          <w:highlight w:val="white"/>
          <w:u w:val="single"/>
        </w:rPr>
      </w:pPr>
    </w:p>
    <w:p w14:paraId="1AE56F59" w14:textId="77777777" w:rsidR="00BB1B15" w:rsidRDefault="00BB1B15" w:rsidP="00EB0980">
      <w:pPr>
        <w:rPr>
          <w:rFonts w:cstheme="minorHAnsi"/>
          <w:b/>
          <w:bCs/>
          <w:color w:val="000000"/>
          <w:spacing w:val="15"/>
          <w:sz w:val="24"/>
          <w:szCs w:val="24"/>
          <w:highlight w:val="white"/>
          <w:u w:val="single"/>
        </w:rPr>
      </w:pPr>
      <w:r>
        <w:rPr>
          <w:rFonts w:cstheme="minorHAnsi"/>
          <w:b/>
          <w:bCs/>
          <w:color w:val="000000"/>
          <w:spacing w:val="15"/>
          <w:sz w:val="24"/>
          <w:szCs w:val="24"/>
          <w:highlight w:val="white"/>
          <w:u w:val="single"/>
        </w:rPr>
        <w:br w:type="page"/>
      </w:r>
    </w:p>
    <w:p w14:paraId="14A8328A" w14:textId="247E4338" w:rsidR="005608D1" w:rsidRPr="00D323B6" w:rsidRDefault="005608D1" w:rsidP="00E863D6">
      <w:pPr>
        <w:spacing w:after="0"/>
        <w:ind w:right="72" w:hanging="29"/>
        <w:rPr>
          <w:rFonts w:cstheme="minorHAnsi"/>
          <w:b/>
          <w:bCs/>
          <w:color w:val="000000"/>
          <w:spacing w:val="15"/>
          <w:sz w:val="24"/>
          <w:szCs w:val="24"/>
          <w:highlight w:val="white"/>
          <w:u w:val="single"/>
        </w:rPr>
      </w:pPr>
      <w:r w:rsidRPr="00D323B6">
        <w:rPr>
          <w:rFonts w:cstheme="minorHAnsi"/>
          <w:b/>
          <w:bCs/>
          <w:color w:val="000000"/>
          <w:spacing w:val="15"/>
          <w:sz w:val="24"/>
          <w:szCs w:val="24"/>
          <w:highlight w:val="white"/>
          <w:u w:val="single"/>
        </w:rPr>
        <w:lastRenderedPageBreak/>
        <w:t>Annexure</w:t>
      </w:r>
    </w:p>
    <w:p w14:paraId="13A79EB8" w14:textId="77777777" w:rsidR="005608D1" w:rsidRPr="00D323B6" w:rsidRDefault="005608D1" w:rsidP="00E863D6">
      <w:pPr>
        <w:spacing w:after="0"/>
        <w:ind w:right="72" w:hanging="29"/>
        <w:rPr>
          <w:rFonts w:cstheme="minorHAnsi"/>
          <w:b/>
          <w:bCs/>
          <w:color w:val="00000A"/>
          <w:sz w:val="24"/>
          <w:szCs w:val="24"/>
          <w:highlight w:val="white"/>
          <w:u w:val="single"/>
        </w:rPr>
      </w:pPr>
    </w:p>
    <w:p w14:paraId="2080B05E" w14:textId="77777777" w:rsidR="005608D1" w:rsidRPr="00D323B6" w:rsidRDefault="005608D1" w:rsidP="00E863D6">
      <w:pPr>
        <w:spacing w:after="0"/>
        <w:ind w:right="72" w:hanging="29"/>
        <w:rPr>
          <w:rFonts w:cstheme="minorHAnsi"/>
          <w:sz w:val="24"/>
          <w:szCs w:val="24"/>
        </w:rPr>
      </w:pPr>
      <w:r w:rsidRPr="00D323B6">
        <w:rPr>
          <w:rFonts w:cstheme="minorHAnsi"/>
          <w:color w:val="000000"/>
          <w:spacing w:val="15"/>
          <w:sz w:val="24"/>
          <w:szCs w:val="24"/>
          <w:highlight w:val="white"/>
        </w:rPr>
        <w:t xml:space="preserve">1. </w:t>
      </w:r>
      <w:r w:rsidRPr="00D323B6">
        <w:rPr>
          <w:rFonts w:cstheme="minorHAnsi"/>
          <w:color w:val="000000"/>
          <w:spacing w:val="15"/>
          <w:sz w:val="24"/>
          <w:szCs w:val="24"/>
          <w:highlight w:val="white"/>
        </w:rPr>
        <w:tab/>
        <w:t xml:space="preserve">Joint Statement on a Comprehensive Strategic Partnership </w:t>
      </w:r>
      <w:r w:rsidRPr="00D323B6">
        <w:rPr>
          <w:rFonts w:cstheme="minorHAnsi"/>
          <w:color w:val="000000"/>
          <w:spacing w:val="15"/>
          <w:sz w:val="24"/>
          <w:szCs w:val="24"/>
          <w:highlight w:val="white"/>
        </w:rPr>
        <w:br/>
      </w:r>
      <w:r w:rsidRPr="00D323B6">
        <w:rPr>
          <w:rFonts w:cstheme="minorHAnsi"/>
          <w:color w:val="000000"/>
          <w:spacing w:val="15"/>
          <w:sz w:val="24"/>
          <w:szCs w:val="24"/>
          <w:highlight w:val="white"/>
        </w:rPr>
        <w:tab/>
      </w:r>
      <w:r w:rsidRPr="00D323B6">
        <w:rPr>
          <w:rFonts w:cstheme="minorHAnsi"/>
          <w:color w:val="000000"/>
          <w:spacing w:val="12"/>
          <w:sz w:val="24"/>
          <w:szCs w:val="24"/>
          <w:highlight w:val="white"/>
        </w:rPr>
        <w:t>between Republic of India and Australia</w:t>
      </w:r>
    </w:p>
    <w:p w14:paraId="03FAD07B" w14:textId="77777777" w:rsidR="005608D1" w:rsidRPr="00D323B6" w:rsidRDefault="005608D1" w:rsidP="00E863D6">
      <w:pPr>
        <w:spacing w:after="0"/>
        <w:ind w:right="72" w:hanging="29"/>
        <w:rPr>
          <w:rFonts w:cstheme="minorHAnsi"/>
          <w:sz w:val="24"/>
          <w:szCs w:val="24"/>
          <w:highlight w:val="white"/>
        </w:rPr>
      </w:pPr>
    </w:p>
    <w:p w14:paraId="481CB95A" w14:textId="77777777" w:rsidR="005608D1" w:rsidRPr="00D323B6" w:rsidRDefault="005608D1" w:rsidP="00E863D6">
      <w:pPr>
        <w:spacing w:after="0"/>
        <w:ind w:right="72" w:hanging="29"/>
        <w:rPr>
          <w:rFonts w:cstheme="minorHAnsi"/>
          <w:sz w:val="24"/>
          <w:szCs w:val="24"/>
        </w:rPr>
      </w:pPr>
      <w:r w:rsidRPr="00D323B6">
        <w:rPr>
          <w:rFonts w:cstheme="minorHAnsi"/>
          <w:color w:val="000000"/>
          <w:spacing w:val="12"/>
          <w:sz w:val="24"/>
          <w:szCs w:val="24"/>
          <w:highlight w:val="white"/>
        </w:rPr>
        <w:t>2.</w:t>
      </w:r>
      <w:r w:rsidRPr="00D323B6">
        <w:rPr>
          <w:rFonts w:cstheme="minorHAnsi"/>
          <w:color w:val="000000"/>
          <w:spacing w:val="12"/>
          <w:sz w:val="24"/>
          <w:szCs w:val="24"/>
          <w:highlight w:val="white"/>
        </w:rPr>
        <w:tab/>
      </w:r>
      <w:r w:rsidRPr="00D323B6">
        <w:rPr>
          <w:rFonts w:cstheme="minorHAnsi"/>
          <w:color w:val="000000"/>
          <w:spacing w:val="16"/>
          <w:sz w:val="24"/>
          <w:szCs w:val="24"/>
          <w:highlight w:val="white"/>
        </w:rPr>
        <w:t>Joint Declaration on a Shared Vision for Maritime Cooperation in the Indo-</w:t>
      </w:r>
      <w:r w:rsidRPr="00D323B6">
        <w:rPr>
          <w:rFonts w:cstheme="minorHAnsi"/>
          <w:color w:val="000000"/>
          <w:spacing w:val="16"/>
          <w:sz w:val="24"/>
          <w:szCs w:val="24"/>
          <w:highlight w:val="white"/>
        </w:rPr>
        <w:tab/>
        <w:t>Pacific.</w:t>
      </w:r>
    </w:p>
    <w:p w14:paraId="10FF9427" w14:textId="77777777" w:rsidR="005608D1" w:rsidRPr="00D323B6" w:rsidRDefault="005608D1" w:rsidP="00E863D6">
      <w:pPr>
        <w:spacing w:after="0"/>
        <w:ind w:right="72" w:hanging="29"/>
        <w:rPr>
          <w:rFonts w:cstheme="minorHAnsi"/>
          <w:sz w:val="24"/>
          <w:szCs w:val="24"/>
          <w:highlight w:val="white"/>
        </w:rPr>
      </w:pPr>
    </w:p>
    <w:p w14:paraId="37E36992" w14:textId="77777777" w:rsidR="005608D1" w:rsidRPr="00D323B6" w:rsidRDefault="005608D1" w:rsidP="00E863D6">
      <w:pPr>
        <w:spacing w:after="0"/>
        <w:ind w:right="72" w:hanging="29"/>
        <w:rPr>
          <w:rFonts w:cstheme="minorHAnsi"/>
          <w:sz w:val="24"/>
          <w:szCs w:val="24"/>
        </w:rPr>
      </w:pPr>
      <w:r w:rsidRPr="00D323B6">
        <w:rPr>
          <w:rFonts w:cstheme="minorHAnsi"/>
          <w:color w:val="000000"/>
          <w:spacing w:val="16"/>
          <w:sz w:val="24"/>
          <w:szCs w:val="24"/>
          <w:highlight w:val="white"/>
        </w:rPr>
        <w:t>3.</w:t>
      </w:r>
      <w:r w:rsidRPr="00D323B6">
        <w:rPr>
          <w:rFonts w:cstheme="minorHAnsi"/>
          <w:b/>
          <w:bCs/>
          <w:color w:val="000000"/>
          <w:spacing w:val="16"/>
          <w:sz w:val="24"/>
          <w:szCs w:val="24"/>
          <w:highlight w:val="white"/>
        </w:rPr>
        <w:tab/>
      </w:r>
      <w:r w:rsidRPr="00D323B6">
        <w:rPr>
          <w:rFonts w:cstheme="minorHAnsi"/>
          <w:color w:val="000000"/>
          <w:spacing w:val="12"/>
          <w:sz w:val="24"/>
          <w:szCs w:val="24"/>
          <w:highlight w:val="white"/>
        </w:rPr>
        <w:t xml:space="preserve">Framework Arrangement on Cyber and Cyber-Enabled Critical Technology </w:t>
      </w:r>
      <w:r w:rsidRPr="00D323B6">
        <w:rPr>
          <w:rFonts w:cstheme="minorHAnsi"/>
          <w:color w:val="000000"/>
          <w:spacing w:val="12"/>
          <w:sz w:val="24"/>
          <w:szCs w:val="24"/>
          <w:highlight w:val="white"/>
        </w:rPr>
        <w:tab/>
        <w:t>Cooperation.</w:t>
      </w:r>
    </w:p>
    <w:p w14:paraId="2A55D1DE" w14:textId="77777777" w:rsidR="005608D1" w:rsidRPr="00D323B6" w:rsidRDefault="005608D1" w:rsidP="00E863D6">
      <w:pPr>
        <w:spacing w:after="0"/>
        <w:ind w:right="72" w:hanging="29"/>
        <w:rPr>
          <w:rFonts w:cstheme="minorHAnsi"/>
          <w:sz w:val="24"/>
          <w:szCs w:val="24"/>
          <w:highlight w:val="white"/>
        </w:rPr>
      </w:pPr>
    </w:p>
    <w:p w14:paraId="39610498" w14:textId="77777777" w:rsidR="005608D1" w:rsidRPr="00D323B6" w:rsidRDefault="005608D1" w:rsidP="00E863D6">
      <w:pPr>
        <w:spacing w:after="0"/>
        <w:ind w:right="72" w:hanging="29"/>
        <w:rPr>
          <w:rFonts w:cstheme="minorHAnsi"/>
          <w:sz w:val="24"/>
          <w:szCs w:val="24"/>
        </w:rPr>
      </w:pPr>
      <w:r w:rsidRPr="00D323B6">
        <w:rPr>
          <w:rFonts w:cstheme="minorHAnsi"/>
          <w:color w:val="000000"/>
          <w:spacing w:val="12"/>
          <w:sz w:val="24"/>
          <w:szCs w:val="24"/>
          <w:highlight w:val="white"/>
        </w:rPr>
        <w:t>4.</w:t>
      </w:r>
      <w:r w:rsidRPr="00D323B6">
        <w:rPr>
          <w:rFonts w:cstheme="minorHAnsi"/>
          <w:color w:val="000000"/>
          <w:spacing w:val="12"/>
          <w:sz w:val="24"/>
          <w:szCs w:val="24"/>
          <w:highlight w:val="white"/>
        </w:rPr>
        <w:tab/>
      </w:r>
      <w:r w:rsidRPr="00D323B6">
        <w:rPr>
          <w:rFonts w:cstheme="minorHAnsi"/>
          <w:spacing w:val="16"/>
          <w:sz w:val="24"/>
          <w:szCs w:val="24"/>
          <w:highlight w:val="white"/>
        </w:rPr>
        <w:t xml:space="preserve">MOU on cooperation in the field of mining and processing of Critical and </w:t>
      </w:r>
      <w:r w:rsidRPr="00D323B6">
        <w:rPr>
          <w:rFonts w:cstheme="minorHAnsi"/>
          <w:spacing w:val="16"/>
          <w:sz w:val="24"/>
          <w:szCs w:val="24"/>
          <w:highlight w:val="white"/>
        </w:rPr>
        <w:tab/>
        <w:t>Strategic minerals.</w:t>
      </w:r>
    </w:p>
    <w:p w14:paraId="59FA17FB" w14:textId="77777777" w:rsidR="005608D1" w:rsidRPr="00D323B6" w:rsidRDefault="005608D1" w:rsidP="00E863D6">
      <w:pPr>
        <w:spacing w:after="0"/>
        <w:ind w:right="72" w:hanging="29"/>
        <w:rPr>
          <w:rFonts w:cstheme="minorHAnsi"/>
          <w:sz w:val="24"/>
          <w:szCs w:val="24"/>
          <w:highlight w:val="white"/>
        </w:rPr>
      </w:pPr>
    </w:p>
    <w:p w14:paraId="6A76CD13" w14:textId="77777777" w:rsidR="005608D1" w:rsidRPr="00D323B6" w:rsidRDefault="005608D1" w:rsidP="00E863D6">
      <w:pPr>
        <w:spacing w:after="0"/>
        <w:ind w:right="72" w:hanging="29"/>
        <w:rPr>
          <w:rFonts w:cstheme="minorHAnsi"/>
          <w:sz w:val="24"/>
          <w:szCs w:val="24"/>
        </w:rPr>
      </w:pPr>
      <w:r w:rsidRPr="00D323B6">
        <w:rPr>
          <w:rFonts w:cstheme="minorHAnsi"/>
          <w:spacing w:val="16"/>
          <w:sz w:val="24"/>
          <w:szCs w:val="24"/>
          <w:highlight w:val="white"/>
        </w:rPr>
        <w:t>5.</w:t>
      </w:r>
      <w:r w:rsidRPr="00D323B6">
        <w:rPr>
          <w:rFonts w:cstheme="minorHAnsi"/>
          <w:spacing w:val="16"/>
          <w:sz w:val="24"/>
          <w:szCs w:val="24"/>
          <w:highlight w:val="white"/>
        </w:rPr>
        <w:tab/>
      </w:r>
      <w:r w:rsidRPr="00D323B6">
        <w:rPr>
          <w:rFonts w:cstheme="minorHAnsi"/>
          <w:color w:val="000000"/>
          <w:spacing w:val="16"/>
          <w:sz w:val="24"/>
          <w:szCs w:val="24"/>
          <w:highlight w:val="white"/>
        </w:rPr>
        <w:t>Arrangement concerning Mutual Logistics Support (MLSA).</w:t>
      </w:r>
    </w:p>
    <w:p w14:paraId="6AA64A62" w14:textId="77777777" w:rsidR="005608D1" w:rsidRPr="00D323B6" w:rsidRDefault="005608D1" w:rsidP="00E863D6">
      <w:pPr>
        <w:spacing w:after="0"/>
        <w:ind w:right="72" w:hanging="29"/>
        <w:rPr>
          <w:rFonts w:cstheme="minorHAnsi"/>
          <w:sz w:val="24"/>
          <w:szCs w:val="24"/>
          <w:highlight w:val="white"/>
        </w:rPr>
      </w:pPr>
    </w:p>
    <w:p w14:paraId="088094CE" w14:textId="77777777" w:rsidR="005608D1" w:rsidRPr="00D323B6" w:rsidRDefault="005608D1" w:rsidP="00E863D6">
      <w:pPr>
        <w:spacing w:after="0"/>
        <w:ind w:right="72" w:hanging="29"/>
        <w:rPr>
          <w:rFonts w:cstheme="minorHAnsi"/>
          <w:color w:val="000000"/>
          <w:spacing w:val="16"/>
          <w:sz w:val="24"/>
          <w:szCs w:val="24"/>
          <w:highlight w:val="white"/>
        </w:rPr>
      </w:pPr>
      <w:r w:rsidRPr="00D323B6">
        <w:rPr>
          <w:rFonts w:cstheme="minorHAnsi"/>
          <w:color w:val="000000"/>
          <w:spacing w:val="16"/>
          <w:sz w:val="24"/>
          <w:szCs w:val="24"/>
          <w:highlight w:val="white"/>
        </w:rPr>
        <w:t>6.</w:t>
      </w:r>
      <w:r w:rsidRPr="00D323B6">
        <w:rPr>
          <w:rFonts w:cstheme="minorHAnsi"/>
          <w:color w:val="000000"/>
          <w:spacing w:val="16"/>
          <w:sz w:val="24"/>
          <w:szCs w:val="24"/>
          <w:highlight w:val="white"/>
        </w:rPr>
        <w:tab/>
        <w:t xml:space="preserve">Implementing Arrangement concerning cooperation in Defence Science </w:t>
      </w:r>
      <w:r w:rsidRPr="00D323B6">
        <w:rPr>
          <w:rFonts w:cstheme="minorHAnsi"/>
          <w:color w:val="000000"/>
          <w:spacing w:val="16"/>
          <w:sz w:val="24"/>
          <w:szCs w:val="24"/>
          <w:highlight w:val="white"/>
        </w:rPr>
        <w:tab/>
        <w:t>and Technology to the MoU on Defence Cooperation.</w:t>
      </w:r>
    </w:p>
    <w:p w14:paraId="47D95856" w14:textId="77777777" w:rsidR="005608D1" w:rsidRPr="00D323B6" w:rsidRDefault="005608D1" w:rsidP="00E863D6">
      <w:pPr>
        <w:spacing w:after="0"/>
        <w:ind w:right="72" w:hanging="29"/>
        <w:rPr>
          <w:rFonts w:cstheme="minorHAnsi"/>
          <w:color w:val="00000A"/>
          <w:sz w:val="24"/>
          <w:szCs w:val="24"/>
          <w:highlight w:val="white"/>
        </w:rPr>
      </w:pPr>
    </w:p>
    <w:p w14:paraId="781EA93D" w14:textId="77777777" w:rsidR="005608D1" w:rsidRPr="00D323B6" w:rsidRDefault="005608D1" w:rsidP="00E863D6">
      <w:pPr>
        <w:spacing w:after="0"/>
        <w:ind w:right="72" w:hanging="29"/>
        <w:rPr>
          <w:rFonts w:cstheme="minorHAnsi"/>
          <w:sz w:val="24"/>
          <w:szCs w:val="24"/>
        </w:rPr>
      </w:pPr>
      <w:r w:rsidRPr="00D323B6">
        <w:rPr>
          <w:rFonts w:cstheme="minorHAnsi"/>
          <w:color w:val="000000"/>
          <w:spacing w:val="16"/>
          <w:sz w:val="24"/>
          <w:szCs w:val="24"/>
          <w:highlight w:val="white"/>
        </w:rPr>
        <w:t xml:space="preserve">7.  </w:t>
      </w:r>
      <w:r w:rsidRPr="00D323B6">
        <w:rPr>
          <w:rFonts w:cstheme="minorHAnsi"/>
          <w:color w:val="000000"/>
          <w:spacing w:val="16"/>
          <w:sz w:val="24"/>
          <w:szCs w:val="24"/>
          <w:highlight w:val="white"/>
        </w:rPr>
        <w:tab/>
        <w:t xml:space="preserve">Memorandum of Understanding on Co-operation in the field of Public </w:t>
      </w:r>
      <w:r w:rsidRPr="00D323B6">
        <w:rPr>
          <w:rFonts w:cstheme="minorHAnsi"/>
          <w:color w:val="000000"/>
          <w:spacing w:val="16"/>
          <w:sz w:val="24"/>
          <w:szCs w:val="24"/>
          <w:highlight w:val="white"/>
        </w:rPr>
        <w:tab/>
        <w:t>Administration and Governance Reforms</w:t>
      </w:r>
      <w:r w:rsidRPr="00D323B6">
        <w:rPr>
          <w:rFonts w:cstheme="minorHAnsi"/>
          <w:strike/>
          <w:color w:val="000000"/>
          <w:spacing w:val="16"/>
          <w:sz w:val="24"/>
          <w:szCs w:val="24"/>
          <w:highlight w:val="white"/>
        </w:rPr>
        <w:t>.</w:t>
      </w:r>
    </w:p>
    <w:p w14:paraId="4B4F8CBC" w14:textId="77777777" w:rsidR="005608D1" w:rsidRPr="00D323B6" w:rsidRDefault="005608D1" w:rsidP="00E863D6">
      <w:pPr>
        <w:spacing w:after="0"/>
        <w:ind w:right="72" w:hanging="29"/>
        <w:rPr>
          <w:rFonts w:cstheme="minorHAnsi"/>
          <w:sz w:val="24"/>
          <w:szCs w:val="24"/>
          <w:highlight w:val="white"/>
        </w:rPr>
      </w:pPr>
    </w:p>
    <w:p w14:paraId="45D6E0A3" w14:textId="77777777" w:rsidR="005608D1" w:rsidRPr="00D323B6" w:rsidRDefault="005608D1" w:rsidP="00E863D6">
      <w:pPr>
        <w:spacing w:after="0"/>
        <w:ind w:right="72" w:hanging="29"/>
        <w:rPr>
          <w:rFonts w:cstheme="minorHAnsi"/>
          <w:color w:val="000000"/>
          <w:spacing w:val="16"/>
          <w:sz w:val="24"/>
          <w:szCs w:val="24"/>
          <w:highlight w:val="white"/>
        </w:rPr>
      </w:pPr>
      <w:r w:rsidRPr="00D323B6">
        <w:rPr>
          <w:rFonts w:cstheme="minorHAnsi"/>
          <w:color w:val="000000"/>
          <w:spacing w:val="16"/>
          <w:sz w:val="24"/>
          <w:szCs w:val="24"/>
          <w:highlight w:val="white"/>
        </w:rPr>
        <w:t>8.</w:t>
      </w:r>
      <w:r w:rsidRPr="00D323B6">
        <w:rPr>
          <w:rFonts w:cstheme="minorHAnsi"/>
          <w:color w:val="000000"/>
          <w:spacing w:val="16"/>
          <w:sz w:val="24"/>
          <w:szCs w:val="24"/>
          <w:highlight w:val="white"/>
        </w:rPr>
        <w:tab/>
        <w:t xml:space="preserve">Memorandum of Understanding on Cooperation in Vocational Education </w:t>
      </w:r>
      <w:r w:rsidRPr="00D323B6">
        <w:rPr>
          <w:rFonts w:cstheme="minorHAnsi"/>
          <w:color w:val="000000"/>
          <w:spacing w:val="16"/>
          <w:sz w:val="24"/>
          <w:szCs w:val="24"/>
          <w:highlight w:val="white"/>
        </w:rPr>
        <w:tab/>
        <w:t>and Training.</w:t>
      </w:r>
    </w:p>
    <w:p w14:paraId="5F74ACF9" w14:textId="77777777" w:rsidR="005608D1" w:rsidRPr="00D323B6" w:rsidRDefault="005608D1" w:rsidP="00E863D6">
      <w:pPr>
        <w:spacing w:after="0"/>
        <w:ind w:right="72" w:hanging="29"/>
        <w:rPr>
          <w:rFonts w:cstheme="minorHAnsi"/>
          <w:color w:val="00000A"/>
          <w:sz w:val="24"/>
          <w:szCs w:val="24"/>
          <w:highlight w:val="white"/>
        </w:rPr>
      </w:pPr>
    </w:p>
    <w:p w14:paraId="1A1CAB8B" w14:textId="77777777" w:rsidR="005608D1" w:rsidRPr="00D323B6" w:rsidRDefault="005608D1" w:rsidP="00E863D6">
      <w:pPr>
        <w:spacing w:after="0"/>
        <w:ind w:right="72" w:hanging="29"/>
        <w:rPr>
          <w:rFonts w:cstheme="minorHAnsi"/>
          <w:color w:val="000000"/>
          <w:spacing w:val="16"/>
          <w:sz w:val="24"/>
          <w:szCs w:val="24"/>
          <w:highlight w:val="white"/>
        </w:rPr>
      </w:pPr>
      <w:r w:rsidRPr="00D323B6">
        <w:rPr>
          <w:rFonts w:cstheme="minorHAnsi"/>
          <w:color w:val="000000"/>
          <w:spacing w:val="16"/>
          <w:sz w:val="24"/>
          <w:szCs w:val="24"/>
          <w:highlight w:val="white"/>
        </w:rPr>
        <w:t>9.</w:t>
      </w:r>
      <w:r w:rsidRPr="00D323B6">
        <w:rPr>
          <w:rFonts w:cstheme="minorHAnsi"/>
          <w:color w:val="000000"/>
          <w:spacing w:val="16"/>
          <w:sz w:val="24"/>
          <w:szCs w:val="24"/>
          <w:highlight w:val="white"/>
        </w:rPr>
        <w:tab/>
        <w:t>Memorandum of Understanding on Water Resources Management.</w:t>
      </w:r>
    </w:p>
    <w:p w14:paraId="58EDBA3A" w14:textId="77777777" w:rsidR="005608D1" w:rsidRPr="00D323B6" w:rsidRDefault="005608D1" w:rsidP="00E863D6">
      <w:pPr>
        <w:spacing w:after="0"/>
        <w:ind w:right="72" w:hanging="29"/>
        <w:rPr>
          <w:rFonts w:cstheme="minorHAnsi"/>
          <w:color w:val="00000A"/>
          <w:sz w:val="24"/>
          <w:szCs w:val="24"/>
          <w:highlight w:val="white"/>
        </w:rPr>
      </w:pPr>
    </w:p>
    <w:p w14:paraId="330E2EE5" w14:textId="77777777" w:rsidR="005608D1" w:rsidRPr="00D323B6" w:rsidRDefault="005608D1" w:rsidP="00E863D6">
      <w:pPr>
        <w:spacing w:after="0"/>
        <w:ind w:right="72" w:hanging="29"/>
        <w:jc w:val="center"/>
        <w:rPr>
          <w:rFonts w:cstheme="minorHAnsi"/>
          <w:color w:val="000000"/>
          <w:spacing w:val="16"/>
          <w:sz w:val="24"/>
          <w:szCs w:val="24"/>
          <w:highlight w:val="white"/>
        </w:rPr>
      </w:pPr>
      <w:r w:rsidRPr="00D323B6">
        <w:rPr>
          <w:rFonts w:cstheme="minorHAnsi"/>
          <w:color w:val="000000"/>
          <w:spacing w:val="16"/>
          <w:sz w:val="24"/>
          <w:szCs w:val="24"/>
          <w:highlight w:val="white"/>
        </w:rPr>
        <w:t>*****</w:t>
      </w:r>
    </w:p>
    <w:p w14:paraId="4229C947" w14:textId="77777777" w:rsidR="005608D1" w:rsidRPr="005608D1" w:rsidRDefault="005608D1" w:rsidP="00EB0980">
      <w:pPr>
        <w:rPr>
          <w:rFonts w:cstheme="minorHAnsi"/>
          <w:b/>
          <w:i/>
        </w:rPr>
      </w:pPr>
    </w:p>
    <w:p w14:paraId="581B8A93" w14:textId="77777777" w:rsidR="005608D1" w:rsidRPr="005608D1" w:rsidRDefault="005608D1" w:rsidP="00EB0980">
      <w:pPr>
        <w:rPr>
          <w:rFonts w:eastAsiaTheme="majorEastAsia" w:cstheme="minorHAnsi"/>
          <w:color w:val="2F5496" w:themeColor="accent1" w:themeShade="BF"/>
          <w:u w:val="single"/>
        </w:rPr>
      </w:pPr>
      <w:bookmarkStart w:id="98" w:name="_Toc88748513"/>
      <w:r w:rsidRPr="005608D1">
        <w:rPr>
          <w:rFonts w:cstheme="minorHAnsi"/>
          <w:u w:val="single"/>
        </w:rPr>
        <w:br w:type="page"/>
      </w:r>
    </w:p>
    <w:p w14:paraId="33A004D1" w14:textId="77777777" w:rsidR="005608D1" w:rsidRPr="00BB1B15" w:rsidRDefault="005608D1" w:rsidP="00EB0980">
      <w:pPr>
        <w:pStyle w:val="Heading1"/>
        <w:spacing w:before="0"/>
        <w:rPr>
          <w:rFonts w:cstheme="minorHAnsi"/>
          <w:u w:val="single"/>
        </w:rPr>
      </w:pPr>
      <w:bookmarkStart w:id="99" w:name="_Toc99370692"/>
      <w:r w:rsidRPr="00BB1B15">
        <w:rPr>
          <w:rFonts w:cstheme="minorHAnsi"/>
          <w:u w:val="single"/>
        </w:rPr>
        <w:lastRenderedPageBreak/>
        <w:t xml:space="preserve">ATTACHMENT B: </w:t>
      </w:r>
      <w:bookmarkEnd w:id="98"/>
      <w:r w:rsidRPr="00BB1B15">
        <w:rPr>
          <w:rFonts w:cstheme="minorHAnsi"/>
          <w:u w:val="single"/>
        </w:rPr>
        <w:t>17th AUSTRALIA-INDIA JOINT MINISTERIAL COMMISSION STATEMENT</w:t>
      </w:r>
      <w:bookmarkEnd w:id="99"/>
    </w:p>
    <w:p w14:paraId="1CE5907B" w14:textId="77777777" w:rsidR="005608D1" w:rsidRPr="005608D1" w:rsidRDefault="005608D1" w:rsidP="00E863D6">
      <w:pPr>
        <w:spacing w:after="0"/>
        <w:rPr>
          <w:rFonts w:cstheme="minorHAnsi"/>
        </w:rPr>
      </w:pPr>
    </w:p>
    <w:p w14:paraId="2DE48E42" w14:textId="77777777" w:rsidR="005608D1" w:rsidRPr="00D323B6" w:rsidRDefault="005608D1" w:rsidP="00E863D6">
      <w:pPr>
        <w:spacing w:after="0"/>
        <w:rPr>
          <w:rFonts w:cstheme="minorHAnsi"/>
          <w:sz w:val="24"/>
          <w:szCs w:val="24"/>
        </w:rPr>
      </w:pPr>
      <w:r w:rsidRPr="00D323B6">
        <w:rPr>
          <w:rFonts w:eastAsia="Times New Roman" w:cstheme="minorHAnsi"/>
          <w:color w:val="313131"/>
          <w:sz w:val="24"/>
          <w:szCs w:val="24"/>
          <w:lang w:eastAsia="en-AU"/>
        </w:rPr>
        <w:t>Mr Piyush Goyal, India's Minister of Commerce and Industry, Consumer Affairs and Food, and Public Distribution and Textiles, and Mr Dan Tehan MP, Minister for Trade, Tourism and Investment, Government of Australia, have formally launched the resumption of negotiations on the India-Australia Comprehensive Economic Cooperation Agreement (CECA).</w:t>
      </w:r>
    </w:p>
    <w:p w14:paraId="7401B287" w14:textId="77777777" w:rsidR="00E863D6" w:rsidRDefault="00E863D6" w:rsidP="00E863D6">
      <w:pPr>
        <w:shd w:val="clear" w:color="auto" w:fill="FFFFFF"/>
        <w:spacing w:after="0" w:line="240" w:lineRule="auto"/>
        <w:rPr>
          <w:rFonts w:eastAsia="Times New Roman" w:cstheme="minorHAnsi"/>
          <w:color w:val="313131"/>
          <w:sz w:val="24"/>
          <w:szCs w:val="24"/>
          <w:lang w:eastAsia="en-AU"/>
        </w:rPr>
      </w:pPr>
    </w:p>
    <w:p w14:paraId="34325012" w14:textId="512E3059" w:rsidR="005608D1" w:rsidRPr="00D323B6" w:rsidRDefault="005608D1" w:rsidP="00E863D6">
      <w:pPr>
        <w:shd w:val="clear" w:color="auto" w:fill="FFFFFF"/>
        <w:spacing w:after="0" w:line="240" w:lineRule="auto"/>
        <w:rPr>
          <w:rFonts w:eastAsia="Times New Roman" w:cstheme="minorHAnsi"/>
          <w:color w:val="313131"/>
          <w:sz w:val="24"/>
          <w:szCs w:val="24"/>
          <w:lang w:eastAsia="en-AU"/>
        </w:rPr>
      </w:pPr>
      <w:r w:rsidRPr="00D323B6">
        <w:rPr>
          <w:rFonts w:eastAsia="Times New Roman" w:cstheme="minorHAnsi"/>
          <w:color w:val="313131"/>
          <w:sz w:val="24"/>
          <w:szCs w:val="24"/>
          <w:lang w:eastAsia="en-AU"/>
        </w:rPr>
        <w:t>Both Ministers discussed a range of issues during the 17th India-Australia Joint Ministerial Commission meeting yesterday. Key issues included the expeditious negotiation of a bilateral CECA, resolution of tax-related issues faced by Indian software firms in Australia, ensuring increased two-way trade and the 12th Ministerial Conference of the WTO scheduled to be held at the end of this year.</w:t>
      </w:r>
    </w:p>
    <w:p w14:paraId="049322B6" w14:textId="77777777" w:rsidR="00E863D6" w:rsidRDefault="00E863D6" w:rsidP="00E863D6">
      <w:pPr>
        <w:shd w:val="clear" w:color="auto" w:fill="FFFFFF"/>
        <w:spacing w:after="0" w:line="240" w:lineRule="auto"/>
        <w:rPr>
          <w:rFonts w:eastAsia="Times New Roman" w:cstheme="minorHAnsi"/>
          <w:color w:val="313131"/>
          <w:sz w:val="24"/>
          <w:szCs w:val="24"/>
          <w:lang w:eastAsia="en-AU"/>
        </w:rPr>
      </w:pPr>
    </w:p>
    <w:p w14:paraId="09369111" w14:textId="002AC9FA" w:rsidR="005608D1" w:rsidRPr="00D323B6" w:rsidRDefault="005608D1" w:rsidP="00E863D6">
      <w:pPr>
        <w:shd w:val="clear" w:color="auto" w:fill="FFFFFF"/>
        <w:spacing w:after="0" w:line="240" w:lineRule="auto"/>
        <w:rPr>
          <w:rFonts w:eastAsia="Times New Roman" w:cstheme="minorHAnsi"/>
          <w:color w:val="313131"/>
          <w:sz w:val="24"/>
          <w:szCs w:val="24"/>
          <w:lang w:eastAsia="en-AU"/>
        </w:rPr>
      </w:pPr>
      <w:r w:rsidRPr="00D323B6">
        <w:rPr>
          <w:rFonts w:eastAsia="Times New Roman" w:cstheme="minorHAnsi"/>
          <w:color w:val="313131"/>
          <w:sz w:val="24"/>
          <w:szCs w:val="24"/>
          <w:lang w:eastAsia="en-AU"/>
        </w:rPr>
        <w:t>Both India and Australia reaffirmed their commitment to conclude a CECA, including to reach an interim agreement by December 2021 to liberalise and deepen bilateral trade in goods and services, and to conclude the negotiations on a full CECA by the end of 2022.</w:t>
      </w:r>
    </w:p>
    <w:p w14:paraId="7ECE5C48" w14:textId="77777777" w:rsidR="00E863D6" w:rsidRDefault="00E863D6" w:rsidP="00E863D6">
      <w:pPr>
        <w:shd w:val="clear" w:color="auto" w:fill="FFFFFF"/>
        <w:spacing w:after="0" w:line="240" w:lineRule="auto"/>
        <w:rPr>
          <w:rFonts w:eastAsia="Times New Roman" w:cstheme="minorHAnsi"/>
          <w:color w:val="313131"/>
          <w:sz w:val="24"/>
          <w:szCs w:val="24"/>
          <w:lang w:eastAsia="en-AU"/>
        </w:rPr>
      </w:pPr>
    </w:p>
    <w:p w14:paraId="0D67FA71" w14:textId="1BA75E03" w:rsidR="005608D1" w:rsidRPr="00D323B6" w:rsidRDefault="005608D1" w:rsidP="00E863D6">
      <w:pPr>
        <w:shd w:val="clear" w:color="auto" w:fill="FFFFFF"/>
        <w:spacing w:after="0" w:line="240" w:lineRule="auto"/>
        <w:rPr>
          <w:rFonts w:eastAsia="Times New Roman" w:cstheme="minorHAnsi"/>
          <w:color w:val="313131"/>
          <w:sz w:val="24"/>
          <w:szCs w:val="24"/>
          <w:lang w:eastAsia="en-AU"/>
        </w:rPr>
      </w:pPr>
      <w:r w:rsidRPr="00D323B6">
        <w:rPr>
          <w:rFonts w:eastAsia="Times New Roman" w:cstheme="minorHAnsi"/>
          <w:color w:val="313131"/>
          <w:sz w:val="24"/>
          <w:szCs w:val="24"/>
          <w:lang w:eastAsia="en-AU"/>
        </w:rPr>
        <w:t>The Joint Ministerial Commission detailed the areas that will be covered by the interim agreement consistent with Article XXIV of the General Agreement on Tariffs and Trade, including goods, services, investment, energy and resources, logistics and transport, standards, rules of origin, and sanitary and phytosanitary measures. Ministers also agreed to explore government procurement. It was agreed that there would be an exchange of offers by the end of October 2021.</w:t>
      </w:r>
    </w:p>
    <w:p w14:paraId="0A9A3308" w14:textId="77777777" w:rsidR="00E863D6" w:rsidRDefault="00E863D6" w:rsidP="00E863D6">
      <w:pPr>
        <w:shd w:val="clear" w:color="auto" w:fill="FFFFFF"/>
        <w:spacing w:after="0" w:line="240" w:lineRule="auto"/>
        <w:rPr>
          <w:rFonts w:eastAsia="Times New Roman" w:cstheme="minorHAnsi"/>
          <w:color w:val="313131"/>
          <w:sz w:val="24"/>
          <w:szCs w:val="24"/>
          <w:lang w:eastAsia="en-AU"/>
        </w:rPr>
      </w:pPr>
    </w:p>
    <w:p w14:paraId="68FF7C8B" w14:textId="4DB74335" w:rsidR="005608D1" w:rsidRPr="00D323B6" w:rsidRDefault="005608D1" w:rsidP="00E863D6">
      <w:pPr>
        <w:shd w:val="clear" w:color="auto" w:fill="FFFFFF"/>
        <w:spacing w:after="0" w:line="240" w:lineRule="auto"/>
        <w:rPr>
          <w:rFonts w:eastAsia="Times New Roman" w:cstheme="minorHAnsi"/>
          <w:color w:val="313131"/>
          <w:sz w:val="24"/>
          <w:szCs w:val="24"/>
          <w:lang w:eastAsia="en-AU"/>
        </w:rPr>
      </w:pPr>
      <w:r w:rsidRPr="00D323B6">
        <w:rPr>
          <w:rFonts w:eastAsia="Times New Roman" w:cstheme="minorHAnsi"/>
          <w:color w:val="313131"/>
          <w:sz w:val="24"/>
          <w:szCs w:val="24"/>
          <w:lang w:eastAsia="en-AU"/>
        </w:rPr>
        <w:t>Looking to build on the progress made by both countries on earlier bilateral negotiations, both Ministers agreed the need for a balanced trade agreement that encourages expanded trade and investment flows to the benefit of both of our economies, and that reflects a shared commitment to the rules-based international trading system.</w:t>
      </w:r>
    </w:p>
    <w:p w14:paraId="36168502" w14:textId="77777777" w:rsidR="00E863D6" w:rsidRDefault="00E863D6" w:rsidP="00E863D6">
      <w:pPr>
        <w:shd w:val="clear" w:color="auto" w:fill="FFFFFF"/>
        <w:spacing w:after="0" w:line="240" w:lineRule="auto"/>
        <w:rPr>
          <w:rFonts w:eastAsia="Times New Roman" w:cstheme="minorHAnsi"/>
          <w:color w:val="313131"/>
          <w:sz w:val="24"/>
          <w:szCs w:val="24"/>
          <w:lang w:eastAsia="en-AU"/>
        </w:rPr>
      </w:pPr>
    </w:p>
    <w:p w14:paraId="2C59C2E1" w14:textId="58A46729" w:rsidR="005608D1" w:rsidRPr="00D323B6" w:rsidRDefault="005608D1" w:rsidP="00E863D6">
      <w:pPr>
        <w:shd w:val="clear" w:color="auto" w:fill="FFFFFF"/>
        <w:spacing w:after="0" w:line="240" w:lineRule="auto"/>
        <w:rPr>
          <w:rFonts w:eastAsia="Times New Roman" w:cstheme="minorHAnsi"/>
          <w:color w:val="313131"/>
          <w:sz w:val="24"/>
          <w:szCs w:val="24"/>
          <w:lang w:eastAsia="en-AU"/>
        </w:rPr>
      </w:pPr>
      <w:r w:rsidRPr="00D323B6">
        <w:rPr>
          <w:rFonts w:eastAsia="Times New Roman" w:cstheme="minorHAnsi"/>
          <w:color w:val="313131"/>
          <w:sz w:val="24"/>
          <w:szCs w:val="24"/>
          <w:lang w:eastAsia="en-AU"/>
        </w:rPr>
        <w:t>Reaffirming their commitment to working together, both ministers agreed to strengthen the rules-based, transparent, non-discriminatory, open, and inclusive multilateral trading system embodied by the World Trade Organization. They also agreed to work towards an ambitious and balanced outcome at the 12th WTO Ministerial Conference (MC12) in Geneva, Switzerland.</w:t>
      </w:r>
    </w:p>
    <w:p w14:paraId="34DFEDB0" w14:textId="77777777" w:rsidR="00E863D6" w:rsidRDefault="00E863D6" w:rsidP="00E863D6">
      <w:pPr>
        <w:shd w:val="clear" w:color="auto" w:fill="FFFFFF"/>
        <w:spacing w:after="0" w:line="240" w:lineRule="auto"/>
        <w:rPr>
          <w:rFonts w:eastAsia="Times New Roman" w:cstheme="minorHAnsi"/>
          <w:color w:val="313131"/>
          <w:sz w:val="24"/>
          <w:szCs w:val="24"/>
          <w:lang w:eastAsia="en-AU"/>
        </w:rPr>
      </w:pPr>
    </w:p>
    <w:p w14:paraId="365E7FEF" w14:textId="6A1953FA" w:rsidR="005608D1" w:rsidRPr="00D323B6" w:rsidRDefault="005608D1" w:rsidP="00E863D6">
      <w:pPr>
        <w:shd w:val="clear" w:color="auto" w:fill="FFFFFF"/>
        <w:spacing w:after="0" w:line="240" w:lineRule="auto"/>
        <w:rPr>
          <w:rFonts w:eastAsia="Times New Roman" w:cstheme="minorHAnsi"/>
          <w:color w:val="313131"/>
          <w:sz w:val="24"/>
          <w:szCs w:val="24"/>
          <w:lang w:eastAsia="en-AU"/>
        </w:rPr>
      </w:pPr>
      <w:r w:rsidRPr="00D323B6">
        <w:rPr>
          <w:rFonts w:eastAsia="Times New Roman" w:cstheme="minorHAnsi"/>
          <w:color w:val="313131"/>
          <w:sz w:val="24"/>
          <w:szCs w:val="24"/>
          <w:lang w:eastAsia="en-AU"/>
        </w:rPr>
        <w:t xml:space="preserve">Australia and India are important trading partners. India-Australia bilateral trade exceeded AUD$24 billion last year. Major Indian exports to Australia are petroleum products, medicines, polished diamonds, gold jewellery, apparels etc, while key Australian exports to India include coal, LNG, </w:t>
      </w:r>
      <w:proofErr w:type="gramStart"/>
      <w:r w:rsidRPr="00D323B6">
        <w:rPr>
          <w:rFonts w:eastAsia="Times New Roman" w:cstheme="minorHAnsi"/>
          <w:color w:val="313131"/>
          <w:sz w:val="24"/>
          <w:szCs w:val="24"/>
          <w:lang w:eastAsia="en-AU"/>
        </w:rPr>
        <w:t>alumina</w:t>
      </w:r>
      <w:proofErr w:type="gramEnd"/>
      <w:r w:rsidRPr="00D323B6">
        <w:rPr>
          <w:rFonts w:eastAsia="Times New Roman" w:cstheme="minorHAnsi"/>
          <w:color w:val="313131"/>
          <w:sz w:val="24"/>
          <w:szCs w:val="24"/>
          <w:lang w:eastAsia="en-AU"/>
        </w:rPr>
        <w:t xml:space="preserve"> and non-monetary gold. In services, major Indian exports relate to travel, telecom and computer, </w:t>
      </w:r>
      <w:proofErr w:type="gramStart"/>
      <w:r w:rsidRPr="00D323B6">
        <w:rPr>
          <w:rFonts w:eastAsia="Times New Roman" w:cstheme="minorHAnsi"/>
          <w:color w:val="313131"/>
          <w:sz w:val="24"/>
          <w:szCs w:val="24"/>
          <w:lang w:eastAsia="en-AU"/>
        </w:rPr>
        <w:t>government</w:t>
      </w:r>
      <w:proofErr w:type="gramEnd"/>
      <w:r w:rsidRPr="00D323B6">
        <w:rPr>
          <w:rFonts w:eastAsia="Times New Roman" w:cstheme="minorHAnsi"/>
          <w:color w:val="313131"/>
          <w:sz w:val="24"/>
          <w:szCs w:val="24"/>
          <w:lang w:eastAsia="en-AU"/>
        </w:rPr>
        <w:t xml:space="preserve"> and financial services, while Australian services exports were principally in education and personal related travel. In 2020, India was</w:t>
      </w:r>
      <w:r w:rsidR="00E863D6">
        <w:rPr>
          <w:rFonts w:eastAsia="Times New Roman" w:cstheme="minorHAnsi"/>
          <w:color w:val="313131"/>
          <w:sz w:val="24"/>
          <w:szCs w:val="24"/>
          <w:lang w:eastAsia="en-AU"/>
        </w:rPr>
        <w:t xml:space="preserve"> </w:t>
      </w:r>
      <w:r w:rsidRPr="00D323B6">
        <w:rPr>
          <w:rFonts w:eastAsia="Times New Roman" w:cstheme="minorHAnsi"/>
          <w:color w:val="313131"/>
          <w:sz w:val="24"/>
          <w:szCs w:val="24"/>
          <w:lang w:eastAsia="en-AU"/>
        </w:rPr>
        <w:t>Australia's seventh-largest trading partner and sixth largest export destination, driven by coal and international education.</w:t>
      </w:r>
    </w:p>
    <w:p w14:paraId="625EC665" w14:textId="77777777" w:rsidR="005608D1" w:rsidRDefault="005608D1" w:rsidP="00EB0980">
      <w:pPr>
        <w:rPr>
          <w:rFonts w:asciiTheme="majorHAnsi" w:eastAsiaTheme="majorEastAsia" w:hAnsiTheme="majorHAnsi" w:cstheme="minorHAnsi"/>
          <w:color w:val="2F5496" w:themeColor="accent1" w:themeShade="BF"/>
          <w:sz w:val="32"/>
          <w:szCs w:val="32"/>
        </w:rPr>
      </w:pPr>
    </w:p>
    <w:p w14:paraId="68EDF0F9" w14:textId="77777777" w:rsidR="005608D1" w:rsidRDefault="005608D1" w:rsidP="00EB0980">
      <w:pPr>
        <w:rPr>
          <w:rFonts w:asciiTheme="majorHAnsi" w:eastAsiaTheme="majorEastAsia" w:hAnsiTheme="majorHAnsi" w:cstheme="minorHAnsi"/>
          <w:color w:val="2F5496" w:themeColor="accent1" w:themeShade="BF"/>
          <w:sz w:val="32"/>
          <w:szCs w:val="32"/>
          <w:u w:val="single"/>
        </w:rPr>
      </w:pPr>
      <w:r>
        <w:rPr>
          <w:rFonts w:cstheme="minorHAnsi"/>
          <w:u w:val="single"/>
        </w:rPr>
        <w:br w:type="page"/>
      </w:r>
    </w:p>
    <w:p w14:paraId="3940030D" w14:textId="0AB39FD3" w:rsidR="005608D1" w:rsidRDefault="005608D1" w:rsidP="00EB0980">
      <w:pPr>
        <w:pStyle w:val="Heading1"/>
        <w:spacing w:before="0"/>
        <w:rPr>
          <w:rFonts w:cstheme="minorHAnsi"/>
          <w:u w:val="single"/>
        </w:rPr>
      </w:pPr>
      <w:bookmarkStart w:id="100" w:name="_Toc99370693"/>
      <w:r w:rsidRPr="005A7FBF">
        <w:rPr>
          <w:rFonts w:cstheme="minorHAnsi"/>
          <w:u w:val="single"/>
        </w:rPr>
        <w:lastRenderedPageBreak/>
        <w:t xml:space="preserve">ATTACHMENT </w:t>
      </w:r>
      <w:r>
        <w:rPr>
          <w:rFonts w:cstheme="minorHAnsi"/>
          <w:u w:val="single"/>
        </w:rPr>
        <w:t>C</w:t>
      </w:r>
      <w:r w:rsidRPr="005608D1">
        <w:rPr>
          <w:rFonts w:cstheme="minorHAnsi"/>
          <w:u w:val="single"/>
        </w:rPr>
        <w:t>: REGULATORY BURDEN ESTIMATE</w:t>
      </w:r>
      <w:bookmarkEnd w:id="100"/>
    </w:p>
    <w:p w14:paraId="1F8094CB" w14:textId="77777777" w:rsidR="006043D0" w:rsidRDefault="006043D0" w:rsidP="006043D0">
      <w:pPr>
        <w:rPr>
          <w:b/>
          <w:bCs/>
          <w:sz w:val="24"/>
          <w:szCs w:val="24"/>
        </w:rPr>
      </w:pPr>
    </w:p>
    <w:p w14:paraId="1C3B3B60" w14:textId="2D07CE42" w:rsidR="006043D0" w:rsidRPr="00904734" w:rsidRDefault="006043D0" w:rsidP="006043D0">
      <w:pPr>
        <w:rPr>
          <w:b/>
          <w:bCs/>
          <w:sz w:val="24"/>
          <w:szCs w:val="24"/>
        </w:rPr>
      </w:pPr>
      <w:r w:rsidRPr="00904734">
        <w:rPr>
          <w:b/>
          <w:bCs/>
          <w:sz w:val="24"/>
          <w:szCs w:val="24"/>
        </w:rPr>
        <w:t xml:space="preserve">Estimate of Regulatory Burden </w:t>
      </w:r>
    </w:p>
    <w:p w14:paraId="27619B4E" w14:textId="7C0B2A8E" w:rsidR="006043D0" w:rsidRDefault="006043D0" w:rsidP="00A80396">
      <w:pPr>
        <w:pStyle w:val="ListParagraph"/>
        <w:numPr>
          <w:ilvl w:val="0"/>
          <w:numId w:val="18"/>
        </w:numPr>
        <w:pBdr>
          <w:top w:val="nil"/>
          <w:left w:val="nil"/>
          <w:bottom w:val="nil"/>
          <w:right w:val="nil"/>
          <w:between w:val="nil"/>
          <w:bar w:val="nil"/>
        </w:pBdr>
        <w:tabs>
          <w:tab w:val="left" w:pos="660"/>
        </w:tabs>
        <w:suppressAutoHyphens/>
        <w:spacing w:after="120" w:line="240" w:lineRule="auto"/>
        <w:contextualSpacing w:val="0"/>
        <w:rPr>
          <w:sz w:val="24"/>
          <w:szCs w:val="24"/>
        </w:rPr>
      </w:pPr>
      <w:r w:rsidRPr="00EC5207">
        <w:rPr>
          <w:sz w:val="24"/>
          <w:szCs w:val="24"/>
        </w:rPr>
        <w:t xml:space="preserve">Some costs will be incurred by traders to understand the requirements and benefits of the FTA. </w:t>
      </w:r>
      <w:r>
        <w:rPr>
          <w:sz w:val="24"/>
          <w:szCs w:val="24"/>
        </w:rPr>
        <w:t>It is</w:t>
      </w:r>
      <w:r w:rsidRPr="00EC5207">
        <w:rPr>
          <w:sz w:val="24"/>
          <w:szCs w:val="24"/>
        </w:rPr>
        <w:t xml:space="preserve"> estimate</w:t>
      </w:r>
      <w:r>
        <w:rPr>
          <w:sz w:val="24"/>
          <w:szCs w:val="24"/>
        </w:rPr>
        <w:t>d</w:t>
      </w:r>
      <w:r w:rsidRPr="00EC5207">
        <w:rPr>
          <w:sz w:val="24"/>
          <w:szCs w:val="24"/>
        </w:rPr>
        <w:t xml:space="preserve"> that all exporters to </w:t>
      </w:r>
      <w:r>
        <w:rPr>
          <w:sz w:val="24"/>
          <w:szCs w:val="24"/>
        </w:rPr>
        <w:t>India</w:t>
      </w:r>
      <w:r w:rsidRPr="00EC5207">
        <w:rPr>
          <w:sz w:val="24"/>
          <w:szCs w:val="24"/>
        </w:rPr>
        <w:t xml:space="preserve"> will undertake a once off administrative cost of around two hours of time to understand the </w:t>
      </w:r>
      <w:r>
        <w:rPr>
          <w:sz w:val="24"/>
          <w:szCs w:val="24"/>
        </w:rPr>
        <w:t>CECA</w:t>
      </w:r>
      <w:r w:rsidRPr="00EC5207">
        <w:rPr>
          <w:sz w:val="24"/>
          <w:szCs w:val="24"/>
        </w:rPr>
        <w:t xml:space="preserve"> FTA rules. The average number of exporters to </w:t>
      </w:r>
      <w:r>
        <w:rPr>
          <w:sz w:val="24"/>
          <w:szCs w:val="24"/>
        </w:rPr>
        <w:t>India</w:t>
      </w:r>
      <w:r w:rsidRPr="00EC5207">
        <w:rPr>
          <w:sz w:val="24"/>
          <w:szCs w:val="24"/>
        </w:rPr>
        <w:t xml:space="preserve"> from 2016-17 to 2018-19 was </w:t>
      </w:r>
      <w:r>
        <w:rPr>
          <w:b/>
          <w:bCs/>
          <w:sz w:val="24"/>
          <w:szCs w:val="24"/>
        </w:rPr>
        <w:t>2,177.</w:t>
      </w:r>
      <w:r w:rsidRPr="00EC5207">
        <w:rPr>
          <w:b/>
          <w:bCs/>
          <w:sz w:val="24"/>
          <w:szCs w:val="24"/>
        </w:rPr>
        <w:t xml:space="preserve"> </w:t>
      </w:r>
      <w:r>
        <w:rPr>
          <w:sz w:val="24"/>
          <w:szCs w:val="24"/>
        </w:rPr>
        <w:t>A</w:t>
      </w:r>
      <w:r w:rsidRPr="00EC5207">
        <w:rPr>
          <w:sz w:val="24"/>
          <w:szCs w:val="24"/>
        </w:rPr>
        <w:t xml:space="preserve">t a scaled-up labour cost of </w:t>
      </w:r>
      <w:r>
        <w:rPr>
          <w:sz w:val="24"/>
          <w:szCs w:val="24"/>
        </w:rPr>
        <w:t>A</w:t>
      </w:r>
      <w:r w:rsidR="009A1BAA">
        <w:rPr>
          <w:sz w:val="24"/>
          <w:szCs w:val="24"/>
        </w:rPr>
        <w:t>U</w:t>
      </w:r>
      <w:r w:rsidRPr="00EC5207">
        <w:rPr>
          <w:sz w:val="24"/>
          <w:szCs w:val="24"/>
        </w:rPr>
        <w:t xml:space="preserve">$68.79 per hour, this would result in costs of </w:t>
      </w:r>
      <w:r w:rsidRPr="007C3278">
        <w:rPr>
          <w:b/>
          <w:bCs/>
          <w:sz w:val="24"/>
          <w:szCs w:val="24"/>
        </w:rPr>
        <w:t>A</w:t>
      </w:r>
      <w:r w:rsidR="009A1BAA">
        <w:rPr>
          <w:b/>
          <w:bCs/>
          <w:sz w:val="24"/>
          <w:szCs w:val="24"/>
        </w:rPr>
        <w:t>U</w:t>
      </w:r>
      <w:r w:rsidRPr="00EC5207">
        <w:rPr>
          <w:b/>
          <w:sz w:val="24"/>
          <w:szCs w:val="24"/>
        </w:rPr>
        <w:t>$</w:t>
      </w:r>
      <w:r>
        <w:rPr>
          <w:b/>
          <w:sz w:val="24"/>
          <w:szCs w:val="24"/>
        </w:rPr>
        <w:t>299,511.66</w:t>
      </w:r>
      <w:r w:rsidRPr="00EC5207">
        <w:rPr>
          <w:b/>
          <w:sz w:val="24"/>
          <w:szCs w:val="24"/>
        </w:rPr>
        <w:t xml:space="preserve"> for the first year only</w:t>
      </w:r>
      <w:r w:rsidRPr="00EC5207">
        <w:rPr>
          <w:sz w:val="24"/>
          <w:szCs w:val="24"/>
        </w:rPr>
        <w:t xml:space="preserve">. </w:t>
      </w:r>
    </w:p>
    <w:p w14:paraId="668FD979" w14:textId="1BB8956A" w:rsidR="006043D0" w:rsidRDefault="006043D0" w:rsidP="00A80396">
      <w:pPr>
        <w:pStyle w:val="ListParagraph"/>
        <w:numPr>
          <w:ilvl w:val="0"/>
          <w:numId w:val="18"/>
        </w:numPr>
        <w:pBdr>
          <w:top w:val="nil"/>
          <w:left w:val="nil"/>
          <w:bottom w:val="nil"/>
          <w:right w:val="nil"/>
          <w:between w:val="nil"/>
          <w:bar w:val="nil"/>
        </w:pBdr>
        <w:tabs>
          <w:tab w:val="left" w:pos="660"/>
        </w:tabs>
        <w:suppressAutoHyphens/>
        <w:spacing w:after="120" w:line="240" w:lineRule="auto"/>
        <w:contextualSpacing w:val="0"/>
        <w:rPr>
          <w:sz w:val="24"/>
          <w:szCs w:val="24"/>
        </w:rPr>
      </w:pPr>
      <w:r>
        <w:rPr>
          <w:sz w:val="24"/>
          <w:szCs w:val="24"/>
        </w:rPr>
        <w:t xml:space="preserve">The average number of annual exports to India from 2016-2017 to 2018-2019 was </w:t>
      </w:r>
      <w:r>
        <w:rPr>
          <w:b/>
          <w:bCs/>
          <w:sz w:val="24"/>
          <w:szCs w:val="24"/>
        </w:rPr>
        <w:t>31,203</w:t>
      </w:r>
      <w:r>
        <w:rPr>
          <w:sz w:val="24"/>
          <w:szCs w:val="24"/>
        </w:rPr>
        <w:t xml:space="preserve">. The average price of a COO for non-members is A$55.10. Thus, it is estimated that exporters in Australia would at most, pay </w:t>
      </w:r>
      <w:r w:rsidRPr="004A21AA">
        <w:rPr>
          <w:b/>
          <w:bCs/>
          <w:sz w:val="24"/>
          <w:szCs w:val="24"/>
        </w:rPr>
        <w:t>A</w:t>
      </w:r>
      <w:r w:rsidR="009A1BAA">
        <w:rPr>
          <w:b/>
          <w:bCs/>
          <w:sz w:val="24"/>
          <w:szCs w:val="24"/>
        </w:rPr>
        <w:t>U</w:t>
      </w:r>
      <w:r w:rsidRPr="004A21AA">
        <w:rPr>
          <w:b/>
          <w:bCs/>
          <w:sz w:val="24"/>
          <w:szCs w:val="24"/>
        </w:rPr>
        <w:t>$1,719,285.30</w:t>
      </w:r>
      <w:r>
        <w:rPr>
          <w:b/>
          <w:bCs/>
          <w:sz w:val="24"/>
          <w:szCs w:val="24"/>
        </w:rPr>
        <w:t xml:space="preserve"> per annum</w:t>
      </w:r>
      <w:r>
        <w:rPr>
          <w:sz w:val="24"/>
          <w:szCs w:val="24"/>
        </w:rPr>
        <w:t>.</w:t>
      </w:r>
    </w:p>
    <w:p w14:paraId="3796E481" w14:textId="20D23E91" w:rsidR="006043D0" w:rsidRPr="0012191D" w:rsidRDefault="006043D0" w:rsidP="00A80396">
      <w:pPr>
        <w:pStyle w:val="ListParagraph"/>
        <w:numPr>
          <w:ilvl w:val="0"/>
          <w:numId w:val="18"/>
        </w:numPr>
        <w:pBdr>
          <w:top w:val="nil"/>
          <w:left w:val="nil"/>
          <w:bottom w:val="nil"/>
          <w:right w:val="nil"/>
          <w:between w:val="nil"/>
          <w:bar w:val="nil"/>
        </w:pBdr>
        <w:tabs>
          <w:tab w:val="left" w:pos="660"/>
        </w:tabs>
        <w:suppressAutoHyphens/>
        <w:spacing w:after="120" w:line="240" w:lineRule="auto"/>
        <w:contextualSpacing w:val="0"/>
        <w:rPr>
          <w:sz w:val="24"/>
          <w:szCs w:val="24"/>
        </w:rPr>
      </w:pPr>
      <w:r w:rsidRPr="00EC5207">
        <w:rPr>
          <w:sz w:val="24"/>
          <w:szCs w:val="24"/>
        </w:rPr>
        <w:t xml:space="preserve">Once off costs are </w:t>
      </w:r>
      <w:r w:rsidRPr="007C3278">
        <w:rPr>
          <w:b/>
          <w:bCs/>
          <w:sz w:val="24"/>
          <w:szCs w:val="24"/>
        </w:rPr>
        <w:t>A</w:t>
      </w:r>
      <w:r w:rsidR="009A1BAA">
        <w:rPr>
          <w:b/>
          <w:bCs/>
          <w:sz w:val="24"/>
          <w:szCs w:val="24"/>
        </w:rPr>
        <w:t>U</w:t>
      </w:r>
      <w:r w:rsidRPr="00EC5207">
        <w:rPr>
          <w:b/>
          <w:sz w:val="24"/>
          <w:szCs w:val="24"/>
        </w:rPr>
        <w:t>$</w:t>
      </w:r>
      <w:r>
        <w:rPr>
          <w:b/>
          <w:sz w:val="24"/>
          <w:szCs w:val="24"/>
        </w:rPr>
        <w:t>299,511.66</w:t>
      </w:r>
      <w:r w:rsidRPr="00EC5207">
        <w:rPr>
          <w:b/>
          <w:sz w:val="24"/>
          <w:szCs w:val="24"/>
        </w:rPr>
        <w:t xml:space="preserve"> </w:t>
      </w:r>
      <w:r w:rsidRPr="00EC5207">
        <w:rPr>
          <w:b/>
          <w:bCs/>
          <w:sz w:val="24"/>
          <w:szCs w:val="24"/>
        </w:rPr>
        <w:t>in the first year</w:t>
      </w:r>
      <w:r w:rsidRPr="00EC5207">
        <w:rPr>
          <w:sz w:val="24"/>
          <w:szCs w:val="24"/>
        </w:rPr>
        <w:t xml:space="preserve">, </w:t>
      </w:r>
      <w:r>
        <w:rPr>
          <w:sz w:val="24"/>
          <w:szCs w:val="24"/>
        </w:rPr>
        <w:t>with additional</w:t>
      </w:r>
      <w:r w:rsidRPr="00EC5207">
        <w:rPr>
          <w:sz w:val="24"/>
          <w:szCs w:val="24"/>
        </w:rPr>
        <w:t xml:space="preserve"> ongoing costs </w:t>
      </w:r>
      <w:r>
        <w:rPr>
          <w:sz w:val="24"/>
          <w:szCs w:val="24"/>
        </w:rPr>
        <w:t>o</w:t>
      </w:r>
      <w:r w:rsidRPr="00EC5207">
        <w:rPr>
          <w:sz w:val="24"/>
          <w:szCs w:val="24"/>
        </w:rPr>
        <w:t xml:space="preserve">f not more than </w:t>
      </w:r>
      <w:r w:rsidRPr="00B63D24">
        <w:rPr>
          <w:b/>
          <w:bCs/>
          <w:sz w:val="24"/>
          <w:szCs w:val="24"/>
        </w:rPr>
        <w:t>A</w:t>
      </w:r>
      <w:r w:rsidR="009A1BAA">
        <w:rPr>
          <w:b/>
          <w:bCs/>
          <w:sz w:val="24"/>
          <w:szCs w:val="24"/>
        </w:rPr>
        <w:t>U</w:t>
      </w:r>
      <w:r w:rsidRPr="00EC5207">
        <w:rPr>
          <w:b/>
          <w:bCs/>
          <w:sz w:val="24"/>
          <w:szCs w:val="24"/>
        </w:rPr>
        <w:t>$</w:t>
      </w:r>
      <w:r>
        <w:rPr>
          <w:b/>
          <w:bCs/>
          <w:sz w:val="24"/>
          <w:szCs w:val="24"/>
        </w:rPr>
        <w:t>1,719</w:t>
      </w:r>
      <w:r w:rsidRPr="00EC5207">
        <w:rPr>
          <w:b/>
          <w:bCs/>
          <w:sz w:val="24"/>
          <w:szCs w:val="24"/>
        </w:rPr>
        <w:t>,</w:t>
      </w:r>
      <w:r>
        <w:rPr>
          <w:b/>
          <w:bCs/>
          <w:sz w:val="24"/>
          <w:szCs w:val="24"/>
        </w:rPr>
        <w:t>285</w:t>
      </w:r>
      <w:r w:rsidRPr="00EC5207">
        <w:rPr>
          <w:b/>
          <w:bCs/>
          <w:sz w:val="24"/>
          <w:szCs w:val="24"/>
        </w:rPr>
        <w:t xml:space="preserve"> per annum. </w:t>
      </w:r>
      <w:r>
        <w:rPr>
          <w:sz w:val="24"/>
          <w:szCs w:val="24"/>
        </w:rPr>
        <w:t>This</w:t>
      </w:r>
      <w:r w:rsidRPr="00EC5207">
        <w:rPr>
          <w:sz w:val="24"/>
          <w:szCs w:val="24"/>
        </w:rPr>
        <w:t xml:space="preserve"> results in </w:t>
      </w:r>
      <w:r>
        <w:rPr>
          <w:sz w:val="24"/>
          <w:szCs w:val="24"/>
        </w:rPr>
        <w:t xml:space="preserve">an estimate of </w:t>
      </w:r>
      <w:r w:rsidRPr="00EC5207">
        <w:rPr>
          <w:sz w:val="24"/>
          <w:szCs w:val="24"/>
        </w:rPr>
        <w:t xml:space="preserve">total </w:t>
      </w:r>
      <w:r>
        <w:rPr>
          <w:sz w:val="24"/>
          <w:szCs w:val="24"/>
        </w:rPr>
        <w:t xml:space="preserve">administrative </w:t>
      </w:r>
      <w:r w:rsidRPr="00EC5207">
        <w:rPr>
          <w:sz w:val="24"/>
          <w:szCs w:val="24"/>
        </w:rPr>
        <w:t>costs of not more</w:t>
      </w:r>
      <w:r w:rsidRPr="00EC5207">
        <w:rPr>
          <w:b/>
          <w:bCs/>
          <w:sz w:val="24"/>
          <w:szCs w:val="24"/>
        </w:rPr>
        <w:t xml:space="preserve"> than </w:t>
      </w:r>
      <w:r>
        <w:rPr>
          <w:b/>
          <w:bCs/>
          <w:sz w:val="24"/>
          <w:szCs w:val="24"/>
        </w:rPr>
        <w:t>A</w:t>
      </w:r>
      <w:r w:rsidR="009A1BAA">
        <w:rPr>
          <w:b/>
          <w:bCs/>
          <w:sz w:val="24"/>
          <w:szCs w:val="24"/>
        </w:rPr>
        <w:t>U</w:t>
      </w:r>
      <w:r w:rsidRPr="00EC5207">
        <w:rPr>
          <w:b/>
          <w:bCs/>
          <w:sz w:val="24"/>
          <w:szCs w:val="24"/>
        </w:rPr>
        <w:t>$</w:t>
      </w:r>
      <w:r>
        <w:rPr>
          <w:b/>
          <w:bCs/>
          <w:sz w:val="24"/>
          <w:szCs w:val="24"/>
        </w:rPr>
        <w:t>17</w:t>
      </w:r>
      <w:r w:rsidRPr="00EC5207">
        <w:rPr>
          <w:b/>
          <w:bCs/>
          <w:sz w:val="24"/>
          <w:szCs w:val="24"/>
        </w:rPr>
        <w:t>,</w:t>
      </w:r>
      <w:r>
        <w:rPr>
          <w:b/>
          <w:bCs/>
          <w:sz w:val="24"/>
          <w:szCs w:val="24"/>
        </w:rPr>
        <w:t>492</w:t>
      </w:r>
      <w:r w:rsidRPr="00EC5207">
        <w:rPr>
          <w:b/>
          <w:bCs/>
          <w:sz w:val="24"/>
          <w:szCs w:val="24"/>
        </w:rPr>
        <w:t>,</w:t>
      </w:r>
      <w:r>
        <w:rPr>
          <w:b/>
          <w:bCs/>
          <w:sz w:val="24"/>
          <w:szCs w:val="24"/>
        </w:rPr>
        <w:t>361.66</w:t>
      </w:r>
      <w:r w:rsidRPr="00EC5207">
        <w:rPr>
          <w:b/>
          <w:bCs/>
          <w:sz w:val="24"/>
          <w:szCs w:val="24"/>
        </w:rPr>
        <w:t xml:space="preserve"> over 10 years. </w:t>
      </w:r>
    </w:p>
    <w:p w14:paraId="672FE4E6" w14:textId="521844AE" w:rsidR="009C76C1" w:rsidRPr="00CB5184" w:rsidRDefault="009C76C1" w:rsidP="00A80396">
      <w:pPr>
        <w:pStyle w:val="ListParagraph"/>
        <w:numPr>
          <w:ilvl w:val="0"/>
          <w:numId w:val="18"/>
        </w:numPr>
        <w:pBdr>
          <w:top w:val="nil"/>
          <w:left w:val="nil"/>
          <w:bottom w:val="nil"/>
          <w:right w:val="nil"/>
          <w:between w:val="nil"/>
          <w:bar w:val="nil"/>
        </w:pBdr>
        <w:tabs>
          <w:tab w:val="left" w:pos="660"/>
        </w:tabs>
        <w:suppressAutoHyphens/>
        <w:spacing w:after="120" w:line="240" w:lineRule="auto"/>
        <w:contextualSpacing w:val="0"/>
        <w:rPr>
          <w:sz w:val="24"/>
          <w:szCs w:val="24"/>
        </w:rPr>
      </w:pPr>
      <w:r>
        <w:rPr>
          <w:sz w:val="24"/>
          <w:szCs w:val="24"/>
        </w:rPr>
        <w:t>Add</w:t>
      </w:r>
      <w:r w:rsidR="00A95BFE">
        <w:rPr>
          <w:sz w:val="24"/>
          <w:szCs w:val="24"/>
        </w:rPr>
        <w:t>itionally</w:t>
      </w:r>
      <w:r w:rsidR="00A24FB3">
        <w:rPr>
          <w:sz w:val="24"/>
          <w:szCs w:val="24"/>
        </w:rPr>
        <w:t xml:space="preserve">, </w:t>
      </w:r>
      <w:r w:rsidR="000A58AB">
        <w:rPr>
          <w:sz w:val="24"/>
          <w:szCs w:val="24"/>
        </w:rPr>
        <w:t>I</w:t>
      </w:r>
      <w:r w:rsidR="00DD1694">
        <w:rPr>
          <w:sz w:val="24"/>
          <w:szCs w:val="24"/>
        </w:rPr>
        <w:t xml:space="preserve">ssuing </w:t>
      </w:r>
      <w:r w:rsidR="000A58AB">
        <w:rPr>
          <w:sz w:val="24"/>
          <w:szCs w:val="24"/>
        </w:rPr>
        <w:t>B</w:t>
      </w:r>
      <w:r w:rsidR="00DD1694">
        <w:rPr>
          <w:sz w:val="24"/>
          <w:szCs w:val="24"/>
        </w:rPr>
        <w:t>od</w:t>
      </w:r>
      <w:r w:rsidR="000A58AB">
        <w:rPr>
          <w:sz w:val="24"/>
          <w:szCs w:val="24"/>
        </w:rPr>
        <w:t xml:space="preserve">y staff </w:t>
      </w:r>
      <w:r w:rsidR="00646B39">
        <w:rPr>
          <w:sz w:val="24"/>
          <w:szCs w:val="24"/>
        </w:rPr>
        <w:t xml:space="preserve">will </w:t>
      </w:r>
      <w:r w:rsidR="00443A44">
        <w:rPr>
          <w:sz w:val="24"/>
          <w:szCs w:val="24"/>
        </w:rPr>
        <w:t>undertake</w:t>
      </w:r>
      <w:r w:rsidR="000A58AB">
        <w:rPr>
          <w:sz w:val="24"/>
          <w:szCs w:val="24"/>
        </w:rPr>
        <w:t xml:space="preserve"> a</w:t>
      </w:r>
      <w:r w:rsidR="0043034D">
        <w:rPr>
          <w:sz w:val="24"/>
          <w:szCs w:val="24"/>
        </w:rPr>
        <w:t xml:space="preserve"> one-hour</w:t>
      </w:r>
      <w:r w:rsidR="00DD1694">
        <w:rPr>
          <w:sz w:val="24"/>
          <w:szCs w:val="24"/>
        </w:rPr>
        <w:t xml:space="preserve"> </w:t>
      </w:r>
      <w:r w:rsidR="0043034D">
        <w:rPr>
          <w:sz w:val="24"/>
          <w:szCs w:val="24"/>
        </w:rPr>
        <w:t>training</w:t>
      </w:r>
      <w:r w:rsidR="000A58AB">
        <w:rPr>
          <w:sz w:val="24"/>
          <w:szCs w:val="24"/>
        </w:rPr>
        <w:t xml:space="preserve"> session to understand</w:t>
      </w:r>
      <w:r w:rsidR="0043034D">
        <w:rPr>
          <w:sz w:val="24"/>
          <w:szCs w:val="24"/>
        </w:rPr>
        <w:t xml:space="preserve"> CECA</w:t>
      </w:r>
      <w:r w:rsidR="00646B39">
        <w:rPr>
          <w:sz w:val="24"/>
          <w:szCs w:val="24"/>
        </w:rPr>
        <w:t xml:space="preserve">. </w:t>
      </w:r>
      <w:r w:rsidR="0043034D">
        <w:rPr>
          <w:sz w:val="24"/>
          <w:szCs w:val="24"/>
        </w:rPr>
        <w:t xml:space="preserve"> </w:t>
      </w:r>
      <w:r w:rsidR="00443A44">
        <w:rPr>
          <w:sz w:val="24"/>
          <w:szCs w:val="24"/>
        </w:rPr>
        <w:t xml:space="preserve"> </w:t>
      </w:r>
    </w:p>
    <w:p w14:paraId="33FA166E" w14:textId="77777777" w:rsidR="006043D0" w:rsidRDefault="006043D0" w:rsidP="005D19EB"/>
    <w:p w14:paraId="766F32D4" w14:textId="7092D8D4" w:rsidR="005D19EB" w:rsidRPr="005D19EB" w:rsidRDefault="005D19EB" w:rsidP="005D19EB"/>
    <w:sectPr w:rsidR="005D19EB" w:rsidRPr="005D19EB" w:rsidSect="0062202D">
      <w:headerReference w:type="default" r:id="rId25"/>
      <w:footerReference w:type="default" r:id="rId26"/>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066C2" w14:textId="77777777" w:rsidR="002804FC" w:rsidRDefault="002804FC" w:rsidP="00C3560D">
      <w:pPr>
        <w:spacing w:after="0" w:line="240" w:lineRule="auto"/>
      </w:pPr>
      <w:r>
        <w:separator/>
      </w:r>
    </w:p>
  </w:endnote>
  <w:endnote w:type="continuationSeparator" w:id="0">
    <w:p w14:paraId="2468073F" w14:textId="77777777" w:rsidR="002804FC" w:rsidRDefault="002804FC" w:rsidP="00C3560D">
      <w:pPr>
        <w:spacing w:after="0" w:line="240" w:lineRule="auto"/>
      </w:pPr>
      <w:r>
        <w:continuationSeparator/>
      </w:r>
    </w:p>
  </w:endnote>
  <w:endnote w:type="continuationNotice" w:id="1">
    <w:p w14:paraId="5C557AE8" w14:textId="77777777" w:rsidR="002804FC" w:rsidRDefault="002804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Han Sans CN Regular">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618912"/>
      <w:docPartObj>
        <w:docPartGallery w:val="Page Numbers (Bottom of Page)"/>
        <w:docPartUnique/>
      </w:docPartObj>
    </w:sdtPr>
    <w:sdtEndPr>
      <w:rPr>
        <w:noProof/>
      </w:rPr>
    </w:sdtEndPr>
    <w:sdtContent>
      <w:p w14:paraId="395FDB67" w14:textId="5BE8FBDF" w:rsidR="006E5E78" w:rsidRDefault="006E5E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23A99D" w14:textId="77777777" w:rsidR="006E5E78" w:rsidRDefault="006E5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0D0A2" w14:textId="77777777" w:rsidR="002804FC" w:rsidRDefault="002804FC" w:rsidP="00C3560D">
      <w:pPr>
        <w:spacing w:after="0" w:line="240" w:lineRule="auto"/>
      </w:pPr>
      <w:r>
        <w:separator/>
      </w:r>
    </w:p>
  </w:footnote>
  <w:footnote w:type="continuationSeparator" w:id="0">
    <w:p w14:paraId="2C9CD60E" w14:textId="77777777" w:rsidR="002804FC" w:rsidRDefault="002804FC" w:rsidP="00C3560D">
      <w:pPr>
        <w:spacing w:after="0" w:line="240" w:lineRule="auto"/>
      </w:pPr>
      <w:r>
        <w:continuationSeparator/>
      </w:r>
    </w:p>
  </w:footnote>
  <w:footnote w:type="continuationNotice" w:id="1">
    <w:p w14:paraId="1FEEE554" w14:textId="77777777" w:rsidR="002804FC" w:rsidRDefault="002804FC">
      <w:pPr>
        <w:spacing w:after="0" w:line="240" w:lineRule="auto"/>
      </w:pPr>
    </w:p>
  </w:footnote>
  <w:footnote w:id="2">
    <w:p w14:paraId="0FC1154D" w14:textId="77777777" w:rsidR="006E5E78" w:rsidRPr="00762A59" w:rsidRDefault="006E5E78" w:rsidP="00C3560D">
      <w:pPr>
        <w:pStyle w:val="FootnoteText"/>
      </w:pPr>
      <w:r w:rsidRPr="00762A59">
        <w:rPr>
          <w:rStyle w:val="FootnoteReference"/>
        </w:rPr>
        <w:footnoteRef/>
      </w:r>
      <w:r w:rsidRPr="00762A59">
        <w:t xml:space="preserve"> Joint Standing Committee on Trade and Investment Growth, </w:t>
      </w:r>
      <w:r w:rsidRPr="00762A59">
        <w:rPr>
          <w:i/>
          <w:iCs/>
        </w:rPr>
        <w:t>Pivot: Diversifying Australia’s Trade and Investment Portfolio</w:t>
      </w:r>
      <w:r w:rsidRPr="00762A59">
        <w:t xml:space="preserve"> - </w:t>
      </w:r>
      <w:hyperlink r:id="rId1" w:history="1">
        <w:r w:rsidRPr="00762A59">
          <w:rPr>
            <w:rStyle w:val="Hyperlink"/>
          </w:rPr>
          <w:t>Pivot (aph.gov.au)</w:t>
        </w:r>
      </w:hyperlink>
    </w:p>
  </w:footnote>
  <w:footnote w:id="3">
    <w:p w14:paraId="7D5AD2AE" w14:textId="77777777" w:rsidR="006E5E78" w:rsidRPr="00762A59" w:rsidRDefault="006E5E78" w:rsidP="00C3560D">
      <w:pPr>
        <w:pStyle w:val="FootnoteText"/>
      </w:pPr>
      <w:r w:rsidRPr="00762A59">
        <w:rPr>
          <w:rStyle w:val="FootnoteReference"/>
        </w:rPr>
        <w:footnoteRef/>
      </w:r>
      <w:r w:rsidRPr="00762A59">
        <w:t xml:space="preserve"> DFAT Submission to the Joint Standing Committee on Trade and Investment Growth, </w:t>
      </w:r>
      <w:r w:rsidRPr="00762A59">
        <w:rPr>
          <w:i/>
          <w:iCs/>
        </w:rPr>
        <w:t xml:space="preserve">Pivot: Diversifying Australia’s Trade and Investment Portfolio </w:t>
      </w:r>
      <w:r w:rsidRPr="00762A59">
        <w:t xml:space="preserve">- </w:t>
      </w:r>
      <w:hyperlink r:id="rId2" w:history="1">
        <w:r w:rsidRPr="00762A59">
          <w:rPr>
            <w:rStyle w:val="Hyperlink"/>
          </w:rPr>
          <w:t>Sub043 - DFAT.pdf</w:t>
        </w:r>
      </w:hyperlink>
    </w:p>
  </w:footnote>
  <w:footnote w:id="4">
    <w:p w14:paraId="205167C1" w14:textId="77777777" w:rsidR="006E5E78" w:rsidRPr="00762A59" w:rsidRDefault="006E5E78" w:rsidP="00C3560D">
      <w:pPr>
        <w:pStyle w:val="FootnoteText"/>
      </w:pPr>
      <w:r w:rsidRPr="00762A59">
        <w:rPr>
          <w:rStyle w:val="FootnoteReference"/>
        </w:rPr>
        <w:footnoteRef/>
      </w:r>
      <w:r w:rsidRPr="00762A59">
        <w:t xml:space="preserve"> Joint Standing Committee on Trade and Investment Growth, </w:t>
      </w:r>
      <w:r w:rsidRPr="00762A59">
        <w:rPr>
          <w:i/>
          <w:iCs/>
        </w:rPr>
        <w:t>Pivot: Diversifying Australia’s Trade and Investment Portfolio</w:t>
      </w:r>
      <w:r w:rsidRPr="00762A59">
        <w:t xml:space="preserve"> - </w:t>
      </w:r>
      <w:hyperlink r:id="rId3" w:history="1">
        <w:r w:rsidRPr="00762A59">
          <w:rPr>
            <w:rStyle w:val="Hyperlink"/>
          </w:rPr>
          <w:t>Pivot (aph.gov.au)</w:t>
        </w:r>
      </w:hyperlink>
    </w:p>
  </w:footnote>
  <w:footnote w:id="5">
    <w:p w14:paraId="6E062B68" w14:textId="77777777" w:rsidR="006E5E78" w:rsidRPr="00762A59" w:rsidRDefault="006E5E78" w:rsidP="00C3560D">
      <w:pPr>
        <w:pStyle w:val="FootnoteText"/>
      </w:pPr>
      <w:r w:rsidRPr="00762A59">
        <w:rPr>
          <w:rStyle w:val="FootnoteReference"/>
        </w:rPr>
        <w:footnoteRef/>
      </w:r>
      <w:r w:rsidRPr="00762A59">
        <w:t xml:space="preserve"> Ibid, page 41. </w:t>
      </w:r>
    </w:p>
  </w:footnote>
  <w:footnote w:id="6">
    <w:p w14:paraId="7DBC1BE1" w14:textId="0BC34207" w:rsidR="006E5E78" w:rsidRDefault="006E5E78" w:rsidP="00C3560D">
      <w:pPr>
        <w:pStyle w:val="FootnoteText"/>
      </w:pPr>
      <w:r w:rsidRPr="00762A59">
        <w:rPr>
          <w:rStyle w:val="FootnoteReference"/>
        </w:rPr>
        <w:footnoteRef/>
      </w:r>
      <w:r w:rsidRPr="00762A59">
        <w:t xml:space="preserve"> </w:t>
      </w:r>
      <w:r>
        <w:t xml:space="preserve">Ibid. </w:t>
      </w:r>
    </w:p>
  </w:footnote>
  <w:footnote w:id="7">
    <w:p w14:paraId="55EDC1A1" w14:textId="2122492E" w:rsidR="006E5E78" w:rsidRPr="00762A59" w:rsidRDefault="006E5E78" w:rsidP="008F3719">
      <w:pPr>
        <w:spacing w:after="0"/>
        <w:rPr>
          <w:sz w:val="20"/>
          <w:szCs w:val="20"/>
        </w:rPr>
      </w:pPr>
      <w:r w:rsidRPr="00762A59">
        <w:rPr>
          <w:rStyle w:val="FootnoteReference"/>
          <w:sz w:val="20"/>
          <w:szCs w:val="20"/>
        </w:rPr>
        <w:footnoteRef/>
      </w:r>
      <w:r w:rsidRPr="00762A59">
        <w:rPr>
          <w:sz w:val="20"/>
          <w:szCs w:val="20"/>
        </w:rPr>
        <w:t xml:space="preserve"> Joint Standing Committee on Trade and Investment Growth, </w:t>
      </w:r>
      <w:r w:rsidRPr="00762A59">
        <w:rPr>
          <w:i/>
          <w:iCs/>
          <w:sz w:val="20"/>
          <w:szCs w:val="20"/>
        </w:rPr>
        <w:t>Pivot: Diversifying Australia’s Trade and Investment Portfolio</w:t>
      </w:r>
      <w:r w:rsidRPr="00762A59">
        <w:rPr>
          <w:sz w:val="20"/>
          <w:szCs w:val="20"/>
        </w:rPr>
        <w:t xml:space="preserve">, page 42 - </w:t>
      </w:r>
      <w:hyperlink r:id="rId4">
        <w:r w:rsidRPr="00762A59">
          <w:rPr>
            <w:rStyle w:val="Hyperlink"/>
            <w:sz w:val="20"/>
            <w:szCs w:val="20"/>
          </w:rPr>
          <w:t>Pivot (aph.gov.au)</w:t>
        </w:r>
      </w:hyperlink>
    </w:p>
  </w:footnote>
  <w:footnote w:id="8">
    <w:p w14:paraId="232CB42F" w14:textId="65A5DAD2" w:rsidR="006E5E78" w:rsidRPr="00762A59" w:rsidRDefault="006E5E78" w:rsidP="008F3719">
      <w:pPr>
        <w:pStyle w:val="FootnoteText"/>
      </w:pPr>
      <w:r w:rsidRPr="00762A59">
        <w:rPr>
          <w:rStyle w:val="FootnoteReference"/>
        </w:rPr>
        <w:footnoteRef/>
      </w:r>
      <w:r w:rsidRPr="00762A59">
        <w:t xml:space="preserve"> </w:t>
      </w:r>
      <w:r>
        <w:t>Ibid</w:t>
      </w:r>
      <w:r w:rsidRPr="00762A59">
        <w:t>, page xvii</w:t>
      </w:r>
    </w:p>
  </w:footnote>
  <w:footnote w:id="9">
    <w:p w14:paraId="71F83E54" w14:textId="4B891C59" w:rsidR="006E5E78" w:rsidRPr="00FF064C" w:rsidRDefault="006E5E78">
      <w:pPr>
        <w:pStyle w:val="FootnoteText"/>
      </w:pPr>
      <w:r>
        <w:rPr>
          <w:rStyle w:val="FootnoteReference"/>
        </w:rPr>
        <w:footnoteRef/>
      </w:r>
      <w:r>
        <w:t xml:space="preserve"> Australian Government response to the Joint Standing Committee on Growth report, </w:t>
      </w:r>
      <w:r>
        <w:rPr>
          <w:i/>
          <w:iCs/>
        </w:rPr>
        <w:t>Pivot</w:t>
      </w:r>
      <w:r>
        <w:t xml:space="preserve">, - </w:t>
      </w:r>
      <w:hyperlink r:id="rId5" w:history="1">
        <w:r>
          <w:rPr>
            <w:rStyle w:val="Hyperlink"/>
          </w:rPr>
          <w:t>Govt response - Pivot 6 August 2021 (1).pdf</w:t>
        </w:r>
      </w:hyperlink>
    </w:p>
  </w:footnote>
  <w:footnote w:id="10">
    <w:p w14:paraId="3A913FF9" w14:textId="518EBF89" w:rsidR="006E5E78" w:rsidRPr="00762A59" w:rsidRDefault="006E5E78" w:rsidP="008F3719">
      <w:pPr>
        <w:pStyle w:val="FootnoteText"/>
      </w:pPr>
      <w:r w:rsidRPr="00762A59">
        <w:rPr>
          <w:rStyle w:val="FootnoteReference"/>
        </w:rPr>
        <w:footnoteRef/>
      </w:r>
      <w:r w:rsidRPr="00762A59">
        <w:t xml:space="preserve"> DFAT, Australia-India Comprehensive Economic Cooperation Agreement - </w:t>
      </w:r>
      <w:hyperlink r:id="rId6" w:history="1">
        <w:r w:rsidRPr="00762A59">
          <w:rPr>
            <w:rStyle w:val="Hyperlink"/>
          </w:rPr>
          <w:t>Australia-India Comprehensive Economic Cooperation Agreement (AI-CECA) | Australian Government Department of Foreign Affairs and Trade (dfat.gov.au)</w:t>
        </w:r>
      </w:hyperlink>
    </w:p>
  </w:footnote>
  <w:footnote w:id="11">
    <w:p w14:paraId="0EE9F2ED" w14:textId="150DDEB2" w:rsidR="006E5E78" w:rsidRPr="00762A59" w:rsidRDefault="006E5E78" w:rsidP="008F3719">
      <w:pPr>
        <w:pStyle w:val="FootnoteText"/>
      </w:pPr>
      <w:r w:rsidRPr="00762A59">
        <w:rPr>
          <w:rStyle w:val="FootnoteReference"/>
        </w:rPr>
        <w:footnoteRef/>
      </w:r>
      <w:r w:rsidRPr="00762A59">
        <w:t xml:space="preserve"> IMF, </w:t>
      </w:r>
      <w:r w:rsidRPr="00762A59">
        <w:rPr>
          <w:i/>
          <w:iCs/>
        </w:rPr>
        <w:t>India: 2021 Article IV Consultation</w:t>
      </w:r>
      <w:r w:rsidRPr="00762A59">
        <w:t>, October 2021</w:t>
      </w:r>
      <w:r w:rsidRPr="00762A59">
        <w:rPr>
          <w:i/>
          <w:iCs/>
        </w:rPr>
        <w:t xml:space="preserve"> </w:t>
      </w:r>
      <w:r w:rsidRPr="00762A59">
        <w:t xml:space="preserve">- </w:t>
      </w:r>
      <w:hyperlink r:id="rId7" w:history="1">
        <w:r w:rsidRPr="00762A59">
          <w:rPr>
            <w:rStyle w:val="Hyperlink"/>
          </w:rPr>
          <w:t>1INDEA2021001.pdf</w:t>
        </w:r>
      </w:hyperlink>
      <w:r w:rsidRPr="00762A59">
        <w:t xml:space="preserve">; Aljazeera, </w:t>
      </w:r>
      <w:r w:rsidRPr="00762A59">
        <w:rPr>
          <w:i/>
          <w:iCs/>
        </w:rPr>
        <w:t>India’s economic recovery gathers pace as Omicron looms</w:t>
      </w:r>
      <w:r w:rsidRPr="00762A59">
        <w:t xml:space="preserve">, November 2021 - </w:t>
      </w:r>
      <w:hyperlink r:id="rId8" w:history="1">
        <w:r w:rsidRPr="00762A59">
          <w:rPr>
            <w:rStyle w:val="Hyperlink"/>
          </w:rPr>
          <w:t>India’s economic recovery gathers pace as Omicron looms | Business and Economy News | Al Jazeera</w:t>
        </w:r>
      </w:hyperlink>
    </w:p>
  </w:footnote>
  <w:footnote w:id="12">
    <w:p w14:paraId="55E2BC3A" w14:textId="2707617C" w:rsidR="006E5E78" w:rsidRDefault="006E5E78" w:rsidP="008F3719">
      <w:pPr>
        <w:pStyle w:val="FootnoteText"/>
      </w:pPr>
      <w:r w:rsidRPr="00762A59">
        <w:rPr>
          <w:rStyle w:val="FootnoteReference"/>
        </w:rPr>
        <w:footnoteRef/>
      </w:r>
      <w:r w:rsidRPr="00762A59">
        <w:t xml:space="preserve"> DFAT, </w:t>
      </w:r>
      <w:r w:rsidRPr="00762A59">
        <w:rPr>
          <w:i/>
          <w:iCs/>
        </w:rPr>
        <w:t>India: Market Insights</w:t>
      </w:r>
      <w:r w:rsidRPr="00762A59">
        <w:t xml:space="preserve">, page 2 - </w:t>
      </w:r>
      <w:hyperlink r:id="rId9" w:history="1">
        <w:r w:rsidRPr="00762A59">
          <w:rPr>
            <w:rStyle w:val="Hyperlink"/>
          </w:rPr>
          <w:t>India Market Insights 2021 (dfat.gov.au)</w:t>
        </w:r>
      </w:hyperlink>
    </w:p>
  </w:footnote>
  <w:footnote w:id="13">
    <w:p w14:paraId="2797A170" w14:textId="7A7A5B13" w:rsidR="006E5E78" w:rsidRPr="00762A59" w:rsidRDefault="006E5E78" w:rsidP="00C3560D">
      <w:pPr>
        <w:pStyle w:val="FootnoteText"/>
      </w:pPr>
      <w:r w:rsidRPr="00762A59">
        <w:rPr>
          <w:rStyle w:val="FootnoteReference"/>
        </w:rPr>
        <w:footnoteRef/>
      </w:r>
      <w:r w:rsidRPr="00762A59">
        <w:t xml:space="preserve"> Ibid, page 6. </w:t>
      </w:r>
    </w:p>
  </w:footnote>
  <w:footnote w:id="14">
    <w:p w14:paraId="7F191076" w14:textId="77777777" w:rsidR="006E5E78" w:rsidRPr="00762A59" w:rsidRDefault="006E5E78" w:rsidP="00C3560D">
      <w:pPr>
        <w:pStyle w:val="FootnoteText"/>
      </w:pPr>
      <w:r w:rsidRPr="00762A59">
        <w:rPr>
          <w:rStyle w:val="FootnoteReference"/>
        </w:rPr>
        <w:footnoteRef/>
      </w:r>
      <w:r w:rsidRPr="00762A59">
        <w:t xml:space="preserve"> Submission from Wine Australia (2011) - </w:t>
      </w:r>
      <w:hyperlink r:id="rId10" w:history="1">
        <w:r w:rsidRPr="00762A59">
          <w:rPr>
            <w:rStyle w:val="Hyperlink"/>
          </w:rPr>
          <w:t>Microsoft Word - wine-australia.doc (dfat.gov.au)</w:t>
        </w:r>
      </w:hyperlink>
    </w:p>
  </w:footnote>
  <w:footnote w:id="15">
    <w:p w14:paraId="7F9989B5" w14:textId="77777777" w:rsidR="006E5E78" w:rsidRPr="00762A59" w:rsidRDefault="006E5E78" w:rsidP="00C3560D">
      <w:pPr>
        <w:pStyle w:val="FootnoteText"/>
      </w:pPr>
      <w:r w:rsidRPr="00762A59">
        <w:rPr>
          <w:rStyle w:val="FootnoteReference"/>
        </w:rPr>
        <w:footnoteRef/>
      </w:r>
      <w:r w:rsidRPr="00762A59">
        <w:t xml:space="preserve"> Submissions from Grain Growers (2021) - </w:t>
      </w:r>
      <w:hyperlink r:id="rId11" w:history="1">
        <w:proofErr w:type="spellStart"/>
        <w:r w:rsidRPr="00762A59">
          <w:rPr>
            <w:rStyle w:val="Hyperlink"/>
          </w:rPr>
          <w:t>GrainGrowers</w:t>
        </w:r>
        <w:proofErr w:type="spellEnd"/>
        <w:r w:rsidRPr="00762A59">
          <w:rPr>
            <w:rStyle w:val="Hyperlink"/>
          </w:rPr>
          <w:t xml:space="preserve"> - CECA Submission (dfat.gov.au)</w:t>
        </w:r>
      </w:hyperlink>
      <w:r w:rsidRPr="00762A59">
        <w:t xml:space="preserve">; Grain Trade Australia (2021) - </w:t>
      </w:r>
      <w:hyperlink r:id="rId12" w:history="1">
        <w:r w:rsidRPr="00762A59">
          <w:rPr>
            <w:rStyle w:val="Hyperlink"/>
          </w:rPr>
          <w:t>ceca-submission-grain-trade-australia.pdf (dfat.gov.au)</w:t>
        </w:r>
      </w:hyperlink>
      <w:r w:rsidRPr="00762A59">
        <w:t xml:space="preserve">; Australian Horticultural Exporters’ and Importers’ Association (2022) - </w:t>
      </w:r>
      <w:hyperlink r:id="rId13" w:history="1">
        <w:r w:rsidRPr="00762A59">
          <w:rPr>
            <w:rStyle w:val="Hyperlink"/>
          </w:rPr>
          <w:t>Australian Horticultural Exporters’ &amp; Importers’ Association (AHEIA) - CECA Submission (dfat.gov.au)</w:t>
        </w:r>
      </w:hyperlink>
    </w:p>
  </w:footnote>
  <w:footnote w:id="16">
    <w:p w14:paraId="00367E8C" w14:textId="74432D43" w:rsidR="006E5E78" w:rsidRPr="00762A59" w:rsidRDefault="006E5E78">
      <w:pPr>
        <w:pStyle w:val="FootnoteText"/>
      </w:pPr>
      <w:r w:rsidRPr="00762A59">
        <w:rPr>
          <w:rStyle w:val="FootnoteReference"/>
        </w:rPr>
        <w:footnoteRef/>
      </w:r>
      <w:r w:rsidRPr="00762A59">
        <w:t xml:space="preserve"> DFAT, </w:t>
      </w:r>
      <w:r w:rsidRPr="00762A59">
        <w:rPr>
          <w:i/>
          <w:iCs/>
        </w:rPr>
        <w:t>India: Market Insights</w:t>
      </w:r>
      <w:r w:rsidRPr="00762A59">
        <w:t xml:space="preserve">, page 2 - </w:t>
      </w:r>
      <w:hyperlink r:id="rId14" w:history="1">
        <w:r w:rsidRPr="00762A59">
          <w:rPr>
            <w:rStyle w:val="Hyperlink"/>
          </w:rPr>
          <w:t>India Market Insights 2021 (dfat.gov.au)</w:t>
        </w:r>
      </w:hyperlink>
    </w:p>
  </w:footnote>
  <w:footnote w:id="17">
    <w:p w14:paraId="643A49B8" w14:textId="4BDF68DA" w:rsidR="006E5E78" w:rsidRPr="00762A59" w:rsidRDefault="006E5E78">
      <w:pPr>
        <w:pStyle w:val="FootnoteText"/>
      </w:pPr>
      <w:r w:rsidRPr="00762A59">
        <w:rPr>
          <w:rStyle w:val="FootnoteReference"/>
        </w:rPr>
        <w:footnoteRef/>
      </w:r>
      <w:r w:rsidRPr="00762A59">
        <w:t xml:space="preserve"> Effective January 2020, there has been a compositional shift in where some student fees </w:t>
      </w:r>
      <w:proofErr w:type="gramStart"/>
      <w:r w:rsidRPr="00762A59">
        <w:t>are located in</w:t>
      </w:r>
      <w:proofErr w:type="gramEnd"/>
      <w:r w:rsidRPr="00762A59">
        <w:t xml:space="preserve"> services data due to COVID-19; students have continued to study and pay fees to Australian universities, but as they are no longer located in Australia due to travel interruptions, this spend is now captured under Personal, cultural &amp; recreational services.</w:t>
      </w:r>
    </w:p>
  </w:footnote>
  <w:footnote w:id="18">
    <w:p w14:paraId="4044D4EC" w14:textId="77777777" w:rsidR="006E5E78" w:rsidRPr="00762A59" w:rsidRDefault="006E5E78" w:rsidP="00C3560D">
      <w:pPr>
        <w:pStyle w:val="FootnoteText"/>
        <w:rPr>
          <w:sz w:val="18"/>
          <w:szCs w:val="18"/>
        </w:rPr>
      </w:pPr>
      <w:r w:rsidRPr="00762A59">
        <w:rPr>
          <w:rStyle w:val="FootnoteReference"/>
        </w:rPr>
        <w:footnoteRef/>
      </w:r>
      <w:r w:rsidRPr="00762A59">
        <w:t xml:space="preserve"> Office of the Chief Economist, DFAT based on ABS data catalogue 5368.0</w:t>
      </w:r>
    </w:p>
  </w:footnote>
  <w:footnote w:id="19">
    <w:p w14:paraId="2BA9386E" w14:textId="77777777" w:rsidR="006E5E78" w:rsidRPr="00762A59" w:rsidRDefault="006E5E78" w:rsidP="00C3560D">
      <w:pPr>
        <w:pStyle w:val="FootnoteText"/>
      </w:pPr>
      <w:r w:rsidRPr="00762A59">
        <w:rPr>
          <w:rStyle w:val="FootnoteReference"/>
        </w:rPr>
        <w:footnoteRef/>
      </w:r>
      <w:r w:rsidRPr="00762A59">
        <w:t xml:space="preserve"> DFAT, </w:t>
      </w:r>
      <w:r w:rsidRPr="00762A59">
        <w:rPr>
          <w:i/>
          <w:iCs/>
        </w:rPr>
        <w:t>India: Market Insights</w:t>
      </w:r>
      <w:r w:rsidRPr="00762A59">
        <w:t xml:space="preserve">, page 3 - </w:t>
      </w:r>
      <w:hyperlink r:id="rId15" w:history="1">
        <w:r w:rsidRPr="00762A59">
          <w:rPr>
            <w:rStyle w:val="Hyperlink"/>
          </w:rPr>
          <w:t>India Market Insights 2021 (dfat.gov.au)</w:t>
        </w:r>
      </w:hyperlink>
    </w:p>
  </w:footnote>
  <w:footnote w:id="20">
    <w:p w14:paraId="5A49DE55" w14:textId="194D4C91" w:rsidR="006E5E78" w:rsidRPr="00762A59" w:rsidRDefault="006E5E78">
      <w:pPr>
        <w:pStyle w:val="FootnoteText"/>
      </w:pPr>
      <w:r w:rsidRPr="00762A59">
        <w:rPr>
          <w:rStyle w:val="FootnoteReference"/>
        </w:rPr>
        <w:footnoteRef/>
      </w:r>
      <w:r w:rsidRPr="00762A59">
        <w:t xml:space="preserve"> Ibid, page 6. </w:t>
      </w:r>
    </w:p>
  </w:footnote>
  <w:footnote w:id="21">
    <w:p w14:paraId="15E68D82" w14:textId="77777777" w:rsidR="006E5E78" w:rsidRDefault="006E5E78" w:rsidP="00C3560D">
      <w:pPr>
        <w:pStyle w:val="FootnoteText"/>
      </w:pPr>
      <w:r w:rsidRPr="00762A59">
        <w:rPr>
          <w:rStyle w:val="FootnoteReference"/>
        </w:rPr>
        <w:footnoteRef/>
      </w:r>
      <w:r w:rsidRPr="00762A59">
        <w:t xml:space="preserve"> Submission from the South Australian Government (2010), page 15 - </w:t>
      </w:r>
      <w:hyperlink r:id="rId16" w:history="1">
        <w:r w:rsidRPr="00762A59">
          <w:rPr>
            <w:rStyle w:val="Hyperlink"/>
          </w:rPr>
          <w:t>Microsoft Word - South Australian Government submission AICECA.docx (dfat.gov.au)</w:t>
        </w:r>
      </w:hyperlink>
      <w:r>
        <w:t xml:space="preserve"> </w:t>
      </w:r>
    </w:p>
  </w:footnote>
  <w:footnote w:id="22">
    <w:p w14:paraId="19B296B9" w14:textId="77777777" w:rsidR="006E5E78" w:rsidRPr="00762A59" w:rsidRDefault="006E5E78" w:rsidP="004729C3">
      <w:pPr>
        <w:pStyle w:val="FootnoteText"/>
      </w:pPr>
      <w:r w:rsidRPr="00762A59">
        <w:rPr>
          <w:rStyle w:val="FootnoteReference"/>
        </w:rPr>
        <w:footnoteRef/>
      </w:r>
      <w:r w:rsidRPr="00762A59">
        <w:t xml:space="preserve"> PricewaterhouseCoopers, </w:t>
      </w:r>
      <w:r w:rsidRPr="00762A59">
        <w:rPr>
          <w:i/>
          <w:iCs/>
        </w:rPr>
        <w:t>Free Trade Agreement Utilisation Study</w:t>
      </w:r>
      <w:r w:rsidRPr="00762A59">
        <w:t xml:space="preserve">, 2018 - </w:t>
      </w:r>
      <w:hyperlink r:id="rId17" w:history="1">
        <w:r w:rsidRPr="00762A59">
          <w:rPr>
            <w:rStyle w:val="Hyperlink"/>
          </w:rPr>
          <w:t>free-trade-agreement-utilisation-study-pwc-report.pdf (dfat.gov.au)</w:t>
        </w:r>
      </w:hyperlink>
    </w:p>
  </w:footnote>
  <w:footnote w:id="23">
    <w:p w14:paraId="734CF8EB" w14:textId="77777777" w:rsidR="006E5E78" w:rsidRPr="00762A59" w:rsidRDefault="006E5E78" w:rsidP="004729C3">
      <w:pPr>
        <w:pStyle w:val="FootnoteText"/>
      </w:pPr>
      <w:r w:rsidRPr="00762A59">
        <w:rPr>
          <w:rStyle w:val="FootnoteReference"/>
        </w:rPr>
        <w:footnoteRef/>
      </w:r>
      <w:r w:rsidRPr="00762A59">
        <w:t xml:space="preserve"> Ibid, page 13. </w:t>
      </w:r>
    </w:p>
  </w:footnote>
  <w:footnote w:id="24">
    <w:p w14:paraId="48CF7AE2" w14:textId="77777777" w:rsidR="006E5E78" w:rsidRPr="00762A59" w:rsidRDefault="006E5E78" w:rsidP="00C3560D">
      <w:pPr>
        <w:pStyle w:val="FootnoteText"/>
      </w:pPr>
      <w:r w:rsidRPr="00762A59">
        <w:rPr>
          <w:rStyle w:val="FootnoteReference"/>
        </w:rPr>
        <w:footnoteRef/>
      </w:r>
      <w:r w:rsidRPr="00762A59">
        <w:t xml:space="preserve"> DFAT Annual Report 2020-21, page 44 - </w:t>
      </w:r>
      <w:hyperlink r:id="rId18" w:history="1">
        <w:r w:rsidRPr="00762A59">
          <w:rPr>
            <w:rStyle w:val="Hyperlink"/>
          </w:rPr>
          <w:t>DFAT Annual Report 2020-21</w:t>
        </w:r>
      </w:hyperlink>
    </w:p>
  </w:footnote>
  <w:footnote w:id="25">
    <w:p w14:paraId="0C6E6173" w14:textId="77777777" w:rsidR="006E5E78" w:rsidRPr="00762A59" w:rsidRDefault="006E5E78" w:rsidP="004729C3">
      <w:pPr>
        <w:pStyle w:val="FootnoteText"/>
      </w:pPr>
      <w:r w:rsidRPr="00762A59">
        <w:rPr>
          <w:rStyle w:val="FootnoteReference"/>
        </w:rPr>
        <w:footnoteRef/>
      </w:r>
      <w:r w:rsidRPr="00762A59">
        <w:t xml:space="preserve"> Ibid. </w:t>
      </w:r>
    </w:p>
  </w:footnote>
  <w:footnote w:id="26">
    <w:p w14:paraId="22CA3A5D" w14:textId="42584E53" w:rsidR="006E5E78" w:rsidRDefault="006E5E78">
      <w:pPr>
        <w:pStyle w:val="FootnoteText"/>
      </w:pPr>
      <w:r>
        <w:rPr>
          <w:rStyle w:val="FootnoteReference"/>
        </w:rPr>
        <w:footnoteRef/>
      </w:r>
      <w:r>
        <w:t xml:space="preserve"> </w:t>
      </w:r>
      <w:hyperlink r:id="rId19" w:history="1">
        <w:r>
          <w:rPr>
            <w:rStyle w:val="Hyperlink"/>
          </w:rPr>
          <w:t>Joint Statement on a Comprehensive Strategic Partnership between Republic of India and Australia | Australian Government Department of Foreign Affairs and Trade (dfat.gov.au)</w:t>
        </w:r>
      </w:hyperlink>
    </w:p>
  </w:footnote>
  <w:footnote w:id="27">
    <w:p w14:paraId="5D77BCDC" w14:textId="77777777" w:rsidR="006E5E78" w:rsidRPr="00762A59" w:rsidRDefault="006E5E78" w:rsidP="001A3E00">
      <w:pPr>
        <w:pStyle w:val="FootnoteText"/>
      </w:pPr>
      <w:r w:rsidRPr="00762A59">
        <w:rPr>
          <w:rStyle w:val="FootnoteReference"/>
        </w:rPr>
        <w:footnoteRef/>
      </w:r>
      <w:r w:rsidRPr="00762A59">
        <w:t xml:space="preserve"> </w:t>
      </w:r>
      <w:hyperlink r:id="rId20">
        <w:r w:rsidRPr="00762A59">
          <w:rPr>
            <w:rStyle w:val="Hyperlink"/>
          </w:rPr>
          <w:t>Home | Foreign Policy White Paper (dfat.gov.au)</w:t>
        </w:r>
      </w:hyperlink>
    </w:p>
  </w:footnote>
  <w:footnote w:id="28">
    <w:p w14:paraId="55B8C31D" w14:textId="4FA437BB" w:rsidR="006E5E78" w:rsidRDefault="006E5E78" w:rsidP="00C3560D">
      <w:pPr>
        <w:pStyle w:val="FootnoteText"/>
      </w:pPr>
      <w:r w:rsidRPr="00762A59">
        <w:rPr>
          <w:rStyle w:val="FootnoteReference"/>
        </w:rPr>
        <w:footnoteRef/>
      </w:r>
      <w:r w:rsidRPr="00762A59">
        <w:t xml:space="preserve"> </w:t>
      </w:r>
      <w:hyperlink r:id="rId21" w:history="1">
        <w:r w:rsidRPr="00762A59">
          <w:rPr>
            <w:rStyle w:val="Hyperlink"/>
          </w:rPr>
          <w:t>An India Economic Strategy To 2035 - Department of Foreign Affairs and Trade (dfat.gov.au)</w:t>
        </w:r>
      </w:hyperlink>
    </w:p>
  </w:footnote>
  <w:footnote w:id="29">
    <w:p w14:paraId="1527980A" w14:textId="77777777" w:rsidR="006E5E78" w:rsidRDefault="006E5E78" w:rsidP="00BD6A8E">
      <w:pPr>
        <w:pStyle w:val="FootnoteText"/>
      </w:pPr>
      <w:r>
        <w:rPr>
          <w:rStyle w:val="FootnoteReference"/>
        </w:rPr>
        <w:footnoteRef/>
      </w:r>
      <w:r>
        <w:t xml:space="preserve"> </w:t>
      </w:r>
      <w:hyperlink r:id="rId22" w:history="1">
        <w:r>
          <w:rPr>
            <w:rStyle w:val="Hyperlink"/>
          </w:rPr>
          <w:t>Australia and India trade deal | Minister for Trade Tourism and Investment (trademinister.gov.au)</w:t>
        </w:r>
      </w:hyperlink>
    </w:p>
  </w:footnote>
  <w:footnote w:id="30">
    <w:p w14:paraId="05B857AD" w14:textId="3D2B22F4" w:rsidR="006E5E78" w:rsidRDefault="006E5E78">
      <w:pPr>
        <w:pStyle w:val="FootnoteText"/>
      </w:pPr>
      <w:r>
        <w:rPr>
          <w:rStyle w:val="FootnoteReference"/>
        </w:rPr>
        <w:footnoteRef/>
      </w:r>
      <w:r>
        <w:t xml:space="preserve"> Australian Government response to the Joint Standing Committee on Growth report, </w:t>
      </w:r>
      <w:r>
        <w:rPr>
          <w:i/>
          <w:iCs/>
        </w:rPr>
        <w:t>Pivot</w:t>
      </w:r>
      <w:r>
        <w:t xml:space="preserve">, - </w:t>
      </w:r>
      <w:hyperlink r:id="rId23" w:history="1">
        <w:r>
          <w:rPr>
            <w:rStyle w:val="Hyperlink"/>
          </w:rPr>
          <w:t>Govt response - Pivot 6 August 2021 (1).pdf</w:t>
        </w:r>
      </w:hyperlink>
    </w:p>
  </w:footnote>
  <w:footnote w:id="31">
    <w:p w14:paraId="465D9C0E" w14:textId="77777777" w:rsidR="006E5E78" w:rsidRDefault="006E5E78" w:rsidP="009020EF">
      <w:pPr>
        <w:pStyle w:val="FootnoteText"/>
      </w:pPr>
      <w:r>
        <w:rPr>
          <w:rStyle w:val="FootnoteReference"/>
        </w:rPr>
        <w:footnoteRef/>
      </w:r>
      <w:r>
        <w:t xml:space="preserve"> </w:t>
      </w:r>
      <w:hyperlink r:id="rId24" w:history="1">
        <w:r>
          <w:rPr>
            <w:rStyle w:val="Hyperlink"/>
          </w:rPr>
          <w:t>Free Trade Agreement Utilisation Study | Australian Government Department of Foreign Affairs and Trade (dfat.gov.au)</w:t>
        </w:r>
      </w:hyperlink>
    </w:p>
  </w:footnote>
  <w:footnote w:id="32">
    <w:p w14:paraId="13FB9F8A" w14:textId="77777777" w:rsidR="006E5E78" w:rsidRPr="00762A59" w:rsidRDefault="006E5E78" w:rsidP="008F3719">
      <w:pPr>
        <w:pStyle w:val="FootnoteText"/>
      </w:pPr>
      <w:r w:rsidRPr="00762A59">
        <w:rPr>
          <w:rStyle w:val="FootnoteReference"/>
        </w:rPr>
        <w:footnoteRef/>
      </w:r>
      <w:r w:rsidRPr="00762A59">
        <w:t xml:space="preserve"> </w:t>
      </w:r>
      <w:hyperlink r:id="rId25" w:history="1">
        <w:r w:rsidRPr="00762A59">
          <w:rPr>
            <w:rStyle w:val="Hyperlink"/>
          </w:rPr>
          <w:t>Australia-India Joint Free Trade Agreement Feasibility Study (dfat.gov.au)</w:t>
        </w:r>
      </w:hyperlink>
    </w:p>
  </w:footnote>
  <w:footnote w:id="33">
    <w:p w14:paraId="4AD53A3B" w14:textId="3F1DB805" w:rsidR="006E5E78" w:rsidRPr="00762A59" w:rsidRDefault="006E5E78" w:rsidP="008F3719">
      <w:pPr>
        <w:spacing w:after="0"/>
        <w:rPr>
          <w:rFonts w:ascii="Calibri" w:eastAsia="Calibri" w:hAnsi="Calibri" w:cs="Calibri"/>
          <w:sz w:val="20"/>
          <w:szCs w:val="20"/>
        </w:rPr>
      </w:pPr>
      <w:r w:rsidRPr="00762A59">
        <w:rPr>
          <w:rStyle w:val="FootnoteReference"/>
          <w:sz w:val="20"/>
          <w:szCs w:val="20"/>
        </w:rPr>
        <w:footnoteRef/>
      </w:r>
      <w:r w:rsidRPr="00762A59">
        <w:rPr>
          <w:sz w:val="20"/>
          <w:szCs w:val="20"/>
        </w:rPr>
        <w:t xml:space="preserve"> </w:t>
      </w:r>
      <w:r w:rsidRPr="00762A59">
        <w:rPr>
          <w:rFonts w:ascii="Calibri" w:eastAsia="Calibri" w:hAnsi="Calibri" w:cs="Calibri"/>
          <w:sz w:val="20"/>
          <w:szCs w:val="20"/>
        </w:rPr>
        <w:t xml:space="preserve">World Bank (2020), </w:t>
      </w:r>
      <w:r w:rsidRPr="00762A59">
        <w:rPr>
          <w:rFonts w:ascii="Calibri" w:eastAsia="Calibri" w:hAnsi="Calibri" w:cs="Calibri"/>
          <w:i/>
          <w:iCs/>
          <w:sz w:val="20"/>
          <w:szCs w:val="20"/>
        </w:rPr>
        <w:t>Purchasing Power Parities and the Size of World Economies Results from the 2017 International Comparison Program</w:t>
      </w:r>
      <w:r w:rsidRPr="00762A59">
        <w:rPr>
          <w:rFonts w:ascii="Calibri" w:eastAsia="Calibri" w:hAnsi="Calibri" w:cs="Calibri"/>
          <w:sz w:val="20"/>
          <w:szCs w:val="20"/>
        </w:rPr>
        <w:t xml:space="preserve">, </w:t>
      </w:r>
      <w:hyperlink r:id="rId26">
        <w:r w:rsidRPr="00762A59">
          <w:rPr>
            <w:rStyle w:val="Hyperlink"/>
            <w:rFonts w:ascii="Calibri" w:eastAsia="Calibri" w:hAnsi="Calibri" w:cs="Calibri"/>
            <w:sz w:val="20"/>
            <w:szCs w:val="20"/>
          </w:rPr>
          <w:t>https://openknowledge.worldbank.org/bitstream/handle/10986/33623/9781464815300.pdf?sequence=4&amp;isAllowed=y</w:t>
        </w:r>
      </w:hyperlink>
    </w:p>
  </w:footnote>
  <w:footnote w:id="34">
    <w:p w14:paraId="128EF50E" w14:textId="6BF25A2F" w:rsidR="006E5E78" w:rsidRPr="00762A59" w:rsidRDefault="006E5E78" w:rsidP="008F3719">
      <w:pPr>
        <w:spacing w:after="0" w:line="257" w:lineRule="auto"/>
        <w:rPr>
          <w:sz w:val="20"/>
          <w:szCs w:val="20"/>
        </w:rPr>
      </w:pPr>
      <w:r w:rsidRPr="00762A59">
        <w:rPr>
          <w:rStyle w:val="FootnoteReference"/>
          <w:sz w:val="20"/>
          <w:szCs w:val="20"/>
        </w:rPr>
        <w:footnoteRef/>
      </w:r>
      <w:r w:rsidRPr="00762A59">
        <w:rPr>
          <w:sz w:val="20"/>
          <w:szCs w:val="20"/>
        </w:rPr>
        <w:t xml:space="preserve"> </w:t>
      </w:r>
      <w:r w:rsidRPr="00762A59">
        <w:rPr>
          <w:rFonts w:ascii="Calibri" w:eastAsia="Calibri" w:hAnsi="Calibri" w:cs="Calibri"/>
          <w:sz w:val="20"/>
          <w:szCs w:val="20"/>
        </w:rPr>
        <w:t xml:space="preserve">United Nations Department of Economic and Social Affairs, Population Division (2019), </w:t>
      </w:r>
      <w:r w:rsidRPr="00762A59">
        <w:rPr>
          <w:rFonts w:ascii="Calibri" w:eastAsia="Calibri" w:hAnsi="Calibri" w:cs="Calibri"/>
          <w:i/>
          <w:iCs/>
          <w:sz w:val="20"/>
          <w:szCs w:val="20"/>
        </w:rPr>
        <w:t>World Population Prospects 2019</w:t>
      </w:r>
      <w:r w:rsidRPr="00762A59">
        <w:rPr>
          <w:rFonts w:ascii="Calibri" w:eastAsia="Calibri" w:hAnsi="Calibri" w:cs="Calibri"/>
          <w:sz w:val="20"/>
          <w:szCs w:val="20"/>
        </w:rPr>
        <w:t xml:space="preserve">, </w:t>
      </w:r>
      <w:hyperlink r:id="rId27">
        <w:r w:rsidRPr="00762A59">
          <w:rPr>
            <w:rStyle w:val="Hyperlink"/>
            <w:rFonts w:ascii="Calibri" w:eastAsia="Calibri" w:hAnsi="Calibri" w:cs="Calibri"/>
            <w:sz w:val="20"/>
            <w:szCs w:val="20"/>
          </w:rPr>
          <w:t>https://population.un.org/wpp/Publications/Files/WPP2019_Highlights.pdf</w:t>
        </w:r>
      </w:hyperlink>
    </w:p>
  </w:footnote>
  <w:footnote w:id="35">
    <w:p w14:paraId="03CF53C6" w14:textId="0D28A944" w:rsidR="006E5E78" w:rsidRPr="00762A59" w:rsidRDefault="006E5E78" w:rsidP="008F3719">
      <w:pPr>
        <w:pStyle w:val="FootnoteText"/>
      </w:pPr>
      <w:r w:rsidRPr="00762A59">
        <w:rPr>
          <w:rStyle w:val="FootnoteReference"/>
        </w:rPr>
        <w:footnoteRef/>
      </w:r>
      <w:r w:rsidRPr="00762A59">
        <w:t xml:space="preserve"> </w:t>
      </w:r>
      <w:r w:rsidRPr="00762A59">
        <w:rPr>
          <w:rFonts w:ascii="Calibri" w:eastAsia="Calibri" w:hAnsi="Calibri" w:cs="Calibri"/>
        </w:rPr>
        <w:t xml:space="preserve">OECD (2021), </w:t>
      </w:r>
      <w:r w:rsidRPr="00762A59">
        <w:rPr>
          <w:rFonts w:ascii="Calibri" w:eastAsia="Calibri" w:hAnsi="Calibri" w:cs="Calibri"/>
          <w:i/>
          <w:iCs/>
        </w:rPr>
        <w:t>India Economic Policy Reforms: Going for Growth</w:t>
      </w:r>
      <w:r w:rsidRPr="00762A59">
        <w:rPr>
          <w:rFonts w:ascii="Calibri" w:eastAsia="Calibri" w:hAnsi="Calibri" w:cs="Calibri"/>
        </w:rPr>
        <w:t xml:space="preserve">, </w:t>
      </w:r>
      <w:hyperlink r:id="rId28">
        <w:r w:rsidRPr="00762A59">
          <w:rPr>
            <w:rStyle w:val="Hyperlink"/>
            <w:rFonts w:ascii="Calibri" w:eastAsia="Calibri" w:hAnsi="Calibri" w:cs="Calibri"/>
          </w:rPr>
          <w:t>https://www.oecd.org/economy/growth/India-country-note-going-for-growth-2021.pdf</w:t>
        </w:r>
      </w:hyperlink>
    </w:p>
  </w:footnote>
  <w:footnote w:id="36">
    <w:p w14:paraId="68DEC82B" w14:textId="22AA987F" w:rsidR="006E5E78" w:rsidRPr="00762A59" w:rsidRDefault="006E5E78" w:rsidP="008F3719">
      <w:pPr>
        <w:pStyle w:val="FootnoteText"/>
        <w:rPr>
          <w:sz w:val="18"/>
          <w:szCs w:val="18"/>
        </w:rPr>
      </w:pPr>
      <w:r w:rsidRPr="00762A59">
        <w:rPr>
          <w:rStyle w:val="FootnoteReference"/>
        </w:rPr>
        <w:footnoteRef/>
      </w:r>
      <w:r w:rsidRPr="00762A59">
        <w:t xml:space="preserve"> </w:t>
      </w:r>
      <w:r w:rsidRPr="00762A59">
        <w:rPr>
          <w:rFonts w:ascii="Calibri" w:eastAsia="Calibri" w:hAnsi="Calibri" w:cs="Calibri"/>
        </w:rPr>
        <w:t xml:space="preserve">International Monetary Fund (2022), </w:t>
      </w:r>
      <w:r w:rsidRPr="00762A59">
        <w:rPr>
          <w:rFonts w:ascii="Calibri" w:eastAsia="Calibri" w:hAnsi="Calibri" w:cs="Calibri"/>
          <w:i/>
          <w:iCs/>
        </w:rPr>
        <w:t>World Economic Outlook International Monetary Fund Rising Caseloads, A Disrupted Recovery, And Higher Inflation</w:t>
      </w:r>
      <w:r w:rsidRPr="00762A59">
        <w:rPr>
          <w:rFonts w:ascii="Calibri" w:eastAsia="Calibri" w:hAnsi="Calibri" w:cs="Calibri"/>
        </w:rPr>
        <w:t xml:space="preserve">, </w:t>
      </w:r>
      <w:hyperlink r:id="rId29">
        <w:r w:rsidRPr="00762A59">
          <w:rPr>
            <w:rStyle w:val="Hyperlink"/>
            <w:rFonts w:ascii="Calibri" w:eastAsia="Calibri" w:hAnsi="Calibri" w:cs="Calibri"/>
          </w:rPr>
          <w:t>https://www.imf.org/en/Publications/WEO/Issues/2022/01/25/world-economic-outlook-update-january-2022</w:t>
        </w:r>
      </w:hyperlink>
    </w:p>
  </w:footnote>
  <w:footnote w:id="37">
    <w:p w14:paraId="1324CE56" w14:textId="74D31CF3" w:rsidR="00896460" w:rsidRDefault="00896460">
      <w:pPr>
        <w:pStyle w:val="FootnoteText"/>
      </w:pPr>
      <w:r>
        <w:rPr>
          <w:rStyle w:val="FootnoteReference"/>
        </w:rPr>
        <w:footnoteRef/>
      </w:r>
      <w:r>
        <w:t xml:space="preserve"> Based on </w:t>
      </w:r>
      <w:r w:rsidR="000334A1">
        <w:t>tariff rates and import data provided by India for 2018-2020.</w:t>
      </w:r>
    </w:p>
  </w:footnote>
  <w:footnote w:id="38">
    <w:p w14:paraId="7E439DB2" w14:textId="77777777" w:rsidR="006E5E78" w:rsidRPr="00762A59" w:rsidRDefault="006E5E78" w:rsidP="00A96E01">
      <w:pPr>
        <w:pStyle w:val="FootnoteText"/>
      </w:pPr>
      <w:r w:rsidRPr="00762A59">
        <w:rPr>
          <w:rStyle w:val="FootnoteReference"/>
        </w:rPr>
        <w:footnoteRef/>
      </w:r>
      <w:r w:rsidRPr="00762A59">
        <w:t xml:space="preserve"> Grain Growers Submission, page 5 - </w:t>
      </w:r>
      <w:hyperlink r:id="rId30" w:history="1">
        <w:proofErr w:type="spellStart"/>
        <w:r w:rsidRPr="00762A59">
          <w:rPr>
            <w:rStyle w:val="Hyperlink"/>
          </w:rPr>
          <w:t>GrainGrowers</w:t>
        </w:r>
        <w:proofErr w:type="spellEnd"/>
        <w:r w:rsidRPr="00762A59">
          <w:rPr>
            <w:rStyle w:val="Hyperlink"/>
          </w:rPr>
          <w:t xml:space="preserve"> - CECA Submission (dfat.gov.au)</w:t>
        </w:r>
      </w:hyperlink>
    </w:p>
  </w:footnote>
  <w:footnote w:id="39">
    <w:p w14:paraId="741C1AD8" w14:textId="77777777" w:rsidR="006E5E78" w:rsidRPr="00762A59" w:rsidRDefault="006E5E78" w:rsidP="005F7E67">
      <w:pPr>
        <w:pStyle w:val="FootnoteText"/>
      </w:pPr>
      <w:r w:rsidRPr="00762A59">
        <w:rPr>
          <w:rStyle w:val="FootnoteReference"/>
        </w:rPr>
        <w:footnoteRef/>
      </w:r>
      <w:r w:rsidRPr="00762A59">
        <w:t xml:space="preserve"> Wine Australia’s ‘Australia – India Free Trade Agreement’ (2011) submission to DFAT, see </w:t>
      </w:r>
      <w:hyperlink r:id="rId31" w:history="1">
        <w:r w:rsidRPr="00762A59">
          <w:rPr>
            <w:rStyle w:val="Hyperlink"/>
          </w:rPr>
          <w:t>https://www.dfat.gov.au/sites/default/files/wine-australia.pdf</w:t>
        </w:r>
      </w:hyperlink>
      <w:r w:rsidRPr="00762A59">
        <w:t xml:space="preserve"> </w:t>
      </w:r>
    </w:p>
  </w:footnote>
  <w:footnote w:id="40">
    <w:p w14:paraId="3F3502D2" w14:textId="4A149993" w:rsidR="006E5E78" w:rsidRDefault="006E5E78">
      <w:pPr>
        <w:pStyle w:val="FootnoteText"/>
      </w:pPr>
      <w:r>
        <w:rPr>
          <w:rStyle w:val="FootnoteReference"/>
        </w:rPr>
        <w:footnoteRef/>
      </w:r>
      <w:r>
        <w:t xml:space="preserve"> Using TDM data of Indian commodity imports</w:t>
      </w:r>
    </w:p>
  </w:footnote>
  <w:footnote w:id="41">
    <w:p w14:paraId="0D9C9A16" w14:textId="77777777" w:rsidR="006E5E78" w:rsidRPr="00762A59" w:rsidRDefault="006E5E78" w:rsidP="00073BE3">
      <w:pPr>
        <w:pStyle w:val="FootnoteText"/>
      </w:pPr>
      <w:r w:rsidRPr="00762A59">
        <w:rPr>
          <w:rStyle w:val="FootnoteReference"/>
        </w:rPr>
        <w:footnoteRef/>
      </w:r>
      <w:r w:rsidRPr="00762A59">
        <w:t xml:space="preserve"> Ibid.</w:t>
      </w:r>
    </w:p>
  </w:footnote>
  <w:footnote w:id="42">
    <w:p w14:paraId="4BD00540" w14:textId="77777777" w:rsidR="006E5E78" w:rsidRPr="00762A59" w:rsidRDefault="006E5E78" w:rsidP="00073BE3">
      <w:pPr>
        <w:pStyle w:val="FootnoteText"/>
      </w:pPr>
      <w:r w:rsidRPr="00762A59">
        <w:rPr>
          <w:rStyle w:val="FootnoteReference"/>
        </w:rPr>
        <w:footnoteRef/>
      </w:r>
      <w:r w:rsidRPr="00762A59">
        <w:t xml:space="preserve"> Meat and Livestock Australia, February 2021, </w:t>
      </w:r>
      <w:r w:rsidRPr="00762A59">
        <w:rPr>
          <w:i/>
          <w:iCs/>
        </w:rPr>
        <w:t xml:space="preserve">Global </w:t>
      </w:r>
      <w:proofErr w:type="spellStart"/>
      <w:r w:rsidRPr="00762A59">
        <w:rPr>
          <w:i/>
          <w:iCs/>
        </w:rPr>
        <w:t>sheepmeat</w:t>
      </w:r>
      <w:proofErr w:type="spellEnd"/>
      <w:r w:rsidRPr="00762A59">
        <w:rPr>
          <w:i/>
          <w:iCs/>
        </w:rPr>
        <w:t xml:space="preserve"> industry and trade report</w:t>
      </w:r>
    </w:p>
  </w:footnote>
  <w:footnote w:id="43">
    <w:p w14:paraId="412B94EA" w14:textId="77777777" w:rsidR="006E5E78" w:rsidRPr="00762A59" w:rsidRDefault="006E5E78" w:rsidP="00787263">
      <w:pPr>
        <w:pStyle w:val="FootnoteText"/>
      </w:pPr>
      <w:r w:rsidRPr="00762A59">
        <w:rPr>
          <w:rStyle w:val="FootnoteReference"/>
        </w:rPr>
        <w:footnoteRef/>
      </w:r>
      <w:r w:rsidRPr="00762A59">
        <w:t xml:space="preserve"> </w:t>
      </w:r>
      <w:hyperlink r:id="rId32" w:anchor="rock-lobster" w:history="1">
        <w:r w:rsidRPr="00762A59">
          <w:rPr>
            <w:rStyle w:val="Hyperlink"/>
          </w:rPr>
          <w:t>Australian fisheries and aquaculture outlook 2021 - Department of Agriculture</w:t>
        </w:r>
      </w:hyperlink>
    </w:p>
  </w:footnote>
  <w:footnote w:id="44">
    <w:p w14:paraId="3FFCBF42" w14:textId="77777777" w:rsidR="006E5E78" w:rsidRDefault="006E5E78" w:rsidP="00787263">
      <w:pPr>
        <w:pStyle w:val="FootnoteText"/>
      </w:pPr>
      <w:r w:rsidRPr="00762A59">
        <w:rPr>
          <w:rStyle w:val="FootnoteReference"/>
        </w:rPr>
        <w:footnoteRef/>
      </w:r>
      <w:r w:rsidRPr="00762A59">
        <w:t xml:space="preserve"> Ibid.</w:t>
      </w:r>
    </w:p>
  </w:footnote>
  <w:footnote w:id="45">
    <w:p w14:paraId="5E42102E" w14:textId="77777777" w:rsidR="006E5E78" w:rsidRPr="00762A59" w:rsidRDefault="006E5E78" w:rsidP="00787263">
      <w:pPr>
        <w:pStyle w:val="FootnoteText"/>
      </w:pPr>
      <w:r w:rsidRPr="00762A59">
        <w:rPr>
          <w:rStyle w:val="FootnoteReference"/>
        </w:rPr>
        <w:footnoteRef/>
      </w:r>
      <w:r w:rsidRPr="00762A59">
        <w:t xml:space="preserve"> </w:t>
      </w:r>
      <w:hyperlink r:id="rId33" w:anchor="rock-lobster" w:history="1">
        <w:r w:rsidRPr="00762A59">
          <w:rPr>
            <w:rStyle w:val="Hyperlink"/>
          </w:rPr>
          <w:t>Australian fisheries and aquaculture outlook 2021 - Department of Agriculture</w:t>
        </w:r>
      </w:hyperlink>
    </w:p>
  </w:footnote>
  <w:footnote w:id="46">
    <w:p w14:paraId="2773A04F" w14:textId="77777777" w:rsidR="006E5E78" w:rsidRDefault="006E5E78" w:rsidP="00787263">
      <w:pPr>
        <w:pStyle w:val="FootnoteText"/>
      </w:pPr>
      <w:r w:rsidRPr="00762A59">
        <w:rPr>
          <w:rStyle w:val="FootnoteReference"/>
        </w:rPr>
        <w:footnoteRef/>
      </w:r>
      <w:r w:rsidRPr="00762A59">
        <w:t xml:space="preserve"> </w:t>
      </w:r>
      <w:hyperlink r:id="rId34" w:history="1">
        <w:r w:rsidRPr="00762A59">
          <w:rPr>
            <w:rStyle w:val="Hyperlink"/>
          </w:rPr>
          <w:t>Australia's seafood trade - Department of Agriculture</w:t>
        </w:r>
      </w:hyperlink>
    </w:p>
  </w:footnote>
  <w:footnote w:id="47">
    <w:p w14:paraId="33F91E1C" w14:textId="046CAD68" w:rsidR="006E5E78" w:rsidRDefault="006E5E78">
      <w:pPr>
        <w:pStyle w:val="FootnoteText"/>
      </w:pPr>
      <w:r>
        <w:rPr>
          <w:rStyle w:val="FootnoteReference"/>
        </w:rPr>
        <w:footnoteRef/>
      </w:r>
      <w:r>
        <w:t xml:space="preserve">  </w:t>
      </w:r>
      <w:hyperlink r:id="rId35" w:history="1">
        <w:r>
          <w:rPr>
            <w:rStyle w:val="Hyperlink"/>
          </w:rPr>
          <w:t>Australia's seafood trade - Department of Agriculture</w:t>
        </w:r>
      </w:hyperlink>
    </w:p>
  </w:footnote>
  <w:footnote w:id="48">
    <w:p w14:paraId="20DD6C16" w14:textId="77777777" w:rsidR="006E5E78" w:rsidRDefault="006E5E78" w:rsidP="0025442D">
      <w:pPr>
        <w:pStyle w:val="FootnoteText"/>
      </w:pPr>
      <w:r>
        <w:rPr>
          <w:rStyle w:val="FootnoteReference"/>
        </w:rPr>
        <w:footnoteRef/>
      </w:r>
      <w:r>
        <w:t xml:space="preserve"> Extracted from TDM using data for Australian commodity exports that correspond with commodities produced by Australia’s ‘</w:t>
      </w:r>
      <w:r w:rsidRPr="00C47238">
        <w:t>Nursery and Floriculture Production</w:t>
      </w:r>
      <w:r>
        <w:t>’, ‘</w:t>
      </w:r>
      <w:r w:rsidRPr="004A53D3">
        <w:t>Mushroom and Vegetable Growing</w:t>
      </w:r>
      <w:r>
        <w:t>’, ‘</w:t>
      </w:r>
      <w:r w:rsidRPr="004A53D3">
        <w:t>Fruit and Tree Nut Growing</w:t>
      </w:r>
      <w:r>
        <w:t>’, ‘</w:t>
      </w:r>
      <w:r w:rsidRPr="004A53D3">
        <w:t>Fruit and Vegetable Processing</w:t>
      </w:r>
      <w:r>
        <w:t>’ industry sectors (ABS ANZSIC codes 011, 012, 013 and 1140, respectively)</w:t>
      </w:r>
    </w:p>
  </w:footnote>
  <w:footnote w:id="49">
    <w:p w14:paraId="673E9D37" w14:textId="77777777" w:rsidR="006E5E78" w:rsidRDefault="006E5E78" w:rsidP="00D153CF">
      <w:pPr>
        <w:pStyle w:val="FootnoteText"/>
      </w:pPr>
      <w:r>
        <w:rPr>
          <w:rStyle w:val="FootnoteReference"/>
        </w:rPr>
        <w:footnoteRef/>
      </w:r>
      <w:r>
        <w:t>Using TDM data of Indian commodity imports that similarly correspond with commodities produced by Australia’s ‘</w:t>
      </w:r>
      <w:r w:rsidRPr="00C47238">
        <w:t>Nursery and Floriculture Production</w:t>
      </w:r>
      <w:r>
        <w:t>’, ‘</w:t>
      </w:r>
      <w:r w:rsidRPr="004A53D3">
        <w:t>Mushroom and Vegetable Growing</w:t>
      </w:r>
      <w:r>
        <w:t>’, ‘</w:t>
      </w:r>
      <w:r w:rsidRPr="004A53D3">
        <w:t>Fruit and Tree Nut Growing</w:t>
      </w:r>
      <w:r>
        <w:t>’, ‘</w:t>
      </w:r>
      <w:r w:rsidRPr="004A53D3">
        <w:t>Fruit and Vegetable Processing</w:t>
      </w:r>
      <w:r>
        <w:t>’ industry sectors (ABS ANZSIC codes 011, 012, 013 and 1140, respectively).</w:t>
      </w:r>
    </w:p>
  </w:footnote>
  <w:footnote w:id="50">
    <w:p w14:paraId="1AA47111" w14:textId="53B8D45F" w:rsidR="006E5E78" w:rsidRDefault="006E5E78">
      <w:pPr>
        <w:pStyle w:val="FootnoteText"/>
      </w:pPr>
      <w:r w:rsidRPr="00762A59">
        <w:rPr>
          <w:rStyle w:val="FootnoteReference"/>
        </w:rPr>
        <w:footnoteRef/>
      </w:r>
      <w:r w:rsidRPr="00762A59">
        <w:t xml:space="preserve"> Ibid.</w:t>
      </w:r>
    </w:p>
  </w:footnote>
  <w:footnote w:id="51">
    <w:p w14:paraId="25BC6E4F" w14:textId="77777777" w:rsidR="006E5E78" w:rsidRDefault="006E5E78" w:rsidP="0072626B">
      <w:pPr>
        <w:pStyle w:val="FootnoteText"/>
      </w:pPr>
      <w:r>
        <w:rPr>
          <w:rStyle w:val="FootnoteReference"/>
        </w:rPr>
        <w:footnoteRef/>
      </w:r>
      <w:r>
        <w:t xml:space="preserve"> ABARES, Agricultural commodities March 2022 </w:t>
      </w:r>
    </w:p>
  </w:footnote>
  <w:footnote w:id="52">
    <w:p w14:paraId="4FCDC454" w14:textId="77777777" w:rsidR="006E5E78" w:rsidRDefault="006E5E78" w:rsidP="00810E35">
      <w:pPr>
        <w:pStyle w:val="FootnoteText"/>
      </w:pPr>
      <w:r>
        <w:rPr>
          <w:rStyle w:val="FootnoteReference"/>
        </w:rPr>
        <w:footnoteRef/>
      </w:r>
      <w:r>
        <w:t xml:space="preserve"> Department of Agriculture, Water and the Environment, Cotton Export snapshot, December 2021 </w:t>
      </w:r>
    </w:p>
  </w:footnote>
  <w:footnote w:id="53">
    <w:p w14:paraId="23F1B72A" w14:textId="77777777" w:rsidR="006E5E78" w:rsidRDefault="006E5E78" w:rsidP="00810E35">
      <w:pPr>
        <w:pStyle w:val="FootnoteText"/>
      </w:pPr>
      <w:r>
        <w:rPr>
          <w:rStyle w:val="FootnoteReference"/>
        </w:rPr>
        <w:footnoteRef/>
      </w:r>
      <w:r>
        <w:t xml:space="preserve"> Government of India, Department of Commerce </w:t>
      </w:r>
      <w:hyperlink r:id="rId36" w:history="1">
        <w:r>
          <w:rPr>
            <w:rStyle w:val="Hyperlink"/>
          </w:rPr>
          <w:t>(indiantradeportal.in)</w:t>
        </w:r>
      </w:hyperlink>
    </w:p>
  </w:footnote>
  <w:footnote w:id="54">
    <w:p w14:paraId="6353ADAC" w14:textId="1EC6A434" w:rsidR="006E5E78" w:rsidRPr="00762A59" w:rsidRDefault="006E5E78" w:rsidP="00A5588B">
      <w:pPr>
        <w:spacing w:after="0"/>
        <w:rPr>
          <w:sz w:val="18"/>
          <w:szCs w:val="18"/>
        </w:rPr>
      </w:pPr>
      <w:r w:rsidRPr="00762A59">
        <w:rPr>
          <w:rStyle w:val="FootnoteReference"/>
          <w:sz w:val="20"/>
          <w:szCs w:val="20"/>
        </w:rPr>
        <w:footnoteRef/>
      </w:r>
      <w:r w:rsidRPr="00762A59">
        <w:rPr>
          <w:sz w:val="20"/>
          <w:szCs w:val="20"/>
        </w:rPr>
        <w:t xml:space="preserve"> Department of Agriculture, </w:t>
      </w:r>
      <w:proofErr w:type="gramStart"/>
      <w:r w:rsidRPr="00762A59">
        <w:rPr>
          <w:sz w:val="20"/>
          <w:szCs w:val="20"/>
        </w:rPr>
        <w:t>Wat</w:t>
      </w:r>
      <w:r>
        <w:rPr>
          <w:sz w:val="20"/>
          <w:szCs w:val="20"/>
        </w:rPr>
        <w:t>e</w:t>
      </w:r>
      <w:r w:rsidRPr="00762A59">
        <w:rPr>
          <w:sz w:val="20"/>
          <w:szCs w:val="20"/>
        </w:rPr>
        <w:t>r</w:t>
      </w:r>
      <w:proofErr w:type="gramEnd"/>
      <w:r w:rsidRPr="00762A59">
        <w:rPr>
          <w:sz w:val="20"/>
          <w:szCs w:val="20"/>
        </w:rPr>
        <w:t xml:space="preserve"> and the Environment, </w:t>
      </w:r>
      <w:r w:rsidRPr="00762A59">
        <w:rPr>
          <w:i/>
          <w:iCs/>
          <w:sz w:val="20"/>
          <w:szCs w:val="20"/>
        </w:rPr>
        <w:t xml:space="preserve">ABARES: Insights, </w:t>
      </w:r>
      <w:r w:rsidRPr="00762A59">
        <w:rPr>
          <w:sz w:val="20"/>
          <w:szCs w:val="20"/>
        </w:rPr>
        <w:t xml:space="preserve">Issue 2, 2020 - </w:t>
      </w:r>
      <w:hyperlink r:id="rId37">
        <w:r w:rsidRPr="00762A59">
          <w:rPr>
            <w:rStyle w:val="Hyperlink"/>
            <w:rFonts w:ascii="Calibri" w:eastAsia="Calibri" w:hAnsi="Calibri" w:cs="Calibri"/>
            <w:sz w:val="20"/>
            <w:szCs w:val="20"/>
          </w:rPr>
          <w:t>0 (sirsidynix.net.au)</w:t>
        </w:r>
      </w:hyperlink>
    </w:p>
  </w:footnote>
  <w:footnote w:id="55">
    <w:p w14:paraId="1DB0829B" w14:textId="77777777" w:rsidR="006E5E78" w:rsidRPr="00762A59" w:rsidRDefault="006E5E78" w:rsidP="00561300">
      <w:pPr>
        <w:pStyle w:val="FootnoteText"/>
      </w:pPr>
      <w:r w:rsidRPr="00762A59">
        <w:rPr>
          <w:rStyle w:val="FootnoteReference"/>
        </w:rPr>
        <w:footnoteRef/>
      </w:r>
      <w:r w:rsidRPr="00762A59">
        <w:t xml:space="preserve"> </w:t>
      </w:r>
      <w:hyperlink r:id="rId38" w:history="1">
        <w:r w:rsidRPr="00762A59">
          <w:rPr>
            <w:rStyle w:val="Hyperlink"/>
          </w:rPr>
          <w:t>The future of the Australian processed food sector – Parliament of Australia (aph.gov.au)</w:t>
        </w:r>
      </w:hyperlink>
    </w:p>
  </w:footnote>
  <w:footnote w:id="56">
    <w:p w14:paraId="3971BA17" w14:textId="77777777" w:rsidR="006E5E78" w:rsidRDefault="006E5E78" w:rsidP="00215D89">
      <w:pPr>
        <w:pStyle w:val="FootnoteText"/>
      </w:pPr>
      <w:r w:rsidRPr="00762A59">
        <w:rPr>
          <w:rStyle w:val="FootnoteReference"/>
        </w:rPr>
        <w:footnoteRef/>
      </w:r>
      <w:r w:rsidRPr="00762A59">
        <w:t xml:space="preserve"> </w:t>
      </w:r>
      <w:hyperlink r:id="rId39" w:history="1">
        <w:r w:rsidRPr="00762A59">
          <w:rPr>
            <w:rStyle w:val="Hyperlink"/>
          </w:rPr>
          <w:t>Inquiry into Australia's food processing sector – Parliament of Australia (aph.gov.au)</w:t>
        </w:r>
      </w:hyperlink>
    </w:p>
  </w:footnote>
  <w:footnote w:id="57">
    <w:p w14:paraId="03795EE7" w14:textId="77777777" w:rsidR="006E5E78" w:rsidRPr="00762A59" w:rsidRDefault="006E5E78" w:rsidP="00EB5EF4">
      <w:pPr>
        <w:pStyle w:val="FootnoteText"/>
      </w:pPr>
      <w:r w:rsidRPr="00762A59">
        <w:rPr>
          <w:rStyle w:val="FootnoteReference"/>
        </w:rPr>
        <w:footnoteRef/>
      </w:r>
      <w:r w:rsidRPr="00762A59">
        <w:t xml:space="preserve"> Kelly, A. (2022) “Construction in Australia”, </w:t>
      </w:r>
      <w:r w:rsidRPr="00762A59">
        <w:rPr>
          <w:i/>
          <w:iCs/>
        </w:rPr>
        <w:t>Australia Industry (ANZSIC) Report E / Construction</w:t>
      </w:r>
      <w:r w:rsidRPr="00762A59">
        <w:t xml:space="preserve">, </w:t>
      </w:r>
      <w:hyperlink r:id="rId40" w:history="1">
        <w:r w:rsidRPr="00762A59">
          <w:rPr>
            <w:rStyle w:val="Hyperlink"/>
          </w:rPr>
          <w:t>https://my.ibisworld.com/au/en/industry/e/about</w:t>
        </w:r>
      </w:hyperlink>
      <w:r w:rsidRPr="00762A59">
        <w:t xml:space="preserve"> </w:t>
      </w:r>
    </w:p>
  </w:footnote>
  <w:footnote w:id="58">
    <w:p w14:paraId="623A699B" w14:textId="77777777" w:rsidR="006E5E78" w:rsidRDefault="006E5E78" w:rsidP="00EB5EF4">
      <w:pPr>
        <w:pStyle w:val="FootnoteText"/>
      </w:pPr>
      <w:r w:rsidRPr="00762A59">
        <w:rPr>
          <w:rStyle w:val="FootnoteReference"/>
        </w:rPr>
        <w:footnoteRef/>
      </w:r>
      <w:r w:rsidRPr="00762A59">
        <w:t xml:space="preserve">Baikie, V (2021), “Iron Smelting and Steel Manufacturing in Australia”, </w:t>
      </w:r>
      <w:r w:rsidRPr="00762A59">
        <w:rPr>
          <w:i/>
          <w:iCs/>
        </w:rPr>
        <w:t>Australia Industry (ANZSIC) Report C2110 / Manufacturing</w:t>
      </w:r>
      <w:r w:rsidRPr="00762A59">
        <w:t xml:space="preserve">, </w:t>
      </w:r>
      <w:hyperlink r:id="rId41" w:history="1">
        <w:r w:rsidRPr="00762A59">
          <w:rPr>
            <w:rStyle w:val="Hyperlink"/>
            <w:color w:val="auto"/>
          </w:rPr>
          <w:t>https://my.ibisworld.com/au/en/industry/c2110/industry-at-a-glance</w:t>
        </w:r>
      </w:hyperlink>
      <w:r>
        <w:t xml:space="preserve"> </w:t>
      </w:r>
    </w:p>
  </w:footnote>
  <w:footnote w:id="59">
    <w:p w14:paraId="6FC213A3" w14:textId="77777777" w:rsidR="006E5E78" w:rsidRPr="00762A59" w:rsidRDefault="006E5E78" w:rsidP="00BD53D9">
      <w:pPr>
        <w:pStyle w:val="FootnoteText"/>
      </w:pPr>
      <w:r w:rsidRPr="00762A59">
        <w:rPr>
          <w:rStyle w:val="FootnoteReference"/>
        </w:rPr>
        <w:footnoteRef/>
      </w:r>
      <w:r w:rsidRPr="00762A59">
        <w:t xml:space="preserve"> DFAT, </w:t>
      </w:r>
      <w:r w:rsidRPr="00762A59">
        <w:rPr>
          <w:i/>
          <w:iCs/>
        </w:rPr>
        <w:t>Market Insights: India</w:t>
      </w:r>
      <w:r w:rsidRPr="00762A59">
        <w:t xml:space="preserve">, 2021, page 6 - </w:t>
      </w:r>
      <w:hyperlink r:id="rId42" w:history="1">
        <w:r w:rsidRPr="00762A59">
          <w:rPr>
            <w:rStyle w:val="Hyperlink"/>
          </w:rPr>
          <w:t>India Market Insights 2021 (dfat.gov.au)</w:t>
        </w:r>
      </w:hyperlink>
    </w:p>
  </w:footnote>
  <w:footnote w:id="60">
    <w:p w14:paraId="0C9082A6" w14:textId="77777777" w:rsidR="006E5E78" w:rsidRPr="00E061FD" w:rsidRDefault="006E5E78" w:rsidP="0039579B">
      <w:pPr>
        <w:pStyle w:val="FootnoteText"/>
      </w:pPr>
      <w:r w:rsidRPr="00762A59">
        <w:rPr>
          <w:rStyle w:val="FootnoteReference"/>
        </w:rPr>
        <w:footnoteRef/>
      </w:r>
      <w:r w:rsidRPr="00762A59">
        <w:t xml:space="preserve"> Australian Government, </w:t>
      </w:r>
      <w:r w:rsidRPr="00762A59">
        <w:rPr>
          <w:i/>
          <w:iCs/>
        </w:rPr>
        <w:t>Non-Tariff Barriers Explained</w:t>
      </w:r>
      <w:r w:rsidRPr="00762A59">
        <w:t xml:space="preserve"> - </w:t>
      </w:r>
      <w:hyperlink r:id="rId43" w:history="1">
        <w:r w:rsidRPr="00762A59">
          <w:rPr>
            <w:rStyle w:val="Hyperlink"/>
          </w:rPr>
          <w:t>Non-Tariff Measures and Trade Barriers | Trade Barriers</w:t>
        </w:r>
      </w:hyperlink>
    </w:p>
  </w:footnote>
  <w:footnote w:id="61">
    <w:p w14:paraId="07CDFCF8" w14:textId="77777777" w:rsidR="006E5E78" w:rsidRDefault="006E5E78" w:rsidP="00982D7B">
      <w:pPr>
        <w:pStyle w:val="FootnoteText"/>
      </w:pPr>
      <w:r>
        <w:rPr>
          <w:rStyle w:val="FootnoteReference"/>
        </w:rPr>
        <w:footnoteRef/>
      </w:r>
      <w:r>
        <w:t xml:space="preserve"> </w:t>
      </w:r>
      <w:hyperlink r:id="rId44" w:history="1">
        <w:r>
          <w:rPr>
            <w:rStyle w:val="Hyperlink"/>
          </w:rPr>
          <w:t>Things You Can’t Drop on Your Feet: An overview of Australia’s services sector productivity - PC Productivity Insights Productivity Commission</w:t>
        </w:r>
      </w:hyperlink>
    </w:p>
  </w:footnote>
  <w:footnote w:id="62">
    <w:p w14:paraId="4929B07B" w14:textId="5364C215" w:rsidR="006E5E78" w:rsidRDefault="006E5E78">
      <w:pPr>
        <w:pStyle w:val="FootnoteText"/>
      </w:pPr>
      <w:r>
        <w:rPr>
          <w:rStyle w:val="FootnoteReference"/>
        </w:rPr>
        <w:footnoteRef/>
      </w:r>
      <w:r>
        <w:t xml:space="preserve"> Ibid</w:t>
      </w:r>
    </w:p>
  </w:footnote>
  <w:footnote w:id="63">
    <w:p w14:paraId="2713AD0D" w14:textId="77777777" w:rsidR="006E5E78" w:rsidRPr="00762A59" w:rsidRDefault="006E5E78" w:rsidP="00CA4A72">
      <w:pPr>
        <w:pStyle w:val="FootnoteText"/>
      </w:pPr>
      <w:r w:rsidRPr="00762A59">
        <w:rPr>
          <w:rStyle w:val="FootnoteReference"/>
        </w:rPr>
        <w:footnoteRef/>
      </w:r>
      <w:r w:rsidRPr="00762A59">
        <w:t xml:space="preserve"> </w:t>
      </w:r>
      <w:hyperlink r:id="rId45" w:history="1">
        <w:r w:rsidRPr="00762A59">
          <w:rPr>
            <w:rStyle w:val="Hyperlink"/>
          </w:rPr>
          <w:t>WTO | 2021 News items - OECD, WTO issue joint study on economic benefits of new services domestic regulation deal</w:t>
        </w:r>
      </w:hyperlink>
    </w:p>
  </w:footnote>
  <w:footnote w:id="64">
    <w:p w14:paraId="2C7CE2B3" w14:textId="5D5641E6" w:rsidR="006E5E78" w:rsidRDefault="006E5E78" w:rsidP="00B9310D">
      <w:pPr>
        <w:pStyle w:val="FootnoteText"/>
      </w:pPr>
      <w:r>
        <w:rPr>
          <w:rStyle w:val="FootnoteReference"/>
        </w:rPr>
        <w:footnoteRef/>
      </w:r>
      <w:r>
        <w:t xml:space="preserve"> </w:t>
      </w:r>
      <w:hyperlink r:id="rId46" w:history="1">
        <w:r>
          <w:rPr>
            <w:rStyle w:val="Hyperlink"/>
          </w:rPr>
          <w:t xml:space="preserve">Services and Performance of the Indian Economy: Analysis and Policy Options | OECD Trade Policy Papers | OECD </w:t>
        </w:r>
        <w:proofErr w:type="spellStart"/>
        <w:r>
          <w:rPr>
            <w:rStyle w:val="Hyperlink"/>
          </w:rPr>
          <w:t>iLibrary</w:t>
        </w:r>
        <w:proofErr w:type="spellEnd"/>
        <w:r>
          <w:rPr>
            <w:rStyle w:val="Hyperlink"/>
          </w:rPr>
          <w:t xml:space="preserve"> (oecd-ilibrary.org)</w:t>
        </w:r>
      </w:hyperlink>
    </w:p>
  </w:footnote>
  <w:footnote w:id="65">
    <w:p w14:paraId="6F93A96B" w14:textId="14804713" w:rsidR="006E5E78" w:rsidRDefault="006E5E78">
      <w:pPr>
        <w:pStyle w:val="FootnoteText"/>
      </w:pPr>
      <w:r>
        <w:rPr>
          <w:rStyle w:val="FootnoteReference"/>
        </w:rPr>
        <w:footnoteRef/>
      </w:r>
      <w:r>
        <w:t xml:space="preserve"> </w:t>
      </w:r>
      <w:hyperlink r:id="rId47" w:history="1">
        <w:r>
          <w:rPr>
            <w:rStyle w:val="Hyperlink"/>
          </w:rPr>
          <w:t>[STRI 2021: India] (oecd.org)</w:t>
        </w:r>
      </w:hyperlink>
      <w:r>
        <w:t>.</w:t>
      </w:r>
    </w:p>
  </w:footnote>
  <w:footnote w:id="66">
    <w:p w14:paraId="6EC4922D" w14:textId="7B2EDE66" w:rsidR="006E5E78" w:rsidRDefault="006E5E78">
      <w:pPr>
        <w:pStyle w:val="FootnoteText"/>
      </w:pPr>
      <w:r>
        <w:rPr>
          <w:rStyle w:val="FootnoteReference"/>
        </w:rPr>
        <w:footnoteRef/>
      </w:r>
      <w:r>
        <w:t xml:space="preserve"> </w:t>
      </w:r>
      <w:hyperlink r:id="rId48" w:history="1">
        <w:r>
          <w:rPr>
            <w:rStyle w:val="Hyperlink"/>
          </w:rPr>
          <w:t xml:space="preserve">OECD Services Trade Restrictiveness Index: Policy Trends up to 2022 by OECD - </w:t>
        </w:r>
        <w:proofErr w:type="spellStart"/>
        <w:r>
          <w:rPr>
            <w:rStyle w:val="Hyperlink"/>
          </w:rPr>
          <w:t>Issuu</w:t>
        </w:r>
        <w:proofErr w:type="spellEnd"/>
      </w:hyperlink>
    </w:p>
  </w:footnote>
  <w:footnote w:id="67">
    <w:p w14:paraId="175935BA" w14:textId="77777777" w:rsidR="006E5E78" w:rsidRPr="00762A59" w:rsidRDefault="006E5E78" w:rsidP="0060429E">
      <w:pPr>
        <w:pStyle w:val="FootnoteText"/>
      </w:pPr>
      <w:r w:rsidRPr="00762A59">
        <w:rPr>
          <w:rStyle w:val="FootnoteReference"/>
        </w:rPr>
        <w:footnoteRef/>
      </w:r>
      <w:r w:rsidRPr="00762A59">
        <w:t xml:space="preserve"> Ibid</w:t>
      </w:r>
    </w:p>
  </w:footnote>
  <w:footnote w:id="68">
    <w:p w14:paraId="1FFB1F91" w14:textId="77777777" w:rsidR="006E5E78" w:rsidRPr="00762A59" w:rsidRDefault="006E5E78" w:rsidP="009D216B">
      <w:pPr>
        <w:pStyle w:val="FootnoteText"/>
      </w:pPr>
      <w:r w:rsidRPr="00762A59">
        <w:rPr>
          <w:rStyle w:val="FootnoteReference"/>
        </w:rPr>
        <w:footnoteRef/>
      </w:r>
      <w:r w:rsidRPr="00762A59">
        <w:t xml:space="preserve"> </w:t>
      </w:r>
      <w:hyperlink r:id="rId49" w:history="1">
        <w:r w:rsidRPr="00762A59">
          <w:rPr>
            <w:rStyle w:val="Hyperlink"/>
          </w:rPr>
          <w:t>IBISWorld - Industry Market Research, Reports, &amp; Statistics</w:t>
        </w:r>
      </w:hyperlink>
    </w:p>
  </w:footnote>
  <w:footnote w:id="69">
    <w:p w14:paraId="7FF6B079" w14:textId="77777777" w:rsidR="006E5E78" w:rsidRDefault="006E5E78" w:rsidP="009D216B">
      <w:pPr>
        <w:pStyle w:val="FootnoteText"/>
      </w:pPr>
      <w:r w:rsidRPr="00762A59">
        <w:rPr>
          <w:rStyle w:val="FootnoteReference"/>
        </w:rPr>
        <w:footnoteRef/>
      </w:r>
      <w:r w:rsidRPr="00762A59">
        <w:t xml:space="preserve"> Ibid</w:t>
      </w:r>
    </w:p>
  </w:footnote>
  <w:footnote w:id="70">
    <w:p w14:paraId="3C9CA2D4" w14:textId="77777777" w:rsidR="006E5E78" w:rsidRDefault="006E5E78" w:rsidP="005C01A6">
      <w:pPr>
        <w:pStyle w:val="FootnoteText"/>
      </w:pPr>
      <w:r>
        <w:rPr>
          <w:rStyle w:val="FootnoteReference"/>
        </w:rPr>
        <w:footnoteRef/>
      </w:r>
      <w:r>
        <w:t xml:space="preserve"> “Sensitive sectors” includes </w:t>
      </w:r>
      <w:r w:rsidRPr="003F0103">
        <w:t>media</w:t>
      </w:r>
      <w:r>
        <w:t>,</w:t>
      </w:r>
      <w:r w:rsidRPr="003F0103">
        <w:t xml:space="preserve"> telecommunications</w:t>
      </w:r>
      <w:r>
        <w:t>,</w:t>
      </w:r>
      <w:r w:rsidRPr="003F0103">
        <w:t xml:space="preserve"> transport</w:t>
      </w:r>
      <w:r>
        <w:t>,</w:t>
      </w:r>
      <w:r w:rsidRPr="003F0103">
        <w:t xml:space="preserve"> defence and military related industries and activities</w:t>
      </w:r>
      <w:r>
        <w:t>,</w:t>
      </w:r>
      <w:r w:rsidRPr="003F0103">
        <w:t xml:space="preserve"> encryption and securities technologies and communications systems</w:t>
      </w:r>
      <w:r>
        <w:t>,</w:t>
      </w:r>
      <w:r w:rsidRPr="003F0103">
        <w:t xml:space="preserve"> and the extraction of uranium or plutonium</w:t>
      </w:r>
      <w:r>
        <w:t>,</w:t>
      </w:r>
      <w:r w:rsidRPr="003F0103">
        <w:t xml:space="preserve"> or the operation of nuclear facilities</w:t>
      </w:r>
      <w:r>
        <w:t xml:space="preserve">. See further: </w:t>
      </w:r>
      <w:r>
        <w:rPr>
          <w:i/>
          <w:iCs/>
        </w:rPr>
        <w:t>Foreign Investment Review Board – General Guidance | Monetary Thresholds</w:t>
      </w:r>
      <w:r>
        <w:t xml:space="preserve"> at </w:t>
      </w:r>
      <w:hyperlink r:id="rId50" w:history="1">
        <w:r w:rsidRPr="003D0855">
          <w:rPr>
            <w:rStyle w:val="Hyperlink"/>
          </w:rPr>
          <w:t>https://firb.gov.au/general-guidance/monetary-thresholds</w:t>
        </w:r>
      </w:hyperlink>
      <w:r>
        <w:t xml:space="preserve">. </w:t>
      </w:r>
    </w:p>
  </w:footnote>
  <w:footnote w:id="71">
    <w:p w14:paraId="60D5906A" w14:textId="6BE3AF5D" w:rsidR="006E5E78" w:rsidRDefault="006E5E78">
      <w:pPr>
        <w:pStyle w:val="FootnoteText"/>
      </w:pPr>
      <w:r>
        <w:rPr>
          <w:rStyle w:val="FootnoteReference"/>
        </w:rPr>
        <w:footnoteRef/>
      </w:r>
      <w:r>
        <w:t xml:space="preserve"> </w:t>
      </w:r>
      <w:hyperlink r:id="rId51" w:history="1">
        <w:r w:rsidRPr="00762A59">
          <w:rPr>
            <w:rStyle w:val="Hyperlink"/>
          </w:rPr>
          <w:t>IBISWorld - Industry Market Research, Reports, &amp; Statistics</w:t>
        </w:r>
      </w:hyperlink>
    </w:p>
  </w:footnote>
  <w:footnote w:id="72">
    <w:p w14:paraId="40912BF3" w14:textId="26C89A75" w:rsidR="006E5E78" w:rsidRPr="00762A59" w:rsidRDefault="006E5E78" w:rsidP="008272E5">
      <w:pPr>
        <w:pStyle w:val="FootnoteText"/>
      </w:pPr>
      <w:r w:rsidRPr="00762A59">
        <w:rPr>
          <w:rStyle w:val="FootnoteReference"/>
        </w:rPr>
        <w:footnoteRef/>
      </w:r>
      <w:r w:rsidRPr="00762A59">
        <w:t xml:space="preserve"> </w:t>
      </w:r>
      <w:hyperlink r:id="rId52" w:history="1">
        <w:r>
          <w:rPr>
            <w:rStyle w:val="Hyperlink"/>
          </w:rPr>
          <w:t>Ibid</w:t>
        </w:r>
      </w:hyperlink>
    </w:p>
  </w:footnote>
  <w:footnote w:id="73">
    <w:p w14:paraId="61B59C35" w14:textId="77777777" w:rsidR="006E5E78" w:rsidRPr="00762A59" w:rsidRDefault="006E5E78" w:rsidP="00071C88">
      <w:pPr>
        <w:pStyle w:val="FootnoteText"/>
      </w:pPr>
      <w:r w:rsidRPr="00762A59">
        <w:rPr>
          <w:rStyle w:val="FootnoteReference"/>
        </w:rPr>
        <w:footnoteRef/>
      </w:r>
      <w:r w:rsidRPr="00762A59">
        <w:t xml:space="preserve"> </w:t>
      </w:r>
      <w:hyperlink r:id="rId53" w:history="1">
        <w:r w:rsidRPr="00762A59">
          <w:rPr>
            <w:rStyle w:val="Hyperlink"/>
          </w:rPr>
          <w:t>Telecom Industry in India (ibef.org)</w:t>
        </w:r>
      </w:hyperlink>
    </w:p>
  </w:footnote>
  <w:footnote w:id="74">
    <w:p w14:paraId="681D8FDB" w14:textId="4EAF6CCA" w:rsidR="006E5E78" w:rsidRDefault="006E5E78">
      <w:pPr>
        <w:pStyle w:val="FootnoteText"/>
      </w:pPr>
      <w:r>
        <w:rPr>
          <w:rStyle w:val="FootnoteReference"/>
        </w:rPr>
        <w:footnoteRef/>
      </w:r>
      <w:r>
        <w:t xml:space="preserve"> </w:t>
      </w:r>
      <w:hyperlink r:id="rId54" w:history="1">
        <w:r>
          <w:rPr>
            <w:rStyle w:val="Hyperlink"/>
          </w:rPr>
          <w:t>Research report - Service Exports Productivity Commission (pc.gov.au)</w:t>
        </w:r>
      </w:hyperlink>
    </w:p>
  </w:footnote>
  <w:footnote w:id="75">
    <w:p w14:paraId="01E2773B" w14:textId="77777777" w:rsidR="006E5E78" w:rsidRDefault="006E5E78" w:rsidP="0046636C">
      <w:pPr>
        <w:pStyle w:val="FootnoteText"/>
      </w:pPr>
      <w:r>
        <w:rPr>
          <w:rStyle w:val="FootnoteReference"/>
        </w:rPr>
        <w:footnoteRef/>
      </w:r>
      <w:r>
        <w:t xml:space="preserve"> </w:t>
      </w:r>
      <w:hyperlink r:id="rId55" w:anchor=":~:text=The%20Law%20Council%20is%20a,as%20%27Constituent%20Bodies%27)." w:history="1">
        <w:r>
          <w:rPr>
            <w:rStyle w:val="Hyperlink"/>
          </w:rPr>
          <w:t>Our Constituent Bodies and Directors - Law Council of Australia</w:t>
        </w:r>
      </w:hyperlink>
    </w:p>
  </w:footnote>
  <w:footnote w:id="76">
    <w:p w14:paraId="0F367C7E" w14:textId="77777777" w:rsidR="006E5E78" w:rsidRDefault="006E5E78" w:rsidP="00071C88">
      <w:pPr>
        <w:pStyle w:val="FootnoteText"/>
      </w:pPr>
      <w:r>
        <w:rPr>
          <w:rStyle w:val="FootnoteReference"/>
        </w:rPr>
        <w:footnoteRef/>
      </w:r>
      <w:r>
        <w:t xml:space="preserve"> </w:t>
      </w:r>
      <w:hyperlink r:id="rId56" w:history="1">
        <w:r>
          <w:rPr>
            <w:rStyle w:val="Hyperlink"/>
          </w:rPr>
          <w:t>SCIENCE, TECHNOLOGY, ENGINEERING AND MATHEMATICS: AUSTRALIA'S FUTURE | Chief Scientist</w:t>
        </w:r>
      </w:hyperlink>
    </w:p>
  </w:footnote>
  <w:footnote w:id="77">
    <w:p w14:paraId="38529C14" w14:textId="77777777" w:rsidR="006E5E78" w:rsidRDefault="006E5E78" w:rsidP="00071C88">
      <w:pPr>
        <w:pStyle w:val="FootnoteText"/>
      </w:pPr>
      <w:r>
        <w:rPr>
          <w:rStyle w:val="FootnoteReference"/>
        </w:rPr>
        <w:footnoteRef/>
      </w:r>
      <w:r>
        <w:t xml:space="preserve"> </w:t>
      </w:r>
      <w:hyperlink r:id="rId57" w:history="1">
        <w:r>
          <w:rPr>
            <w:rStyle w:val="Hyperlink"/>
          </w:rPr>
          <w:t>Why is STEM important? - Department of Education, Skills and Employment, Australian Government (dese.gov.au)</w:t>
        </w:r>
      </w:hyperlink>
    </w:p>
  </w:footnote>
  <w:footnote w:id="78">
    <w:p w14:paraId="71904628" w14:textId="7DCAFAC2" w:rsidR="006E5E78" w:rsidRDefault="006E5E78">
      <w:pPr>
        <w:pStyle w:val="FootnoteText"/>
      </w:pPr>
      <w:r>
        <w:rPr>
          <w:rStyle w:val="FootnoteReference"/>
        </w:rPr>
        <w:footnoteRef/>
      </w:r>
      <w:r>
        <w:t xml:space="preserve"> </w:t>
      </w:r>
      <w:hyperlink r:id="rId58" w:history="1">
        <w:r>
          <w:rPr>
            <w:rStyle w:val="Hyperlink"/>
          </w:rPr>
          <w:t xml:space="preserve">Chefs | </w:t>
        </w:r>
        <w:proofErr w:type="spellStart"/>
        <w:r>
          <w:rPr>
            <w:rStyle w:val="Hyperlink"/>
          </w:rPr>
          <w:t>JobOutlook</w:t>
        </w:r>
        <w:proofErr w:type="spellEnd"/>
      </w:hyperlink>
    </w:p>
  </w:footnote>
  <w:footnote w:id="79">
    <w:p w14:paraId="0E359760" w14:textId="3E488A2E" w:rsidR="006E5E78" w:rsidRDefault="006E5E78">
      <w:pPr>
        <w:pStyle w:val="FootnoteText"/>
      </w:pPr>
      <w:r>
        <w:rPr>
          <w:rStyle w:val="FootnoteReference"/>
        </w:rPr>
        <w:footnoteRef/>
      </w:r>
      <w:r>
        <w:t xml:space="preserve"> </w:t>
      </w:r>
      <w:hyperlink r:id="rId59" w:history="1">
        <w:r>
          <w:rPr>
            <w:rStyle w:val="Hyperlink"/>
          </w:rPr>
          <w:t xml:space="preserve">Fitness Instructors | </w:t>
        </w:r>
        <w:proofErr w:type="spellStart"/>
        <w:r>
          <w:rPr>
            <w:rStyle w:val="Hyperlink"/>
          </w:rPr>
          <w:t>JobOutlook</w:t>
        </w:r>
        <w:proofErr w:type="spellEnd"/>
      </w:hyperlink>
    </w:p>
  </w:footnote>
  <w:footnote w:id="80">
    <w:p w14:paraId="2C56460F" w14:textId="4ADA3523" w:rsidR="006E5E78" w:rsidRDefault="006E5E78">
      <w:pPr>
        <w:pStyle w:val="FootnoteText"/>
      </w:pPr>
      <w:r>
        <w:rPr>
          <w:rStyle w:val="FootnoteReference"/>
        </w:rPr>
        <w:footnoteRef/>
      </w:r>
      <w:r>
        <w:t xml:space="preserve"> </w:t>
      </w:r>
      <w:hyperlink r:id="rId60" w:history="1">
        <w:r>
          <w:rPr>
            <w:rStyle w:val="Hyperlink"/>
          </w:rPr>
          <w:t xml:space="preserve">Other Sports Coaches and Instructors | </w:t>
        </w:r>
        <w:proofErr w:type="spellStart"/>
        <w:r>
          <w:rPr>
            <w:rStyle w:val="Hyperlink"/>
          </w:rPr>
          <w:t>JobOutlook</w:t>
        </w:r>
        <w:proofErr w:type="spellEnd"/>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6E5E78" w14:paraId="6DE38B51" w14:textId="77777777" w:rsidTr="543832D4">
      <w:tc>
        <w:tcPr>
          <w:tcW w:w="3210" w:type="dxa"/>
        </w:tcPr>
        <w:p w14:paraId="3499ED3A" w14:textId="7ABF3768" w:rsidR="006E5E78" w:rsidRDefault="006E5E78" w:rsidP="543832D4">
          <w:pPr>
            <w:pStyle w:val="Header"/>
            <w:ind w:left="-115"/>
          </w:pPr>
        </w:p>
      </w:tc>
      <w:tc>
        <w:tcPr>
          <w:tcW w:w="3210" w:type="dxa"/>
        </w:tcPr>
        <w:p w14:paraId="1DCDB058" w14:textId="453C3228" w:rsidR="006E5E78" w:rsidRDefault="006E5E78" w:rsidP="543832D4">
          <w:pPr>
            <w:pStyle w:val="Header"/>
            <w:jc w:val="center"/>
          </w:pPr>
        </w:p>
      </w:tc>
      <w:tc>
        <w:tcPr>
          <w:tcW w:w="3210" w:type="dxa"/>
        </w:tcPr>
        <w:p w14:paraId="618194E2" w14:textId="47EC66E4" w:rsidR="006E5E78" w:rsidRDefault="006E5E78" w:rsidP="543832D4">
          <w:pPr>
            <w:pStyle w:val="Header"/>
            <w:ind w:right="-115"/>
            <w:jc w:val="right"/>
          </w:pPr>
        </w:p>
      </w:tc>
    </w:tr>
  </w:tbl>
  <w:p w14:paraId="1BECC540" w14:textId="06B486BE" w:rsidR="006E5E78" w:rsidRDefault="006E5E78" w:rsidP="543832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7961"/>
    <w:multiLevelType w:val="hybridMultilevel"/>
    <w:tmpl w:val="0130F4AC"/>
    <w:lvl w:ilvl="0" w:tplc="0C09000F">
      <w:start w:val="1"/>
      <w:numFmt w:val="decimal"/>
      <w:lvlText w:val="%1."/>
      <w:lvlJc w:val="left"/>
      <w:pPr>
        <w:ind w:left="360" w:hanging="360"/>
      </w:pPr>
    </w:lvl>
    <w:lvl w:ilvl="1" w:tplc="958221F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08235084"/>
    <w:multiLevelType w:val="hybridMultilevel"/>
    <w:tmpl w:val="41084874"/>
    <w:lvl w:ilvl="0" w:tplc="401E4414">
      <w:start w:val="10"/>
      <w:numFmt w:val="bullet"/>
      <w:lvlText w:val=""/>
      <w:lvlJc w:val="left"/>
      <w:pPr>
        <w:ind w:left="360" w:hanging="36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5D0F0C"/>
    <w:multiLevelType w:val="hybridMultilevel"/>
    <w:tmpl w:val="25A0E3B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B782A4B"/>
    <w:multiLevelType w:val="hybridMultilevel"/>
    <w:tmpl w:val="5FB2A702"/>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7BA7E32"/>
    <w:multiLevelType w:val="hybridMultilevel"/>
    <w:tmpl w:val="A888FB24"/>
    <w:lvl w:ilvl="0" w:tplc="FA728C0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15:restartNumberingAfterBreak="0">
    <w:nsid w:val="1A252EDD"/>
    <w:multiLevelType w:val="multilevel"/>
    <w:tmpl w:val="F87E9F9C"/>
    <w:lvl w:ilvl="0">
      <w:start w:val="1"/>
      <w:numFmt w:val="upperRoman"/>
      <w:lvlText w:val="%1."/>
      <w:lvlJc w:val="left"/>
      <w:pPr>
        <w:ind w:left="360" w:hanging="360"/>
      </w:pPr>
      <w:rPr>
        <w:rFonts w:asciiTheme="minorHAnsi" w:hAnsiTheme="minorHAnsi" w:cstheme="minorHAnsi" w:hint="default"/>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AB96279"/>
    <w:multiLevelType w:val="hybridMultilevel"/>
    <w:tmpl w:val="A09C183A"/>
    <w:lvl w:ilvl="0" w:tplc="2CEA98DC">
      <w:start w:val="8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F80132"/>
    <w:multiLevelType w:val="hybridMultilevel"/>
    <w:tmpl w:val="F89C1644"/>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3594256"/>
    <w:multiLevelType w:val="hybridMultilevel"/>
    <w:tmpl w:val="5FB2A702"/>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7F62567"/>
    <w:multiLevelType w:val="hybridMultilevel"/>
    <w:tmpl w:val="3424BAA0"/>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8821E0A"/>
    <w:multiLevelType w:val="hybridMultilevel"/>
    <w:tmpl w:val="25A0E3B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A080D72"/>
    <w:multiLevelType w:val="hybridMultilevel"/>
    <w:tmpl w:val="A888FB24"/>
    <w:lvl w:ilvl="0" w:tplc="FA728C0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3A800EE1"/>
    <w:multiLevelType w:val="multilevel"/>
    <w:tmpl w:val="281AF8BA"/>
    <w:lvl w:ilvl="0">
      <w:start w:val="1"/>
      <w:numFmt w:val="decimal"/>
      <w:lvlText w:val="%1."/>
      <w:lvlJc w:val="left"/>
      <w:pPr>
        <w:ind w:left="720" w:hanging="360"/>
      </w:pPr>
      <w:rPr>
        <w:rFonts w:asciiTheme="minorHAnsi" w:hAnsiTheme="minorHAnsi" w:cstheme="minorHAnsi" w:hint="default"/>
        <w:b/>
        <w:bCs/>
        <w:strike w:val="0"/>
        <w:dstrike w:val="0"/>
        <w:spacing w:val="16"/>
        <w:szCs w:val="24"/>
        <w:highlight w:val="white"/>
        <w:u w:val="none"/>
        <w:effect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DE3747C"/>
    <w:multiLevelType w:val="hybridMultilevel"/>
    <w:tmpl w:val="2B2A5960"/>
    <w:lvl w:ilvl="0" w:tplc="7908BA2E">
      <w:start w:val="1"/>
      <w:numFmt w:val="lowerRoman"/>
      <w:lvlText w:val="(%1)"/>
      <w:lvlJc w:val="left"/>
      <w:pPr>
        <w:ind w:left="2007" w:hanging="720"/>
      </w:pPr>
      <w:rPr>
        <w:rFonts w:hint="default"/>
      </w:r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14" w15:restartNumberingAfterBreak="0">
    <w:nsid w:val="3ED77F2C"/>
    <w:multiLevelType w:val="hybridMultilevel"/>
    <w:tmpl w:val="25A0E3BA"/>
    <w:lvl w:ilvl="0" w:tplc="FFFFFFFF">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F3A432F"/>
    <w:multiLevelType w:val="hybridMultilevel"/>
    <w:tmpl w:val="0DFE04E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15:restartNumberingAfterBreak="0">
    <w:nsid w:val="40C17D69"/>
    <w:multiLevelType w:val="hybridMultilevel"/>
    <w:tmpl w:val="563A629C"/>
    <w:lvl w:ilvl="0" w:tplc="8EDAB250">
      <w:start w:val="1"/>
      <w:numFmt w:val="decimal"/>
      <w:lvlText w:val="%1."/>
      <w:lvlJc w:val="left"/>
      <w:pPr>
        <w:ind w:left="360" w:hanging="360"/>
      </w:pPr>
      <w:rPr>
        <w:rFonts w:asciiTheme="minorHAnsi" w:hAnsiTheme="minorHAnsi" w:cstheme="minorHAnsi" w:hint="default"/>
        <w:b w:val="0"/>
        <w:bCs w:val="0"/>
        <w:i w:val="0"/>
        <w:iCs w:val="0"/>
        <w:color w:val="auto"/>
        <w:sz w:val="24"/>
        <w:szCs w:val="24"/>
      </w:rPr>
    </w:lvl>
    <w:lvl w:ilvl="1" w:tplc="244E1CB6">
      <w:start w:val="1"/>
      <w:numFmt w:val="decimal"/>
      <w:lvlText w:val="(%2)"/>
      <w:lvlJc w:val="left"/>
      <w:pPr>
        <w:ind w:left="1080" w:hanging="360"/>
      </w:pPr>
      <w:rPr>
        <w:rFonts w:asciiTheme="minorHAnsi" w:eastAsiaTheme="minorHAnsi" w:hAnsiTheme="minorHAnsi" w:cstheme="minorBidi"/>
      </w:rPr>
    </w:lvl>
    <w:lvl w:ilvl="2" w:tplc="DF4E342C">
      <w:start w:val="1"/>
      <w:numFmt w:val="lowerLetter"/>
      <w:lvlText w:val="(%3)"/>
      <w:lvlJc w:val="right"/>
      <w:pPr>
        <w:ind w:left="1800" w:hanging="180"/>
      </w:pPr>
      <w:rPr>
        <w:rFonts w:asciiTheme="minorHAnsi" w:eastAsiaTheme="minorHAnsi" w:hAnsiTheme="minorHAnsi" w:cstheme="minorBidi"/>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65D1B60"/>
    <w:multiLevelType w:val="hybridMultilevel"/>
    <w:tmpl w:val="E9EEFD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0A9261F"/>
    <w:multiLevelType w:val="hybridMultilevel"/>
    <w:tmpl w:val="499AEF00"/>
    <w:lvl w:ilvl="0" w:tplc="0C09000F">
      <w:start w:val="1"/>
      <w:numFmt w:val="decimal"/>
      <w:lvlText w:val="%1."/>
      <w:lvlJc w:val="left"/>
      <w:pPr>
        <w:ind w:left="360" w:hanging="360"/>
      </w:pPr>
    </w:lvl>
    <w:lvl w:ilvl="1" w:tplc="0C090017">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9" w15:restartNumberingAfterBreak="0">
    <w:nsid w:val="5D1A0606"/>
    <w:multiLevelType w:val="hybridMultilevel"/>
    <w:tmpl w:val="CDA4B026"/>
    <w:lvl w:ilvl="0" w:tplc="C1B4ACCE">
      <w:start w:val="24"/>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621E60C4"/>
    <w:multiLevelType w:val="hybridMultilevel"/>
    <w:tmpl w:val="44FAB4B2"/>
    <w:lvl w:ilvl="0" w:tplc="0C090019">
      <w:start w:val="1"/>
      <w:numFmt w:val="lowerLetter"/>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15:restartNumberingAfterBreak="0">
    <w:nsid w:val="625E712C"/>
    <w:multiLevelType w:val="hybridMultilevel"/>
    <w:tmpl w:val="51EC50E6"/>
    <w:lvl w:ilvl="0" w:tplc="6D2800F6">
      <w:start w:val="8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F27749"/>
    <w:multiLevelType w:val="hybridMultilevel"/>
    <w:tmpl w:val="25A0E3B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5CB6CB1"/>
    <w:multiLevelType w:val="hybridMultilevel"/>
    <w:tmpl w:val="5218BD7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704442FA"/>
    <w:multiLevelType w:val="hybridMultilevel"/>
    <w:tmpl w:val="5218BD7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78524458"/>
    <w:multiLevelType w:val="hybridMultilevel"/>
    <w:tmpl w:val="70BA0DB4"/>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7C563BC4"/>
    <w:multiLevelType w:val="hybridMultilevel"/>
    <w:tmpl w:val="2EA02DFE"/>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abstractNumId w:val="16"/>
  </w:num>
  <w:num w:numId="2">
    <w:abstractNumId w:val="20"/>
  </w:num>
  <w:num w:numId="3">
    <w:abstractNumId w:val="4"/>
  </w:num>
  <w:num w:numId="4">
    <w:abstractNumId w:val="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5"/>
  </w:num>
  <w:num w:numId="10">
    <w:abstractNumId w:val="24"/>
  </w:num>
  <w:num w:numId="11">
    <w:abstractNumId w:val="23"/>
  </w:num>
  <w:num w:numId="12">
    <w:abstractNumId w:val="14"/>
  </w:num>
  <w:num w:numId="13">
    <w:abstractNumId w:val="2"/>
  </w:num>
  <w:num w:numId="14">
    <w:abstractNumId w:val="22"/>
  </w:num>
  <w:num w:numId="15">
    <w:abstractNumId w:val="10"/>
  </w:num>
  <w:num w:numId="16">
    <w:abstractNumId w:val="13"/>
  </w:num>
  <w:num w:numId="17">
    <w:abstractNumId w:val="19"/>
  </w:num>
  <w:num w:numId="18">
    <w:abstractNumId w:val="17"/>
  </w:num>
  <w:num w:numId="19">
    <w:abstractNumId w:val="11"/>
  </w:num>
  <w:num w:numId="20">
    <w:abstractNumId w:val="1"/>
  </w:num>
  <w:num w:numId="21">
    <w:abstractNumId w:val="9"/>
  </w:num>
  <w:num w:numId="22">
    <w:abstractNumId w:val="8"/>
  </w:num>
  <w:num w:numId="23">
    <w:abstractNumId w:val="26"/>
  </w:num>
  <w:num w:numId="24">
    <w:abstractNumId w:val="3"/>
  </w:num>
  <w:num w:numId="25">
    <w:abstractNumId w:val="6"/>
  </w:num>
  <w:num w:numId="26">
    <w:abstractNumId w:val="21"/>
  </w:num>
  <w:num w:numId="27">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0D"/>
    <w:rsid w:val="000010D3"/>
    <w:rsid w:val="00002B38"/>
    <w:rsid w:val="0000479F"/>
    <w:rsid w:val="00006983"/>
    <w:rsid w:val="00006E43"/>
    <w:rsid w:val="0001036A"/>
    <w:rsid w:val="00010B29"/>
    <w:rsid w:val="00011596"/>
    <w:rsid w:val="000131AD"/>
    <w:rsid w:val="0001378B"/>
    <w:rsid w:val="00016949"/>
    <w:rsid w:val="0001716D"/>
    <w:rsid w:val="000218AA"/>
    <w:rsid w:val="00021EE8"/>
    <w:rsid w:val="00022201"/>
    <w:rsid w:val="0002564F"/>
    <w:rsid w:val="00027881"/>
    <w:rsid w:val="00027BBE"/>
    <w:rsid w:val="00030801"/>
    <w:rsid w:val="00031111"/>
    <w:rsid w:val="00031850"/>
    <w:rsid w:val="000322BD"/>
    <w:rsid w:val="000334A1"/>
    <w:rsid w:val="00034BE2"/>
    <w:rsid w:val="00034C83"/>
    <w:rsid w:val="00035876"/>
    <w:rsid w:val="00035B85"/>
    <w:rsid w:val="00035F3D"/>
    <w:rsid w:val="0003620E"/>
    <w:rsid w:val="00036DC8"/>
    <w:rsid w:val="000402F9"/>
    <w:rsid w:val="00040BE2"/>
    <w:rsid w:val="00040EDC"/>
    <w:rsid w:val="00041523"/>
    <w:rsid w:val="00041C4F"/>
    <w:rsid w:val="00041D8F"/>
    <w:rsid w:val="000420A0"/>
    <w:rsid w:val="0004378F"/>
    <w:rsid w:val="0004420E"/>
    <w:rsid w:val="00044519"/>
    <w:rsid w:val="00044690"/>
    <w:rsid w:val="00044A52"/>
    <w:rsid w:val="000455D3"/>
    <w:rsid w:val="00046A52"/>
    <w:rsid w:val="000506CE"/>
    <w:rsid w:val="00050DB7"/>
    <w:rsid w:val="00051698"/>
    <w:rsid w:val="000518C0"/>
    <w:rsid w:val="00053473"/>
    <w:rsid w:val="000536B7"/>
    <w:rsid w:val="000538CA"/>
    <w:rsid w:val="00053EE0"/>
    <w:rsid w:val="00054853"/>
    <w:rsid w:val="00054A3A"/>
    <w:rsid w:val="000567A0"/>
    <w:rsid w:val="00056B1C"/>
    <w:rsid w:val="00056DF3"/>
    <w:rsid w:val="00057CDD"/>
    <w:rsid w:val="00060EA0"/>
    <w:rsid w:val="00061672"/>
    <w:rsid w:val="00061B62"/>
    <w:rsid w:val="00062118"/>
    <w:rsid w:val="0006274E"/>
    <w:rsid w:val="00062AA9"/>
    <w:rsid w:val="00062B3A"/>
    <w:rsid w:val="000639D4"/>
    <w:rsid w:val="00064C02"/>
    <w:rsid w:val="00066BBA"/>
    <w:rsid w:val="00066C4E"/>
    <w:rsid w:val="000718D3"/>
    <w:rsid w:val="00071C88"/>
    <w:rsid w:val="00071F17"/>
    <w:rsid w:val="00072285"/>
    <w:rsid w:val="00072289"/>
    <w:rsid w:val="000726EB"/>
    <w:rsid w:val="00073631"/>
    <w:rsid w:val="00073BE3"/>
    <w:rsid w:val="000743C7"/>
    <w:rsid w:val="000751B4"/>
    <w:rsid w:val="000757B1"/>
    <w:rsid w:val="000758DE"/>
    <w:rsid w:val="00075C2F"/>
    <w:rsid w:val="00076864"/>
    <w:rsid w:val="0007688D"/>
    <w:rsid w:val="000771C6"/>
    <w:rsid w:val="0008134C"/>
    <w:rsid w:val="00081689"/>
    <w:rsid w:val="000823A5"/>
    <w:rsid w:val="000844CC"/>
    <w:rsid w:val="00084B58"/>
    <w:rsid w:val="0008677E"/>
    <w:rsid w:val="000876D4"/>
    <w:rsid w:val="00087CB6"/>
    <w:rsid w:val="000908CF"/>
    <w:rsid w:val="00091710"/>
    <w:rsid w:val="00091CD2"/>
    <w:rsid w:val="0009253C"/>
    <w:rsid w:val="0009550C"/>
    <w:rsid w:val="000973C1"/>
    <w:rsid w:val="000A0808"/>
    <w:rsid w:val="000A0C43"/>
    <w:rsid w:val="000A2A01"/>
    <w:rsid w:val="000A2C2D"/>
    <w:rsid w:val="000A34B5"/>
    <w:rsid w:val="000A41CB"/>
    <w:rsid w:val="000A58AB"/>
    <w:rsid w:val="000A627F"/>
    <w:rsid w:val="000A77A5"/>
    <w:rsid w:val="000A7CDC"/>
    <w:rsid w:val="000B00EB"/>
    <w:rsid w:val="000B0214"/>
    <w:rsid w:val="000B0B3D"/>
    <w:rsid w:val="000B0D0F"/>
    <w:rsid w:val="000B136F"/>
    <w:rsid w:val="000B20EF"/>
    <w:rsid w:val="000B337E"/>
    <w:rsid w:val="000B3E5A"/>
    <w:rsid w:val="000B401E"/>
    <w:rsid w:val="000B473D"/>
    <w:rsid w:val="000B58AF"/>
    <w:rsid w:val="000B5FBD"/>
    <w:rsid w:val="000B6AFC"/>
    <w:rsid w:val="000B6F97"/>
    <w:rsid w:val="000C1D8E"/>
    <w:rsid w:val="000C27BD"/>
    <w:rsid w:val="000C3016"/>
    <w:rsid w:val="000C5111"/>
    <w:rsid w:val="000C59B3"/>
    <w:rsid w:val="000C7802"/>
    <w:rsid w:val="000D1994"/>
    <w:rsid w:val="000D1B19"/>
    <w:rsid w:val="000D1CA9"/>
    <w:rsid w:val="000D2996"/>
    <w:rsid w:val="000D2B8D"/>
    <w:rsid w:val="000D34AA"/>
    <w:rsid w:val="000D36C5"/>
    <w:rsid w:val="000D611F"/>
    <w:rsid w:val="000E0BE4"/>
    <w:rsid w:val="000E245B"/>
    <w:rsid w:val="000E48FE"/>
    <w:rsid w:val="000E4DAD"/>
    <w:rsid w:val="000E51F1"/>
    <w:rsid w:val="000E5BDC"/>
    <w:rsid w:val="000E60FA"/>
    <w:rsid w:val="000E6E1E"/>
    <w:rsid w:val="000E7E47"/>
    <w:rsid w:val="000F1072"/>
    <w:rsid w:val="000F273D"/>
    <w:rsid w:val="000F34DA"/>
    <w:rsid w:val="000F35F0"/>
    <w:rsid w:val="000F4407"/>
    <w:rsid w:val="000F5776"/>
    <w:rsid w:val="000F6253"/>
    <w:rsid w:val="000F69BD"/>
    <w:rsid w:val="000F7147"/>
    <w:rsid w:val="001012E6"/>
    <w:rsid w:val="0010146E"/>
    <w:rsid w:val="00101909"/>
    <w:rsid w:val="0010420D"/>
    <w:rsid w:val="0010431B"/>
    <w:rsid w:val="00104920"/>
    <w:rsid w:val="001051F2"/>
    <w:rsid w:val="001052B0"/>
    <w:rsid w:val="00105640"/>
    <w:rsid w:val="001062B0"/>
    <w:rsid w:val="00106DE7"/>
    <w:rsid w:val="00112E9D"/>
    <w:rsid w:val="001133AE"/>
    <w:rsid w:val="00113743"/>
    <w:rsid w:val="00114403"/>
    <w:rsid w:val="00114479"/>
    <w:rsid w:val="001150DA"/>
    <w:rsid w:val="00115285"/>
    <w:rsid w:val="0011545B"/>
    <w:rsid w:val="00116FFC"/>
    <w:rsid w:val="001175B4"/>
    <w:rsid w:val="00117EA5"/>
    <w:rsid w:val="0012115D"/>
    <w:rsid w:val="0012191D"/>
    <w:rsid w:val="0012333A"/>
    <w:rsid w:val="00124430"/>
    <w:rsid w:val="00126710"/>
    <w:rsid w:val="00126953"/>
    <w:rsid w:val="001275D3"/>
    <w:rsid w:val="00127E10"/>
    <w:rsid w:val="00131062"/>
    <w:rsid w:val="00133A8B"/>
    <w:rsid w:val="001363D8"/>
    <w:rsid w:val="00140864"/>
    <w:rsid w:val="00140F4B"/>
    <w:rsid w:val="001414B5"/>
    <w:rsid w:val="00141C6C"/>
    <w:rsid w:val="00142446"/>
    <w:rsid w:val="00142A47"/>
    <w:rsid w:val="00142F65"/>
    <w:rsid w:val="001450BE"/>
    <w:rsid w:val="00145595"/>
    <w:rsid w:val="0014704E"/>
    <w:rsid w:val="0014734B"/>
    <w:rsid w:val="001505F9"/>
    <w:rsid w:val="001523D6"/>
    <w:rsid w:val="00153656"/>
    <w:rsid w:val="0015561C"/>
    <w:rsid w:val="00155B40"/>
    <w:rsid w:val="001602F2"/>
    <w:rsid w:val="001603B6"/>
    <w:rsid w:val="001605B0"/>
    <w:rsid w:val="001619BB"/>
    <w:rsid w:val="00161C69"/>
    <w:rsid w:val="00162121"/>
    <w:rsid w:val="00164383"/>
    <w:rsid w:val="00167E68"/>
    <w:rsid w:val="00170E24"/>
    <w:rsid w:val="00171109"/>
    <w:rsid w:val="00173B41"/>
    <w:rsid w:val="001740BB"/>
    <w:rsid w:val="00174738"/>
    <w:rsid w:val="00174F5B"/>
    <w:rsid w:val="00175FE1"/>
    <w:rsid w:val="00180C0E"/>
    <w:rsid w:val="001818B7"/>
    <w:rsid w:val="00182897"/>
    <w:rsid w:val="00182DDA"/>
    <w:rsid w:val="00184140"/>
    <w:rsid w:val="00184A89"/>
    <w:rsid w:val="00185888"/>
    <w:rsid w:val="001865D8"/>
    <w:rsid w:val="00190E90"/>
    <w:rsid w:val="00191EE8"/>
    <w:rsid w:val="00192CED"/>
    <w:rsid w:val="00193A9D"/>
    <w:rsid w:val="00193AC7"/>
    <w:rsid w:val="00193BBB"/>
    <w:rsid w:val="00194916"/>
    <w:rsid w:val="001978AA"/>
    <w:rsid w:val="00197BC0"/>
    <w:rsid w:val="001A00A0"/>
    <w:rsid w:val="001A00FA"/>
    <w:rsid w:val="001A2ACD"/>
    <w:rsid w:val="001A3E00"/>
    <w:rsid w:val="001A43F6"/>
    <w:rsid w:val="001A4A88"/>
    <w:rsid w:val="001A4F74"/>
    <w:rsid w:val="001A557C"/>
    <w:rsid w:val="001A59C7"/>
    <w:rsid w:val="001B09B2"/>
    <w:rsid w:val="001B3689"/>
    <w:rsid w:val="001B38B1"/>
    <w:rsid w:val="001B41E3"/>
    <w:rsid w:val="001B443E"/>
    <w:rsid w:val="001B4BEE"/>
    <w:rsid w:val="001B61DA"/>
    <w:rsid w:val="001C0D2B"/>
    <w:rsid w:val="001C146C"/>
    <w:rsid w:val="001C1902"/>
    <w:rsid w:val="001C1DA9"/>
    <w:rsid w:val="001C4287"/>
    <w:rsid w:val="001C4EE7"/>
    <w:rsid w:val="001C65BD"/>
    <w:rsid w:val="001C711B"/>
    <w:rsid w:val="001D1101"/>
    <w:rsid w:val="001D11F6"/>
    <w:rsid w:val="001D18E3"/>
    <w:rsid w:val="001D1B68"/>
    <w:rsid w:val="001D58FE"/>
    <w:rsid w:val="001D5A42"/>
    <w:rsid w:val="001D6615"/>
    <w:rsid w:val="001D71C3"/>
    <w:rsid w:val="001E25CE"/>
    <w:rsid w:val="001E269B"/>
    <w:rsid w:val="001E362A"/>
    <w:rsid w:val="001E364D"/>
    <w:rsid w:val="001E5D72"/>
    <w:rsid w:val="001E70EB"/>
    <w:rsid w:val="001E7FD4"/>
    <w:rsid w:val="001F0756"/>
    <w:rsid w:val="001F0979"/>
    <w:rsid w:val="001F1683"/>
    <w:rsid w:val="001F18F6"/>
    <w:rsid w:val="001F2A1E"/>
    <w:rsid w:val="001F2F4E"/>
    <w:rsid w:val="001F30A4"/>
    <w:rsid w:val="001F38A9"/>
    <w:rsid w:val="001F3B2F"/>
    <w:rsid w:val="001F440D"/>
    <w:rsid w:val="001F5D1A"/>
    <w:rsid w:val="001F6334"/>
    <w:rsid w:val="001F7EC6"/>
    <w:rsid w:val="00200E5A"/>
    <w:rsid w:val="00201C26"/>
    <w:rsid w:val="00202017"/>
    <w:rsid w:val="0020254D"/>
    <w:rsid w:val="002029AE"/>
    <w:rsid w:val="00204C82"/>
    <w:rsid w:val="00205434"/>
    <w:rsid w:val="00205A89"/>
    <w:rsid w:val="00205CE2"/>
    <w:rsid w:val="00206DFF"/>
    <w:rsid w:val="002102A0"/>
    <w:rsid w:val="00212221"/>
    <w:rsid w:val="00212234"/>
    <w:rsid w:val="00213608"/>
    <w:rsid w:val="00214A2C"/>
    <w:rsid w:val="00214C9E"/>
    <w:rsid w:val="00214EC3"/>
    <w:rsid w:val="002150FC"/>
    <w:rsid w:val="00215580"/>
    <w:rsid w:val="002158C9"/>
    <w:rsid w:val="00215D52"/>
    <w:rsid w:val="00215D89"/>
    <w:rsid w:val="002165FC"/>
    <w:rsid w:val="00217286"/>
    <w:rsid w:val="00217C15"/>
    <w:rsid w:val="00217C26"/>
    <w:rsid w:val="00220417"/>
    <w:rsid w:val="0022082C"/>
    <w:rsid w:val="002209A4"/>
    <w:rsid w:val="0022256D"/>
    <w:rsid w:val="002254ED"/>
    <w:rsid w:val="00225A6C"/>
    <w:rsid w:val="002279EC"/>
    <w:rsid w:val="00227B77"/>
    <w:rsid w:val="00230E26"/>
    <w:rsid w:val="00231540"/>
    <w:rsid w:val="002325EE"/>
    <w:rsid w:val="00233790"/>
    <w:rsid w:val="00234E69"/>
    <w:rsid w:val="00236333"/>
    <w:rsid w:val="002366B5"/>
    <w:rsid w:val="00236964"/>
    <w:rsid w:val="00237E0E"/>
    <w:rsid w:val="00240151"/>
    <w:rsid w:val="002403BA"/>
    <w:rsid w:val="00240E66"/>
    <w:rsid w:val="00241112"/>
    <w:rsid w:val="00241F6B"/>
    <w:rsid w:val="00242F1C"/>
    <w:rsid w:val="00243293"/>
    <w:rsid w:val="00243B4F"/>
    <w:rsid w:val="00243FD0"/>
    <w:rsid w:val="002442A1"/>
    <w:rsid w:val="00244835"/>
    <w:rsid w:val="00250635"/>
    <w:rsid w:val="00250E03"/>
    <w:rsid w:val="00251E73"/>
    <w:rsid w:val="00254091"/>
    <w:rsid w:val="00254236"/>
    <w:rsid w:val="0025442D"/>
    <w:rsid w:val="00254B01"/>
    <w:rsid w:val="002550C7"/>
    <w:rsid w:val="0025558E"/>
    <w:rsid w:val="00255C0D"/>
    <w:rsid w:val="002573C6"/>
    <w:rsid w:val="002616E7"/>
    <w:rsid w:val="00261C45"/>
    <w:rsid w:val="00263193"/>
    <w:rsid w:val="00264702"/>
    <w:rsid w:val="00264EC9"/>
    <w:rsid w:val="00264FF6"/>
    <w:rsid w:val="0026542F"/>
    <w:rsid w:val="0026568C"/>
    <w:rsid w:val="00265963"/>
    <w:rsid w:val="00266295"/>
    <w:rsid w:val="00266413"/>
    <w:rsid w:val="00270279"/>
    <w:rsid w:val="00270751"/>
    <w:rsid w:val="00270F8D"/>
    <w:rsid w:val="00272919"/>
    <w:rsid w:val="00273057"/>
    <w:rsid w:val="00273270"/>
    <w:rsid w:val="00273B2C"/>
    <w:rsid w:val="00273BCE"/>
    <w:rsid w:val="00276F59"/>
    <w:rsid w:val="00276FBF"/>
    <w:rsid w:val="002804FC"/>
    <w:rsid w:val="00280DFB"/>
    <w:rsid w:val="00282215"/>
    <w:rsid w:val="00283771"/>
    <w:rsid w:val="00283A9D"/>
    <w:rsid w:val="00283E84"/>
    <w:rsid w:val="00285496"/>
    <w:rsid w:val="002861F0"/>
    <w:rsid w:val="00286948"/>
    <w:rsid w:val="00286F08"/>
    <w:rsid w:val="0028799A"/>
    <w:rsid w:val="00290EFB"/>
    <w:rsid w:val="0029111F"/>
    <w:rsid w:val="00294E40"/>
    <w:rsid w:val="00295886"/>
    <w:rsid w:val="0029647C"/>
    <w:rsid w:val="00297854"/>
    <w:rsid w:val="00297E2F"/>
    <w:rsid w:val="002A0BFD"/>
    <w:rsid w:val="002A1E1D"/>
    <w:rsid w:val="002A316E"/>
    <w:rsid w:val="002A382E"/>
    <w:rsid w:val="002A3E81"/>
    <w:rsid w:val="002A5698"/>
    <w:rsid w:val="002A6145"/>
    <w:rsid w:val="002A6D37"/>
    <w:rsid w:val="002A6FDC"/>
    <w:rsid w:val="002A7A5E"/>
    <w:rsid w:val="002B1CD6"/>
    <w:rsid w:val="002B36A0"/>
    <w:rsid w:val="002B5733"/>
    <w:rsid w:val="002B5D7E"/>
    <w:rsid w:val="002B670F"/>
    <w:rsid w:val="002B6B92"/>
    <w:rsid w:val="002B6F68"/>
    <w:rsid w:val="002B70B9"/>
    <w:rsid w:val="002B7D9C"/>
    <w:rsid w:val="002C10EC"/>
    <w:rsid w:val="002C1B29"/>
    <w:rsid w:val="002C2854"/>
    <w:rsid w:val="002C3702"/>
    <w:rsid w:val="002C624B"/>
    <w:rsid w:val="002C66FE"/>
    <w:rsid w:val="002C7CE2"/>
    <w:rsid w:val="002D0853"/>
    <w:rsid w:val="002D14DE"/>
    <w:rsid w:val="002D1F67"/>
    <w:rsid w:val="002D21B7"/>
    <w:rsid w:val="002D25AB"/>
    <w:rsid w:val="002D3B9E"/>
    <w:rsid w:val="002D47D7"/>
    <w:rsid w:val="002E2742"/>
    <w:rsid w:val="002E2CBD"/>
    <w:rsid w:val="002E4903"/>
    <w:rsid w:val="002E4C32"/>
    <w:rsid w:val="002E529A"/>
    <w:rsid w:val="002E5372"/>
    <w:rsid w:val="002E5525"/>
    <w:rsid w:val="002E656A"/>
    <w:rsid w:val="002E6837"/>
    <w:rsid w:val="002F0FB8"/>
    <w:rsid w:val="002F2BFD"/>
    <w:rsid w:val="002F3778"/>
    <w:rsid w:val="002F3D95"/>
    <w:rsid w:val="002F418A"/>
    <w:rsid w:val="002F4741"/>
    <w:rsid w:val="002F4B63"/>
    <w:rsid w:val="002F5D2A"/>
    <w:rsid w:val="002F680A"/>
    <w:rsid w:val="00301553"/>
    <w:rsid w:val="0030180E"/>
    <w:rsid w:val="0030281E"/>
    <w:rsid w:val="00305304"/>
    <w:rsid w:val="00306045"/>
    <w:rsid w:val="00306811"/>
    <w:rsid w:val="00310AB4"/>
    <w:rsid w:val="003118CC"/>
    <w:rsid w:val="0031298E"/>
    <w:rsid w:val="00312F16"/>
    <w:rsid w:val="00315AEB"/>
    <w:rsid w:val="00316969"/>
    <w:rsid w:val="00317368"/>
    <w:rsid w:val="003207FB"/>
    <w:rsid w:val="00321360"/>
    <w:rsid w:val="00321882"/>
    <w:rsid w:val="00321996"/>
    <w:rsid w:val="003220A0"/>
    <w:rsid w:val="00322E17"/>
    <w:rsid w:val="003235D6"/>
    <w:rsid w:val="00326F79"/>
    <w:rsid w:val="003274C8"/>
    <w:rsid w:val="00330995"/>
    <w:rsid w:val="0033149E"/>
    <w:rsid w:val="003319D7"/>
    <w:rsid w:val="00331DF7"/>
    <w:rsid w:val="00332AA7"/>
    <w:rsid w:val="00332ECC"/>
    <w:rsid w:val="00334D66"/>
    <w:rsid w:val="0033547B"/>
    <w:rsid w:val="00335659"/>
    <w:rsid w:val="00335CF7"/>
    <w:rsid w:val="00337C1E"/>
    <w:rsid w:val="00340637"/>
    <w:rsid w:val="003426F3"/>
    <w:rsid w:val="003428A4"/>
    <w:rsid w:val="003439B5"/>
    <w:rsid w:val="0034454A"/>
    <w:rsid w:val="00344A9E"/>
    <w:rsid w:val="00344DBE"/>
    <w:rsid w:val="0034548A"/>
    <w:rsid w:val="00345513"/>
    <w:rsid w:val="003458AE"/>
    <w:rsid w:val="003458C5"/>
    <w:rsid w:val="00347F8E"/>
    <w:rsid w:val="0035002B"/>
    <w:rsid w:val="00351BBA"/>
    <w:rsid w:val="00352DBA"/>
    <w:rsid w:val="0035435A"/>
    <w:rsid w:val="003544F2"/>
    <w:rsid w:val="00357686"/>
    <w:rsid w:val="00357FC1"/>
    <w:rsid w:val="00360691"/>
    <w:rsid w:val="00360A1F"/>
    <w:rsid w:val="00361140"/>
    <w:rsid w:val="00363920"/>
    <w:rsid w:val="00364C3A"/>
    <w:rsid w:val="00365831"/>
    <w:rsid w:val="00367D2F"/>
    <w:rsid w:val="0037355C"/>
    <w:rsid w:val="0037493B"/>
    <w:rsid w:val="00375D1F"/>
    <w:rsid w:val="00375D41"/>
    <w:rsid w:val="00375F13"/>
    <w:rsid w:val="003764B1"/>
    <w:rsid w:val="003769CD"/>
    <w:rsid w:val="00377820"/>
    <w:rsid w:val="003800F7"/>
    <w:rsid w:val="0038033F"/>
    <w:rsid w:val="00380B4B"/>
    <w:rsid w:val="00382F0D"/>
    <w:rsid w:val="00382FD2"/>
    <w:rsid w:val="00385041"/>
    <w:rsid w:val="00385EFC"/>
    <w:rsid w:val="00387938"/>
    <w:rsid w:val="00391F5C"/>
    <w:rsid w:val="0039249F"/>
    <w:rsid w:val="00394EA0"/>
    <w:rsid w:val="003955F2"/>
    <w:rsid w:val="0039579B"/>
    <w:rsid w:val="003A0BBA"/>
    <w:rsid w:val="003A0C60"/>
    <w:rsid w:val="003A0DB1"/>
    <w:rsid w:val="003A12A6"/>
    <w:rsid w:val="003A2442"/>
    <w:rsid w:val="003A24AC"/>
    <w:rsid w:val="003A24D7"/>
    <w:rsid w:val="003A2D2A"/>
    <w:rsid w:val="003A2DBA"/>
    <w:rsid w:val="003A3277"/>
    <w:rsid w:val="003A3BF5"/>
    <w:rsid w:val="003A5D05"/>
    <w:rsid w:val="003A624A"/>
    <w:rsid w:val="003A63AA"/>
    <w:rsid w:val="003A7D4C"/>
    <w:rsid w:val="003B041E"/>
    <w:rsid w:val="003B0D4C"/>
    <w:rsid w:val="003B26D5"/>
    <w:rsid w:val="003B26E5"/>
    <w:rsid w:val="003B347F"/>
    <w:rsid w:val="003B3F1F"/>
    <w:rsid w:val="003B593B"/>
    <w:rsid w:val="003B5A68"/>
    <w:rsid w:val="003B5BEB"/>
    <w:rsid w:val="003B61C0"/>
    <w:rsid w:val="003C05B6"/>
    <w:rsid w:val="003C0804"/>
    <w:rsid w:val="003C08EA"/>
    <w:rsid w:val="003C3119"/>
    <w:rsid w:val="003C3A35"/>
    <w:rsid w:val="003C5DD5"/>
    <w:rsid w:val="003C68D9"/>
    <w:rsid w:val="003C703D"/>
    <w:rsid w:val="003C7229"/>
    <w:rsid w:val="003C7585"/>
    <w:rsid w:val="003D0883"/>
    <w:rsid w:val="003D0982"/>
    <w:rsid w:val="003D2148"/>
    <w:rsid w:val="003D21EB"/>
    <w:rsid w:val="003D22CE"/>
    <w:rsid w:val="003D2EF2"/>
    <w:rsid w:val="003D3232"/>
    <w:rsid w:val="003D3297"/>
    <w:rsid w:val="003D36DC"/>
    <w:rsid w:val="003D4BFC"/>
    <w:rsid w:val="003D5458"/>
    <w:rsid w:val="003D54F2"/>
    <w:rsid w:val="003D5DAA"/>
    <w:rsid w:val="003D6702"/>
    <w:rsid w:val="003D686F"/>
    <w:rsid w:val="003E0B1E"/>
    <w:rsid w:val="003E2F8B"/>
    <w:rsid w:val="003E3205"/>
    <w:rsid w:val="003E47DF"/>
    <w:rsid w:val="003E4ECC"/>
    <w:rsid w:val="003E54D5"/>
    <w:rsid w:val="003E6933"/>
    <w:rsid w:val="003E7BB1"/>
    <w:rsid w:val="003F05F1"/>
    <w:rsid w:val="003F199A"/>
    <w:rsid w:val="003F1B12"/>
    <w:rsid w:val="003F2971"/>
    <w:rsid w:val="003F3258"/>
    <w:rsid w:val="003F46FA"/>
    <w:rsid w:val="003F4777"/>
    <w:rsid w:val="003F57B3"/>
    <w:rsid w:val="003F600D"/>
    <w:rsid w:val="003F6444"/>
    <w:rsid w:val="003F7BB4"/>
    <w:rsid w:val="003F7CEB"/>
    <w:rsid w:val="004004E3"/>
    <w:rsid w:val="004030E6"/>
    <w:rsid w:val="004038A6"/>
    <w:rsid w:val="004039DD"/>
    <w:rsid w:val="004039F0"/>
    <w:rsid w:val="00403E0C"/>
    <w:rsid w:val="0040411A"/>
    <w:rsid w:val="00405171"/>
    <w:rsid w:val="00405657"/>
    <w:rsid w:val="004058CF"/>
    <w:rsid w:val="0040760D"/>
    <w:rsid w:val="00407E28"/>
    <w:rsid w:val="004103CD"/>
    <w:rsid w:val="00411365"/>
    <w:rsid w:val="00412458"/>
    <w:rsid w:val="004138FF"/>
    <w:rsid w:val="00414950"/>
    <w:rsid w:val="00416031"/>
    <w:rsid w:val="004162D4"/>
    <w:rsid w:val="004166DD"/>
    <w:rsid w:val="004167FE"/>
    <w:rsid w:val="00417C5E"/>
    <w:rsid w:val="0042026B"/>
    <w:rsid w:val="004208D1"/>
    <w:rsid w:val="00420A2A"/>
    <w:rsid w:val="00420E06"/>
    <w:rsid w:val="004213A0"/>
    <w:rsid w:val="00421A8C"/>
    <w:rsid w:val="00421F72"/>
    <w:rsid w:val="00422B3B"/>
    <w:rsid w:val="00425ED3"/>
    <w:rsid w:val="00426D91"/>
    <w:rsid w:val="00426DDD"/>
    <w:rsid w:val="004271B2"/>
    <w:rsid w:val="0043034D"/>
    <w:rsid w:val="0043057F"/>
    <w:rsid w:val="00430F63"/>
    <w:rsid w:val="00430F64"/>
    <w:rsid w:val="00431199"/>
    <w:rsid w:val="00432B58"/>
    <w:rsid w:val="004340AB"/>
    <w:rsid w:val="0043544C"/>
    <w:rsid w:val="0043553E"/>
    <w:rsid w:val="004409F6"/>
    <w:rsid w:val="00440CCB"/>
    <w:rsid w:val="0044137E"/>
    <w:rsid w:val="00441B79"/>
    <w:rsid w:val="00442B3C"/>
    <w:rsid w:val="00442F30"/>
    <w:rsid w:val="0044333D"/>
    <w:rsid w:val="00443A30"/>
    <w:rsid w:val="00443A44"/>
    <w:rsid w:val="00444EB5"/>
    <w:rsid w:val="004472B3"/>
    <w:rsid w:val="00447516"/>
    <w:rsid w:val="00447702"/>
    <w:rsid w:val="00452734"/>
    <w:rsid w:val="00454381"/>
    <w:rsid w:val="00455CF4"/>
    <w:rsid w:val="00455DC2"/>
    <w:rsid w:val="004561E8"/>
    <w:rsid w:val="0045737B"/>
    <w:rsid w:val="00457A9A"/>
    <w:rsid w:val="00460E1D"/>
    <w:rsid w:val="00462DAD"/>
    <w:rsid w:val="00463DAB"/>
    <w:rsid w:val="0046470D"/>
    <w:rsid w:val="00465F9C"/>
    <w:rsid w:val="0046636C"/>
    <w:rsid w:val="00471383"/>
    <w:rsid w:val="004729C3"/>
    <w:rsid w:val="00472CBF"/>
    <w:rsid w:val="004737FA"/>
    <w:rsid w:val="0047500B"/>
    <w:rsid w:val="00480BD0"/>
    <w:rsid w:val="00481705"/>
    <w:rsid w:val="00481A55"/>
    <w:rsid w:val="0048200D"/>
    <w:rsid w:val="004844AD"/>
    <w:rsid w:val="00484565"/>
    <w:rsid w:val="00486423"/>
    <w:rsid w:val="004905F6"/>
    <w:rsid w:val="00490FC6"/>
    <w:rsid w:val="00493085"/>
    <w:rsid w:val="004940B4"/>
    <w:rsid w:val="00494B06"/>
    <w:rsid w:val="004A19D4"/>
    <w:rsid w:val="004A29C4"/>
    <w:rsid w:val="004A305B"/>
    <w:rsid w:val="004A30B4"/>
    <w:rsid w:val="004A424F"/>
    <w:rsid w:val="004A689A"/>
    <w:rsid w:val="004A6CDB"/>
    <w:rsid w:val="004A714E"/>
    <w:rsid w:val="004A7687"/>
    <w:rsid w:val="004A7B1F"/>
    <w:rsid w:val="004B010E"/>
    <w:rsid w:val="004B0E23"/>
    <w:rsid w:val="004B21B3"/>
    <w:rsid w:val="004B27D6"/>
    <w:rsid w:val="004B3CE3"/>
    <w:rsid w:val="004C3719"/>
    <w:rsid w:val="004C47AE"/>
    <w:rsid w:val="004C4834"/>
    <w:rsid w:val="004D0D91"/>
    <w:rsid w:val="004D16FF"/>
    <w:rsid w:val="004D17B1"/>
    <w:rsid w:val="004D42FC"/>
    <w:rsid w:val="004D46B8"/>
    <w:rsid w:val="004D64E2"/>
    <w:rsid w:val="004E03EE"/>
    <w:rsid w:val="004E058E"/>
    <w:rsid w:val="004E13DF"/>
    <w:rsid w:val="004E1F2A"/>
    <w:rsid w:val="004E286B"/>
    <w:rsid w:val="004E2950"/>
    <w:rsid w:val="004E2A57"/>
    <w:rsid w:val="004E3D8E"/>
    <w:rsid w:val="004E4688"/>
    <w:rsid w:val="004E5AEF"/>
    <w:rsid w:val="004F0AFF"/>
    <w:rsid w:val="004F0FEA"/>
    <w:rsid w:val="004F3981"/>
    <w:rsid w:val="004F4F43"/>
    <w:rsid w:val="004F4FB4"/>
    <w:rsid w:val="004F6E4A"/>
    <w:rsid w:val="00500061"/>
    <w:rsid w:val="00500CD8"/>
    <w:rsid w:val="00501910"/>
    <w:rsid w:val="00502440"/>
    <w:rsid w:val="00502D1F"/>
    <w:rsid w:val="00502F0F"/>
    <w:rsid w:val="005033FC"/>
    <w:rsid w:val="00503C32"/>
    <w:rsid w:val="00503C88"/>
    <w:rsid w:val="00504ACD"/>
    <w:rsid w:val="0050538E"/>
    <w:rsid w:val="00506A96"/>
    <w:rsid w:val="0051003D"/>
    <w:rsid w:val="005112C1"/>
    <w:rsid w:val="00511F74"/>
    <w:rsid w:val="00512202"/>
    <w:rsid w:val="005130E7"/>
    <w:rsid w:val="005132B0"/>
    <w:rsid w:val="00513B23"/>
    <w:rsid w:val="00514959"/>
    <w:rsid w:val="00514B93"/>
    <w:rsid w:val="00514CDF"/>
    <w:rsid w:val="00516B11"/>
    <w:rsid w:val="00516CE0"/>
    <w:rsid w:val="005210AA"/>
    <w:rsid w:val="005215FB"/>
    <w:rsid w:val="00521898"/>
    <w:rsid w:val="00523987"/>
    <w:rsid w:val="00523E67"/>
    <w:rsid w:val="005249E2"/>
    <w:rsid w:val="00524E74"/>
    <w:rsid w:val="00524EAA"/>
    <w:rsid w:val="005253A0"/>
    <w:rsid w:val="00525DCE"/>
    <w:rsid w:val="005265AF"/>
    <w:rsid w:val="00526CAA"/>
    <w:rsid w:val="00526E97"/>
    <w:rsid w:val="005304D8"/>
    <w:rsid w:val="005307E2"/>
    <w:rsid w:val="00530BC0"/>
    <w:rsid w:val="00530D75"/>
    <w:rsid w:val="005312D2"/>
    <w:rsid w:val="00532202"/>
    <w:rsid w:val="005329B1"/>
    <w:rsid w:val="00533889"/>
    <w:rsid w:val="00534403"/>
    <w:rsid w:val="00534BBE"/>
    <w:rsid w:val="005354DD"/>
    <w:rsid w:val="00536406"/>
    <w:rsid w:val="005368DD"/>
    <w:rsid w:val="0053748C"/>
    <w:rsid w:val="00540FD8"/>
    <w:rsid w:val="005416C0"/>
    <w:rsid w:val="0054182A"/>
    <w:rsid w:val="00541BD9"/>
    <w:rsid w:val="00541CDE"/>
    <w:rsid w:val="0054218D"/>
    <w:rsid w:val="005426F7"/>
    <w:rsid w:val="00542F04"/>
    <w:rsid w:val="005445AC"/>
    <w:rsid w:val="00544861"/>
    <w:rsid w:val="005514E0"/>
    <w:rsid w:val="00551B00"/>
    <w:rsid w:val="005533A1"/>
    <w:rsid w:val="00553FC8"/>
    <w:rsid w:val="00554B34"/>
    <w:rsid w:val="0055564B"/>
    <w:rsid w:val="0055578C"/>
    <w:rsid w:val="00555E5D"/>
    <w:rsid w:val="00556878"/>
    <w:rsid w:val="00557844"/>
    <w:rsid w:val="005607F7"/>
    <w:rsid w:val="005608D1"/>
    <w:rsid w:val="00561300"/>
    <w:rsid w:val="00561D93"/>
    <w:rsid w:val="0056265B"/>
    <w:rsid w:val="00562BCF"/>
    <w:rsid w:val="00562D23"/>
    <w:rsid w:val="005630BC"/>
    <w:rsid w:val="00563A99"/>
    <w:rsid w:val="0056705C"/>
    <w:rsid w:val="00567762"/>
    <w:rsid w:val="005711AC"/>
    <w:rsid w:val="005714F1"/>
    <w:rsid w:val="00571B64"/>
    <w:rsid w:val="005728E2"/>
    <w:rsid w:val="0057385E"/>
    <w:rsid w:val="0057428A"/>
    <w:rsid w:val="00575073"/>
    <w:rsid w:val="00575402"/>
    <w:rsid w:val="00575D40"/>
    <w:rsid w:val="00575EB2"/>
    <w:rsid w:val="0057676C"/>
    <w:rsid w:val="0058159A"/>
    <w:rsid w:val="00583CFF"/>
    <w:rsid w:val="0058506E"/>
    <w:rsid w:val="00585AB2"/>
    <w:rsid w:val="00586793"/>
    <w:rsid w:val="00587023"/>
    <w:rsid w:val="00587B50"/>
    <w:rsid w:val="00587F5E"/>
    <w:rsid w:val="00592111"/>
    <w:rsid w:val="005925BB"/>
    <w:rsid w:val="005925BE"/>
    <w:rsid w:val="00593665"/>
    <w:rsid w:val="00593A0C"/>
    <w:rsid w:val="00595208"/>
    <w:rsid w:val="00596FAA"/>
    <w:rsid w:val="00597248"/>
    <w:rsid w:val="005976E5"/>
    <w:rsid w:val="005A0025"/>
    <w:rsid w:val="005A4646"/>
    <w:rsid w:val="005A5F66"/>
    <w:rsid w:val="005A6432"/>
    <w:rsid w:val="005A6456"/>
    <w:rsid w:val="005A67F0"/>
    <w:rsid w:val="005A6D0D"/>
    <w:rsid w:val="005A6EB5"/>
    <w:rsid w:val="005A7E19"/>
    <w:rsid w:val="005A7F58"/>
    <w:rsid w:val="005B0F01"/>
    <w:rsid w:val="005B1D9F"/>
    <w:rsid w:val="005B258D"/>
    <w:rsid w:val="005B3372"/>
    <w:rsid w:val="005B3A16"/>
    <w:rsid w:val="005B46B9"/>
    <w:rsid w:val="005B50D0"/>
    <w:rsid w:val="005B5160"/>
    <w:rsid w:val="005B6867"/>
    <w:rsid w:val="005B7434"/>
    <w:rsid w:val="005C0120"/>
    <w:rsid w:val="005C01A6"/>
    <w:rsid w:val="005C154F"/>
    <w:rsid w:val="005C1F28"/>
    <w:rsid w:val="005C2161"/>
    <w:rsid w:val="005C25DF"/>
    <w:rsid w:val="005C44F6"/>
    <w:rsid w:val="005C470F"/>
    <w:rsid w:val="005C5660"/>
    <w:rsid w:val="005C5F1E"/>
    <w:rsid w:val="005C6059"/>
    <w:rsid w:val="005C652F"/>
    <w:rsid w:val="005C6F68"/>
    <w:rsid w:val="005C7098"/>
    <w:rsid w:val="005C76E3"/>
    <w:rsid w:val="005D14F5"/>
    <w:rsid w:val="005D17A6"/>
    <w:rsid w:val="005D19EB"/>
    <w:rsid w:val="005D1A80"/>
    <w:rsid w:val="005D29C1"/>
    <w:rsid w:val="005D5024"/>
    <w:rsid w:val="005D505D"/>
    <w:rsid w:val="005D558E"/>
    <w:rsid w:val="005D59C8"/>
    <w:rsid w:val="005D64E9"/>
    <w:rsid w:val="005D70B1"/>
    <w:rsid w:val="005E02E1"/>
    <w:rsid w:val="005E03D5"/>
    <w:rsid w:val="005E1290"/>
    <w:rsid w:val="005E15B6"/>
    <w:rsid w:val="005E1E03"/>
    <w:rsid w:val="005E2187"/>
    <w:rsid w:val="005E25F5"/>
    <w:rsid w:val="005E5198"/>
    <w:rsid w:val="005E5347"/>
    <w:rsid w:val="005E6076"/>
    <w:rsid w:val="005E6331"/>
    <w:rsid w:val="005E6D2E"/>
    <w:rsid w:val="005E7700"/>
    <w:rsid w:val="005F08AD"/>
    <w:rsid w:val="005F0CDE"/>
    <w:rsid w:val="005F1617"/>
    <w:rsid w:val="005F19AB"/>
    <w:rsid w:val="005F3AD5"/>
    <w:rsid w:val="005F4C94"/>
    <w:rsid w:val="005F5CE9"/>
    <w:rsid w:val="005F617B"/>
    <w:rsid w:val="005F7E67"/>
    <w:rsid w:val="0060026D"/>
    <w:rsid w:val="00600324"/>
    <w:rsid w:val="00602659"/>
    <w:rsid w:val="00602867"/>
    <w:rsid w:val="00602E42"/>
    <w:rsid w:val="0060375F"/>
    <w:rsid w:val="0060429E"/>
    <w:rsid w:val="006043D0"/>
    <w:rsid w:val="006049E8"/>
    <w:rsid w:val="00604EC1"/>
    <w:rsid w:val="00604F1A"/>
    <w:rsid w:val="00605320"/>
    <w:rsid w:val="00605A34"/>
    <w:rsid w:val="00606B9A"/>
    <w:rsid w:val="006070C7"/>
    <w:rsid w:val="006079C5"/>
    <w:rsid w:val="00611E60"/>
    <w:rsid w:val="006120DA"/>
    <w:rsid w:val="00612C81"/>
    <w:rsid w:val="006171A6"/>
    <w:rsid w:val="00620EB7"/>
    <w:rsid w:val="0062202D"/>
    <w:rsid w:val="00622508"/>
    <w:rsid w:val="00624076"/>
    <w:rsid w:val="00624198"/>
    <w:rsid w:val="00625D45"/>
    <w:rsid w:val="00626558"/>
    <w:rsid w:val="00626D8F"/>
    <w:rsid w:val="00630736"/>
    <w:rsid w:val="0063088D"/>
    <w:rsid w:val="00631BC8"/>
    <w:rsid w:val="00632B33"/>
    <w:rsid w:val="006335C1"/>
    <w:rsid w:val="00633AC4"/>
    <w:rsid w:val="006343ED"/>
    <w:rsid w:val="00636E4D"/>
    <w:rsid w:val="00636F08"/>
    <w:rsid w:val="00637250"/>
    <w:rsid w:val="00637277"/>
    <w:rsid w:val="00637A40"/>
    <w:rsid w:val="00641E19"/>
    <w:rsid w:val="00642157"/>
    <w:rsid w:val="0064227F"/>
    <w:rsid w:val="006432C1"/>
    <w:rsid w:val="0064359D"/>
    <w:rsid w:val="00643603"/>
    <w:rsid w:val="00645D7D"/>
    <w:rsid w:val="00645ED5"/>
    <w:rsid w:val="006464A6"/>
    <w:rsid w:val="00646867"/>
    <w:rsid w:val="00646B39"/>
    <w:rsid w:val="006473F8"/>
    <w:rsid w:val="00647467"/>
    <w:rsid w:val="006513AF"/>
    <w:rsid w:val="006522DB"/>
    <w:rsid w:val="006535D3"/>
    <w:rsid w:val="00653EBB"/>
    <w:rsid w:val="006559D2"/>
    <w:rsid w:val="00660394"/>
    <w:rsid w:val="006620F9"/>
    <w:rsid w:val="006623B4"/>
    <w:rsid w:val="00662F9C"/>
    <w:rsid w:val="0066322F"/>
    <w:rsid w:val="0066447F"/>
    <w:rsid w:val="0066563C"/>
    <w:rsid w:val="00665D67"/>
    <w:rsid w:val="00665ECC"/>
    <w:rsid w:val="0066670B"/>
    <w:rsid w:val="00666878"/>
    <w:rsid w:val="00666BB0"/>
    <w:rsid w:val="00667C2F"/>
    <w:rsid w:val="00670AAD"/>
    <w:rsid w:val="00670D65"/>
    <w:rsid w:val="00671735"/>
    <w:rsid w:val="00673CB1"/>
    <w:rsid w:val="00675027"/>
    <w:rsid w:val="00680333"/>
    <w:rsid w:val="00680EAF"/>
    <w:rsid w:val="006816DE"/>
    <w:rsid w:val="00681A90"/>
    <w:rsid w:val="00682311"/>
    <w:rsid w:val="00683104"/>
    <w:rsid w:val="00683AF8"/>
    <w:rsid w:val="00686683"/>
    <w:rsid w:val="006873C3"/>
    <w:rsid w:val="00687535"/>
    <w:rsid w:val="006879FE"/>
    <w:rsid w:val="00690DB8"/>
    <w:rsid w:val="00690F6F"/>
    <w:rsid w:val="0069119E"/>
    <w:rsid w:val="00691871"/>
    <w:rsid w:val="0069189D"/>
    <w:rsid w:val="00692F91"/>
    <w:rsid w:val="00693135"/>
    <w:rsid w:val="00693C29"/>
    <w:rsid w:val="006951BB"/>
    <w:rsid w:val="0069542C"/>
    <w:rsid w:val="00696281"/>
    <w:rsid w:val="00696C3A"/>
    <w:rsid w:val="00697857"/>
    <w:rsid w:val="006979E7"/>
    <w:rsid w:val="006A4C6C"/>
    <w:rsid w:val="006A62DD"/>
    <w:rsid w:val="006A686D"/>
    <w:rsid w:val="006A7009"/>
    <w:rsid w:val="006A7518"/>
    <w:rsid w:val="006A7693"/>
    <w:rsid w:val="006B0B2B"/>
    <w:rsid w:val="006B1CE6"/>
    <w:rsid w:val="006B2C33"/>
    <w:rsid w:val="006B4817"/>
    <w:rsid w:val="006C1B7E"/>
    <w:rsid w:val="006C22CA"/>
    <w:rsid w:val="006C28D5"/>
    <w:rsid w:val="006C2C63"/>
    <w:rsid w:val="006C32CA"/>
    <w:rsid w:val="006C4193"/>
    <w:rsid w:val="006C5C4F"/>
    <w:rsid w:val="006C61D8"/>
    <w:rsid w:val="006C66A6"/>
    <w:rsid w:val="006C7A18"/>
    <w:rsid w:val="006D078B"/>
    <w:rsid w:val="006D15CF"/>
    <w:rsid w:val="006D1FE1"/>
    <w:rsid w:val="006D35D1"/>
    <w:rsid w:val="006D4302"/>
    <w:rsid w:val="006D4555"/>
    <w:rsid w:val="006D4904"/>
    <w:rsid w:val="006D5572"/>
    <w:rsid w:val="006D5638"/>
    <w:rsid w:val="006D5D53"/>
    <w:rsid w:val="006D6F3B"/>
    <w:rsid w:val="006D7426"/>
    <w:rsid w:val="006E01A2"/>
    <w:rsid w:val="006E0442"/>
    <w:rsid w:val="006E1BD0"/>
    <w:rsid w:val="006E1FA1"/>
    <w:rsid w:val="006E2200"/>
    <w:rsid w:val="006E23D0"/>
    <w:rsid w:val="006E2EE4"/>
    <w:rsid w:val="006E32B2"/>
    <w:rsid w:val="006E3F70"/>
    <w:rsid w:val="006E5E78"/>
    <w:rsid w:val="006E7246"/>
    <w:rsid w:val="006F1C43"/>
    <w:rsid w:val="006F1CC0"/>
    <w:rsid w:val="006F5A33"/>
    <w:rsid w:val="006F669B"/>
    <w:rsid w:val="006F7169"/>
    <w:rsid w:val="00700B43"/>
    <w:rsid w:val="00700F34"/>
    <w:rsid w:val="00701135"/>
    <w:rsid w:val="00702FEA"/>
    <w:rsid w:val="00703C74"/>
    <w:rsid w:val="00704561"/>
    <w:rsid w:val="00704AB1"/>
    <w:rsid w:val="00704DED"/>
    <w:rsid w:val="00706812"/>
    <w:rsid w:val="007106F3"/>
    <w:rsid w:val="00710E4E"/>
    <w:rsid w:val="00711927"/>
    <w:rsid w:val="007122D4"/>
    <w:rsid w:val="00713888"/>
    <w:rsid w:val="00713D40"/>
    <w:rsid w:val="00714107"/>
    <w:rsid w:val="00714402"/>
    <w:rsid w:val="00715AA6"/>
    <w:rsid w:val="00716376"/>
    <w:rsid w:val="00717476"/>
    <w:rsid w:val="00717777"/>
    <w:rsid w:val="00720110"/>
    <w:rsid w:val="00720952"/>
    <w:rsid w:val="007214E8"/>
    <w:rsid w:val="00721ABA"/>
    <w:rsid w:val="00724560"/>
    <w:rsid w:val="00725EF4"/>
    <w:rsid w:val="0072623A"/>
    <w:rsid w:val="0072626B"/>
    <w:rsid w:val="00727BF8"/>
    <w:rsid w:val="00730E1E"/>
    <w:rsid w:val="007322B7"/>
    <w:rsid w:val="00733C28"/>
    <w:rsid w:val="0073506C"/>
    <w:rsid w:val="00735FF1"/>
    <w:rsid w:val="007360AB"/>
    <w:rsid w:val="00737986"/>
    <w:rsid w:val="007407F5"/>
    <w:rsid w:val="007427AD"/>
    <w:rsid w:val="0074280E"/>
    <w:rsid w:val="00742C5A"/>
    <w:rsid w:val="00743475"/>
    <w:rsid w:val="007434FA"/>
    <w:rsid w:val="007454DE"/>
    <w:rsid w:val="00745585"/>
    <w:rsid w:val="007476F9"/>
    <w:rsid w:val="00747CCA"/>
    <w:rsid w:val="00751DAB"/>
    <w:rsid w:val="00752969"/>
    <w:rsid w:val="007535E2"/>
    <w:rsid w:val="0075478E"/>
    <w:rsid w:val="007566B6"/>
    <w:rsid w:val="00756F27"/>
    <w:rsid w:val="007578FE"/>
    <w:rsid w:val="0075790E"/>
    <w:rsid w:val="00757D1E"/>
    <w:rsid w:val="00760B11"/>
    <w:rsid w:val="00761A81"/>
    <w:rsid w:val="00762A59"/>
    <w:rsid w:val="0076396C"/>
    <w:rsid w:val="007654E7"/>
    <w:rsid w:val="00766037"/>
    <w:rsid w:val="00766C29"/>
    <w:rsid w:val="0076811C"/>
    <w:rsid w:val="0077195D"/>
    <w:rsid w:val="00771E9C"/>
    <w:rsid w:val="007720F2"/>
    <w:rsid w:val="00772A4F"/>
    <w:rsid w:val="0077337E"/>
    <w:rsid w:val="00774E16"/>
    <w:rsid w:val="00777AD4"/>
    <w:rsid w:val="00781358"/>
    <w:rsid w:val="00781516"/>
    <w:rsid w:val="0078185B"/>
    <w:rsid w:val="0078218E"/>
    <w:rsid w:val="007824F8"/>
    <w:rsid w:val="00782A9F"/>
    <w:rsid w:val="00782B52"/>
    <w:rsid w:val="00783112"/>
    <w:rsid w:val="00784424"/>
    <w:rsid w:val="00784B3F"/>
    <w:rsid w:val="00785429"/>
    <w:rsid w:val="007855EA"/>
    <w:rsid w:val="00787263"/>
    <w:rsid w:val="00787609"/>
    <w:rsid w:val="007879CE"/>
    <w:rsid w:val="00787F3C"/>
    <w:rsid w:val="0079063B"/>
    <w:rsid w:val="0079073E"/>
    <w:rsid w:val="00790C82"/>
    <w:rsid w:val="00790E1D"/>
    <w:rsid w:val="00791075"/>
    <w:rsid w:val="007911A6"/>
    <w:rsid w:val="00792E8F"/>
    <w:rsid w:val="007939D8"/>
    <w:rsid w:val="00793C6E"/>
    <w:rsid w:val="00793CE5"/>
    <w:rsid w:val="00794E4D"/>
    <w:rsid w:val="00794F02"/>
    <w:rsid w:val="00796FE6"/>
    <w:rsid w:val="00797E56"/>
    <w:rsid w:val="007A092B"/>
    <w:rsid w:val="007A13F9"/>
    <w:rsid w:val="007A1803"/>
    <w:rsid w:val="007A3013"/>
    <w:rsid w:val="007A34F4"/>
    <w:rsid w:val="007A39EB"/>
    <w:rsid w:val="007A55CE"/>
    <w:rsid w:val="007A564B"/>
    <w:rsid w:val="007A5DB7"/>
    <w:rsid w:val="007A6CEB"/>
    <w:rsid w:val="007B19D0"/>
    <w:rsid w:val="007B2B7F"/>
    <w:rsid w:val="007B30B0"/>
    <w:rsid w:val="007B385F"/>
    <w:rsid w:val="007B3C95"/>
    <w:rsid w:val="007B4272"/>
    <w:rsid w:val="007B4D24"/>
    <w:rsid w:val="007B6394"/>
    <w:rsid w:val="007B6BB5"/>
    <w:rsid w:val="007C01E6"/>
    <w:rsid w:val="007C0EE1"/>
    <w:rsid w:val="007C1A2B"/>
    <w:rsid w:val="007C1F69"/>
    <w:rsid w:val="007C1FF5"/>
    <w:rsid w:val="007C211B"/>
    <w:rsid w:val="007C3225"/>
    <w:rsid w:val="007C6289"/>
    <w:rsid w:val="007C6963"/>
    <w:rsid w:val="007D0DD1"/>
    <w:rsid w:val="007D2A56"/>
    <w:rsid w:val="007D4F91"/>
    <w:rsid w:val="007D6927"/>
    <w:rsid w:val="007D77D1"/>
    <w:rsid w:val="007E002E"/>
    <w:rsid w:val="007E083C"/>
    <w:rsid w:val="007E08E2"/>
    <w:rsid w:val="007E1651"/>
    <w:rsid w:val="007E1825"/>
    <w:rsid w:val="007E1DDE"/>
    <w:rsid w:val="007E1F83"/>
    <w:rsid w:val="007E2302"/>
    <w:rsid w:val="007E2920"/>
    <w:rsid w:val="007E42B2"/>
    <w:rsid w:val="007E6878"/>
    <w:rsid w:val="007F0614"/>
    <w:rsid w:val="007F3483"/>
    <w:rsid w:val="007F4240"/>
    <w:rsid w:val="007F48EA"/>
    <w:rsid w:val="007F4920"/>
    <w:rsid w:val="007F522C"/>
    <w:rsid w:val="007F52E1"/>
    <w:rsid w:val="007F534D"/>
    <w:rsid w:val="007F54CC"/>
    <w:rsid w:val="007F55E9"/>
    <w:rsid w:val="007F64D6"/>
    <w:rsid w:val="007F65AE"/>
    <w:rsid w:val="007F755A"/>
    <w:rsid w:val="007F7D7F"/>
    <w:rsid w:val="0080087B"/>
    <w:rsid w:val="008031DD"/>
    <w:rsid w:val="0080532D"/>
    <w:rsid w:val="00806371"/>
    <w:rsid w:val="0081035C"/>
    <w:rsid w:val="00810E35"/>
    <w:rsid w:val="00813E46"/>
    <w:rsid w:val="0081489B"/>
    <w:rsid w:val="00815CA2"/>
    <w:rsid w:val="00820651"/>
    <w:rsid w:val="00820FB2"/>
    <w:rsid w:val="00821563"/>
    <w:rsid w:val="00822171"/>
    <w:rsid w:val="008225C7"/>
    <w:rsid w:val="0082265C"/>
    <w:rsid w:val="00822718"/>
    <w:rsid w:val="00823203"/>
    <w:rsid w:val="00823367"/>
    <w:rsid w:val="008267E4"/>
    <w:rsid w:val="00826D7F"/>
    <w:rsid w:val="008272E5"/>
    <w:rsid w:val="00827BF8"/>
    <w:rsid w:val="00832A70"/>
    <w:rsid w:val="00833B45"/>
    <w:rsid w:val="00833F23"/>
    <w:rsid w:val="00835185"/>
    <w:rsid w:val="00835BA7"/>
    <w:rsid w:val="008360CE"/>
    <w:rsid w:val="00836B46"/>
    <w:rsid w:val="00836E86"/>
    <w:rsid w:val="00840CFB"/>
    <w:rsid w:val="008434D2"/>
    <w:rsid w:val="00844440"/>
    <w:rsid w:val="008446C2"/>
    <w:rsid w:val="008447FA"/>
    <w:rsid w:val="0085070C"/>
    <w:rsid w:val="00850C98"/>
    <w:rsid w:val="0085120F"/>
    <w:rsid w:val="008524F0"/>
    <w:rsid w:val="00852F1A"/>
    <w:rsid w:val="00853518"/>
    <w:rsid w:val="00853788"/>
    <w:rsid w:val="00854D6C"/>
    <w:rsid w:val="00855B8A"/>
    <w:rsid w:val="00856BCF"/>
    <w:rsid w:val="008578F0"/>
    <w:rsid w:val="00857F22"/>
    <w:rsid w:val="00857F42"/>
    <w:rsid w:val="0086248D"/>
    <w:rsid w:val="00862EC3"/>
    <w:rsid w:val="008633B6"/>
    <w:rsid w:val="008639CC"/>
    <w:rsid w:val="00863E89"/>
    <w:rsid w:val="00863F2B"/>
    <w:rsid w:val="00864B79"/>
    <w:rsid w:val="00865160"/>
    <w:rsid w:val="00865B21"/>
    <w:rsid w:val="008666E2"/>
    <w:rsid w:val="00867EE9"/>
    <w:rsid w:val="00870E84"/>
    <w:rsid w:val="00870F59"/>
    <w:rsid w:val="008716A4"/>
    <w:rsid w:val="008737BC"/>
    <w:rsid w:val="00876023"/>
    <w:rsid w:val="008774B7"/>
    <w:rsid w:val="0088282D"/>
    <w:rsid w:val="008829BE"/>
    <w:rsid w:val="008856A6"/>
    <w:rsid w:val="00885F3C"/>
    <w:rsid w:val="00885FE8"/>
    <w:rsid w:val="00886C83"/>
    <w:rsid w:val="00887136"/>
    <w:rsid w:val="008904E6"/>
    <w:rsid w:val="00893800"/>
    <w:rsid w:val="00893C75"/>
    <w:rsid w:val="00894292"/>
    <w:rsid w:val="00894338"/>
    <w:rsid w:val="008963BA"/>
    <w:rsid w:val="00896460"/>
    <w:rsid w:val="008969BA"/>
    <w:rsid w:val="008975C6"/>
    <w:rsid w:val="008A095A"/>
    <w:rsid w:val="008A17A8"/>
    <w:rsid w:val="008A1A6F"/>
    <w:rsid w:val="008A1CB9"/>
    <w:rsid w:val="008A1D7C"/>
    <w:rsid w:val="008A23A5"/>
    <w:rsid w:val="008A2EB3"/>
    <w:rsid w:val="008A3E5C"/>
    <w:rsid w:val="008A42AC"/>
    <w:rsid w:val="008A46EF"/>
    <w:rsid w:val="008A55E7"/>
    <w:rsid w:val="008A65A3"/>
    <w:rsid w:val="008A78AA"/>
    <w:rsid w:val="008B2FA0"/>
    <w:rsid w:val="008B3420"/>
    <w:rsid w:val="008B4FA1"/>
    <w:rsid w:val="008B506D"/>
    <w:rsid w:val="008B5A5C"/>
    <w:rsid w:val="008B7415"/>
    <w:rsid w:val="008C0EF1"/>
    <w:rsid w:val="008C20CF"/>
    <w:rsid w:val="008C2BED"/>
    <w:rsid w:val="008C56D2"/>
    <w:rsid w:val="008C5DEC"/>
    <w:rsid w:val="008C6907"/>
    <w:rsid w:val="008C6EE7"/>
    <w:rsid w:val="008C7AFC"/>
    <w:rsid w:val="008D0C2F"/>
    <w:rsid w:val="008D0DB4"/>
    <w:rsid w:val="008D16BA"/>
    <w:rsid w:val="008D2422"/>
    <w:rsid w:val="008D55D1"/>
    <w:rsid w:val="008D5EAF"/>
    <w:rsid w:val="008D76EE"/>
    <w:rsid w:val="008D79E0"/>
    <w:rsid w:val="008D7D8C"/>
    <w:rsid w:val="008E08EB"/>
    <w:rsid w:val="008E1591"/>
    <w:rsid w:val="008E21A1"/>
    <w:rsid w:val="008E24DC"/>
    <w:rsid w:val="008E283B"/>
    <w:rsid w:val="008E2B47"/>
    <w:rsid w:val="008E3F0A"/>
    <w:rsid w:val="008E4382"/>
    <w:rsid w:val="008E4B48"/>
    <w:rsid w:val="008E6336"/>
    <w:rsid w:val="008F1968"/>
    <w:rsid w:val="008F3719"/>
    <w:rsid w:val="008F57A2"/>
    <w:rsid w:val="008F5805"/>
    <w:rsid w:val="008F6423"/>
    <w:rsid w:val="009001CB"/>
    <w:rsid w:val="00901ADD"/>
    <w:rsid w:val="009020EF"/>
    <w:rsid w:val="00902354"/>
    <w:rsid w:val="009034FC"/>
    <w:rsid w:val="009066B9"/>
    <w:rsid w:val="0091092E"/>
    <w:rsid w:val="00911359"/>
    <w:rsid w:val="00911DC1"/>
    <w:rsid w:val="00912E13"/>
    <w:rsid w:val="009133A9"/>
    <w:rsid w:val="009139E0"/>
    <w:rsid w:val="00913D3A"/>
    <w:rsid w:val="00914398"/>
    <w:rsid w:val="00914BE6"/>
    <w:rsid w:val="00914FF6"/>
    <w:rsid w:val="009157D4"/>
    <w:rsid w:val="009166B3"/>
    <w:rsid w:val="00917809"/>
    <w:rsid w:val="0092024C"/>
    <w:rsid w:val="0092298E"/>
    <w:rsid w:val="0092365F"/>
    <w:rsid w:val="00927AE1"/>
    <w:rsid w:val="009308CF"/>
    <w:rsid w:val="00931B32"/>
    <w:rsid w:val="00931B5D"/>
    <w:rsid w:val="00932AB5"/>
    <w:rsid w:val="00932D7F"/>
    <w:rsid w:val="00934250"/>
    <w:rsid w:val="00940128"/>
    <w:rsid w:val="009411C5"/>
    <w:rsid w:val="00941277"/>
    <w:rsid w:val="00941B5F"/>
    <w:rsid w:val="0094322F"/>
    <w:rsid w:val="009438E4"/>
    <w:rsid w:val="00944586"/>
    <w:rsid w:val="0094615A"/>
    <w:rsid w:val="009471D2"/>
    <w:rsid w:val="00950088"/>
    <w:rsid w:val="00950317"/>
    <w:rsid w:val="00950E9D"/>
    <w:rsid w:val="00952318"/>
    <w:rsid w:val="009549BC"/>
    <w:rsid w:val="009549D9"/>
    <w:rsid w:val="0095534E"/>
    <w:rsid w:val="00956609"/>
    <w:rsid w:val="009570E1"/>
    <w:rsid w:val="00957ED6"/>
    <w:rsid w:val="00960051"/>
    <w:rsid w:val="00960156"/>
    <w:rsid w:val="009614F4"/>
    <w:rsid w:val="00962125"/>
    <w:rsid w:val="0096228C"/>
    <w:rsid w:val="00964A0E"/>
    <w:rsid w:val="009655F6"/>
    <w:rsid w:val="00965620"/>
    <w:rsid w:val="00965BEA"/>
    <w:rsid w:val="0096654D"/>
    <w:rsid w:val="009672C9"/>
    <w:rsid w:val="00967C04"/>
    <w:rsid w:val="009701BA"/>
    <w:rsid w:val="00971999"/>
    <w:rsid w:val="00974023"/>
    <w:rsid w:val="00975566"/>
    <w:rsid w:val="00975C59"/>
    <w:rsid w:val="00976BA3"/>
    <w:rsid w:val="00980FFD"/>
    <w:rsid w:val="009813F3"/>
    <w:rsid w:val="00981DC2"/>
    <w:rsid w:val="00982D7B"/>
    <w:rsid w:val="00983D92"/>
    <w:rsid w:val="00985475"/>
    <w:rsid w:val="00986260"/>
    <w:rsid w:val="009876F3"/>
    <w:rsid w:val="00992A1D"/>
    <w:rsid w:val="00992D0E"/>
    <w:rsid w:val="009939F2"/>
    <w:rsid w:val="009943CE"/>
    <w:rsid w:val="00995D52"/>
    <w:rsid w:val="009968F8"/>
    <w:rsid w:val="0099731F"/>
    <w:rsid w:val="009A11EF"/>
    <w:rsid w:val="009A1BAA"/>
    <w:rsid w:val="009A20BA"/>
    <w:rsid w:val="009A3662"/>
    <w:rsid w:val="009A37EA"/>
    <w:rsid w:val="009A509A"/>
    <w:rsid w:val="009A514E"/>
    <w:rsid w:val="009A5700"/>
    <w:rsid w:val="009A5C01"/>
    <w:rsid w:val="009A649A"/>
    <w:rsid w:val="009A6535"/>
    <w:rsid w:val="009A6690"/>
    <w:rsid w:val="009A6FFD"/>
    <w:rsid w:val="009A7584"/>
    <w:rsid w:val="009B09E1"/>
    <w:rsid w:val="009B0B2F"/>
    <w:rsid w:val="009B7BDE"/>
    <w:rsid w:val="009B7C35"/>
    <w:rsid w:val="009C0C08"/>
    <w:rsid w:val="009C0C6F"/>
    <w:rsid w:val="009C0D7D"/>
    <w:rsid w:val="009C2547"/>
    <w:rsid w:val="009C26AF"/>
    <w:rsid w:val="009C3EAF"/>
    <w:rsid w:val="009C69E7"/>
    <w:rsid w:val="009C71A8"/>
    <w:rsid w:val="009C76C1"/>
    <w:rsid w:val="009D0C08"/>
    <w:rsid w:val="009D216B"/>
    <w:rsid w:val="009D3B89"/>
    <w:rsid w:val="009D7A74"/>
    <w:rsid w:val="009E1127"/>
    <w:rsid w:val="009E1A84"/>
    <w:rsid w:val="009E1CEB"/>
    <w:rsid w:val="009E2C4C"/>
    <w:rsid w:val="009E334A"/>
    <w:rsid w:val="009E3E65"/>
    <w:rsid w:val="009E459D"/>
    <w:rsid w:val="009E4743"/>
    <w:rsid w:val="009E482D"/>
    <w:rsid w:val="009E4E15"/>
    <w:rsid w:val="009E740C"/>
    <w:rsid w:val="009F138D"/>
    <w:rsid w:val="009F149C"/>
    <w:rsid w:val="009F1B29"/>
    <w:rsid w:val="009F2BA5"/>
    <w:rsid w:val="009F44CB"/>
    <w:rsid w:val="009F5352"/>
    <w:rsid w:val="009F6088"/>
    <w:rsid w:val="009F6D6A"/>
    <w:rsid w:val="009F7639"/>
    <w:rsid w:val="009F7802"/>
    <w:rsid w:val="009F7B05"/>
    <w:rsid w:val="009F7C82"/>
    <w:rsid w:val="00A001A6"/>
    <w:rsid w:val="00A015AC"/>
    <w:rsid w:val="00A02929"/>
    <w:rsid w:val="00A0313D"/>
    <w:rsid w:val="00A034BB"/>
    <w:rsid w:val="00A03D8B"/>
    <w:rsid w:val="00A05669"/>
    <w:rsid w:val="00A063F1"/>
    <w:rsid w:val="00A0737A"/>
    <w:rsid w:val="00A13499"/>
    <w:rsid w:val="00A155D5"/>
    <w:rsid w:val="00A16146"/>
    <w:rsid w:val="00A17084"/>
    <w:rsid w:val="00A17241"/>
    <w:rsid w:val="00A21062"/>
    <w:rsid w:val="00A21B84"/>
    <w:rsid w:val="00A21E8F"/>
    <w:rsid w:val="00A22377"/>
    <w:rsid w:val="00A225B5"/>
    <w:rsid w:val="00A23423"/>
    <w:rsid w:val="00A244D6"/>
    <w:rsid w:val="00A24C78"/>
    <w:rsid w:val="00A24FB3"/>
    <w:rsid w:val="00A25B8C"/>
    <w:rsid w:val="00A26C8A"/>
    <w:rsid w:val="00A27338"/>
    <w:rsid w:val="00A275DC"/>
    <w:rsid w:val="00A27DF3"/>
    <w:rsid w:val="00A30498"/>
    <w:rsid w:val="00A316B4"/>
    <w:rsid w:val="00A32666"/>
    <w:rsid w:val="00A33933"/>
    <w:rsid w:val="00A33EE1"/>
    <w:rsid w:val="00A368EE"/>
    <w:rsid w:val="00A370E7"/>
    <w:rsid w:val="00A40CD0"/>
    <w:rsid w:val="00A41247"/>
    <w:rsid w:val="00A4189C"/>
    <w:rsid w:val="00A4231C"/>
    <w:rsid w:val="00A42E35"/>
    <w:rsid w:val="00A4305A"/>
    <w:rsid w:val="00A4375D"/>
    <w:rsid w:val="00A44761"/>
    <w:rsid w:val="00A44C32"/>
    <w:rsid w:val="00A4704F"/>
    <w:rsid w:val="00A4736E"/>
    <w:rsid w:val="00A50E5B"/>
    <w:rsid w:val="00A52413"/>
    <w:rsid w:val="00A5377C"/>
    <w:rsid w:val="00A53D22"/>
    <w:rsid w:val="00A553B3"/>
    <w:rsid w:val="00A5588B"/>
    <w:rsid w:val="00A55FB6"/>
    <w:rsid w:val="00A56B4F"/>
    <w:rsid w:val="00A57464"/>
    <w:rsid w:val="00A6067B"/>
    <w:rsid w:val="00A62D75"/>
    <w:rsid w:val="00A64955"/>
    <w:rsid w:val="00A67849"/>
    <w:rsid w:val="00A67E29"/>
    <w:rsid w:val="00A70445"/>
    <w:rsid w:val="00A708BA"/>
    <w:rsid w:val="00A7150D"/>
    <w:rsid w:val="00A73B1B"/>
    <w:rsid w:val="00A74040"/>
    <w:rsid w:val="00A75CE9"/>
    <w:rsid w:val="00A77153"/>
    <w:rsid w:val="00A80396"/>
    <w:rsid w:val="00A80DAF"/>
    <w:rsid w:val="00A81C64"/>
    <w:rsid w:val="00A84029"/>
    <w:rsid w:val="00A84FDC"/>
    <w:rsid w:val="00A850EA"/>
    <w:rsid w:val="00A85447"/>
    <w:rsid w:val="00A855D9"/>
    <w:rsid w:val="00A866A3"/>
    <w:rsid w:val="00A86B4D"/>
    <w:rsid w:val="00A906F8"/>
    <w:rsid w:val="00A90A34"/>
    <w:rsid w:val="00A92EC2"/>
    <w:rsid w:val="00A93015"/>
    <w:rsid w:val="00A9346C"/>
    <w:rsid w:val="00A956BD"/>
    <w:rsid w:val="00A9578C"/>
    <w:rsid w:val="00A95BFE"/>
    <w:rsid w:val="00A96C1E"/>
    <w:rsid w:val="00A96E01"/>
    <w:rsid w:val="00A970F1"/>
    <w:rsid w:val="00A973C0"/>
    <w:rsid w:val="00AA3B4D"/>
    <w:rsid w:val="00AA43AE"/>
    <w:rsid w:val="00AA613D"/>
    <w:rsid w:val="00AA64EE"/>
    <w:rsid w:val="00AA66A4"/>
    <w:rsid w:val="00AA7104"/>
    <w:rsid w:val="00AA71D0"/>
    <w:rsid w:val="00AB09B0"/>
    <w:rsid w:val="00AB0A9A"/>
    <w:rsid w:val="00AB4D1D"/>
    <w:rsid w:val="00AB6A18"/>
    <w:rsid w:val="00AB7598"/>
    <w:rsid w:val="00AC0E4D"/>
    <w:rsid w:val="00AC11F9"/>
    <w:rsid w:val="00AC2A45"/>
    <w:rsid w:val="00AC2D95"/>
    <w:rsid w:val="00AC2E2F"/>
    <w:rsid w:val="00AC2EF9"/>
    <w:rsid w:val="00AC33E2"/>
    <w:rsid w:val="00AC4C2E"/>
    <w:rsid w:val="00AC4EDE"/>
    <w:rsid w:val="00AC5FD4"/>
    <w:rsid w:val="00AD0D33"/>
    <w:rsid w:val="00AD13DB"/>
    <w:rsid w:val="00AD1A6C"/>
    <w:rsid w:val="00AD2E05"/>
    <w:rsid w:val="00AD2FBA"/>
    <w:rsid w:val="00AD4C88"/>
    <w:rsid w:val="00AD60E7"/>
    <w:rsid w:val="00AD7265"/>
    <w:rsid w:val="00AD7303"/>
    <w:rsid w:val="00AE0F9F"/>
    <w:rsid w:val="00AE197C"/>
    <w:rsid w:val="00AE20C7"/>
    <w:rsid w:val="00AE5A0A"/>
    <w:rsid w:val="00AE5B40"/>
    <w:rsid w:val="00AE5B73"/>
    <w:rsid w:val="00AE6660"/>
    <w:rsid w:val="00AE6AF0"/>
    <w:rsid w:val="00AE789E"/>
    <w:rsid w:val="00AE7DBE"/>
    <w:rsid w:val="00AF10D4"/>
    <w:rsid w:val="00AF15DA"/>
    <w:rsid w:val="00AF1882"/>
    <w:rsid w:val="00AF2AC9"/>
    <w:rsid w:val="00AF376C"/>
    <w:rsid w:val="00AF3F54"/>
    <w:rsid w:val="00AF43B8"/>
    <w:rsid w:val="00AF57C8"/>
    <w:rsid w:val="00AF5DE1"/>
    <w:rsid w:val="00AF628B"/>
    <w:rsid w:val="00AF666D"/>
    <w:rsid w:val="00AF68C3"/>
    <w:rsid w:val="00AF70A4"/>
    <w:rsid w:val="00AF7D79"/>
    <w:rsid w:val="00B015A4"/>
    <w:rsid w:val="00B02458"/>
    <w:rsid w:val="00B03837"/>
    <w:rsid w:val="00B04554"/>
    <w:rsid w:val="00B04BBE"/>
    <w:rsid w:val="00B05255"/>
    <w:rsid w:val="00B05323"/>
    <w:rsid w:val="00B05446"/>
    <w:rsid w:val="00B05F21"/>
    <w:rsid w:val="00B06FEC"/>
    <w:rsid w:val="00B10313"/>
    <w:rsid w:val="00B10378"/>
    <w:rsid w:val="00B11863"/>
    <w:rsid w:val="00B11E1F"/>
    <w:rsid w:val="00B12537"/>
    <w:rsid w:val="00B12828"/>
    <w:rsid w:val="00B13DD7"/>
    <w:rsid w:val="00B142BD"/>
    <w:rsid w:val="00B142D9"/>
    <w:rsid w:val="00B15798"/>
    <w:rsid w:val="00B15D53"/>
    <w:rsid w:val="00B20AD6"/>
    <w:rsid w:val="00B21A85"/>
    <w:rsid w:val="00B21D04"/>
    <w:rsid w:val="00B24381"/>
    <w:rsid w:val="00B25CE5"/>
    <w:rsid w:val="00B270D1"/>
    <w:rsid w:val="00B2719A"/>
    <w:rsid w:val="00B27714"/>
    <w:rsid w:val="00B2784D"/>
    <w:rsid w:val="00B30AC2"/>
    <w:rsid w:val="00B31976"/>
    <w:rsid w:val="00B31E06"/>
    <w:rsid w:val="00B33D4B"/>
    <w:rsid w:val="00B34A03"/>
    <w:rsid w:val="00B37D0B"/>
    <w:rsid w:val="00B40175"/>
    <w:rsid w:val="00B41919"/>
    <w:rsid w:val="00B42D87"/>
    <w:rsid w:val="00B436A7"/>
    <w:rsid w:val="00B43730"/>
    <w:rsid w:val="00B453C1"/>
    <w:rsid w:val="00B46CE4"/>
    <w:rsid w:val="00B50DF0"/>
    <w:rsid w:val="00B53CFA"/>
    <w:rsid w:val="00B548A3"/>
    <w:rsid w:val="00B54BAF"/>
    <w:rsid w:val="00B55734"/>
    <w:rsid w:val="00B557CE"/>
    <w:rsid w:val="00B563CE"/>
    <w:rsid w:val="00B5780F"/>
    <w:rsid w:val="00B60C78"/>
    <w:rsid w:val="00B60F23"/>
    <w:rsid w:val="00B615C9"/>
    <w:rsid w:val="00B61A15"/>
    <w:rsid w:val="00B61A8F"/>
    <w:rsid w:val="00B632ED"/>
    <w:rsid w:val="00B643FB"/>
    <w:rsid w:val="00B668A2"/>
    <w:rsid w:val="00B67155"/>
    <w:rsid w:val="00B67785"/>
    <w:rsid w:val="00B67ACD"/>
    <w:rsid w:val="00B702E1"/>
    <w:rsid w:val="00B7056B"/>
    <w:rsid w:val="00B7069A"/>
    <w:rsid w:val="00B71156"/>
    <w:rsid w:val="00B71EE1"/>
    <w:rsid w:val="00B733DD"/>
    <w:rsid w:val="00B73AB0"/>
    <w:rsid w:val="00B73C11"/>
    <w:rsid w:val="00B73F84"/>
    <w:rsid w:val="00B7531A"/>
    <w:rsid w:val="00B76454"/>
    <w:rsid w:val="00B77C16"/>
    <w:rsid w:val="00B816E2"/>
    <w:rsid w:val="00B82392"/>
    <w:rsid w:val="00B82F48"/>
    <w:rsid w:val="00B8491D"/>
    <w:rsid w:val="00B85E95"/>
    <w:rsid w:val="00B861BE"/>
    <w:rsid w:val="00B864E6"/>
    <w:rsid w:val="00B86E94"/>
    <w:rsid w:val="00B87B9F"/>
    <w:rsid w:val="00B903C8"/>
    <w:rsid w:val="00B90CD7"/>
    <w:rsid w:val="00B91015"/>
    <w:rsid w:val="00B92BEA"/>
    <w:rsid w:val="00B92F22"/>
    <w:rsid w:val="00B9310D"/>
    <w:rsid w:val="00B9344D"/>
    <w:rsid w:val="00B9630A"/>
    <w:rsid w:val="00B9635C"/>
    <w:rsid w:val="00B97982"/>
    <w:rsid w:val="00BA038A"/>
    <w:rsid w:val="00BA0FF5"/>
    <w:rsid w:val="00BA2202"/>
    <w:rsid w:val="00BA2514"/>
    <w:rsid w:val="00BA31B0"/>
    <w:rsid w:val="00BA3223"/>
    <w:rsid w:val="00BA35DF"/>
    <w:rsid w:val="00BA405E"/>
    <w:rsid w:val="00BA6A46"/>
    <w:rsid w:val="00BB13A1"/>
    <w:rsid w:val="00BB1B15"/>
    <w:rsid w:val="00BB4C95"/>
    <w:rsid w:val="00BB4E21"/>
    <w:rsid w:val="00BB5B8F"/>
    <w:rsid w:val="00BB6D33"/>
    <w:rsid w:val="00BB7892"/>
    <w:rsid w:val="00BB7AF3"/>
    <w:rsid w:val="00BC0A90"/>
    <w:rsid w:val="00BC0D74"/>
    <w:rsid w:val="00BC1115"/>
    <w:rsid w:val="00BC2483"/>
    <w:rsid w:val="00BC3B50"/>
    <w:rsid w:val="00BC3FEB"/>
    <w:rsid w:val="00BC5250"/>
    <w:rsid w:val="00BC5C21"/>
    <w:rsid w:val="00BD0B9E"/>
    <w:rsid w:val="00BD1EAD"/>
    <w:rsid w:val="00BD1F43"/>
    <w:rsid w:val="00BD28D4"/>
    <w:rsid w:val="00BD3FFC"/>
    <w:rsid w:val="00BD53D9"/>
    <w:rsid w:val="00BD61AE"/>
    <w:rsid w:val="00BD6A8E"/>
    <w:rsid w:val="00BE1485"/>
    <w:rsid w:val="00BE1760"/>
    <w:rsid w:val="00BE2860"/>
    <w:rsid w:val="00BE33DC"/>
    <w:rsid w:val="00BE3533"/>
    <w:rsid w:val="00BE37E8"/>
    <w:rsid w:val="00BE3896"/>
    <w:rsid w:val="00BE38BD"/>
    <w:rsid w:val="00BE447F"/>
    <w:rsid w:val="00BE4512"/>
    <w:rsid w:val="00BE477F"/>
    <w:rsid w:val="00BE59B8"/>
    <w:rsid w:val="00BE6CCA"/>
    <w:rsid w:val="00BE7392"/>
    <w:rsid w:val="00BF1E21"/>
    <w:rsid w:val="00BF28A7"/>
    <w:rsid w:val="00BF36E6"/>
    <w:rsid w:val="00BF37E2"/>
    <w:rsid w:val="00BF71A6"/>
    <w:rsid w:val="00BF75B9"/>
    <w:rsid w:val="00C00445"/>
    <w:rsid w:val="00C0055E"/>
    <w:rsid w:val="00C0276F"/>
    <w:rsid w:val="00C02850"/>
    <w:rsid w:val="00C02A81"/>
    <w:rsid w:val="00C02D1B"/>
    <w:rsid w:val="00C04C09"/>
    <w:rsid w:val="00C04F49"/>
    <w:rsid w:val="00C06154"/>
    <w:rsid w:val="00C071F2"/>
    <w:rsid w:val="00C07D29"/>
    <w:rsid w:val="00C11947"/>
    <w:rsid w:val="00C12E28"/>
    <w:rsid w:val="00C13330"/>
    <w:rsid w:val="00C14608"/>
    <w:rsid w:val="00C14A27"/>
    <w:rsid w:val="00C15888"/>
    <w:rsid w:val="00C164CA"/>
    <w:rsid w:val="00C16C63"/>
    <w:rsid w:val="00C16EEC"/>
    <w:rsid w:val="00C17A44"/>
    <w:rsid w:val="00C21B7A"/>
    <w:rsid w:val="00C22DAF"/>
    <w:rsid w:val="00C2326A"/>
    <w:rsid w:val="00C24CCE"/>
    <w:rsid w:val="00C24F33"/>
    <w:rsid w:val="00C260FC"/>
    <w:rsid w:val="00C26A2F"/>
    <w:rsid w:val="00C275A9"/>
    <w:rsid w:val="00C2763B"/>
    <w:rsid w:val="00C303BC"/>
    <w:rsid w:val="00C3113F"/>
    <w:rsid w:val="00C3131C"/>
    <w:rsid w:val="00C3143A"/>
    <w:rsid w:val="00C322E3"/>
    <w:rsid w:val="00C34A9E"/>
    <w:rsid w:val="00C351A1"/>
    <w:rsid w:val="00C3560D"/>
    <w:rsid w:val="00C36D69"/>
    <w:rsid w:val="00C37B96"/>
    <w:rsid w:val="00C37D86"/>
    <w:rsid w:val="00C40B0C"/>
    <w:rsid w:val="00C41A6A"/>
    <w:rsid w:val="00C41B2E"/>
    <w:rsid w:val="00C42252"/>
    <w:rsid w:val="00C428CF"/>
    <w:rsid w:val="00C43547"/>
    <w:rsid w:val="00C43743"/>
    <w:rsid w:val="00C43974"/>
    <w:rsid w:val="00C45428"/>
    <w:rsid w:val="00C46F22"/>
    <w:rsid w:val="00C47BD0"/>
    <w:rsid w:val="00C512E7"/>
    <w:rsid w:val="00C5407C"/>
    <w:rsid w:val="00C54768"/>
    <w:rsid w:val="00C55634"/>
    <w:rsid w:val="00C5670D"/>
    <w:rsid w:val="00C5679E"/>
    <w:rsid w:val="00C56C40"/>
    <w:rsid w:val="00C56EBA"/>
    <w:rsid w:val="00C572CD"/>
    <w:rsid w:val="00C6052A"/>
    <w:rsid w:val="00C617F2"/>
    <w:rsid w:val="00C63895"/>
    <w:rsid w:val="00C64358"/>
    <w:rsid w:val="00C64810"/>
    <w:rsid w:val="00C6522E"/>
    <w:rsid w:val="00C66773"/>
    <w:rsid w:val="00C66866"/>
    <w:rsid w:val="00C70015"/>
    <w:rsid w:val="00C70688"/>
    <w:rsid w:val="00C7098A"/>
    <w:rsid w:val="00C71099"/>
    <w:rsid w:val="00C720D0"/>
    <w:rsid w:val="00C73BAC"/>
    <w:rsid w:val="00C77582"/>
    <w:rsid w:val="00C77A3F"/>
    <w:rsid w:val="00C818DE"/>
    <w:rsid w:val="00C82372"/>
    <w:rsid w:val="00C82C73"/>
    <w:rsid w:val="00C834D5"/>
    <w:rsid w:val="00C837DD"/>
    <w:rsid w:val="00C83FF7"/>
    <w:rsid w:val="00C84C52"/>
    <w:rsid w:val="00C85E71"/>
    <w:rsid w:val="00C86851"/>
    <w:rsid w:val="00C879D6"/>
    <w:rsid w:val="00C87E17"/>
    <w:rsid w:val="00C90954"/>
    <w:rsid w:val="00C90B6E"/>
    <w:rsid w:val="00C919ED"/>
    <w:rsid w:val="00C931F8"/>
    <w:rsid w:val="00C94423"/>
    <w:rsid w:val="00C94BB3"/>
    <w:rsid w:val="00C94C3D"/>
    <w:rsid w:val="00C94F7D"/>
    <w:rsid w:val="00C95225"/>
    <w:rsid w:val="00C96561"/>
    <w:rsid w:val="00C96E4A"/>
    <w:rsid w:val="00C9F25D"/>
    <w:rsid w:val="00CA079D"/>
    <w:rsid w:val="00CA0C0D"/>
    <w:rsid w:val="00CA158F"/>
    <w:rsid w:val="00CA18E2"/>
    <w:rsid w:val="00CA2404"/>
    <w:rsid w:val="00CA27B1"/>
    <w:rsid w:val="00CA3DFA"/>
    <w:rsid w:val="00CA4A72"/>
    <w:rsid w:val="00CA597A"/>
    <w:rsid w:val="00CA63B6"/>
    <w:rsid w:val="00CA6629"/>
    <w:rsid w:val="00CA7948"/>
    <w:rsid w:val="00CB4210"/>
    <w:rsid w:val="00CB5E73"/>
    <w:rsid w:val="00CB5F59"/>
    <w:rsid w:val="00CC0496"/>
    <w:rsid w:val="00CC2B11"/>
    <w:rsid w:val="00CC4E77"/>
    <w:rsid w:val="00CC53A1"/>
    <w:rsid w:val="00CC59CB"/>
    <w:rsid w:val="00CC5E51"/>
    <w:rsid w:val="00CC7C92"/>
    <w:rsid w:val="00CD0E23"/>
    <w:rsid w:val="00CD0F99"/>
    <w:rsid w:val="00CD1261"/>
    <w:rsid w:val="00CD1A22"/>
    <w:rsid w:val="00CD2E0A"/>
    <w:rsid w:val="00CD45AB"/>
    <w:rsid w:val="00CD53F8"/>
    <w:rsid w:val="00CE11EF"/>
    <w:rsid w:val="00CE1A82"/>
    <w:rsid w:val="00CE26F9"/>
    <w:rsid w:val="00CE2A7C"/>
    <w:rsid w:val="00CE3B13"/>
    <w:rsid w:val="00CE53AB"/>
    <w:rsid w:val="00CE549D"/>
    <w:rsid w:val="00CE5858"/>
    <w:rsid w:val="00CE5885"/>
    <w:rsid w:val="00CE5D04"/>
    <w:rsid w:val="00CE608A"/>
    <w:rsid w:val="00CE7B86"/>
    <w:rsid w:val="00CF0E4A"/>
    <w:rsid w:val="00CF1215"/>
    <w:rsid w:val="00CF1985"/>
    <w:rsid w:val="00CF2FD0"/>
    <w:rsid w:val="00CF3029"/>
    <w:rsid w:val="00CF380B"/>
    <w:rsid w:val="00CF3A25"/>
    <w:rsid w:val="00CF3CAB"/>
    <w:rsid w:val="00CF5FD3"/>
    <w:rsid w:val="00D024CD"/>
    <w:rsid w:val="00D02CE4"/>
    <w:rsid w:val="00D041AC"/>
    <w:rsid w:val="00D06909"/>
    <w:rsid w:val="00D07268"/>
    <w:rsid w:val="00D07E98"/>
    <w:rsid w:val="00D10AF6"/>
    <w:rsid w:val="00D13A89"/>
    <w:rsid w:val="00D14817"/>
    <w:rsid w:val="00D153CF"/>
    <w:rsid w:val="00D15C70"/>
    <w:rsid w:val="00D1683A"/>
    <w:rsid w:val="00D16CEE"/>
    <w:rsid w:val="00D16CFD"/>
    <w:rsid w:val="00D205A7"/>
    <w:rsid w:val="00D207AF"/>
    <w:rsid w:val="00D211DD"/>
    <w:rsid w:val="00D230AB"/>
    <w:rsid w:val="00D230E9"/>
    <w:rsid w:val="00D2329A"/>
    <w:rsid w:val="00D2353F"/>
    <w:rsid w:val="00D237F2"/>
    <w:rsid w:val="00D25347"/>
    <w:rsid w:val="00D259C1"/>
    <w:rsid w:val="00D25B9A"/>
    <w:rsid w:val="00D25DF5"/>
    <w:rsid w:val="00D270BC"/>
    <w:rsid w:val="00D30B4F"/>
    <w:rsid w:val="00D3118C"/>
    <w:rsid w:val="00D31CAE"/>
    <w:rsid w:val="00D31DD1"/>
    <w:rsid w:val="00D323B6"/>
    <w:rsid w:val="00D3248A"/>
    <w:rsid w:val="00D324F5"/>
    <w:rsid w:val="00D3383D"/>
    <w:rsid w:val="00D35461"/>
    <w:rsid w:val="00D3558F"/>
    <w:rsid w:val="00D36414"/>
    <w:rsid w:val="00D374AF"/>
    <w:rsid w:val="00D4018B"/>
    <w:rsid w:val="00D401C4"/>
    <w:rsid w:val="00D40940"/>
    <w:rsid w:val="00D41089"/>
    <w:rsid w:val="00D4151F"/>
    <w:rsid w:val="00D41913"/>
    <w:rsid w:val="00D429D1"/>
    <w:rsid w:val="00D438F7"/>
    <w:rsid w:val="00D43CD0"/>
    <w:rsid w:val="00D452D4"/>
    <w:rsid w:val="00D50C31"/>
    <w:rsid w:val="00D5195E"/>
    <w:rsid w:val="00D51F35"/>
    <w:rsid w:val="00D52216"/>
    <w:rsid w:val="00D53486"/>
    <w:rsid w:val="00D54131"/>
    <w:rsid w:val="00D54752"/>
    <w:rsid w:val="00D548C2"/>
    <w:rsid w:val="00D54D21"/>
    <w:rsid w:val="00D5593F"/>
    <w:rsid w:val="00D562EF"/>
    <w:rsid w:val="00D6002C"/>
    <w:rsid w:val="00D609EB"/>
    <w:rsid w:val="00D61DA3"/>
    <w:rsid w:val="00D62F45"/>
    <w:rsid w:val="00D639CB"/>
    <w:rsid w:val="00D6489E"/>
    <w:rsid w:val="00D64C64"/>
    <w:rsid w:val="00D64FFD"/>
    <w:rsid w:val="00D6540E"/>
    <w:rsid w:val="00D662B3"/>
    <w:rsid w:val="00D67171"/>
    <w:rsid w:val="00D7194C"/>
    <w:rsid w:val="00D722DA"/>
    <w:rsid w:val="00D746DA"/>
    <w:rsid w:val="00D74A50"/>
    <w:rsid w:val="00D75BD3"/>
    <w:rsid w:val="00D762FC"/>
    <w:rsid w:val="00D76CFD"/>
    <w:rsid w:val="00D80F48"/>
    <w:rsid w:val="00D8312C"/>
    <w:rsid w:val="00D835AF"/>
    <w:rsid w:val="00D85103"/>
    <w:rsid w:val="00D85732"/>
    <w:rsid w:val="00D86F9F"/>
    <w:rsid w:val="00D87020"/>
    <w:rsid w:val="00D87B56"/>
    <w:rsid w:val="00D91D7F"/>
    <w:rsid w:val="00D921A1"/>
    <w:rsid w:val="00D92D2A"/>
    <w:rsid w:val="00D92EFE"/>
    <w:rsid w:val="00D93442"/>
    <w:rsid w:val="00D951C2"/>
    <w:rsid w:val="00D957A3"/>
    <w:rsid w:val="00D973BD"/>
    <w:rsid w:val="00D9741D"/>
    <w:rsid w:val="00D9775C"/>
    <w:rsid w:val="00DA097D"/>
    <w:rsid w:val="00DA0EFE"/>
    <w:rsid w:val="00DA24E9"/>
    <w:rsid w:val="00DA268D"/>
    <w:rsid w:val="00DA2818"/>
    <w:rsid w:val="00DA2FEB"/>
    <w:rsid w:val="00DA3D04"/>
    <w:rsid w:val="00DA59B8"/>
    <w:rsid w:val="00DA7799"/>
    <w:rsid w:val="00DB040D"/>
    <w:rsid w:val="00DB0807"/>
    <w:rsid w:val="00DB08BF"/>
    <w:rsid w:val="00DB0BA9"/>
    <w:rsid w:val="00DB0EC1"/>
    <w:rsid w:val="00DB0F90"/>
    <w:rsid w:val="00DB1F12"/>
    <w:rsid w:val="00DB21A6"/>
    <w:rsid w:val="00DB21C3"/>
    <w:rsid w:val="00DB297F"/>
    <w:rsid w:val="00DB29D3"/>
    <w:rsid w:val="00DB2CB4"/>
    <w:rsid w:val="00DB3EC7"/>
    <w:rsid w:val="00DB5276"/>
    <w:rsid w:val="00DB567B"/>
    <w:rsid w:val="00DB5F68"/>
    <w:rsid w:val="00DC0AD9"/>
    <w:rsid w:val="00DC2088"/>
    <w:rsid w:val="00DC31C9"/>
    <w:rsid w:val="00DC7DA2"/>
    <w:rsid w:val="00DD136B"/>
    <w:rsid w:val="00DD1616"/>
    <w:rsid w:val="00DD1694"/>
    <w:rsid w:val="00DD2481"/>
    <w:rsid w:val="00DD3F96"/>
    <w:rsid w:val="00DD55E6"/>
    <w:rsid w:val="00DD6E16"/>
    <w:rsid w:val="00DD70C2"/>
    <w:rsid w:val="00DD74DF"/>
    <w:rsid w:val="00DE07EE"/>
    <w:rsid w:val="00DE3546"/>
    <w:rsid w:val="00DE44DC"/>
    <w:rsid w:val="00DE6416"/>
    <w:rsid w:val="00DE6443"/>
    <w:rsid w:val="00DE7C45"/>
    <w:rsid w:val="00DF02AB"/>
    <w:rsid w:val="00DF1A99"/>
    <w:rsid w:val="00DF238B"/>
    <w:rsid w:val="00DF5222"/>
    <w:rsid w:val="00DF5DE9"/>
    <w:rsid w:val="00DF65E9"/>
    <w:rsid w:val="00DF6997"/>
    <w:rsid w:val="00E0008E"/>
    <w:rsid w:val="00E005AF"/>
    <w:rsid w:val="00E013E5"/>
    <w:rsid w:val="00E01C34"/>
    <w:rsid w:val="00E01E41"/>
    <w:rsid w:val="00E02AC4"/>
    <w:rsid w:val="00E03079"/>
    <w:rsid w:val="00E03330"/>
    <w:rsid w:val="00E03D0E"/>
    <w:rsid w:val="00E04A17"/>
    <w:rsid w:val="00E04E9E"/>
    <w:rsid w:val="00E05501"/>
    <w:rsid w:val="00E06B1C"/>
    <w:rsid w:val="00E06F6B"/>
    <w:rsid w:val="00E079EF"/>
    <w:rsid w:val="00E12CA0"/>
    <w:rsid w:val="00E1634A"/>
    <w:rsid w:val="00E203F7"/>
    <w:rsid w:val="00E220B4"/>
    <w:rsid w:val="00E23A79"/>
    <w:rsid w:val="00E24416"/>
    <w:rsid w:val="00E26481"/>
    <w:rsid w:val="00E27BFB"/>
    <w:rsid w:val="00E3089B"/>
    <w:rsid w:val="00E326C4"/>
    <w:rsid w:val="00E34294"/>
    <w:rsid w:val="00E3457F"/>
    <w:rsid w:val="00E35298"/>
    <w:rsid w:val="00E35F52"/>
    <w:rsid w:val="00E36A25"/>
    <w:rsid w:val="00E37011"/>
    <w:rsid w:val="00E41F0D"/>
    <w:rsid w:val="00E430DD"/>
    <w:rsid w:val="00E44BF2"/>
    <w:rsid w:val="00E45053"/>
    <w:rsid w:val="00E45EA2"/>
    <w:rsid w:val="00E46AD0"/>
    <w:rsid w:val="00E4752B"/>
    <w:rsid w:val="00E50572"/>
    <w:rsid w:val="00E50A2B"/>
    <w:rsid w:val="00E50B39"/>
    <w:rsid w:val="00E50C7C"/>
    <w:rsid w:val="00E51AC1"/>
    <w:rsid w:val="00E52BCF"/>
    <w:rsid w:val="00E52F8F"/>
    <w:rsid w:val="00E53813"/>
    <w:rsid w:val="00E54DE8"/>
    <w:rsid w:val="00E560FB"/>
    <w:rsid w:val="00E57707"/>
    <w:rsid w:val="00E5794C"/>
    <w:rsid w:val="00E60D29"/>
    <w:rsid w:val="00E630F8"/>
    <w:rsid w:val="00E63F52"/>
    <w:rsid w:val="00E6417A"/>
    <w:rsid w:val="00E65286"/>
    <w:rsid w:val="00E65A47"/>
    <w:rsid w:val="00E65F71"/>
    <w:rsid w:val="00E667BF"/>
    <w:rsid w:val="00E67A5D"/>
    <w:rsid w:val="00E67F58"/>
    <w:rsid w:val="00E67FDD"/>
    <w:rsid w:val="00E701AC"/>
    <w:rsid w:val="00E7054A"/>
    <w:rsid w:val="00E713B3"/>
    <w:rsid w:val="00E71BDD"/>
    <w:rsid w:val="00E72256"/>
    <w:rsid w:val="00E72C7A"/>
    <w:rsid w:val="00E733F4"/>
    <w:rsid w:val="00E7389D"/>
    <w:rsid w:val="00E73A64"/>
    <w:rsid w:val="00E740D7"/>
    <w:rsid w:val="00E75C19"/>
    <w:rsid w:val="00E75CF9"/>
    <w:rsid w:val="00E766D0"/>
    <w:rsid w:val="00E76858"/>
    <w:rsid w:val="00E77147"/>
    <w:rsid w:val="00E77197"/>
    <w:rsid w:val="00E773AF"/>
    <w:rsid w:val="00E812AA"/>
    <w:rsid w:val="00E81631"/>
    <w:rsid w:val="00E823B4"/>
    <w:rsid w:val="00E82459"/>
    <w:rsid w:val="00E83739"/>
    <w:rsid w:val="00E863D6"/>
    <w:rsid w:val="00E87CD3"/>
    <w:rsid w:val="00E904D2"/>
    <w:rsid w:val="00E92B2C"/>
    <w:rsid w:val="00E93D55"/>
    <w:rsid w:val="00E962DF"/>
    <w:rsid w:val="00E96CF0"/>
    <w:rsid w:val="00E977B1"/>
    <w:rsid w:val="00E97B14"/>
    <w:rsid w:val="00EA118F"/>
    <w:rsid w:val="00EA1476"/>
    <w:rsid w:val="00EA15E5"/>
    <w:rsid w:val="00EA20C4"/>
    <w:rsid w:val="00EA2A75"/>
    <w:rsid w:val="00EA2AB2"/>
    <w:rsid w:val="00EA4205"/>
    <w:rsid w:val="00EA456D"/>
    <w:rsid w:val="00EA46DB"/>
    <w:rsid w:val="00EA672B"/>
    <w:rsid w:val="00EB0980"/>
    <w:rsid w:val="00EB15F8"/>
    <w:rsid w:val="00EB1E53"/>
    <w:rsid w:val="00EB396A"/>
    <w:rsid w:val="00EB4016"/>
    <w:rsid w:val="00EB5EF4"/>
    <w:rsid w:val="00EB72CB"/>
    <w:rsid w:val="00EB7845"/>
    <w:rsid w:val="00EC0A52"/>
    <w:rsid w:val="00EC172A"/>
    <w:rsid w:val="00EC1BDF"/>
    <w:rsid w:val="00EC3F92"/>
    <w:rsid w:val="00EC44D4"/>
    <w:rsid w:val="00EC65BE"/>
    <w:rsid w:val="00EC6B0F"/>
    <w:rsid w:val="00EC7C1E"/>
    <w:rsid w:val="00EC7D30"/>
    <w:rsid w:val="00ED057F"/>
    <w:rsid w:val="00ED089F"/>
    <w:rsid w:val="00ED0C25"/>
    <w:rsid w:val="00ED13A2"/>
    <w:rsid w:val="00ED1A38"/>
    <w:rsid w:val="00ED20A1"/>
    <w:rsid w:val="00ED44E3"/>
    <w:rsid w:val="00ED776C"/>
    <w:rsid w:val="00ED7914"/>
    <w:rsid w:val="00EE11BE"/>
    <w:rsid w:val="00EE1619"/>
    <w:rsid w:val="00EE22B1"/>
    <w:rsid w:val="00EE344D"/>
    <w:rsid w:val="00EE36FC"/>
    <w:rsid w:val="00EE3E68"/>
    <w:rsid w:val="00EE5C6E"/>
    <w:rsid w:val="00EF041E"/>
    <w:rsid w:val="00EF100B"/>
    <w:rsid w:val="00EF18EC"/>
    <w:rsid w:val="00EF3109"/>
    <w:rsid w:val="00EF36F9"/>
    <w:rsid w:val="00EF3E87"/>
    <w:rsid w:val="00EF4840"/>
    <w:rsid w:val="00EF6C5C"/>
    <w:rsid w:val="00F003A0"/>
    <w:rsid w:val="00F0045F"/>
    <w:rsid w:val="00F01E49"/>
    <w:rsid w:val="00F03167"/>
    <w:rsid w:val="00F039C3"/>
    <w:rsid w:val="00F03F07"/>
    <w:rsid w:val="00F0495D"/>
    <w:rsid w:val="00F04BB5"/>
    <w:rsid w:val="00F04E12"/>
    <w:rsid w:val="00F04F2F"/>
    <w:rsid w:val="00F0593E"/>
    <w:rsid w:val="00F064D4"/>
    <w:rsid w:val="00F0696F"/>
    <w:rsid w:val="00F0733F"/>
    <w:rsid w:val="00F108DD"/>
    <w:rsid w:val="00F10B03"/>
    <w:rsid w:val="00F13497"/>
    <w:rsid w:val="00F13D56"/>
    <w:rsid w:val="00F14563"/>
    <w:rsid w:val="00F151A6"/>
    <w:rsid w:val="00F15D00"/>
    <w:rsid w:val="00F171C0"/>
    <w:rsid w:val="00F2025B"/>
    <w:rsid w:val="00F20B43"/>
    <w:rsid w:val="00F2210F"/>
    <w:rsid w:val="00F24B59"/>
    <w:rsid w:val="00F24E7C"/>
    <w:rsid w:val="00F25478"/>
    <w:rsid w:val="00F25D22"/>
    <w:rsid w:val="00F30213"/>
    <w:rsid w:val="00F33B7F"/>
    <w:rsid w:val="00F35E82"/>
    <w:rsid w:val="00F37B0D"/>
    <w:rsid w:val="00F37BF9"/>
    <w:rsid w:val="00F4004B"/>
    <w:rsid w:val="00F4017F"/>
    <w:rsid w:val="00F42378"/>
    <w:rsid w:val="00F4255B"/>
    <w:rsid w:val="00F441AB"/>
    <w:rsid w:val="00F47618"/>
    <w:rsid w:val="00F5052B"/>
    <w:rsid w:val="00F5416C"/>
    <w:rsid w:val="00F5647B"/>
    <w:rsid w:val="00F564B9"/>
    <w:rsid w:val="00F56A7A"/>
    <w:rsid w:val="00F57EAB"/>
    <w:rsid w:val="00F6119B"/>
    <w:rsid w:val="00F6122F"/>
    <w:rsid w:val="00F6258A"/>
    <w:rsid w:val="00F62C66"/>
    <w:rsid w:val="00F63200"/>
    <w:rsid w:val="00F63454"/>
    <w:rsid w:val="00F64053"/>
    <w:rsid w:val="00F641F9"/>
    <w:rsid w:val="00F64BAE"/>
    <w:rsid w:val="00F65EA2"/>
    <w:rsid w:val="00F673A3"/>
    <w:rsid w:val="00F673EC"/>
    <w:rsid w:val="00F72995"/>
    <w:rsid w:val="00F7495F"/>
    <w:rsid w:val="00F75B8B"/>
    <w:rsid w:val="00F76636"/>
    <w:rsid w:val="00F80A84"/>
    <w:rsid w:val="00F81309"/>
    <w:rsid w:val="00F8147B"/>
    <w:rsid w:val="00F81F50"/>
    <w:rsid w:val="00F83838"/>
    <w:rsid w:val="00F844F8"/>
    <w:rsid w:val="00F849AE"/>
    <w:rsid w:val="00F858C7"/>
    <w:rsid w:val="00F85A9B"/>
    <w:rsid w:val="00F85EDB"/>
    <w:rsid w:val="00F878A2"/>
    <w:rsid w:val="00F91021"/>
    <w:rsid w:val="00F91385"/>
    <w:rsid w:val="00F91D5C"/>
    <w:rsid w:val="00F925A4"/>
    <w:rsid w:val="00F93DCC"/>
    <w:rsid w:val="00F940F7"/>
    <w:rsid w:val="00F94399"/>
    <w:rsid w:val="00F949FE"/>
    <w:rsid w:val="00F94E0E"/>
    <w:rsid w:val="00F957BB"/>
    <w:rsid w:val="00F95D9A"/>
    <w:rsid w:val="00F95E70"/>
    <w:rsid w:val="00F96A42"/>
    <w:rsid w:val="00FA25AC"/>
    <w:rsid w:val="00FA3E23"/>
    <w:rsid w:val="00FA77DE"/>
    <w:rsid w:val="00FB1C48"/>
    <w:rsid w:val="00FB247C"/>
    <w:rsid w:val="00FB2B32"/>
    <w:rsid w:val="00FB310E"/>
    <w:rsid w:val="00FB5673"/>
    <w:rsid w:val="00FB742F"/>
    <w:rsid w:val="00FB74F4"/>
    <w:rsid w:val="00FC0322"/>
    <w:rsid w:val="00FC0A30"/>
    <w:rsid w:val="00FC2D70"/>
    <w:rsid w:val="00FC3499"/>
    <w:rsid w:val="00FC354E"/>
    <w:rsid w:val="00FC6180"/>
    <w:rsid w:val="00FC62C1"/>
    <w:rsid w:val="00FC70D2"/>
    <w:rsid w:val="00FC7B52"/>
    <w:rsid w:val="00FD097C"/>
    <w:rsid w:val="00FD0BC1"/>
    <w:rsid w:val="00FD1287"/>
    <w:rsid w:val="00FD2367"/>
    <w:rsid w:val="00FD4C30"/>
    <w:rsid w:val="00FD57F9"/>
    <w:rsid w:val="00FD58C5"/>
    <w:rsid w:val="00FD660B"/>
    <w:rsid w:val="00FD71AA"/>
    <w:rsid w:val="00FD7BEE"/>
    <w:rsid w:val="00FE00E3"/>
    <w:rsid w:val="00FE012F"/>
    <w:rsid w:val="00FE5D0F"/>
    <w:rsid w:val="00FF064C"/>
    <w:rsid w:val="00FF16C8"/>
    <w:rsid w:val="00FF2456"/>
    <w:rsid w:val="00FF33AB"/>
    <w:rsid w:val="00FF3A36"/>
    <w:rsid w:val="00FF3C8C"/>
    <w:rsid w:val="00FF54C3"/>
    <w:rsid w:val="00FF5E64"/>
    <w:rsid w:val="00FF73DF"/>
    <w:rsid w:val="00FF7539"/>
    <w:rsid w:val="00FF7816"/>
    <w:rsid w:val="00FF7D9D"/>
    <w:rsid w:val="01E0EA10"/>
    <w:rsid w:val="0371C504"/>
    <w:rsid w:val="05065C72"/>
    <w:rsid w:val="06E5902B"/>
    <w:rsid w:val="07ACBBE9"/>
    <w:rsid w:val="07FC0635"/>
    <w:rsid w:val="082CF6D4"/>
    <w:rsid w:val="09B2F6D5"/>
    <w:rsid w:val="0B490FB3"/>
    <w:rsid w:val="0E71D37E"/>
    <w:rsid w:val="0F4600F7"/>
    <w:rsid w:val="0FD71212"/>
    <w:rsid w:val="11C3FD63"/>
    <w:rsid w:val="1419721A"/>
    <w:rsid w:val="162D2B39"/>
    <w:rsid w:val="16644150"/>
    <w:rsid w:val="1705AF6F"/>
    <w:rsid w:val="175112DC"/>
    <w:rsid w:val="17C8FB9A"/>
    <w:rsid w:val="1820D7C1"/>
    <w:rsid w:val="18F31592"/>
    <w:rsid w:val="1A8EE5F3"/>
    <w:rsid w:val="1AB854FF"/>
    <w:rsid w:val="1BF9F72F"/>
    <w:rsid w:val="1E2C67B2"/>
    <w:rsid w:val="1E94ABD1"/>
    <w:rsid w:val="1F4BD27F"/>
    <w:rsid w:val="1FC0BC48"/>
    <w:rsid w:val="1FD40D7F"/>
    <w:rsid w:val="20769F70"/>
    <w:rsid w:val="20779B8F"/>
    <w:rsid w:val="21AB2A72"/>
    <w:rsid w:val="21F10160"/>
    <w:rsid w:val="22450817"/>
    <w:rsid w:val="2346FAD3"/>
    <w:rsid w:val="23878876"/>
    <w:rsid w:val="242F773C"/>
    <w:rsid w:val="24EB46A1"/>
    <w:rsid w:val="2528A222"/>
    <w:rsid w:val="25298B2C"/>
    <w:rsid w:val="25775F8E"/>
    <w:rsid w:val="26922BB6"/>
    <w:rsid w:val="29B09091"/>
    <w:rsid w:val="2B6B9C5D"/>
    <w:rsid w:val="2BC23BBC"/>
    <w:rsid w:val="2C8BA699"/>
    <w:rsid w:val="2D5E0C1D"/>
    <w:rsid w:val="2DC3BCEA"/>
    <w:rsid w:val="2ED06D72"/>
    <w:rsid w:val="2EF9DC7E"/>
    <w:rsid w:val="313F4D88"/>
    <w:rsid w:val="31470A3F"/>
    <w:rsid w:val="318DEF30"/>
    <w:rsid w:val="31E038B4"/>
    <w:rsid w:val="32317D40"/>
    <w:rsid w:val="33F632F4"/>
    <w:rsid w:val="346A7135"/>
    <w:rsid w:val="351F635C"/>
    <w:rsid w:val="354FF5A5"/>
    <w:rsid w:val="37A211F7"/>
    <w:rsid w:val="3BBF3729"/>
    <w:rsid w:val="3C14D177"/>
    <w:rsid w:val="3EA464CB"/>
    <w:rsid w:val="3EC717E2"/>
    <w:rsid w:val="3EF5DBCC"/>
    <w:rsid w:val="3F7D9E9B"/>
    <w:rsid w:val="42054469"/>
    <w:rsid w:val="42382BA0"/>
    <w:rsid w:val="424280A3"/>
    <w:rsid w:val="428C0081"/>
    <w:rsid w:val="46033D03"/>
    <w:rsid w:val="462A1C59"/>
    <w:rsid w:val="4AA0F9D0"/>
    <w:rsid w:val="4B313EA0"/>
    <w:rsid w:val="4B947EBB"/>
    <w:rsid w:val="4C32E2C7"/>
    <w:rsid w:val="4C77D95A"/>
    <w:rsid w:val="4CC91DE6"/>
    <w:rsid w:val="4D368171"/>
    <w:rsid w:val="4E4D7924"/>
    <w:rsid w:val="4EA16038"/>
    <w:rsid w:val="4EEBB4F7"/>
    <w:rsid w:val="4F84F08C"/>
    <w:rsid w:val="4FBE273F"/>
    <w:rsid w:val="5071B6FA"/>
    <w:rsid w:val="51F36DFD"/>
    <w:rsid w:val="5288FBEE"/>
    <w:rsid w:val="5349353E"/>
    <w:rsid w:val="5374D15B"/>
    <w:rsid w:val="5424CC4F"/>
    <w:rsid w:val="543832D4"/>
    <w:rsid w:val="552B0EBF"/>
    <w:rsid w:val="554BBF00"/>
    <w:rsid w:val="55B3CDAD"/>
    <w:rsid w:val="565F5CCD"/>
    <w:rsid w:val="5A944048"/>
    <w:rsid w:val="5BB2900B"/>
    <w:rsid w:val="5E1337DB"/>
    <w:rsid w:val="5E1ABDBD"/>
    <w:rsid w:val="5EEA30CD"/>
    <w:rsid w:val="6017AC5F"/>
    <w:rsid w:val="604DEEF8"/>
    <w:rsid w:val="655604C8"/>
    <w:rsid w:val="68AA4E42"/>
    <w:rsid w:val="6A764E47"/>
    <w:rsid w:val="6B25EFB2"/>
    <w:rsid w:val="6C4E21F9"/>
    <w:rsid w:val="6CBAF65F"/>
    <w:rsid w:val="6E2EB678"/>
    <w:rsid w:val="6F783D55"/>
    <w:rsid w:val="758486A6"/>
    <w:rsid w:val="75F5043F"/>
    <w:rsid w:val="7648B048"/>
    <w:rsid w:val="77FF09CC"/>
    <w:rsid w:val="78280DE0"/>
    <w:rsid w:val="790177E0"/>
    <w:rsid w:val="798AA78E"/>
    <w:rsid w:val="7BF68139"/>
    <w:rsid w:val="7C0FA996"/>
    <w:rsid w:val="7D1642EE"/>
    <w:rsid w:val="7DA528FA"/>
    <w:rsid w:val="7FF112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E9F605"/>
  <w15:chartTrackingRefBased/>
  <w15:docId w15:val="{41020981-8E9A-4D34-B5D0-B2B36AAF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60D"/>
  </w:style>
  <w:style w:type="paragraph" w:styleId="Heading1">
    <w:name w:val="heading 1"/>
    <w:aliases w:val="Heading 1 Cab,CAB Section Heading"/>
    <w:basedOn w:val="Normal"/>
    <w:next w:val="Normal"/>
    <w:link w:val="Heading1Char"/>
    <w:uiPriority w:val="4"/>
    <w:qFormat/>
    <w:rsid w:val="00C356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356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444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ab Char,CAB Section Heading Char"/>
    <w:basedOn w:val="DefaultParagraphFont"/>
    <w:link w:val="Heading1"/>
    <w:uiPriority w:val="4"/>
    <w:rsid w:val="00C3560D"/>
    <w:rPr>
      <w:rFonts w:asciiTheme="majorHAnsi" w:eastAsiaTheme="majorEastAsia" w:hAnsiTheme="majorHAnsi" w:cstheme="majorBidi"/>
      <w:color w:val="2F5496" w:themeColor="accent1" w:themeShade="BF"/>
      <w:sz w:val="32"/>
      <w:szCs w:val="32"/>
    </w:rPr>
  </w:style>
  <w:style w:type="paragraph" w:styleId="ListParagraph">
    <w:name w:val="List Paragraph"/>
    <w:aliases w:val="CAB - List Bullet,List Bullet Cab,List Paragraph1,Recommendation,List Paragraph11,L,F5 List Paragraph,Dot pt,CV text,Table text,List Paragraph111,Medium Grid 1 - Accent 21,Numbered Paragraph,List Paragraph2,Bulleted Para,FooterText,Text"/>
    <w:basedOn w:val="Normal"/>
    <w:link w:val="ListParagraphChar"/>
    <w:uiPriority w:val="34"/>
    <w:qFormat/>
    <w:rsid w:val="00C3560D"/>
    <w:pPr>
      <w:ind w:left="720"/>
      <w:contextualSpacing/>
    </w:pPr>
  </w:style>
  <w:style w:type="character" w:customStyle="1" w:styleId="ListParagraphChar">
    <w:name w:val="List Paragraph Char"/>
    <w:aliases w:val="CAB - List Bullet Char,List Bullet Cab Char,List Paragraph1 Char,Recommendation Char,List Paragraph11 Char,L Char,F5 List Paragraph Char,Dot pt Char,CV text Char,Table text Char,List Paragraph111 Char,Medium Grid 1 - Accent 21 Char"/>
    <w:basedOn w:val="DefaultParagraphFont"/>
    <w:link w:val="ListParagraph"/>
    <w:uiPriority w:val="34"/>
    <w:qFormat/>
    <w:locked/>
    <w:rsid w:val="00C3560D"/>
  </w:style>
  <w:style w:type="character" w:styleId="CommentReference">
    <w:name w:val="annotation reference"/>
    <w:basedOn w:val="DefaultParagraphFont"/>
    <w:unhideWhenUsed/>
    <w:rsid w:val="00C3560D"/>
    <w:rPr>
      <w:sz w:val="16"/>
      <w:szCs w:val="16"/>
    </w:rPr>
  </w:style>
  <w:style w:type="paragraph" w:styleId="CommentText">
    <w:name w:val="annotation text"/>
    <w:basedOn w:val="Normal"/>
    <w:link w:val="CommentTextChar"/>
    <w:uiPriority w:val="99"/>
    <w:unhideWhenUsed/>
    <w:rsid w:val="00C3560D"/>
    <w:pPr>
      <w:spacing w:line="240" w:lineRule="auto"/>
    </w:pPr>
    <w:rPr>
      <w:sz w:val="20"/>
      <w:szCs w:val="20"/>
    </w:rPr>
  </w:style>
  <w:style w:type="character" w:customStyle="1" w:styleId="CommentTextChar">
    <w:name w:val="Comment Text Char"/>
    <w:basedOn w:val="DefaultParagraphFont"/>
    <w:link w:val="CommentText"/>
    <w:uiPriority w:val="99"/>
    <w:rsid w:val="00C3560D"/>
    <w:rPr>
      <w:sz w:val="20"/>
      <w:szCs w:val="20"/>
    </w:rPr>
  </w:style>
  <w:style w:type="paragraph" w:styleId="FootnoteText">
    <w:name w:val="footnote text"/>
    <w:aliases w:val="fn,footnote text,Footnotes,Footnote ak,ft,fn cafc,fn Char Char,footnote text Char Char,Footnotes Char Char,Footnote ak Char Char,Footnote Text 2,footnote citation,Footnote Text Char Char,footnote text Char Char Char Ch"/>
    <w:basedOn w:val="Normal"/>
    <w:link w:val="FootnoteTextChar"/>
    <w:uiPriority w:val="99"/>
    <w:semiHidden/>
    <w:unhideWhenUsed/>
    <w:rsid w:val="00C3560D"/>
    <w:pPr>
      <w:spacing w:after="0" w:line="240" w:lineRule="auto"/>
    </w:pPr>
    <w:rPr>
      <w:sz w:val="20"/>
      <w:szCs w:val="20"/>
    </w:rPr>
  </w:style>
  <w:style w:type="character" w:customStyle="1" w:styleId="FootnoteTextChar">
    <w:name w:val="Footnote Text Char"/>
    <w:aliases w:val="fn Char,footnote text Char,Footnotes Char,Footnote ak Char,ft Char,fn cafc Char,fn Char Char Char,footnote text Char Char Char,Footnotes Char Char Char,Footnote ak Char Char Char,Footnote Text 2 Char,footnote citation Char"/>
    <w:basedOn w:val="DefaultParagraphFont"/>
    <w:link w:val="FootnoteText"/>
    <w:uiPriority w:val="99"/>
    <w:semiHidden/>
    <w:rsid w:val="00C3560D"/>
    <w:rPr>
      <w:sz w:val="20"/>
      <w:szCs w:val="20"/>
    </w:rPr>
  </w:style>
  <w:style w:type="character" w:styleId="FootnoteReference">
    <w:name w:val="footnote reference"/>
    <w:basedOn w:val="DefaultParagraphFont"/>
    <w:uiPriority w:val="99"/>
    <w:semiHidden/>
    <w:unhideWhenUsed/>
    <w:rsid w:val="00C3560D"/>
    <w:rPr>
      <w:vertAlign w:val="superscript"/>
    </w:rPr>
  </w:style>
  <w:style w:type="character" w:styleId="Hyperlink">
    <w:name w:val="Hyperlink"/>
    <w:basedOn w:val="DefaultParagraphFont"/>
    <w:uiPriority w:val="99"/>
    <w:unhideWhenUsed/>
    <w:rsid w:val="00C3560D"/>
    <w:rPr>
      <w:color w:val="0000FF"/>
      <w:u w:val="single"/>
    </w:rPr>
  </w:style>
  <w:style w:type="character" w:customStyle="1" w:styleId="Heading2Char">
    <w:name w:val="Heading 2 Char"/>
    <w:basedOn w:val="DefaultParagraphFont"/>
    <w:link w:val="Heading2"/>
    <w:uiPriority w:val="9"/>
    <w:rsid w:val="00C3560D"/>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5E6076"/>
    <w:rPr>
      <w:b/>
      <w:bCs/>
    </w:rPr>
  </w:style>
  <w:style w:type="character" w:customStyle="1" w:styleId="CommentSubjectChar">
    <w:name w:val="Comment Subject Char"/>
    <w:basedOn w:val="CommentTextChar"/>
    <w:link w:val="CommentSubject"/>
    <w:uiPriority w:val="99"/>
    <w:semiHidden/>
    <w:rsid w:val="005E6076"/>
    <w:rPr>
      <w:b/>
      <w:bCs/>
      <w:sz w:val="20"/>
      <w:szCs w:val="20"/>
    </w:rPr>
  </w:style>
  <w:style w:type="paragraph" w:customStyle="1" w:styleId="Default">
    <w:name w:val="Default"/>
    <w:rsid w:val="006D557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885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qFormat/>
    <w:rsid w:val="005608D1"/>
  </w:style>
  <w:style w:type="paragraph" w:styleId="TOCHeading">
    <w:name w:val="TOC Heading"/>
    <w:basedOn w:val="Heading1"/>
    <w:next w:val="Normal"/>
    <w:uiPriority w:val="39"/>
    <w:unhideWhenUsed/>
    <w:qFormat/>
    <w:rsid w:val="00876023"/>
    <w:pPr>
      <w:outlineLvl w:val="9"/>
    </w:pPr>
    <w:rPr>
      <w:lang w:val="en-US"/>
    </w:rPr>
  </w:style>
  <w:style w:type="paragraph" w:styleId="TOC1">
    <w:name w:val="toc 1"/>
    <w:basedOn w:val="Normal"/>
    <w:next w:val="Normal"/>
    <w:autoRedefine/>
    <w:uiPriority w:val="39"/>
    <w:unhideWhenUsed/>
    <w:rsid w:val="00927AE1"/>
    <w:pPr>
      <w:tabs>
        <w:tab w:val="right" w:leader="dot" w:pos="9628"/>
      </w:tabs>
      <w:spacing w:after="100"/>
    </w:pPr>
  </w:style>
  <w:style w:type="paragraph" w:styleId="TOC2">
    <w:name w:val="toc 2"/>
    <w:basedOn w:val="Normal"/>
    <w:next w:val="Normal"/>
    <w:autoRedefine/>
    <w:uiPriority w:val="39"/>
    <w:unhideWhenUsed/>
    <w:rsid w:val="00927AE1"/>
    <w:pPr>
      <w:tabs>
        <w:tab w:val="right" w:leader="dot" w:pos="9628"/>
      </w:tabs>
      <w:spacing w:after="100"/>
      <w:ind w:left="220"/>
    </w:pPr>
  </w:style>
  <w:style w:type="character" w:styleId="FollowedHyperlink">
    <w:name w:val="FollowedHyperlink"/>
    <w:basedOn w:val="DefaultParagraphFont"/>
    <w:uiPriority w:val="99"/>
    <w:semiHidden/>
    <w:unhideWhenUsed/>
    <w:rsid w:val="00D207AF"/>
    <w:rPr>
      <w:color w:val="954F72" w:themeColor="followedHyperlink"/>
      <w:u w:val="single"/>
    </w:rPr>
  </w:style>
  <w:style w:type="paragraph" w:styleId="NormalWeb">
    <w:name w:val="Normal (Web)"/>
    <w:basedOn w:val="Normal"/>
    <w:uiPriority w:val="99"/>
    <w:semiHidden/>
    <w:unhideWhenUsed/>
    <w:rsid w:val="0082065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2E4C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C32"/>
  </w:style>
  <w:style w:type="paragraph" w:styleId="Footer">
    <w:name w:val="footer"/>
    <w:basedOn w:val="Normal"/>
    <w:link w:val="FooterChar"/>
    <w:uiPriority w:val="99"/>
    <w:unhideWhenUsed/>
    <w:rsid w:val="002E4C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C32"/>
  </w:style>
  <w:style w:type="character" w:customStyle="1" w:styleId="Heading3Char">
    <w:name w:val="Heading 3 Char"/>
    <w:basedOn w:val="DefaultParagraphFont"/>
    <w:link w:val="Heading3"/>
    <w:uiPriority w:val="9"/>
    <w:rsid w:val="00844440"/>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9E482D"/>
    <w:pPr>
      <w:tabs>
        <w:tab w:val="right" w:leader="dot" w:pos="9628"/>
      </w:tabs>
      <w:spacing w:after="100"/>
      <w:ind w:left="440"/>
    </w:pPr>
  </w:style>
  <w:style w:type="paragraph" w:styleId="Revision">
    <w:name w:val="Revision"/>
    <w:hidden/>
    <w:uiPriority w:val="99"/>
    <w:semiHidden/>
    <w:rsid w:val="00A558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701643">
      <w:bodyDiv w:val="1"/>
      <w:marLeft w:val="0"/>
      <w:marRight w:val="0"/>
      <w:marTop w:val="0"/>
      <w:marBottom w:val="0"/>
      <w:divBdr>
        <w:top w:val="none" w:sz="0" w:space="0" w:color="auto"/>
        <w:left w:val="none" w:sz="0" w:space="0" w:color="auto"/>
        <w:bottom w:val="none" w:sz="0" w:space="0" w:color="auto"/>
        <w:right w:val="none" w:sz="0" w:space="0" w:color="auto"/>
      </w:divBdr>
    </w:div>
    <w:div w:id="474640666">
      <w:bodyDiv w:val="1"/>
      <w:marLeft w:val="0"/>
      <w:marRight w:val="0"/>
      <w:marTop w:val="0"/>
      <w:marBottom w:val="0"/>
      <w:divBdr>
        <w:top w:val="none" w:sz="0" w:space="0" w:color="auto"/>
        <w:left w:val="none" w:sz="0" w:space="0" w:color="auto"/>
        <w:bottom w:val="none" w:sz="0" w:space="0" w:color="auto"/>
        <w:right w:val="none" w:sz="0" w:space="0" w:color="auto"/>
      </w:divBdr>
    </w:div>
    <w:div w:id="709649697">
      <w:bodyDiv w:val="1"/>
      <w:marLeft w:val="0"/>
      <w:marRight w:val="0"/>
      <w:marTop w:val="0"/>
      <w:marBottom w:val="0"/>
      <w:divBdr>
        <w:top w:val="none" w:sz="0" w:space="0" w:color="auto"/>
        <w:left w:val="none" w:sz="0" w:space="0" w:color="auto"/>
        <w:bottom w:val="none" w:sz="0" w:space="0" w:color="auto"/>
        <w:right w:val="none" w:sz="0" w:space="0" w:color="auto"/>
      </w:divBdr>
    </w:div>
    <w:div w:id="1114053152">
      <w:bodyDiv w:val="1"/>
      <w:marLeft w:val="0"/>
      <w:marRight w:val="0"/>
      <w:marTop w:val="0"/>
      <w:marBottom w:val="0"/>
      <w:divBdr>
        <w:top w:val="none" w:sz="0" w:space="0" w:color="auto"/>
        <w:left w:val="none" w:sz="0" w:space="0" w:color="auto"/>
        <w:bottom w:val="none" w:sz="0" w:space="0" w:color="auto"/>
        <w:right w:val="none" w:sz="0" w:space="0" w:color="auto"/>
      </w:divBdr>
    </w:div>
    <w:div w:id="1305506833">
      <w:bodyDiv w:val="1"/>
      <w:marLeft w:val="0"/>
      <w:marRight w:val="0"/>
      <w:marTop w:val="0"/>
      <w:marBottom w:val="0"/>
      <w:divBdr>
        <w:top w:val="none" w:sz="0" w:space="0" w:color="auto"/>
        <w:left w:val="none" w:sz="0" w:space="0" w:color="auto"/>
        <w:bottom w:val="none" w:sz="0" w:space="0" w:color="auto"/>
        <w:right w:val="none" w:sz="0" w:space="0" w:color="auto"/>
      </w:divBdr>
    </w:div>
    <w:div w:id="1364938621">
      <w:bodyDiv w:val="1"/>
      <w:marLeft w:val="0"/>
      <w:marRight w:val="0"/>
      <w:marTop w:val="0"/>
      <w:marBottom w:val="0"/>
      <w:divBdr>
        <w:top w:val="none" w:sz="0" w:space="0" w:color="auto"/>
        <w:left w:val="none" w:sz="0" w:space="0" w:color="auto"/>
        <w:bottom w:val="none" w:sz="0" w:space="0" w:color="auto"/>
        <w:right w:val="none" w:sz="0" w:space="0" w:color="auto"/>
      </w:divBdr>
    </w:div>
    <w:div w:id="1380859696">
      <w:bodyDiv w:val="1"/>
      <w:marLeft w:val="0"/>
      <w:marRight w:val="0"/>
      <w:marTop w:val="0"/>
      <w:marBottom w:val="0"/>
      <w:divBdr>
        <w:top w:val="none" w:sz="0" w:space="0" w:color="auto"/>
        <w:left w:val="none" w:sz="0" w:space="0" w:color="auto"/>
        <w:bottom w:val="none" w:sz="0" w:space="0" w:color="auto"/>
        <w:right w:val="none" w:sz="0" w:space="0" w:color="auto"/>
      </w:divBdr>
    </w:div>
    <w:div w:id="1395620727">
      <w:bodyDiv w:val="1"/>
      <w:marLeft w:val="0"/>
      <w:marRight w:val="0"/>
      <w:marTop w:val="0"/>
      <w:marBottom w:val="0"/>
      <w:divBdr>
        <w:top w:val="none" w:sz="0" w:space="0" w:color="auto"/>
        <w:left w:val="none" w:sz="0" w:space="0" w:color="auto"/>
        <w:bottom w:val="none" w:sz="0" w:space="0" w:color="auto"/>
        <w:right w:val="none" w:sz="0" w:space="0" w:color="auto"/>
      </w:divBdr>
    </w:div>
    <w:div w:id="1418866576">
      <w:bodyDiv w:val="1"/>
      <w:marLeft w:val="0"/>
      <w:marRight w:val="0"/>
      <w:marTop w:val="0"/>
      <w:marBottom w:val="0"/>
      <w:divBdr>
        <w:top w:val="none" w:sz="0" w:space="0" w:color="auto"/>
        <w:left w:val="none" w:sz="0" w:space="0" w:color="auto"/>
        <w:bottom w:val="none" w:sz="0" w:space="0" w:color="auto"/>
        <w:right w:val="none" w:sz="0" w:space="0" w:color="auto"/>
      </w:divBdr>
    </w:div>
    <w:div w:id="1438716370">
      <w:bodyDiv w:val="1"/>
      <w:marLeft w:val="0"/>
      <w:marRight w:val="0"/>
      <w:marTop w:val="0"/>
      <w:marBottom w:val="0"/>
      <w:divBdr>
        <w:top w:val="none" w:sz="0" w:space="0" w:color="auto"/>
        <w:left w:val="none" w:sz="0" w:space="0" w:color="auto"/>
        <w:bottom w:val="none" w:sz="0" w:space="0" w:color="auto"/>
        <w:right w:val="none" w:sz="0" w:space="0" w:color="auto"/>
      </w:divBdr>
    </w:div>
    <w:div w:id="1615207141">
      <w:bodyDiv w:val="1"/>
      <w:marLeft w:val="0"/>
      <w:marRight w:val="0"/>
      <w:marTop w:val="0"/>
      <w:marBottom w:val="0"/>
      <w:divBdr>
        <w:top w:val="none" w:sz="0" w:space="0" w:color="auto"/>
        <w:left w:val="none" w:sz="0" w:space="0" w:color="auto"/>
        <w:bottom w:val="none" w:sz="0" w:space="0" w:color="auto"/>
        <w:right w:val="none" w:sz="0" w:space="0" w:color="auto"/>
      </w:divBdr>
    </w:div>
    <w:div w:id="1639870216">
      <w:bodyDiv w:val="1"/>
      <w:marLeft w:val="0"/>
      <w:marRight w:val="0"/>
      <w:marTop w:val="0"/>
      <w:marBottom w:val="0"/>
      <w:divBdr>
        <w:top w:val="none" w:sz="0" w:space="0" w:color="auto"/>
        <w:left w:val="none" w:sz="0" w:space="0" w:color="auto"/>
        <w:bottom w:val="none" w:sz="0" w:space="0" w:color="auto"/>
        <w:right w:val="none" w:sz="0" w:space="0" w:color="auto"/>
      </w:divBdr>
    </w:div>
    <w:div w:id="1746030840">
      <w:bodyDiv w:val="1"/>
      <w:marLeft w:val="0"/>
      <w:marRight w:val="0"/>
      <w:marTop w:val="0"/>
      <w:marBottom w:val="0"/>
      <w:divBdr>
        <w:top w:val="none" w:sz="0" w:space="0" w:color="auto"/>
        <w:left w:val="none" w:sz="0" w:space="0" w:color="auto"/>
        <w:bottom w:val="none" w:sz="0" w:space="0" w:color="auto"/>
        <w:right w:val="none" w:sz="0" w:space="0" w:color="auto"/>
      </w:divBdr>
    </w:div>
    <w:div w:id="1752700002">
      <w:bodyDiv w:val="1"/>
      <w:marLeft w:val="0"/>
      <w:marRight w:val="0"/>
      <w:marTop w:val="0"/>
      <w:marBottom w:val="0"/>
      <w:divBdr>
        <w:top w:val="none" w:sz="0" w:space="0" w:color="auto"/>
        <w:left w:val="none" w:sz="0" w:space="0" w:color="auto"/>
        <w:bottom w:val="none" w:sz="0" w:space="0" w:color="auto"/>
        <w:right w:val="none" w:sz="0" w:space="0" w:color="auto"/>
      </w:divBdr>
    </w:div>
    <w:div w:id="1760591862">
      <w:bodyDiv w:val="1"/>
      <w:marLeft w:val="0"/>
      <w:marRight w:val="0"/>
      <w:marTop w:val="0"/>
      <w:marBottom w:val="0"/>
      <w:divBdr>
        <w:top w:val="none" w:sz="0" w:space="0" w:color="auto"/>
        <w:left w:val="none" w:sz="0" w:space="0" w:color="auto"/>
        <w:bottom w:val="none" w:sz="0" w:space="0" w:color="auto"/>
        <w:right w:val="none" w:sz="0" w:space="0" w:color="auto"/>
      </w:divBdr>
    </w:div>
    <w:div w:id="1856067062">
      <w:bodyDiv w:val="1"/>
      <w:marLeft w:val="0"/>
      <w:marRight w:val="0"/>
      <w:marTop w:val="0"/>
      <w:marBottom w:val="0"/>
      <w:divBdr>
        <w:top w:val="none" w:sz="0" w:space="0" w:color="auto"/>
        <w:left w:val="none" w:sz="0" w:space="0" w:color="auto"/>
        <w:bottom w:val="none" w:sz="0" w:space="0" w:color="auto"/>
        <w:right w:val="none" w:sz="0" w:space="0" w:color="auto"/>
      </w:divBdr>
    </w:div>
    <w:div w:id="1982492765">
      <w:bodyDiv w:val="1"/>
      <w:marLeft w:val="0"/>
      <w:marRight w:val="0"/>
      <w:marTop w:val="0"/>
      <w:marBottom w:val="0"/>
      <w:divBdr>
        <w:top w:val="none" w:sz="0" w:space="0" w:color="auto"/>
        <w:left w:val="none" w:sz="0" w:space="0" w:color="auto"/>
        <w:bottom w:val="none" w:sz="0" w:space="0" w:color="auto"/>
        <w:right w:val="none" w:sz="0" w:space="0" w:color="auto"/>
      </w:divBdr>
    </w:div>
    <w:div w:id="2068723457">
      <w:bodyDiv w:val="1"/>
      <w:marLeft w:val="0"/>
      <w:marRight w:val="0"/>
      <w:marTop w:val="0"/>
      <w:marBottom w:val="0"/>
      <w:divBdr>
        <w:top w:val="none" w:sz="0" w:space="0" w:color="auto"/>
        <w:left w:val="none" w:sz="0" w:space="0" w:color="auto"/>
        <w:bottom w:val="none" w:sz="0" w:space="0" w:color="auto"/>
        <w:right w:val="none" w:sz="0" w:space="0" w:color="auto"/>
      </w:divBdr>
    </w:div>
    <w:div w:id="214684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fat.gov.au/trade/agreements/negotiations/aifta/submissions/australia-india-fta-submissions/australia-india-fta-submissions-earlier-negotiations"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dfat.gov.au/trade/agreements/negotiations/aifta/submissions/australia-india-fta-submissions/australia-india-fta-submissions-earlier-negotiation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fat.gov.au/publications/minisite/2017-foreign-policy-white-paper/fpwhitepaper/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dfat.gov.au/sites/default/files/ceca-submission-aheia.pdf" TargetMode="External"/><Relationship Id="rId18" Type="http://schemas.openxmlformats.org/officeDocument/2006/relationships/hyperlink" Target="https://www.dfat.gov.au/sites/default/files/dfat-annual-report-2020-21.pdf" TargetMode="External"/><Relationship Id="rId26" Type="http://schemas.openxmlformats.org/officeDocument/2006/relationships/hyperlink" Target="https://openknowledge.worldbank.org/bitstream/handle/10986/33623/9781464815300.pdf?sequence=4&amp;isAllowed=y" TargetMode="External"/><Relationship Id="rId39" Type="http://schemas.openxmlformats.org/officeDocument/2006/relationships/hyperlink" Target="https://www.aph.gov.au/Parliamentary_Business/Committees/Senate/Former_Committees/foodprocessing/foodprocessing/report/index" TargetMode="External"/><Relationship Id="rId21" Type="http://schemas.openxmlformats.org/officeDocument/2006/relationships/hyperlink" Target="https://www.dfat.gov.au/publications/trade-and-investment/india-economic-strategy/ies/index.html" TargetMode="External"/><Relationship Id="rId34" Type="http://schemas.openxmlformats.org/officeDocument/2006/relationships/hyperlink" Target="https://www.agriculture.gov.au/fisheries/aus-seafood-trade" TargetMode="External"/><Relationship Id="rId42" Type="http://schemas.openxmlformats.org/officeDocument/2006/relationships/hyperlink" Target="https://www.dfat.gov.au/sites/default/files/india-market-insights-2021.pdf" TargetMode="External"/><Relationship Id="rId47" Type="http://schemas.openxmlformats.org/officeDocument/2006/relationships/hyperlink" Target="https://aus01.safelinks.protection.outlook.com/?url=https%3A%2F%2Fwww.oecd.org%2Ftrade%2Ftopics%2Fservices-trade%2Fdocuments%2Foecd-stri-country-note-ind.pdf&amp;data=04%7C01%7CKatie.Francis%40dfat.gov.au%7C6af201d614844847b2c208d9fcd925ea%7C9b7f23b30e8347a58a40ffa8a6fea536%7C0%7C0%7C637818832127970158%7CUnknown%7CTWFpbGZsb3d8eyJWIjoiMC4wLjAwMDAiLCJQIjoiV2luMzIiLCJBTiI6Ik1haWwiLCJXVCI6Mn0%3D%7C3000&amp;sdata=ePBiUuIImt6L6In363GQrTCSir7cRr44H5juOKLOZIs%3D&amp;reserved=0" TargetMode="External"/><Relationship Id="rId50" Type="http://schemas.openxmlformats.org/officeDocument/2006/relationships/hyperlink" Target="https://firb.gov.au/general-guidance/monetary-thresholds" TargetMode="External"/><Relationship Id="rId55" Type="http://schemas.openxmlformats.org/officeDocument/2006/relationships/hyperlink" Target="https://www.lawcouncil.asn.au/about-us/our-constituent-bodies-and-directors" TargetMode="External"/><Relationship Id="rId7" Type="http://schemas.openxmlformats.org/officeDocument/2006/relationships/hyperlink" Target="file:///C:/Users/stoh/Downloads/1INDEA2021001.pdf" TargetMode="External"/><Relationship Id="rId2" Type="http://schemas.openxmlformats.org/officeDocument/2006/relationships/hyperlink" Target="file:///C:/Users/stoh/AppData/Local/Temp/1/7zOCC6C3A3D/Sub043%20-%20DFAT.pdf" TargetMode="External"/><Relationship Id="rId16" Type="http://schemas.openxmlformats.org/officeDocument/2006/relationships/hyperlink" Target="https://www.dfat.gov.au/sites/default/files/south-australian-government.pdf" TargetMode="External"/><Relationship Id="rId29" Type="http://schemas.openxmlformats.org/officeDocument/2006/relationships/hyperlink" Target="https://www.imf.org/en/Publications/WEO/Issues/2022/01/25/world-economic-outlook-update-january-2022" TargetMode="External"/><Relationship Id="rId11" Type="http://schemas.openxmlformats.org/officeDocument/2006/relationships/hyperlink" Target="https://www.dfat.gov.au/sites/default/files/ceca-submission-graingrowers.pdf" TargetMode="External"/><Relationship Id="rId24" Type="http://schemas.openxmlformats.org/officeDocument/2006/relationships/hyperlink" Target="https://www.dfat.gov.au/about-us/publications/trade-investment/Pages/free-trade-agreement-utilisation-study-pwc-report" TargetMode="External"/><Relationship Id="rId32" Type="http://schemas.openxmlformats.org/officeDocument/2006/relationships/hyperlink" Target="https://www.agriculture.gov.au/abares/research-topics/fisheries/fisheries-economics/fisheries-forecasts" TargetMode="External"/><Relationship Id="rId37" Type="http://schemas.openxmlformats.org/officeDocument/2006/relationships/hyperlink" Target="https://daff.ent.sirsidynix.net.au/client/en_AU/search/asset/1030181/0" TargetMode="External"/><Relationship Id="rId40" Type="http://schemas.openxmlformats.org/officeDocument/2006/relationships/hyperlink" Target="https://my.ibisworld.com/au/en/industry/e/about" TargetMode="External"/><Relationship Id="rId45" Type="http://schemas.openxmlformats.org/officeDocument/2006/relationships/hyperlink" Target="https://www.wto.org/english/news_e/news21_e/jssdr_26nov21_e.htm" TargetMode="External"/><Relationship Id="rId53" Type="http://schemas.openxmlformats.org/officeDocument/2006/relationships/hyperlink" Target="https://www.ibef.org/industry/telecommunications.aspx" TargetMode="External"/><Relationship Id="rId58" Type="http://schemas.openxmlformats.org/officeDocument/2006/relationships/hyperlink" Target="https://joboutlook.gov.au/occupations/chefs?occupationCode=3513" TargetMode="External"/><Relationship Id="rId5" Type="http://schemas.openxmlformats.org/officeDocument/2006/relationships/hyperlink" Target="file:///C:/Users/stoh/Downloads/Govt%20response%20-%20Pivot%206%20August%202021%20(1).pdf" TargetMode="External"/><Relationship Id="rId19" Type="http://schemas.openxmlformats.org/officeDocument/2006/relationships/hyperlink" Target="https://www.dfat.gov.au/geo/india/joint-statement-comprehensive-strategic-partnership-between-republic-india-and-australia" TargetMode="External"/><Relationship Id="rId4" Type="http://schemas.openxmlformats.org/officeDocument/2006/relationships/hyperlink" Target="https://parlinfo.aph.gov.au/parlInfo/download/committees/reportjnt/024519/toc_pdf/Pivot.pdf;fileType=application%2Fpdf" TargetMode="External"/><Relationship Id="rId9" Type="http://schemas.openxmlformats.org/officeDocument/2006/relationships/hyperlink" Target="https://www.dfat.gov.au/sites/default/files/india-market-insights-2021.pdf" TargetMode="External"/><Relationship Id="rId14" Type="http://schemas.openxmlformats.org/officeDocument/2006/relationships/hyperlink" Target="https://www.dfat.gov.au/sites/default/files/india-market-insights-2021.pdf" TargetMode="External"/><Relationship Id="rId22" Type="http://schemas.openxmlformats.org/officeDocument/2006/relationships/hyperlink" Target="https://www.trademinister.gov.au/minister/dan-tehan/media-release/australia-and-india-trade-deal" TargetMode="External"/><Relationship Id="rId27" Type="http://schemas.openxmlformats.org/officeDocument/2006/relationships/hyperlink" Target="https://population.un.org/wpp/Publications/Files/WPP2019_Highlights.pdf" TargetMode="External"/><Relationship Id="rId30" Type="http://schemas.openxmlformats.org/officeDocument/2006/relationships/hyperlink" Target="https://www.dfat.gov.au/sites/default/files/ceca-submission-graingrowers.pdf" TargetMode="External"/><Relationship Id="rId35" Type="http://schemas.openxmlformats.org/officeDocument/2006/relationships/hyperlink" Target="https://www.agriculture.gov.au/fisheries/aus-seafood-trade" TargetMode="External"/><Relationship Id="rId43" Type="http://schemas.openxmlformats.org/officeDocument/2006/relationships/hyperlink" Target="https://www.tradebarriers.gov.au/transparency/index.html" TargetMode="External"/><Relationship Id="rId48" Type="http://schemas.openxmlformats.org/officeDocument/2006/relationships/hyperlink" Target="https://issuu.com/oecd.publishing/docs/oecd_stri_policy_trends_up_to_2022" TargetMode="External"/><Relationship Id="rId56" Type="http://schemas.openxmlformats.org/officeDocument/2006/relationships/hyperlink" Target="https://www.chiefscientist.gov.au/2014/09/professor-chubb-releases-science-technology-engineering-and-mathematics-australias-future" TargetMode="External"/><Relationship Id="rId8" Type="http://schemas.openxmlformats.org/officeDocument/2006/relationships/hyperlink" Target="https://www.aljazeera.com/economy/2021/11/30/indias-economic-recovery-gathers-pace-as-omicron-looms" TargetMode="External"/><Relationship Id="rId51" Type="http://schemas.openxmlformats.org/officeDocument/2006/relationships/hyperlink" Target="https://www.ibisworld.com/" TargetMode="External"/><Relationship Id="rId3" Type="http://schemas.openxmlformats.org/officeDocument/2006/relationships/hyperlink" Target="https://parlinfo.aph.gov.au/parlInfo/download/committees/reportjnt/024519/toc_pdf/Pivot.pdf;fileType=application%2Fpdf" TargetMode="External"/><Relationship Id="rId12" Type="http://schemas.openxmlformats.org/officeDocument/2006/relationships/hyperlink" Target="https://www.dfat.gov.au/sites/default/files/ceca-submission-grain-trade-australia.pdf" TargetMode="External"/><Relationship Id="rId17" Type="http://schemas.openxmlformats.org/officeDocument/2006/relationships/hyperlink" Target="https://www.dfat.gov.au/sites/default/files/free-trade-agreement-utilisation-study-pwc-report.pdf" TargetMode="External"/><Relationship Id="rId25" Type="http://schemas.openxmlformats.org/officeDocument/2006/relationships/hyperlink" Target="https://www.dfat.gov.au/sites/default/files/Australia-India-Joint-FTA-Feasibility-Study.pdf" TargetMode="External"/><Relationship Id="rId33" Type="http://schemas.openxmlformats.org/officeDocument/2006/relationships/hyperlink" Target="https://www.agriculture.gov.au/abares/research-topics/fisheries/fisheries-economics/fisheries-forecasts" TargetMode="External"/><Relationship Id="rId38" Type="http://schemas.openxmlformats.org/officeDocument/2006/relationships/hyperlink" Target="https://www.aph.gov.au/About_Parliament/Parliamentary_Departments/Parliamentary_Library/pubs/BriefingBook44p/ProcessedFood" TargetMode="External"/><Relationship Id="rId46" Type="http://schemas.openxmlformats.org/officeDocument/2006/relationships/hyperlink" Target="https://www.oecd-ilibrary.org/trade/services-and-performance-of-the-indian-economy_9259fd54-en;jsessionid=5OSEB9Kl1bOaHxI1MxjY1OTj.ip-10-240-5-107" TargetMode="External"/><Relationship Id="rId59" Type="http://schemas.openxmlformats.org/officeDocument/2006/relationships/hyperlink" Target="https://joboutlook.gov.au/occupations/fitness-instructors?occupationCode=4521" TargetMode="External"/><Relationship Id="rId20" Type="http://schemas.openxmlformats.org/officeDocument/2006/relationships/hyperlink" Target="https://www.dfat.gov.au/publications/minisite/2017-foreign-policy-white-paper/fpwhitepaper/index.html" TargetMode="External"/><Relationship Id="rId41" Type="http://schemas.openxmlformats.org/officeDocument/2006/relationships/hyperlink" Target="https://my.ibisworld.com/au/en/industry/c2110/industry-at-a-glance" TargetMode="External"/><Relationship Id="rId54" Type="http://schemas.openxmlformats.org/officeDocument/2006/relationships/hyperlink" Target="https://www.pc.gov.au/inquiries/completed/service-exports/report" TargetMode="External"/><Relationship Id="rId1" Type="http://schemas.openxmlformats.org/officeDocument/2006/relationships/hyperlink" Target="https://parlinfo.aph.gov.au/parlInfo/download/committees/reportjnt/024519/toc_pdf/Pivot.pdf;fileType=application%2Fpdf" TargetMode="External"/><Relationship Id="rId6" Type="http://schemas.openxmlformats.org/officeDocument/2006/relationships/hyperlink" Target="https://www.dfat.gov.au/trade/agreements/negotiations/aifta/australia-india-comprehensive-economic-cooperation-agreement" TargetMode="External"/><Relationship Id="rId15" Type="http://schemas.openxmlformats.org/officeDocument/2006/relationships/hyperlink" Target="https://www.dfat.gov.au/sites/default/files/india-market-insights-2021.pdf" TargetMode="External"/><Relationship Id="rId23" Type="http://schemas.openxmlformats.org/officeDocument/2006/relationships/hyperlink" Target="file:///C:/Users/stoh/Downloads/Govt%20response%20-%20Pivot%206%20August%202021%20(1).pdf" TargetMode="External"/><Relationship Id="rId28" Type="http://schemas.openxmlformats.org/officeDocument/2006/relationships/hyperlink" Target="https://www.oecd.org/economy/growth/India-country-note-going-for-growth-2021.pdf" TargetMode="External"/><Relationship Id="rId36" Type="http://schemas.openxmlformats.org/officeDocument/2006/relationships/hyperlink" Target="https://www.indiantradeportal.in/vs.jsp?lang=0&amp;id=0,31,24100,24107" TargetMode="External"/><Relationship Id="rId49" Type="http://schemas.openxmlformats.org/officeDocument/2006/relationships/hyperlink" Target="https://www.ibisworld.com/" TargetMode="External"/><Relationship Id="rId57" Type="http://schemas.openxmlformats.org/officeDocument/2006/relationships/hyperlink" Target="https://www.dese.gov.au/australian-curriculum/national-stem-education-resources-toolkit/introductory-material/why-stem-important" TargetMode="External"/><Relationship Id="rId10" Type="http://schemas.openxmlformats.org/officeDocument/2006/relationships/hyperlink" Target="https://www.dfat.gov.au/sites/default/files/wine-australia.pdf" TargetMode="External"/><Relationship Id="rId31" Type="http://schemas.openxmlformats.org/officeDocument/2006/relationships/hyperlink" Target="https://www.dfat.gov.au/sites/default/files/wine-australia.pdf" TargetMode="External"/><Relationship Id="rId44" Type="http://schemas.openxmlformats.org/officeDocument/2006/relationships/hyperlink" Target="https://www.pc.gov.au/research/ongoing/productivity-insights/services" TargetMode="External"/><Relationship Id="rId52" Type="http://schemas.openxmlformats.org/officeDocument/2006/relationships/hyperlink" Target="https://www.ibisworld.com/" TargetMode="External"/><Relationship Id="rId60" Type="http://schemas.openxmlformats.org/officeDocument/2006/relationships/hyperlink" Target="https://joboutlook.gov.au/occupations/other-sports-coaches-and-instructors?occupationCode=452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1" ma:contentTypeDescription="Create a new document." ma:contentTypeScope="" ma:versionID="59e167facbd9e776d6599421bbce5fe9">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77a0628d3abd3daff5cf9c84b73c7fc9"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195ad5f-cdf2-4c4a-8d9b-b7944a108e98">DOCID-322795542-12519</_dlc_DocId>
    <_dlc_DocIdUrl xmlns="4195ad5f-cdf2-4c4a-8d9b-b7944a108e98">
      <Url>https://pmc01.sharepoint.com/sites/CRMOBPR/_layouts/15/DocIdRedir.aspx?ID=DOCID-322795542-12519</Url>
      <Description>DOCID-322795542-12519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C6EE33D-D427-4D16-AF5E-530E74A02C12}">
  <ds:schemaRefs>
    <ds:schemaRef ds:uri="http://schemas.microsoft.com/sharepoint/v3/contenttype/forms"/>
  </ds:schemaRefs>
</ds:datastoreItem>
</file>

<file path=customXml/itemProps2.xml><?xml version="1.0" encoding="utf-8"?>
<ds:datastoreItem xmlns:ds="http://schemas.openxmlformats.org/officeDocument/2006/customXml" ds:itemID="{952E3232-0A4D-4A4B-A5B3-CD6D9C2BDB64}">
  <ds:schemaRefs>
    <ds:schemaRef ds:uri="http://schemas.openxmlformats.org/officeDocument/2006/bibliography"/>
  </ds:schemaRefs>
</ds:datastoreItem>
</file>

<file path=customXml/itemProps3.xml><?xml version="1.0" encoding="utf-8"?>
<ds:datastoreItem xmlns:ds="http://schemas.openxmlformats.org/officeDocument/2006/customXml" ds:itemID="{8866458C-1F04-414A-A99C-564B55BFE111}"/>
</file>

<file path=customXml/itemProps4.xml><?xml version="1.0" encoding="utf-8"?>
<ds:datastoreItem xmlns:ds="http://schemas.openxmlformats.org/officeDocument/2006/customXml" ds:itemID="{1BC107CC-3FD7-4BBB-8C60-C735D5F7D25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00BCFAF-84F5-4496-BA3B-FEBD30353A13}"/>
</file>

<file path=docProps/app.xml><?xml version="1.0" encoding="utf-8"?>
<Properties xmlns="http://schemas.openxmlformats.org/officeDocument/2006/extended-properties" xmlns:vt="http://schemas.openxmlformats.org/officeDocument/2006/docPropsVTypes">
  <Template>Normal.dotm</Template>
  <TotalTime>0</TotalTime>
  <Pages>81</Pages>
  <Words>29213</Words>
  <Characters>163456</Characters>
  <Application>Microsoft Office Word</Application>
  <DocSecurity>4</DocSecurity>
  <Lines>5032</Lines>
  <Paragraphs>2206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Toh, Sarah</dc:creator>
  <cp:keywords> [SEC=OFFICIAL]</cp:keywords>
  <dc:description/>
  <cp:lastModifiedBy>Helen Wilson</cp:lastModifiedBy>
  <cp:revision>2</cp:revision>
  <cp:lastPrinted>2022-03-27T22:42:00Z</cp:lastPrinted>
  <dcterms:created xsi:type="dcterms:W3CDTF">2022-03-30T07:52:00Z</dcterms:created>
  <dcterms:modified xsi:type="dcterms:W3CDTF">2022-03-30T07:52:00Z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F1B02846EE6E4AE6BD0777E809CE5CFE</vt:lpwstr>
  </property>
  <property fmtid="{D5CDD505-2E9C-101B-9397-08002B2CF9AE}" pid="9" name="PM_ProtectiveMarkingValue_Footer">
    <vt:lpwstr>OFFICIAL</vt:lpwstr>
  </property>
  <property fmtid="{D5CDD505-2E9C-101B-9397-08002B2CF9AE}" pid="10" name="PM_Originator_Hash_SHA1">
    <vt:lpwstr>907D4C70A83676A01756C9697B05B2C5B59E1D49</vt:lpwstr>
  </property>
  <property fmtid="{D5CDD505-2E9C-101B-9397-08002B2CF9AE}" pid="11" name="PM_OriginationTimeStamp">
    <vt:lpwstr>2022-03-30T06:20:38Z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416D2834DF3274CAA9C5AC31DD7225C3</vt:lpwstr>
  </property>
  <property fmtid="{D5CDD505-2E9C-101B-9397-08002B2CF9AE}" pid="20" name="PM_Hash_Salt">
    <vt:lpwstr>EF9C549D689BAE2E435FF2A747C67DD9</vt:lpwstr>
  </property>
  <property fmtid="{D5CDD505-2E9C-101B-9397-08002B2CF9AE}" pid="21" name="PM_Hash_SHA1">
    <vt:lpwstr>52B84B514D328690C28BF7F464B9E2DD81EA203D</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0x0101009CA239676470E04B809DDC4E24CF2322</vt:lpwstr>
  </property>
  <property fmtid="{D5CDD505-2E9C-101B-9397-08002B2CF9AE}" pid="25" name="_dlc_DocIdItemGuid">
    <vt:lpwstr>72e333b3-1593-4000-8064-e6fe55df8525</vt:lpwstr>
  </property>
</Properties>
</file>