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BF01" w14:textId="65D1B710" w:rsidR="005F6F02" w:rsidRDefault="00437881">
      <w:pPr>
        <w:pStyle w:val="SinglePara"/>
        <w:jc w:val="right"/>
      </w:pPr>
      <w:r>
        <w:fldChar w:fldCharType="begin"/>
      </w:r>
      <w:r>
        <w:instrText xml:space="preserve"> CREATEDATE \@ "d MMMM, yyyy" \* MERGEFORMAT </w:instrText>
      </w:r>
      <w:r>
        <w:fldChar w:fldCharType="separate"/>
      </w:r>
      <w:r w:rsidR="009609F0">
        <w:rPr>
          <w:noProof/>
        </w:rPr>
        <w:t>31</w:t>
      </w:r>
      <w:bookmarkStart w:id="0" w:name="_GoBack"/>
      <w:bookmarkEnd w:id="0"/>
      <w:r w:rsidR="009C6C2D">
        <w:rPr>
          <w:noProof/>
        </w:rPr>
        <w:t xml:space="preserve"> March 2022</w:t>
      </w:r>
      <w:r>
        <w:rPr>
          <w:noProof/>
        </w:rPr>
        <w:fldChar w:fldCharType="end"/>
      </w:r>
    </w:p>
    <w:p w14:paraId="517A3EA3" w14:textId="0E27415B" w:rsidR="005F6F02" w:rsidRDefault="005F6F02">
      <w:pPr>
        <w:spacing w:after="0"/>
        <w:jc w:val="right"/>
      </w:pPr>
      <w:bookmarkStart w:id="1" w:name="File"/>
      <w:bookmarkEnd w:id="1"/>
    </w:p>
    <w:p w14:paraId="2887F3A7" w14:textId="77777777" w:rsidR="00BB07E5" w:rsidRPr="00BB07E5" w:rsidRDefault="00BB07E5" w:rsidP="00BB07E5">
      <w:r w:rsidRPr="00BB07E5">
        <w:t xml:space="preserve">Mr Jason Lange </w:t>
      </w:r>
      <w:r w:rsidRPr="00BB07E5">
        <w:br/>
        <w:t xml:space="preserve">Executive Director </w:t>
      </w:r>
      <w:r w:rsidRPr="00BB07E5">
        <w:br/>
        <w:t xml:space="preserve">Office of Best Practice Regulation </w:t>
      </w:r>
      <w:r w:rsidRPr="00BB07E5">
        <w:br/>
        <w:t xml:space="preserve">Department of the Prime Minister and Cabinet </w:t>
      </w:r>
      <w:r w:rsidRPr="00BB07E5">
        <w:br/>
        <w:t xml:space="preserve">1 National Circuit </w:t>
      </w:r>
      <w:r w:rsidRPr="00BB07E5">
        <w:br/>
        <w:t xml:space="preserve">BARTON ACT 2600 </w:t>
      </w:r>
      <w:r w:rsidRPr="00BB07E5">
        <w:br/>
      </w:r>
      <w:hyperlink r:id="rId10" w:history="1">
        <w:r w:rsidRPr="00BB07E5">
          <w:rPr>
            <w:rStyle w:val="Hyperlink"/>
          </w:rPr>
          <w:t>helpdesk-obpr@pmc.gov.au</w:t>
        </w:r>
      </w:hyperlink>
      <w:r w:rsidRPr="00BB07E5">
        <w:t xml:space="preserve">  </w:t>
      </w:r>
    </w:p>
    <w:p w14:paraId="7BBBFA0E" w14:textId="77777777" w:rsidR="005F6F02" w:rsidRDefault="005F6F02"/>
    <w:p w14:paraId="52262E6A" w14:textId="77777777" w:rsidR="009C6C2D" w:rsidRDefault="009C6C2D" w:rsidP="009C6C2D">
      <w:r>
        <w:t xml:space="preserve">Dear Mr Lange </w:t>
      </w:r>
    </w:p>
    <w:p w14:paraId="210EAC15" w14:textId="4BF8BB99" w:rsidR="005F6F02" w:rsidRDefault="009C6C2D">
      <w:pPr>
        <w:rPr>
          <w:b/>
          <w:caps/>
        </w:rPr>
      </w:pPr>
      <w:r w:rsidRPr="009C6C2D">
        <w:rPr>
          <w:b/>
          <w:caps/>
        </w:rPr>
        <w:t xml:space="preserve">PUBLIC ANCILLARY FUND GUIDELINES </w:t>
      </w:r>
      <w:r w:rsidR="00626411" w:rsidRPr="00626411">
        <w:rPr>
          <w:b/>
          <w:caps/>
        </w:rPr>
        <w:t>2011</w:t>
      </w:r>
    </w:p>
    <w:p w14:paraId="7AB3F007" w14:textId="72A7B616" w:rsidR="009C6C2D" w:rsidRPr="009C6C2D" w:rsidRDefault="009C6C2D" w:rsidP="009C6C2D">
      <w:r w:rsidRPr="009C6C2D">
        <w:t xml:space="preserve">I am writing to the Office of Best Practice Regulation (OBPR) regarding the </w:t>
      </w:r>
      <w:r w:rsidRPr="00626411">
        <w:rPr>
          <w:i/>
          <w:iCs/>
        </w:rPr>
        <w:t xml:space="preserve">Public Ancillary Fund Guidelines </w:t>
      </w:r>
      <w:r w:rsidR="00626411" w:rsidRPr="00626411">
        <w:rPr>
          <w:i/>
          <w:iCs/>
        </w:rPr>
        <w:t>2011</w:t>
      </w:r>
      <w:r w:rsidRPr="009C6C2D">
        <w:t xml:space="preserve">, which, as per the </w:t>
      </w:r>
      <w:r w:rsidRPr="009C6C2D">
        <w:rPr>
          <w:i/>
          <w:iCs/>
        </w:rPr>
        <w:t>Legislation Act 2003</w:t>
      </w:r>
      <w:r w:rsidRPr="009C6C2D">
        <w:t xml:space="preserve">, </w:t>
      </w:r>
      <w:r w:rsidR="00626411">
        <w:t>we</w:t>
      </w:r>
      <w:r w:rsidRPr="009C6C2D">
        <w:t xml:space="preserve">re scheduled to sunset on 1 April 2022. However, the instrument </w:t>
      </w:r>
      <w:r w:rsidR="00626411">
        <w:t>has been</w:t>
      </w:r>
      <w:r w:rsidRPr="009C6C2D">
        <w:t xml:space="preserve"> remade without significant amendment. </w:t>
      </w:r>
    </w:p>
    <w:p w14:paraId="640C2E6F" w14:textId="10ED0FD0" w:rsidR="009C6C2D" w:rsidRPr="009C6C2D" w:rsidRDefault="009C6C2D" w:rsidP="009C6C2D">
      <w:r w:rsidRPr="009C6C2D">
        <w:t xml:space="preserve">The Treasury certifies that </w:t>
      </w:r>
      <w:r w:rsidR="00626411">
        <w:t xml:space="preserve">the </w:t>
      </w:r>
      <w:r w:rsidRPr="00626411">
        <w:rPr>
          <w:i/>
          <w:iCs/>
        </w:rPr>
        <w:t>Public Ancillary Fund Guidelines 20</w:t>
      </w:r>
      <w:r w:rsidR="00626411" w:rsidRPr="00626411">
        <w:rPr>
          <w:i/>
          <w:iCs/>
        </w:rPr>
        <w:t>11</w:t>
      </w:r>
      <w:r w:rsidRPr="009C6C2D">
        <w:t xml:space="preserve"> have been operating effectively and efficiently, and that therefore a Regulation Impact Statement is not required for this instrument to be remade. </w:t>
      </w:r>
    </w:p>
    <w:p w14:paraId="425E35C3" w14:textId="3E84E18F" w:rsidR="009C6C2D" w:rsidRPr="009C6C2D" w:rsidRDefault="009C6C2D" w:rsidP="009C6C2D">
      <w:r w:rsidRPr="009C6C2D">
        <w:t xml:space="preserve">The assessment that the instrument is operating effectively and efficiently has been informed through consultation with the Australian Taxation Office and a public consultation process. Public consultation on exposure draft guidelines to replace those that </w:t>
      </w:r>
      <w:r w:rsidR="00626411">
        <w:t>we</w:t>
      </w:r>
      <w:r w:rsidRPr="009C6C2D">
        <w:t xml:space="preserve">re sunsetting was conducted over the period </w:t>
      </w:r>
      <w:r w:rsidR="00626411" w:rsidRPr="00626411">
        <w:t>18</w:t>
      </w:r>
      <w:r w:rsidR="00E86F2D">
        <w:t> </w:t>
      </w:r>
      <w:r w:rsidR="00626411" w:rsidRPr="00626411">
        <w:t>November 2021 to 9 December 2021</w:t>
      </w:r>
      <w:r w:rsidR="00E86F2D">
        <w:t>, and</w:t>
      </w:r>
      <w:r w:rsidRPr="009C6C2D">
        <w:t xml:space="preserve"> </w:t>
      </w:r>
      <w:r w:rsidR="00626411">
        <w:t>40</w:t>
      </w:r>
      <w:r w:rsidRPr="009C6C2D">
        <w:t xml:space="preserve"> submissions were received. In response to these submissions, minor drafting changes </w:t>
      </w:r>
      <w:r w:rsidR="00626411">
        <w:t>were</w:t>
      </w:r>
      <w:r w:rsidRPr="009C6C2D">
        <w:t xml:space="preserve"> made to clarify the operation of provisions in the guidelines. </w:t>
      </w:r>
    </w:p>
    <w:p w14:paraId="334140B9" w14:textId="41147C3B" w:rsidR="009C6C2D" w:rsidRDefault="009C6C2D" w:rsidP="009C6C2D">
      <w:r w:rsidRPr="009C6C2D">
        <w:t xml:space="preserve">Some submissions also proposed policy changes that are outside the scope of the remaking process. Should it be decided later to implement these proposals, their regulatory impact will be assessed. </w:t>
      </w:r>
    </w:p>
    <w:p w14:paraId="49EEB927" w14:textId="0F7D5EE5" w:rsidR="00000D3B" w:rsidRDefault="00000D3B" w:rsidP="009C6C2D">
      <w:r>
        <w:t xml:space="preserve">I also note that the regulatory burden to business, community organisations or individuals has been quantified using the Australian Government’s Regulatory Burden Measurement framework. These are provided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02"/>
        <w:gridCol w:w="1902"/>
        <w:gridCol w:w="1902"/>
        <w:gridCol w:w="1905"/>
      </w:tblGrid>
      <w:tr w:rsidR="00000D3B" w14:paraId="4FEE4B3B" w14:textId="77777777" w:rsidTr="000C2264">
        <w:trPr>
          <w:trHeight w:val="377"/>
        </w:trPr>
        <w:tc>
          <w:tcPr>
            <w:tcW w:w="9512" w:type="dxa"/>
            <w:gridSpan w:val="5"/>
            <w:shd w:val="clear" w:color="auto" w:fill="943634" w:themeFill="accent2" w:themeFillShade="BF"/>
          </w:tcPr>
          <w:p w14:paraId="0A49E54C" w14:textId="0D34C8B6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  <w:color w:val="FFFFFF" w:themeColor="background1"/>
              </w:rPr>
              <w:t xml:space="preserve">Average annual regulatory costs (from business as usual) </w:t>
            </w:r>
          </w:p>
        </w:tc>
      </w:tr>
      <w:tr w:rsidR="00000D3B" w14:paraId="417F78E2" w14:textId="77777777" w:rsidTr="000C2264">
        <w:trPr>
          <w:trHeight w:val="579"/>
        </w:trPr>
        <w:tc>
          <w:tcPr>
            <w:tcW w:w="1901" w:type="dxa"/>
          </w:tcPr>
          <w:p w14:paraId="03C9003D" w14:textId="44C76FD9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 xml:space="preserve">Change in costs ($ million) </w:t>
            </w:r>
          </w:p>
        </w:tc>
        <w:tc>
          <w:tcPr>
            <w:tcW w:w="1902" w:type="dxa"/>
          </w:tcPr>
          <w:p w14:paraId="511AC38E" w14:textId="5F296F7B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 xml:space="preserve">Business </w:t>
            </w:r>
          </w:p>
        </w:tc>
        <w:tc>
          <w:tcPr>
            <w:tcW w:w="1902" w:type="dxa"/>
          </w:tcPr>
          <w:p w14:paraId="0ACCFC8D" w14:textId="77C59B47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 xml:space="preserve">Community organisations </w:t>
            </w:r>
          </w:p>
        </w:tc>
        <w:tc>
          <w:tcPr>
            <w:tcW w:w="1902" w:type="dxa"/>
          </w:tcPr>
          <w:p w14:paraId="75015827" w14:textId="5828E3D1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 xml:space="preserve">Individuals </w:t>
            </w:r>
          </w:p>
        </w:tc>
        <w:tc>
          <w:tcPr>
            <w:tcW w:w="1902" w:type="dxa"/>
          </w:tcPr>
          <w:p w14:paraId="4F9FD371" w14:textId="09B4D264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 xml:space="preserve">Total change in costs </w:t>
            </w:r>
          </w:p>
        </w:tc>
      </w:tr>
      <w:tr w:rsidR="00000D3B" w14:paraId="1F5C480C" w14:textId="77777777" w:rsidTr="000C2264">
        <w:trPr>
          <w:trHeight w:val="377"/>
        </w:trPr>
        <w:tc>
          <w:tcPr>
            <w:tcW w:w="1901" w:type="dxa"/>
          </w:tcPr>
          <w:p w14:paraId="524D3FFB" w14:textId="5CBB5F8F" w:rsidR="00000D3B" w:rsidRPr="000C2264" w:rsidRDefault="00000D3B" w:rsidP="009C6C2D">
            <w:pPr>
              <w:rPr>
                <w:b/>
                <w:bCs/>
              </w:rPr>
            </w:pPr>
            <w:r w:rsidRPr="000C2264">
              <w:rPr>
                <w:b/>
                <w:bCs/>
              </w:rPr>
              <w:t>Total, by sector</w:t>
            </w:r>
          </w:p>
        </w:tc>
        <w:tc>
          <w:tcPr>
            <w:tcW w:w="1902" w:type="dxa"/>
          </w:tcPr>
          <w:p w14:paraId="789C5DC4" w14:textId="10C5866A" w:rsidR="00000D3B" w:rsidRPr="000C2264" w:rsidRDefault="00000D3B" w:rsidP="009C6C2D">
            <w:r w:rsidRPr="000C2264">
              <w:t>$0</w:t>
            </w:r>
          </w:p>
        </w:tc>
        <w:tc>
          <w:tcPr>
            <w:tcW w:w="1902" w:type="dxa"/>
          </w:tcPr>
          <w:p w14:paraId="21C62363" w14:textId="6813F9AD" w:rsidR="00000D3B" w:rsidRPr="000C2264" w:rsidRDefault="00000D3B" w:rsidP="009C6C2D">
            <w:r w:rsidRPr="000C2264">
              <w:t>$0</w:t>
            </w:r>
          </w:p>
        </w:tc>
        <w:tc>
          <w:tcPr>
            <w:tcW w:w="1902" w:type="dxa"/>
          </w:tcPr>
          <w:p w14:paraId="4948581E" w14:textId="615E5C21" w:rsidR="00000D3B" w:rsidRPr="000C2264" w:rsidRDefault="00000D3B" w:rsidP="009C6C2D">
            <w:r w:rsidRPr="000C2264">
              <w:t>$0</w:t>
            </w:r>
          </w:p>
        </w:tc>
        <w:tc>
          <w:tcPr>
            <w:tcW w:w="1902" w:type="dxa"/>
          </w:tcPr>
          <w:p w14:paraId="776957DA" w14:textId="7C01489C" w:rsidR="00000D3B" w:rsidRPr="000C2264" w:rsidRDefault="00000D3B" w:rsidP="009C6C2D">
            <w:r w:rsidRPr="000C2264">
              <w:t>$0</w:t>
            </w:r>
          </w:p>
        </w:tc>
      </w:tr>
    </w:tbl>
    <w:p w14:paraId="695CCC9A" w14:textId="7350B8F1" w:rsidR="009C6C2D" w:rsidRPr="009C6C2D" w:rsidRDefault="009C6C2D" w:rsidP="000C2264">
      <w:pPr>
        <w:spacing w:before="240"/>
      </w:pPr>
      <w:r w:rsidRPr="009C6C2D">
        <w:t xml:space="preserve">I acknowledge that OBPR will publish this letter for transparency purposes. </w:t>
      </w:r>
    </w:p>
    <w:p w14:paraId="610E0E8A" w14:textId="77777777" w:rsidR="000C2264" w:rsidRDefault="000C2264">
      <w:pPr>
        <w:spacing w:after="0"/>
      </w:pPr>
      <w:r>
        <w:br w:type="page"/>
      </w:r>
    </w:p>
    <w:p w14:paraId="4AEC71E0" w14:textId="43A0452C" w:rsidR="005F6F02" w:rsidRDefault="009C6C2D">
      <w:r w:rsidRPr="009C6C2D">
        <w:lastRenderedPageBreak/>
        <w:t xml:space="preserve">If you have any queries about this advice, please contact Stephen Jones on </w:t>
      </w:r>
      <w:r w:rsidR="0068138A">
        <w:t>(</w:t>
      </w:r>
      <w:r w:rsidRPr="009C6C2D">
        <w:t xml:space="preserve">02) 6263 3218 or </w:t>
      </w:r>
      <w:hyperlink r:id="rId11" w:history="1">
        <w:r w:rsidRPr="009C6C2D">
          <w:rPr>
            <w:rStyle w:val="Hyperlink"/>
          </w:rPr>
          <w:t>stephen.jones@treasury.gov.au</w:t>
        </w:r>
      </w:hyperlink>
      <w:r w:rsidRPr="009C6C2D">
        <w:t>.</w:t>
      </w:r>
    </w:p>
    <w:p w14:paraId="6BD98CD1" w14:textId="77777777" w:rsidR="00010558" w:rsidRDefault="009C6C2D" w:rsidP="000C3D77">
      <w:pPr>
        <w:spacing w:after="1440"/>
      </w:pPr>
      <w:r>
        <w:t>Yours sincerely</w:t>
      </w:r>
    </w:p>
    <w:p w14:paraId="13FC2417" w14:textId="2ADA8E64" w:rsidR="00585D8B" w:rsidRPr="00DC76B2" w:rsidRDefault="00BB07E5" w:rsidP="00BB07E5">
      <w:r w:rsidRPr="0059088E">
        <w:t xml:space="preserve">Maryanne Mrakovcic </w:t>
      </w:r>
      <w:r>
        <w:br/>
      </w:r>
      <w:r w:rsidRPr="0059088E">
        <w:t xml:space="preserve">Deputy Secretary </w:t>
      </w:r>
      <w:r>
        <w:br/>
      </w:r>
      <w:r w:rsidRPr="0059088E">
        <w:t>Revenue Group</w:t>
      </w:r>
    </w:p>
    <w:sectPr w:rsidR="00585D8B" w:rsidRPr="00DC76B2" w:rsidSect="005F01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0331" w14:textId="77777777" w:rsidR="009C6C2D" w:rsidRDefault="009C6C2D">
      <w:r>
        <w:separator/>
      </w:r>
    </w:p>
  </w:endnote>
  <w:endnote w:type="continuationSeparator" w:id="0">
    <w:p w14:paraId="086EBF07" w14:textId="77777777" w:rsidR="009C6C2D" w:rsidRDefault="009C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0C67" w14:textId="77777777" w:rsidR="002B692A" w:rsidRDefault="002B692A" w:rsidP="002B692A">
    <w:pPr>
      <w:pStyle w:val="SecurityClassificationFooter"/>
    </w:pPr>
  </w:p>
  <w:p w14:paraId="67F09179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fldSimple w:instr=" DOCPROPERTY SecurityClassification \* MERGEFORMAT ">
      <w:r w:rsidR="009C6C2D">
        <w:t>For Official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D48E" w14:textId="72A4E3F1" w:rsidR="000C3D77" w:rsidRDefault="005F6F02">
    <w:pPr>
      <w:tabs>
        <w:tab w:val="center" w:pos="4820"/>
      </w:tabs>
      <w:spacing w:before="120" w:after="0"/>
    </w:pPr>
    <w:r>
      <w:tab/>
    </w:r>
  </w:p>
  <w:p w14:paraId="45AF505C" w14:textId="77777777" w:rsidR="002B692A" w:rsidRDefault="002B692A" w:rsidP="002B692A">
    <w:pPr>
      <w:pStyle w:val="SecurityClassification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3C17" w14:textId="77777777" w:rsidR="00375CB3" w:rsidRPr="00375CB3" w:rsidRDefault="00585D8B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BC84490" wp14:editId="2CFB3DA7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1F8E1" w14:textId="77777777" w:rsidR="005F6F02" w:rsidRPr="00A23E22" w:rsidRDefault="005F6F02" w:rsidP="00A23E22">
    <w:pPr>
      <w:pStyle w:val="FooterAddress"/>
      <w:rPr>
        <w:sz w:val="2"/>
      </w:rPr>
    </w:pPr>
  </w:p>
  <w:p w14:paraId="58B57DE5" w14:textId="77777777" w:rsidR="005F6F02" w:rsidRDefault="009C6C2D" w:rsidP="009C6C2D">
    <w:pPr>
      <w:pStyle w:val="FooterAddress"/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>
      <w:t xml:space="preserve">61 2 6263 </w:t>
    </w:r>
    <w:r w:rsidR="00021A7F">
      <w:t xml:space="preserve"> </w:t>
    </w:r>
    <w:r w:rsidR="007232C5">
      <w:t xml:space="preserve"> </w:t>
    </w:r>
    <w:r w:rsidR="005F6F02">
      <w:t>F</w:t>
    </w:r>
    <w:r w:rsidR="00AD44A4">
      <w:t>:</w:t>
    </w:r>
    <w:r w:rsidR="005F6F02">
      <w:t xml:space="preserve">  </w:t>
    </w:r>
    <w:r>
      <w:t xml:space="preserve">61 2 6263 </w:t>
    </w:r>
    <w:r w:rsidR="00F36FE7">
      <w:br/>
    </w:r>
    <w:r w:rsidR="00041147"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D365" w14:textId="77777777" w:rsidR="009C6C2D" w:rsidRDefault="009C6C2D">
      <w:r>
        <w:separator/>
      </w:r>
    </w:p>
  </w:footnote>
  <w:footnote w:type="continuationSeparator" w:id="0">
    <w:p w14:paraId="239D07AE" w14:textId="77777777" w:rsidR="009C6C2D" w:rsidRDefault="009C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648B" w14:textId="1149292E" w:rsidR="005F6F02" w:rsidRDefault="00437881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9609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A310" w14:textId="77777777" w:rsidR="005F6F02" w:rsidRPr="006A320D" w:rsidRDefault="00436CCC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30668547" wp14:editId="6813D466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9C6C2D"/>
    <w:rsid w:val="00000D3B"/>
    <w:rsid w:val="00010558"/>
    <w:rsid w:val="00013C16"/>
    <w:rsid w:val="00021A7F"/>
    <w:rsid w:val="00041147"/>
    <w:rsid w:val="00070A45"/>
    <w:rsid w:val="000A6B88"/>
    <w:rsid w:val="000C2264"/>
    <w:rsid w:val="000C3D77"/>
    <w:rsid w:val="000D2875"/>
    <w:rsid w:val="000E70A5"/>
    <w:rsid w:val="00187181"/>
    <w:rsid w:val="001F4A93"/>
    <w:rsid w:val="001F5439"/>
    <w:rsid w:val="002554F2"/>
    <w:rsid w:val="002B4ACE"/>
    <w:rsid w:val="002B692A"/>
    <w:rsid w:val="002F767C"/>
    <w:rsid w:val="00337317"/>
    <w:rsid w:val="00375CB3"/>
    <w:rsid w:val="003913AC"/>
    <w:rsid w:val="00436CCC"/>
    <w:rsid w:val="00437881"/>
    <w:rsid w:val="00444ADC"/>
    <w:rsid w:val="00485E79"/>
    <w:rsid w:val="004D59F6"/>
    <w:rsid w:val="00521D21"/>
    <w:rsid w:val="00583534"/>
    <w:rsid w:val="0058454C"/>
    <w:rsid w:val="00585D8B"/>
    <w:rsid w:val="005F01D5"/>
    <w:rsid w:val="005F6F02"/>
    <w:rsid w:val="00626411"/>
    <w:rsid w:val="0068138A"/>
    <w:rsid w:val="006A1A29"/>
    <w:rsid w:val="006A320D"/>
    <w:rsid w:val="006A446E"/>
    <w:rsid w:val="006F2190"/>
    <w:rsid w:val="007232C5"/>
    <w:rsid w:val="00857F46"/>
    <w:rsid w:val="0092186E"/>
    <w:rsid w:val="009609F0"/>
    <w:rsid w:val="0098490B"/>
    <w:rsid w:val="009C6C2D"/>
    <w:rsid w:val="00A23E22"/>
    <w:rsid w:val="00A24156"/>
    <w:rsid w:val="00AD44A4"/>
    <w:rsid w:val="00B112A0"/>
    <w:rsid w:val="00B8256A"/>
    <w:rsid w:val="00BB07E5"/>
    <w:rsid w:val="00BE6EE5"/>
    <w:rsid w:val="00C8731A"/>
    <w:rsid w:val="00CA030C"/>
    <w:rsid w:val="00DA54C5"/>
    <w:rsid w:val="00DC76B2"/>
    <w:rsid w:val="00DE3119"/>
    <w:rsid w:val="00E217CF"/>
    <w:rsid w:val="00E51C9D"/>
    <w:rsid w:val="00E86F2D"/>
    <w:rsid w:val="00E90177"/>
    <w:rsid w:val="00EC0C7B"/>
    <w:rsid w:val="00EC5544"/>
    <w:rsid w:val="00F36FE7"/>
    <w:rsid w:val="00F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443F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uiPriority w:val="99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C2D"/>
    <w:rPr>
      <w:color w:val="605E5C"/>
      <w:shd w:val="clear" w:color="auto" w:fill="E1DFDD"/>
    </w:rPr>
  </w:style>
  <w:style w:type="table" w:styleId="TableGrid">
    <w:name w:val="Table Grid"/>
    <w:basedOn w:val="TableNormal"/>
    <w:rsid w:val="0000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A6B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6B8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6B8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6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6B8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en.jones@treasury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elpdesk-obpr@pmc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DOCID-322795542-12647</_dlc_DocId>
    <_dlc_DocIdUrl xmlns="4195ad5f-cdf2-4c4a-8d9b-b7944a108e98">
      <Url>https://pmc01.sharepoint.com/sites/CRMOBPR/_layouts/15/DocIdRedir.aspx?ID=DOCID-322795542-12647</Url>
      <Description>DOCID-322795542-12647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63569-9FE5-4CCD-9E45-8D7665BE2BB3}">
  <ds:schemaRefs>
    <ds:schemaRef ds:uri="http://schemas.microsoft.com/office/2006/metadata/properties"/>
    <ds:schemaRef ds:uri="http://purl.org/dc/elements/1.1/"/>
    <ds:schemaRef ds:uri="26285671-540d-468b-b7a1-f3e0438dd51a"/>
    <ds:schemaRef ds:uri="http://purl.org/dc/terms/"/>
    <ds:schemaRef ds:uri="4195ad5f-cdf2-4c4a-8d9b-b7944a108e9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BFDDBE-FE9D-414D-923F-262483372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FC414-5318-46B6-9BDC-494F61227D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55E638-7F73-44AC-A753-9D5251CEE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2022-04-05T02:42:00Z</dcterms:created>
  <dcterms:modified xsi:type="dcterms:W3CDTF">2022-04-05T02:42:00Z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7d99123b-705d-48f5-9b77-6b45f212cbbd</vt:lpwstr>
  </property>
</Properties>
</file>