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A378B" w14:textId="589BEE72" w:rsidR="00F445F9" w:rsidRPr="008B664F" w:rsidRDefault="00F445F9" w:rsidP="00F445F9">
      <w:pPr>
        <w:spacing w:before="840" w:after="2400"/>
        <w:ind w:left="227"/>
        <w:rPr>
          <w:rFonts w:ascii="Arial" w:hAnsi="Arial" w:cs="Arial"/>
        </w:rPr>
      </w:pPr>
      <w:r w:rsidRPr="008B664F">
        <w:rPr>
          <w:noProof/>
        </w:rPr>
        <w:drawing>
          <wp:inline distT="0" distB="0" distL="0" distR="0" wp14:anchorId="3A7F8E18" wp14:editId="4A7B1140">
            <wp:extent cx="3543749" cy="756000"/>
            <wp:effectExtent l="0" t="0" r="0" b="0"/>
            <wp:docPr id="6" name="Picture 1"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and ASIC logo"/>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543749" cy="756000"/>
                    </a:xfrm>
                    <a:prstGeom prst="rect">
                      <a:avLst/>
                    </a:prstGeom>
                    <a:noFill/>
                    <a:ln>
                      <a:noFill/>
                    </a:ln>
                  </pic:spPr>
                </pic:pic>
              </a:graphicData>
            </a:graphic>
          </wp:inline>
        </w:drawing>
      </w:r>
    </w:p>
    <w:p w14:paraId="2711ADD5" w14:textId="0361538B" w:rsidR="00F445F9" w:rsidRPr="008B664F" w:rsidRDefault="00F445F9" w:rsidP="00A15190">
      <w:pPr>
        <w:pStyle w:val="StyleDescriptorRGBoldCustomColorRGB17125199"/>
        <w:spacing w:before="0"/>
      </w:pPr>
      <w:r w:rsidRPr="0051586A">
        <w:t xml:space="preserve">REPORT </w:t>
      </w:r>
      <w:r w:rsidR="001843DC">
        <w:fldChar w:fldCharType="begin"/>
      </w:r>
      <w:r w:rsidR="001843DC">
        <w:instrText xml:space="preserve"> DOCPROPERTY "Document num"  \* MERGEFORMAT </w:instrText>
      </w:r>
      <w:r w:rsidR="001843DC">
        <w:fldChar w:fldCharType="separate"/>
      </w:r>
      <w:r w:rsidR="0051586A">
        <w:t>719</w:t>
      </w:r>
      <w:r w:rsidR="001843DC">
        <w:fldChar w:fldCharType="end"/>
      </w:r>
    </w:p>
    <w:p w14:paraId="6C469227" w14:textId="14331AA7" w:rsidR="00F445F9" w:rsidRPr="008B664F" w:rsidRDefault="00F445F9" w:rsidP="00F445F9">
      <w:pPr>
        <w:ind w:left="2268"/>
        <w:rPr>
          <w:rFonts w:ascii="Arial" w:hAnsi="Arial" w:cs="Arial"/>
          <w:b/>
          <w:sz w:val="48"/>
          <w:szCs w:val="48"/>
        </w:rPr>
      </w:pPr>
      <w:r w:rsidRPr="008B664F">
        <w:fldChar w:fldCharType="begin"/>
      </w:r>
      <w:r w:rsidRPr="008B664F">
        <w:instrText xml:space="preserve"> </w:instrText>
      </w:r>
      <w:r w:rsidRPr="008B664F">
        <w:rPr>
          <w:rFonts w:ascii="Arial" w:hAnsi="Arial"/>
          <w:b/>
          <w:sz w:val="48"/>
        </w:rPr>
        <w:instrText>D</w:instrText>
      </w:r>
      <w:r w:rsidRPr="008B664F">
        <w:instrText xml:space="preserve">OCPROPERTY  "Document title"  \* charformat </w:instrText>
      </w:r>
      <w:r w:rsidRPr="008B664F">
        <w:fldChar w:fldCharType="separate"/>
      </w:r>
      <w:r w:rsidR="0051586A">
        <w:rPr>
          <w:rFonts w:ascii="Arial" w:hAnsi="Arial"/>
          <w:b/>
          <w:sz w:val="48"/>
        </w:rPr>
        <w:t>Response to submissions on CP 314 Market integrity rules for technological and operational resilienc</w:t>
      </w:r>
      <w:r w:rsidRPr="008B664F">
        <w:fldChar w:fldCharType="end"/>
      </w:r>
      <w:r w:rsidR="00A15190" w:rsidRPr="00A15190">
        <w:rPr>
          <w:rFonts w:ascii="Arial" w:hAnsi="Arial"/>
          <w:b/>
          <w:sz w:val="48"/>
        </w:rPr>
        <w:t>e</w:t>
      </w:r>
    </w:p>
    <w:p w14:paraId="6A61D0D6" w14:textId="10F033DF" w:rsidR="00F445F9" w:rsidRPr="008B664F" w:rsidRDefault="00F445F9" w:rsidP="00F445F9">
      <w:pPr>
        <w:pStyle w:val="Bodytextplain"/>
        <w:spacing w:before="720"/>
        <w:rPr>
          <w:rFonts w:ascii="Arial" w:hAnsi="Arial" w:cs="Arial"/>
        </w:rPr>
      </w:pPr>
      <w:r w:rsidRPr="00A15190">
        <w:rPr>
          <w:rFonts w:ascii="Arial" w:hAnsi="Arial" w:cs="Arial"/>
        </w:rPr>
        <w:fldChar w:fldCharType="begin"/>
      </w:r>
      <w:r w:rsidRPr="00A15190">
        <w:rPr>
          <w:rFonts w:ascii="Arial" w:hAnsi="Arial" w:cs="Arial"/>
        </w:rPr>
        <w:instrText xml:space="preserve"> DOCPROPERTY  "Issue date"  \* MERGEFORMAT </w:instrText>
      </w:r>
      <w:r w:rsidRPr="00A15190">
        <w:rPr>
          <w:rFonts w:ascii="Arial" w:hAnsi="Arial" w:cs="Arial"/>
        </w:rPr>
        <w:fldChar w:fldCharType="separate"/>
      </w:r>
      <w:r w:rsidR="0051586A">
        <w:rPr>
          <w:rFonts w:ascii="Arial" w:hAnsi="Arial" w:cs="Arial"/>
        </w:rPr>
        <w:t>March 2022</w:t>
      </w:r>
      <w:r w:rsidRPr="00A15190">
        <w:rPr>
          <w:rFonts w:ascii="Arial" w:hAnsi="Arial" w:cs="Arial"/>
        </w:rPr>
        <w:fldChar w:fldCharType="end"/>
      </w:r>
      <w:bookmarkStart w:id="0" w:name="_GoBack"/>
      <w:bookmarkEnd w:id="0"/>
    </w:p>
    <w:p w14:paraId="45958685" w14:textId="77777777" w:rsidR="00F445F9" w:rsidRPr="008B664F" w:rsidRDefault="00F445F9" w:rsidP="00F445F9">
      <w:pPr>
        <w:pStyle w:val="Frontheading"/>
        <w:spacing w:before="960"/>
      </w:pPr>
      <w:r w:rsidRPr="008B664F">
        <w:t>About this report</w:t>
      </w:r>
    </w:p>
    <w:p w14:paraId="145681EC" w14:textId="6A02A76F" w:rsidR="00F445F9" w:rsidRPr="008B664F" w:rsidRDefault="00F445F9" w:rsidP="00F445F9">
      <w:pPr>
        <w:pStyle w:val="Fronttext"/>
      </w:pPr>
      <w:r w:rsidRPr="008B664F">
        <w:t xml:space="preserve">This report highlights the key issues that arose out of the submissions received on </w:t>
      </w:r>
      <w:hyperlink r:id="rId12" w:history="1">
        <w:r w:rsidRPr="00057409">
          <w:rPr>
            <w:rStyle w:val="Hyperlink"/>
          </w:rPr>
          <w:t>Consultation Paper 314</w:t>
        </w:r>
      </w:hyperlink>
      <w:r w:rsidRPr="008B664F">
        <w:t xml:space="preserve"> </w:t>
      </w:r>
      <w:r w:rsidRPr="008B664F">
        <w:rPr>
          <w:i/>
        </w:rPr>
        <w:t xml:space="preserve">Market integrity rules for technological and operational resilience </w:t>
      </w:r>
      <w:r w:rsidRPr="008B664F">
        <w:t>(CP 314) and details our responses to those issues.</w:t>
      </w:r>
    </w:p>
    <w:p w14:paraId="1D3792A6" w14:textId="77777777" w:rsidR="00F445F9" w:rsidRPr="008B664F" w:rsidRDefault="00F445F9">
      <w:pPr>
        <w:pStyle w:val="Frontheading"/>
        <w:sectPr w:rsidR="00F445F9" w:rsidRPr="008B664F" w:rsidSect="00F445F9">
          <w:headerReference w:type="even" r:id="rId13"/>
          <w:headerReference w:type="default" r:id="rId14"/>
          <w:footerReference w:type="even" r:id="rId15"/>
          <w:footerReference w:type="default" r:id="rId16"/>
          <w:headerReference w:type="first" r:id="rId17"/>
          <w:pgSz w:w="11906" w:h="16838" w:code="9"/>
          <w:pgMar w:top="1644" w:right="1418" w:bottom="1418" w:left="1418" w:header="567" w:footer="567" w:gutter="0"/>
          <w:cols w:space="720"/>
          <w:titlePg/>
        </w:sectPr>
      </w:pPr>
    </w:p>
    <w:tbl>
      <w:tblPr>
        <w:tblW w:w="0" w:type="auto"/>
        <w:tblInd w:w="2268" w:type="dxa"/>
        <w:tblBorders>
          <w:top w:val="single" w:sz="4" w:space="0" w:color="999999"/>
          <w:bottom w:val="single" w:sz="4" w:space="0" w:color="999999"/>
          <w:insideH w:val="single" w:sz="4" w:space="0" w:color="999999"/>
        </w:tblBorders>
        <w:tblLayout w:type="fixed"/>
        <w:tblCellMar>
          <w:bottom w:w="113" w:type="dxa"/>
        </w:tblCellMar>
        <w:tblLook w:val="0020" w:firstRow="1" w:lastRow="0" w:firstColumn="0" w:lastColumn="0" w:noHBand="0" w:noVBand="0"/>
      </w:tblPr>
      <w:tblGrid>
        <w:gridCol w:w="6804"/>
      </w:tblGrid>
      <w:tr w:rsidR="00F445F9" w:rsidRPr="008B664F" w14:paraId="70AA37DA" w14:textId="77777777" w:rsidTr="00F445F9">
        <w:trPr>
          <w:cantSplit/>
          <w:tblHeader/>
        </w:trPr>
        <w:tc>
          <w:tcPr>
            <w:tcW w:w="6804" w:type="dxa"/>
            <w:tcBorders>
              <w:top w:val="single" w:sz="4" w:space="0" w:color="0072CE"/>
              <w:left w:val="single" w:sz="4" w:space="0" w:color="0072CE"/>
              <w:bottom w:val="single" w:sz="4" w:space="0" w:color="0072CE"/>
              <w:right w:val="single" w:sz="4" w:space="0" w:color="0072CE"/>
            </w:tcBorders>
            <w:shd w:val="clear" w:color="auto" w:fill="0072CE"/>
          </w:tcPr>
          <w:p w14:paraId="78019B28" w14:textId="77777777" w:rsidR="00F445F9" w:rsidRPr="008B664F" w:rsidRDefault="00F445F9">
            <w:pPr>
              <w:pStyle w:val="tablehead"/>
              <w:rPr>
                <w:color w:val="FFFFFF"/>
                <w:sz w:val="20"/>
                <w:szCs w:val="20"/>
              </w:rPr>
            </w:pPr>
            <w:r w:rsidRPr="008B664F">
              <w:rPr>
                <w:color w:val="FFFFFF"/>
                <w:sz w:val="20"/>
                <w:szCs w:val="20"/>
              </w:rPr>
              <w:lastRenderedPageBreak/>
              <w:t>About ASIC regulatory documents</w:t>
            </w:r>
          </w:p>
        </w:tc>
      </w:tr>
      <w:tr w:rsidR="00F445F9" w:rsidRPr="008B664F" w14:paraId="4B8DCD6D" w14:textId="77777777" w:rsidTr="00F445F9">
        <w:trPr>
          <w:cantSplit/>
        </w:trPr>
        <w:tc>
          <w:tcPr>
            <w:tcW w:w="6804" w:type="dxa"/>
            <w:tcBorders>
              <w:top w:val="single" w:sz="4" w:space="0" w:color="0072CE"/>
              <w:left w:val="single" w:sz="4" w:space="0" w:color="0072CE"/>
              <w:bottom w:val="single" w:sz="4" w:space="0" w:color="0072CE"/>
              <w:right w:val="single" w:sz="4" w:space="0" w:color="0072CE"/>
            </w:tcBorders>
          </w:tcPr>
          <w:p w14:paraId="4D2D9CCE" w14:textId="77777777" w:rsidR="00F445F9" w:rsidRPr="008B664F" w:rsidRDefault="00F445F9">
            <w:pPr>
              <w:pStyle w:val="boxtext"/>
            </w:pPr>
            <w:r w:rsidRPr="008B664F">
              <w:t>In administering legislation ASIC issues the following types of regulatory documents.</w:t>
            </w:r>
          </w:p>
          <w:p w14:paraId="69E5795A" w14:textId="77777777" w:rsidR="00F445F9" w:rsidRPr="008B664F" w:rsidRDefault="00F445F9">
            <w:pPr>
              <w:pStyle w:val="boxtext"/>
            </w:pPr>
            <w:r w:rsidRPr="008B664F">
              <w:rPr>
                <w:b/>
              </w:rPr>
              <w:t>Consultation papers</w:t>
            </w:r>
            <w:r w:rsidRPr="008B664F">
              <w:t>: seek feedback from stakeholders on matters ASIC is considering, such as proposed relief or proposed regulatory guidance.</w:t>
            </w:r>
          </w:p>
          <w:p w14:paraId="236D6ED4" w14:textId="77777777" w:rsidR="00F445F9" w:rsidRPr="008B664F" w:rsidRDefault="00F445F9">
            <w:pPr>
              <w:pStyle w:val="boxtext"/>
            </w:pPr>
            <w:bookmarkStart w:id="1" w:name="RegGuide"/>
            <w:bookmarkEnd w:id="1"/>
            <w:r w:rsidRPr="008B664F">
              <w:rPr>
                <w:b/>
              </w:rPr>
              <w:t>Regulatory guides</w:t>
            </w:r>
            <w:r w:rsidRPr="008B664F">
              <w:t>: give guidance to regulated entities by:</w:t>
            </w:r>
          </w:p>
          <w:p w14:paraId="38417B88" w14:textId="77777777" w:rsidR="00F445F9" w:rsidRPr="008B664F" w:rsidRDefault="00F445F9">
            <w:pPr>
              <w:pStyle w:val="boxbullet"/>
            </w:pPr>
            <w:r w:rsidRPr="008B664F">
              <w:t>explaining when and how ASIC will exercise specific powers under legislation (primarily the Corporations Act)</w:t>
            </w:r>
          </w:p>
          <w:p w14:paraId="432CD2F1" w14:textId="77777777" w:rsidR="00F445F9" w:rsidRPr="008B664F" w:rsidRDefault="00F445F9">
            <w:pPr>
              <w:pStyle w:val="boxbullet"/>
            </w:pPr>
            <w:r w:rsidRPr="008B664F">
              <w:t>explaining how ASIC interprets the law</w:t>
            </w:r>
          </w:p>
          <w:p w14:paraId="29A54CC8" w14:textId="77777777" w:rsidR="00F445F9" w:rsidRPr="008B664F" w:rsidRDefault="00F445F9">
            <w:pPr>
              <w:pStyle w:val="boxbullet"/>
            </w:pPr>
            <w:r w:rsidRPr="008B664F">
              <w:t>describing the principles underlying ASIC’s approach</w:t>
            </w:r>
          </w:p>
          <w:p w14:paraId="457F5758" w14:textId="77777777" w:rsidR="00F445F9" w:rsidRPr="008B664F" w:rsidRDefault="00F445F9">
            <w:pPr>
              <w:pStyle w:val="boxbullet"/>
            </w:pPr>
            <w:r w:rsidRPr="008B664F">
              <w:t>giving practical guidance (e.g. describing the steps of a process such as applying for a licence or giving practical examples of how regulated entities may decide to meet their obligations).</w:t>
            </w:r>
          </w:p>
          <w:p w14:paraId="414697C5" w14:textId="77777777" w:rsidR="00F445F9" w:rsidRPr="008B664F" w:rsidRDefault="00F445F9">
            <w:pPr>
              <w:pStyle w:val="boxtext"/>
            </w:pPr>
            <w:r w:rsidRPr="008B664F">
              <w:rPr>
                <w:b/>
              </w:rPr>
              <w:t>Information</w:t>
            </w:r>
            <w:r w:rsidRPr="008B664F">
              <w:t xml:space="preserve"> </w:t>
            </w:r>
            <w:r w:rsidRPr="008B664F">
              <w:rPr>
                <w:b/>
              </w:rPr>
              <w:t>sheets</w:t>
            </w:r>
            <w:r w:rsidRPr="008B664F">
              <w:t>: provide concise guidance on a specific process or compliance issue or an overview of detailed guidance.</w:t>
            </w:r>
          </w:p>
          <w:p w14:paraId="4C394160" w14:textId="77777777" w:rsidR="00F445F9" w:rsidRPr="008B664F" w:rsidRDefault="00F445F9">
            <w:pPr>
              <w:pStyle w:val="boxtext"/>
            </w:pPr>
            <w:r w:rsidRPr="008B664F">
              <w:rPr>
                <w:b/>
              </w:rPr>
              <w:t>Reports</w:t>
            </w:r>
            <w:r w:rsidRPr="008B664F">
              <w:t>: describe ASIC compliance or relief activity or the results of a research project.</w:t>
            </w:r>
          </w:p>
        </w:tc>
      </w:tr>
    </w:tbl>
    <w:p w14:paraId="1A0EA85D" w14:textId="77777777" w:rsidR="00F445F9" w:rsidRPr="008B664F" w:rsidRDefault="00F445F9">
      <w:pPr>
        <w:pStyle w:val="Frontheading"/>
      </w:pPr>
      <w:r w:rsidRPr="008B664F">
        <w:t xml:space="preserve">Disclaimer </w:t>
      </w:r>
    </w:p>
    <w:p w14:paraId="3F5DC27D" w14:textId="77777777" w:rsidR="00F445F9" w:rsidRPr="008B664F" w:rsidRDefault="00F445F9" w:rsidP="00F445F9">
      <w:pPr>
        <w:pStyle w:val="Fronttext"/>
        <w:rPr>
          <w:lang w:val="en-US"/>
        </w:rPr>
      </w:pPr>
      <w:r w:rsidRPr="008B664F">
        <w:rPr>
          <w:lang w:val="en-US"/>
        </w:rPr>
        <w:t>This report does not constitute legal advice. We encourage you to seek your own professional advice to find out how the</w:t>
      </w:r>
      <w:r w:rsidR="002C362A" w:rsidRPr="008B664F">
        <w:rPr>
          <w:lang w:val="en-US"/>
        </w:rPr>
        <w:t xml:space="preserve"> Corporations Act</w:t>
      </w:r>
      <w:r w:rsidRPr="008B664F">
        <w:t xml:space="preserve"> </w:t>
      </w:r>
      <w:r w:rsidRPr="008B664F">
        <w:rPr>
          <w:lang w:val="en-US"/>
        </w:rPr>
        <w:t>and other applicable laws apply to you, as it is your responsibility to determine your obligations.</w:t>
      </w:r>
    </w:p>
    <w:p w14:paraId="448052E3" w14:textId="77777777" w:rsidR="00A53C83" w:rsidRDefault="00057409" w:rsidP="00057409">
      <w:pPr>
        <w:pStyle w:val="Fronttext"/>
        <w:rPr>
          <w:lang w:val="en-US"/>
        </w:rPr>
      </w:pPr>
      <w:r>
        <w:rPr>
          <w:lang w:val="en-US"/>
        </w:rPr>
        <w:t>This report does not contain ASIC policy. Please see</w:t>
      </w:r>
      <w:r w:rsidR="00A53C83">
        <w:rPr>
          <w:lang w:val="en-US"/>
        </w:rPr>
        <w:t>:</w:t>
      </w:r>
      <w:r>
        <w:rPr>
          <w:lang w:val="en-US"/>
        </w:rPr>
        <w:t xml:space="preserve"> </w:t>
      </w:r>
    </w:p>
    <w:p w14:paraId="71DD79F3" w14:textId="114B4452" w:rsidR="00A53C83" w:rsidRPr="00A53C83" w:rsidRDefault="001843DC" w:rsidP="00FA20C9">
      <w:pPr>
        <w:pStyle w:val="Frontbullet"/>
        <w:spacing w:before="100"/>
      </w:pPr>
      <w:hyperlink r:id="rId18" w:history="1">
        <w:r w:rsidR="001F6A1F" w:rsidRPr="00A15190">
          <w:rPr>
            <w:rStyle w:val="Hyperlink"/>
          </w:rPr>
          <w:t>Regulatory Guide 172</w:t>
        </w:r>
      </w:hyperlink>
      <w:r w:rsidR="001F6A1F" w:rsidRPr="009553C7">
        <w:rPr>
          <w:szCs w:val="24"/>
        </w:rPr>
        <w:t xml:space="preserve"> </w:t>
      </w:r>
      <w:r w:rsidR="001F6A1F" w:rsidRPr="001F6A1F">
        <w:rPr>
          <w:i/>
          <w:iCs/>
          <w:szCs w:val="24"/>
        </w:rPr>
        <w:t>Financial markets:</w:t>
      </w:r>
      <w:r w:rsidR="001F6A1F" w:rsidRPr="009553C7">
        <w:rPr>
          <w:szCs w:val="24"/>
        </w:rPr>
        <w:t xml:space="preserve"> </w:t>
      </w:r>
      <w:r w:rsidR="001F6A1F" w:rsidRPr="00F06D64">
        <w:rPr>
          <w:i/>
          <w:iCs/>
          <w:szCs w:val="24"/>
        </w:rPr>
        <w:t>Domestic and overseas operators</w:t>
      </w:r>
      <w:r w:rsidR="001F6A1F" w:rsidRPr="009553C7">
        <w:rPr>
          <w:szCs w:val="24"/>
        </w:rPr>
        <w:t xml:space="preserve"> </w:t>
      </w:r>
      <w:r w:rsidR="001F6A1F" w:rsidRPr="00760EB9">
        <w:rPr>
          <w:szCs w:val="24"/>
        </w:rPr>
        <w:t>(RG 172)</w:t>
      </w:r>
      <w:r w:rsidR="00D26963">
        <w:rPr>
          <w:szCs w:val="24"/>
        </w:rPr>
        <w:t>;</w:t>
      </w:r>
      <w:r w:rsidR="001F6A1F">
        <w:rPr>
          <w:szCs w:val="24"/>
        </w:rPr>
        <w:t xml:space="preserve"> </w:t>
      </w:r>
    </w:p>
    <w:p w14:paraId="01A607D5" w14:textId="0F88AB59" w:rsidR="00A53C83" w:rsidRPr="00A53C83" w:rsidRDefault="001843DC" w:rsidP="00FA20C9">
      <w:pPr>
        <w:pStyle w:val="Frontbullet"/>
        <w:spacing w:before="100"/>
      </w:pPr>
      <w:hyperlink r:id="rId19" w:history="1">
        <w:r w:rsidR="001F6A1F" w:rsidRPr="00A15190">
          <w:rPr>
            <w:rStyle w:val="Hyperlink"/>
            <w:szCs w:val="24"/>
          </w:rPr>
          <w:t>Regulatory Guide 265</w:t>
        </w:r>
      </w:hyperlink>
      <w:r w:rsidR="001F6A1F" w:rsidRPr="009553C7">
        <w:rPr>
          <w:szCs w:val="24"/>
        </w:rPr>
        <w:t xml:space="preserve"> </w:t>
      </w:r>
      <w:r w:rsidR="001F6A1F" w:rsidRPr="001F6A1F">
        <w:rPr>
          <w:i/>
          <w:iCs/>
          <w:szCs w:val="24"/>
        </w:rPr>
        <w:t>Guidance on ASIC market integrity rules for participants of securities markets</w:t>
      </w:r>
      <w:r w:rsidR="001F6A1F">
        <w:rPr>
          <w:szCs w:val="24"/>
        </w:rPr>
        <w:t xml:space="preserve"> (RG 265)</w:t>
      </w:r>
      <w:r w:rsidR="00D26963">
        <w:rPr>
          <w:szCs w:val="24"/>
        </w:rPr>
        <w:t>; and</w:t>
      </w:r>
      <w:r w:rsidR="001F6A1F">
        <w:rPr>
          <w:szCs w:val="24"/>
        </w:rPr>
        <w:t xml:space="preserve"> </w:t>
      </w:r>
    </w:p>
    <w:p w14:paraId="2436E71A" w14:textId="09223998" w:rsidR="00057409" w:rsidRPr="001F6A1F" w:rsidRDefault="001843DC" w:rsidP="00FA20C9">
      <w:pPr>
        <w:pStyle w:val="Frontbullet"/>
        <w:spacing w:before="100"/>
      </w:pPr>
      <w:hyperlink r:id="rId20" w:history="1">
        <w:r w:rsidR="00A15190" w:rsidRPr="00A15190">
          <w:rPr>
            <w:rStyle w:val="Hyperlink"/>
            <w:szCs w:val="24"/>
          </w:rPr>
          <w:t xml:space="preserve">Regulatory Guide </w:t>
        </w:r>
        <w:r w:rsidR="001F6A1F" w:rsidRPr="00A15190">
          <w:rPr>
            <w:rStyle w:val="Hyperlink"/>
            <w:szCs w:val="24"/>
          </w:rPr>
          <w:t>266</w:t>
        </w:r>
      </w:hyperlink>
      <w:r w:rsidR="001F6A1F" w:rsidRPr="001F6A1F">
        <w:rPr>
          <w:szCs w:val="24"/>
        </w:rPr>
        <w:t xml:space="preserve"> </w:t>
      </w:r>
      <w:r w:rsidR="001F6A1F" w:rsidRPr="001F6A1F">
        <w:rPr>
          <w:i/>
          <w:iCs/>
          <w:szCs w:val="24"/>
        </w:rPr>
        <w:t>Guidance on ASIC market integrity rules for participants of futures markets</w:t>
      </w:r>
      <w:r w:rsidR="001F6A1F">
        <w:rPr>
          <w:i/>
          <w:iCs/>
          <w:szCs w:val="24"/>
        </w:rPr>
        <w:t xml:space="preserve"> </w:t>
      </w:r>
      <w:r w:rsidR="001F6A1F" w:rsidRPr="001F6A1F">
        <w:rPr>
          <w:szCs w:val="24"/>
        </w:rPr>
        <w:t>(RG</w:t>
      </w:r>
      <w:r w:rsidR="001F6A1F">
        <w:rPr>
          <w:szCs w:val="24"/>
        </w:rPr>
        <w:t xml:space="preserve"> </w:t>
      </w:r>
      <w:r w:rsidR="001F6A1F" w:rsidRPr="001F6A1F">
        <w:rPr>
          <w:szCs w:val="24"/>
        </w:rPr>
        <w:t>266)</w:t>
      </w:r>
      <w:r w:rsidR="00D26963">
        <w:rPr>
          <w:szCs w:val="24"/>
        </w:rPr>
        <w:t>.</w:t>
      </w:r>
    </w:p>
    <w:p w14:paraId="5D11B595" w14:textId="77777777" w:rsidR="00F445F9" w:rsidRPr="008B664F" w:rsidRDefault="00F445F9" w:rsidP="00F445F9">
      <w:pPr>
        <w:pStyle w:val="TOCHeading"/>
        <w:rPr>
          <w:b w:val="0"/>
        </w:rPr>
      </w:pPr>
      <w:r w:rsidRPr="008B664F">
        <w:lastRenderedPageBreak/>
        <w:t>Contents</w:t>
      </w:r>
    </w:p>
    <w:p w14:paraId="5EFA3028" w14:textId="6D1CED10" w:rsidR="007B0C5D" w:rsidRDefault="00F445F9">
      <w:pPr>
        <w:pStyle w:val="TOC1"/>
        <w:rPr>
          <w:rFonts w:asciiTheme="minorHAnsi" w:eastAsiaTheme="minorEastAsia" w:hAnsiTheme="minorHAnsi" w:cstheme="minorBidi"/>
          <w:b w:val="0"/>
          <w:sz w:val="22"/>
          <w:szCs w:val="22"/>
        </w:rPr>
      </w:pPr>
      <w:r w:rsidRPr="008B664F">
        <w:rPr>
          <w:rFonts w:ascii="HelveticaNeue LT 55 Roman" w:hAnsi="HelveticaNeue LT 55 Roman"/>
          <w:b w:val="0"/>
        </w:rPr>
        <w:fldChar w:fldCharType="begin"/>
      </w:r>
      <w:r w:rsidRPr="008B664F">
        <w:rPr>
          <w:rFonts w:ascii="HelveticaNeue LT 55 Roman" w:hAnsi="HelveticaNeue LT 55 Roman"/>
          <w:b w:val="0"/>
        </w:rPr>
        <w:instrText xml:space="preserve"> TOC \h \z \t "Heading 1,1,Heading 2,2,Heading 1 no number,1" </w:instrText>
      </w:r>
      <w:r w:rsidRPr="008B664F">
        <w:rPr>
          <w:rFonts w:ascii="HelveticaNeue LT 55 Roman" w:hAnsi="HelveticaNeue LT 55 Roman"/>
          <w:b w:val="0"/>
        </w:rPr>
        <w:fldChar w:fldCharType="separate"/>
      </w:r>
      <w:hyperlink w:anchor="_Toc96948414" w:history="1">
        <w:r w:rsidR="007B0C5D" w:rsidRPr="004F5B36">
          <w:rPr>
            <w:rStyle w:val="Hyperlink"/>
          </w:rPr>
          <w:t>A</w:t>
        </w:r>
        <w:r w:rsidR="007B0C5D">
          <w:rPr>
            <w:rFonts w:asciiTheme="minorHAnsi" w:eastAsiaTheme="minorEastAsia" w:hAnsiTheme="minorHAnsi" w:cstheme="minorBidi"/>
            <w:b w:val="0"/>
            <w:sz w:val="22"/>
            <w:szCs w:val="22"/>
          </w:rPr>
          <w:tab/>
        </w:r>
        <w:r w:rsidR="007B0C5D" w:rsidRPr="004F5B36">
          <w:rPr>
            <w:rStyle w:val="Hyperlink"/>
          </w:rPr>
          <w:t>Overview and consultation process</w:t>
        </w:r>
        <w:r w:rsidR="007B0C5D">
          <w:rPr>
            <w:webHidden/>
          </w:rPr>
          <w:tab/>
        </w:r>
        <w:r w:rsidR="007B0C5D">
          <w:rPr>
            <w:webHidden/>
          </w:rPr>
          <w:fldChar w:fldCharType="begin"/>
        </w:r>
        <w:r w:rsidR="007B0C5D">
          <w:rPr>
            <w:webHidden/>
          </w:rPr>
          <w:instrText xml:space="preserve"> PAGEREF _Toc96948414 \h </w:instrText>
        </w:r>
        <w:r w:rsidR="007B0C5D">
          <w:rPr>
            <w:webHidden/>
          </w:rPr>
        </w:r>
        <w:r w:rsidR="007B0C5D">
          <w:rPr>
            <w:webHidden/>
          </w:rPr>
          <w:fldChar w:fldCharType="separate"/>
        </w:r>
        <w:r w:rsidR="0051586A">
          <w:rPr>
            <w:webHidden/>
          </w:rPr>
          <w:t>4</w:t>
        </w:r>
        <w:r w:rsidR="007B0C5D">
          <w:rPr>
            <w:webHidden/>
          </w:rPr>
          <w:fldChar w:fldCharType="end"/>
        </w:r>
      </w:hyperlink>
    </w:p>
    <w:p w14:paraId="3F1662E5" w14:textId="4A412515" w:rsidR="007B0C5D" w:rsidRDefault="001843DC">
      <w:pPr>
        <w:pStyle w:val="TOC2"/>
        <w:rPr>
          <w:rFonts w:asciiTheme="minorHAnsi" w:eastAsiaTheme="minorEastAsia" w:hAnsiTheme="minorHAnsi" w:cstheme="minorBidi"/>
          <w:sz w:val="22"/>
          <w:szCs w:val="22"/>
        </w:rPr>
      </w:pPr>
      <w:hyperlink w:anchor="_Toc96948415" w:history="1">
        <w:r w:rsidR="007B0C5D" w:rsidRPr="004F5B36">
          <w:rPr>
            <w:rStyle w:val="Hyperlink"/>
          </w:rPr>
          <w:t>Responses to consultation</w:t>
        </w:r>
        <w:r w:rsidR="007B0C5D">
          <w:rPr>
            <w:webHidden/>
          </w:rPr>
          <w:tab/>
        </w:r>
        <w:r w:rsidR="007B0C5D">
          <w:rPr>
            <w:webHidden/>
          </w:rPr>
          <w:fldChar w:fldCharType="begin"/>
        </w:r>
        <w:r w:rsidR="007B0C5D">
          <w:rPr>
            <w:webHidden/>
          </w:rPr>
          <w:instrText xml:space="preserve"> PAGEREF _Toc96948415 \h </w:instrText>
        </w:r>
        <w:r w:rsidR="007B0C5D">
          <w:rPr>
            <w:webHidden/>
          </w:rPr>
        </w:r>
        <w:r w:rsidR="007B0C5D">
          <w:rPr>
            <w:webHidden/>
          </w:rPr>
          <w:fldChar w:fldCharType="separate"/>
        </w:r>
        <w:r w:rsidR="0051586A">
          <w:rPr>
            <w:webHidden/>
          </w:rPr>
          <w:t>5</w:t>
        </w:r>
        <w:r w:rsidR="007B0C5D">
          <w:rPr>
            <w:webHidden/>
          </w:rPr>
          <w:fldChar w:fldCharType="end"/>
        </w:r>
      </w:hyperlink>
    </w:p>
    <w:p w14:paraId="58DCC867" w14:textId="32C1756F" w:rsidR="007B0C5D" w:rsidRDefault="001843DC">
      <w:pPr>
        <w:pStyle w:val="TOC2"/>
        <w:rPr>
          <w:rFonts w:asciiTheme="minorHAnsi" w:eastAsiaTheme="minorEastAsia" w:hAnsiTheme="minorHAnsi" w:cstheme="minorBidi"/>
          <w:sz w:val="22"/>
          <w:szCs w:val="22"/>
        </w:rPr>
      </w:pPr>
      <w:hyperlink w:anchor="_Toc96948416" w:history="1">
        <w:r w:rsidR="007B0C5D" w:rsidRPr="004F5B36">
          <w:rPr>
            <w:rStyle w:val="Hyperlink"/>
          </w:rPr>
          <w:t>Alignment with APRA standards</w:t>
        </w:r>
        <w:r w:rsidR="007B0C5D">
          <w:rPr>
            <w:webHidden/>
          </w:rPr>
          <w:tab/>
        </w:r>
        <w:r w:rsidR="007B0C5D">
          <w:rPr>
            <w:webHidden/>
          </w:rPr>
          <w:fldChar w:fldCharType="begin"/>
        </w:r>
        <w:r w:rsidR="007B0C5D">
          <w:rPr>
            <w:webHidden/>
          </w:rPr>
          <w:instrText xml:space="preserve"> PAGEREF _Toc96948416 \h </w:instrText>
        </w:r>
        <w:r w:rsidR="007B0C5D">
          <w:rPr>
            <w:webHidden/>
          </w:rPr>
        </w:r>
        <w:r w:rsidR="007B0C5D">
          <w:rPr>
            <w:webHidden/>
          </w:rPr>
          <w:fldChar w:fldCharType="separate"/>
        </w:r>
        <w:r w:rsidR="0051586A">
          <w:rPr>
            <w:webHidden/>
          </w:rPr>
          <w:t>5</w:t>
        </w:r>
        <w:r w:rsidR="007B0C5D">
          <w:rPr>
            <w:webHidden/>
          </w:rPr>
          <w:fldChar w:fldCharType="end"/>
        </w:r>
      </w:hyperlink>
    </w:p>
    <w:p w14:paraId="2900EFC3" w14:textId="46990B86" w:rsidR="007B0C5D" w:rsidRDefault="001843DC">
      <w:pPr>
        <w:pStyle w:val="TOC2"/>
        <w:rPr>
          <w:rFonts w:asciiTheme="minorHAnsi" w:eastAsiaTheme="minorEastAsia" w:hAnsiTheme="minorHAnsi" w:cstheme="minorBidi"/>
          <w:sz w:val="22"/>
          <w:szCs w:val="22"/>
        </w:rPr>
      </w:pPr>
      <w:hyperlink w:anchor="_Toc96948417" w:history="1">
        <w:r w:rsidR="007B0C5D" w:rsidRPr="004F5B36">
          <w:rPr>
            <w:rStyle w:val="Hyperlink"/>
          </w:rPr>
          <w:t>Implementation and transition period</w:t>
        </w:r>
        <w:r w:rsidR="007B0C5D">
          <w:rPr>
            <w:webHidden/>
          </w:rPr>
          <w:tab/>
        </w:r>
        <w:r w:rsidR="007B0C5D">
          <w:rPr>
            <w:webHidden/>
          </w:rPr>
          <w:fldChar w:fldCharType="begin"/>
        </w:r>
        <w:r w:rsidR="007B0C5D">
          <w:rPr>
            <w:webHidden/>
          </w:rPr>
          <w:instrText xml:space="preserve"> PAGEREF _Toc96948417 \h </w:instrText>
        </w:r>
        <w:r w:rsidR="007B0C5D">
          <w:rPr>
            <w:webHidden/>
          </w:rPr>
        </w:r>
        <w:r w:rsidR="007B0C5D">
          <w:rPr>
            <w:webHidden/>
          </w:rPr>
          <w:fldChar w:fldCharType="separate"/>
        </w:r>
        <w:r w:rsidR="0051586A">
          <w:rPr>
            <w:webHidden/>
          </w:rPr>
          <w:t>6</w:t>
        </w:r>
        <w:r w:rsidR="007B0C5D">
          <w:rPr>
            <w:webHidden/>
          </w:rPr>
          <w:fldChar w:fldCharType="end"/>
        </w:r>
      </w:hyperlink>
    </w:p>
    <w:p w14:paraId="23FAC53D" w14:textId="0D1AAFC6" w:rsidR="007B0C5D" w:rsidRDefault="001843DC">
      <w:pPr>
        <w:pStyle w:val="TOC1"/>
        <w:rPr>
          <w:rFonts w:asciiTheme="minorHAnsi" w:eastAsiaTheme="minorEastAsia" w:hAnsiTheme="minorHAnsi" w:cstheme="minorBidi"/>
          <w:b w:val="0"/>
          <w:sz w:val="22"/>
          <w:szCs w:val="22"/>
        </w:rPr>
      </w:pPr>
      <w:hyperlink w:anchor="_Toc96948418" w:history="1">
        <w:r w:rsidR="007B0C5D" w:rsidRPr="004F5B36">
          <w:rPr>
            <w:rStyle w:val="Hyperlink"/>
          </w:rPr>
          <w:t>B</w:t>
        </w:r>
        <w:r w:rsidR="007B0C5D">
          <w:rPr>
            <w:rFonts w:asciiTheme="minorHAnsi" w:eastAsiaTheme="minorEastAsia" w:hAnsiTheme="minorHAnsi" w:cstheme="minorBidi"/>
            <w:b w:val="0"/>
            <w:sz w:val="22"/>
            <w:szCs w:val="22"/>
          </w:rPr>
          <w:tab/>
        </w:r>
        <w:r w:rsidR="007B0C5D" w:rsidRPr="004F5B36">
          <w:rPr>
            <w:rStyle w:val="Hyperlink"/>
          </w:rPr>
          <w:t>Rules for market operators and market participants</w:t>
        </w:r>
        <w:r w:rsidR="007B0C5D">
          <w:rPr>
            <w:webHidden/>
          </w:rPr>
          <w:tab/>
        </w:r>
        <w:r w:rsidR="007B0C5D">
          <w:rPr>
            <w:webHidden/>
          </w:rPr>
          <w:fldChar w:fldCharType="begin"/>
        </w:r>
        <w:r w:rsidR="007B0C5D">
          <w:rPr>
            <w:webHidden/>
          </w:rPr>
          <w:instrText xml:space="preserve"> PAGEREF _Toc96948418 \h </w:instrText>
        </w:r>
        <w:r w:rsidR="007B0C5D">
          <w:rPr>
            <w:webHidden/>
          </w:rPr>
        </w:r>
        <w:r w:rsidR="007B0C5D">
          <w:rPr>
            <w:webHidden/>
          </w:rPr>
          <w:fldChar w:fldCharType="separate"/>
        </w:r>
        <w:r w:rsidR="0051586A">
          <w:rPr>
            <w:webHidden/>
          </w:rPr>
          <w:t>7</w:t>
        </w:r>
        <w:r w:rsidR="007B0C5D">
          <w:rPr>
            <w:webHidden/>
          </w:rPr>
          <w:fldChar w:fldCharType="end"/>
        </w:r>
      </w:hyperlink>
    </w:p>
    <w:p w14:paraId="666D6DE1" w14:textId="5F109A96" w:rsidR="007B0C5D" w:rsidRDefault="001843DC">
      <w:pPr>
        <w:pStyle w:val="TOC2"/>
        <w:rPr>
          <w:rFonts w:asciiTheme="minorHAnsi" w:eastAsiaTheme="minorEastAsia" w:hAnsiTheme="minorHAnsi" w:cstheme="minorBidi"/>
          <w:sz w:val="22"/>
          <w:szCs w:val="22"/>
        </w:rPr>
      </w:pPr>
      <w:hyperlink w:anchor="_Toc96948419" w:history="1">
        <w:r w:rsidR="007B0C5D" w:rsidRPr="004F5B36">
          <w:rPr>
            <w:rStyle w:val="Hyperlink"/>
          </w:rPr>
          <w:t>Critical systems arrangements</w:t>
        </w:r>
        <w:r w:rsidR="007B0C5D">
          <w:rPr>
            <w:webHidden/>
          </w:rPr>
          <w:tab/>
        </w:r>
        <w:r w:rsidR="007B0C5D">
          <w:rPr>
            <w:webHidden/>
          </w:rPr>
          <w:fldChar w:fldCharType="begin"/>
        </w:r>
        <w:r w:rsidR="007B0C5D">
          <w:rPr>
            <w:webHidden/>
          </w:rPr>
          <w:instrText xml:space="preserve"> PAGEREF _Toc96948419 \h </w:instrText>
        </w:r>
        <w:r w:rsidR="007B0C5D">
          <w:rPr>
            <w:webHidden/>
          </w:rPr>
        </w:r>
        <w:r w:rsidR="007B0C5D">
          <w:rPr>
            <w:webHidden/>
          </w:rPr>
          <w:fldChar w:fldCharType="separate"/>
        </w:r>
        <w:r w:rsidR="0051586A">
          <w:rPr>
            <w:webHidden/>
          </w:rPr>
          <w:t>7</w:t>
        </w:r>
        <w:r w:rsidR="007B0C5D">
          <w:rPr>
            <w:webHidden/>
          </w:rPr>
          <w:fldChar w:fldCharType="end"/>
        </w:r>
      </w:hyperlink>
    </w:p>
    <w:p w14:paraId="0F1D3DD6" w14:textId="3E61B3E5" w:rsidR="007B0C5D" w:rsidRDefault="001843DC">
      <w:pPr>
        <w:pStyle w:val="TOC2"/>
        <w:rPr>
          <w:rFonts w:asciiTheme="minorHAnsi" w:eastAsiaTheme="minorEastAsia" w:hAnsiTheme="minorHAnsi" w:cstheme="minorBidi"/>
          <w:sz w:val="22"/>
          <w:szCs w:val="22"/>
        </w:rPr>
      </w:pPr>
      <w:hyperlink w:anchor="_Toc96948420" w:history="1">
        <w:r w:rsidR="007B0C5D" w:rsidRPr="004F5B36">
          <w:rPr>
            <w:rStyle w:val="Hyperlink"/>
          </w:rPr>
          <w:t>Change management of critical systems</w:t>
        </w:r>
        <w:r w:rsidR="007B0C5D">
          <w:rPr>
            <w:webHidden/>
          </w:rPr>
          <w:tab/>
        </w:r>
        <w:r w:rsidR="007B0C5D">
          <w:rPr>
            <w:webHidden/>
          </w:rPr>
          <w:fldChar w:fldCharType="begin"/>
        </w:r>
        <w:r w:rsidR="007B0C5D">
          <w:rPr>
            <w:webHidden/>
          </w:rPr>
          <w:instrText xml:space="preserve"> PAGEREF _Toc96948420 \h </w:instrText>
        </w:r>
        <w:r w:rsidR="007B0C5D">
          <w:rPr>
            <w:webHidden/>
          </w:rPr>
        </w:r>
        <w:r w:rsidR="007B0C5D">
          <w:rPr>
            <w:webHidden/>
          </w:rPr>
          <w:fldChar w:fldCharType="separate"/>
        </w:r>
        <w:r w:rsidR="0051586A">
          <w:rPr>
            <w:webHidden/>
          </w:rPr>
          <w:t>9</w:t>
        </w:r>
        <w:r w:rsidR="007B0C5D">
          <w:rPr>
            <w:webHidden/>
          </w:rPr>
          <w:fldChar w:fldCharType="end"/>
        </w:r>
      </w:hyperlink>
    </w:p>
    <w:p w14:paraId="6FDA0033" w14:textId="48E5626E" w:rsidR="007B0C5D" w:rsidRDefault="001843DC">
      <w:pPr>
        <w:pStyle w:val="TOC2"/>
        <w:rPr>
          <w:rFonts w:asciiTheme="minorHAnsi" w:eastAsiaTheme="minorEastAsia" w:hAnsiTheme="minorHAnsi" w:cstheme="minorBidi"/>
          <w:sz w:val="22"/>
          <w:szCs w:val="22"/>
        </w:rPr>
      </w:pPr>
      <w:hyperlink w:anchor="_Toc96948421" w:history="1">
        <w:r w:rsidR="007B0C5D" w:rsidRPr="004F5B36">
          <w:rPr>
            <w:rStyle w:val="Hyperlink"/>
          </w:rPr>
          <w:t>Outsourcing critical systems</w:t>
        </w:r>
        <w:r w:rsidR="007B0C5D">
          <w:rPr>
            <w:webHidden/>
          </w:rPr>
          <w:tab/>
        </w:r>
        <w:r w:rsidR="007B0C5D">
          <w:rPr>
            <w:webHidden/>
          </w:rPr>
          <w:fldChar w:fldCharType="begin"/>
        </w:r>
        <w:r w:rsidR="007B0C5D">
          <w:rPr>
            <w:webHidden/>
          </w:rPr>
          <w:instrText xml:space="preserve"> PAGEREF _Toc96948421 \h </w:instrText>
        </w:r>
        <w:r w:rsidR="007B0C5D">
          <w:rPr>
            <w:webHidden/>
          </w:rPr>
        </w:r>
        <w:r w:rsidR="007B0C5D">
          <w:rPr>
            <w:webHidden/>
          </w:rPr>
          <w:fldChar w:fldCharType="separate"/>
        </w:r>
        <w:r w:rsidR="0051586A">
          <w:rPr>
            <w:webHidden/>
          </w:rPr>
          <w:t>11</w:t>
        </w:r>
        <w:r w:rsidR="007B0C5D">
          <w:rPr>
            <w:webHidden/>
          </w:rPr>
          <w:fldChar w:fldCharType="end"/>
        </w:r>
      </w:hyperlink>
    </w:p>
    <w:p w14:paraId="19468CFB" w14:textId="3BEDDB32" w:rsidR="007B0C5D" w:rsidRDefault="001843DC">
      <w:pPr>
        <w:pStyle w:val="TOC2"/>
        <w:rPr>
          <w:rFonts w:asciiTheme="minorHAnsi" w:eastAsiaTheme="minorEastAsia" w:hAnsiTheme="minorHAnsi" w:cstheme="minorBidi"/>
          <w:sz w:val="22"/>
          <w:szCs w:val="22"/>
        </w:rPr>
      </w:pPr>
      <w:hyperlink w:anchor="_Toc96948422" w:history="1">
        <w:r w:rsidR="007B0C5D" w:rsidRPr="004F5B36">
          <w:rPr>
            <w:rStyle w:val="Hyperlink"/>
          </w:rPr>
          <w:t>Risk management—Data and cyber risk</w:t>
        </w:r>
        <w:r w:rsidR="007B0C5D">
          <w:rPr>
            <w:webHidden/>
          </w:rPr>
          <w:tab/>
        </w:r>
        <w:r w:rsidR="007B0C5D">
          <w:rPr>
            <w:webHidden/>
          </w:rPr>
          <w:fldChar w:fldCharType="begin"/>
        </w:r>
        <w:r w:rsidR="007B0C5D">
          <w:rPr>
            <w:webHidden/>
          </w:rPr>
          <w:instrText xml:space="preserve"> PAGEREF _Toc96948422 \h </w:instrText>
        </w:r>
        <w:r w:rsidR="007B0C5D">
          <w:rPr>
            <w:webHidden/>
          </w:rPr>
        </w:r>
        <w:r w:rsidR="007B0C5D">
          <w:rPr>
            <w:webHidden/>
          </w:rPr>
          <w:fldChar w:fldCharType="separate"/>
        </w:r>
        <w:r w:rsidR="0051586A">
          <w:rPr>
            <w:webHidden/>
          </w:rPr>
          <w:t>13</w:t>
        </w:r>
        <w:r w:rsidR="007B0C5D">
          <w:rPr>
            <w:webHidden/>
          </w:rPr>
          <w:fldChar w:fldCharType="end"/>
        </w:r>
      </w:hyperlink>
    </w:p>
    <w:p w14:paraId="429B34C0" w14:textId="20722767" w:rsidR="007B0C5D" w:rsidRDefault="001843DC">
      <w:pPr>
        <w:pStyle w:val="TOC2"/>
        <w:rPr>
          <w:rFonts w:asciiTheme="minorHAnsi" w:eastAsiaTheme="minorEastAsia" w:hAnsiTheme="minorHAnsi" w:cstheme="minorBidi"/>
          <w:sz w:val="22"/>
          <w:szCs w:val="22"/>
        </w:rPr>
      </w:pPr>
      <w:hyperlink w:anchor="_Toc96948423" w:history="1">
        <w:r w:rsidR="007B0C5D" w:rsidRPr="004F5B36">
          <w:rPr>
            <w:rStyle w:val="Hyperlink"/>
          </w:rPr>
          <w:t>Incident management and business continuity arrangements</w:t>
        </w:r>
        <w:r w:rsidR="007B0C5D">
          <w:rPr>
            <w:webHidden/>
          </w:rPr>
          <w:tab/>
        </w:r>
        <w:r w:rsidR="007B0C5D">
          <w:rPr>
            <w:webHidden/>
          </w:rPr>
          <w:fldChar w:fldCharType="begin"/>
        </w:r>
        <w:r w:rsidR="007B0C5D">
          <w:rPr>
            <w:webHidden/>
          </w:rPr>
          <w:instrText xml:space="preserve"> PAGEREF _Toc96948423 \h </w:instrText>
        </w:r>
        <w:r w:rsidR="007B0C5D">
          <w:rPr>
            <w:webHidden/>
          </w:rPr>
        </w:r>
        <w:r w:rsidR="007B0C5D">
          <w:rPr>
            <w:webHidden/>
          </w:rPr>
          <w:fldChar w:fldCharType="separate"/>
        </w:r>
        <w:r w:rsidR="0051586A">
          <w:rPr>
            <w:webHidden/>
          </w:rPr>
          <w:t>15</w:t>
        </w:r>
        <w:r w:rsidR="007B0C5D">
          <w:rPr>
            <w:webHidden/>
          </w:rPr>
          <w:fldChar w:fldCharType="end"/>
        </w:r>
      </w:hyperlink>
    </w:p>
    <w:p w14:paraId="57439319" w14:textId="69BCB290" w:rsidR="007B0C5D" w:rsidRDefault="001843DC">
      <w:pPr>
        <w:pStyle w:val="TOC2"/>
        <w:rPr>
          <w:rFonts w:asciiTheme="minorHAnsi" w:eastAsiaTheme="minorEastAsia" w:hAnsiTheme="minorHAnsi" w:cstheme="minorBidi"/>
          <w:sz w:val="22"/>
          <w:szCs w:val="22"/>
        </w:rPr>
      </w:pPr>
      <w:hyperlink w:anchor="_Toc96948424" w:history="1">
        <w:r w:rsidR="007B0C5D" w:rsidRPr="004F5B36">
          <w:rPr>
            <w:rStyle w:val="Hyperlink"/>
          </w:rPr>
          <w:t>Governance arrangements and adequate resources</w:t>
        </w:r>
        <w:r w:rsidR="007B0C5D">
          <w:rPr>
            <w:webHidden/>
          </w:rPr>
          <w:tab/>
        </w:r>
        <w:r w:rsidR="007B0C5D">
          <w:rPr>
            <w:webHidden/>
          </w:rPr>
          <w:fldChar w:fldCharType="begin"/>
        </w:r>
        <w:r w:rsidR="007B0C5D">
          <w:rPr>
            <w:webHidden/>
          </w:rPr>
          <w:instrText xml:space="preserve"> PAGEREF _Toc96948424 \h </w:instrText>
        </w:r>
        <w:r w:rsidR="007B0C5D">
          <w:rPr>
            <w:webHidden/>
          </w:rPr>
        </w:r>
        <w:r w:rsidR="007B0C5D">
          <w:rPr>
            <w:webHidden/>
          </w:rPr>
          <w:fldChar w:fldCharType="separate"/>
        </w:r>
        <w:r w:rsidR="0051586A">
          <w:rPr>
            <w:webHidden/>
          </w:rPr>
          <w:t>17</w:t>
        </w:r>
        <w:r w:rsidR="007B0C5D">
          <w:rPr>
            <w:webHidden/>
          </w:rPr>
          <w:fldChar w:fldCharType="end"/>
        </w:r>
      </w:hyperlink>
    </w:p>
    <w:p w14:paraId="566F0EC1" w14:textId="328BDA12" w:rsidR="007B0C5D" w:rsidRDefault="001843DC">
      <w:pPr>
        <w:pStyle w:val="TOC2"/>
        <w:rPr>
          <w:rFonts w:asciiTheme="minorHAnsi" w:eastAsiaTheme="minorEastAsia" w:hAnsiTheme="minorHAnsi" w:cstheme="minorBidi"/>
          <w:sz w:val="22"/>
          <w:szCs w:val="22"/>
        </w:rPr>
      </w:pPr>
      <w:hyperlink w:anchor="_Toc96948425" w:history="1">
        <w:r w:rsidR="007B0C5D" w:rsidRPr="004F5B36">
          <w:rPr>
            <w:rStyle w:val="Hyperlink"/>
          </w:rPr>
          <w:t>Fair access to the market—Market operator rule only</w:t>
        </w:r>
        <w:r w:rsidR="007B0C5D">
          <w:rPr>
            <w:webHidden/>
          </w:rPr>
          <w:tab/>
        </w:r>
        <w:r w:rsidR="007B0C5D">
          <w:rPr>
            <w:webHidden/>
          </w:rPr>
          <w:fldChar w:fldCharType="begin"/>
        </w:r>
        <w:r w:rsidR="007B0C5D">
          <w:rPr>
            <w:webHidden/>
          </w:rPr>
          <w:instrText xml:space="preserve"> PAGEREF _Toc96948425 \h </w:instrText>
        </w:r>
        <w:r w:rsidR="007B0C5D">
          <w:rPr>
            <w:webHidden/>
          </w:rPr>
        </w:r>
        <w:r w:rsidR="007B0C5D">
          <w:rPr>
            <w:webHidden/>
          </w:rPr>
          <w:fldChar w:fldCharType="separate"/>
        </w:r>
        <w:r w:rsidR="0051586A">
          <w:rPr>
            <w:webHidden/>
          </w:rPr>
          <w:t>18</w:t>
        </w:r>
        <w:r w:rsidR="007B0C5D">
          <w:rPr>
            <w:webHidden/>
          </w:rPr>
          <w:fldChar w:fldCharType="end"/>
        </w:r>
      </w:hyperlink>
    </w:p>
    <w:p w14:paraId="7D95F8CC" w14:textId="308BE8C9" w:rsidR="007B0C5D" w:rsidRDefault="001843DC">
      <w:pPr>
        <w:pStyle w:val="TOC2"/>
        <w:rPr>
          <w:rFonts w:asciiTheme="minorHAnsi" w:eastAsiaTheme="minorEastAsia" w:hAnsiTheme="minorHAnsi" w:cstheme="minorBidi"/>
          <w:sz w:val="22"/>
          <w:szCs w:val="22"/>
        </w:rPr>
      </w:pPr>
      <w:hyperlink w:anchor="_Toc96948426" w:history="1">
        <w:r w:rsidR="007B0C5D" w:rsidRPr="004F5B36">
          <w:rPr>
            <w:rStyle w:val="Hyperlink"/>
          </w:rPr>
          <w:t>Trading controls—Market operator rule only</w:t>
        </w:r>
        <w:r w:rsidR="007B0C5D">
          <w:rPr>
            <w:webHidden/>
          </w:rPr>
          <w:tab/>
        </w:r>
        <w:r w:rsidR="007B0C5D">
          <w:rPr>
            <w:webHidden/>
          </w:rPr>
          <w:fldChar w:fldCharType="begin"/>
        </w:r>
        <w:r w:rsidR="007B0C5D">
          <w:rPr>
            <w:webHidden/>
          </w:rPr>
          <w:instrText xml:space="preserve"> PAGEREF _Toc96948426 \h </w:instrText>
        </w:r>
        <w:r w:rsidR="007B0C5D">
          <w:rPr>
            <w:webHidden/>
          </w:rPr>
        </w:r>
        <w:r w:rsidR="007B0C5D">
          <w:rPr>
            <w:webHidden/>
          </w:rPr>
          <w:fldChar w:fldCharType="separate"/>
        </w:r>
        <w:r w:rsidR="0051586A">
          <w:rPr>
            <w:webHidden/>
          </w:rPr>
          <w:t>19</w:t>
        </w:r>
        <w:r w:rsidR="007B0C5D">
          <w:rPr>
            <w:webHidden/>
          </w:rPr>
          <w:fldChar w:fldCharType="end"/>
        </w:r>
      </w:hyperlink>
    </w:p>
    <w:p w14:paraId="7D769F85" w14:textId="1F5E4064" w:rsidR="007B0C5D" w:rsidRDefault="001843DC">
      <w:pPr>
        <w:pStyle w:val="TOC1"/>
        <w:rPr>
          <w:rFonts w:asciiTheme="minorHAnsi" w:eastAsiaTheme="minorEastAsia" w:hAnsiTheme="minorHAnsi" w:cstheme="minorBidi"/>
          <w:b w:val="0"/>
          <w:sz w:val="22"/>
          <w:szCs w:val="22"/>
        </w:rPr>
      </w:pPr>
      <w:hyperlink w:anchor="_Toc96948427" w:history="1">
        <w:r w:rsidR="007B0C5D" w:rsidRPr="004F5B36">
          <w:rPr>
            <w:rStyle w:val="Hyperlink"/>
          </w:rPr>
          <w:t>Appendix: List of non-confidential respondents</w:t>
        </w:r>
        <w:r w:rsidR="007B0C5D">
          <w:rPr>
            <w:webHidden/>
          </w:rPr>
          <w:tab/>
        </w:r>
        <w:r w:rsidR="007B0C5D">
          <w:rPr>
            <w:webHidden/>
          </w:rPr>
          <w:fldChar w:fldCharType="begin"/>
        </w:r>
        <w:r w:rsidR="007B0C5D">
          <w:rPr>
            <w:webHidden/>
          </w:rPr>
          <w:instrText xml:space="preserve"> PAGEREF _Toc96948427 \h </w:instrText>
        </w:r>
        <w:r w:rsidR="007B0C5D">
          <w:rPr>
            <w:webHidden/>
          </w:rPr>
        </w:r>
        <w:r w:rsidR="007B0C5D">
          <w:rPr>
            <w:webHidden/>
          </w:rPr>
          <w:fldChar w:fldCharType="separate"/>
        </w:r>
        <w:r w:rsidR="0051586A">
          <w:rPr>
            <w:webHidden/>
          </w:rPr>
          <w:t>21</w:t>
        </w:r>
        <w:r w:rsidR="007B0C5D">
          <w:rPr>
            <w:webHidden/>
          </w:rPr>
          <w:fldChar w:fldCharType="end"/>
        </w:r>
      </w:hyperlink>
    </w:p>
    <w:p w14:paraId="51DA1D62" w14:textId="18A0444C" w:rsidR="00F445F9" w:rsidRPr="008B664F" w:rsidRDefault="00F445F9">
      <w:pPr>
        <w:pStyle w:val="Bodytextplain"/>
      </w:pPr>
      <w:r w:rsidRPr="008B664F">
        <w:rPr>
          <w:rFonts w:ascii="HelveticaNeue LT 55 Roman" w:hAnsi="HelveticaNeue LT 55 Roman" w:cs="Arial"/>
          <w:b/>
          <w:noProof/>
          <w:sz w:val="20"/>
          <w:szCs w:val="20"/>
        </w:rPr>
        <w:fldChar w:fldCharType="end"/>
      </w:r>
    </w:p>
    <w:p w14:paraId="37A62B3E" w14:textId="02C7F374" w:rsidR="00F445F9" w:rsidRPr="008B664F" w:rsidRDefault="006D2BEC" w:rsidP="00F445F9">
      <w:pPr>
        <w:pStyle w:val="Heading1"/>
      </w:pPr>
      <w:bookmarkStart w:id="2" w:name="_Toc96948414"/>
      <w:r w:rsidRPr="008B664F">
        <w:lastRenderedPageBreak/>
        <w:t>Overview</w:t>
      </w:r>
      <w:r w:rsidR="0008669C" w:rsidRPr="008B664F">
        <w:t xml:space="preserve"> and c</w:t>
      </w:r>
      <w:r w:rsidRPr="008B664F">
        <w:t>onsultation process</w:t>
      </w:r>
      <w:bookmarkEnd w:id="2"/>
    </w:p>
    <w:p w14:paraId="7CD5BFEA" w14:textId="7DD90A53" w:rsidR="00F445F9" w:rsidRPr="00057409" w:rsidRDefault="00F445F9" w:rsidP="00F445F9">
      <w:pPr>
        <w:pStyle w:val="BodyText"/>
        <w:numPr>
          <w:ilvl w:val="0"/>
          <w:numId w:val="8"/>
        </w:numPr>
      </w:pPr>
      <w:r w:rsidRPr="00057409">
        <w:t xml:space="preserve">In </w:t>
      </w:r>
      <w:hyperlink r:id="rId21" w:history="1">
        <w:r w:rsidR="00387247" w:rsidRPr="00057409">
          <w:rPr>
            <w:rStyle w:val="Hyperlink"/>
          </w:rPr>
          <w:t>Consultation Paper 314</w:t>
        </w:r>
      </w:hyperlink>
      <w:r w:rsidR="00387247" w:rsidRPr="00057409">
        <w:t xml:space="preserve"> </w:t>
      </w:r>
      <w:r w:rsidR="00387247" w:rsidRPr="00057409">
        <w:rPr>
          <w:i/>
          <w:iCs/>
        </w:rPr>
        <w:t>Market integrity rules for technological and operational resilience</w:t>
      </w:r>
      <w:r w:rsidR="00387247" w:rsidRPr="00057409">
        <w:t xml:space="preserve"> (CP 314)</w:t>
      </w:r>
      <w:r w:rsidRPr="00057409">
        <w:t xml:space="preserve">, we consulted on proposals to </w:t>
      </w:r>
      <w:r w:rsidR="00D97BB6" w:rsidRPr="00057409">
        <w:t xml:space="preserve">introduce </w:t>
      </w:r>
      <w:r w:rsidR="003B1807">
        <w:t xml:space="preserve">market integrity </w:t>
      </w:r>
      <w:r w:rsidR="00D97BB6" w:rsidRPr="00057409">
        <w:t>rules for market operators and market participants</w:t>
      </w:r>
      <w:r w:rsidR="003B1807">
        <w:t>,</w:t>
      </w:r>
      <w:r w:rsidR="00D97BB6" w:rsidRPr="00057409">
        <w:t xml:space="preserve"> to ensure the resilience of their critical systems</w:t>
      </w:r>
      <w:r w:rsidR="00FE2278" w:rsidRPr="00057409">
        <w:t>.</w:t>
      </w:r>
      <w:r w:rsidR="003B1807">
        <w:t xml:space="preserve"> </w:t>
      </w:r>
      <w:r w:rsidR="003B1807" w:rsidRPr="00D4229B">
        <w:t xml:space="preserve">These </w:t>
      </w:r>
      <w:r w:rsidR="007A71CA">
        <w:t xml:space="preserve">proposed </w:t>
      </w:r>
      <w:r w:rsidR="003B1807" w:rsidRPr="00D4229B">
        <w:t>rules would</w:t>
      </w:r>
      <w:r w:rsidR="003B1807">
        <w:t xml:space="preserve"> be part of </w:t>
      </w:r>
      <w:r w:rsidR="003B1807" w:rsidRPr="00057409">
        <w:t xml:space="preserve">the </w:t>
      </w:r>
      <w:r w:rsidR="003B1807" w:rsidRPr="0025311B">
        <w:rPr>
          <w:i/>
          <w:iCs/>
        </w:rPr>
        <w:t>ASIC Market Integrity Rules (Securities Markets) 2017</w:t>
      </w:r>
      <w:r w:rsidR="003B1807" w:rsidRPr="00057409">
        <w:t xml:space="preserve"> and the </w:t>
      </w:r>
      <w:r w:rsidR="003B1807" w:rsidRPr="0025311B">
        <w:rPr>
          <w:i/>
          <w:iCs/>
        </w:rPr>
        <w:t>ASIC Market Integrity Rules (Futures Markets) 2017</w:t>
      </w:r>
      <w:r w:rsidR="003B1807">
        <w:t>.</w:t>
      </w:r>
    </w:p>
    <w:p w14:paraId="5013BC49" w14:textId="27735AED" w:rsidR="00FE2278" w:rsidRPr="00057409" w:rsidRDefault="003B1807" w:rsidP="00F445F9">
      <w:pPr>
        <w:pStyle w:val="BodyText"/>
        <w:numPr>
          <w:ilvl w:val="0"/>
          <w:numId w:val="8"/>
        </w:numPr>
      </w:pPr>
      <w:r>
        <w:t>T</w:t>
      </w:r>
      <w:r w:rsidR="00FE2278" w:rsidRPr="00057409">
        <w:t xml:space="preserve">he </w:t>
      </w:r>
      <w:r w:rsidRPr="007A71CA">
        <w:t xml:space="preserve">proposed </w:t>
      </w:r>
      <w:r w:rsidR="00751598" w:rsidRPr="007A71CA">
        <w:t>rules</w:t>
      </w:r>
      <w:r w:rsidR="00FE2278" w:rsidRPr="007A71CA">
        <w:t xml:space="preserve"> </w:t>
      </w:r>
      <w:r w:rsidR="001F16FE" w:rsidRPr="007A71CA">
        <w:t xml:space="preserve">that we consulted on </w:t>
      </w:r>
      <w:r w:rsidR="00B4610D" w:rsidRPr="007A71CA">
        <w:t>w</w:t>
      </w:r>
      <w:r w:rsidRPr="007A71CA">
        <w:t>ould</w:t>
      </w:r>
      <w:r w:rsidR="00B4610D" w:rsidRPr="00057409">
        <w:t xml:space="preserve"> require</w:t>
      </w:r>
      <w:r w:rsidR="00FE2278" w:rsidRPr="00057409">
        <w:t xml:space="preserve"> market operators and their market participants</w:t>
      </w:r>
      <w:r w:rsidR="00B4610D" w:rsidRPr="00057409">
        <w:t xml:space="preserve"> to</w:t>
      </w:r>
      <w:r w:rsidR="006D1835" w:rsidRPr="00057409">
        <w:t>:</w:t>
      </w:r>
    </w:p>
    <w:p w14:paraId="40B064DF" w14:textId="230F972B" w:rsidR="00B726D7" w:rsidRPr="00057409" w:rsidRDefault="00B726D7" w:rsidP="00B726D7">
      <w:pPr>
        <w:pStyle w:val="subparaa"/>
      </w:pPr>
      <w:r w:rsidRPr="00057409">
        <w:t xml:space="preserve">have adequate arrangements in place to ensure the resilience, reliability, integrity and security of their critical </w:t>
      </w:r>
      <w:r w:rsidR="007A71CA">
        <w:t>systems</w:t>
      </w:r>
      <w:r w:rsidRPr="00057409">
        <w:t>;</w:t>
      </w:r>
    </w:p>
    <w:p w14:paraId="4A1A8598" w14:textId="2ACDE013" w:rsidR="00B726D7" w:rsidRPr="00057409" w:rsidRDefault="00B726D7" w:rsidP="00B726D7">
      <w:pPr>
        <w:pStyle w:val="subparaa"/>
      </w:pPr>
      <w:r w:rsidRPr="00057409">
        <w:t xml:space="preserve">ensure their arrangements for critical systems continue to remain adequate following the implementation of </w:t>
      </w:r>
      <w:r w:rsidR="007A71CA">
        <w:t xml:space="preserve">a </w:t>
      </w:r>
      <w:r w:rsidRPr="00057409">
        <w:t xml:space="preserve">new critical </w:t>
      </w:r>
      <w:r w:rsidR="007A71CA">
        <w:t>system</w:t>
      </w:r>
      <w:r w:rsidRPr="00057409">
        <w:t xml:space="preserve"> or </w:t>
      </w:r>
      <w:r w:rsidR="007A71CA">
        <w:t xml:space="preserve">a </w:t>
      </w:r>
      <w:r w:rsidRPr="00057409">
        <w:t>change to</w:t>
      </w:r>
      <w:r w:rsidR="007A71CA">
        <w:t xml:space="preserve"> an</w:t>
      </w:r>
      <w:r w:rsidRPr="00057409">
        <w:t xml:space="preserve"> existing critical </w:t>
      </w:r>
      <w:r w:rsidR="007A71CA">
        <w:t>system</w:t>
      </w:r>
      <w:r w:rsidRPr="00057409">
        <w:t>;</w:t>
      </w:r>
    </w:p>
    <w:p w14:paraId="7683F61A" w14:textId="6DE1C7E8" w:rsidR="00B726D7" w:rsidRPr="00057409" w:rsidRDefault="00B726D7" w:rsidP="00B726D7">
      <w:pPr>
        <w:pStyle w:val="subparaa"/>
      </w:pPr>
      <w:r w:rsidRPr="00057409">
        <w:t xml:space="preserve">ensure that outsourcing arrangements in relation to their critical </w:t>
      </w:r>
      <w:r w:rsidR="007A71CA">
        <w:t>systems</w:t>
      </w:r>
      <w:r w:rsidRPr="00057409">
        <w:t xml:space="preserve"> include appropriate controls;</w:t>
      </w:r>
    </w:p>
    <w:p w14:paraId="3F853423" w14:textId="58F70CFD" w:rsidR="00B726D7" w:rsidRPr="00057409" w:rsidRDefault="00B726D7" w:rsidP="00B726D7">
      <w:pPr>
        <w:pStyle w:val="subparaa"/>
      </w:pPr>
      <w:r w:rsidRPr="00057409">
        <w:t xml:space="preserve">have adequate arrangements to ensure the confidentiality, integrity and </w:t>
      </w:r>
      <w:r w:rsidR="007A71CA">
        <w:t>security</w:t>
      </w:r>
      <w:r w:rsidRPr="00057409">
        <w:t xml:space="preserve"> of </w:t>
      </w:r>
      <w:r w:rsidR="007A71CA">
        <w:t>data</w:t>
      </w:r>
      <w:r w:rsidRPr="00057409">
        <w:t xml:space="preserve"> obtained, held or used;</w:t>
      </w:r>
    </w:p>
    <w:p w14:paraId="742E03BE" w14:textId="176FEA2D" w:rsidR="00B726D7" w:rsidRPr="00057409" w:rsidRDefault="00B726D7" w:rsidP="00B726D7">
      <w:pPr>
        <w:pStyle w:val="subparaa"/>
      </w:pPr>
      <w:r w:rsidRPr="00057409">
        <w:t xml:space="preserve">establish, maintain and implement plans for </w:t>
      </w:r>
      <w:r w:rsidR="007A71CA">
        <w:t xml:space="preserve">dealing with an unexpected interruption to the usual operation of their critical systems and for dealing with an emergency or other event that causes significant disruption to operations and services; </w:t>
      </w:r>
      <w:r w:rsidRPr="00057409">
        <w:t>and</w:t>
      </w:r>
    </w:p>
    <w:p w14:paraId="2869CE61" w14:textId="722341B2" w:rsidR="00B726D7" w:rsidRPr="00057409" w:rsidRDefault="00B726D7" w:rsidP="00B726D7">
      <w:pPr>
        <w:pStyle w:val="subparaa"/>
      </w:pPr>
      <w:r w:rsidRPr="00057409">
        <w:t>have appropriate governance arrangements and adequate financial, technological and human resources to support the arrangements contained in the above proposals.</w:t>
      </w:r>
    </w:p>
    <w:p w14:paraId="3F37CA6A" w14:textId="683BC235" w:rsidR="00235595" w:rsidRPr="00057409" w:rsidRDefault="003B1807" w:rsidP="00235595">
      <w:pPr>
        <w:pStyle w:val="BodyText"/>
      </w:pPr>
      <w:r>
        <w:t>The</w:t>
      </w:r>
      <w:r w:rsidR="004D2351" w:rsidRPr="00057409">
        <w:t xml:space="preserve"> proposed </w:t>
      </w:r>
      <w:r w:rsidR="00751598" w:rsidRPr="00057409">
        <w:t>rules</w:t>
      </w:r>
      <w:r w:rsidR="00235595" w:rsidRPr="00057409">
        <w:t xml:space="preserve"> w</w:t>
      </w:r>
      <w:r>
        <w:t>ould</w:t>
      </w:r>
      <w:r w:rsidR="00235595" w:rsidRPr="00057409">
        <w:t xml:space="preserve"> also require market operators to:</w:t>
      </w:r>
    </w:p>
    <w:p w14:paraId="04992AF4" w14:textId="0D4ACF44" w:rsidR="00CE00FD" w:rsidRPr="008B664F" w:rsidRDefault="00CE00FD" w:rsidP="005C04A2">
      <w:pPr>
        <w:pStyle w:val="subparaa"/>
      </w:pPr>
      <w:r w:rsidRPr="008B664F">
        <w:t>provid</w:t>
      </w:r>
      <w:r>
        <w:t>e</w:t>
      </w:r>
      <w:r w:rsidRPr="008B664F">
        <w:t xml:space="preserve"> access to the market and other services they provide on reasonable commercial terms and on a non-discriminatory basis; and </w:t>
      </w:r>
    </w:p>
    <w:p w14:paraId="00E88323" w14:textId="4A78D8ED" w:rsidR="004D025B" w:rsidRPr="00057409" w:rsidRDefault="0019299C" w:rsidP="00271B91">
      <w:pPr>
        <w:pStyle w:val="subparaa"/>
      </w:pPr>
      <w:r w:rsidRPr="00057409">
        <w:t>have controls that enable immediate suspension, limitation or prohibition of the entry by a market participant of trading messages.</w:t>
      </w:r>
    </w:p>
    <w:p w14:paraId="6DA292EC" w14:textId="67AA21B2" w:rsidR="00F445F9" w:rsidRPr="00057409" w:rsidRDefault="00F445F9" w:rsidP="00F445F9">
      <w:pPr>
        <w:pStyle w:val="BodyText"/>
        <w:numPr>
          <w:ilvl w:val="0"/>
          <w:numId w:val="8"/>
        </w:numPr>
      </w:pPr>
      <w:r w:rsidRPr="00057409">
        <w:t xml:space="preserve">This report highlights the key issues that arose </w:t>
      </w:r>
      <w:r w:rsidR="00381035" w:rsidRPr="00057409">
        <w:t>from</w:t>
      </w:r>
      <w:r w:rsidRPr="00057409">
        <w:t xml:space="preserve"> the submissions received on </w:t>
      </w:r>
      <w:r w:rsidR="00794B54" w:rsidRPr="00057409">
        <w:t>CP 314</w:t>
      </w:r>
      <w:r w:rsidRPr="00057409">
        <w:t xml:space="preserve"> and our responses to those issues.</w:t>
      </w:r>
    </w:p>
    <w:p w14:paraId="10EB4B18" w14:textId="579661CA" w:rsidR="00F445F9" w:rsidRPr="00057409" w:rsidRDefault="00F445F9" w:rsidP="00F445F9">
      <w:pPr>
        <w:pStyle w:val="BodyText"/>
        <w:numPr>
          <w:ilvl w:val="0"/>
          <w:numId w:val="8"/>
        </w:numPr>
      </w:pPr>
      <w:r w:rsidRPr="00057409">
        <w:t xml:space="preserve">This report is not </w:t>
      </w:r>
      <w:r w:rsidR="003B1807">
        <w:t>meant</w:t>
      </w:r>
      <w:r w:rsidR="003B1807" w:rsidRPr="00057409">
        <w:t xml:space="preserve"> </w:t>
      </w:r>
      <w:r w:rsidRPr="00057409">
        <w:t xml:space="preserve">to be a comprehensive summary of all responses received. It is also not </w:t>
      </w:r>
      <w:r w:rsidR="00381035" w:rsidRPr="00057409">
        <w:t xml:space="preserve">intended </w:t>
      </w:r>
      <w:r w:rsidRPr="00057409">
        <w:t>to be a detailed report on every question from</w:t>
      </w:r>
      <w:r w:rsidR="00794B54" w:rsidRPr="00057409">
        <w:t xml:space="preserve"> CP 314</w:t>
      </w:r>
      <w:r w:rsidRPr="00057409">
        <w:t>. We have limited this report to the key issues.</w:t>
      </w:r>
    </w:p>
    <w:p w14:paraId="2DAC85CD" w14:textId="5BF92ABF" w:rsidR="00F445F9" w:rsidRPr="00057409" w:rsidRDefault="00F445F9" w:rsidP="00F445F9">
      <w:pPr>
        <w:pStyle w:val="BodyText"/>
        <w:numPr>
          <w:ilvl w:val="0"/>
          <w:numId w:val="8"/>
        </w:numPr>
      </w:pPr>
      <w:r w:rsidRPr="00057409">
        <w:lastRenderedPageBreak/>
        <w:t>We received</w:t>
      </w:r>
      <w:r w:rsidR="0059171F" w:rsidRPr="00057409">
        <w:t xml:space="preserve"> </w:t>
      </w:r>
      <w:r w:rsidR="003B1807">
        <w:t>10 confidential and 1</w:t>
      </w:r>
      <w:r w:rsidR="00FB5F56" w:rsidRPr="00057409">
        <w:t>2</w:t>
      </w:r>
      <w:r w:rsidR="0059171F" w:rsidRPr="00057409">
        <w:t xml:space="preserve"> </w:t>
      </w:r>
      <w:r w:rsidR="003B1807">
        <w:t xml:space="preserve">non-confidential responses </w:t>
      </w:r>
      <w:r w:rsidR="0059171F" w:rsidRPr="00057409">
        <w:t>to CP</w:t>
      </w:r>
      <w:r w:rsidR="00416096" w:rsidRPr="00057409">
        <w:t xml:space="preserve"> </w:t>
      </w:r>
      <w:r w:rsidR="0059171F" w:rsidRPr="00057409">
        <w:t>314</w:t>
      </w:r>
      <w:r w:rsidRPr="00057409">
        <w:t xml:space="preserve">. </w:t>
      </w:r>
      <w:r w:rsidR="005C4131" w:rsidRPr="00057409">
        <w:t>Respon</w:t>
      </w:r>
      <w:r w:rsidR="00283236">
        <w:t>ses</w:t>
      </w:r>
      <w:r w:rsidR="007639B8" w:rsidRPr="00057409">
        <w:t xml:space="preserve"> came from a range of interested parties</w:t>
      </w:r>
      <w:r w:rsidR="003B1807">
        <w:t>,</w:t>
      </w:r>
      <w:r w:rsidR="007639B8" w:rsidRPr="00057409">
        <w:t xml:space="preserve"> including market operators, market participants, </w:t>
      </w:r>
      <w:r w:rsidR="005C17C3">
        <w:t xml:space="preserve">data service providers, </w:t>
      </w:r>
      <w:r w:rsidR="007639B8" w:rsidRPr="00057409">
        <w:t>professional and industry bodies</w:t>
      </w:r>
      <w:r w:rsidR="00381035" w:rsidRPr="00057409">
        <w:t>,</w:t>
      </w:r>
      <w:r w:rsidR="007639B8" w:rsidRPr="00057409">
        <w:t xml:space="preserve"> and members of the public. </w:t>
      </w:r>
      <w:r w:rsidRPr="00057409">
        <w:t>We are grateful to respondents for taking the time to send us their comments.</w:t>
      </w:r>
    </w:p>
    <w:p w14:paraId="4E95D826" w14:textId="0A6E15BB" w:rsidR="00F445F9" w:rsidRPr="00057409" w:rsidRDefault="00F445F9" w:rsidP="00F445F9">
      <w:pPr>
        <w:pStyle w:val="BodyText"/>
        <w:numPr>
          <w:ilvl w:val="0"/>
          <w:numId w:val="8"/>
        </w:numPr>
      </w:pPr>
      <w:r w:rsidRPr="00057409">
        <w:t>For a list of the non-confidential respondents to</w:t>
      </w:r>
      <w:r w:rsidR="00794B54" w:rsidRPr="00057409">
        <w:t xml:space="preserve"> CP 314</w:t>
      </w:r>
      <w:r w:rsidRPr="00057409">
        <w:t>, see the</w:t>
      </w:r>
      <w:r w:rsidR="00AA4F99" w:rsidRPr="00057409">
        <w:t xml:space="preserve"> </w:t>
      </w:r>
      <w:r w:rsidR="003B1807">
        <w:t>a</w:t>
      </w:r>
      <w:r w:rsidRPr="00057409">
        <w:t xml:space="preserve">ppendix. Copies of these submissions </w:t>
      </w:r>
      <w:r w:rsidR="00AA4F99" w:rsidRPr="00057409">
        <w:t>are</w:t>
      </w:r>
      <w:r w:rsidR="003B1807">
        <w:t xml:space="preserve"> currently</w:t>
      </w:r>
      <w:r w:rsidR="00AA4F99" w:rsidRPr="00057409">
        <w:t xml:space="preserve"> on the </w:t>
      </w:r>
      <w:hyperlink r:id="rId22" w:history="1">
        <w:r w:rsidR="003B1807">
          <w:rPr>
            <w:rStyle w:val="Hyperlink"/>
          </w:rPr>
          <w:t>CP 314</w:t>
        </w:r>
      </w:hyperlink>
      <w:r w:rsidR="003B1807">
        <w:t xml:space="preserve"> page on the ASIC website</w:t>
      </w:r>
      <w:r w:rsidR="00117C8D" w:rsidRPr="00057409">
        <w:t>.</w:t>
      </w:r>
    </w:p>
    <w:p w14:paraId="6591F900" w14:textId="77777777" w:rsidR="00F445F9" w:rsidRPr="008B664F" w:rsidRDefault="00F445F9" w:rsidP="00F445F9">
      <w:pPr>
        <w:pStyle w:val="Heading2"/>
      </w:pPr>
      <w:bookmarkStart w:id="3" w:name="_Toc3279393"/>
      <w:bookmarkStart w:id="4" w:name="_Toc96948415"/>
      <w:r w:rsidRPr="008B664F">
        <w:t>Responses to consultation</w:t>
      </w:r>
      <w:bookmarkEnd w:id="3"/>
      <w:bookmarkEnd w:id="4"/>
    </w:p>
    <w:p w14:paraId="5CC346F1" w14:textId="0DA89A5D" w:rsidR="006268EA" w:rsidRPr="00057409" w:rsidRDefault="00C530B4" w:rsidP="00F445F9">
      <w:pPr>
        <w:pStyle w:val="BodyText"/>
        <w:numPr>
          <w:ilvl w:val="0"/>
          <w:numId w:val="8"/>
        </w:numPr>
      </w:pPr>
      <w:r w:rsidRPr="005C04A2">
        <w:t>Generally</w:t>
      </w:r>
      <w:r w:rsidR="006971F8" w:rsidRPr="005C04A2">
        <w:t>,</w:t>
      </w:r>
      <w:r w:rsidRPr="005C04A2">
        <w:t xml:space="preserve"> the</w:t>
      </w:r>
      <w:r w:rsidR="00514A14" w:rsidRPr="005C04A2">
        <w:t xml:space="preserve"> </w:t>
      </w:r>
      <w:r w:rsidR="00C36A51">
        <w:t>respondents</w:t>
      </w:r>
      <w:r w:rsidR="00C36A51" w:rsidRPr="005C04A2">
        <w:t xml:space="preserve"> </w:t>
      </w:r>
      <w:r w:rsidR="006268EA" w:rsidRPr="005C04A2">
        <w:t xml:space="preserve">recognised the importance of </w:t>
      </w:r>
      <w:r w:rsidR="00F548E0" w:rsidRPr="005C04A2">
        <w:t xml:space="preserve">ensuring </w:t>
      </w:r>
      <w:r w:rsidR="00F548E0" w:rsidRPr="00057409">
        <w:t>resilient market operators and market participants</w:t>
      </w:r>
      <w:r w:rsidR="00C36A51">
        <w:t>.</w:t>
      </w:r>
      <w:r w:rsidR="006268EA" w:rsidRPr="00057409">
        <w:t xml:space="preserve"> </w:t>
      </w:r>
      <w:r w:rsidR="00C36A51">
        <w:t>They</w:t>
      </w:r>
      <w:r w:rsidR="006268EA" w:rsidRPr="00057409">
        <w:t xml:space="preserve"> were broadly supportive of the proposed rules.</w:t>
      </w:r>
    </w:p>
    <w:p w14:paraId="2C0A74FB" w14:textId="745261B2" w:rsidR="00F445F9" w:rsidRPr="00057409" w:rsidRDefault="00F445F9" w:rsidP="00F445F9">
      <w:pPr>
        <w:pStyle w:val="BodyText"/>
        <w:numPr>
          <w:ilvl w:val="0"/>
          <w:numId w:val="8"/>
        </w:numPr>
      </w:pPr>
      <w:r w:rsidRPr="00057409">
        <w:t>The main issues raised by</w:t>
      </w:r>
      <w:r w:rsidR="00063132" w:rsidRPr="00057409">
        <w:t xml:space="preserve"> the</w:t>
      </w:r>
      <w:r w:rsidRPr="00057409">
        <w:t xml:space="preserve"> </w:t>
      </w:r>
      <w:r w:rsidR="003B1807">
        <w:t>respondents</w:t>
      </w:r>
      <w:r w:rsidR="003B1807" w:rsidRPr="00057409">
        <w:t xml:space="preserve"> </w:t>
      </w:r>
      <w:r w:rsidR="00B91766" w:rsidRPr="00057409">
        <w:t>relate</w:t>
      </w:r>
      <w:r w:rsidR="005635CB" w:rsidRPr="00057409">
        <w:t>d</w:t>
      </w:r>
      <w:r w:rsidR="00B91766" w:rsidRPr="00057409">
        <w:t xml:space="preserve"> to those proposals </w:t>
      </w:r>
      <w:r w:rsidR="00142764" w:rsidRPr="00057409">
        <w:t>in CP</w:t>
      </w:r>
      <w:r w:rsidR="003B1807">
        <w:t> </w:t>
      </w:r>
      <w:r w:rsidR="00142764" w:rsidRPr="00057409">
        <w:t xml:space="preserve">314 </w:t>
      </w:r>
      <w:r w:rsidR="003B1807">
        <w:t>that</w:t>
      </w:r>
      <w:r w:rsidR="00B91766" w:rsidRPr="00057409">
        <w:t xml:space="preserve"> </w:t>
      </w:r>
      <w:r w:rsidR="00381035" w:rsidRPr="00057409">
        <w:t xml:space="preserve">would </w:t>
      </w:r>
      <w:r w:rsidR="00FA7085" w:rsidRPr="00057409">
        <w:t>require market</w:t>
      </w:r>
      <w:r w:rsidR="00C247C5" w:rsidRPr="00057409">
        <w:t xml:space="preserve"> </w:t>
      </w:r>
      <w:r w:rsidR="00381035" w:rsidRPr="00057409">
        <w:t xml:space="preserve">operators </w:t>
      </w:r>
      <w:r w:rsidR="00977343" w:rsidRPr="00057409">
        <w:t xml:space="preserve">and market </w:t>
      </w:r>
      <w:r w:rsidR="00381035" w:rsidRPr="00057409">
        <w:t xml:space="preserve">participants </w:t>
      </w:r>
      <w:r w:rsidR="00C247C5" w:rsidRPr="00057409">
        <w:t>to</w:t>
      </w:r>
      <w:r w:rsidRPr="00057409">
        <w:t>:</w:t>
      </w:r>
    </w:p>
    <w:p w14:paraId="6AB65E29" w14:textId="0057B5AD" w:rsidR="00600A86" w:rsidRPr="00057409" w:rsidRDefault="00600A86" w:rsidP="005867A5">
      <w:pPr>
        <w:pStyle w:val="subparaa"/>
      </w:pPr>
      <w:r w:rsidRPr="00057409">
        <w:t>comply with new requirements for critical systems arrangements</w:t>
      </w:r>
      <w:r w:rsidR="009B0402" w:rsidRPr="00057409">
        <w:t>;</w:t>
      </w:r>
    </w:p>
    <w:p w14:paraId="3A574271" w14:textId="53580001" w:rsidR="00C247C5" w:rsidRPr="00057409" w:rsidRDefault="00C247C5" w:rsidP="00600A86">
      <w:pPr>
        <w:pStyle w:val="subparaa"/>
        <w:numPr>
          <w:ilvl w:val="1"/>
          <w:numId w:val="8"/>
        </w:numPr>
      </w:pPr>
      <w:r w:rsidRPr="00057409">
        <w:t xml:space="preserve">meet </w:t>
      </w:r>
      <w:r w:rsidR="001E3997" w:rsidRPr="00057409">
        <w:t xml:space="preserve">new </w:t>
      </w:r>
      <w:r w:rsidRPr="00057409">
        <w:t xml:space="preserve">contractual, review, </w:t>
      </w:r>
      <w:r w:rsidR="00EE2215" w:rsidRPr="00057409">
        <w:t xml:space="preserve">approval, </w:t>
      </w:r>
      <w:r w:rsidRPr="00057409">
        <w:t>notification and oversight requirements for outsourcing arrangements;</w:t>
      </w:r>
    </w:p>
    <w:p w14:paraId="476BA6F0" w14:textId="48B58A38" w:rsidR="00303865" w:rsidRPr="00057409" w:rsidRDefault="00303865" w:rsidP="00F445F9">
      <w:pPr>
        <w:pStyle w:val="subparaa"/>
        <w:numPr>
          <w:ilvl w:val="1"/>
          <w:numId w:val="8"/>
        </w:numPr>
      </w:pPr>
      <w:r w:rsidRPr="00057409">
        <w:t xml:space="preserve">implement regular testing for </w:t>
      </w:r>
      <w:r w:rsidR="00B10E88" w:rsidRPr="00057409">
        <w:t>b</w:t>
      </w:r>
      <w:r w:rsidRPr="00057409">
        <w:t xml:space="preserve">usiness </w:t>
      </w:r>
      <w:r w:rsidR="00B10E88" w:rsidRPr="00057409">
        <w:t>c</w:t>
      </w:r>
      <w:r w:rsidRPr="00057409">
        <w:t xml:space="preserve">ontinuity </w:t>
      </w:r>
      <w:r w:rsidR="00B10E88" w:rsidRPr="00057409">
        <w:t>p</w:t>
      </w:r>
      <w:r w:rsidRPr="00057409">
        <w:t xml:space="preserve">lans and </w:t>
      </w:r>
      <w:r w:rsidR="00B10E88" w:rsidRPr="00057409">
        <w:t>i</w:t>
      </w:r>
      <w:r w:rsidRPr="00057409">
        <w:t xml:space="preserve">ncident </w:t>
      </w:r>
      <w:r w:rsidR="00B10E88" w:rsidRPr="00057409">
        <w:t>m</w:t>
      </w:r>
      <w:r w:rsidRPr="00057409">
        <w:t xml:space="preserve">anagement </w:t>
      </w:r>
      <w:r w:rsidR="00B10E88" w:rsidRPr="00057409">
        <w:t>p</w:t>
      </w:r>
      <w:r w:rsidRPr="00057409">
        <w:t>lans; and</w:t>
      </w:r>
    </w:p>
    <w:p w14:paraId="10ADFE78" w14:textId="48730C8A" w:rsidR="0014390D" w:rsidRPr="00057409" w:rsidRDefault="006A7183">
      <w:pPr>
        <w:pStyle w:val="subparaa"/>
        <w:numPr>
          <w:ilvl w:val="1"/>
          <w:numId w:val="8"/>
        </w:numPr>
      </w:pPr>
      <w:r w:rsidRPr="00057409">
        <w:t>establish</w:t>
      </w:r>
      <w:r w:rsidR="0014390D" w:rsidRPr="00057409">
        <w:t xml:space="preserve"> </w:t>
      </w:r>
      <w:r w:rsidRPr="00057409">
        <w:t xml:space="preserve">appropriate </w:t>
      </w:r>
      <w:r w:rsidR="00B10E88" w:rsidRPr="00057409">
        <w:t xml:space="preserve">board and senior management </w:t>
      </w:r>
      <w:r w:rsidRPr="00057409">
        <w:t>oversight</w:t>
      </w:r>
      <w:r w:rsidR="0014390D" w:rsidRPr="00057409">
        <w:t xml:space="preserve"> of </w:t>
      </w:r>
      <w:r w:rsidR="00B10E88" w:rsidRPr="00057409">
        <w:t>g</w:t>
      </w:r>
      <w:r w:rsidR="0014390D" w:rsidRPr="00057409">
        <w:t xml:space="preserve">overnance </w:t>
      </w:r>
      <w:r w:rsidR="00B10E88" w:rsidRPr="00057409">
        <w:t>a</w:t>
      </w:r>
      <w:r w:rsidR="0014390D" w:rsidRPr="00057409">
        <w:t>rrangements.</w:t>
      </w:r>
    </w:p>
    <w:p w14:paraId="5509BE03" w14:textId="177ADD82" w:rsidR="00801B52" w:rsidRPr="00057409" w:rsidRDefault="000C016C" w:rsidP="00801B52">
      <w:pPr>
        <w:pStyle w:val="BodyText"/>
      </w:pPr>
      <w:r w:rsidRPr="00057409">
        <w:t xml:space="preserve">The other issues raised by </w:t>
      </w:r>
      <w:r w:rsidR="003B1807">
        <w:t>respondents</w:t>
      </w:r>
      <w:r w:rsidRPr="00057409">
        <w:t xml:space="preserve"> </w:t>
      </w:r>
      <w:r w:rsidR="00C247C5" w:rsidRPr="00057409">
        <w:t>relate</w:t>
      </w:r>
      <w:r w:rsidR="003B1807">
        <w:t>d</w:t>
      </w:r>
      <w:r w:rsidR="00C247C5" w:rsidRPr="00057409">
        <w:t xml:space="preserve"> to the </w:t>
      </w:r>
      <w:r w:rsidR="000D1C40" w:rsidRPr="00057409">
        <w:t xml:space="preserve">market operator </w:t>
      </w:r>
      <w:r w:rsidR="00C247C5" w:rsidRPr="00057409">
        <w:t xml:space="preserve">proposals which </w:t>
      </w:r>
      <w:r w:rsidR="00381035" w:rsidRPr="00057409">
        <w:t xml:space="preserve">would </w:t>
      </w:r>
      <w:r w:rsidR="00C247C5" w:rsidRPr="00057409">
        <w:t>require a market operator to</w:t>
      </w:r>
      <w:r w:rsidRPr="00057409">
        <w:t>:</w:t>
      </w:r>
    </w:p>
    <w:p w14:paraId="01164B10" w14:textId="4E6C227C" w:rsidR="00AB2F59" w:rsidRPr="00057409" w:rsidRDefault="00801B52" w:rsidP="005867A5">
      <w:pPr>
        <w:pStyle w:val="subparaa"/>
      </w:pPr>
      <w:r w:rsidRPr="00057409">
        <w:t>provide fair access to their market</w:t>
      </w:r>
      <w:r w:rsidR="00967D92" w:rsidRPr="00057409">
        <w:t>, s</w:t>
      </w:r>
      <w:r w:rsidRPr="00057409">
        <w:t>ervices</w:t>
      </w:r>
      <w:r w:rsidR="00967D92" w:rsidRPr="00057409">
        <w:t>, data, and associated products</w:t>
      </w:r>
      <w:r w:rsidR="00AB2F59" w:rsidRPr="00057409">
        <w:t>;</w:t>
      </w:r>
      <w:r w:rsidRPr="00057409">
        <w:t xml:space="preserve"> </w:t>
      </w:r>
      <w:r w:rsidR="00AB2F59" w:rsidRPr="00057409">
        <w:t>and</w:t>
      </w:r>
    </w:p>
    <w:p w14:paraId="0AE8514C" w14:textId="2529627C" w:rsidR="00AB2F59" w:rsidRPr="00057409" w:rsidRDefault="00801B52">
      <w:pPr>
        <w:pStyle w:val="subparaa"/>
      </w:pPr>
      <w:r w:rsidRPr="00057409">
        <w:t>implement</w:t>
      </w:r>
      <w:r w:rsidR="00AB2F59" w:rsidRPr="00057409">
        <w:t xml:space="preserve"> automated trading controls.</w:t>
      </w:r>
    </w:p>
    <w:p w14:paraId="0ADC3656" w14:textId="3D1D3B9D" w:rsidR="001A2C7D" w:rsidRPr="008B664F" w:rsidRDefault="001A2C7D" w:rsidP="0048494D">
      <w:pPr>
        <w:pStyle w:val="Heading2"/>
        <w:rPr>
          <w:noProof/>
        </w:rPr>
      </w:pPr>
      <w:bookmarkStart w:id="5" w:name="_Toc96948416"/>
      <w:r w:rsidRPr="008B664F">
        <w:rPr>
          <w:noProof/>
        </w:rPr>
        <w:t>Alignment with APRA standards</w:t>
      </w:r>
      <w:bookmarkEnd w:id="5"/>
    </w:p>
    <w:p w14:paraId="05F42C9E" w14:textId="2513C268" w:rsidR="00CE1900" w:rsidRDefault="00936968" w:rsidP="003B50D0">
      <w:pPr>
        <w:pStyle w:val="BodyText"/>
      </w:pPr>
      <w:bookmarkStart w:id="6" w:name="_Hlk82433020"/>
      <w:r w:rsidRPr="00057409">
        <w:t xml:space="preserve">The </w:t>
      </w:r>
      <w:r w:rsidR="001A2C7D" w:rsidRPr="00057409">
        <w:t>A</w:t>
      </w:r>
      <w:r w:rsidRPr="00057409">
        <w:t xml:space="preserve">ustralian </w:t>
      </w:r>
      <w:r w:rsidR="001A2C7D" w:rsidRPr="00057409">
        <w:t>P</w:t>
      </w:r>
      <w:r w:rsidRPr="00057409">
        <w:t xml:space="preserve">rudential </w:t>
      </w:r>
      <w:r w:rsidR="001A2C7D" w:rsidRPr="00057409">
        <w:t>R</w:t>
      </w:r>
      <w:r w:rsidRPr="00057409">
        <w:t xml:space="preserve">egulation </w:t>
      </w:r>
      <w:r w:rsidR="001A2C7D" w:rsidRPr="00057409">
        <w:t>A</w:t>
      </w:r>
      <w:r w:rsidRPr="00057409">
        <w:t>uthority (APRA)</w:t>
      </w:r>
      <w:r w:rsidR="001A2C7D" w:rsidRPr="00057409">
        <w:t xml:space="preserve"> is currently conducting a comprehensive review of its prudential requirements for operational resilience. This is expected to include</w:t>
      </w:r>
      <w:r w:rsidR="00CE1900">
        <w:t xml:space="preserve"> </w:t>
      </w:r>
      <w:r w:rsidR="001A2C7D" w:rsidRPr="00057409">
        <w:t xml:space="preserve">revisions to the existing </w:t>
      </w:r>
      <w:hyperlink r:id="rId23" w:history="1">
        <w:r w:rsidR="001A2C7D" w:rsidRPr="005C04A2">
          <w:rPr>
            <w:rStyle w:val="Hyperlink"/>
          </w:rPr>
          <w:t>Prudential Standard CPS 231</w:t>
        </w:r>
      </w:hyperlink>
      <w:r w:rsidR="001A2C7D" w:rsidRPr="00CE1900">
        <w:rPr>
          <w:i/>
          <w:iCs/>
        </w:rPr>
        <w:t xml:space="preserve"> Outsourcing </w:t>
      </w:r>
      <w:r w:rsidR="001A2C7D" w:rsidRPr="00057409">
        <w:t xml:space="preserve">(CPS 231) and </w:t>
      </w:r>
      <w:hyperlink r:id="rId24" w:history="1">
        <w:r w:rsidR="001A2C7D" w:rsidRPr="005C04A2">
          <w:rPr>
            <w:rStyle w:val="Hyperlink"/>
          </w:rPr>
          <w:t>Prudential Standard CPS 232</w:t>
        </w:r>
      </w:hyperlink>
      <w:r w:rsidR="001A2C7D" w:rsidRPr="00CE1900">
        <w:rPr>
          <w:i/>
          <w:iCs/>
        </w:rPr>
        <w:t xml:space="preserve"> Business </w:t>
      </w:r>
      <w:r w:rsidR="00C36A51" w:rsidRPr="00CE1900">
        <w:rPr>
          <w:i/>
          <w:iCs/>
        </w:rPr>
        <w:t>c</w:t>
      </w:r>
      <w:r w:rsidR="001A2C7D" w:rsidRPr="00CE1900">
        <w:rPr>
          <w:i/>
          <w:iCs/>
        </w:rPr>
        <w:t xml:space="preserve">ontinuity </w:t>
      </w:r>
      <w:r w:rsidR="00C36A51" w:rsidRPr="00CE1900">
        <w:rPr>
          <w:i/>
          <w:iCs/>
        </w:rPr>
        <w:t>m</w:t>
      </w:r>
      <w:r w:rsidR="001A2C7D" w:rsidRPr="00CE1900">
        <w:rPr>
          <w:i/>
          <w:iCs/>
        </w:rPr>
        <w:t>anagement</w:t>
      </w:r>
      <w:r w:rsidR="001A2C7D" w:rsidRPr="00057409">
        <w:t xml:space="preserve"> (CPS 232)</w:t>
      </w:r>
      <w:r w:rsidR="00CE1900">
        <w:t xml:space="preserve"> and set expectations for operational risk management. </w:t>
      </w:r>
    </w:p>
    <w:p w14:paraId="339A9A41" w14:textId="0215C882" w:rsidR="009D11FB" w:rsidRPr="00057409" w:rsidRDefault="001A2C7D" w:rsidP="00C36A51">
      <w:pPr>
        <w:pStyle w:val="BodyText"/>
      </w:pPr>
      <w:r w:rsidRPr="00057409">
        <w:lastRenderedPageBreak/>
        <w:t>These standards will form part of a suite of standards covering operational resilience, which also includes</w:t>
      </w:r>
      <w:r w:rsidRPr="00057409">
        <w:rPr>
          <w:i/>
          <w:iCs/>
        </w:rPr>
        <w:t xml:space="preserve"> </w:t>
      </w:r>
      <w:hyperlink r:id="rId25" w:history="1">
        <w:r w:rsidRPr="005C04A2">
          <w:rPr>
            <w:rStyle w:val="Hyperlink"/>
          </w:rPr>
          <w:t>Prudential Standard CPS</w:t>
        </w:r>
        <w:r w:rsidR="0008140A">
          <w:rPr>
            <w:rStyle w:val="Hyperlink"/>
          </w:rPr>
          <w:t> </w:t>
        </w:r>
        <w:r w:rsidRPr="005C04A2">
          <w:rPr>
            <w:rStyle w:val="Hyperlink"/>
          </w:rPr>
          <w:t>234</w:t>
        </w:r>
      </w:hyperlink>
      <w:r w:rsidRPr="005C04A2">
        <w:t xml:space="preserve"> </w:t>
      </w:r>
      <w:r w:rsidRPr="00057409">
        <w:rPr>
          <w:i/>
          <w:iCs/>
        </w:rPr>
        <w:t xml:space="preserve">Information </w:t>
      </w:r>
      <w:r w:rsidR="0008140A">
        <w:rPr>
          <w:i/>
          <w:iCs/>
        </w:rPr>
        <w:t>s</w:t>
      </w:r>
      <w:r w:rsidRPr="00057409">
        <w:rPr>
          <w:i/>
          <w:iCs/>
        </w:rPr>
        <w:t>ecurity</w:t>
      </w:r>
      <w:r w:rsidRPr="00057409">
        <w:t xml:space="preserve"> (CPS 234)</w:t>
      </w:r>
      <w:r w:rsidR="004741E4" w:rsidRPr="00057409">
        <w:t>,</w:t>
      </w:r>
      <w:r w:rsidRPr="00057409">
        <w:t xml:space="preserve"> which was updated in 2019. </w:t>
      </w:r>
    </w:p>
    <w:bookmarkEnd w:id="6"/>
    <w:p w14:paraId="2584BC9F" w14:textId="55ED33A7" w:rsidR="001A2C7D" w:rsidRPr="00057409" w:rsidRDefault="009D11FB" w:rsidP="006E29C3">
      <w:pPr>
        <w:pStyle w:val="BodyText"/>
      </w:pPr>
      <w:r w:rsidRPr="00057409">
        <w:t xml:space="preserve">Since we released </w:t>
      </w:r>
      <w:hyperlink r:id="rId26" w:history="1">
        <w:r w:rsidRPr="001F3FD6">
          <w:rPr>
            <w:rStyle w:val="Hyperlink"/>
          </w:rPr>
          <w:t>CP 314</w:t>
        </w:r>
      </w:hyperlink>
      <w:r w:rsidRPr="00057409">
        <w:t>, w</w:t>
      </w:r>
      <w:r w:rsidR="001A2C7D" w:rsidRPr="00057409">
        <w:t>e have</w:t>
      </w:r>
      <w:r w:rsidRPr="00057409">
        <w:t xml:space="preserve"> contin</w:t>
      </w:r>
      <w:r w:rsidR="001A2ED1">
        <w:t>u</w:t>
      </w:r>
      <w:r w:rsidRPr="00057409">
        <w:t xml:space="preserve">ed to </w:t>
      </w:r>
      <w:r w:rsidR="001A2C7D" w:rsidRPr="00057409">
        <w:t xml:space="preserve">work with APRA to align </w:t>
      </w:r>
      <w:r w:rsidR="004741E4" w:rsidRPr="00057409">
        <w:t xml:space="preserve">our proposed </w:t>
      </w:r>
      <w:r w:rsidRPr="00057409">
        <w:t>r</w:t>
      </w:r>
      <w:r w:rsidR="001A2C7D" w:rsidRPr="00057409">
        <w:t xml:space="preserve">ules </w:t>
      </w:r>
      <w:r w:rsidRPr="00057409">
        <w:t>an</w:t>
      </w:r>
      <w:r w:rsidR="001A2C7D" w:rsidRPr="00057409">
        <w:t>d APRA standards.</w:t>
      </w:r>
      <w:r w:rsidRPr="00057409">
        <w:t xml:space="preserve"> As a result of this process</w:t>
      </w:r>
      <w:r w:rsidR="004741E4" w:rsidRPr="00057409">
        <w:t>,</w:t>
      </w:r>
      <w:r w:rsidRPr="00057409">
        <w:t xml:space="preserve"> we have made some minor amendments to </w:t>
      </w:r>
      <w:r w:rsidR="00C03678" w:rsidRPr="00057409">
        <w:t xml:space="preserve">the </w:t>
      </w:r>
      <w:r w:rsidR="0033047B" w:rsidRPr="00057409">
        <w:t>drafting</w:t>
      </w:r>
      <w:r w:rsidR="00C03678" w:rsidRPr="00057409">
        <w:t xml:space="preserve"> of </w:t>
      </w:r>
      <w:r w:rsidR="004741E4" w:rsidRPr="00057409">
        <w:t xml:space="preserve">our proposed </w:t>
      </w:r>
      <w:r w:rsidRPr="00057409">
        <w:t>rules</w:t>
      </w:r>
      <w:r w:rsidR="004741E4" w:rsidRPr="00057409">
        <w:t>,</w:t>
      </w:r>
      <w:r w:rsidRPr="00057409">
        <w:t xml:space="preserve"> which we have also highlighted in this report.</w:t>
      </w:r>
    </w:p>
    <w:p w14:paraId="7B4DC614" w14:textId="5255F9EE" w:rsidR="0048494D" w:rsidRPr="008B664F" w:rsidRDefault="0048494D" w:rsidP="0048494D">
      <w:pPr>
        <w:pStyle w:val="Heading2"/>
        <w:rPr>
          <w:noProof/>
        </w:rPr>
      </w:pPr>
      <w:bookmarkStart w:id="7" w:name="_Toc96948417"/>
      <w:r w:rsidRPr="00392130">
        <w:rPr>
          <w:noProof/>
        </w:rPr>
        <w:t>Implementation</w:t>
      </w:r>
      <w:r w:rsidR="00392130" w:rsidRPr="00392130">
        <w:rPr>
          <w:noProof/>
        </w:rPr>
        <w:t xml:space="preserve"> and t</w:t>
      </w:r>
      <w:r w:rsidR="00CE00FD" w:rsidRPr="00392130">
        <w:rPr>
          <w:noProof/>
        </w:rPr>
        <w:t>ransition</w:t>
      </w:r>
      <w:r w:rsidRPr="00392130">
        <w:rPr>
          <w:noProof/>
        </w:rPr>
        <w:t xml:space="preserve"> </w:t>
      </w:r>
      <w:r w:rsidR="00CE00FD" w:rsidRPr="00392130">
        <w:rPr>
          <w:noProof/>
        </w:rPr>
        <w:t>p</w:t>
      </w:r>
      <w:r w:rsidRPr="00392130">
        <w:rPr>
          <w:noProof/>
        </w:rPr>
        <w:t>eriod</w:t>
      </w:r>
      <w:bookmarkEnd w:id="7"/>
    </w:p>
    <w:p w14:paraId="20E4575F" w14:textId="5ADD8919" w:rsidR="00F23D5A" w:rsidRPr="00D74ABE" w:rsidRDefault="00F23D5A" w:rsidP="00F23D5A">
      <w:pPr>
        <w:pStyle w:val="BodyText"/>
        <w:rPr>
          <w:spacing w:val="2"/>
        </w:rPr>
      </w:pPr>
      <w:r w:rsidRPr="001F0FC4">
        <w:t xml:space="preserve">As a result of industry feedback, we </w:t>
      </w:r>
      <w:r w:rsidR="000E0B2A" w:rsidRPr="001F0FC4">
        <w:t>have</w:t>
      </w:r>
      <w:r w:rsidRPr="001F0FC4">
        <w:t xml:space="preserve"> extend</w:t>
      </w:r>
      <w:r w:rsidR="000E0B2A" w:rsidRPr="001F0FC4">
        <w:t>ed</w:t>
      </w:r>
      <w:r w:rsidRPr="001F0FC4">
        <w:t xml:space="preserve"> the initially proposed </w:t>
      </w:r>
      <w:r w:rsidR="001F0FC4">
        <w:rPr>
          <w:spacing w:val="2"/>
        </w:rPr>
        <w:t>six</w:t>
      </w:r>
      <w:r w:rsidRPr="00D74ABE">
        <w:rPr>
          <w:spacing w:val="2"/>
        </w:rPr>
        <w:t xml:space="preserve">-month transition period to </w:t>
      </w:r>
      <w:r w:rsidR="00CE00FD" w:rsidRPr="00D74ABE">
        <w:rPr>
          <w:spacing w:val="2"/>
        </w:rPr>
        <w:t xml:space="preserve">12 </w:t>
      </w:r>
      <w:r w:rsidRPr="00D74ABE">
        <w:rPr>
          <w:spacing w:val="2"/>
        </w:rPr>
        <w:t xml:space="preserve">months from the date the rules are made. In large part, this change responds to submissions that more time is needed to update legal agreements for outsourcing arrangements to meet the new requirements. This extended transition period will </w:t>
      </w:r>
      <w:r w:rsidR="00C03678" w:rsidRPr="00D74ABE">
        <w:rPr>
          <w:spacing w:val="2"/>
        </w:rPr>
        <w:t xml:space="preserve">also </w:t>
      </w:r>
      <w:r w:rsidRPr="00D74ABE">
        <w:rPr>
          <w:spacing w:val="2"/>
        </w:rPr>
        <w:t xml:space="preserve">provide additional time for market operators and market participants to make changes to </w:t>
      </w:r>
      <w:r w:rsidR="00C03678" w:rsidRPr="00D74ABE">
        <w:rPr>
          <w:spacing w:val="2"/>
        </w:rPr>
        <w:t xml:space="preserve">their </w:t>
      </w:r>
      <w:r w:rsidRPr="00D74ABE">
        <w:rPr>
          <w:spacing w:val="2"/>
        </w:rPr>
        <w:t>processes and controls to comply with the rules. The extension also recognises that progress may be slower in the current COVID</w:t>
      </w:r>
      <w:r w:rsidR="00982969" w:rsidRPr="00D74ABE">
        <w:rPr>
          <w:spacing w:val="2"/>
        </w:rPr>
        <w:t>-19</w:t>
      </w:r>
      <w:r w:rsidR="007F0544" w:rsidRPr="00D74ABE">
        <w:rPr>
          <w:spacing w:val="2"/>
        </w:rPr>
        <w:t xml:space="preserve"> </w:t>
      </w:r>
      <w:r w:rsidR="005C17C3" w:rsidRPr="00D74ABE">
        <w:rPr>
          <w:spacing w:val="2"/>
        </w:rPr>
        <w:t xml:space="preserve">pandemic </w:t>
      </w:r>
      <w:r w:rsidRPr="00D74ABE">
        <w:rPr>
          <w:spacing w:val="2"/>
        </w:rPr>
        <w:t>environment.</w:t>
      </w:r>
    </w:p>
    <w:p w14:paraId="5A5A5C12" w14:textId="0E00349A" w:rsidR="00392130" w:rsidRPr="00057409" w:rsidRDefault="00392130" w:rsidP="00392130">
      <w:pPr>
        <w:pStyle w:val="BodyText"/>
      </w:pPr>
      <w:r w:rsidRPr="00392130">
        <w:t xml:space="preserve">We </w:t>
      </w:r>
      <w:r w:rsidR="00D61670">
        <w:t xml:space="preserve">will </w:t>
      </w:r>
      <w:r>
        <w:t xml:space="preserve">also </w:t>
      </w:r>
      <w:r w:rsidRPr="00392130">
        <w:t xml:space="preserve">update the guidance in </w:t>
      </w:r>
      <w:hyperlink r:id="rId27" w:history="1">
        <w:r w:rsidRPr="001F0FC4">
          <w:rPr>
            <w:rStyle w:val="Hyperlink"/>
          </w:rPr>
          <w:t>Regulatory Guide 265</w:t>
        </w:r>
      </w:hyperlink>
      <w:r w:rsidRPr="00392130">
        <w:t xml:space="preserve"> </w:t>
      </w:r>
      <w:r w:rsidRPr="00D74ABE">
        <w:rPr>
          <w:i/>
          <w:iCs/>
        </w:rPr>
        <w:t>Guidance on ASIC market integrity rules for participants of securities markets</w:t>
      </w:r>
      <w:r w:rsidRPr="00392130">
        <w:t xml:space="preserve"> (RG 265), </w:t>
      </w:r>
      <w:hyperlink r:id="rId28" w:history="1">
        <w:r w:rsidRPr="001F0FC4">
          <w:rPr>
            <w:rStyle w:val="Hyperlink"/>
          </w:rPr>
          <w:t>Regulatory Guide 266</w:t>
        </w:r>
      </w:hyperlink>
      <w:r w:rsidRPr="00392130">
        <w:t xml:space="preserve"> </w:t>
      </w:r>
      <w:r w:rsidRPr="00D74ABE">
        <w:rPr>
          <w:i/>
          <w:iCs/>
        </w:rPr>
        <w:t>Guidance on ASIC market integrity rules for participants of futures markets</w:t>
      </w:r>
      <w:r w:rsidRPr="00392130">
        <w:t xml:space="preserve"> (RG 266) and </w:t>
      </w:r>
      <w:hyperlink r:id="rId29" w:history="1">
        <w:r w:rsidRPr="001F0FC4">
          <w:rPr>
            <w:rStyle w:val="Hyperlink"/>
          </w:rPr>
          <w:t>Regulatory Guide 172</w:t>
        </w:r>
      </w:hyperlink>
      <w:r w:rsidRPr="00392130">
        <w:t xml:space="preserve"> </w:t>
      </w:r>
      <w:r w:rsidRPr="00D74ABE">
        <w:rPr>
          <w:i/>
          <w:iCs/>
        </w:rPr>
        <w:t>Financial markets: Domestic and overseas operators</w:t>
      </w:r>
      <w:r w:rsidRPr="00392130">
        <w:t xml:space="preserve"> (RG 172). The updated guidance is informed by the feedback we received on CP 314 and further explains the approach and scope of the rules, and our expectations of how the guidance may apply in practice.</w:t>
      </w:r>
    </w:p>
    <w:p w14:paraId="5541DD6D" w14:textId="569BB6A9" w:rsidR="00F445F9" w:rsidRPr="008B664F" w:rsidRDefault="00224DBF" w:rsidP="002C362A">
      <w:pPr>
        <w:pStyle w:val="Heading1"/>
      </w:pPr>
      <w:bookmarkStart w:id="8" w:name="_ASICRef705"/>
      <w:bookmarkStart w:id="9" w:name="_Toc96948418"/>
      <w:r w:rsidRPr="008B664F">
        <w:lastRenderedPageBreak/>
        <w:t>R</w:t>
      </w:r>
      <w:r w:rsidR="002C362A" w:rsidRPr="008B664F">
        <w:t>ules for market operators and market participants</w:t>
      </w:r>
      <w:bookmarkEnd w:id="8"/>
      <w:bookmarkEnd w:id="9"/>
    </w:p>
    <w:p w14:paraId="5AD879DC" w14:textId="06472892" w:rsidR="00F445F9" w:rsidRPr="008B664F" w:rsidRDefault="00F445F9" w:rsidP="00F445F9">
      <w:pPr>
        <w:pStyle w:val="KPhead"/>
      </w:pPr>
      <w:r w:rsidRPr="008B664F">
        <w:t>Key points</w:t>
      </w:r>
    </w:p>
    <w:p w14:paraId="56A7E556" w14:textId="1237EA20" w:rsidR="00672C98" w:rsidRPr="008B664F" w:rsidRDefault="00672C98" w:rsidP="002C362A">
      <w:pPr>
        <w:pStyle w:val="KPtext"/>
      </w:pPr>
      <w:r w:rsidRPr="008B664F">
        <w:t xml:space="preserve">This section outlines the key issues highlighted by </w:t>
      </w:r>
      <w:r w:rsidR="00E2538A" w:rsidRPr="008B664F">
        <w:t xml:space="preserve">the </w:t>
      </w:r>
      <w:r w:rsidR="00063132" w:rsidRPr="008B664F">
        <w:t xml:space="preserve">submissions </w:t>
      </w:r>
      <w:r w:rsidRPr="008B664F">
        <w:t>in relation to our proposed rules</w:t>
      </w:r>
      <w:r w:rsidR="00224DBF" w:rsidRPr="008B664F">
        <w:t xml:space="preserve"> in CP 314</w:t>
      </w:r>
      <w:r w:rsidRPr="008B664F">
        <w:t>, including:</w:t>
      </w:r>
    </w:p>
    <w:p w14:paraId="357FA8BC" w14:textId="442FAEBD" w:rsidR="002C362A" w:rsidRPr="008B664F" w:rsidRDefault="002C362A" w:rsidP="005C04A2">
      <w:pPr>
        <w:pStyle w:val="KPbullet"/>
      </w:pPr>
      <w:r w:rsidRPr="008B664F">
        <w:t>hav</w:t>
      </w:r>
      <w:r w:rsidR="00387247" w:rsidRPr="008B664F">
        <w:t>ing</w:t>
      </w:r>
      <w:r w:rsidRPr="008B664F">
        <w:t xml:space="preserve"> adequate arrangements in place to ensure the resilience, reliability, integrity and security of their critical systems; </w:t>
      </w:r>
    </w:p>
    <w:p w14:paraId="7D7909A3" w14:textId="744F5C34" w:rsidR="002C362A" w:rsidRPr="008B664F" w:rsidRDefault="002C362A" w:rsidP="005C04A2">
      <w:pPr>
        <w:pStyle w:val="KPbullet"/>
      </w:pPr>
      <w:r w:rsidRPr="008B664F">
        <w:t>ensur</w:t>
      </w:r>
      <w:r w:rsidR="00387247" w:rsidRPr="008B664F">
        <w:t>ing</w:t>
      </w:r>
      <w:r w:rsidRPr="008B664F">
        <w:t xml:space="preserve"> arrangements for critical systems continue to remain adequate following the implementation of a new critical system or a change to an existing critical system; </w:t>
      </w:r>
    </w:p>
    <w:p w14:paraId="2773AE26" w14:textId="2391250A" w:rsidR="002C362A" w:rsidRPr="008B664F" w:rsidRDefault="002C362A" w:rsidP="005C04A2">
      <w:pPr>
        <w:pStyle w:val="KPbullet"/>
      </w:pPr>
      <w:r w:rsidRPr="008B664F">
        <w:t>ensur</w:t>
      </w:r>
      <w:r w:rsidR="00387247" w:rsidRPr="008B664F">
        <w:t xml:space="preserve">ing </w:t>
      </w:r>
      <w:r w:rsidRPr="008B664F">
        <w:t xml:space="preserve">that outsourcing arrangements in relation to their critical systems include appropriate controls; </w:t>
      </w:r>
    </w:p>
    <w:p w14:paraId="1BECAC11" w14:textId="1246A4B6" w:rsidR="002C362A" w:rsidRPr="008B664F" w:rsidRDefault="002C362A" w:rsidP="005C04A2">
      <w:pPr>
        <w:pStyle w:val="KPbullet"/>
      </w:pPr>
      <w:r w:rsidRPr="008B664F">
        <w:t>hav</w:t>
      </w:r>
      <w:r w:rsidR="00387247" w:rsidRPr="008B664F">
        <w:t>ing</w:t>
      </w:r>
      <w:r w:rsidRPr="008B664F">
        <w:t xml:space="preserve"> adequate arrangements to ensure the confidentiality, integrity and security of data obtained, held or used; </w:t>
      </w:r>
    </w:p>
    <w:p w14:paraId="6191CDDB" w14:textId="3B2996CF" w:rsidR="002C362A" w:rsidRPr="008B664F" w:rsidRDefault="002C362A" w:rsidP="005C04A2">
      <w:pPr>
        <w:pStyle w:val="KPbullet"/>
      </w:pPr>
      <w:r w:rsidRPr="008B664F">
        <w:t>establish</w:t>
      </w:r>
      <w:r w:rsidR="00387247" w:rsidRPr="008B664F">
        <w:t>ing</w:t>
      </w:r>
      <w:r w:rsidRPr="008B664F">
        <w:t>, maintain</w:t>
      </w:r>
      <w:r w:rsidR="00387247" w:rsidRPr="008B664F">
        <w:t>ing</w:t>
      </w:r>
      <w:r w:rsidRPr="008B664F">
        <w:t xml:space="preserve"> and implement</w:t>
      </w:r>
      <w:r w:rsidR="00387247" w:rsidRPr="008B664F">
        <w:t>ing</w:t>
      </w:r>
      <w:r w:rsidRPr="008B664F">
        <w:t xml:space="preserve"> plans for dealing with an unexpected interruption to the usual operation of their critical systems and for dealing with an emergency or other event that causes significant disruption to operations and services; and </w:t>
      </w:r>
    </w:p>
    <w:p w14:paraId="319347EA" w14:textId="458B61FC" w:rsidR="002C362A" w:rsidRPr="008B664F" w:rsidRDefault="002C362A" w:rsidP="005C04A2">
      <w:pPr>
        <w:pStyle w:val="KPbullet"/>
      </w:pPr>
      <w:r w:rsidRPr="008B664F">
        <w:t>hav</w:t>
      </w:r>
      <w:r w:rsidR="00387247" w:rsidRPr="008B664F">
        <w:t>ing</w:t>
      </w:r>
      <w:r w:rsidRPr="008B664F">
        <w:t xml:space="preserve"> appropriate governance arrangements and adequate financial, technological and human resources to support the arrangements contained in the above proposals. </w:t>
      </w:r>
    </w:p>
    <w:p w14:paraId="7A3AB16C" w14:textId="2FEE31D3" w:rsidR="002C362A" w:rsidRPr="008B664F" w:rsidRDefault="002C362A" w:rsidP="00057409">
      <w:pPr>
        <w:pStyle w:val="KPtext"/>
      </w:pPr>
      <w:r w:rsidRPr="008B664F">
        <w:t>In addition, for market operators</w:t>
      </w:r>
      <w:r w:rsidR="00387247" w:rsidRPr="008B664F">
        <w:t>:</w:t>
      </w:r>
      <w:r w:rsidRPr="008B664F">
        <w:t xml:space="preserve"> </w:t>
      </w:r>
    </w:p>
    <w:p w14:paraId="38B57F23" w14:textId="0F3AD1C6" w:rsidR="002C362A" w:rsidRPr="008B664F" w:rsidRDefault="002C362A" w:rsidP="005C04A2">
      <w:pPr>
        <w:pStyle w:val="KPbullet"/>
      </w:pPr>
      <w:r w:rsidRPr="008B664F">
        <w:t>provid</w:t>
      </w:r>
      <w:r w:rsidR="00387247" w:rsidRPr="008B664F">
        <w:t>ing</w:t>
      </w:r>
      <w:r w:rsidRPr="008B664F">
        <w:t xml:space="preserve"> access to the market and other services they provide on reasonable commercial terms and on a non-discriminatory basis; and </w:t>
      </w:r>
    </w:p>
    <w:p w14:paraId="25DB21C8" w14:textId="5E8E4882" w:rsidR="002C362A" w:rsidRPr="008B664F" w:rsidRDefault="002C362A" w:rsidP="005C04A2">
      <w:pPr>
        <w:pStyle w:val="KPbullet"/>
      </w:pPr>
      <w:r w:rsidRPr="008B664F">
        <w:t>hav</w:t>
      </w:r>
      <w:r w:rsidR="00387247" w:rsidRPr="008B664F">
        <w:t>ing</w:t>
      </w:r>
      <w:r w:rsidRPr="008B664F">
        <w:t xml:space="preserve"> controls that enable immediate suspension, limitation or prohibition of the entry by a market participant of trading messages. </w:t>
      </w:r>
    </w:p>
    <w:p w14:paraId="2ED7FF03" w14:textId="2F5EF2DA" w:rsidR="00EB196F" w:rsidRPr="008B664F" w:rsidRDefault="00EB196F" w:rsidP="00EB196F">
      <w:pPr>
        <w:pStyle w:val="KPtext"/>
      </w:pPr>
      <w:r w:rsidRPr="008B664F">
        <w:t>This section also includes our responses to the feedback received.</w:t>
      </w:r>
    </w:p>
    <w:p w14:paraId="62ABB4BE" w14:textId="77777777" w:rsidR="00F445F9" w:rsidRPr="008B664F" w:rsidRDefault="002C362A" w:rsidP="002C362A">
      <w:pPr>
        <w:pStyle w:val="Heading2"/>
      </w:pPr>
      <w:bookmarkStart w:id="10" w:name="_Toc96948419"/>
      <w:r w:rsidRPr="008B664F">
        <w:t>Critical systems arrangements</w:t>
      </w:r>
      <w:bookmarkEnd w:id="10"/>
    </w:p>
    <w:p w14:paraId="7128368E" w14:textId="38EEBCCE" w:rsidR="004A4F7C" w:rsidRDefault="00387247" w:rsidP="003B50D0">
      <w:pPr>
        <w:pStyle w:val="BodyText"/>
      </w:pPr>
      <w:r w:rsidRPr="00057409">
        <w:t xml:space="preserve">In </w:t>
      </w:r>
      <w:hyperlink r:id="rId30" w:history="1">
        <w:r w:rsidRPr="001F3FD6">
          <w:rPr>
            <w:rStyle w:val="Hyperlink"/>
          </w:rPr>
          <w:t>CP 314</w:t>
        </w:r>
      </w:hyperlink>
      <w:r w:rsidRPr="00057409">
        <w:t>, we sought feedback on the proposal to</w:t>
      </w:r>
      <w:r w:rsidR="00427ECB" w:rsidRPr="00057409">
        <w:t xml:space="preserve"> </w:t>
      </w:r>
      <w:r w:rsidR="00DB0639" w:rsidRPr="00057409">
        <w:t>introduce the concept of ‘critical system’ to the market integrity rules and set out arrangements for managing these critical systems</w:t>
      </w:r>
      <w:r w:rsidR="00D1094E" w:rsidRPr="00057409">
        <w:t xml:space="preserve">. </w:t>
      </w:r>
      <w:r w:rsidR="004A4F7C">
        <w:t xml:space="preserve">We considered that a system in this context includes infrastructure, functions, and processes, including the technological systems of a market operator or a market participant. </w:t>
      </w:r>
    </w:p>
    <w:p w14:paraId="7041DAFA" w14:textId="6749FA4E" w:rsidR="00F445F9" w:rsidRPr="00057409" w:rsidRDefault="00D1094E" w:rsidP="003B50D0">
      <w:pPr>
        <w:pStyle w:val="BodyText"/>
      </w:pPr>
      <w:r w:rsidRPr="00057409">
        <w:t>Th</w:t>
      </w:r>
      <w:r w:rsidR="004A4F7C">
        <w:t xml:space="preserve">e proposed arrangements </w:t>
      </w:r>
      <w:r w:rsidR="00DB0639" w:rsidRPr="00057409">
        <w:t>requir</w:t>
      </w:r>
      <w:r w:rsidR="004A4F7C">
        <w:t>ed</w:t>
      </w:r>
      <w:r w:rsidR="00DB0639" w:rsidRPr="00057409">
        <w:t xml:space="preserve"> market operators and market participants to have adequate arrangements to ensure the resilience, </w:t>
      </w:r>
      <w:r w:rsidR="00DB0639" w:rsidRPr="00057409">
        <w:lastRenderedPageBreak/>
        <w:t>reliability</w:t>
      </w:r>
      <w:r w:rsidR="000039D8" w:rsidRPr="00057409">
        <w:t>, integrity</w:t>
      </w:r>
      <w:r w:rsidR="00DB0639" w:rsidRPr="00057409">
        <w:t xml:space="preserve"> and security of their critical systems and to review, test and regularly update these arrangements for their critical systems.</w:t>
      </w:r>
    </w:p>
    <w:p w14:paraId="3546B778" w14:textId="13808A2E" w:rsidR="00C34AA6" w:rsidRPr="00057409" w:rsidRDefault="007B4C23" w:rsidP="00C34AA6">
      <w:pPr>
        <w:pStyle w:val="BodyText"/>
      </w:pPr>
      <w:r w:rsidRPr="00057409">
        <w:t xml:space="preserve">We received </w:t>
      </w:r>
      <w:r w:rsidR="001E6200">
        <w:t>19</w:t>
      </w:r>
      <w:r w:rsidRPr="00057409">
        <w:t xml:space="preserve"> submissions on this proposal. </w:t>
      </w:r>
      <w:r w:rsidR="009B5EBD" w:rsidRPr="00057409">
        <w:t xml:space="preserve">The majority of </w:t>
      </w:r>
      <w:r w:rsidR="00063132" w:rsidRPr="00057409">
        <w:t>th</w:t>
      </w:r>
      <w:r w:rsidRPr="00057409">
        <w:t>ose</w:t>
      </w:r>
      <w:r w:rsidR="00063132" w:rsidRPr="00057409">
        <w:t xml:space="preserve"> submissions </w:t>
      </w:r>
      <w:r w:rsidR="00FB0BB3" w:rsidRPr="00057409">
        <w:t xml:space="preserve">provided full or in-principle </w:t>
      </w:r>
      <w:r w:rsidR="009B5EBD" w:rsidRPr="00057409">
        <w:t>support</w:t>
      </w:r>
      <w:r w:rsidR="00FB0BB3" w:rsidRPr="00057409">
        <w:t xml:space="preserve"> to</w:t>
      </w:r>
      <w:r w:rsidR="009B5EBD" w:rsidRPr="00057409">
        <w:t xml:space="preserve"> the proposal</w:t>
      </w:r>
      <w:r w:rsidRPr="00057409">
        <w:t>, recognising the importance</w:t>
      </w:r>
      <w:r w:rsidR="009B5EBD" w:rsidRPr="00057409">
        <w:t xml:space="preserve"> </w:t>
      </w:r>
      <w:r w:rsidRPr="00057409">
        <w:t xml:space="preserve">of </w:t>
      </w:r>
      <w:r w:rsidR="009B5EBD" w:rsidRPr="00057409">
        <w:t>adequate arrangements for safeguarding the resilience, reliability, integrity and security of critical systems.</w:t>
      </w:r>
    </w:p>
    <w:p w14:paraId="1D3D550F" w14:textId="08DDAF17" w:rsidR="00DC2B5E" w:rsidRPr="00057409" w:rsidRDefault="003B2D47" w:rsidP="00DC2B5E">
      <w:pPr>
        <w:pStyle w:val="BodyText"/>
      </w:pPr>
      <w:r w:rsidRPr="00057409">
        <w:t xml:space="preserve">However, several </w:t>
      </w:r>
      <w:r w:rsidR="00063132" w:rsidRPr="00057409">
        <w:t xml:space="preserve">submissions </w:t>
      </w:r>
      <w:r w:rsidR="00E30A3D" w:rsidRPr="00057409">
        <w:t xml:space="preserve">expressed </w:t>
      </w:r>
      <w:r w:rsidRPr="00057409">
        <w:t xml:space="preserve">concerns with the proposed definition </w:t>
      </w:r>
      <w:r w:rsidR="00A57F9A" w:rsidRPr="00057409">
        <w:t>of critical systems</w:t>
      </w:r>
      <w:r w:rsidR="00CE00FD">
        <w:t xml:space="preserve">. They were concerned </w:t>
      </w:r>
      <w:r w:rsidR="008D03E7" w:rsidRPr="00057409">
        <w:t>that</w:t>
      </w:r>
      <w:r w:rsidRPr="00057409">
        <w:t xml:space="preserve"> it </w:t>
      </w:r>
      <w:r w:rsidR="008D03E7" w:rsidRPr="00057409">
        <w:t>was</w:t>
      </w:r>
      <w:r w:rsidRPr="00057409">
        <w:t xml:space="preserve"> too broad</w:t>
      </w:r>
      <w:r w:rsidR="00CE00FD">
        <w:t>,</w:t>
      </w:r>
      <w:r w:rsidRPr="00057409">
        <w:t xml:space="preserve"> and could be interpreted to capture a multitude of systems</w:t>
      </w:r>
      <w:r w:rsidR="008D03E7" w:rsidRPr="00057409">
        <w:t xml:space="preserve"> </w:t>
      </w:r>
      <w:r w:rsidR="00E30A3D" w:rsidRPr="00057409">
        <w:t xml:space="preserve">that </w:t>
      </w:r>
      <w:r w:rsidR="008D03E7" w:rsidRPr="00057409">
        <w:t xml:space="preserve">would </w:t>
      </w:r>
      <w:r w:rsidRPr="00057409">
        <w:t>ma</w:t>
      </w:r>
      <w:r w:rsidR="008D03E7" w:rsidRPr="00057409">
        <w:t>ke</w:t>
      </w:r>
      <w:r w:rsidRPr="00057409">
        <w:t xml:space="preserve"> the associated obligations difficult to meet.</w:t>
      </w:r>
      <w:r w:rsidR="008D03E7" w:rsidRPr="00057409">
        <w:t xml:space="preserve"> </w:t>
      </w:r>
      <w:r w:rsidR="00BD11A9" w:rsidRPr="00057409">
        <w:t xml:space="preserve">One respondent </w:t>
      </w:r>
      <w:r w:rsidR="00DC2B5E" w:rsidRPr="00057409">
        <w:t>suggested that market participants should have the flexibility to determine which systems are ‘critical’ to their business</w:t>
      </w:r>
      <w:r w:rsidR="00081C6C" w:rsidRPr="00057409">
        <w:t xml:space="preserve"> subject to a materiality test they determine</w:t>
      </w:r>
      <w:r w:rsidR="00BD11A9" w:rsidRPr="00057409">
        <w:t>.</w:t>
      </w:r>
    </w:p>
    <w:p w14:paraId="4AF02CC0" w14:textId="2E17294D" w:rsidR="00231391" w:rsidRPr="00057409" w:rsidRDefault="007B4C23" w:rsidP="000D5E34">
      <w:pPr>
        <w:pStyle w:val="BodyText"/>
      </w:pPr>
      <w:r w:rsidRPr="00057409">
        <w:t>Two submissions</w:t>
      </w:r>
      <w:r w:rsidR="008D03E7" w:rsidRPr="00057409">
        <w:t xml:space="preserve"> suggested the definition should be more aligned with international standards</w:t>
      </w:r>
      <w:r w:rsidR="00F14545" w:rsidRPr="00057409">
        <w:t>.</w:t>
      </w:r>
      <w:r w:rsidR="003B468D" w:rsidRPr="00057409">
        <w:t xml:space="preserve"> </w:t>
      </w:r>
      <w:r w:rsidR="00FB0BB3" w:rsidRPr="00057409">
        <w:t xml:space="preserve">Other </w:t>
      </w:r>
      <w:r w:rsidR="00231391" w:rsidRPr="00057409">
        <w:t>submission</w:t>
      </w:r>
      <w:r w:rsidR="00FB0BB3" w:rsidRPr="00057409">
        <w:t>s</w:t>
      </w:r>
      <w:r w:rsidR="00231391" w:rsidRPr="00057409">
        <w:t xml:space="preserve"> </w:t>
      </w:r>
      <w:r w:rsidR="00F438D0" w:rsidRPr="00057409">
        <w:t>requested c</w:t>
      </w:r>
      <w:r w:rsidR="00DF75D5" w:rsidRPr="00057409">
        <w:t xml:space="preserve">larification </w:t>
      </w:r>
      <w:r w:rsidR="00FB0BB3" w:rsidRPr="00057409">
        <w:t xml:space="preserve">and further guidance on the definition of critical system and </w:t>
      </w:r>
      <w:r w:rsidR="004F5BBE" w:rsidRPr="00057409">
        <w:t>what constitutes a ‘</w:t>
      </w:r>
      <w:r w:rsidR="00082154" w:rsidRPr="00057409">
        <w:t>critical system’.</w:t>
      </w:r>
    </w:p>
    <w:p w14:paraId="0BF20E5C" w14:textId="00EDBE44" w:rsidR="00EB5DFD" w:rsidRPr="00057409" w:rsidRDefault="00D64D0C" w:rsidP="00231391">
      <w:pPr>
        <w:pStyle w:val="BodyText"/>
      </w:pPr>
      <w:r w:rsidRPr="00057409">
        <w:t>In relation to the requirement to have adequate arrangements</w:t>
      </w:r>
      <w:r w:rsidR="0008757C" w:rsidRPr="00057409">
        <w:t xml:space="preserve"> for critical systems</w:t>
      </w:r>
      <w:r w:rsidRPr="00057409">
        <w:t xml:space="preserve">, </w:t>
      </w:r>
      <w:r w:rsidR="00BD11A9" w:rsidRPr="00057409">
        <w:t xml:space="preserve">several </w:t>
      </w:r>
      <w:r w:rsidR="0008757C" w:rsidRPr="00057409">
        <w:t xml:space="preserve">respondents, although broadly supportive of the proposal, </w:t>
      </w:r>
      <w:r w:rsidR="00BF0166" w:rsidRPr="00057409">
        <w:t>express</w:t>
      </w:r>
      <w:r w:rsidR="0008757C" w:rsidRPr="00057409">
        <w:t>ed</w:t>
      </w:r>
      <w:r w:rsidR="00BF0166" w:rsidRPr="00057409">
        <w:t xml:space="preserve"> concern </w:t>
      </w:r>
      <w:r w:rsidR="0008757C" w:rsidRPr="00057409">
        <w:t xml:space="preserve">with </w:t>
      </w:r>
      <w:r w:rsidR="00895EC1">
        <w:t xml:space="preserve">the </w:t>
      </w:r>
      <w:r w:rsidR="00BF0166" w:rsidRPr="00057409">
        <w:t xml:space="preserve">use of the word </w:t>
      </w:r>
      <w:r w:rsidR="00082154" w:rsidRPr="00057409">
        <w:t>‘</w:t>
      </w:r>
      <w:r w:rsidR="00BF0166" w:rsidRPr="00057409">
        <w:t>ensure</w:t>
      </w:r>
      <w:r w:rsidR="00082154" w:rsidRPr="00057409">
        <w:t>’</w:t>
      </w:r>
      <w:r w:rsidR="00EB5DFD" w:rsidRPr="00057409">
        <w:t xml:space="preserve">. </w:t>
      </w:r>
      <w:r w:rsidR="0062173E" w:rsidRPr="00057409">
        <w:t>One respondent was concerned that req</w:t>
      </w:r>
      <w:r w:rsidR="00082154" w:rsidRPr="00057409">
        <w:t xml:space="preserve">uiring ‘adequate arrangements to ensure the resilience, reliability and integrity of its critical systems’ </w:t>
      </w:r>
      <w:r w:rsidR="0062173E" w:rsidRPr="00057409">
        <w:t xml:space="preserve">meant </w:t>
      </w:r>
      <w:r w:rsidR="00082154" w:rsidRPr="00057409">
        <w:t xml:space="preserve">that a failure of a system would automatically mean that </w:t>
      </w:r>
      <w:r w:rsidR="00F64A73" w:rsidRPr="00057409">
        <w:t xml:space="preserve">their </w:t>
      </w:r>
      <w:r w:rsidR="00082154" w:rsidRPr="00057409">
        <w:t>critical system arrangements were inadequate</w:t>
      </w:r>
      <w:r w:rsidR="00F64A73" w:rsidRPr="00057409">
        <w:t xml:space="preserve"> and </w:t>
      </w:r>
      <w:r w:rsidR="00CA0105" w:rsidRPr="00057409">
        <w:t xml:space="preserve">therefore </w:t>
      </w:r>
      <w:r w:rsidR="00F64A73" w:rsidRPr="00057409">
        <w:t>in breach of the</w:t>
      </w:r>
      <w:r w:rsidR="0062173E" w:rsidRPr="00057409">
        <w:t xml:space="preserve"> </w:t>
      </w:r>
      <w:r w:rsidR="00FA7085" w:rsidRPr="00057409">
        <w:t>proposed rule</w:t>
      </w:r>
      <w:r w:rsidR="00F64A73" w:rsidRPr="00057409">
        <w:t>.</w:t>
      </w:r>
      <w:r w:rsidR="00082154" w:rsidRPr="00057409">
        <w:t xml:space="preserve"> </w:t>
      </w:r>
    </w:p>
    <w:p w14:paraId="69345B39" w14:textId="179DF65F" w:rsidR="00BF0166" w:rsidRPr="00057409" w:rsidRDefault="0008757C" w:rsidP="0026220B">
      <w:pPr>
        <w:pStyle w:val="BodyText"/>
      </w:pPr>
      <w:r w:rsidRPr="00057409">
        <w:t xml:space="preserve">One </w:t>
      </w:r>
      <w:r w:rsidR="0033047B" w:rsidRPr="00057409">
        <w:t xml:space="preserve">market operator </w:t>
      </w:r>
      <w:r w:rsidRPr="00057409">
        <w:t xml:space="preserve">respondent </w:t>
      </w:r>
      <w:r w:rsidR="00EB5DFD" w:rsidRPr="00057409">
        <w:t xml:space="preserve">did not support the introduction of the </w:t>
      </w:r>
      <w:r w:rsidR="00011E79" w:rsidRPr="00057409">
        <w:t xml:space="preserve">adequate arrangements </w:t>
      </w:r>
      <w:r w:rsidR="00EB5DFD" w:rsidRPr="00057409">
        <w:t>r</w:t>
      </w:r>
      <w:r w:rsidR="00BD11A9" w:rsidRPr="00057409">
        <w:t>equirement</w:t>
      </w:r>
      <w:r w:rsidR="00CE00FD">
        <w:t>.</w:t>
      </w:r>
      <w:r w:rsidR="00EB5DFD" w:rsidRPr="00057409">
        <w:t xml:space="preserve"> </w:t>
      </w:r>
      <w:r w:rsidR="00CE00FD">
        <w:t>I</w:t>
      </w:r>
      <w:r w:rsidR="004E4B81" w:rsidRPr="00057409">
        <w:t xml:space="preserve">t considered that </w:t>
      </w:r>
      <w:r w:rsidR="00EB5DFD" w:rsidRPr="00057409">
        <w:t>the</w:t>
      </w:r>
      <w:r w:rsidR="00BD11A9" w:rsidRPr="00057409">
        <w:t xml:space="preserve">se requirements already existed for </w:t>
      </w:r>
      <w:r w:rsidR="003365AB" w:rsidRPr="00057409">
        <w:t xml:space="preserve">market operators under the </w:t>
      </w:r>
      <w:r w:rsidR="00EB5DFD" w:rsidRPr="00057409">
        <w:t>existing regulatory framework.</w:t>
      </w:r>
      <w:r w:rsidR="003365AB" w:rsidRPr="00057409">
        <w:t xml:space="preserve"> </w:t>
      </w:r>
    </w:p>
    <w:p w14:paraId="5DE4A8B1" w14:textId="77777777" w:rsidR="00F445F9" w:rsidRPr="008B664F" w:rsidRDefault="00F445F9" w:rsidP="00F445F9">
      <w:pPr>
        <w:pStyle w:val="Responsehead"/>
      </w:pPr>
      <w:r w:rsidRPr="008B664F">
        <w:t>ASIC’s response</w:t>
      </w:r>
    </w:p>
    <w:p w14:paraId="725A8A44" w14:textId="4917DEE6" w:rsidR="00F445F9" w:rsidRPr="008B664F" w:rsidRDefault="004F13D8" w:rsidP="00DC2B5E">
      <w:pPr>
        <w:pStyle w:val="Responsetext"/>
      </w:pPr>
      <w:r w:rsidRPr="008B664F">
        <w:t xml:space="preserve">We </w:t>
      </w:r>
      <w:r w:rsidR="000E0B2A">
        <w:t>have</w:t>
      </w:r>
      <w:r w:rsidRPr="008B664F">
        <w:t xml:space="preserve"> introduce</w:t>
      </w:r>
      <w:r w:rsidR="000E0B2A">
        <w:t>d</w:t>
      </w:r>
      <w:r w:rsidRPr="008B664F">
        <w:t xml:space="preserve"> rules that require market operators and market participants to have in place adequate arrangements for critical systems</w:t>
      </w:r>
      <w:r w:rsidR="006C71E5" w:rsidRPr="008B664F">
        <w:t xml:space="preserve">. </w:t>
      </w:r>
    </w:p>
    <w:p w14:paraId="68D22A66" w14:textId="2B49E458" w:rsidR="003B468D" w:rsidRPr="008B664F" w:rsidRDefault="00231391" w:rsidP="00DC2B5E">
      <w:pPr>
        <w:pStyle w:val="Responsetext"/>
        <w:rPr>
          <w:bCs/>
        </w:rPr>
      </w:pPr>
      <w:r w:rsidRPr="008B664F">
        <w:rPr>
          <w:bCs/>
        </w:rPr>
        <w:t>We have carefully considered feedback that the definition of ‘</w:t>
      </w:r>
      <w:r w:rsidR="002E096C" w:rsidRPr="008B664F">
        <w:rPr>
          <w:bCs/>
        </w:rPr>
        <w:t>c</w:t>
      </w:r>
      <w:r w:rsidRPr="008B664F">
        <w:rPr>
          <w:bCs/>
        </w:rPr>
        <w:t xml:space="preserve">ritical </w:t>
      </w:r>
      <w:r w:rsidR="002E096C" w:rsidRPr="008B664F">
        <w:rPr>
          <w:bCs/>
        </w:rPr>
        <w:t>s</w:t>
      </w:r>
      <w:r w:rsidRPr="008B664F">
        <w:rPr>
          <w:bCs/>
        </w:rPr>
        <w:t>ystem’ is too broad and have decided not to make any changes to the definition. We think that ‘functions, infrastructure, processes or systems</w:t>
      </w:r>
      <w:r w:rsidR="00797FD4">
        <w:rPr>
          <w:bCs/>
        </w:rPr>
        <w:t>’</w:t>
      </w:r>
      <w:r w:rsidRPr="008B664F">
        <w:rPr>
          <w:bCs/>
        </w:rPr>
        <w:t xml:space="preserve"> reflects the</w:t>
      </w:r>
      <w:r w:rsidR="00AF7C9B" w:rsidRPr="008B664F">
        <w:rPr>
          <w:bCs/>
        </w:rPr>
        <w:t xml:space="preserve"> whole of the operation of an entity and the</w:t>
      </w:r>
      <w:r w:rsidRPr="008B664F">
        <w:rPr>
          <w:bCs/>
        </w:rPr>
        <w:t xml:space="preserve"> totality of resources, skills, controls </w:t>
      </w:r>
      <w:r w:rsidR="00AF7C9B" w:rsidRPr="008B664F">
        <w:rPr>
          <w:bCs/>
        </w:rPr>
        <w:t>and</w:t>
      </w:r>
      <w:r w:rsidRPr="008B664F">
        <w:rPr>
          <w:bCs/>
        </w:rPr>
        <w:t xml:space="preserve"> systems </w:t>
      </w:r>
      <w:r w:rsidR="00AF7C9B" w:rsidRPr="008B664F">
        <w:rPr>
          <w:bCs/>
        </w:rPr>
        <w:t>required to be resilient from operational disruptions</w:t>
      </w:r>
      <w:r w:rsidRPr="008B664F">
        <w:rPr>
          <w:bCs/>
        </w:rPr>
        <w:t xml:space="preserve">. </w:t>
      </w:r>
    </w:p>
    <w:p w14:paraId="3D81440B" w14:textId="5BFE2BDD" w:rsidR="00231391" w:rsidRPr="008B664F" w:rsidDel="004F13D8" w:rsidRDefault="00DF75D5" w:rsidP="00DC2B5E">
      <w:pPr>
        <w:pStyle w:val="Responsetext"/>
      </w:pPr>
      <w:r w:rsidRPr="008B664F">
        <w:rPr>
          <w:bCs/>
        </w:rPr>
        <w:t>T</w:t>
      </w:r>
      <w:r w:rsidR="00231391" w:rsidRPr="008B664F">
        <w:rPr>
          <w:bCs/>
        </w:rPr>
        <w:t>he C</w:t>
      </w:r>
      <w:r w:rsidR="00BA5D0E" w:rsidRPr="008B664F">
        <w:rPr>
          <w:bCs/>
        </w:rPr>
        <w:t>OVID</w:t>
      </w:r>
      <w:r w:rsidR="00231391" w:rsidRPr="008B664F">
        <w:rPr>
          <w:bCs/>
        </w:rPr>
        <w:t xml:space="preserve">-19 pandemic has highlighted that human resources and </w:t>
      </w:r>
      <w:r w:rsidR="00780A92" w:rsidRPr="008B664F">
        <w:rPr>
          <w:bCs/>
        </w:rPr>
        <w:t>expertise,</w:t>
      </w:r>
      <w:r w:rsidR="003B468D" w:rsidRPr="008B664F">
        <w:rPr>
          <w:bCs/>
        </w:rPr>
        <w:t xml:space="preserve"> processes and controls</w:t>
      </w:r>
      <w:r w:rsidR="00231391" w:rsidRPr="008B664F">
        <w:rPr>
          <w:bCs/>
        </w:rPr>
        <w:t xml:space="preserve"> are as critical as</w:t>
      </w:r>
      <w:r w:rsidR="00797FD4">
        <w:rPr>
          <w:bCs/>
        </w:rPr>
        <w:t xml:space="preserve"> information technology</w:t>
      </w:r>
      <w:r w:rsidR="00231391" w:rsidRPr="008B664F">
        <w:rPr>
          <w:bCs/>
        </w:rPr>
        <w:t xml:space="preserve"> </w:t>
      </w:r>
      <w:r w:rsidR="00797FD4">
        <w:rPr>
          <w:bCs/>
        </w:rPr>
        <w:t>(</w:t>
      </w:r>
      <w:r w:rsidR="00231391" w:rsidRPr="008B664F">
        <w:rPr>
          <w:bCs/>
        </w:rPr>
        <w:t>IT</w:t>
      </w:r>
      <w:r w:rsidR="00797FD4">
        <w:rPr>
          <w:bCs/>
        </w:rPr>
        <w:t>)</w:t>
      </w:r>
      <w:r w:rsidR="00231391" w:rsidRPr="008B664F">
        <w:rPr>
          <w:bCs/>
        </w:rPr>
        <w:t xml:space="preserve"> systems in ensuring </w:t>
      </w:r>
      <w:r w:rsidR="00DB0D60" w:rsidRPr="008B664F">
        <w:rPr>
          <w:bCs/>
        </w:rPr>
        <w:t>operational resilience.</w:t>
      </w:r>
    </w:p>
    <w:p w14:paraId="3B1DB676" w14:textId="7D56A5DA" w:rsidR="00231391" w:rsidRPr="008B664F" w:rsidRDefault="00FE6B05" w:rsidP="00DC2B5E">
      <w:pPr>
        <w:pStyle w:val="Responsetext"/>
      </w:pPr>
      <w:r w:rsidRPr="008B664F">
        <w:lastRenderedPageBreak/>
        <w:t>However, t</w:t>
      </w:r>
      <w:r w:rsidR="00F548E0" w:rsidRPr="008B664F">
        <w:t xml:space="preserve">o ensure consistency with </w:t>
      </w:r>
      <w:r w:rsidR="00DC2B5E" w:rsidRPr="008B664F">
        <w:t xml:space="preserve">international standards and </w:t>
      </w:r>
      <w:r w:rsidR="00F548E0" w:rsidRPr="008B664F">
        <w:t>APRA</w:t>
      </w:r>
      <w:r w:rsidR="00BF1B37" w:rsidRPr="008B664F">
        <w:t xml:space="preserve"> </w:t>
      </w:r>
      <w:r w:rsidR="00BF1B37" w:rsidRPr="008B664F">
        <w:rPr>
          <w:noProof/>
        </w:rPr>
        <w:t>standard</w:t>
      </w:r>
      <w:r w:rsidR="00936968" w:rsidRPr="008B664F">
        <w:rPr>
          <w:noProof/>
        </w:rPr>
        <w:t>s</w:t>
      </w:r>
      <w:r w:rsidR="00DC2B5E" w:rsidRPr="008B664F">
        <w:rPr>
          <w:noProof/>
        </w:rPr>
        <w:t xml:space="preserve"> </w:t>
      </w:r>
      <w:r w:rsidR="00BF1B37" w:rsidRPr="008B664F">
        <w:rPr>
          <w:noProof/>
        </w:rPr>
        <w:t>on operational risk management</w:t>
      </w:r>
      <w:r w:rsidR="00B24627" w:rsidRPr="008B664F">
        <w:t>, w</w:t>
      </w:r>
      <w:r w:rsidR="004F13D8" w:rsidRPr="008B664F">
        <w:t xml:space="preserve">e </w:t>
      </w:r>
      <w:r w:rsidR="005370F6">
        <w:t>have</w:t>
      </w:r>
      <w:r w:rsidR="00231391" w:rsidRPr="008B664F">
        <w:t xml:space="preserve"> replace</w:t>
      </w:r>
      <w:r w:rsidR="005370F6">
        <w:t>d</w:t>
      </w:r>
      <w:r w:rsidR="00231391" w:rsidRPr="008B664F">
        <w:t xml:space="preserve"> the term </w:t>
      </w:r>
      <w:r w:rsidR="00E16393" w:rsidRPr="008B664F">
        <w:t>‘</w:t>
      </w:r>
      <w:r w:rsidR="00797FD4">
        <w:t>c</w:t>
      </w:r>
      <w:r w:rsidR="00231391" w:rsidRPr="008B664F">
        <w:t xml:space="preserve">ritical </w:t>
      </w:r>
      <w:r w:rsidR="00797FD4">
        <w:t>s</w:t>
      </w:r>
      <w:r w:rsidR="00231391" w:rsidRPr="008B664F">
        <w:t>ystems</w:t>
      </w:r>
      <w:r w:rsidR="00E16393" w:rsidRPr="008B664F">
        <w:t>’</w:t>
      </w:r>
      <w:r w:rsidR="00231391" w:rsidRPr="008B664F">
        <w:t xml:space="preserve"> with </w:t>
      </w:r>
      <w:r w:rsidR="00E16393" w:rsidRPr="008B664F">
        <w:t>‘</w:t>
      </w:r>
      <w:r w:rsidR="00797FD4">
        <w:t>c</w:t>
      </w:r>
      <w:r w:rsidR="00231391" w:rsidRPr="008B664F">
        <w:t xml:space="preserve">ritical </w:t>
      </w:r>
      <w:r w:rsidR="00797FD4">
        <w:t>b</w:t>
      </w:r>
      <w:r w:rsidR="00231391" w:rsidRPr="008B664F">
        <w:t xml:space="preserve">usiness </w:t>
      </w:r>
      <w:r w:rsidR="00797FD4">
        <w:t>s</w:t>
      </w:r>
      <w:r w:rsidR="00231391" w:rsidRPr="008B664F">
        <w:t>ervices</w:t>
      </w:r>
      <w:r w:rsidR="00E16393" w:rsidRPr="008B664F">
        <w:t>’</w:t>
      </w:r>
      <w:r w:rsidRPr="008B664F">
        <w:t xml:space="preserve">. </w:t>
      </w:r>
      <w:r w:rsidR="00A3496E" w:rsidRPr="008B664F">
        <w:t>The term ‘</w:t>
      </w:r>
      <w:r w:rsidR="00797FD4">
        <w:t>c</w:t>
      </w:r>
      <w:r w:rsidR="00A3496E" w:rsidRPr="008B664F">
        <w:t xml:space="preserve">ritical </w:t>
      </w:r>
      <w:r w:rsidR="00797FD4">
        <w:t>s</w:t>
      </w:r>
      <w:r w:rsidR="00A3496E" w:rsidRPr="008B664F">
        <w:t xml:space="preserve">ystems </w:t>
      </w:r>
      <w:r w:rsidR="00797FD4">
        <w:t>a</w:t>
      </w:r>
      <w:r w:rsidR="00A3496E" w:rsidRPr="008B664F">
        <w:t>rrangements’ has also been replaced with ‘</w:t>
      </w:r>
      <w:r w:rsidR="00797FD4">
        <w:t>c</w:t>
      </w:r>
      <w:r w:rsidR="00A3496E" w:rsidRPr="008B664F">
        <w:t xml:space="preserve">ritical </w:t>
      </w:r>
      <w:r w:rsidR="00797FD4">
        <w:t>b</w:t>
      </w:r>
      <w:r w:rsidR="00A3496E" w:rsidRPr="008B664F">
        <w:t xml:space="preserve">usiness </w:t>
      </w:r>
      <w:r w:rsidR="00797FD4">
        <w:t>s</w:t>
      </w:r>
      <w:r w:rsidR="00A3496E" w:rsidRPr="008B664F">
        <w:t xml:space="preserve">ervices </w:t>
      </w:r>
      <w:r w:rsidR="00797FD4">
        <w:t>a</w:t>
      </w:r>
      <w:r w:rsidR="00A3496E" w:rsidRPr="008B664F">
        <w:t>rrangements’.</w:t>
      </w:r>
    </w:p>
    <w:p w14:paraId="15497700" w14:textId="731DFDF1" w:rsidR="000F5D53" w:rsidRPr="008B664F" w:rsidRDefault="000F5D53" w:rsidP="00DC2B5E">
      <w:pPr>
        <w:pStyle w:val="Responsetext"/>
      </w:pPr>
      <w:r w:rsidRPr="008B664F">
        <w:t xml:space="preserve">We have considered </w:t>
      </w:r>
      <w:r w:rsidR="00F135F6" w:rsidRPr="008B664F">
        <w:t xml:space="preserve">the </w:t>
      </w:r>
      <w:r w:rsidRPr="008B664F">
        <w:t>feedback about the lack of certainty</w:t>
      </w:r>
      <w:r w:rsidR="00165ACF">
        <w:t xml:space="preserve"> about</w:t>
      </w:r>
      <w:r w:rsidRPr="008B664F">
        <w:t xml:space="preserve"> the interpretation and application of the rules.</w:t>
      </w:r>
    </w:p>
    <w:p w14:paraId="073472CE" w14:textId="4B2C5A95" w:rsidR="00DE4D77" w:rsidRPr="008B664F" w:rsidRDefault="00F135F6" w:rsidP="00DC2B5E">
      <w:pPr>
        <w:pStyle w:val="Responsetext"/>
      </w:pPr>
      <w:r w:rsidRPr="008B664F">
        <w:t>As a result, w</w:t>
      </w:r>
      <w:r w:rsidR="00DC2B5E" w:rsidRPr="008B664F">
        <w:t xml:space="preserve">e </w:t>
      </w:r>
      <w:r w:rsidR="005370F6">
        <w:t>will</w:t>
      </w:r>
      <w:r w:rsidR="00DC2B5E" w:rsidRPr="008B664F">
        <w:t xml:space="preserve"> clarify in </w:t>
      </w:r>
      <w:bookmarkStart w:id="11" w:name="_Hlk84493044"/>
      <w:r w:rsidR="00D4229B">
        <w:t>RG 265, RG 266 and RG 172</w:t>
      </w:r>
      <w:r w:rsidR="00DC2B5E" w:rsidRPr="008B664F">
        <w:t xml:space="preserve"> </w:t>
      </w:r>
      <w:bookmarkEnd w:id="11"/>
      <w:r w:rsidR="00DC2B5E" w:rsidRPr="008B664F">
        <w:t>that these rules are intended to be scalable</w:t>
      </w:r>
      <w:r w:rsidR="00165ACF">
        <w:t>.</w:t>
      </w:r>
      <w:r w:rsidR="00DC2B5E" w:rsidRPr="008B664F">
        <w:t xml:space="preserve"> </w:t>
      </w:r>
      <w:r w:rsidR="00165ACF">
        <w:t>W</w:t>
      </w:r>
      <w:r w:rsidR="00DC2B5E" w:rsidRPr="008B664F">
        <w:t xml:space="preserve">hat </w:t>
      </w:r>
      <w:r w:rsidR="00165ACF">
        <w:t>is</w:t>
      </w:r>
      <w:r w:rsidR="00DC2B5E" w:rsidRPr="008B664F">
        <w:t xml:space="preserve"> considered a critical business service is dependent on the size and complexity of </w:t>
      </w:r>
      <w:r w:rsidR="00165ACF">
        <w:t>the</w:t>
      </w:r>
      <w:r w:rsidR="00DC2B5E" w:rsidRPr="008B664F">
        <w:t xml:space="preserve"> market operator or market participant’s business. We </w:t>
      </w:r>
      <w:r w:rsidR="005370F6">
        <w:t xml:space="preserve">will </w:t>
      </w:r>
      <w:r w:rsidR="00DC2B5E" w:rsidRPr="008B664F">
        <w:t>also provide examples of the types of critical business services intended to be captured by these rules</w:t>
      </w:r>
      <w:r w:rsidR="000F5D53" w:rsidRPr="008B664F">
        <w:t xml:space="preserve">. </w:t>
      </w:r>
    </w:p>
    <w:p w14:paraId="6FDFEEA9" w14:textId="7520BF3F" w:rsidR="000F5D53" w:rsidRPr="008B664F" w:rsidRDefault="00F135F6" w:rsidP="00C207CE">
      <w:pPr>
        <w:pStyle w:val="Responsetext"/>
      </w:pPr>
      <w:r w:rsidRPr="008B664F">
        <w:t xml:space="preserve">We have also carefully considered feedback about inclusion of the word ‘ensure’ </w:t>
      </w:r>
      <w:r w:rsidR="00780A92" w:rsidRPr="008B664F">
        <w:t xml:space="preserve">in the adequate arrangements requirement. </w:t>
      </w:r>
    </w:p>
    <w:p w14:paraId="66B18945" w14:textId="7F9BDEB1" w:rsidR="00780A92" w:rsidRPr="008B664F" w:rsidRDefault="00780A92" w:rsidP="00DC2B5E">
      <w:pPr>
        <w:pStyle w:val="Responsetext"/>
      </w:pPr>
      <w:r w:rsidRPr="008B664F">
        <w:t>The term ‘ensure’ is relatively standard language in ASIC market integrity rules</w:t>
      </w:r>
      <w:r w:rsidR="00C207CE" w:rsidRPr="008B664F">
        <w:t xml:space="preserve">. Further, the current drafting of this rule does not suggest that failure </w:t>
      </w:r>
      <w:r w:rsidR="008E72C3" w:rsidRPr="008B664F">
        <w:t xml:space="preserve">of a critical business service automatically </w:t>
      </w:r>
      <w:r w:rsidR="00C207CE" w:rsidRPr="008B664F">
        <w:t xml:space="preserve">means a market </w:t>
      </w:r>
      <w:r w:rsidR="00165ACF">
        <w:t>operator</w:t>
      </w:r>
      <w:r w:rsidR="00C207CE" w:rsidRPr="008B664F">
        <w:t xml:space="preserve"> or market </w:t>
      </w:r>
      <w:r w:rsidR="00165ACF">
        <w:t>participant</w:t>
      </w:r>
      <w:r w:rsidR="00C207CE" w:rsidRPr="008B664F">
        <w:t xml:space="preserve"> has </w:t>
      </w:r>
      <w:r w:rsidR="008E72C3" w:rsidRPr="008B664F">
        <w:t>failed to have adequate arrangements. Th</w:t>
      </w:r>
      <w:r w:rsidR="005370F6">
        <w:t>is</w:t>
      </w:r>
      <w:r w:rsidR="008E72C3" w:rsidRPr="008B664F">
        <w:t xml:space="preserve"> rule requires entities </w:t>
      </w:r>
      <w:r w:rsidRPr="008B664F">
        <w:t>to demonstrate they have adequate arrangements to avoid failures</w:t>
      </w:r>
      <w:r w:rsidR="009B61BF">
        <w:t xml:space="preserve">. If </w:t>
      </w:r>
      <w:r w:rsidR="00C207CE" w:rsidRPr="008B664F">
        <w:t xml:space="preserve">a failure </w:t>
      </w:r>
      <w:r w:rsidR="008E72C3" w:rsidRPr="008B664F">
        <w:t>occurs</w:t>
      </w:r>
      <w:r w:rsidR="009B61BF">
        <w:t>, entities should be able to demonstrate they had</w:t>
      </w:r>
      <w:r w:rsidR="00C207CE" w:rsidRPr="008B664F">
        <w:t xml:space="preserve"> adequate </w:t>
      </w:r>
      <w:r w:rsidR="008E72C3" w:rsidRPr="008B664F">
        <w:t>arrangements</w:t>
      </w:r>
      <w:r w:rsidR="00C207CE" w:rsidRPr="008B664F">
        <w:t xml:space="preserve"> to deal with</w:t>
      </w:r>
      <w:r w:rsidR="008E72C3" w:rsidRPr="008B664F">
        <w:t xml:space="preserve"> a </w:t>
      </w:r>
      <w:r w:rsidR="00C207CE" w:rsidRPr="008B664F">
        <w:t>failure.</w:t>
      </w:r>
      <w:r w:rsidR="0016006E" w:rsidRPr="008B664F" w:rsidDel="0016006E">
        <w:t xml:space="preserve"> </w:t>
      </w:r>
    </w:p>
    <w:p w14:paraId="2E66E7F8" w14:textId="77777777" w:rsidR="00F445F9" w:rsidRPr="008B664F" w:rsidRDefault="002C362A" w:rsidP="002C362A">
      <w:pPr>
        <w:pStyle w:val="Heading2"/>
      </w:pPr>
      <w:bookmarkStart w:id="12" w:name="_Toc96948420"/>
      <w:r w:rsidRPr="008B664F">
        <w:t>Change management of critical systems</w:t>
      </w:r>
      <w:bookmarkEnd w:id="12"/>
    </w:p>
    <w:p w14:paraId="3CDDD3CF" w14:textId="39CE01E7" w:rsidR="00F445F9" w:rsidRPr="00057409" w:rsidRDefault="00387247" w:rsidP="00DC2B5E">
      <w:pPr>
        <w:pStyle w:val="BodyText"/>
      </w:pPr>
      <w:r w:rsidRPr="00057409">
        <w:t xml:space="preserve">In </w:t>
      </w:r>
      <w:hyperlink r:id="rId31" w:history="1">
        <w:r w:rsidRPr="001F3FD6">
          <w:rPr>
            <w:rStyle w:val="Hyperlink"/>
          </w:rPr>
          <w:t>CP 314</w:t>
        </w:r>
      </w:hyperlink>
      <w:r w:rsidRPr="00057409">
        <w:t>, we sought feedback on propos</w:t>
      </w:r>
      <w:r w:rsidR="005D12AB" w:rsidRPr="00057409">
        <w:t>ed</w:t>
      </w:r>
      <w:r w:rsidRPr="00057409">
        <w:t xml:space="preserve"> </w:t>
      </w:r>
      <w:r w:rsidR="005D12AB" w:rsidRPr="00057409">
        <w:t>rule</w:t>
      </w:r>
      <w:r w:rsidR="0072708E" w:rsidRPr="00057409">
        <w:t>s</w:t>
      </w:r>
      <w:r w:rsidR="005D12AB" w:rsidRPr="00057409">
        <w:t xml:space="preserve"> </w:t>
      </w:r>
      <w:r w:rsidRPr="00057409">
        <w:t xml:space="preserve">to </w:t>
      </w:r>
      <w:r w:rsidR="005D12AB" w:rsidRPr="00057409">
        <w:t xml:space="preserve">require market </w:t>
      </w:r>
      <w:r w:rsidR="004D3190" w:rsidRPr="00057409">
        <w:t xml:space="preserve">operators </w:t>
      </w:r>
      <w:r w:rsidR="005D12AB" w:rsidRPr="00057409">
        <w:t xml:space="preserve">and market </w:t>
      </w:r>
      <w:r w:rsidR="004D3190" w:rsidRPr="00057409">
        <w:t xml:space="preserve">participants </w:t>
      </w:r>
      <w:r w:rsidR="005D12AB" w:rsidRPr="00057409">
        <w:t>to have adequate arrangements to ensure the continued resilience, reliability, integrity and security of their critical systems following the implementation of a new critical system or a change to an existing critical system.</w:t>
      </w:r>
    </w:p>
    <w:p w14:paraId="07AB32E4" w14:textId="2BF227BB" w:rsidR="00F42155" w:rsidRPr="00057409" w:rsidRDefault="004F5BBE" w:rsidP="00DC2B5E">
      <w:pPr>
        <w:pStyle w:val="BodyText"/>
      </w:pPr>
      <w:r w:rsidRPr="00057409">
        <w:t xml:space="preserve">We received </w:t>
      </w:r>
      <w:r w:rsidR="00165ACF">
        <w:t>15</w:t>
      </w:r>
      <w:r w:rsidR="00165ACF" w:rsidRPr="00057409">
        <w:t xml:space="preserve"> </w:t>
      </w:r>
      <w:r w:rsidRPr="00057409">
        <w:t>submissions on this proposal</w:t>
      </w:r>
      <w:r w:rsidR="00F42155" w:rsidRPr="00057409">
        <w:t>.</w:t>
      </w:r>
      <w:r w:rsidRPr="00057409">
        <w:t xml:space="preserve"> </w:t>
      </w:r>
      <w:r w:rsidR="00F42155" w:rsidRPr="00057409">
        <w:t>A</w:t>
      </w:r>
      <w:r w:rsidR="00E811EC" w:rsidRPr="00057409">
        <w:t xml:space="preserve"> </w:t>
      </w:r>
      <w:r w:rsidR="000D6420" w:rsidRPr="00057409">
        <w:t xml:space="preserve">majority of those </w:t>
      </w:r>
      <w:r w:rsidR="00F84955" w:rsidRPr="00057409">
        <w:t>submissions</w:t>
      </w:r>
      <w:r w:rsidR="00F42155" w:rsidRPr="00057409">
        <w:t xml:space="preserve"> provided full or in-principle</w:t>
      </w:r>
      <w:r w:rsidR="000D6420" w:rsidRPr="00057409">
        <w:t xml:space="preserve"> support</w:t>
      </w:r>
      <w:r w:rsidR="00F42155" w:rsidRPr="00057409">
        <w:t xml:space="preserve"> to</w:t>
      </w:r>
      <w:r w:rsidR="000D6420" w:rsidRPr="00057409">
        <w:t xml:space="preserve"> </w:t>
      </w:r>
      <w:r w:rsidR="001F3A96" w:rsidRPr="00057409">
        <w:t>the proposal</w:t>
      </w:r>
      <w:r w:rsidR="00F42155" w:rsidRPr="00057409">
        <w:t xml:space="preserve">, recognising that change management of critical systems is an important responsibility. </w:t>
      </w:r>
    </w:p>
    <w:p w14:paraId="6C0ACA65" w14:textId="133F565F" w:rsidR="0013504B" w:rsidRPr="00057409" w:rsidRDefault="00D217D1" w:rsidP="00CA0105">
      <w:pPr>
        <w:pStyle w:val="BodyText"/>
      </w:pPr>
      <w:r w:rsidRPr="00057409">
        <w:t>Three</w:t>
      </w:r>
      <w:r w:rsidR="00E57EF7" w:rsidRPr="00057409">
        <w:t xml:space="preserve"> respondents</w:t>
      </w:r>
      <w:r w:rsidR="003C5C3E" w:rsidRPr="00057409">
        <w:t xml:space="preserve"> </w:t>
      </w:r>
      <w:r w:rsidR="00D0671D" w:rsidRPr="00057409">
        <w:t>considered</w:t>
      </w:r>
      <w:r w:rsidR="0013504B" w:rsidRPr="00057409">
        <w:t>, to varying degrees,</w:t>
      </w:r>
      <w:r w:rsidR="00D0671D" w:rsidRPr="00057409">
        <w:t xml:space="preserve"> </w:t>
      </w:r>
      <w:r w:rsidR="003C5C3E" w:rsidRPr="00057409">
        <w:t>th</w:t>
      </w:r>
      <w:r w:rsidR="00364637" w:rsidRPr="00057409">
        <w:t>at ASIC’s</w:t>
      </w:r>
      <w:r w:rsidR="003C5C3E" w:rsidRPr="00057409">
        <w:t xml:space="preserve"> existing </w:t>
      </w:r>
      <w:r w:rsidR="00364637" w:rsidRPr="00057409">
        <w:t xml:space="preserve">regulatory </w:t>
      </w:r>
      <w:r w:rsidR="003C5C3E" w:rsidRPr="00057409">
        <w:t>framework</w:t>
      </w:r>
      <w:r w:rsidR="008F7D40" w:rsidRPr="00057409">
        <w:t xml:space="preserve"> </w:t>
      </w:r>
      <w:r w:rsidR="00E57EF7" w:rsidRPr="00057409">
        <w:t>already</w:t>
      </w:r>
      <w:r w:rsidR="008F7D40" w:rsidRPr="00057409">
        <w:t xml:space="preserve"> adequately dealt with change management.</w:t>
      </w:r>
      <w:r w:rsidR="005A6F28" w:rsidRPr="00057409">
        <w:t xml:space="preserve"> </w:t>
      </w:r>
      <w:r w:rsidR="008F7D40" w:rsidRPr="00057409">
        <w:t xml:space="preserve">One of these </w:t>
      </w:r>
      <w:r w:rsidR="005A6F28" w:rsidRPr="00057409">
        <w:t>respondent</w:t>
      </w:r>
      <w:r w:rsidR="008F7D40" w:rsidRPr="00057409">
        <w:t>s</w:t>
      </w:r>
      <w:r w:rsidR="00A5412E" w:rsidRPr="00057409">
        <w:t xml:space="preserve"> considered that </w:t>
      </w:r>
      <w:r w:rsidR="00CA3653" w:rsidRPr="00057409">
        <w:t xml:space="preserve">while formal change management rules may be warranted for market operators, they are not warranted for </w:t>
      </w:r>
      <w:r w:rsidR="00A5412E" w:rsidRPr="00057409">
        <w:t>market participants</w:t>
      </w:r>
      <w:r w:rsidRPr="00057409">
        <w:t>.</w:t>
      </w:r>
    </w:p>
    <w:p w14:paraId="2B117C72" w14:textId="03EB0A07" w:rsidR="00D601B3" w:rsidRPr="00057409" w:rsidRDefault="008F7D40" w:rsidP="00CA0105">
      <w:pPr>
        <w:pStyle w:val="BodyText"/>
      </w:pPr>
      <w:r w:rsidRPr="00057409">
        <w:t>The second respondent considered that the existing regulatory framework</w:t>
      </w:r>
      <w:r w:rsidR="0013504B" w:rsidRPr="00057409">
        <w:t xml:space="preserve"> </w:t>
      </w:r>
      <w:r w:rsidR="00165ACF">
        <w:t>for</w:t>
      </w:r>
      <w:r w:rsidR="0013504B" w:rsidRPr="00057409">
        <w:t xml:space="preserve"> change management</w:t>
      </w:r>
      <w:r w:rsidRPr="00057409">
        <w:t xml:space="preserve"> </w:t>
      </w:r>
      <w:r w:rsidR="0013504B" w:rsidRPr="00057409">
        <w:t xml:space="preserve">was already adequate for market operators. </w:t>
      </w:r>
    </w:p>
    <w:p w14:paraId="5256D914" w14:textId="280FE3E4" w:rsidR="00CA3653" w:rsidRPr="00057409" w:rsidRDefault="00CA3653" w:rsidP="00CA0105">
      <w:pPr>
        <w:pStyle w:val="BodyText"/>
      </w:pPr>
      <w:r w:rsidRPr="00057409">
        <w:lastRenderedPageBreak/>
        <w:t xml:space="preserve">The </w:t>
      </w:r>
      <w:r w:rsidR="005A6F28" w:rsidRPr="00057409">
        <w:t>third</w:t>
      </w:r>
      <w:r w:rsidRPr="00057409">
        <w:t xml:space="preserve"> respondent</w:t>
      </w:r>
      <w:r w:rsidR="00D601B3" w:rsidRPr="00057409">
        <w:t xml:space="preserve">, although </w:t>
      </w:r>
      <w:r w:rsidR="005C17C3">
        <w:t>they</w:t>
      </w:r>
      <w:r w:rsidR="00D601B3" w:rsidRPr="00057409">
        <w:t xml:space="preserve"> agreed in</w:t>
      </w:r>
      <w:r w:rsidR="00895EC1">
        <w:t xml:space="preserve"> </w:t>
      </w:r>
      <w:r w:rsidR="00D601B3" w:rsidRPr="00057409">
        <w:t xml:space="preserve">principle with </w:t>
      </w:r>
      <w:r w:rsidR="00A24C29">
        <w:t xml:space="preserve">the </w:t>
      </w:r>
      <w:r w:rsidR="00D601B3" w:rsidRPr="00057409">
        <w:t xml:space="preserve">change </w:t>
      </w:r>
      <w:r w:rsidR="00A24C29">
        <w:t xml:space="preserve">management </w:t>
      </w:r>
      <w:r w:rsidR="00D601B3" w:rsidRPr="00057409">
        <w:t>requirements for market operators and market participants, did not think they were</w:t>
      </w:r>
      <w:r w:rsidRPr="00057409">
        <w:t xml:space="preserve"> required for clearing and settlement p</w:t>
      </w:r>
      <w:r w:rsidR="00081C6C" w:rsidRPr="00057409">
        <w:t>articipants</w:t>
      </w:r>
      <w:r w:rsidR="00FA7085" w:rsidRPr="00057409">
        <w:t>. This is because</w:t>
      </w:r>
      <w:r w:rsidRPr="00057409">
        <w:t xml:space="preserve"> there </w:t>
      </w:r>
      <w:r w:rsidR="001A2ED1">
        <w:t>have</w:t>
      </w:r>
      <w:r w:rsidR="001A2ED1" w:rsidRPr="00057409">
        <w:t xml:space="preserve"> </w:t>
      </w:r>
      <w:r w:rsidRPr="00057409">
        <w:t xml:space="preserve">been no market failures </w:t>
      </w:r>
      <w:r w:rsidR="004D3190" w:rsidRPr="00057409">
        <w:t xml:space="preserve">that </w:t>
      </w:r>
      <w:r w:rsidRPr="00057409">
        <w:t>justify regulatory intervention</w:t>
      </w:r>
      <w:r w:rsidR="004D3190" w:rsidRPr="00057409">
        <w:t>,</w:t>
      </w:r>
      <w:r w:rsidRPr="00057409">
        <w:t xml:space="preserve"> and </w:t>
      </w:r>
      <w:r w:rsidR="009B61BF" w:rsidRPr="00057409">
        <w:t>because of</w:t>
      </w:r>
      <w:r w:rsidRPr="00057409">
        <w:t xml:space="preserve"> pre-existing requirements in</w:t>
      </w:r>
      <w:r w:rsidR="00081C6C" w:rsidRPr="00057409">
        <w:t xml:space="preserve"> ASX</w:t>
      </w:r>
      <w:r w:rsidR="004D3190" w:rsidRPr="00057409">
        <w:t xml:space="preserve"> </w:t>
      </w:r>
      <w:r w:rsidRPr="00057409">
        <w:t>operating rules</w:t>
      </w:r>
      <w:r w:rsidR="00D601B3" w:rsidRPr="00057409">
        <w:t xml:space="preserve"> and guidance</w:t>
      </w:r>
      <w:r w:rsidRPr="00057409">
        <w:t xml:space="preserve">. </w:t>
      </w:r>
    </w:p>
    <w:p w14:paraId="25138750" w14:textId="1265FF85" w:rsidR="00F445F9" w:rsidRPr="00191AA3" w:rsidRDefault="003C5C3E" w:rsidP="00DC2B5E">
      <w:pPr>
        <w:pStyle w:val="BodyText"/>
        <w:rPr>
          <w:spacing w:val="-2"/>
        </w:rPr>
      </w:pPr>
      <w:r w:rsidRPr="00191AA3">
        <w:rPr>
          <w:spacing w:val="-2"/>
        </w:rPr>
        <w:t xml:space="preserve">Some </w:t>
      </w:r>
      <w:r w:rsidR="00063132" w:rsidRPr="00191AA3">
        <w:rPr>
          <w:spacing w:val="-2"/>
        </w:rPr>
        <w:t>submissions</w:t>
      </w:r>
      <w:r w:rsidRPr="00191AA3">
        <w:rPr>
          <w:spacing w:val="-2"/>
        </w:rPr>
        <w:t xml:space="preserve"> considered that as the requirement covers every change</w:t>
      </w:r>
      <w:r w:rsidR="00BC0AF7" w:rsidRPr="00191AA3">
        <w:rPr>
          <w:spacing w:val="-2"/>
        </w:rPr>
        <w:t xml:space="preserve"> to a critical system</w:t>
      </w:r>
      <w:r w:rsidRPr="00191AA3">
        <w:rPr>
          <w:spacing w:val="-2"/>
        </w:rPr>
        <w:t xml:space="preserve">, it could lead to notification fatigue and issues with resourcing. As such, it was </w:t>
      </w:r>
      <w:r w:rsidR="009B61BF" w:rsidRPr="00191AA3">
        <w:rPr>
          <w:spacing w:val="-2"/>
        </w:rPr>
        <w:t xml:space="preserve">suggested </w:t>
      </w:r>
      <w:r w:rsidRPr="00191AA3">
        <w:rPr>
          <w:spacing w:val="-2"/>
        </w:rPr>
        <w:t>that</w:t>
      </w:r>
      <w:r w:rsidR="009B61BF" w:rsidRPr="00191AA3">
        <w:rPr>
          <w:spacing w:val="-2"/>
        </w:rPr>
        <w:t xml:space="preserve"> there should be</w:t>
      </w:r>
      <w:r w:rsidRPr="00191AA3">
        <w:rPr>
          <w:spacing w:val="-2"/>
        </w:rPr>
        <w:t xml:space="preserve"> materiality thresholds </w:t>
      </w:r>
      <w:r w:rsidR="00A24C29" w:rsidRPr="00191AA3">
        <w:rPr>
          <w:spacing w:val="-2"/>
        </w:rPr>
        <w:t>for</w:t>
      </w:r>
      <w:r w:rsidRPr="00191AA3">
        <w:rPr>
          <w:spacing w:val="-2"/>
        </w:rPr>
        <w:t xml:space="preserve"> </w:t>
      </w:r>
      <w:r w:rsidR="009B61BF" w:rsidRPr="00191AA3">
        <w:rPr>
          <w:spacing w:val="-2"/>
        </w:rPr>
        <w:t xml:space="preserve">any </w:t>
      </w:r>
      <w:r w:rsidRPr="00191AA3">
        <w:rPr>
          <w:spacing w:val="-2"/>
        </w:rPr>
        <w:t xml:space="preserve">change management </w:t>
      </w:r>
      <w:r w:rsidR="009B61BF" w:rsidRPr="00191AA3">
        <w:rPr>
          <w:spacing w:val="-2"/>
        </w:rPr>
        <w:t xml:space="preserve">requirements </w:t>
      </w:r>
      <w:r w:rsidRPr="00191AA3">
        <w:rPr>
          <w:spacing w:val="-2"/>
        </w:rPr>
        <w:t>of critical systems</w:t>
      </w:r>
      <w:r w:rsidR="009B61BF" w:rsidRPr="00191AA3">
        <w:rPr>
          <w:spacing w:val="-2"/>
        </w:rPr>
        <w:t xml:space="preserve">. </w:t>
      </w:r>
      <w:r w:rsidR="00FB4BF4" w:rsidRPr="00191AA3">
        <w:rPr>
          <w:spacing w:val="-2"/>
        </w:rPr>
        <w:t xml:space="preserve">One respondent had the view that </w:t>
      </w:r>
      <w:r w:rsidRPr="00191AA3">
        <w:rPr>
          <w:spacing w:val="-2"/>
        </w:rPr>
        <w:t>notification requirements should not apply to minor changes or changes to ancillary systems</w:t>
      </w:r>
      <w:r w:rsidR="00FB4BF4" w:rsidRPr="00191AA3">
        <w:rPr>
          <w:spacing w:val="-2"/>
        </w:rPr>
        <w:t>, but only to those that are material</w:t>
      </w:r>
      <w:r w:rsidRPr="00191AA3">
        <w:rPr>
          <w:spacing w:val="-2"/>
        </w:rPr>
        <w:t xml:space="preserve">. </w:t>
      </w:r>
    </w:p>
    <w:p w14:paraId="702D0E94" w14:textId="02331B13" w:rsidR="00373630" w:rsidRPr="00057409" w:rsidRDefault="00373630" w:rsidP="00DC2B5E">
      <w:pPr>
        <w:pStyle w:val="BodyText"/>
      </w:pPr>
      <w:r w:rsidRPr="00057409">
        <w:t>One</w:t>
      </w:r>
      <w:r w:rsidR="0013504B" w:rsidRPr="00057409">
        <w:t xml:space="preserve"> </w:t>
      </w:r>
      <w:r w:rsidR="004F62DA" w:rsidRPr="00057409">
        <w:t>submission considered</w:t>
      </w:r>
      <w:r w:rsidRPr="00057409">
        <w:t xml:space="preserve"> that</w:t>
      </w:r>
      <w:r w:rsidR="006432A3" w:rsidRPr="00057409">
        <w:t>,</w:t>
      </w:r>
      <w:r w:rsidRPr="00057409">
        <w:t xml:space="preserve"> while market operators should communicate significant changes </w:t>
      </w:r>
      <w:r w:rsidR="00A24C29">
        <w:t>before</w:t>
      </w:r>
      <w:r w:rsidR="006432A3" w:rsidRPr="00057409">
        <w:t xml:space="preserve"> implementation</w:t>
      </w:r>
      <w:r w:rsidR="00A24C29">
        <w:t>,</w:t>
      </w:r>
      <w:r w:rsidR="009B61BF" w:rsidRPr="00057409">
        <w:t xml:space="preserve"> </w:t>
      </w:r>
      <w:r w:rsidRPr="00057409">
        <w:t>and</w:t>
      </w:r>
      <w:r w:rsidR="006432A3" w:rsidRPr="00057409">
        <w:t xml:space="preserve"> also</w:t>
      </w:r>
      <w:r w:rsidRPr="00057409">
        <w:t xml:space="preserve"> provide appropriate testing environments</w:t>
      </w:r>
      <w:r w:rsidR="006432A3" w:rsidRPr="00057409">
        <w:t>,</w:t>
      </w:r>
      <w:r w:rsidRPr="00057409">
        <w:t xml:space="preserve"> the proposed rule </w:t>
      </w:r>
      <w:r w:rsidR="006432A3" w:rsidRPr="00057409">
        <w:t>was</w:t>
      </w:r>
      <w:r w:rsidRPr="00057409">
        <w:t xml:space="preserve"> too prescriptive. It noted that</w:t>
      </w:r>
      <w:r w:rsidR="00050C46">
        <w:t>,</w:t>
      </w:r>
      <w:r w:rsidRPr="00057409">
        <w:t xml:space="preserve"> in some cases, it may be appropriate for a large project to proceed even if not every </w:t>
      </w:r>
      <w:r w:rsidR="00050529" w:rsidRPr="00057409">
        <w:t xml:space="preserve">market </w:t>
      </w:r>
      <w:r w:rsidRPr="00057409">
        <w:t>participant i</w:t>
      </w:r>
      <w:r w:rsidR="00FE5E9C" w:rsidRPr="00057409">
        <w:t>s</w:t>
      </w:r>
      <w:r w:rsidRPr="00057409">
        <w:t xml:space="preserve"> fully ready</w:t>
      </w:r>
      <w:r w:rsidR="003863A8" w:rsidRPr="00057409">
        <w:t>.</w:t>
      </w:r>
    </w:p>
    <w:p w14:paraId="793ADD1A" w14:textId="77777777" w:rsidR="00F445F9" w:rsidRPr="008B664F" w:rsidRDefault="00F445F9" w:rsidP="00F445F9">
      <w:pPr>
        <w:pStyle w:val="Responsehead"/>
      </w:pPr>
      <w:r w:rsidRPr="008B664F">
        <w:t>ASIC’s response</w:t>
      </w:r>
    </w:p>
    <w:p w14:paraId="624134DD" w14:textId="19BB20F8" w:rsidR="00F445F9" w:rsidRPr="008B664F" w:rsidRDefault="0054265E" w:rsidP="00F445F9">
      <w:pPr>
        <w:pStyle w:val="Responsetext"/>
      </w:pPr>
      <w:r w:rsidRPr="008B664F">
        <w:t xml:space="preserve">We </w:t>
      </w:r>
      <w:r w:rsidR="0071468B">
        <w:t>have</w:t>
      </w:r>
      <w:r w:rsidRPr="008B664F">
        <w:t xml:space="preserve"> introduce</w:t>
      </w:r>
      <w:r w:rsidR="0071468B">
        <w:t>d</w:t>
      </w:r>
      <w:r w:rsidRPr="008B664F">
        <w:t xml:space="preserve"> rules that require market </w:t>
      </w:r>
      <w:r w:rsidR="00050529">
        <w:t>operators</w:t>
      </w:r>
      <w:r w:rsidR="00050529" w:rsidRPr="008B664F">
        <w:t xml:space="preserve"> </w:t>
      </w:r>
      <w:r w:rsidRPr="008B664F">
        <w:t xml:space="preserve">and market </w:t>
      </w:r>
      <w:r w:rsidR="00050529">
        <w:t>participants</w:t>
      </w:r>
      <w:r w:rsidR="00050529" w:rsidRPr="008B664F">
        <w:t xml:space="preserve"> </w:t>
      </w:r>
      <w:r w:rsidRPr="008B664F">
        <w:t xml:space="preserve">to have in place adequate arrangements for change management of their critical </w:t>
      </w:r>
      <w:r w:rsidR="002E096C" w:rsidRPr="008B664F">
        <w:t>business services</w:t>
      </w:r>
      <w:r w:rsidRPr="008B664F">
        <w:t>.</w:t>
      </w:r>
    </w:p>
    <w:p w14:paraId="0AAC770D" w14:textId="44716941" w:rsidR="00F84955" w:rsidRPr="008B664F" w:rsidRDefault="00F84955" w:rsidP="00231391">
      <w:pPr>
        <w:pStyle w:val="Responsetext"/>
      </w:pPr>
      <w:r w:rsidRPr="008B664F">
        <w:t xml:space="preserve">We consider that the current regulatory framework </w:t>
      </w:r>
      <w:r w:rsidR="00A2401B" w:rsidRPr="008B664F">
        <w:t>has fallen below international standards</w:t>
      </w:r>
      <w:r w:rsidR="006413B8">
        <w:t xml:space="preserve">, particularly </w:t>
      </w:r>
      <w:r w:rsidR="00A24C29">
        <w:t xml:space="preserve">the </w:t>
      </w:r>
      <w:r w:rsidR="006413B8">
        <w:t xml:space="preserve">recommendations </w:t>
      </w:r>
      <w:r w:rsidR="00A65770">
        <w:t xml:space="preserve">of the International Organization of Securities Commissions (IOSCO) </w:t>
      </w:r>
      <w:r w:rsidR="006413B8" w:rsidRPr="00D4229B">
        <w:t xml:space="preserve">and </w:t>
      </w:r>
      <w:r w:rsidR="00D4229B" w:rsidRPr="00F32F4B">
        <w:t xml:space="preserve">best </w:t>
      </w:r>
      <w:r w:rsidR="006413B8" w:rsidRPr="00F32F4B">
        <w:t>practices</w:t>
      </w:r>
      <w:r w:rsidR="006413B8" w:rsidRPr="00D4229B">
        <w:t>. The</w:t>
      </w:r>
      <w:r w:rsidR="006413B8">
        <w:t xml:space="preserve"> current regulatory framework </w:t>
      </w:r>
      <w:r w:rsidR="005C17C3">
        <w:t>may be</w:t>
      </w:r>
      <w:r w:rsidR="00A2401B" w:rsidRPr="008B664F">
        <w:t xml:space="preserve"> insufficient to mitigate the risk of failure of critical business services.</w:t>
      </w:r>
    </w:p>
    <w:p w14:paraId="2E84EF68" w14:textId="59DEBD6A" w:rsidR="00392130" w:rsidRDefault="00392130" w:rsidP="00231391">
      <w:pPr>
        <w:pStyle w:val="Responsetext"/>
      </w:pPr>
      <w:r>
        <w:t xml:space="preserve">In response to feedback that these </w:t>
      </w:r>
      <w:r w:rsidR="00D4229B">
        <w:t xml:space="preserve">proposed </w:t>
      </w:r>
      <w:r>
        <w:t>rules should not apply to settlement and clearing participants, w</w:t>
      </w:r>
      <w:r w:rsidRPr="00392130">
        <w:t xml:space="preserve">e note that the rules apply to market participants only. </w:t>
      </w:r>
    </w:p>
    <w:p w14:paraId="57191B8B" w14:textId="2F2BD74E" w:rsidR="00231391" w:rsidRPr="008B664F" w:rsidRDefault="00380F94" w:rsidP="00231391">
      <w:pPr>
        <w:pStyle w:val="Responsetext"/>
      </w:pPr>
      <w:r w:rsidRPr="008B664F">
        <w:t xml:space="preserve">As a result of feedback </w:t>
      </w:r>
      <w:r w:rsidR="00A24C29">
        <w:t>about</w:t>
      </w:r>
      <w:r w:rsidRPr="008B664F">
        <w:t xml:space="preserve"> notification fatigue and constraints on resourc</w:t>
      </w:r>
      <w:r w:rsidR="001C6EC1" w:rsidRPr="008B664F">
        <w:t>es</w:t>
      </w:r>
      <w:r w:rsidRPr="008B664F">
        <w:t xml:space="preserve">, we have amended the proposed rule </w:t>
      </w:r>
      <w:r w:rsidR="009454E4" w:rsidRPr="008B664F">
        <w:rPr>
          <w:bCs/>
        </w:rPr>
        <w:t>s</w:t>
      </w:r>
      <w:r w:rsidR="00231391" w:rsidRPr="008B664F">
        <w:rPr>
          <w:bCs/>
        </w:rPr>
        <w:t>o</w:t>
      </w:r>
      <w:r w:rsidR="009454E4" w:rsidRPr="008B664F">
        <w:rPr>
          <w:bCs/>
        </w:rPr>
        <w:t xml:space="preserve"> </w:t>
      </w:r>
      <w:r w:rsidR="00231391" w:rsidRPr="008B664F">
        <w:rPr>
          <w:bCs/>
        </w:rPr>
        <w:t xml:space="preserve">that testing is only required for </w:t>
      </w:r>
      <w:r w:rsidR="00231391" w:rsidRPr="008B664F">
        <w:rPr>
          <w:i/>
        </w:rPr>
        <w:t>new</w:t>
      </w:r>
      <w:r w:rsidR="00231391" w:rsidRPr="008B664F">
        <w:rPr>
          <w:bCs/>
        </w:rPr>
        <w:t xml:space="preserve"> critical business services or </w:t>
      </w:r>
      <w:r w:rsidR="00231391" w:rsidRPr="008B664F">
        <w:rPr>
          <w:i/>
        </w:rPr>
        <w:t>material changes</w:t>
      </w:r>
      <w:r w:rsidR="00231391" w:rsidRPr="008B664F">
        <w:rPr>
          <w:bCs/>
        </w:rPr>
        <w:t xml:space="preserve"> to existing critical business services. </w:t>
      </w:r>
      <w:r w:rsidR="00231391" w:rsidRPr="008B664F">
        <w:t xml:space="preserve">This change also aligns </w:t>
      </w:r>
      <w:r w:rsidR="0013504B" w:rsidRPr="008B664F">
        <w:t xml:space="preserve">this rule </w:t>
      </w:r>
      <w:r w:rsidR="00231391" w:rsidRPr="008B664F">
        <w:t xml:space="preserve">more closely with </w:t>
      </w:r>
      <w:hyperlink r:id="rId32" w:history="1">
        <w:r w:rsidR="00231391" w:rsidRPr="00FA20C9">
          <w:rPr>
            <w:rStyle w:val="Hyperlink"/>
          </w:rPr>
          <w:t>CPS 232</w:t>
        </w:r>
      </w:hyperlink>
      <w:r w:rsidR="00050529">
        <w:t>,</w:t>
      </w:r>
      <w:r w:rsidR="00231391" w:rsidRPr="008B664F">
        <w:t xml:space="preserve"> which requires</w:t>
      </w:r>
      <w:r w:rsidR="00231391" w:rsidRPr="008B664F">
        <w:rPr>
          <w:color w:val="000000"/>
          <w:shd w:val="clear" w:color="auto" w:fill="FFFFFF"/>
        </w:rPr>
        <w:t xml:space="preserve"> testing of </w:t>
      </w:r>
      <w:r w:rsidR="002E096C" w:rsidRPr="008B664F">
        <w:rPr>
          <w:color w:val="000000"/>
          <w:shd w:val="clear" w:color="auto" w:fill="FFFFFF"/>
        </w:rPr>
        <w:t>b</w:t>
      </w:r>
      <w:r w:rsidR="00E32B73" w:rsidRPr="008B664F">
        <w:rPr>
          <w:color w:val="000000"/>
          <w:shd w:val="clear" w:color="auto" w:fill="FFFFFF"/>
        </w:rPr>
        <w:t xml:space="preserve">usiness </w:t>
      </w:r>
      <w:r w:rsidR="002E096C" w:rsidRPr="008B664F">
        <w:rPr>
          <w:color w:val="000000"/>
          <w:shd w:val="clear" w:color="auto" w:fill="FFFFFF"/>
        </w:rPr>
        <w:t>c</w:t>
      </w:r>
      <w:r w:rsidR="00E32B73" w:rsidRPr="008B664F">
        <w:rPr>
          <w:color w:val="000000"/>
          <w:shd w:val="clear" w:color="auto" w:fill="FFFFFF"/>
        </w:rPr>
        <w:t xml:space="preserve">ontinuity </w:t>
      </w:r>
      <w:r w:rsidR="002E096C" w:rsidRPr="008B664F">
        <w:rPr>
          <w:color w:val="000000"/>
          <w:shd w:val="clear" w:color="auto" w:fill="FFFFFF"/>
        </w:rPr>
        <w:t>p</w:t>
      </w:r>
      <w:r w:rsidR="00E32B73" w:rsidRPr="008B664F">
        <w:rPr>
          <w:color w:val="000000"/>
          <w:shd w:val="clear" w:color="auto" w:fill="FFFFFF"/>
        </w:rPr>
        <w:t xml:space="preserve">lans </w:t>
      </w:r>
      <w:r w:rsidR="00231391" w:rsidRPr="008B664F">
        <w:rPr>
          <w:color w:val="000000"/>
          <w:shd w:val="clear" w:color="auto" w:fill="FFFFFF"/>
        </w:rPr>
        <w:t>at least annually, or more frequently if there are material changes to business operations.</w:t>
      </w:r>
      <w:r w:rsidR="00231391" w:rsidRPr="008B664F">
        <w:t xml:space="preserve"> </w:t>
      </w:r>
    </w:p>
    <w:p w14:paraId="3CEB1237" w14:textId="0612731E" w:rsidR="0013504B" w:rsidRPr="008B664F" w:rsidRDefault="0013504B" w:rsidP="0013504B">
      <w:pPr>
        <w:pStyle w:val="Responsebullet"/>
        <w:numPr>
          <w:ilvl w:val="0"/>
          <w:numId w:val="0"/>
        </w:numPr>
        <w:ind w:left="3232"/>
      </w:pPr>
      <w:r w:rsidRPr="008B664F">
        <w:t>We consider these changes will still result in market operators and market participants having appropriate testing arrangements to ensure that their critical business services are functional and reliable.</w:t>
      </w:r>
    </w:p>
    <w:p w14:paraId="1E1F060F" w14:textId="3AEC7687" w:rsidR="00C56B7C" w:rsidRPr="008B664F" w:rsidRDefault="00C56B7C" w:rsidP="00103B58">
      <w:pPr>
        <w:pStyle w:val="Responsebullet"/>
        <w:numPr>
          <w:ilvl w:val="0"/>
          <w:numId w:val="0"/>
        </w:numPr>
        <w:ind w:left="3232"/>
      </w:pPr>
      <w:r w:rsidRPr="008B664F">
        <w:t xml:space="preserve">We </w:t>
      </w:r>
      <w:r w:rsidR="0071468B">
        <w:t>will</w:t>
      </w:r>
      <w:r w:rsidR="008D2843" w:rsidRPr="008B664F">
        <w:t xml:space="preserve"> </w:t>
      </w:r>
      <w:r w:rsidRPr="008B664F">
        <w:t>provide guidance on our expectation</w:t>
      </w:r>
      <w:r w:rsidR="00D4229B">
        <w:t>s</w:t>
      </w:r>
      <w:r w:rsidR="00A74AB1">
        <w:t>,</w:t>
      </w:r>
      <w:r w:rsidRPr="008B664F">
        <w:t xml:space="preserve"> along with examples of </w:t>
      </w:r>
      <w:r w:rsidR="003C75EF" w:rsidRPr="008B664F">
        <w:t xml:space="preserve">material changes that </w:t>
      </w:r>
      <w:r w:rsidR="00D963D3" w:rsidRPr="008B664F">
        <w:t>would require appropriate testing</w:t>
      </w:r>
      <w:r w:rsidR="00D4229B" w:rsidRPr="00D4229B">
        <w:t xml:space="preserve"> in RG 265, RG 266 and RG 172</w:t>
      </w:r>
      <w:r w:rsidR="002E096C" w:rsidRPr="008B664F">
        <w:t>.</w:t>
      </w:r>
    </w:p>
    <w:p w14:paraId="6FC04070" w14:textId="77777777" w:rsidR="00F445F9" w:rsidRPr="008B664F" w:rsidRDefault="002C362A" w:rsidP="002C362A">
      <w:pPr>
        <w:pStyle w:val="Heading2"/>
      </w:pPr>
      <w:bookmarkStart w:id="13" w:name="_Toc96948421"/>
      <w:r w:rsidRPr="008B664F">
        <w:lastRenderedPageBreak/>
        <w:t>Outsourcing critical systems</w:t>
      </w:r>
      <w:bookmarkEnd w:id="13"/>
    </w:p>
    <w:p w14:paraId="78C89BFE" w14:textId="3FEFA3C0" w:rsidR="00EB5E1A" w:rsidRPr="008B664F" w:rsidRDefault="00387247" w:rsidP="00057409">
      <w:pPr>
        <w:pStyle w:val="BodyText"/>
      </w:pPr>
      <w:r w:rsidRPr="008B664F">
        <w:t xml:space="preserve">In </w:t>
      </w:r>
      <w:hyperlink r:id="rId33" w:history="1">
        <w:r w:rsidRPr="00CD7DD3">
          <w:rPr>
            <w:rStyle w:val="Hyperlink"/>
          </w:rPr>
          <w:t>CP 314</w:t>
        </w:r>
      </w:hyperlink>
      <w:r w:rsidRPr="008B664F">
        <w:t xml:space="preserve">, we sought feedback on </w:t>
      </w:r>
      <w:r w:rsidR="00E85802" w:rsidRPr="008B664F">
        <w:t>the proposal</w:t>
      </w:r>
      <w:r w:rsidR="00EB5E1A" w:rsidRPr="008B664F">
        <w:t xml:space="preserve"> </w:t>
      </w:r>
      <w:r w:rsidR="00E85802" w:rsidRPr="008B664F">
        <w:t>to establish a</w:t>
      </w:r>
      <w:r w:rsidR="00EB5E1A" w:rsidRPr="008B664F">
        <w:t xml:space="preserve"> framework </w:t>
      </w:r>
      <w:r w:rsidR="00924958" w:rsidRPr="008B664F">
        <w:t>regulating</w:t>
      </w:r>
      <w:r w:rsidR="00EB5E1A" w:rsidRPr="008B664F">
        <w:t xml:space="preserve"> </w:t>
      </w:r>
      <w:r w:rsidR="00BC0AF7" w:rsidRPr="008B664F">
        <w:t xml:space="preserve">critical system </w:t>
      </w:r>
      <w:r w:rsidR="00EB5E1A" w:rsidRPr="008B664F">
        <w:t>outsourcing arrangements</w:t>
      </w:r>
      <w:r w:rsidR="00944A78" w:rsidRPr="008B664F">
        <w:t>.</w:t>
      </w:r>
      <w:r w:rsidR="00EB5E1A" w:rsidRPr="008B664F">
        <w:t xml:space="preserve"> </w:t>
      </w:r>
    </w:p>
    <w:p w14:paraId="263535D3" w14:textId="5FC66650" w:rsidR="004844BD" w:rsidRPr="00057409" w:rsidRDefault="0046174A" w:rsidP="00DC2B5E">
      <w:pPr>
        <w:pStyle w:val="BodyText"/>
      </w:pPr>
      <w:r w:rsidRPr="00057409">
        <w:t xml:space="preserve">We received </w:t>
      </w:r>
      <w:r w:rsidR="0030301C">
        <w:t>20</w:t>
      </w:r>
      <w:r w:rsidR="0030301C" w:rsidRPr="00057409">
        <w:t xml:space="preserve"> </w:t>
      </w:r>
      <w:r w:rsidRPr="00057409">
        <w:t xml:space="preserve">submissions on this proposal. </w:t>
      </w:r>
      <w:r w:rsidR="00B10AC8" w:rsidRPr="00057409">
        <w:t>The</w:t>
      </w:r>
      <w:r w:rsidR="00944A78" w:rsidRPr="00057409">
        <w:t xml:space="preserve"> majority of </w:t>
      </w:r>
      <w:r w:rsidR="00063132" w:rsidRPr="00057409">
        <w:t>the submission</w:t>
      </w:r>
      <w:r w:rsidR="00944A78" w:rsidRPr="00057409">
        <w:t xml:space="preserve">s </w:t>
      </w:r>
      <w:r w:rsidR="00DC0838" w:rsidRPr="00057409">
        <w:t>agreed in</w:t>
      </w:r>
      <w:r w:rsidR="00181DE7">
        <w:t xml:space="preserve"> </w:t>
      </w:r>
      <w:r w:rsidR="00DC0838" w:rsidRPr="00057409">
        <w:t>principle</w:t>
      </w:r>
      <w:r w:rsidR="00455083" w:rsidRPr="00057409">
        <w:t xml:space="preserve"> that market operators and market participants </w:t>
      </w:r>
      <w:r w:rsidR="00DC0838" w:rsidRPr="00057409">
        <w:t xml:space="preserve">should </w:t>
      </w:r>
      <w:r w:rsidR="00455083" w:rsidRPr="00057409">
        <w:t xml:space="preserve">have </w:t>
      </w:r>
      <w:r w:rsidR="0002578A" w:rsidRPr="00057409">
        <w:t xml:space="preserve">adequate </w:t>
      </w:r>
      <w:r w:rsidR="00455083" w:rsidRPr="00057409">
        <w:t>outsourcing arrangement</w:t>
      </w:r>
      <w:r w:rsidR="00DC0838" w:rsidRPr="00057409">
        <w:t>s</w:t>
      </w:r>
      <w:r w:rsidR="00944A78" w:rsidRPr="00057409">
        <w:t>.</w:t>
      </w:r>
      <w:r w:rsidR="004844BD" w:rsidRPr="00057409">
        <w:t xml:space="preserve"> </w:t>
      </w:r>
    </w:p>
    <w:p w14:paraId="0AD1AAB9" w14:textId="594FF7EF" w:rsidR="00944A78" w:rsidRPr="00057409" w:rsidRDefault="004844BD" w:rsidP="00DC2B5E">
      <w:pPr>
        <w:pStyle w:val="BodyText"/>
      </w:pPr>
      <w:r w:rsidRPr="00057409">
        <w:t xml:space="preserve">There was agreement from respondents that responsibility should lie with market </w:t>
      </w:r>
      <w:r w:rsidR="0002578A" w:rsidRPr="00057409">
        <w:t xml:space="preserve">operators </w:t>
      </w:r>
      <w:r w:rsidRPr="00057409">
        <w:t xml:space="preserve">and market </w:t>
      </w:r>
      <w:r w:rsidR="0002578A" w:rsidRPr="00057409">
        <w:t xml:space="preserve">participants, </w:t>
      </w:r>
      <w:r w:rsidRPr="00057409">
        <w:t xml:space="preserve">even when </w:t>
      </w:r>
      <w:r w:rsidR="0002578A" w:rsidRPr="00057409">
        <w:t xml:space="preserve">functions </w:t>
      </w:r>
      <w:r w:rsidRPr="00057409">
        <w:t>are outsourced. One respondent noted it is undesirable for outsourced arrangements to be subcontracted</w:t>
      </w:r>
      <w:r w:rsidR="00A97259" w:rsidRPr="00057409">
        <w:t xml:space="preserve"> by a service provider</w:t>
      </w:r>
      <w:r w:rsidRPr="00057409">
        <w:t xml:space="preserve"> to a third party.</w:t>
      </w:r>
    </w:p>
    <w:p w14:paraId="598C3F34" w14:textId="2B68B3AA" w:rsidR="000C32F7" w:rsidRPr="00057409" w:rsidRDefault="00DC0838" w:rsidP="000C32F7">
      <w:pPr>
        <w:pStyle w:val="BodyText"/>
      </w:pPr>
      <w:r w:rsidRPr="00057409">
        <w:t xml:space="preserve">Broadly, respondents that did not agree with the proposed rule </w:t>
      </w:r>
      <w:r w:rsidR="0030301C">
        <w:t>were</w:t>
      </w:r>
      <w:r w:rsidRPr="00057409">
        <w:t xml:space="preserve"> concern</w:t>
      </w:r>
      <w:r w:rsidR="0030301C">
        <w:t>ed</w:t>
      </w:r>
      <w:r w:rsidR="000C32F7" w:rsidRPr="00057409">
        <w:t>:</w:t>
      </w:r>
    </w:p>
    <w:p w14:paraId="5FABDF8E" w14:textId="3E6979B7" w:rsidR="000C32F7" w:rsidRPr="00057409" w:rsidRDefault="0030301C" w:rsidP="008B664F">
      <w:pPr>
        <w:pStyle w:val="subparaa"/>
      </w:pPr>
      <w:r>
        <w:t xml:space="preserve">by </w:t>
      </w:r>
      <w:r w:rsidR="004844BD" w:rsidRPr="00057409">
        <w:t>ASIC’s definition of outsourcing arrangements</w:t>
      </w:r>
      <w:r>
        <w:t>,</w:t>
      </w:r>
      <w:r w:rsidR="004844BD" w:rsidRPr="00057409">
        <w:t xml:space="preserve"> and that the broad scope of the rule had the potential to capture a wide range of services</w:t>
      </w:r>
      <w:r w:rsidR="006432A3" w:rsidRPr="00057409">
        <w:t>;</w:t>
      </w:r>
    </w:p>
    <w:p w14:paraId="5C4F12AD" w14:textId="6769E379" w:rsidR="000C32F7" w:rsidRPr="00057409" w:rsidRDefault="000C32F7" w:rsidP="000C32F7">
      <w:pPr>
        <w:pStyle w:val="subparaa"/>
      </w:pPr>
      <w:r w:rsidRPr="00057409">
        <w:t>that outsourcing requirements are already covered in the existing regulatory framework</w:t>
      </w:r>
      <w:r w:rsidR="0030301C">
        <w:t>,</w:t>
      </w:r>
      <w:r w:rsidRPr="00057409">
        <w:t xml:space="preserve"> including in </w:t>
      </w:r>
      <w:hyperlink r:id="rId34" w:history="1">
        <w:r w:rsidR="0030301C" w:rsidRPr="0030301C">
          <w:rPr>
            <w:rStyle w:val="Hyperlink"/>
          </w:rPr>
          <w:t>Regulatory Guide 104</w:t>
        </w:r>
      </w:hyperlink>
      <w:r w:rsidR="0030301C">
        <w:t xml:space="preserve"> </w:t>
      </w:r>
      <w:r w:rsidR="0030301C">
        <w:rPr>
          <w:i/>
          <w:iCs/>
        </w:rPr>
        <w:t xml:space="preserve">AFS licensing: Meeting the general obligations </w:t>
      </w:r>
      <w:r w:rsidR="0030301C">
        <w:t>(</w:t>
      </w:r>
      <w:r w:rsidRPr="00057409">
        <w:t>RG</w:t>
      </w:r>
      <w:r w:rsidR="0030301C">
        <w:t xml:space="preserve"> </w:t>
      </w:r>
      <w:r w:rsidRPr="00057409">
        <w:t>104</w:t>
      </w:r>
      <w:r w:rsidR="0030301C">
        <w:t>)</w:t>
      </w:r>
      <w:r w:rsidR="00DC0838" w:rsidRPr="00057409">
        <w:t>;</w:t>
      </w:r>
      <w:r w:rsidR="006432A3" w:rsidRPr="00057409">
        <w:t xml:space="preserve"> and</w:t>
      </w:r>
    </w:p>
    <w:p w14:paraId="2B833790" w14:textId="64489A48" w:rsidR="00DC0838" w:rsidRPr="008B664F" w:rsidRDefault="00F833B0" w:rsidP="00575BC2">
      <w:pPr>
        <w:pStyle w:val="subparaa"/>
        <w:rPr>
          <w:rFonts w:ascii="Arial" w:hAnsi="Arial" w:cs="Arial"/>
        </w:rPr>
      </w:pPr>
      <w:r>
        <w:t xml:space="preserve">about </w:t>
      </w:r>
      <w:r w:rsidR="00DC0838" w:rsidRPr="00057409">
        <w:t xml:space="preserve">inconsistency with other regulatory requirements, particularly with </w:t>
      </w:r>
      <w:hyperlink r:id="rId35" w:history="1">
        <w:r w:rsidR="00DC0838" w:rsidRPr="0030301C">
          <w:rPr>
            <w:rStyle w:val="Hyperlink"/>
          </w:rPr>
          <w:t>CPS</w:t>
        </w:r>
        <w:r w:rsidR="0030301C" w:rsidRPr="0030301C">
          <w:rPr>
            <w:rStyle w:val="Hyperlink"/>
          </w:rPr>
          <w:t> </w:t>
        </w:r>
        <w:r w:rsidR="00DC0838" w:rsidRPr="0030301C">
          <w:rPr>
            <w:rStyle w:val="Hyperlink"/>
          </w:rPr>
          <w:t>231</w:t>
        </w:r>
      </w:hyperlink>
      <w:r w:rsidR="0030301C">
        <w:t>,</w:t>
      </w:r>
      <w:r w:rsidR="004844BD" w:rsidRPr="00057409">
        <w:t xml:space="preserve"> and </w:t>
      </w:r>
      <w:r w:rsidR="00DC0838" w:rsidRPr="00057409">
        <w:t>incompatibility with international standards</w:t>
      </w:r>
      <w:r w:rsidR="00DC0838" w:rsidRPr="008B664F">
        <w:rPr>
          <w:rFonts w:ascii="Arial" w:hAnsi="Arial" w:cs="Arial"/>
        </w:rPr>
        <w:t xml:space="preserve">. </w:t>
      </w:r>
    </w:p>
    <w:p w14:paraId="30EAF175" w14:textId="02041E54" w:rsidR="00DC0838" w:rsidRPr="00057409" w:rsidRDefault="00DC0838" w:rsidP="00DC0937">
      <w:pPr>
        <w:pStyle w:val="BodyText"/>
      </w:pPr>
      <w:r w:rsidRPr="00057409">
        <w:t xml:space="preserve">One submission held the view that this proposed rule should not apply to </w:t>
      </w:r>
      <w:r w:rsidR="004844BD" w:rsidRPr="00057409">
        <w:t xml:space="preserve">market participants, particularly principal traders. </w:t>
      </w:r>
    </w:p>
    <w:p w14:paraId="57A265B6" w14:textId="313B2EA7" w:rsidR="00D91E2F" w:rsidRPr="00057409" w:rsidRDefault="00D91E2F" w:rsidP="00D91E2F">
      <w:pPr>
        <w:pStyle w:val="BodyText"/>
      </w:pPr>
      <w:r w:rsidRPr="00057409">
        <w:t xml:space="preserve">Respondents also expressed concern with the requirement to ensure outsourcing arrangements </w:t>
      </w:r>
      <w:r w:rsidR="007855DC" w:rsidRPr="00057409">
        <w:t xml:space="preserve">are </w:t>
      </w:r>
      <w:r w:rsidRPr="00057409">
        <w:t>contained in ‘legally binding written contract</w:t>
      </w:r>
      <w:r w:rsidR="007855DC" w:rsidRPr="00057409">
        <w:t>s</w:t>
      </w:r>
      <w:r w:rsidRPr="00057409">
        <w:t>’. The</w:t>
      </w:r>
      <w:r w:rsidR="0030301C">
        <w:t>y</w:t>
      </w:r>
      <w:r w:rsidRPr="00057409">
        <w:t xml:space="preserve"> were concern</w:t>
      </w:r>
      <w:r w:rsidR="0030301C">
        <w:t>ed</w:t>
      </w:r>
      <w:r w:rsidRPr="00057409">
        <w:t xml:space="preserve"> about the likely need for market operators and market participants to renegotiate terms with existing vendors to comply with these new </w:t>
      </w:r>
      <w:r w:rsidR="007855DC" w:rsidRPr="00057409">
        <w:t xml:space="preserve">obligations, </w:t>
      </w:r>
      <w:r w:rsidRPr="00057409">
        <w:t xml:space="preserve">and also the costs associated with this. </w:t>
      </w:r>
    </w:p>
    <w:p w14:paraId="65333260" w14:textId="46799B87" w:rsidR="00D91E2F" w:rsidRPr="00057409" w:rsidRDefault="00D91E2F" w:rsidP="008B664F">
      <w:pPr>
        <w:pStyle w:val="BodyText"/>
      </w:pPr>
      <w:r w:rsidRPr="00057409">
        <w:t>Specifically</w:t>
      </w:r>
      <w:r w:rsidR="007855DC" w:rsidRPr="00057409">
        <w:t>,</w:t>
      </w:r>
      <w:r w:rsidRPr="00057409">
        <w:t xml:space="preserve"> there was concern that the requirement for a ‘legally binding written contract</w:t>
      </w:r>
      <w:r w:rsidR="007855DC" w:rsidRPr="00057409">
        <w:t>’</w:t>
      </w:r>
      <w:r w:rsidRPr="00057409">
        <w:t xml:space="preserve"> was not appropriate for group entities providing services under service level agreements. One </w:t>
      </w:r>
      <w:r w:rsidR="0030301C">
        <w:t>respondent</w:t>
      </w:r>
      <w:r w:rsidR="0030301C" w:rsidRPr="00057409">
        <w:t xml:space="preserve"> </w:t>
      </w:r>
      <w:r w:rsidRPr="00057409">
        <w:t>believed that this requirement failed to account</w:t>
      </w:r>
      <w:r w:rsidR="007855DC" w:rsidRPr="00057409">
        <w:t xml:space="preserve"> for</w:t>
      </w:r>
      <w:r w:rsidRPr="00057409">
        <w:t xml:space="preserve"> the contractual frameworks used by cloud service providers. </w:t>
      </w:r>
    </w:p>
    <w:p w14:paraId="3EA7F264" w14:textId="5006F6A8" w:rsidR="00FA09FF" w:rsidRPr="00057409" w:rsidRDefault="00D91E2F" w:rsidP="00D74ABE">
      <w:pPr>
        <w:pStyle w:val="BodyText"/>
        <w:keepNext/>
      </w:pPr>
      <w:r w:rsidRPr="00057409">
        <w:t>Other</w:t>
      </w:r>
      <w:r w:rsidR="006243CF" w:rsidRPr="00057409">
        <w:t xml:space="preserve"> </w:t>
      </w:r>
      <w:r w:rsidR="00DC0838" w:rsidRPr="00057409">
        <w:t>specific</w:t>
      </w:r>
      <w:r w:rsidR="006243CF" w:rsidRPr="00057409">
        <w:t xml:space="preserve"> issues raised by </w:t>
      </w:r>
      <w:r w:rsidR="00063132" w:rsidRPr="00057409">
        <w:t>the submissions</w:t>
      </w:r>
      <w:r w:rsidR="006243CF" w:rsidRPr="00057409">
        <w:t xml:space="preserve"> </w:t>
      </w:r>
      <w:r w:rsidR="005949F1" w:rsidRPr="00057409">
        <w:t xml:space="preserve">that </w:t>
      </w:r>
      <w:r w:rsidR="00B524F8" w:rsidRPr="00057409">
        <w:t>oppos</w:t>
      </w:r>
      <w:r w:rsidR="0072708E" w:rsidRPr="00057409">
        <w:t>ed</w:t>
      </w:r>
      <w:r w:rsidR="00B524F8" w:rsidRPr="00057409">
        <w:t xml:space="preserve"> the proposed rules related to the</w:t>
      </w:r>
      <w:r w:rsidR="001D0CEA" w:rsidRPr="00057409">
        <w:t xml:space="preserve"> following requirements</w:t>
      </w:r>
      <w:r w:rsidR="00DC0937" w:rsidRPr="00057409">
        <w:t xml:space="preserve"> and concerns</w:t>
      </w:r>
      <w:r w:rsidR="00EB196F" w:rsidRPr="00057409">
        <w:t>:</w:t>
      </w:r>
    </w:p>
    <w:p w14:paraId="2F8FBD71" w14:textId="6707644A" w:rsidR="001D0CEA" w:rsidRPr="00057409" w:rsidRDefault="004844BD" w:rsidP="001D0CEA">
      <w:pPr>
        <w:pStyle w:val="subparaa"/>
      </w:pPr>
      <w:r w:rsidRPr="00057409">
        <w:t xml:space="preserve">the requirement for </w:t>
      </w:r>
      <w:r w:rsidR="001E4D96" w:rsidRPr="00057409">
        <w:t>w</w:t>
      </w:r>
      <w:r w:rsidR="001D0CEA" w:rsidRPr="00057409">
        <w:t xml:space="preserve">ritten attestation by the </w:t>
      </w:r>
      <w:r w:rsidR="00B22A4F" w:rsidRPr="00057409">
        <w:t>b</w:t>
      </w:r>
      <w:r w:rsidR="001D0CEA" w:rsidRPr="00057409">
        <w:t xml:space="preserve">oard </w:t>
      </w:r>
      <w:r w:rsidR="00C36387" w:rsidRPr="00057409">
        <w:t>and senior management</w:t>
      </w:r>
      <w:r w:rsidR="009976BC">
        <w:t>,</w:t>
      </w:r>
      <w:r w:rsidR="00C36387" w:rsidRPr="00057409">
        <w:t xml:space="preserve"> </w:t>
      </w:r>
      <w:r w:rsidR="001D0CEA" w:rsidRPr="00057409">
        <w:t>confirming compliance with the proposed rules</w:t>
      </w:r>
      <w:r w:rsidR="009C3E7A" w:rsidRPr="00057409">
        <w:t>. Respondents were concerned that the proposal required inappropriate involvement of the board and extended beyond the scope of their governance oversight</w:t>
      </w:r>
      <w:r w:rsidRPr="00057409">
        <w:t xml:space="preserve">; </w:t>
      </w:r>
    </w:p>
    <w:p w14:paraId="48ACDDA0" w14:textId="4229544A" w:rsidR="001D0CEA" w:rsidRPr="00057409" w:rsidRDefault="004844BD" w:rsidP="001D0CEA">
      <w:pPr>
        <w:pStyle w:val="subparaa"/>
      </w:pPr>
      <w:r w:rsidRPr="00057409">
        <w:lastRenderedPageBreak/>
        <w:t xml:space="preserve">the requirement to obtain </w:t>
      </w:r>
      <w:r w:rsidR="001E4D96" w:rsidRPr="00057409">
        <w:t>a</w:t>
      </w:r>
      <w:r w:rsidR="001D0CEA" w:rsidRPr="00057409">
        <w:t xml:space="preserve">pproval from market operators and </w:t>
      </w:r>
      <w:r w:rsidR="00A45B25" w:rsidRPr="00057409">
        <w:t>market p</w:t>
      </w:r>
      <w:r w:rsidR="001D0CEA" w:rsidRPr="00057409">
        <w:t>articipants prior to subcontracting of services by the service provider</w:t>
      </w:r>
      <w:r w:rsidR="00DC0937" w:rsidRPr="00057409">
        <w:t>.</w:t>
      </w:r>
      <w:r w:rsidR="00A97259" w:rsidRPr="00057409">
        <w:t xml:space="preserve"> Respondents suggested that </w:t>
      </w:r>
      <w:r w:rsidR="007855DC" w:rsidRPr="00057409">
        <w:t xml:space="preserve">the </w:t>
      </w:r>
      <w:r w:rsidR="00A97259" w:rsidRPr="00057409">
        <w:t>approval requirement should be replaced with a notification requirement;</w:t>
      </w:r>
      <w:r w:rsidR="00064DD8" w:rsidRPr="00057409">
        <w:t xml:space="preserve"> and</w:t>
      </w:r>
    </w:p>
    <w:p w14:paraId="362D436F" w14:textId="1757C564" w:rsidR="00D91E2F" w:rsidRPr="00057409" w:rsidRDefault="00D91E2F" w:rsidP="008B664F">
      <w:pPr>
        <w:pStyle w:val="subparaa"/>
      </w:pPr>
      <w:r w:rsidRPr="00057409">
        <w:t xml:space="preserve">the requirement to ensure auditors and ASIC have access to records held by a service provider. This requirement was considered </w:t>
      </w:r>
      <w:r w:rsidR="00D4229B">
        <w:t>un</w:t>
      </w:r>
      <w:r w:rsidRPr="002B038E">
        <w:t>feasible</w:t>
      </w:r>
      <w:r w:rsidRPr="00057409">
        <w:t xml:space="preserve"> by one respondent</w:t>
      </w:r>
      <w:r w:rsidR="00064DD8" w:rsidRPr="00057409">
        <w:t>.</w:t>
      </w:r>
    </w:p>
    <w:p w14:paraId="79135C68" w14:textId="6BE76E34" w:rsidR="00296FC0" w:rsidRPr="00057409" w:rsidRDefault="005E4F7A" w:rsidP="004E25A8">
      <w:pPr>
        <w:pStyle w:val="BodyText"/>
      </w:pPr>
      <w:r w:rsidRPr="00057409">
        <w:t>Two submissions</w:t>
      </w:r>
      <w:r w:rsidR="00296FC0" w:rsidRPr="00057409">
        <w:t xml:space="preserve"> </w:t>
      </w:r>
      <w:r w:rsidR="006A5593" w:rsidRPr="00057409">
        <w:t>opposed the proposed</w:t>
      </w:r>
      <w:r w:rsidR="00296FC0" w:rsidRPr="00057409">
        <w:t xml:space="preserve"> rule requiring market operators </w:t>
      </w:r>
      <w:r w:rsidR="00064DD8" w:rsidRPr="00057409">
        <w:t xml:space="preserve">only </w:t>
      </w:r>
      <w:r w:rsidR="00296FC0" w:rsidRPr="00057409">
        <w:t xml:space="preserve">to provide written notification to ASIC </w:t>
      </w:r>
      <w:r w:rsidR="00181DE7">
        <w:t>before</w:t>
      </w:r>
      <w:r w:rsidR="00296FC0" w:rsidRPr="00057409">
        <w:t xml:space="preserve"> entering into an outsourcing agreement</w:t>
      </w:r>
      <w:r w:rsidR="00AC64B3">
        <w:t>. They considered that</w:t>
      </w:r>
      <w:r w:rsidR="00296FC0" w:rsidRPr="00057409">
        <w:t xml:space="preserve"> </w:t>
      </w:r>
      <w:r w:rsidR="001919C8" w:rsidRPr="00057409">
        <w:t>this may not be practicable</w:t>
      </w:r>
      <w:r w:rsidR="00AC64B3">
        <w:t>,</w:t>
      </w:r>
      <w:r w:rsidR="001919C8" w:rsidRPr="00057409">
        <w:t xml:space="preserve"> due to reasons of timing or commercial confidentiality.</w:t>
      </w:r>
    </w:p>
    <w:p w14:paraId="3B5C8C43" w14:textId="713B1BFA" w:rsidR="00064DD8" w:rsidRPr="00057409" w:rsidRDefault="006432A3" w:rsidP="004E25A8">
      <w:pPr>
        <w:pStyle w:val="BodyText"/>
      </w:pPr>
      <w:r w:rsidRPr="00057409">
        <w:t>We also</w:t>
      </w:r>
      <w:r w:rsidR="00064DD8" w:rsidRPr="00057409">
        <w:t xml:space="preserve"> consulted on whether the risks associated with outsourcing to the cloud required a rule specific to this type of outsourcing arrangement. </w:t>
      </w:r>
      <w:r w:rsidR="008B664F" w:rsidRPr="00057409">
        <w:t>Some</w:t>
      </w:r>
      <w:r w:rsidR="00064DD8" w:rsidRPr="00057409">
        <w:t xml:space="preserve"> </w:t>
      </w:r>
      <w:r w:rsidR="008B664F" w:rsidRPr="00057409">
        <w:t>respondents</w:t>
      </w:r>
      <w:r w:rsidR="00064DD8" w:rsidRPr="00057409">
        <w:t xml:space="preserve"> supported a cloud-specific rul</w:t>
      </w:r>
      <w:r w:rsidR="008B664F" w:rsidRPr="00057409">
        <w:t>e</w:t>
      </w:r>
      <w:r w:rsidR="00AC64B3">
        <w:t>,</w:t>
      </w:r>
      <w:r w:rsidR="008B664F" w:rsidRPr="00057409">
        <w:t xml:space="preserve"> with the view that the increasing use of the cloud and risks associated with outsourcing warranted cloud</w:t>
      </w:r>
      <w:r w:rsidR="00DA1444" w:rsidRPr="00057409">
        <w:t>-</w:t>
      </w:r>
      <w:r w:rsidR="008B664F" w:rsidRPr="00057409">
        <w:t>specific rules. However</w:t>
      </w:r>
      <w:r w:rsidR="00DA1444" w:rsidRPr="00057409">
        <w:t>,</w:t>
      </w:r>
      <w:r w:rsidR="008B664F" w:rsidRPr="00057409">
        <w:t xml:space="preserve"> </w:t>
      </w:r>
      <w:r w:rsidR="00DA1444" w:rsidRPr="00057409">
        <w:t>most</w:t>
      </w:r>
      <w:r w:rsidR="008B664F" w:rsidRPr="00057409">
        <w:t xml:space="preserve"> submissions did not share this view. These respondents considered that general outsourcing rules were adequate for this issue and that a cloud</w:t>
      </w:r>
      <w:r w:rsidR="00DA1444" w:rsidRPr="00057409">
        <w:t>-</w:t>
      </w:r>
      <w:r w:rsidR="008B664F" w:rsidRPr="00057409">
        <w:t xml:space="preserve">specific rule could create duplicate regulatory requirements. </w:t>
      </w:r>
    </w:p>
    <w:p w14:paraId="7B86A77D" w14:textId="77777777" w:rsidR="0072031C" w:rsidRPr="008B664F" w:rsidRDefault="0072031C" w:rsidP="009A112E">
      <w:pPr>
        <w:pStyle w:val="Responsehead"/>
      </w:pPr>
      <w:r w:rsidRPr="008B664F">
        <w:t>ASIC’s response</w:t>
      </w:r>
    </w:p>
    <w:p w14:paraId="63B189B1" w14:textId="287BADB0" w:rsidR="00A3496E" w:rsidRPr="008B664F" w:rsidRDefault="005E6626" w:rsidP="00C530B4">
      <w:pPr>
        <w:pStyle w:val="Responsetext"/>
      </w:pPr>
      <w:r w:rsidRPr="008B664F">
        <w:t xml:space="preserve">We </w:t>
      </w:r>
      <w:r w:rsidR="00052C3E">
        <w:t>have</w:t>
      </w:r>
      <w:r w:rsidRPr="008B664F">
        <w:t xml:space="preserve"> proceed</w:t>
      </w:r>
      <w:r w:rsidR="00052C3E">
        <w:t>ed</w:t>
      </w:r>
      <w:r w:rsidRPr="008B664F">
        <w:t xml:space="preserve"> with the proposal to introduce rules that require market operators and </w:t>
      </w:r>
      <w:r w:rsidR="00A45B25" w:rsidRPr="008B664F">
        <w:t xml:space="preserve">market </w:t>
      </w:r>
      <w:r w:rsidRPr="008B664F">
        <w:t xml:space="preserve">participants to have in place a </w:t>
      </w:r>
      <w:r w:rsidRPr="008B664F" w:rsidDel="00BC1BE6">
        <w:t xml:space="preserve">framework for </w:t>
      </w:r>
      <w:r w:rsidR="00117337" w:rsidRPr="008B664F">
        <w:t>managing</w:t>
      </w:r>
      <w:r w:rsidRPr="008B664F">
        <w:t xml:space="preserve"> outsourcing arrangements</w:t>
      </w:r>
      <w:r w:rsidR="00BC1BE6" w:rsidRPr="008B664F">
        <w:t xml:space="preserve"> in relation to critical </w:t>
      </w:r>
      <w:r w:rsidR="00A3496E" w:rsidRPr="008B664F">
        <w:t>business services</w:t>
      </w:r>
      <w:r w:rsidRPr="008B664F">
        <w:t>.</w:t>
      </w:r>
      <w:r w:rsidR="00117337" w:rsidRPr="008B664F">
        <w:t xml:space="preserve"> We consider that these requirements are necessary to strengthen the technological and operational resilience of market operators and </w:t>
      </w:r>
      <w:r w:rsidR="00A45B25" w:rsidRPr="008B664F">
        <w:t xml:space="preserve">market </w:t>
      </w:r>
      <w:r w:rsidR="00117337" w:rsidRPr="008B664F">
        <w:t>participants</w:t>
      </w:r>
      <w:r w:rsidR="00FB524E" w:rsidRPr="008B664F">
        <w:t>.</w:t>
      </w:r>
      <w:r w:rsidR="00301DF5" w:rsidRPr="008B664F">
        <w:t xml:space="preserve"> </w:t>
      </w:r>
    </w:p>
    <w:p w14:paraId="02A0F4CE" w14:textId="60364C64" w:rsidR="00F445F9" w:rsidRPr="008B664F" w:rsidRDefault="007B65BF" w:rsidP="00C530B4">
      <w:pPr>
        <w:pStyle w:val="Responsetext"/>
      </w:pPr>
      <w:r w:rsidRPr="008B664F">
        <w:t>We have carefully considered the feedback</w:t>
      </w:r>
      <w:r w:rsidR="0072708E" w:rsidRPr="008B664F">
        <w:t>, and as a result</w:t>
      </w:r>
      <w:r w:rsidR="00301DF5" w:rsidRPr="008B664F">
        <w:t xml:space="preserve"> </w:t>
      </w:r>
      <w:r w:rsidR="00052C3E">
        <w:t>have</w:t>
      </w:r>
      <w:r w:rsidR="0072031C" w:rsidRPr="008B664F">
        <w:t xml:space="preserve"> </w:t>
      </w:r>
      <w:r w:rsidR="00090AD5">
        <w:t>change</w:t>
      </w:r>
      <w:r w:rsidR="00052C3E">
        <w:t>d</w:t>
      </w:r>
      <w:r w:rsidR="0072031C" w:rsidRPr="008B664F">
        <w:t>:</w:t>
      </w:r>
    </w:p>
    <w:p w14:paraId="79D1F1D0" w14:textId="5053A9A0" w:rsidR="00D222A1" w:rsidRPr="008B664F" w:rsidRDefault="00D222A1" w:rsidP="00C530B4">
      <w:pPr>
        <w:pStyle w:val="Responsebullet"/>
      </w:pPr>
      <w:bookmarkStart w:id="14" w:name="_Hlk83149833"/>
      <w:r w:rsidRPr="008B664F">
        <w:t xml:space="preserve">the requirement for a ‘legally binding written contract’ to ‘documented legally binding </w:t>
      </w:r>
      <w:r w:rsidR="005F38F4" w:rsidRPr="008B664F">
        <w:t>agreement</w:t>
      </w:r>
      <w:r w:rsidRPr="008B664F">
        <w:t>’</w:t>
      </w:r>
      <w:r w:rsidR="00AD0AB4" w:rsidRPr="008B664F">
        <w:t xml:space="preserve"> to include intra-group service agreements and to align with </w:t>
      </w:r>
      <w:hyperlink r:id="rId36" w:history="1">
        <w:r w:rsidR="002E1F53" w:rsidRPr="00FA20C9">
          <w:rPr>
            <w:rStyle w:val="Hyperlink"/>
          </w:rPr>
          <w:t>CPS 231</w:t>
        </w:r>
      </w:hyperlink>
      <w:r w:rsidR="00C32127" w:rsidRPr="008B664F">
        <w:t>;</w:t>
      </w:r>
    </w:p>
    <w:p w14:paraId="73DC388F" w14:textId="24D57F62" w:rsidR="00F445F9" w:rsidRPr="008B664F" w:rsidRDefault="00126CAC" w:rsidP="00C530B4">
      <w:pPr>
        <w:pStyle w:val="Responsebullet"/>
      </w:pPr>
      <w:r w:rsidRPr="008B664F">
        <w:t xml:space="preserve">the requirement for written attestation by the </w:t>
      </w:r>
      <w:r w:rsidR="00AC64B3">
        <w:t>‘b</w:t>
      </w:r>
      <w:r w:rsidRPr="008B664F">
        <w:t>oard and senior management</w:t>
      </w:r>
      <w:r w:rsidR="00DA1444">
        <w:t>’</w:t>
      </w:r>
      <w:r w:rsidRPr="008B664F">
        <w:t xml:space="preserve"> to </w:t>
      </w:r>
      <w:r w:rsidR="00AC64B3">
        <w:t>‘</w:t>
      </w:r>
      <w:r w:rsidR="00F32F4B">
        <w:t>b</w:t>
      </w:r>
      <w:r w:rsidR="00F32F4B" w:rsidRPr="008B664F">
        <w:t>oard</w:t>
      </w:r>
      <w:r w:rsidR="00F32F4B">
        <w:t>,</w:t>
      </w:r>
      <w:r w:rsidR="00F32F4B" w:rsidRPr="008B664F">
        <w:t xml:space="preserve"> director</w:t>
      </w:r>
      <w:r w:rsidR="00D16D67" w:rsidRPr="008B664F">
        <w:t xml:space="preserve"> or senior manage</w:t>
      </w:r>
      <w:r w:rsidR="00D97E57" w:rsidRPr="008B664F">
        <w:t>r</w:t>
      </w:r>
      <w:r w:rsidR="00DA1444">
        <w:t>’</w:t>
      </w:r>
      <w:r w:rsidR="00D16D67" w:rsidRPr="008B664F">
        <w:t xml:space="preserve"> </w:t>
      </w:r>
      <w:r w:rsidR="00384A25" w:rsidRPr="008B664F">
        <w:t>to</w:t>
      </w:r>
      <w:r w:rsidR="00507395" w:rsidRPr="008B664F">
        <w:t xml:space="preserve"> address concerns from respondents that requiring </w:t>
      </w:r>
      <w:r w:rsidR="00DA1444">
        <w:t xml:space="preserve">attestations from </w:t>
      </w:r>
      <w:r w:rsidR="00507395" w:rsidRPr="008B664F">
        <w:t>both the board and senior management is too burdensome</w:t>
      </w:r>
      <w:r w:rsidR="00231391" w:rsidRPr="008B664F">
        <w:t xml:space="preserve">. </w:t>
      </w:r>
      <w:r w:rsidR="00231391" w:rsidRPr="008B664F">
        <w:rPr>
          <w:bCs/>
        </w:rPr>
        <w:t>It is our view that this will also ensure individual accountability for completing the attestation;</w:t>
      </w:r>
    </w:p>
    <w:p w14:paraId="618C0F2F" w14:textId="2BC308E3" w:rsidR="00126CAC" w:rsidRPr="008B664F" w:rsidRDefault="00126CAC" w:rsidP="00C530B4">
      <w:pPr>
        <w:pStyle w:val="Responsebullet"/>
      </w:pPr>
      <w:r w:rsidRPr="008B664F">
        <w:t xml:space="preserve">the requirement for </w:t>
      </w:r>
      <w:r w:rsidR="00325A05" w:rsidRPr="008B664F">
        <w:t xml:space="preserve">service providers </w:t>
      </w:r>
      <w:r w:rsidR="00156485" w:rsidRPr="008B664F">
        <w:t xml:space="preserve">to </w:t>
      </w:r>
      <w:r w:rsidR="00325A05" w:rsidRPr="008B664F">
        <w:t xml:space="preserve">obtain </w:t>
      </w:r>
      <w:r w:rsidR="00A3496E" w:rsidRPr="008B664F">
        <w:t xml:space="preserve">‘written </w:t>
      </w:r>
      <w:r w:rsidR="00325A05" w:rsidRPr="008B664F">
        <w:t>approval</w:t>
      </w:r>
      <w:r w:rsidR="00A3496E" w:rsidRPr="008B664F">
        <w:t>’</w:t>
      </w:r>
      <w:r w:rsidR="004913DB" w:rsidRPr="008B664F">
        <w:t xml:space="preserve"> from </w:t>
      </w:r>
      <w:r w:rsidR="00F23D5A" w:rsidRPr="008B664F">
        <w:t xml:space="preserve">market </w:t>
      </w:r>
      <w:r w:rsidR="004913DB" w:rsidRPr="008B664F">
        <w:t xml:space="preserve">operators and </w:t>
      </w:r>
      <w:r w:rsidR="00F23D5A" w:rsidRPr="008B664F">
        <w:t xml:space="preserve">market </w:t>
      </w:r>
      <w:r w:rsidR="004913DB" w:rsidRPr="008B664F">
        <w:t>participant</w:t>
      </w:r>
      <w:r w:rsidR="00646C08" w:rsidRPr="008B664F">
        <w:t>s</w:t>
      </w:r>
      <w:r w:rsidR="00325A05" w:rsidRPr="008B664F">
        <w:t xml:space="preserve">, to </w:t>
      </w:r>
      <w:r w:rsidR="00DA1444">
        <w:t xml:space="preserve">a requirement for service providers to provide </w:t>
      </w:r>
      <w:r w:rsidR="00A3496E" w:rsidRPr="008B664F">
        <w:t>‘</w:t>
      </w:r>
      <w:r w:rsidR="00325A05" w:rsidRPr="008B664F">
        <w:t xml:space="preserve">written </w:t>
      </w:r>
      <w:r w:rsidR="004913DB" w:rsidRPr="008B664F">
        <w:t>notification</w:t>
      </w:r>
      <w:r w:rsidR="00A3496E" w:rsidRPr="008B664F">
        <w:t>’</w:t>
      </w:r>
      <w:r w:rsidR="004913DB" w:rsidRPr="008B664F">
        <w:t xml:space="preserve"> </w:t>
      </w:r>
      <w:r w:rsidR="00E80D5C">
        <w:t>before</w:t>
      </w:r>
      <w:r w:rsidR="00325A05" w:rsidRPr="008B664F">
        <w:t xml:space="preserve"> subcontracting or making material changes to the manner in which </w:t>
      </w:r>
      <w:r w:rsidR="004913DB" w:rsidRPr="008B664F">
        <w:t xml:space="preserve">outsourced </w:t>
      </w:r>
      <w:r w:rsidR="00325A05" w:rsidRPr="008B664F">
        <w:t>services are provided</w:t>
      </w:r>
      <w:r w:rsidRPr="008B664F">
        <w:t>; and</w:t>
      </w:r>
    </w:p>
    <w:p w14:paraId="6ECFBDB4" w14:textId="349F476D" w:rsidR="00126CAC" w:rsidRPr="008B664F" w:rsidRDefault="00371944" w:rsidP="00C530B4">
      <w:pPr>
        <w:pStyle w:val="Responsebullet"/>
      </w:pPr>
      <w:r w:rsidRPr="008B664F">
        <w:lastRenderedPageBreak/>
        <w:t xml:space="preserve">the requirement for market operators to notify ASIC </w:t>
      </w:r>
      <w:r w:rsidR="00DA1444">
        <w:t xml:space="preserve">before </w:t>
      </w:r>
      <w:r w:rsidRPr="008B664F">
        <w:t xml:space="preserve">entering into outsourcing arrangements to as soon as practicable after entry into an outsourcing arrangement, and in any event within 20 business days, to align with </w:t>
      </w:r>
      <w:hyperlink r:id="rId37" w:history="1">
        <w:r w:rsidR="002E1F53" w:rsidRPr="00FA20C9">
          <w:rPr>
            <w:rStyle w:val="Hyperlink"/>
          </w:rPr>
          <w:t>CPS 231</w:t>
        </w:r>
      </w:hyperlink>
      <w:r w:rsidRPr="008B664F">
        <w:t>.</w:t>
      </w:r>
    </w:p>
    <w:bookmarkEnd w:id="14"/>
    <w:p w14:paraId="7DEDC81F" w14:textId="60D7D50B" w:rsidR="000A4666" w:rsidRPr="008B664F" w:rsidRDefault="004B60B7" w:rsidP="00C530B4">
      <w:pPr>
        <w:pStyle w:val="Responsetext"/>
      </w:pPr>
      <w:r w:rsidRPr="008B664F">
        <w:t>We have</w:t>
      </w:r>
      <w:r w:rsidR="00231391" w:rsidRPr="008B664F">
        <w:t xml:space="preserve"> also considered the requirement </w:t>
      </w:r>
      <w:r w:rsidR="0072031C" w:rsidRPr="008B664F">
        <w:t xml:space="preserve">for </w:t>
      </w:r>
      <w:r w:rsidR="00F23D5A" w:rsidRPr="008B664F">
        <w:t>m</w:t>
      </w:r>
      <w:r w:rsidR="0072031C" w:rsidRPr="008B664F">
        <w:t xml:space="preserve">arket </w:t>
      </w:r>
      <w:r w:rsidR="00F23D5A" w:rsidRPr="008B664F">
        <w:t>o</w:t>
      </w:r>
      <w:r w:rsidR="0072031C" w:rsidRPr="008B664F">
        <w:t xml:space="preserve">perators and market participants </w:t>
      </w:r>
      <w:r w:rsidR="00231391" w:rsidRPr="008B664F">
        <w:t xml:space="preserve">to have arrangements with the </w:t>
      </w:r>
      <w:r w:rsidR="00F23D5A" w:rsidRPr="008B664F">
        <w:t>s</w:t>
      </w:r>
      <w:r w:rsidR="00231391" w:rsidRPr="008B664F">
        <w:t>ervice</w:t>
      </w:r>
      <w:r w:rsidR="003970D2" w:rsidRPr="008B664F">
        <w:t xml:space="preserve"> </w:t>
      </w:r>
      <w:r w:rsidR="00F23D5A" w:rsidRPr="008B664F">
        <w:t>p</w:t>
      </w:r>
      <w:r w:rsidR="00231391" w:rsidRPr="008B664F">
        <w:t xml:space="preserve">rovider to ensure the confidentiality, integrity and availability </w:t>
      </w:r>
      <w:r w:rsidR="004913DB" w:rsidRPr="008B664F">
        <w:t>of</w:t>
      </w:r>
      <w:r w:rsidR="003970D2" w:rsidRPr="008B664F">
        <w:t xml:space="preserve"> data. </w:t>
      </w:r>
      <w:r w:rsidR="0072031C" w:rsidRPr="008B664F">
        <w:t xml:space="preserve">To ensure consistency with </w:t>
      </w:r>
      <w:hyperlink r:id="rId38" w:history="1">
        <w:r w:rsidR="002E1F53" w:rsidRPr="00A10A33">
          <w:rPr>
            <w:rStyle w:val="Hyperlink"/>
          </w:rPr>
          <w:t>CPS 234</w:t>
        </w:r>
      </w:hyperlink>
      <w:r w:rsidR="000A4666" w:rsidRPr="008B664F">
        <w:t xml:space="preserve"> </w:t>
      </w:r>
      <w:r w:rsidR="0072031C" w:rsidRPr="008B664F">
        <w:t xml:space="preserve">we </w:t>
      </w:r>
      <w:r w:rsidR="00D14A92">
        <w:t>have</w:t>
      </w:r>
      <w:r w:rsidR="000A4666" w:rsidRPr="008B664F">
        <w:t xml:space="preserve">: </w:t>
      </w:r>
    </w:p>
    <w:p w14:paraId="01268F58" w14:textId="4CB1418D" w:rsidR="000F5D3F" w:rsidRPr="008B664F" w:rsidRDefault="006432A3" w:rsidP="006432A3">
      <w:pPr>
        <w:pStyle w:val="Responsebullet"/>
      </w:pPr>
      <w:r w:rsidRPr="006432A3">
        <w:t>replace</w:t>
      </w:r>
      <w:r w:rsidR="00D14A92">
        <w:t>d</w:t>
      </w:r>
      <w:r w:rsidRPr="006432A3">
        <w:t xml:space="preserve"> the term ‘data’ with </w:t>
      </w:r>
      <w:r w:rsidR="00CD3F8A">
        <w:t>‘</w:t>
      </w:r>
      <w:r w:rsidRPr="006432A3">
        <w:t>information’ and defin</w:t>
      </w:r>
      <w:r w:rsidR="00E52F02">
        <w:t>e</w:t>
      </w:r>
      <w:r w:rsidR="00D14A92">
        <w:t>d</w:t>
      </w:r>
      <w:r w:rsidRPr="006432A3">
        <w:t xml:space="preserve"> ‘information asset’ </w:t>
      </w:r>
      <w:r w:rsidR="00E52F02">
        <w:t>as</w:t>
      </w:r>
      <w:r w:rsidR="00E52F02" w:rsidRPr="006432A3">
        <w:t xml:space="preserve"> </w:t>
      </w:r>
      <w:r w:rsidRPr="006432A3">
        <w:t>includ</w:t>
      </w:r>
      <w:r w:rsidR="00E52F02">
        <w:t>ing</w:t>
      </w:r>
      <w:r w:rsidRPr="006432A3">
        <w:t xml:space="preserve"> software, hardware and data (both soft and hard</w:t>
      </w:r>
      <w:r w:rsidR="00CD3F8A">
        <w:t xml:space="preserve"> </w:t>
      </w:r>
      <w:r w:rsidRPr="006432A3">
        <w:t xml:space="preserve">copy); </w:t>
      </w:r>
      <w:r>
        <w:t>and</w:t>
      </w:r>
    </w:p>
    <w:p w14:paraId="05310B26" w14:textId="472C9BE2" w:rsidR="004B60B7" w:rsidRPr="008B664F" w:rsidRDefault="000F5D3F" w:rsidP="008B664F">
      <w:pPr>
        <w:pStyle w:val="Responsebullet"/>
      </w:pPr>
      <w:r w:rsidRPr="008B664F">
        <w:t>chang</w:t>
      </w:r>
      <w:r w:rsidR="0072031C" w:rsidRPr="008B664F">
        <w:t>e</w:t>
      </w:r>
      <w:r w:rsidR="00D14A92">
        <w:t>d</w:t>
      </w:r>
      <w:r w:rsidRPr="008B664F">
        <w:t xml:space="preserve"> the requirement </w:t>
      </w:r>
      <w:r w:rsidR="00E52F02">
        <w:t xml:space="preserve">to </w:t>
      </w:r>
      <w:r w:rsidRPr="008B664F">
        <w:t>ensur</w:t>
      </w:r>
      <w:r w:rsidR="00E52F02">
        <w:t>e</w:t>
      </w:r>
      <w:r w:rsidRPr="008B664F">
        <w:t xml:space="preserve"> the </w:t>
      </w:r>
      <w:r w:rsidR="0072031C" w:rsidRPr="008B664F">
        <w:t>‘</w:t>
      </w:r>
      <w:r w:rsidRPr="008B664F">
        <w:t>confidentiality, integrity</w:t>
      </w:r>
      <w:r w:rsidR="0072031C" w:rsidRPr="008B664F">
        <w:t xml:space="preserve"> and</w:t>
      </w:r>
      <w:r w:rsidR="00A6473D" w:rsidRPr="008B664F">
        <w:t xml:space="preserve"> security</w:t>
      </w:r>
      <w:r w:rsidR="0072031C" w:rsidRPr="008B664F">
        <w:t>’</w:t>
      </w:r>
      <w:r w:rsidRPr="008B664F">
        <w:t xml:space="preserve"> of </w:t>
      </w:r>
      <w:r w:rsidR="00A6473D" w:rsidRPr="008B664F">
        <w:t>data</w:t>
      </w:r>
      <w:r w:rsidR="00322516" w:rsidRPr="008B664F">
        <w:t>,</w:t>
      </w:r>
      <w:r w:rsidRPr="008B664F">
        <w:t xml:space="preserve"> to </w:t>
      </w:r>
      <w:r w:rsidR="00E52F02">
        <w:t xml:space="preserve">a requirement to ensure the </w:t>
      </w:r>
      <w:r w:rsidR="0072031C" w:rsidRPr="008B664F">
        <w:t>‘</w:t>
      </w:r>
      <w:r w:rsidR="00A6473D" w:rsidRPr="008B664F">
        <w:t>confidentiality, integrity and availability</w:t>
      </w:r>
      <w:r w:rsidR="0072031C" w:rsidRPr="008B664F">
        <w:t>’</w:t>
      </w:r>
      <w:r w:rsidR="009A112E" w:rsidRPr="008B664F">
        <w:t xml:space="preserve"> of information</w:t>
      </w:r>
      <w:r w:rsidR="009712EA">
        <w:t>.</w:t>
      </w:r>
    </w:p>
    <w:p w14:paraId="0462A462" w14:textId="6C32DBF6" w:rsidR="00117337" w:rsidRPr="008B664F" w:rsidRDefault="00117337" w:rsidP="0072031C">
      <w:pPr>
        <w:pStyle w:val="Responsetext"/>
      </w:pPr>
      <w:r w:rsidRPr="008B664F">
        <w:t>We also considered the feedback in relation to the scope of outsourcing arrangements and have agreed to provide guidance</w:t>
      </w:r>
      <w:r w:rsidR="00D4229B">
        <w:t xml:space="preserve"> in</w:t>
      </w:r>
      <w:r w:rsidR="00D4229B" w:rsidRPr="00D4229B">
        <w:t xml:space="preserve"> RG 265, RG 266 and RG 172 </w:t>
      </w:r>
      <w:r w:rsidRPr="008B664F">
        <w:t xml:space="preserve">on the scope of services that would be covered under the </w:t>
      </w:r>
      <w:r w:rsidR="00D14A92">
        <w:t>updated</w:t>
      </w:r>
      <w:r w:rsidRPr="008B664F">
        <w:t xml:space="preserve"> rules.</w:t>
      </w:r>
    </w:p>
    <w:p w14:paraId="53979C07" w14:textId="650C08E5" w:rsidR="008B664F" w:rsidRPr="008B664F" w:rsidRDefault="008B664F" w:rsidP="0072031C">
      <w:pPr>
        <w:pStyle w:val="Responsetext"/>
      </w:pPr>
      <w:r w:rsidRPr="008B664F">
        <w:t>We have carefully considered the feedback in relation to a cloud</w:t>
      </w:r>
      <w:r w:rsidR="00E52F02">
        <w:t>-</w:t>
      </w:r>
      <w:r w:rsidRPr="008B664F">
        <w:t>specific rule on outsourcing and formed the view that at this time this is not necessary.</w:t>
      </w:r>
    </w:p>
    <w:p w14:paraId="0E3F896B" w14:textId="735542C8" w:rsidR="002C362A" w:rsidRPr="008B664F" w:rsidRDefault="002C362A" w:rsidP="00387247">
      <w:pPr>
        <w:pStyle w:val="Heading2"/>
      </w:pPr>
      <w:bookmarkStart w:id="15" w:name="_Toc96948422"/>
      <w:r w:rsidRPr="008B664F">
        <w:t>Risk management—Data and cyber risk</w:t>
      </w:r>
      <w:bookmarkEnd w:id="15"/>
    </w:p>
    <w:p w14:paraId="36877968" w14:textId="64A0262D" w:rsidR="00F445F9" w:rsidRPr="00057409" w:rsidRDefault="00387247" w:rsidP="00DC2B5E">
      <w:pPr>
        <w:pStyle w:val="BodyText"/>
      </w:pPr>
      <w:r w:rsidRPr="00057409">
        <w:t xml:space="preserve">In </w:t>
      </w:r>
      <w:hyperlink r:id="rId39" w:history="1">
        <w:r w:rsidRPr="007B0C5D">
          <w:rPr>
            <w:rStyle w:val="Hyperlink"/>
          </w:rPr>
          <w:t>CP 314</w:t>
        </w:r>
      </w:hyperlink>
      <w:r w:rsidRPr="00057409">
        <w:t>, we sought feedback on the proposal t</w:t>
      </w:r>
      <w:r w:rsidR="00691286" w:rsidRPr="00057409">
        <w:t xml:space="preserve">o introduce rules that require market operators and </w:t>
      </w:r>
      <w:r w:rsidR="00A45B25" w:rsidRPr="00057409">
        <w:t xml:space="preserve">market </w:t>
      </w:r>
      <w:r w:rsidR="00691286" w:rsidRPr="00057409">
        <w:t>participants to have adequate arrangements to ensure the confidentiality, integrity and security of data</w:t>
      </w:r>
      <w:r w:rsidR="00EA19D3" w:rsidRPr="00057409">
        <w:t xml:space="preserve"> obtained, held or used.</w:t>
      </w:r>
    </w:p>
    <w:p w14:paraId="1C65D306" w14:textId="76D2F621" w:rsidR="00EA19D3" w:rsidRPr="00057409" w:rsidRDefault="0046174A" w:rsidP="00DC2B5E">
      <w:pPr>
        <w:pStyle w:val="BodyText"/>
      </w:pPr>
      <w:r w:rsidRPr="00057409">
        <w:t xml:space="preserve">We received </w:t>
      </w:r>
      <w:r w:rsidR="00CD3F8A">
        <w:t>15</w:t>
      </w:r>
      <w:r w:rsidRPr="00057409">
        <w:t xml:space="preserve"> submissions on this proposal.</w:t>
      </w:r>
      <w:r w:rsidR="0069745F" w:rsidRPr="00057409">
        <w:t xml:space="preserve"> </w:t>
      </w:r>
      <w:r w:rsidR="0074761A" w:rsidRPr="00057409">
        <w:t>Most of</w:t>
      </w:r>
      <w:r w:rsidR="00F556A0" w:rsidRPr="00057409">
        <w:t xml:space="preserve"> the </w:t>
      </w:r>
      <w:r w:rsidR="00063132" w:rsidRPr="00057409">
        <w:t>submission</w:t>
      </w:r>
      <w:r w:rsidR="00F556A0" w:rsidRPr="00057409">
        <w:t>s either</w:t>
      </w:r>
      <w:r w:rsidR="00910280" w:rsidRPr="00057409">
        <w:t xml:space="preserve"> agreed</w:t>
      </w:r>
      <w:r w:rsidR="00E13286" w:rsidRPr="00057409">
        <w:t>,</w:t>
      </w:r>
      <w:r w:rsidR="00910280" w:rsidRPr="00057409">
        <w:t xml:space="preserve"> or agreed in principle</w:t>
      </w:r>
      <w:r w:rsidR="00CD3F8A">
        <w:t>,</w:t>
      </w:r>
      <w:r w:rsidR="00910280" w:rsidRPr="00057409">
        <w:t xml:space="preserve"> with the proposed rules</w:t>
      </w:r>
      <w:r w:rsidR="00E369BC" w:rsidRPr="00057409">
        <w:t xml:space="preserve"> and supported the introduction of a more comprehensive regulatory framework in relation to data.</w:t>
      </w:r>
    </w:p>
    <w:p w14:paraId="78AD412D" w14:textId="16393FDC" w:rsidR="00E13286" w:rsidRPr="00057409" w:rsidRDefault="008A1CD7" w:rsidP="00DC2B5E">
      <w:pPr>
        <w:pStyle w:val="BodyText"/>
      </w:pPr>
      <w:r w:rsidRPr="00057409">
        <w:t xml:space="preserve">Some </w:t>
      </w:r>
      <w:r w:rsidR="00E13286" w:rsidRPr="00057409">
        <w:t xml:space="preserve">submissions </w:t>
      </w:r>
      <w:r w:rsidR="00E369BC" w:rsidRPr="00057409">
        <w:t xml:space="preserve">were concerned </w:t>
      </w:r>
      <w:r w:rsidR="00AA6579">
        <w:t>about</w:t>
      </w:r>
      <w:r w:rsidR="00E13286" w:rsidRPr="00057409">
        <w:t>:</w:t>
      </w:r>
    </w:p>
    <w:p w14:paraId="3FC8EED5" w14:textId="6EE570D3" w:rsidR="00537496" w:rsidRPr="00057409" w:rsidRDefault="00E13286" w:rsidP="00E13286">
      <w:pPr>
        <w:pStyle w:val="subparaa"/>
      </w:pPr>
      <w:r w:rsidRPr="00057409">
        <w:t xml:space="preserve">the regulatory overlap between APRA and ASIC, including in relation to </w:t>
      </w:r>
      <w:hyperlink r:id="rId40" w:history="1">
        <w:r w:rsidR="00537496" w:rsidRPr="00CD3F8A">
          <w:rPr>
            <w:rStyle w:val="Hyperlink"/>
          </w:rPr>
          <w:t>CPS 234</w:t>
        </w:r>
      </w:hyperlink>
      <w:r w:rsidRPr="00057409">
        <w:t xml:space="preserve">; </w:t>
      </w:r>
      <w:r w:rsidR="00537496" w:rsidRPr="00057409">
        <w:t>and</w:t>
      </w:r>
    </w:p>
    <w:p w14:paraId="6F09A1DC" w14:textId="0F9F323F" w:rsidR="00506CAF" w:rsidRPr="00057409" w:rsidRDefault="00537496" w:rsidP="00D8630A">
      <w:pPr>
        <w:pStyle w:val="subparaa"/>
      </w:pPr>
      <w:r w:rsidRPr="00057409">
        <w:t xml:space="preserve">the use of the word </w:t>
      </w:r>
      <w:r w:rsidR="00AA6579">
        <w:t>‘</w:t>
      </w:r>
      <w:r w:rsidRPr="00057409">
        <w:t>ensure</w:t>
      </w:r>
      <w:r w:rsidR="00AA6579">
        <w:t>’</w:t>
      </w:r>
      <w:r w:rsidR="00070D33" w:rsidRPr="00057409">
        <w:t xml:space="preserve">. The view was that requiring ‘adequate arrangements to ensure the confidentiality, integrity and availability of information’ </w:t>
      </w:r>
      <w:r w:rsidR="008A1CD7" w:rsidRPr="00057409">
        <w:t>was too high a threshold</w:t>
      </w:r>
      <w:r w:rsidR="00506CAF" w:rsidRPr="00057409">
        <w:t xml:space="preserve"> to comply with</w:t>
      </w:r>
      <w:r w:rsidR="007C31C3" w:rsidRPr="00057409">
        <w:t>.</w:t>
      </w:r>
    </w:p>
    <w:p w14:paraId="4F2BBD03" w14:textId="3A9AED15" w:rsidR="00D456E3" w:rsidRPr="00057409" w:rsidRDefault="0074761A" w:rsidP="000D5E34">
      <w:pPr>
        <w:pStyle w:val="BodyText"/>
      </w:pPr>
      <w:r w:rsidRPr="00057409">
        <w:t xml:space="preserve">One </w:t>
      </w:r>
      <w:r w:rsidR="00E83E18" w:rsidRPr="00057409">
        <w:t>respondent</w:t>
      </w:r>
      <w:r w:rsidR="00D456E3" w:rsidRPr="00057409">
        <w:t xml:space="preserve"> suggested that the rule should only apply to data </w:t>
      </w:r>
      <w:r w:rsidR="00AA6579">
        <w:t>that</w:t>
      </w:r>
      <w:r w:rsidR="00D456E3" w:rsidRPr="00057409">
        <w:t xml:space="preserve"> is </w:t>
      </w:r>
      <w:r w:rsidR="00AA6579">
        <w:t>‘</w:t>
      </w:r>
      <w:r w:rsidR="00D456E3" w:rsidRPr="00057409">
        <w:t>market sensitive, confidential or personal</w:t>
      </w:r>
      <w:r w:rsidR="00AA6579">
        <w:t>’</w:t>
      </w:r>
      <w:r w:rsidR="00D456E3" w:rsidRPr="00057409">
        <w:t xml:space="preserve">, rather than data </w:t>
      </w:r>
      <w:r w:rsidR="00E369BC" w:rsidRPr="00057409">
        <w:t>‘</w:t>
      </w:r>
      <w:r w:rsidR="00D456E3" w:rsidRPr="00057409">
        <w:t>obtained, held or used</w:t>
      </w:r>
      <w:r w:rsidR="00E369BC" w:rsidRPr="00057409">
        <w:t>’</w:t>
      </w:r>
      <w:r w:rsidR="00D456E3" w:rsidRPr="00057409">
        <w:t>.</w:t>
      </w:r>
    </w:p>
    <w:p w14:paraId="49DD38A5" w14:textId="4292733A" w:rsidR="00506CAF" w:rsidRPr="00057409" w:rsidRDefault="00AA6579" w:rsidP="007C31C3">
      <w:pPr>
        <w:pStyle w:val="BodyText"/>
      </w:pPr>
      <w:r>
        <w:lastRenderedPageBreak/>
        <w:t>This proposal included</w:t>
      </w:r>
      <w:r w:rsidR="00506CAF" w:rsidRPr="00057409">
        <w:t xml:space="preserve"> </w:t>
      </w:r>
      <w:r>
        <w:t xml:space="preserve">a </w:t>
      </w:r>
      <w:r w:rsidR="00506CAF" w:rsidRPr="00057409">
        <w:t xml:space="preserve">requirement for market operators </w:t>
      </w:r>
      <w:r w:rsidR="007C31C3" w:rsidRPr="00057409">
        <w:t xml:space="preserve">only </w:t>
      </w:r>
      <w:r w:rsidR="00506CAF" w:rsidRPr="00057409">
        <w:t>to notify ASIC as soon as practicable of a data breach</w:t>
      </w:r>
      <w:r>
        <w:t>.</w:t>
      </w:r>
      <w:r w:rsidR="00506CAF" w:rsidRPr="00057409">
        <w:t xml:space="preserve"> </w:t>
      </w:r>
      <w:r>
        <w:t>O</w:t>
      </w:r>
      <w:r w:rsidR="00506CAF" w:rsidRPr="00057409">
        <w:t>ne market operator respondent</w:t>
      </w:r>
      <w:r w:rsidR="007C31C3" w:rsidRPr="00057409">
        <w:t>, although supportive of the proposal,</w:t>
      </w:r>
      <w:r w:rsidR="00506CAF" w:rsidRPr="00057409">
        <w:t xml:space="preserve"> considered that notification should only be required once the nature of the impact of the incident is known.</w:t>
      </w:r>
    </w:p>
    <w:p w14:paraId="2BEC1589" w14:textId="7D047512" w:rsidR="00AD46B7" w:rsidRPr="00057409" w:rsidRDefault="007C31C3" w:rsidP="008B664F">
      <w:pPr>
        <w:pStyle w:val="BodyText"/>
      </w:pPr>
      <w:r w:rsidRPr="00057409">
        <w:t xml:space="preserve">We also consulted on whether the requirement to notify ASIC of a data breach should extend to </w:t>
      </w:r>
      <w:r w:rsidR="0074761A" w:rsidRPr="00057409">
        <w:t>m</w:t>
      </w:r>
      <w:r w:rsidRPr="00057409">
        <w:t xml:space="preserve">arket </w:t>
      </w:r>
      <w:r w:rsidR="0074761A" w:rsidRPr="00057409">
        <w:t>p</w:t>
      </w:r>
      <w:r w:rsidRPr="00057409">
        <w:t>articipants. Of</w:t>
      </w:r>
      <w:r w:rsidR="006C3917" w:rsidRPr="00057409">
        <w:t xml:space="preserve"> the respondents who provided comment:</w:t>
      </w:r>
    </w:p>
    <w:p w14:paraId="707A95E1" w14:textId="762D5CFB" w:rsidR="00CA1580" w:rsidRPr="00057409" w:rsidRDefault="00847F7B" w:rsidP="00CA1580">
      <w:pPr>
        <w:pStyle w:val="subparaa"/>
      </w:pPr>
      <w:r>
        <w:t>four</w:t>
      </w:r>
      <w:r w:rsidR="009F11BC" w:rsidRPr="00057409">
        <w:t xml:space="preserve"> respondents supported extending the notification requirement to market participants</w:t>
      </w:r>
      <w:r w:rsidR="00CA1580" w:rsidRPr="00057409">
        <w:t>;</w:t>
      </w:r>
      <w:r w:rsidR="00D8630A" w:rsidRPr="00057409">
        <w:t xml:space="preserve"> and</w:t>
      </w:r>
    </w:p>
    <w:p w14:paraId="4A04DD25" w14:textId="1FFCEEB3" w:rsidR="007C31C3" w:rsidRPr="00057409" w:rsidRDefault="007C31C3" w:rsidP="00D8630A">
      <w:pPr>
        <w:pStyle w:val="subparaa"/>
      </w:pPr>
      <w:r w:rsidRPr="00057409">
        <w:t>five</w:t>
      </w:r>
      <w:r w:rsidR="006C3917" w:rsidRPr="00057409">
        <w:t xml:space="preserve"> </w:t>
      </w:r>
      <w:r w:rsidR="009F11BC" w:rsidRPr="00057409">
        <w:t>respondent</w:t>
      </w:r>
      <w:r w:rsidRPr="00057409">
        <w:t>s</w:t>
      </w:r>
      <w:r w:rsidR="009F11BC" w:rsidRPr="00057409">
        <w:t xml:space="preserve"> </w:t>
      </w:r>
      <w:r w:rsidRPr="00057409">
        <w:t>held the view that existing requirements concerning data breach notifications w</w:t>
      </w:r>
      <w:r w:rsidR="0074761A" w:rsidRPr="00057409">
        <w:t>ere</w:t>
      </w:r>
      <w:r w:rsidRPr="00057409">
        <w:t xml:space="preserve"> sufficient</w:t>
      </w:r>
      <w:r w:rsidR="00AA6579">
        <w:t>,</w:t>
      </w:r>
      <w:r w:rsidRPr="00057409">
        <w:t xml:space="preserve"> and </w:t>
      </w:r>
      <w:r w:rsidR="00AA6579">
        <w:t xml:space="preserve">that </w:t>
      </w:r>
      <w:r w:rsidRPr="00057409">
        <w:t>additional requirements would be of limited benefit.</w:t>
      </w:r>
    </w:p>
    <w:p w14:paraId="45F6F858" w14:textId="77777777" w:rsidR="00F445F9" w:rsidRPr="008B664F" w:rsidRDefault="00F445F9" w:rsidP="00F445F9">
      <w:pPr>
        <w:pStyle w:val="Responsehead"/>
      </w:pPr>
      <w:r w:rsidRPr="008B664F">
        <w:t>ASIC’s response</w:t>
      </w:r>
    </w:p>
    <w:p w14:paraId="50A3CE0D" w14:textId="6A616C31" w:rsidR="000F39BE" w:rsidRPr="008B664F" w:rsidRDefault="00960FAB" w:rsidP="00400047">
      <w:pPr>
        <w:pStyle w:val="Responsetext"/>
      </w:pPr>
      <w:r w:rsidRPr="008B664F">
        <w:t xml:space="preserve">We </w:t>
      </w:r>
      <w:r w:rsidR="00FE7BF6">
        <w:t>have</w:t>
      </w:r>
      <w:r w:rsidRPr="008B664F">
        <w:t xml:space="preserve"> proceed</w:t>
      </w:r>
      <w:r w:rsidR="00FE7BF6">
        <w:t>ed</w:t>
      </w:r>
      <w:r w:rsidRPr="008B664F">
        <w:t xml:space="preserve"> with the proposal to introduce rules that require</w:t>
      </w:r>
      <w:r w:rsidR="00400047" w:rsidRPr="008B664F">
        <w:t xml:space="preserve"> market operators and </w:t>
      </w:r>
      <w:r w:rsidR="00A45B25" w:rsidRPr="008B664F">
        <w:t xml:space="preserve">market </w:t>
      </w:r>
      <w:r w:rsidR="00400047" w:rsidRPr="008B664F">
        <w:t>participants to have in place adequate arrangements to ensure the confidentiality, integrity and security of data obtained, held or used.</w:t>
      </w:r>
    </w:p>
    <w:p w14:paraId="373258C6" w14:textId="73263EBE" w:rsidR="002522CA" w:rsidRPr="008B664F" w:rsidRDefault="0083411B" w:rsidP="00F023FA">
      <w:pPr>
        <w:pStyle w:val="Responsetext"/>
      </w:pPr>
      <w:r w:rsidRPr="008B664F">
        <w:t>However, w</w:t>
      </w:r>
      <w:r w:rsidR="0011060F" w:rsidRPr="008B664F">
        <w:t xml:space="preserve">e </w:t>
      </w:r>
      <w:r w:rsidR="00FE7BF6">
        <w:t>made</w:t>
      </w:r>
      <w:r w:rsidRPr="008B664F">
        <w:t xml:space="preserve"> the following</w:t>
      </w:r>
      <w:r w:rsidR="0011060F" w:rsidRPr="008B664F">
        <w:t xml:space="preserve"> changes to </w:t>
      </w:r>
      <w:r w:rsidR="00D55175" w:rsidRPr="008B664F">
        <w:t>the rules</w:t>
      </w:r>
      <w:r w:rsidR="0011060F" w:rsidRPr="008B664F">
        <w:t xml:space="preserve"> to align with </w:t>
      </w:r>
      <w:hyperlink r:id="rId41" w:history="1">
        <w:r w:rsidR="002E1F53" w:rsidRPr="00FA20C9">
          <w:rPr>
            <w:rStyle w:val="Hyperlink"/>
          </w:rPr>
          <w:t>CPS 234</w:t>
        </w:r>
      </w:hyperlink>
      <w:r w:rsidR="0011060F" w:rsidRPr="008B664F">
        <w:t>:</w:t>
      </w:r>
    </w:p>
    <w:p w14:paraId="4F457118" w14:textId="64BB5BDB" w:rsidR="002522CA" w:rsidRPr="008B664F" w:rsidRDefault="0083411B" w:rsidP="008B664F">
      <w:pPr>
        <w:pStyle w:val="Responsebullet"/>
      </w:pPr>
      <w:r w:rsidRPr="008B664F">
        <w:t>replace</w:t>
      </w:r>
      <w:r w:rsidR="00FE7BF6">
        <w:t>d</w:t>
      </w:r>
      <w:r w:rsidRPr="008B664F">
        <w:t xml:space="preserve"> </w:t>
      </w:r>
      <w:r w:rsidR="002522CA" w:rsidRPr="008B664F">
        <w:t>the term</w:t>
      </w:r>
      <w:r w:rsidRPr="008B664F">
        <w:t xml:space="preserve"> ‘data’ with</w:t>
      </w:r>
      <w:r w:rsidR="002522CA" w:rsidRPr="008B664F">
        <w:t xml:space="preserve"> </w:t>
      </w:r>
      <w:r w:rsidR="007B0C5D">
        <w:t>‘</w:t>
      </w:r>
      <w:r w:rsidR="002522CA" w:rsidRPr="008B664F">
        <w:t>information’ and defin</w:t>
      </w:r>
      <w:r w:rsidR="0074761A">
        <w:t>e</w:t>
      </w:r>
      <w:r w:rsidR="00FE7BF6">
        <w:t>d</w:t>
      </w:r>
      <w:r w:rsidR="002522CA" w:rsidRPr="008B664F">
        <w:t xml:space="preserve"> ‘information asset’ </w:t>
      </w:r>
      <w:r w:rsidR="0074761A">
        <w:t>as</w:t>
      </w:r>
      <w:r w:rsidR="0074761A" w:rsidRPr="008B664F">
        <w:t xml:space="preserve"> </w:t>
      </w:r>
      <w:r w:rsidR="002522CA" w:rsidRPr="008B664F">
        <w:t>includ</w:t>
      </w:r>
      <w:r w:rsidR="0074761A">
        <w:t>ing</w:t>
      </w:r>
      <w:r w:rsidR="002522CA" w:rsidRPr="008B664F">
        <w:t xml:space="preserve"> software, hardware and data (both soft and hard</w:t>
      </w:r>
      <w:r w:rsidR="00AA6579">
        <w:t xml:space="preserve"> </w:t>
      </w:r>
      <w:r w:rsidR="002522CA" w:rsidRPr="008B664F">
        <w:t>copy)</w:t>
      </w:r>
      <w:r w:rsidR="00A6473D" w:rsidRPr="008B664F">
        <w:t>;</w:t>
      </w:r>
      <w:r w:rsidR="002522CA" w:rsidRPr="008B664F">
        <w:t xml:space="preserve"> </w:t>
      </w:r>
    </w:p>
    <w:p w14:paraId="45896933" w14:textId="64B1904D" w:rsidR="002522CA" w:rsidRPr="008B664F" w:rsidRDefault="002522CA" w:rsidP="008B664F">
      <w:pPr>
        <w:pStyle w:val="Responsebullet"/>
      </w:pPr>
      <w:r w:rsidRPr="008B664F">
        <w:t>replac</w:t>
      </w:r>
      <w:r w:rsidR="0083411B" w:rsidRPr="008B664F">
        <w:t>e</w:t>
      </w:r>
      <w:r w:rsidR="00FE7BF6">
        <w:t>d</w:t>
      </w:r>
      <w:r w:rsidRPr="008B664F">
        <w:t xml:space="preserve"> ‘confidentiality, integrity and security’</w:t>
      </w:r>
      <w:r w:rsidR="0083411B" w:rsidRPr="008B664F">
        <w:t xml:space="preserve"> of data</w:t>
      </w:r>
      <w:r w:rsidRPr="008B664F">
        <w:t xml:space="preserve"> with ‘confidentiality, integrity and availability’</w:t>
      </w:r>
      <w:r w:rsidR="0083411B" w:rsidRPr="008B664F">
        <w:t xml:space="preserve"> of information</w:t>
      </w:r>
      <w:r w:rsidR="00493B8A" w:rsidRPr="008B664F">
        <w:t>;</w:t>
      </w:r>
    </w:p>
    <w:p w14:paraId="4E6694EA" w14:textId="29F25309" w:rsidR="0083411B" w:rsidRPr="008B664F" w:rsidRDefault="00A13583" w:rsidP="008B664F">
      <w:pPr>
        <w:pStyle w:val="Responsebullet"/>
      </w:pPr>
      <w:r w:rsidRPr="008B664F">
        <w:t>add</w:t>
      </w:r>
      <w:r w:rsidR="00FE7BF6">
        <w:t>ed</w:t>
      </w:r>
      <w:r w:rsidRPr="008B664F">
        <w:t xml:space="preserve"> a requirement for information security arrangements to identify and document information assets that are integral to the provision of operations and services </w:t>
      </w:r>
      <w:r w:rsidR="001C0B5D" w:rsidRPr="008B664F">
        <w:t>by</w:t>
      </w:r>
      <w:r w:rsidR="00F23D5A" w:rsidRPr="008B664F">
        <w:t xml:space="preserve"> market </w:t>
      </w:r>
      <w:r w:rsidRPr="008B664F">
        <w:t xml:space="preserve">operators and </w:t>
      </w:r>
      <w:r w:rsidR="00A45B25" w:rsidRPr="008B664F">
        <w:t xml:space="preserve">market </w:t>
      </w:r>
      <w:r w:rsidRPr="008B664F">
        <w:t>participants</w:t>
      </w:r>
      <w:r w:rsidR="009712EA">
        <w:t>; and</w:t>
      </w:r>
      <w:r w:rsidR="00A6473D" w:rsidRPr="008B664F">
        <w:t xml:space="preserve"> </w:t>
      </w:r>
    </w:p>
    <w:p w14:paraId="1B068A3F" w14:textId="7C3C6D3B" w:rsidR="00F445F9" w:rsidRPr="008B664F" w:rsidRDefault="00400047" w:rsidP="008B664F">
      <w:pPr>
        <w:pStyle w:val="Responsebullet"/>
      </w:pPr>
      <w:r w:rsidRPr="008B664F">
        <w:t>modif</w:t>
      </w:r>
      <w:r w:rsidR="00FE7BF6">
        <w:t>ied</w:t>
      </w:r>
      <w:r w:rsidRPr="008B664F">
        <w:t xml:space="preserve"> the data breach notification requirements for market operators </w:t>
      </w:r>
      <w:r w:rsidR="0083411B" w:rsidRPr="008B664F">
        <w:t>from ‘as soon as practicable’ to ‘as soon as possible and</w:t>
      </w:r>
      <w:r w:rsidR="00AA6579">
        <w:t>,</w:t>
      </w:r>
      <w:r w:rsidR="0083411B" w:rsidRPr="008B664F">
        <w:t xml:space="preserve"> in any case, </w:t>
      </w:r>
      <w:r w:rsidR="00A47B9B" w:rsidRPr="008B664F">
        <w:t>no later than 72 hours</w:t>
      </w:r>
      <w:r w:rsidR="0083411B" w:rsidRPr="008B664F">
        <w:t>’</w:t>
      </w:r>
      <w:r w:rsidR="002522CA" w:rsidRPr="008B664F">
        <w:t xml:space="preserve"> on becoming aware of the unauthorised access</w:t>
      </w:r>
      <w:r w:rsidR="009712EA">
        <w:t>.</w:t>
      </w:r>
    </w:p>
    <w:p w14:paraId="7D7BCBB7" w14:textId="50988753" w:rsidR="00021177" w:rsidRPr="008B664F" w:rsidRDefault="00021177" w:rsidP="00021177">
      <w:pPr>
        <w:pStyle w:val="Responsetext"/>
      </w:pPr>
      <w:r w:rsidRPr="008B664F">
        <w:t xml:space="preserve">We </w:t>
      </w:r>
      <w:r w:rsidR="00FE7BF6">
        <w:t>will</w:t>
      </w:r>
      <w:r w:rsidR="008D2843" w:rsidRPr="008B664F">
        <w:t xml:space="preserve"> </w:t>
      </w:r>
      <w:r w:rsidRPr="008B664F">
        <w:t xml:space="preserve">provide guidance on our expectations </w:t>
      </w:r>
      <w:r w:rsidR="009712EA">
        <w:t>and</w:t>
      </w:r>
      <w:r w:rsidRPr="008B664F">
        <w:t xml:space="preserve"> how our</w:t>
      </w:r>
      <w:r w:rsidR="00FE7BF6">
        <w:t xml:space="preserve"> revised</w:t>
      </w:r>
      <w:r w:rsidRPr="008B664F">
        <w:t xml:space="preserve"> rules interact with other regulatory requirements</w:t>
      </w:r>
      <w:r w:rsidR="00D4229B" w:rsidRPr="00D4229B">
        <w:t xml:space="preserve"> </w:t>
      </w:r>
      <w:r w:rsidR="00D4229B">
        <w:t xml:space="preserve">in </w:t>
      </w:r>
      <w:r w:rsidR="00D4229B" w:rsidRPr="00D4229B">
        <w:t>RG</w:t>
      </w:r>
      <w:r w:rsidR="00E80D5C">
        <w:t> </w:t>
      </w:r>
      <w:r w:rsidR="00D4229B" w:rsidRPr="00D4229B">
        <w:t>265, RG 266 and RG 172</w:t>
      </w:r>
      <w:r w:rsidRPr="008B664F">
        <w:t>.</w:t>
      </w:r>
    </w:p>
    <w:p w14:paraId="0667E181" w14:textId="55811A65" w:rsidR="000D5E34" w:rsidRPr="008B664F" w:rsidRDefault="000D5E34" w:rsidP="00021177">
      <w:pPr>
        <w:pStyle w:val="Responsetext"/>
      </w:pPr>
      <w:r w:rsidRPr="008B664F">
        <w:t>We have</w:t>
      </w:r>
      <w:r w:rsidR="007C31C3" w:rsidRPr="008B664F">
        <w:t xml:space="preserve"> carefully considered the feedback in relation to extending data breach notifications to market participants. We have</w:t>
      </w:r>
      <w:r w:rsidRPr="008B664F">
        <w:t xml:space="preserve"> decided not to extend th</w:t>
      </w:r>
      <w:r w:rsidR="007C31C3" w:rsidRPr="008B664F">
        <w:t xml:space="preserve">is </w:t>
      </w:r>
      <w:r w:rsidRPr="008B664F">
        <w:t>notification requirement to market participant</w:t>
      </w:r>
      <w:r w:rsidR="00793A25" w:rsidRPr="008B664F">
        <w:t>s</w:t>
      </w:r>
      <w:r w:rsidRPr="008B664F">
        <w:t>.</w:t>
      </w:r>
      <w:r w:rsidR="00793A25" w:rsidRPr="008B664F">
        <w:t xml:space="preserve"> </w:t>
      </w:r>
      <w:r w:rsidR="00064DD8" w:rsidRPr="008B664F">
        <w:t xml:space="preserve">Market participants will be required to maintain records </w:t>
      </w:r>
      <w:r w:rsidR="006432A3">
        <w:t xml:space="preserve">of </w:t>
      </w:r>
      <w:r w:rsidR="00064DD8" w:rsidRPr="008B664F">
        <w:t>any data breaches</w:t>
      </w:r>
      <w:r w:rsidR="006432A3">
        <w:t xml:space="preserve"> for </w:t>
      </w:r>
      <w:r w:rsidR="009712EA">
        <w:t>seven</w:t>
      </w:r>
      <w:r w:rsidR="006432A3">
        <w:t xml:space="preserve"> years</w:t>
      </w:r>
      <w:r w:rsidR="00064DD8" w:rsidRPr="008B664F">
        <w:t>.</w:t>
      </w:r>
    </w:p>
    <w:p w14:paraId="36E00ED4" w14:textId="77777777" w:rsidR="00F445F9" w:rsidRPr="008B664F" w:rsidRDefault="002C362A" w:rsidP="00387247">
      <w:pPr>
        <w:pStyle w:val="Heading2"/>
      </w:pPr>
      <w:bookmarkStart w:id="16" w:name="_Toc96948423"/>
      <w:r w:rsidRPr="008B664F">
        <w:lastRenderedPageBreak/>
        <w:t>Incident management and business continuity arrangements</w:t>
      </w:r>
      <w:bookmarkEnd w:id="16"/>
    </w:p>
    <w:p w14:paraId="538E3CEE" w14:textId="1D41F50A" w:rsidR="00D8630A" w:rsidRPr="00057409" w:rsidRDefault="00387247" w:rsidP="00DC2B5E">
      <w:pPr>
        <w:pStyle w:val="BodyText"/>
      </w:pPr>
      <w:r w:rsidRPr="00057409">
        <w:t xml:space="preserve">In </w:t>
      </w:r>
      <w:hyperlink r:id="rId42" w:history="1">
        <w:r w:rsidRPr="007B0C5D">
          <w:rPr>
            <w:rStyle w:val="Hyperlink"/>
          </w:rPr>
          <w:t>CP 314</w:t>
        </w:r>
      </w:hyperlink>
      <w:r w:rsidRPr="00057409">
        <w:t>, we sought feedback on the proposal to</w:t>
      </w:r>
      <w:r w:rsidR="001E5846" w:rsidRPr="00057409">
        <w:t xml:space="preserve"> </w:t>
      </w:r>
      <w:r w:rsidR="004725B6" w:rsidRPr="00057409">
        <w:t xml:space="preserve">introduce rules that require market operators and </w:t>
      </w:r>
      <w:r w:rsidR="00A45B25" w:rsidRPr="00057409">
        <w:t xml:space="preserve">market </w:t>
      </w:r>
      <w:r w:rsidR="004725B6" w:rsidRPr="00057409">
        <w:t>participants to</w:t>
      </w:r>
      <w:r w:rsidR="00D8630A" w:rsidRPr="00057409">
        <w:t xml:space="preserve"> establish, maintain and implement:</w:t>
      </w:r>
    </w:p>
    <w:p w14:paraId="6BE54B75" w14:textId="736B4785" w:rsidR="00D8630A" w:rsidRPr="00057409" w:rsidRDefault="004725B6" w:rsidP="00D8630A">
      <w:pPr>
        <w:pStyle w:val="subparaa"/>
      </w:pPr>
      <w:r w:rsidRPr="00057409">
        <w:t xml:space="preserve">incident management plans for dealing with </w:t>
      </w:r>
      <w:r w:rsidR="009B45D5" w:rsidRPr="00057409">
        <w:t xml:space="preserve">unexpected interruptions </w:t>
      </w:r>
      <w:r w:rsidR="00941641" w:rsidRPr="00057409">
        <w:t>to the usual operations of their critical systems</w:t>
      </w:r>
      <w:r w:rsidR="00D8630A" w:rsidRPr="00057409">
        <w:t>; and</w:t>
      </w:r>
    </w:p>
    <w:p w14:paraId="4CA5AAD0" w14:textId="16721618" w:rsidR="00F445F9" w:rsidRPr="00057409" w:rsidRDefault="009B45D5" w:rsidP="008B664F">
      <w:pPr>
        <w:pStyle w:val="subparaa"/>
      </w:pPr>
      <w:r w:rsidRPr="00057409">
        <w:t xml:space="preserve">business continuity plans for dealing with </w:t>
      </w:r>
      <w:r w:rsidR="00941641" w:rsidRPr="00057409">
        <w:t xml:space="preserve">an emergency or </w:t>
      </w:r>
      <w:r w:rsidR="004725B6" w:rsidRPr="00057409">
        <w:t xml:space="preserve">major event that </w:t>
      </w:r>
      <w:r w:rsidR="00941641" w:rsidRPr="00057409">
        <w:t>cause</w:t>
      </w:r>
      <w:r w:rsidR="00930881" w:rsidRPr="00057409">
        <w:t>s</w:t>
      </w:r>
      <w:r w:rsidR="00941641" w:rsidRPr="00057409">
        <w:t xml:space="preserve"> significant</w:t>
      </w:r>
      <w:r w:rsidR="004725B6" w:rsidRPr="00057409">
        <w:t xml:space="preserve"> disrupt</w:t>
      </w:r>
      <w:r w:rsidR="00941641" w:rsidRPr="00057409">
        <w:t>ion to market</w:t>
      </w:r>
      <w:r w:rsidR="00784105" w:rsidRPr="00057409">
        <w:t>-</w:t>
      </w:r>
      <w:r w:rsidR="00941641" w:rsidRPr="00057409">
        <w:t xml:space="preserve">related </w:t>
      </w:r>
      <w:r w:rsidR="004725B6" w:rsidRPr="00057409">
        <w:t>operation</w:t>
      </w:r>
      <w:r w:rsidR="00941641" w:rsidRPr="00057409">
        <w:t>s and services.</w:t>
      </w:r>
    </w:p>
    <w:p w14:paraId="0A96D890" w14:textId="068C657B" w:rsidR="00F445F9" w:rsidRPr="00057409" w:rsidRDefault="0069745F" w:rsidP="00DC2B5E">
      <w:pPr>
        <w:pStyle w:val="BodyText"/>
      </w:pPr>
      <w:r w:rsidRPr="00057409">
        <w:t xml:space="preserve">We received </w:t>
      </w:r>
      <w:r w:rsidR="00FB7A62">
        <w:t>19</w:t>
      </w:r>
      <w:r w:rsidR="00FB7A62" w:rsidRPr="00057409">
        <w:t xml:space="preserve"> </w:t>
      </w:r>
      <w:r w:rsidRPr="00057409">
        <w:t xml:space="preserve">submissions on this proposal. </w:t>
      </w:r>
      <w:r w:rsidR="0066093C" w:rsidRPr="00057409">
        <w:t>T</w:t>
      </w:r>
      <w:r w:rsidR="003063EE" w:rsidRPr="00057409">
        <w:t xml:space="preserve">he majority of the submissions </w:t>
      </w:r>
      <w:r w:rsidR="0046174A" w:rsidRPr="00057409">
        <w:t xml:space="preserve">provided full or </w:t>
      </w:r>
      <w:r w:rsidR="003063EE" w:rsidRPr="00057409">
        <w:t>in</w:t>
      </w:r>
      <w:r w:rsidRPr="00057409">
        <w:t>-</w:t>
      </w:r>
      <w:r w:rsidR="003063EE" w:rsidRPr="00057409">
        <w:t xml:space="preserve">principle </w:t>
      </w:r>
      <w:r w:rsidRPr="00057409">
        <w:t xml:space="preserve">support </w:t>
      </w:r>
      <w:r w:rsidR="00E80D5C">
        <w:t>for</w:t>
      </w:r>
      <w:r w:rsidR="00E80D5C" w:rsidRPr="00057409">
        <w:t xml:space="preserve"> </w:t>
      </w:r>
      <w:r w:rsidR="003063EE" w:rsidRPr="00057409">
        <w:t>the proposed rules.</w:t>
      </w:r>
    </w:p>
    <w:p w14:paraId="6EFE3FC4" w14:textId="3D91872D" w:rsidR="00D8630A" w:rsidRPr="00057409" w:rsidRDefault="00784105" w:rsidP="00D8630A">
      <w:pPr>
        <w:pStyle w:val="BodyText"/>
      </w:pPr>
      <w:r w:rsidRPr="00057409">
        <w:t>Most of</w:t>
      </w:r>
      <w:r w:rsidR="00D8630A" w:rsidRPr="00057409">
        <w:t xml:space="preserve"> the submissions agreed with the definition of a ‘major event’ and the requirement for market </w:t>
      </w:r>
      <w:r w:rsidRPr="00057409">
        <w:t xml:space="preserve">operators </w:t>
      </w:r>
      <w:r w:rsidR="00D8630A" w:rsidRPr="00057409">
        <w:t xml:space="preserve">and market </w:t>
      </w:r>
      <w:r w:rsidRPr="00057409">
        <w:t xml:space="preserve">participants </w:t>
      </w:r>
      <w:r w:rsidR="00D8630A" w:rsidRPr="00057409">
        <w:t>to have business continuity plans for dealing with a major event.</w:t>
      </w:r>
    </w:p>
    <w:p w14:paraId="1C989E3D" w14:textId="12FBA31D" w:rsidR="00D8630A" w:rsidRPr="00057409" w:rsidRDefault="00D8630A" w:rsidP="006432A3">
      <w:pPr>
        <w:pStyle w:val="BodyText"/>
      </w:pPr>
      <w:r w:rsidRPr="00057409">
        <w:t xml:space="preserve">In contrast, </w:t>
      </w:r>
      <w:r w:rsidR="00784105" w:rsidRPr="00057409">
        <w:t>several</w:t>
      </w:r>
      <w:r w:rsidRPr="00057409">
        <w:t xml:space="preserve"> submissions did not agree with the definition of ‘incident’ and the proposed requirement to have an incident management plan. One </w:t>
      </w:r>
      <w:r w:rsidR="000A4351" w:rsidRPr="00057409">
        <w:t xml:space="preserve">respondent suggested that </w:t>
      </w:r>
      <w:r w:rsidRPr="00057409">
        <w:t>such</w:t>
      </w:r>
      <w:r w:rsidR="000A4351" w:rsidRPr="00057409">
        <w:t xml:space="preserve"> a</w:t>
      </w:r>
      <w:r w:rsidRPr="00057409">
        <w:t xml:space="preserve"> plan would be beyond what could reasonably be achieved by many </w:t>
      </w:r>
      <w:r w:rsidR="00784105" w:rsidRPr="00057409">
        <w:t xml:space="preserve">market </w:t>
      </w:r>
      <w:r w:rsidRPr="00057409">
        <w:t>participants, from a financial and practical standpoint.</w:t>
      </w:r>
    </w:p>
    <w:p w14:paraId="48C2E094" w14:textId="25C29075" w:rsidR="00046846" w:rsidRPr="00057409" w:rsidRDefault="000A4351" w:rsidP="00DC2B5E">
      <w:pPr>
        <w:pStyle w:val="BodyText"/>
      </w:pPr>
      <w:r w:rsidRPr="00057409">
        <w:t>Another respondent held the view</w:t>
      </w:r>
      <w:r w:rsidR="00AB2CDA" w:rsidRPr="00057409">
        <w:t xml:space="preserve"> </w:t>
      </w:r>
      <w:r w:rsidR="00FB3452" w:rsidRPr="00057409">
        <w:t>that</w:t>
      </w:r>
      <w:r w:rsidR="00AB2CDA" w:rsidRPr="00057409">
        <w:t xml:space="preserve"> the breadth of the term ‘incident’</w:t>
      </w:r>
      <w:r w:rsidR="00FB3452" w:rsidRPr="00057409">
        <w:t xml:space="preserve"> may result in the rule capturing substantially more incidents than intended and justified on a reasonable cost</w:t>
      </w:r>
      <w:r w:rsidR="00FF75C4">
        <w:t>-</w:t>
      </w:r>
      <w:r w:rsidR="00FB3452" w:rsidRPr="00057409">
        <w:t>benefit analysis, resulting in increased regulatory burden.</w:t>
      </w:r>
      <w:r w:rsidR="00AB2CDA" w:rsidRPr="00057409">
        <w:t xml:space="preserve"> </w:t>
      </w:r>
    </w:p>
    <w:p w14:paraId="05E39BBF" w14:textId="0734B5DB" w:rsidR="00256D8C" w:rsidRPr="00057409" w:rsidRDefault="00FB3452" w:rsidP="00DC2B5E">
      <w:pPr>
        <w:pStyle w:val="BodyText"/>
      </w:pPr>
      <w:r w:rsidRPr="00057409">
        <w:t xml:space="preserve">One respondent considered that both </w:t>
      </w:r>
      <w:r w:rsidR="000A4351" w:rsidRPr="00057409">
        <w:t xml:space="preserve">the </w:t>
      </w:r>
      <w:r w:rsidRPr="00057409">
        <w:t xml:space="preserve">terms </w:t>
      </w:r>
      <w:r w:rsidR="000A4351" w:rsidRPr="00057409">
        <w:t xml:space="preserve">‘major event’ and ‘incident’ </w:t>
      </w:r>
      <w:r w:rsidR="00E80D5C">
        <w:t>were</w:t>
      </w:r>
      <w:r w:rsidR="00E80D5C" w:rsidRPr="00057409">
        <w:t xml:space="preserve"> </w:t>
      </w:r>
      <w:r w:rsidR="000A4351" w:rsidRPr="00057409">
        <w:t>similarly</w:t>
      </w:r>
      <w:r w:rsidRPr="00057409">
        <w:t xml:space="preserve"> vagu</w:t>
      </w:r>
      <w:r w:rsidR="00DB4FC5" w:rsidRPr="00057409">
        <w:t xml:space="preserve">e or </w:t>
      </w:r>
      <w:r w:rsidR="000A4351" w:rsidRPr="00057409">
        <w:t>so</w:t>
      </w:r>
      <w:r w:rsidR="00DB4FC5" w:rsidRPr="00057409">
        <w:t xml:space="preserve"> broad that it </w:t>
      </w:r>
      <w:r w:rsidR="00E80D5C">
        <w:t>was</w:t>
      </w:r>
      <w:r w:rsidR="00DB4FC5" w:rsidRPr="00057409">
        <w:t xml:space="preserve"> difficult to understand what </w:t>
      </w:r>
      <w:r w:rsidR="00E80D5C">
        <w:t>was</w:t>
      </w:r>
      <w:r w:rsidR="00E80D5C" w:rsidRPr="00057409">
        <w:t xml:space="preserve"> </w:t>
      </w:r>
      <w:r w:rsidR="00DB4FC5" w:rsidRPr="00057409">
        <w:t>required.</w:t>
      </w:r>
    </w:p>
    <w:p w14:paraId="6ACE6C1B" w14:textId="6671880B" w:rsidR="000A4351" w:rsidRPr="00057409" w:rsidRDefault="000A4351" w:rsidP="000A4351">
      <w:pPr>
        <w:pStyle w:val="BodyText"/>
      </w:pPr>
      <w:r w:rsidRPr="00057409">
        <w:t>One market operator submission also disagreed with the incident management plan requirement</w:t>
      </w:r>
      <w:r w:rsidR="00FB7A62">
        <w:t>. It</w:t>
      </w:r>
      <w:r w:rsidRPr="00057409">
        <w:t xml:space="preserve"> observed that the proposed obligations were broad and uncertain</w:t>
      </w:r>
      <w:r w:rsidR="00FB7A62">
        <w:t>,</w:t>
      </w:r>
      <w:r w:rsidRPr="00057409">
        <w:t xml:space="preserve"> and already covered by the existing regulatory regime. It also disagreed with having specific arrangements in place due to the inability to predict future events.</w:t>
      </w:r>
    </w:p>
    <w:p w14:paraId="338E1501" w14:textId="7636AB91" w:rsidR="002D0910" w:rsidRPr="00057409" w:rsidRDefault="00C67967" w:rsidP="002D0910">
      <w:pPr>
        <w:pStyle w:val="BodyText"/>
      </w:pPr>
      <w:r w:rsidRPr="00057409">
        <w:t xml:space="preserve">Some respondents raised concerns </w:t>
      </w:r>
      <w:r w:rsidR="00A974D6">
        <w:t>about</w:t>
      </w:r>
      <w:r w:rsidR="00A974D6" w:rsidRPr="00057409">
        <w:t xml:space="preserve"> </w:t>
      </w:r>
      <w:r w:rsidRPr="00057409">
        <w:t xml:space="preserve">the proposed requirement for market </w:t>
      </w:r>
      <w:r w:rsidR="00AF0CB1" w:rsidRPr="00057409">
        <w:t xml:space="preserve">operators </w:t>
      </w:r>
      <w:r w:rsidRPr="00057409">
        <w:t xml:space="preserve">and market </w:t>
      </w:r>
      <w:r w:rsidR="00AF0CB1" w:rsidRPr="00057409">
        <w:t xml:space="preserve">participants </w:t>
      </w:r>
      <w:r w:rsidRPr="00057409">
        <w:t xml:space="preserve">to notify ASIC immediately on becoming aware of an incident or major event. One respondent was of the view that their priority should be to respond to the event rather than notify ASIC. Another respondent had the view </w:t>
      </w:r>
      <w:r w:rsidR="00614548" w:rsidRPr="00057409">
        <w:t>th</w:t>
      </w:r>
      <w:r w:rsidR="00AF0CB1" w:rsidRPr="00057409">
        <w:t>at</w:t>
      </w:r>
      <w:r w:rsidR="00614548" w:rsidRPr="00057409">
        <w:t xml:space="preserve"> their priority was to advise affected users.</w:t>
      </w:r>
    </w:p>
    <w:p w14:paraId="137361BF" w14:textId="60B28423" w:rsidR="00C67967" w:rsidRPr="00057409" w:rsidRDefault="005A3038" w:rsidP="008B664F">
      <w:pPr>
        <w:pStyle w:val="BodyText"/>
      </w:pPr>
      <w:r w:rsidRPr="00057409">
        <w:t>Most</w:t>
      </w:r>
      <w:r w:rsidR="002D0910" w:rsidRPr="00057409">
        <w:t xml:space="preserve"> respondents agreed with the proposed requirement for market </w:t>
      </w:r>
      <w:r w:rsidRPr="00057409">
        <w:t xml:space="preserve">operators </w:t>
      </w:r>
      <w:r w:rsidR="002D0910" w:rsidRPr="00057409">
        <w:t xml:space="preserve">and market </w:t>
      </w:r>
      <w:r w:rsidRPr="00057409">
        <w:t xml:space="preserve">participants </w:t>
      </w:r>
      <w:r w:rsidR="002D0910" w:rsidRPr="00057409">
        <w:t xml:space="preserve">to review and test their plans. Although some </w:t>
      </w:r>
      <w:r w:rsidR="002D0910" w:rsidRPr="00057409">
        <w:lastRenderedPageBreak/>
        <w:t>respondents agreed with the proposed frequency</w:t>
      </w:r>
      <w:r w:rsidRPr="00057409">
        <w:t>,</w:t>
      </w:r>
      <w:r w:rsidR="002D0910" w:rsidRPr="00057409">
        <w:t xml:space="preserve"> some considered the proposed frequency of reviewing and testing onerous and </w:t>
      </w:r>
      <w:r w:rsidRPr="00057409">
        <w:t>potentially costly</w:t>
      </w:r>
      <w:r w:rsidR="002D0910" w:rsidRPr="00057409">
        <w:t>.</w:t>
      </w:r>
    </w:p>
    <w:p w14:paraId="376500AC" w14:textId="235E75F0" w:rsidR="00AC79B5" w:rsidRPr="00057409" w:rsidRDefault="00C67967" w:rsidP="00614548">
      <w:pPr>
        <w:pStyle w:val="BodyText"/>
      </w:pPr>
      <w:r w:rsidRPr="00057409">
        <w:t xml:space="preserve">In particular, </w:t>
      </w:r>
      <w:r w:rsidR="00FB4BF4" w:rsidRPr="00057409">
        <w:t xml:space="preserve">market operator </w:t>
      </w:r>
      <w:r w:rsidRPr="00057409">
        <w:t xml:space="preserve">respondents held the view that </w:t>
      </w:r>
      <w:r w:rsidR="005A3038" w:rsidRPr="00057409">
        <w:t>the</w:t>
      </w:r>
      <w:r w:rsidRPr="00057409">
        <w:t xml:space="preserve"> </w:t>
      </w:r>
      <w:r w:rsidR="002517A6" w:rsidRPr="00057409">
        <w:t xml:space="preserve">requirement for </w:t>
      </w:r>
      <w:r w:rsidR="001B0949" w:rsidRPr="00057409">
        <w:t xml:space="preserve">market </w:t>
      </w:r>
      <w:r w:rsidR="003944DA" w:rsidRPr="00057409">
        <w:t xml:space="preserve">operators to conduct </w:t>
      </w:r>
      <w:r w:rsidR="002517A6" w:rsidRPr="00057409">
        <w:t>quarterly testing would be resource intensive and could potentially carry operational risks.</w:t>
      </w:r>
      <w:r w:rsidR="00AC79B5" w:rsidRPr="00057409">
        <w:t xml:space="preserve"> It was suggested that an annual testing frequency</w:t>
      </w:r>
      <w:r w:rsidR="003944DA" w:rsidRPr="00057409">
        <w:t xml:space="preserve"> for </w:t>
      </w:r>
      <w:r w:rsidR="00500A9D" w:rsidRPr="00057409">
        <w:t xml:space="preserve">market </w:t>
      </w:r>
      <w:r w:rsidR="003944DA" w:rsidRPr="00057409">
        <w:t>operators</w:t>
      </w:r>
      <w:r w:rsidR="00AC79B5" w:rsidRPr="00057409">
        <w:t xml:space="preserve"> would be more appropriate.</w:t>
      </w:r>
    </w:p>
    <w:p w14:paraId="1D0FE9B3" w14:textId="3B84140C" w:rsidR="00E75080" w:rsidRPr="00057409" w:rsidRDefault="00540E02" w:rsidP="00DC2B5E">
      <w:pPr>
        <w:pStyle w:val="BodyText"/>
      </w:pPr>
      <w:r w:rsidRPr="00057409">
        <w:t>In contrast, another submission r</w:t>
      </w:r>
      <w:r w:rsidR="00F500F5" w:rsidRPr="00057409">
        <w:t>ecommended that ASIC establish a two</w:t>
      </w:r>
      <w:r w:rsidR="005A3038" w:rsidRPr="00057409">
        <w:t>-</w:t>
      </w:r>
      <w:r w:rsidR="00F500F5" w:rsidRPr="00057409">
        <w:t>tiered continuous monitoring requirement</w:t>
      </w:r>
      <w:r w:rsidR="00F1026E" w:rsidRPr="00057409">
        <w:t xml:space="preserve">, </w:t>
      </w:r>
      <w:r w:rsidR="00300784" w:rsidRPr="00057409">
        <w:t>to</w:t>
      </w:r>
      <w:r w:rsidR="00F1026E" w:rsidRPr="00057409">
        <w:t xml:space="preserve"> flag incidents and identify systemic risks on a real-time basis.</w:t>
      </w:r>
    </w:p>
    <w:p w14:paraId="57FECE79" w14:textId="77777777" w:rsidR="00F445F9" w:rsidRPr="008B664F" w:rsidRDefault="00F445F9" w:rsidP="00F445F9">
      <w:pPr>
        <w:pStyle w:val="Responsehead"/>
      </w:pPr>
      <w:r w:rsidRPr="008B664F">
        <w:t>ASIC’s response</w:t>
      </w:r>
    </w:p>
    <w:p w14:paraId="7BA6BB41" w14:textId="01E9A671" w:rsidR="00256D8C" w:rsidRPr="008B664F" w:rsidRDefault="00FE1622" w:rsidP="00F445F9">
      <w:pPr>
        <w:pStyle w:val="Responsetext"/>
      </w:pPr>
      <w:r w:rsidRPr="008B664F">
        <w:t xml:space="preserve">We </w:t>
      </w:r>
      <w:r w:rsidR="00CB6EDB">
        <w:t>have</w:t>
      </w:r>
      <w:r w:rsidRPr="008B664F">
        <w:t xml:space="preserve"> introduce</w:t>
      </w:r>
      <w:r w:rsidR="00CB6EDB">
        <w:t>d</w:t>
      </w:r>
      <w:r w:rsidRPr="008B664F">
        <w:t xml:space="preserve"> rules for business continuity arrangements</w:t>
      </w:r>
      <w:r w:rsidR="0083411B" w:rsidRPr="008B664F">
        <w:t xml:space="preserve"> only</w:t>
      </w:r>
      <w:r w:rsidRPr="008B664F">
        <w:t>.</w:t>
      </w:r>
      <w:r w:rsidR="00256D8C" w:rsidRPr="008B664F">
        <w:t xml:space="preserve"> </w:t>
      </w:r>
    </w:p>
    <w:p w14:paraId="7A020BF8" w14:textId="7BA2F35F" w:rsidR="00BD1639" w:rsidRPr="008B664F" w:rsidRDefault="007F655B" w:rsidP="00BD1639">
      <w:pPr>
        <w:pStyle w:val="Responsetext"/>
      </w:pPr>
      <w:r w:rsidRPr="008B664F">
        <w:t xml:space="preserve">As </w:t>
      </w:r>
      <w:r w:rsidR="00256D8C" w:rsidRPr="008B664F">
        <w:t>a result of industry feedback</w:t>
      </w:r>
      <w:r w:rsidRPr="008B664F">
        <w:t xml:space="preserve"> </w:t>
      </w:r>
      <w:r w:rsidR="00BD1639" w:rsidRPr="008B664F">
        <w:t>about the regulatory burden of having both</w:t>
      </w:r>
      <w:r w:rsidR="005A3038">
        <w:t xml:space="preserve"> an</w:t>
      </w:r>
      <w:r w:rsidR="00BD1639" w:rsidRPr="008B664F">
        <w:t xml:space="preserve"> </w:t>
      </w:r>
      <w:r w:rsidR="009961CB" w:rsidRPr="008B664F">
        <w:t>incident management plan and</w:t>
      </w:r>
      <w:r w:rsidR="005A3038">
        <w:t xml:space="preserve"> a</w:t>
      </w:r>
      <w:r w:rsidR="009961CB" w:rsidRPr="008B664F">
        <w:t xml:space="preserve"> business continuity plan,</w:t>
      </w:r>
      <w:r w:rsidRPr="008B664F">
        <w:t xml:space="preserve"> we </w:t>
      </w:r>
      <w:r w:rsidR="00CB6EDB">
        <w:t>have</w:t>
      </w:r>
      <w:r w:rsidRPr="008B664F">
        <w:t xml:space="preserve"> remove</w:t>
      </w:r>
      <w:r w:rsidR="00CB6EDB">
        <w:t>d</w:t>
      </w:r>
      <w:r w:rsidRPr="008B664F">
        <w:t xml:space="preserve"> the requirement to have</w:t>
      </w:r>
      <w:r w:rsidR="0093171B" w:rsidRPr="008B664F">
        <w:t xml:space="preserve"> an</w:t>
      </w:r>
      <w:r w:rsidRPr="008B664F">
        <w:t xml:space="preserve"> </w:t>
      </w:r>
      <w:r w:rsidR="00614548" w:rsidRPr="008B664F">
        <w:t>incident management plan</w:t>
      </w:r>
      <w:r w:rsidR="009961CB" w:rsidRPr="008B664F">
        <w:t>. We consider that this change is consistent with the focus on significant disruptions to services or material impacts to operations, addressed by</w:t>
      </w:r>
      <w:r w:rsidR="00614548" w:rsidRPr="008B664F">
        <w:t xml:space="preserve"> a business continuity plan.</w:t>
      </w:r>
    </w:p>
    <w:p w14:paraId="0A240BEA" w14:textId="2A83E0CB" w:rsidR="00BD1639" w:rsidRPr="008B664F" w:rsidRDefault="00BD1639" w:rsidP="00936968">
      <w:pPr>
        <w:pStyle w:val="Responsetext"/>
      </w:pPr>
      <w:r w:rsidRPr="008B664F">
        <w:t xml:space="preserve">However, we </w:t>
      </w:r>
      <w:r w:rsidR="00CB6EDB">
        <w:t>have</w:t>
      </w:r>
      <w:r w:rsidRPr="008B664F">
        <w:t xml:space="preserve"> retain</w:t>
      </w:r>
      <w:r w:rsidR="00CB6EDB">
        <w:t>ed</w:t>
      </w:r>
      <w:r w:rsidRPr="008B664F">
        <w:t xml:space="preserve"> the</w:t>
      </w:r>
      <w:r w:rsidR="00DB7E17" w:rsidRPr="008B664F">
        <w:t xml:space="preserve"> incident notification</w:t>
      </w:r>
      <w:r w:rsidRPr="008B664F">
        <w:t xml:space="preserve"> requirement for market operators where </w:t>
      </w:r>
      <w:r w:rsidR="008C4A94" w:rsidRPr="008B664F">
        <w:t xml:space="preserve">the unexpected disruption may </w:t>
      </w:r>
      <w:r w:rsidR="002320E8" w:rsidRPr="008B664F">
        <w:t>interfere</w:t>
      </w:r>
      <w:r w:rsidRPr="008B664F">
        <w:t xml:space="preserve"> with the fair</w:t>
      </w:r>
      <w:r w:rsidR="005A3038">
        <w:t>,</w:t>
      </w:r>
      <w:r w:rsidRPr="008B664F">
        <w:t xml:space="preserve"> orderly or transparent operation of any market. We </w:t>
      </w:r>
      <w:r w:rsidR="00CB6EDB">
        <w:t>have</w:t>
      </w:r>
      <w:r w:rsidR="00140E25" w:rsidRPr="008B664F">
        <w:t xml:space="preserve"> </w:t>
      </w:r>
      <w:r w:rsidRPr="008B664F">
        <w:t>also retain</w:t>
      </w:r>
      <w:r w:rsidR="00CB6EDB">
        <w:t>ed</w:t>
      </w:r>
      <w:r w:rsidRPr="008B664F">
        <w:t xml:space="preserve"> the requirement for a market operator to provide a written report to ASIC of that incident within seven days.</w:t>
      </w:r>
    </w:p>
    <w:p w14:paraId="03B840AE" w14:textId="2053A61D" w:rsidR="004628F7" w:rsidRPr="008B664F" w:rsidRDefault="004628F7" w:rsidP="008B664F">
      <w:pPr>
        <w:pStyle w:val="Responsetext"/>
        <w:rPr>
          <w:bCs/>
        </w:rPr>
      </w:pPr>
      <w:r w:rsidRPr="008B664F">
        <w:rPr>
          <w:bCs/>
        </w:rPr>
        <w:t>We</w:t>
      </w:r>
      <w:r w:rsidR="00BD1639" w:rsidRPr="008B664F">
        <w:rPr>
          <w:bCs/>
        </w:rPr>
        <w:t xml:space="preserve"> </w:t>
      </w:r>
      <w:r w:rsidR="00CB6EDB">
        <w:rPr>
          <w:bCs/>
        </w:rPr>
        <w:t>have</w:t>
      </w:r>
      <w:r w:rsidR="004D4FE2">
        <w:rPr>
          <w:bCs/>
        </w:rPr>
        <w:t xml:space="preserve"> </w:t>
      </w:r>
      <w:r w:rsidR="00BD1639" w:rsidRPr="008B664F">
        <w:rPr>
          <w:bCs/>
        </w:rPr>
        <w:t xml:space="preserve">also </w:t>
      </w:r>
      <w:r w:rsidR="00614548" w:rsidRPr="008B664F">
        <w:rPr>
          <w:bCs/>
        </w:rPr>
        <w:t>add</w:t>
      </w:r>
      <w:r w:rsidR="00CB6EDB">
        <w:rPr>
          <w:bCs/>
        </w:rPr>
        <w:t>ed</w:t>
      </w:r>
      <w:r w:rsidR="00614548" w:rsidRPr="008B664F">
        <w:rPr>
          <w:bCs/>
        </w:rPr>
        <w:t xml:space="preserve"> a requirement for a business continuity plan </w:t>
      </w:r>
      <w:r w:rsidR="00BD1639" w:rsidRPr="008B664F">
        <w:rPr>
          <w:bCs/>
        </w:rPr>
        <w:t>to contain</w:t>
      </w:r>
      <w:r w:rsidRPr="008B664F">
        <w:rPr>
          <w:bCs/>
        </w:rPr>
        <w:t>:</w:t>
      </w:r>
    </w:p>
    <w:p w14:paraId="4E96093C" w14:textId="586DEF13" w:rsidR="004628F7" w:rsidRPr="008B664F" w:rsidRDefault="004628F7" w:rsidP="008B664F">
      <w:pPr>
        <w:pStyle w:val="Responsebullet"/>
      </w:pPr>
      <w:r w:rsidRPr="008B664F">
        <w:t xml:space="preserve">activation procedures including trigger conditions for enacting a </w:t>
      </w:r>
      <w:r w:rsidR="006432A3">
        <w:t>b</w:t>
      </w:r>
      <w:r w:rsidR="00614548" w:rsidRPr="008B664F">
        <w:t>usiness continuity plan</w:t>
      </w:r>
      <w:r w:rsidRPr="008B664F">
        <w:t>; and</w:t>
      </w:r>
    </w:p>
    <w:p w14:paraId="6CED1B36" w14:textId="0A311BFB" w:rsidR="004628F7" w:rsidRPr="008B664F" w:rsidRDefault="004628F7" w:rsidP="008B664F">
      <w:pPr>
        <w:pStyle w:val="Responsebullet"/>
      </w:pPr>
      <w:r w:rsidRPr="008B664F">
        <w:t>procedures to ensure affected persons are adequately informed about the likely timing of the resumption of services.</w:t>
      </w:r>
    </w:p>
    <w:p w14:paraId="4515803F" w14:textId="44185C42" w:rsidR="00FE1622" w:rsidRPr="008B664F" w:rsidRDefault="00BD1639" w:rsidP="00F445F9">
      <w:pPr>
        <w:pStyle w:val="Responsetext"/>
      </w:pPr>
      <w:r w:rsidRPr="008B664F">
        <w:t>A</w:t>
      </w:r>
      <w:r w:rsidR="00604BD9" w:rsidRPr="008B664F">
        <w:t xml:space="preserve">s a result of feedback received </w:t>
      </w:r>
      <w:r w:rsidR="004D4FE2">
        <w:t>about</w:t>
      </w:r>
      <w:r w:rsidR="00604BD9" w:rsidRPr="008B664F">
        <w:t xml:space="preserve"> the frequency of </w:t>
      </w:r>
      <w:r w:rsidR="00614548" w:rsidRPr="008B664F">
        <w:t xml:space="preserve">market operator </w:t>
      </w:r>
      <w:r w:rsidR="00604BD9" w:rsidRPr="008B664F">
        <w:t>testing</w:t>
      </w:r>
      <w:r w:rsidR="00614548" w:rsidRPr="008B664F">
        <w:t>,</w:t>
      </w:r>
      <w:r w:rsidR="00604BD9" w:rsidRPr="008B664F">
        <w:t xml:space="preserve"> we </w:t>
      </w:r>
      <w:r w:rsidR="00CB6EDB">
        <w:t>have</w:t>
      </w:r>
      <w:r w:rsidR="00604BD9" w:rsidRPr="008B664F">
        <w:t xml:space="preserve"> </w:t>
      </w:r>
      <w:r w:rsidR="00174204" w:rsidRPr="008B664F">
        <w:t>amend</w:t>
      </w:r>
      <w:r w:rsidR="00CB6EDB">
        <w:t>ed</w:t>
      </w:r>
      <w:r w:rsidR="00174204" w:rsidRPr="008B664F">
        <w:t xml:space="preserve"> the </w:t>
      </w:r>
      <w:r w:rsidR="00174204" w:rsidRPr="008B664F">
        <w:rPr>
          <w:bCs/>
        </w:rPr>
        <w:t xml:space="preserve">rule to require market operators to test their </w:t>
      </w:r>
      <w:r w:rsidR="0016006E">
        <w:rPr>
          <w:bCs/>
        </w:rPr>
        <w:t>business continuity plan</w:t>
      </w:r>
      <w:r w:rsidR="00174204" w:rsidRPr="008B664F">
        <w:rPr>
          <w:bCs/>
        </w:rPr>
        <w:t>s</w:t>
      </w:r>
      <w:r w:rsidRPr="008B664F">
        <w:rPr>
          <w:bCs/>
        </w:rPr>
        <w:t xml:space="preserve"> </w:t>
      </w:r>
      <w:r w:rsidR="00BD3154">
        <w:rPr>
          <w:bCs/>
        </w:rPr>
        <w:t xml:space="preserve">at least </w:t>
      </w:r>
      <w:r w:rsidR="00174204" w:rsidRPr="008B664F">
        <w:rPr>
          <w:bCs/>
        </w:rPr>
        <w:t xml:space="preserve">annually rather than </w:t>
      </w:r>
      <w:r w:rsidR="008C4A94" w:rsidRPr="008B664F">
        <w:rPr>
          <w:bCs/>
        </w:rPr>
        <w:t>‘</w:t>
      </w:r>
      <w:r w:rsidR="00174204" w:rsidRPr="008B664F">
        <w:rPr>
          <w:bCs/>
        </w:rPr>
        <w:t>quarterly</w:t>
      </w:r>
      <w:r w:rsidRPr="008B664F">
        <w:rPr>
          <w:bCs/>
        </w:rPr>
        <w:t>’</w:t>
      </w:r>
      <w:r w:rsidR="005D3DF3" w:rsidRPr="008B664F">
        <w:rPr>
          <w:bCs/>
        </w:rPr>
        <w:t xml:space="preserve">, and to test their </w:t>
      </w:r>
      <w:r w:rsidR="004D4FE2">
        <w:rPr>
          <w:bCs/>
        </w:rPr>
        <w:t>b</w:t>
      </w:r>
      <w:r w:rsidR="0016006E">
        <w:rPr>
          <w:bCs/>
        </w:rPr>
        <w:t>usiness continuity plan</w:t>
      </w:r>
      <w:r w:rsidR="005D3DF3" w:rsidRPr="008B664F">
        <w:rPr>
          <w:bCs/>
        </w:rPr>
        <w:t>s as soon as practicable after the occurrence of a major event</w:t>
      </w:r>
      <w:r w:rsidR="00174204" w:rsidRPr="008B664F">
        <w:rPr>
          <w:bCs/>
        </w:rPr>
        <w:t>. We consider that annual testing is already being conducted by market operators</w:t>
      </w:r>
      <w:r w:rsidR="00604BD9" w:rsidRPr="008B664F">
        <w:t>.</w:t>
      </w:r>
      <w:r w:rsidR="00FE1622" w:rsidRPr="008B664F">
        <w:t xml:space="preserve"> </w:t>
      </w:r>
    </w:p>
    <w:p w14:paraId="13F315CA" w14:textId="094283F8" w:rsidR="00FC5CCF" w:rsidRPr="008B664F" w:rsidRDefault="00FC5CCF" w:rsidP="00F445F9">
      <w:pPr>
        <w:pStyle w:val="Responsetext"/>
      </w:pPr>
      <w:r w:rsidRPr="008B664F">
        <w:t xml:space="preserve">We </w:t>
      </w:r>
      <w:r w:rsidR="00E83D8A" w:rsidRPr="008B664F">
        <w:t xml:space="preserve">have carefully considered the </w:t>
      </w:r>
      <w:r w:rsidR="00614548" w:rsidRPr="008B664F">
        <w:t xml:space="preserve">feedback </w:t>
      </w:r>
      <w:r w:rsidR="004D4FE2">
        <w:t>on</w:t>
      </w:r>
      <w:r w:rsidR="00614548" w:rsidRPr="008B664F">
        <w:t xml:space="preserve"> the requirement to notify </w:t>
      </w:r>
      <w:r w:rsidR="00842C10" w:rsidRPr="008B664F">
        <w:t xml:space="preserve">ASIC </w:t>
      </w:r>
      <w:r w:rsidR="00614548" w:rsidRPr="008B664F">
        <w:t xml:space="preserve">of </w:t>
      </w:r>
      <w:r w:rsidR="00842C10" w:rsidRPr="008B664F">
        <w:t xml:space="preserve">a major event. </w:t>
      </w:r>
      <w:r w:rsidR="00614548" w:rsidRPr="008B664F">
        <w:t>It is our view that this notification requirement</w:t>
      </w:r>
      <w:r w:rsidR="0065626F" w:rsidRPr="008B664F">
        <w:t xml:space="preserve"> would not significantly </w:t>
      </w:r>
      <w:r w:rsidR="00E62CDA">
        <w:t>affect</w:t>
      </w:r>
      <w:r w:rsidR="00842C10" w:rsidRPr="008B664F">
        <w:t xml:space="preserve"> </w:t>
      </w:r>
      <w:r w:rsidR="00E62CDA">
        <w:t xml:space="preserve">the ability of </w:t>
      </w:r>
      <w:r w:rsidR="00842C10" w:rsidRPr="008B664F">
        <w:t xml:space="preserve">a market operator or </w:t>
      </w:r>
      <w:r w:rsidR="00A45B25" w:rsidRPr="008B664F">
        <w:t xml:space="preserve">market </w:t>
      </w:r>
      <w:r w:rsidR="00842C10" w:rsidRPr="008B664F">
        <w:t>participant</w:t>
      </w:r>
      <w:r w:rsidR="00C64321" w:rsidRPr="008B664F">
        <w:t xml:space="preserve"> to </w:t>
      </w:r>
      <w:r w:rsidR="00842C10" w:rsidRPr="008B664F">
        <w:t>respon</w:t>
      </w:r>
      <w:r w:rsidR="00C64321" w:rsidRPr="008B664F">
        <w:t xml:space="preserve">d </w:t>
      </w:r>
      <w:r w:rsidR="00842C10" w:rsidRPr="008B664F">
        <w:t xml:space="preserve">to </w:t>
      </w:r>
      <w:r w:rsidR="00C64321" w:rsidRPr="008B664F">
        <w:t>a</w:t>
      </w:r>
      <w:r w:rsidR="00842C10" w:rsidRPr="008B664F">
        <w:t xml:space="preserve"> major event.</w:t>
      </w:r>
    </w:p>
    <w:p w14:paraId="79EFBD10" w14:textId="61EA950F" w:rsidR="00655FC4" w:rsidRDefault="00FC5CCF" w:rsidP="00F023FA">
      <w:pPr>
        <w:pStyle w:val="Responsetext"/>
      </w:pPr>
      <w:r w:rsidRPr="008B664F">
        <w:t xml:space="preserve">We </w:t>
      </w:r>
      <w:r w:rsidR="00E62CDA">
        <w:t>will</w:t>
      </w:r>
      <w:r w:rsidR="00E62CDA" w:rsidRPr="008B664F">
        <w:t xml:space="preserve"> </w:t>
      </w:r>
      <w:r w:rsidRPr="008B664F">
        <w:t xml:space="preserve">not implement the recommendation to establish two-tiered continuous monitoring reporting requirements, given the potential </w:t>
      </w:r>
      <w:r w:rsidRPr="008B664F">
        <w:lastRenderedPageBreak/>
        <w:t xml:space="preserve">compliance costs that may be incurred (particularly for smaller market operators and </w:t>
      </w:r>
      <w:r w:rsidR="00A45B25" w:rsidRPr="008B664F">
        <w:t xml:space="preserve">market </w:t>
      </w:r>
      <w:r w:rsidRPr="008B664F">
        <w:t>participants).</w:t>
      </w:r>
    </w:p>
    <w:p w14:paraId="7F6553FC" w14:textId="2A60D708" w:rsidR="00D4229B" w:rsidRPr="008B664F" w:rsidRDefault="00D4229B" w:rsidP="00F023FA">
      <w:pPr>
        <w:pStyle w:val="Responsetext"/>
      </w:pPr>
      <w:r w:rsidRPr="00D4229B">
        <w:t xml:space="preserve">We </w:t>
      </w:r>
      <w:r w:rsidR="00CB6EDB">
        <w:t>will</w:t>
      </w:r>
      <w:r w:rsidRPr="00D4229B">
        <w:t xml:space="preserve"> provide guidance on our expectations </w:t>
      </w:r>
      <w:r>
        <w:t xml:space="preserve">for complying with the proposed </w:t>
      </w:r>
      <w:r w:rsidRPr="00D4229B">
        <w:t>rules for business continuity arrangements</w:t>
      </w:r>
      <w:r w:rsidR="00F124C3" w:rsidRPr="00F124C3">
        <w:t xml:space="preserve"> in RG</w:t>
      </w:r>
      <w:r w:rsidR="00A974D6">
        <w:t> </w:t>
      </w:r>
      <w:r w:rsidR="00F124C3" w:rsidRPr="00F124C3">
        <w:t>265, RG 266 and RG 172</w:t>
      </w:r>
      <w:r w:rsidR="00F124C3">
        <w:t>.</w:t>
      </w:r>
    </w:p>
    <w:p w14:paraId="175D0140" w14:textId="77777777" w:rsidR="00F445F9" w:rsidRPr="008B664F" w:rsidRDefault="002C362A" w:rsidP="00F445F9">
      <w:pPr>
        <w:pStyle w:val="Heading2"/>
      </w:pPr>
      <w:bookmarkStart w:id="17" w:name="_Toc96948424"/>
      <w:r w:rsidRPr="008B664F">
        <w:t>Governance arrangements and adequate resources</w:t>
      </w:r>
      <w:bookmarkEnd w:id="17"/>
    </w:p>
    <w:p w14:paraId="6605A3FA" w14:textId="06623769" w:rsidR="00F445F9" w:rsidRPr="00057409" w:rsidRDefault="00387247" w:rsidP="00DC2B5E">
      <w:pPr>
        <w:pStyle w:val="BodyText"/>
      </w:pPr>
      <w:r w:rsidRPr="00057409">
        <w:t xml:space="preserve">In </w:t>
      </w:r>
      <w:hyperlink r:id="rId43" w:history="1">
        <w:r w:rsidRPr="00006AB9">
          <w:rPr>
            <w:rStyle w:val="Hyperlink"/>
          </w:rPr>
          <w:t>CP 314</w:t>
        </w:r>
      </w:hyperlink>
      <w:r w:rsidRPr="00057409">
        <w:t>, we sought feedbac</w:t>
      </w:r>
      <w:r w:rsidR="00B87563" w:rsidRPr="00057409">
        <w:t>k</w:t>
      </w:r>
      <w:r w:rsidR="00C82EBE" w:rsidRPr="00057409">
        <w:t xml:space="preserve"> on the proposal to introduce a rule that requires market operators and</w:t>
      </w:r>
      <w:r w:rsidR="00A45B25" w:rsidRPr="00057409">
        <w:t xml:space="preserve"> market </w:t>
      </w:r>
      <w:r w:rsidR="00C82EBE" w:rsidRPr="00057409">
        <w:t>participants to have governance arrangements and adequate financial, technological</w:t>
      </w:r>
      <w:r w:rsidR="006E1ACC" w:rsidRPr="00057409">
        <w:t>,</w:t>
      </w:r>
      <w:r w:rsidR="00C82EBE" w:rsidRPr="00057409">
        <w:t xml:space="preserve"> and human resources to support all the arrangements outlined </w:t>
      </w:r>
      <w:r w:rsidR="001C3BA8" w:rsidRPr="00057409">
        <w:t>within the proposed rules.</w:t>
      </w:r>
      <w:r w:rsidR="004628F7" w:rsidRPr="00057409">
        <w:t xml:space="preserve"> This included, but was not limited to, oversight by the board and senior management of the establishment, maintenance and implementation of incident management and business continuity arrangements.</w:t>
      </w:r>
    </w:p>
    <w:p w14:paraId="78CCC828" w14:textId="60262366" w:rsidR="003249D4" w:rsidRPr="00057409" w:rsidRDefault="0069745F" w:rsidP="00DC2B5E">
      <w:pPr>
        <w:pStyle w:val="BodyText"/>
      </w:pPr>
      <w:r w:rsidRPr="00057409">
        <w:t xml:space="preserve">We received </w:t>
      </w:r>
      <w:r w:rsidR="004D4FE2">
        <w:t>13</w:t>
      </w:r>
      <w:r w:rsidRPr="00057409">
        <w:t xml:space="preserve"> submissions on this proposal. </w:t>
      </w:r>
      <w:r w:rsidR="006E1ACC" w:rsidRPr="00057409">
        <w:t>Almost all</w:t>
      </w:r>
      <w:r w:rsidR="00146BEB" w:rsidRPr="00057409">
        <w:t xml:space="preserve"> of </w:t>
      </w:r>
      <w:r w:rsidR="0066093C" w:rsidRPr="00057409">
        <w:t xml:space="preserve">the submissions </w:t>
      </w:r>
      <w:r w:rsidR="009F046B" w:rsidRPr="00057409">
        <w:t>provided</w:t>
      </w:r>
      <w:r w:rsidR="00146BEB" w:rsidRPr="00057409">
        <w:t xml:space="preserve"> </w:t>
      </w:r>
      <w:r w:rsidRPr="00057409">
        <w:t xml:space="preserve">full or </w:t>
      </w:r>
      <w:r w:rsidR="00146BEB" w:rsidRPr="00057409">
        <w:t>in</w:t>
      </w:r>
      <w:r w:rsidR="00A974D6">
        <w:t>-</w:t>
      </w:r>
      <w:r w:rsidR="00146BEB" w:rsidRPr="00057409">
        <w:t xml:space="preserve">principle </w:t>
      </w:r>
      <w:r w:rsidR="009F046B" w:rsidRPr="00057409">
        <w:t xml:space="preserve">support </w:t>
      </w:r>
      <w:r w:rsidR="00236869" w:rsidRPr="00057409">
        <w:t>for</w:t>
      </w:r>
      <w:r w:rsidR="00146BEB" w:rsidRPr="00057409">
        <w:t xml:space="preserve"> the proposed rule.</w:t>
      </w:r>
    </w:p>
    <w:p w14:paraId="0170A2B6" w14:textId="2C7C429A" w:rsidR="00F445F9" w:rsidRPr="00057409" w:rsidRDefault="00F06FC7" w:rsidP="00DC2B5E">
      <w:pPr>
        <w:pStyle w:val="BodyText"/>
      </w:pPr>
      <w:r w:rsidRPr="00057409">
        <w:t xml:space="preserve">The respondents </w:t>
      </w:r>
      <w:r w:rsidR="00DF3FAB" w:rsidRPr="00057409">
        <w:t>who</w:t>
      </w:r>
      <w:r w:rsidRPr="00057409">
        <w:t xml:space="preserve"> </w:t>
      </w:r>
      <w:r w:rsidR="00DF3FAB" w:rsidRPr="00057409">
        <w:t>were not in full support of the</w:t>
      </w:r>
      <w:r w:rsidR="002320E8" w:rsidRPr="00057409">
        <w:t xml:space="preserve"> </w:t>
      </w:r>
      <w:r w:rsidRPr="00057409">
        <w:t xml:space="preserve">proposal </w:t>
      </w:r>
      <w:r w:rsidR="003249D4" w:rsidRPr="00057409">
        <w:t xml:space="preserve">disagreed with the requirement that both the </w:t>
      </w:r>
      <w:r w:rsidR="003944DA" w:rsidRPr="00057409">
        <w:t>b</w:t>
      </w:r>
      <w:r w:rsidR="003249D4" w:rsidRPr="00057409">
        <w:t>oard and senior management should have overall oversight of the incident management plan and business continuity plan</w:t>
      </w:r>
      <w:r w:rsidRPr="00057409">
        <w:t xml:space="preserve">. </w:t>
      </w:r>
      <w:r w:rsidR="00614548" w:rsidRPr="00057409">
        <w:t xml:space="preserve">One respondent held the view </w:t>
      </w:r>
      <w:r w:rsidR="00A42F9D" w:rsidRPr="00057409">
        <w:t xml:space="preserve">that </w:t>
      </w:r>
      <w:r w:rsidR="003944DA" w:rsidRPr="00057409">
        <w:t>b</w:t>
      </w:r>
      <w:r w:rsidR="00A42F9D" w:rsidRPr="00057409">
        <w:t>oard</w:t>
      </w:r>
      <w:r w:rsidRPr="00057409">
        <w:t xml:space="preserve"> involvement </w:t>
      </w:r>
      <w:r w:rsidR="00A42F9D" w:rsidRPr="00057409">
        <w:t>would result in burdensome compliance</w:t>
      </w:r>
      <w:r w:rsidRPr="00057409">
        <w:t xml:space="preserve"> costs</w:t>
      </w:r>
      <w:r w:rsidR="003605BB" w:rsidRPr="00057409">
        <w:t>, particularly for offshore boards</w:t>
      </w:r>
      <w:r w:rsidR="00A42F9D" w:rsidRPr="00057409">
        <w:t xml:space="preserve">. </w:t>
      </w:r>
      <w:r w:rsidRPr="00057409">
        <w:t>Another</w:t>
      </w:r>
      <w:r w:rsidR="006B68E9" w:rsidRPr="00057409">
        <w:t xml:space="preserve"> </w:t>
      </w:r>
      <w:r w:rsidRPr="00057409">
        <w:t xml:space="preserve">respondent </w:t>
      </w:r>
      <w:r w:rsidR="00CD7D53" w:rsidRPr="00057409">
        <w:t xml:space="preserve">proposed that the </w:t>
      </w:r>
      <w:r w:rsidR="00CE020D" w:rsidRPr="00057409">
        <w:t xml:space="preserve">responsibility for oversight </w:t>
      </w:r>
      <w:r w:rsidR="00CD7D53" w:rsidRPr="00057409">
        <w:t>should be</w:t>
      </w:r>
      <w:r w:rsidR="00CE020D" w:rsidRPr="00057409">
        <w:t xml:space="preserve"> with</w:t>
      </w:r>
      <w:r w:rsidR="00CD7D53" w:rsidRPr="00057409">
        <w:t xml:space="preserve"> a </w:t>
      </w:r>
      <w:r w:rsidR="00CE020D" w:rsidRPr="00057409">
        <w:t xml:space="preserve">nominated </w:t>
      </w:r>
      <w:r w:rsidR="00CD7D53" w:rsidRPr="00057409">
        <w:t xml:space="preserve">person </w:t>
      </w:r>
      <w:r w:rsidR="00D80EBB" w:rsidRPr="00057409">
        <w:t>that has</w:t>
      </w:r>
      <w:r w:rsidR="00CE020D" w:rsidRPr="00057409">
        <w:t xml:space="preserve"> </w:t>
      </w:r>
      <w:r w:rsidRPr="00057409">
        <w:t xml:space="preserve">the </w:t>
      </w:r>
      <w:r w:rsidR="00CE020D" w:rsidRPr="00057409">
        <w:t>relevant expertise</w:t>
      </w:r>
      <w:r w:rsidRPr="00057409">
        <w:t xml:space="preserve"> (e.g. the Chief Information Officer), rather than the board</w:t>
      </w:r>
      <w:r w:rsidR="00CD7D53" w:rsidRPr="00057409">
        <w:t>.</w:t>
      </w:r>
    </w:p>
    <w:p w14:paraId="3CDCF23B" w14:textId="4BBB33CE" w:rsidR="00211CA5" w:rsidRPr="00057409" w:rsidRDefault="00DF3FAB" w:rsidP="00CA0105">
      <w:pPr>
        <w:pStyle w:val="BodyText"/>
      </w:pPr>
      <w:r w:rsidRPr="00057409">
        <w:t>A few</w:t>
      </w:r>
      <w:r w:rsidR="00797BA5" w:rsidRPr="00057409">
        <w:t xml:space="preserve"> submissions </w:t>
      </w:r>
      <w:r w:rsidRPr="00057409">
        <w:t xml:space="preserve">considered </w:t>
      </w:r>
      <w:r w:rsidR="00797BA5" w:rsidRPr="00057409">
        <w:t>that it was unclear what would constitute ‘adequate’ resourcing</w:t>
      </w:r>
      <w:r w:rsidR="00336F07" w:rsidRPr="00057409">
        <w:t xml:space="preserve"> and</w:t>
      </w:r>
      <w:r w:rsidR="00797BA5" w:rsidRPr="00057409">
        <w:t xml:space="preserve"> </w:t>
      </w:r>
      <w:r w:rsidR="00AC2AF5" w:rsidRPr="00057409">
        <w:t>that guidance on ASIC’s expectations of what would constitute appropriate and effective board oversight would be helpful.</w:t>
      </w:r>
      <w:r w:rsidRPr="00057409">
        <w:t xml:space="preserve"> </w:t>
      </w:r>
    </w:p>
    <w:p w14:paraId="591EE161" w14:textId="77777777" w:rsidR="00F445F9" w:rsidRPr="008B664F" w:rsidRDefault="00F445F9" w:rsidP="00F445F9">
      <w:pPr>
        <w:pStyle w:val="Responsehead"/>
      </w:pPr>
      <w:r w:rsidRPr="008B664F">
        <w:t>ASIC’s response</w:t>
      </w:r>
    </w:p>
    <w:p w14:paraId="2A440E91" w14:textId="6AE4D8F2" w:rsidR="00F445F9" w:rsidRPr="008B664F" w:rsidRDefault="00211CA5" w:rsidP="00F445F9">
      <w:pPr>
        <w:pStyle w:val="Responsetext"/>
      </w:pPr>
      <w:r w:rsidRPr="008B664F">
        <w:t xml:space="preserve">We </w:t>
      </w:r>
      <w:r w:rsidR="00D62CD4">
        <w:t>have</w:t>
      </w:r>
      <w:r w:rsidRPr="008B664F">
        <w:t xml:space="preserve"> introduce</w:t>
      </w:r>
      <w:r w:rsidR="00D62CD4">
        <w:t>d</w:t>
      </w:r>
      <w:r w:rsidRPr="008B664F">
        <w:t xml:space="preserve"> rules requiring market operators and</w:t>
      </w:r>
      <w:r w:rsidR="00A45B25" w:rsidRPr="008B664F">
        <w:t xml:space="preserve"> market</w:t>
      </w:r>
      <w:r w:rsidRPr="008B664F">
        <w:t xml:space="preserve"> participants to have adequate governance arrangements and resourcing.</w:t>
      </w:r>
    </w:p>
    <w:p w14:paraId="05E707E0" w14:textId="6863BBD1" w:rsidR="000C4184" w:rsidRPr="008B664F" w:rsidRDefault="00391E86" w:rsidP="0077649F">
      <w:pPr>
        <w:pStyle w:val="Responsetext"/>
      </w:pPr>
      <w:r w:rsidRPr="008B664F">
        <w:t>In response to feedback</w:t>
      </w:r>
      <w:r w:rsidR="004D4FE2">
        <w:t>,</w:t>
      </w:r>
      <w:r w:rsidRPr="008B664F">
        <w:t xml:space="preserve"> we </w:t>
      </w:r>
      <w:r w:rsidR="00D62CD4">
        <w:t>have</w:t>
      </w:r>
      <w:r w:rsidRPr="008B664F">
        <w:t xml:space="preserve"> replace</w:t>
      </w:r>
      <w:r w:rsidR="00D62CD4">
        <w:t>d</w:t>
      </w:r>
      <w:r w:rsidRPr="008B664F">
        <w:t xml:space="preserve"> the requirement for ‘board </w:t>
      </w:r>
      <w:r w:rsidRPr="008B664F">
        <w:rPr>
          <w:i/>
          <w:iCs/>
        </w:rPr>
        <w:t xml:space="preserve">and </w:t>
      </w:r>
      <w:r w:rsidRPr="008B664F">
        <w:t>senior management’ oversight to ‘</w:t>
      </w:r>
      <w:r w:rsidR="0026208D" w:rsidRPr="008B664F">
        <w:t>b</w:t>
      </w:r>
      <w:r w:rsidR="0014767B" w:rsidRPr="008B664F">
        <w:t xml:space="preserve">oard </w:t>
      </w:r>
      <w:r w:rsidR="0014767B" w:rsidRPr="008B664F">
        <w:rPr>
          <w:i/>
          <w:iCs/>
        </w:rPr>
        <w:t>or</w:t>
      </w:r>
      <w:r w:rsidR="005217F4" w:rsidRPr="008B664F">
        <w:t xml:space="preserve"> </w:t>
      </w:r>
      <w:r w:rsidR="00F42E3C" w:rsidRPr="008B664F">
        <w:t>senior management</w:t>
      </w:r>
      <w:r w:rsidRPr="008B664F">
        <w:t>’</w:t>
      </w:r>
      <w:r w:rsidR="0014767B" w:rsidRPr="008B664F">
        <w:t xml:space="preserve"> oversight</w:t>
      </w:r>
      <w:r w:rsidRPr="008B664F">
        <w:t>.</w:t>
      </w:r>
    </w:p>
    <w:p w14:paraId="76F1C409" w14:textId="5ABC048E" w:rsidR="009B45D5" w:rsidRPr="008B664F" w:rsidRDefault="009B45D5" w:rsidP="00D74ABE">
      <w:pPr>
        <w:pStyle w:val="Responsetext"/>
        <w:spacing w:line="270" w:lineRule="atLeast"/>
      </w:pPr>
      <w:r w:rsidRPr="008B664F">
        <w:t xml:space="preserve">We </w:t>
      </w:r>
      <w:r w:rsidR="00D62CD4">
        <w:t>have</w:t>
      </w:r>
      <w:r w:rsidRPr="008B664F">
        <w:t xml:space="preserve"> remove</w:t>
      </w:r>
      <w:r w:rsidR="00D62CD4">
        <w:t>d</w:t>
      </w:r>
      <w:r w:rsidRPr="008B664F">
        <w:t xml:space="preserve"> the obligation </w:t>
      </w:r>
      <w:r w:rsidR="00B64B4E">
        <w:t>requiring</w:t>
      </w:r>
      <w:r w:rsidRPr="008B664F">
        <w:t xml:space="preserve"> oversight </w:t>
      </w:r>
      <w:r w:rsidR="00B64B4E">
        <w:t xml:space="preserve">of </w:t>
      </w:r>
      <w:r w:rsidRPr="008B664F">
        <w:t>incident management plans,</w:t>
      </w:r>
      <w:r w:rsidR="00B64B4E">
        <w:t xml:space="preserve"> consistent with ASIC’s intention to remove the requirement for market participants and market operat</w:t>
      </w:r>
      <w:r w:rsidR="003221DE">
        <w:t>ors</w:t>
      </w:r>
      <w:r w:rsidR="00B64B4E">
        <w:t xml:space="preserve"> to have </w:t>
      </w:r>
      <w:r w:rsidRPr="008B664F">
        <w:t>incident management plans</w:t>
      </w:r>
      <w:r w:rsidR="00B64B4E">
        <w:t>.</w:t>
      </w:r>
    </w:p>
    <w:p w14:paraId="0FDC8B3B" w14:textId="7D87DCE8" w:rsidR="00391E86" w:rsidRPr="008B664F" w:rsidRDefault="00391E86" w:rsidP="00D74ABE">
      <w:pPr>
        <w:pStyle w:val="Responsetext"/>
        <w:spacing w:line="270" w:lineRule="atLeast"/>
      </w:pPr>
      <w:r w:rsidRPr="008B664F">
        <w:t xml:space="preserve">We </w:t>
      </w:r>
      <w:r w:rsidR="00D62CD4">
        <w:t>will</w:t>
      </w:r>
      <w:r w:rsidRPr="008B664F">
        <w:t xml:space="preserve"> provide guidance on our expectations for governance arrangements and adequacy of financial, technological</w:t>
      </w:r>
      <w:r w:rsidR="006E1ACC">
        <w:t>,</w:t>
      </w:r>
      <w:r w:rsidRPr="008B664F">
        <w:t xml:space="preserve"> and human resources</w:t>
      </w:r>
      <w:r w:rsidR="00F124C3" w:rsidRPr="00F124C3">
        <w:t xml:space="preserve"> in RG 265, RG 266 and RG 172</w:t>
      </w:r>
      <w:r w:rsidRPr="008B664F">
        <w:t>.</w:t>
      </w:r>
    </w:p>
    <w:p w14:paraId="66C4060A" w14:textId="77777777" w:rsidR="00F445F9" w:rsidRPr="008B664F" w:rsidRDefault="002C362A" w:rsidP="00F445F9">
      <w:pPr>
        <w:pStyle w:val="Heading2"/>
      </w:pPr>
      <w:bookmarkStart w:id="18" w:name="_Toc96948425"/>
      <w:r w:rsidRPr="008B664F">
        <w:lastRenderedPageBreak/>
        <w:t>Fair access to the market—Market operator rule only</w:t>
      </w:r>
      <w:bookmarkEnd w:id="18"/>
    </w:p>
    <w:p w14:paraId="0928975C" w14:textId="00F46228" w:rsidR="00F445F9" w:rsidRPr="00057409" w:rsidRDefault="00387247" w:rsidP="00191AA3">
      <w:pPr>
        <w:pStyle w:val="BodyText"/>
      </w:pPr>
      <w:r w:rsidRPr="00057409">
        <w:t xml:space="preserve">In </w:t>
      </w:r>
      <w:hyperlink r:id="rId44" w:history="1">
        <w:r w:rsidRPr="00C050CA">
          <w:rPr>
            <w:rStyle w:val="Hyperlink"/>
          </w:rPr>
          <w:t>CP 314</w:t>
        </w:r>
      </w:hyperlink>
      <w:r w:rsidRPr="00057409">
        <w:t xml:space="preserve">, we sought feedback on the proposal </w:t>
      </w:r>
      <w:r w:rsidR="0091141D" w:rsidRPr="00057409">
        <w:t>to introduce a rule that requires market operators to provide access to their market and services on reasonable commercial terms and on a non-discriminatory basis.</w:t>
      </w:r>
    </w:p>
    <w:p w14:paraId="392F030C" w14:textId="0F890290" w:rsidR="00516816" w:rsidRPr="00057409" w:rsidRDefault="00516816" w:rsidP="00191AA3">
      <w:pPr>
        <w:pStyle w:val="BodyText"/>
      </w:pPr>
      <w:r w:rsidRPr="00057409">
        <w:t xml:space="preserve">This approach aligns with </w:t>
      </w:r>
      <w:r w:rsidR="00983DA3" w:rsidRPr="00057409">
        <w:t xml:space="preserve">international </w:t>
      </w:r>
      <w:r w:rsidRPr="00057409">
        <w:t xml:space="preserve">practice and </w:t>
      </w:r>
      <w:r w:rsidR="00983DA3" w:rsidRPr="00057409">
        <w:t xml:space="preserve">would </w:t>
      </w:r>
      <w:r w:rsidRPr="00057409">
        <w:t>ensure we have an adequate enforceable framework for matters arising as markets continue to innovate and develop their systems, technology and services.</w:t>
      </w:r>
    </w:p>
    <w:p w14:paraId="4ED1E70A" w14:textId="668E9D6C" w:rsidR="00694EE6" w:rsidRPr="00057409" w:rsidRDefault="0069745F" w:rsidP="00191AA3">
      <w:pPr>
        <w:pStyle w:val="BodyText"/>
      </w:pPr>
      <w:r w:rsidRPr="00057409">
        <w:t xml:space="preserve">We received </w:t>
      </w:r>
      <w:r w:rsidR="00A974D6">
        <w:t>12</w:t>
      </w:r>
      <w:r w:rsidR="00A974D6" w:rsidRPr="00057409">
        <w:t xml:space="preserve"> </w:t>
      </w:r>
      <w:r w:rsidRPr="00057409">
        <w:t>submissions on this proposal</w:t>
      </w:r>
      <w:r w:rsidR="00C949D0" w:rsidRPr="00057409">
        <w:t xml:space="preserve"> from market participants, industry bodies</w:t>
      </w:r>
      <w:r w:rsidR="004D4FE2">
        <w:t xml:space="preserve"> and</w:t>
      </w:r>
      <w:r w:rsidR="00C949D0" w:rsidRPr="00057409">
        <w:t xml:space="preserve"> market operators</w:t>
      </w:r>
      <w:r w:rsidRPr="00057409">
        <w:t xml:space="preserve">. </w:t>
      </w:r>
      <w:r w:rsidR="00983DA3" w:rsidRPr="00057409">
        <w:t>Almost all</w:t>
      </w:r>
      <w:r w:rsidR="00F06FC7" w:rsidRPr="00057409">
        <w:t xml:space="preserve"> respondents </w:t>
      </w:r>
      <w:r w:rsidR="00EF04BA" w:rsidRPr="00057409">
        <w:t>supported the proposal to have a rule requiring market operators to provide fair access to their market and services.</w:t>
      </w:r>
    </w:p>
    <w:p w14:paraId="2171DCEB" w14:textId="1681CBEA" w:rsidR="00EF04BA" w:rsidRPr="00057409" w:rsidRDefault="006E65D9" w:rsidP="00191AA3">
      <w:pPr>
        <w:pStyle w:val="BodyText"/>
      </w:pPr>
      <w:r w:rsidRPr="00057409">
        <w:t>In particular, o</w:t>
      </w:r>
      <w:r w:rsidR="00BC761E" w:rsidRPr="00057409">
        <w:t xml:space="preserve">ne submission </w:t>
      </w:r>
      <w:r w:rsidR="00C11C01" w:rsidRPr="00057409">
        <w:t>considered</w:t>
      </w:r>
      <w:r w:rsidR="00B079A1" w:rsidRPr="00057409">
        <w:t xml:space="preserve"> that</w:t>
      </w:r>
      <w:r w:rsidR="00C11C01" w:rsidRPr="00057409">
        <w:t xml:space="preserve"> the proposed rule</w:t>
      </w:r>
      <w:r w:rsidR="00BC761E" w:rsidRPr="00057409">
        <w:t xml:space="preserve"> would be beneficial for market functioning and would prevent market operators in a dominant market position from restricting competition and innovation in the marketplace.</w:t>
      </w:r>
    </w:p>
    <w:p w14:paraId="44D0C01C" w14:textId="426A8B9B" w:rsidR="0069745F" w:rsidRPr="00057409" w:rsidRDefault="004F2396" w:rsidP="00191AA3">
      <w:pPr>
        <w:pStyle w:val="BodyText"/>
      </w:pPr>
      <w:r w:rsidRPr="00057409">
        <w:t xml:space="preserve">Two </w:t>
      </w:r>
      <w:r w:rsidR="00F621B4" w:rsidRPr="00057409">
        <w:t>submissions</w:t>
      </w:r>
      <w:r w:rsidRPr="00057409">
        <w:t xml:space="preserve"> were of the view that the existing framework was sufficient. </w:t>
      </w:r>
      <w:r w:rsidR="00A43E62" w:rsidRPr="00057409">
        <w:t>O</w:t>
      </w:r>
      <w:r w:rsidRPr="00057409">
        <w:t>ne</w:t>
      </w:r>
      <w:r w:rsidR="00805C75" w:rsidRPr="00057409">
        <w:t xml:space="preserve"> of these</w:t>
      </w:r>
      <w:r w:rsidRPr="00057409">
        <w:t xml:space="preserve"> </w:t>
      </w:r>
      <w:r w:rsidR="00F621B4" w:rsidRPr="00057409">
        <w:t>submission</w:t>
      </w:r>
      <w:r w:rsidR="00805C75" w:rsidRPr="00057409">
        <w:t>s</w:t>
      </w:r>
      <w:r w:rsidRPr="00057409">
        <w:t xml:space="preserve"> considered that there was no regulatory gap to fill and that the proposed rule would be a significant new regulatory intervention</w:t>
      </w:r>
      <w:r w:rsidR="00805C75" w:rsidRPr="00057409">
        <w:t xml:space="preserve">. It further considered that the proposal </w:t>
      </w:r>
      <w:r w:rsidRPr="00057409">
        <w:t>extend</w:t>
      </w:r>
      <w:r w:rsidR="00805C75" w:rsidRPr="00057409">
        <w:t>ed</w:t>
      </w:r>
      <w:r w:rsidRPr="00057409">
        <w:t xml:space="preserve"> beyond current ASIC guidance and would overlap and potentially conflict with existing </w:t>
      </w:r>
      <w:r w:rsidR="00A43E62" w:rsidRPr="00057409">
        <w:t xml:space="preserve">competition </w:t>
      </w:r>
      <w:r w:rsidRPr="00057409">
        <w:t>laws.</w:t>
      </w:r>
      <w:r w:rsidR="00A43E62" w:rsidRPr="00057409">
        <w:t xml:space="preserve"> The same submission raised concerns that ‘data’ could be broadly interpreted and goes beyond the scope of what the rule intended to capture.</w:t>
      </w:r>
    </w:p>
    <w:p w14:paraId="5CA7562A" w14:textId="2DB06FFD" w:rsidR="00097434" w:rsidRPr="00057409" w:rsidRDefault="00805C75" w:rsidP="00191AA3">
      <w:pPr>
        <w:pStyle w:val="BodyText"/>
      </w:pPr>
      <w:r w:rsidRPr="00057409">
        <w:t xml:space="preserve">Although it agreed in principle with the proposal, another </w:t>
      </w:r>
      <w:r w:rsidR="00F621B4" w:rsidRPr="00057409">
        <w:t>submis</w:t>
      </w:r>
      <w:r w:rsidRPr="00057409">
        <w:t xml:space="preserve">sion </w:t>
      </w:r>
      <w:r w:rsidR="00EB051B" w:rsidRPr="00057409">
        <w:t>considered</w:t>
      </w:r>
      <w:r w:rsidR="00EF04BA" w:rsidRPr="00057409">
        <w:t xml:space="preserve"> this </w:t>
      </w:r>
      <w:r w:rsidR="00EB051B" w:rsidRPr="00057409">
        <w:t>to be</w:t>
      </w:r>
      <w:r w:rsidR="00EF04BA" w:rsidRPr="00057409">
        <w:t xml:space="preserve"> a complex area which </w:t>
      </w:r>
      <w:r w:rsidR="0061350D" w:rsidRPr="00057409">
        <w:t xml:space="preserve">should be </w:t>
      </w:r>
      <w:r w:rsidR="00EF04BA" w:rsidRPr="00057409">
        <w:t>deferred for more detailed consideration.</w:t>
      </w:r>
    </w:p>
    <w:p w14:paraId="75436335" w14:textId="3E125AD4" w:rsidR="00F445F9" w:rsidRPr="00057409" w:rsidRDefault="00805C75" w:rsidP="00191AA3">
      <w:pPr>
        <w:pStyle w:val="BodyText"/>
      </w:pPr>
      <w:r w:rsidRPr="00057409">
        <w:t>Some submissions requested further guidance on key definitions such as ‘reasonable commercial terms’.</w:t>
      </w:r>
    </w:p>
    <w:p w14:paraId="3541F0B3" w14:textId="77777777" w:rsidR="00F445F9" w:rsidRPr="008B664F" w:rsidRDefault="00F445F9" w:rsidP="00F445F9">
      <w:pPr>
        <w:pStyle w:val="Responsehead"/>
      </w:pPr>
      <w:r w:rsidRPr="008B664F">
        <w:t>ASIC’s response</w:t>
      </w:r>
    </w:p>
    <w:p w14:paraId="3C5A9A37" w14:textId="1CB7F084" w:rsidR="00813CFD" w:rsidRPr="008B664F" w:rsidRDefault="001904A6" w:rsidP="00F445F9">
      <w:pPr>
        <w:pStyle w:val="Responsetext"/>
      </w:pPr>
      <w:r w:rsidRPr="008B664F">
        <w:t xml:space="preserve">We have considered the </w:t>
      </w:r>
      <w:r w:rsidR="00983DA3">
        <w:t>feedback</w:t>
      </w:r>
      <w:r w:rsidRPr="008B664F">
        <w:t xml:space="preserve"> that the existing framework is sufficient and</w:t>
      </w:r>
      <w:r w:rsidR="00983DA3">
        <w:t>,</w:t>
      </w:r>
      <w:r w:rsidRPr="008B664F">
        <w:t xml:space="preserve"> as such</w:t>
      </w:r>
      <w:r w:rsidR="00983DA3">
        <w:t>,</w:t>
      </w:r>
      <w:r w:rsidRPr="008B664F">
        <w:t xml:space="preserve"> a rule is unnecessary. However, we </w:t>
      </w:r>
      <w:r w:rsidR="00470848" w:rsidRPr="008B664F">
        <w:t xml:space="preserve">are </w:t>
      </w:r>
      <w:r w:rsidRPr="008B664F">
        <w:t xml:space="preserve">of the view that a fair access rule is </w:t>
      </w:r>
      <w:r w:rsidR="005C17C3">
        <w:t xml:space="preserve">likely </w:t>
      </w:r>
      <w:r w:rsidRPr="008B664F">
        <w:t>necessary to prevent the use of discriminatory access requirements as a competitive tool</w:t>
      </w:r>
      <w:r w:rsidR="00A048DF" w:rsidRPr="008B664F">
        <w:t>.</w:t>
      </w:r>
    </w:p>
    <w:p w14:paraId="57A7EB41" w14:textId="58CEDFDD" w:rsidR="001904A6" w:rsidRPr="008B664F" w:rsidRDefault="00813CFD" w:rsidP="00F445F9">
      <w:pPr>
        <w:pStyle w:val="Responsetext"/>
      </w:pPr>
      <w:r w:rsidRPr="008B664F">
        <w:t>ASIC has a competition mandate</w:t>
      </w:r>
      <w:r w:rsidR="004D4FE2">
        <w:t>,</w:t>
      </w:r>
      <w:r w:rsidRPr="008B664F">
        <w:t xml:space="preserve"> which requires </w:t>
      </w:r>
      <w:r w:rsidR="008E13BD">
        <w:t>us</w:t>
      </w:r>
      <w:r w:rsidRPr="008B664F">
        <w:t xml:space="preserve"> to consider the effect that </w:t>
      </w:r>
      <w:r w:rsidR="008E13BD">
        <w:t>our</w:t>
      </w:r>
      <w:r w:rsidRPr="008B664F">
        <w:t xml:space="preserve"> work and the exercise of </w:t>
      </w:r>
      <w:r w:rsidR="008E13BD">
        <w:t>ASIC’</w:t>
      </w:r>
      <w:r w:rsidRPr="008B664F">
        <w:t>s powers will have on competition in the financial system. The proposed rule on fair access supports and is consistent with this mandate.</w:t>
      </w:r>
    </w:p>
    <w:p w14:paraId="3933D1EB" w14:textId="3EA49E59" w:rsidR="002127BB" w:rsidRPr="008B664F" w:rsidRDefault="00983DA3" w:rsidP="00A43E62">
      <w:pPr>
        <w:pStyle w:val="Responsetext"/>
      </w:pPr>
      <w:r>
        <w:t>Considering the</w:t>
      </w:r>
      <w:r w:rsidR="00A43E62" w:rsidRPr="008B664F">
        <w:t xml:space="preserve"> feedback</w:t>
      </w:r>
      <w:r>
        <w:t>,</w:t>
      </w:r>
      <w:r w:rsidR="00A43E62" w:rsidRPr="008B664F">
        <w:t xml:space="preserve"> </w:t>
      </w:r>
      <w:r w:rsidR="008E13BD">
        <w:t>we</w:t>
      </w:r>
      <w:r w:rsidR="00A43E62" w:rsidRPr="008B664F">
        <w:t xml:space="preserve"> intend to further consult with industry and the Australian </w:t>
      </w:r>
      <w:r w:rsidR="009848B3" w:rsidRPr="008B664F">
        <w:t xml:space="preserve">Competition </w:t>
      </w:r>
      <w:r w:rsidR="00A43E62" w:rsidRPr="008B664F">
        <w:t>Consumer</w:t>
      </w:r>
      <w:r w:rsidR="009848B3" w:rsidRPr="008B664F">
        <w:t xml:space="preserve"> Commission</w:t>
      </w:r>
      <w:r w:rsidR="002127BB" w:rsidRPr="008B664F">
        <w:t xml:space="preserve">. </w:t>
      </w:r>
    </w:p>
    <w:p w14:paraId="16027ADE" w14:textId="707D4913" w:rsidR="00F87B5F" w:rsidRPr="008B664F" w:rsidRDefault="008E13BD" w:rsidP="00A43E62">
      <w:pPr>
        <w:pStyle w:val="Responsetext"/>
      </w:pPr>
      <w:r>
        <w:lastRenderedPageBreak/>
        <w:t>We</w:t>
      </w:r>
      <w:r w:rsidRPr="008B664F">
        <w:t xml:space="preserve"> </w:t>
      </w:r>
      <w:r w:rsidR="002127BB" w:rsidRPr="008B664F">
        <w:t xml:space="preserve">also intend to </w:t>
      </w:r>
      <w:r w:rsidR="00A43E62" w:rsidRPr="008B664F">
        <w:t>further consider the</w:t>
      </w:r>
      <w:r w:rsidR="002127BB" w:rsidRPr="008B664F">
        <w:t xml:space="preserve"> appropriate</w:t>
      </w:r>
      <w:r w:rsidR="00A43E62" w:rsidRPr="008B664F">
        <w:t xml:space="preserve"> drafting of this rule</w:t>
      </w:r>
      <w:r w:rsidR="008817AE" w:rsidRPr="008B664F">
        <w:t>, particularly as it relates to data</w:t>
      </w:r>
      <w:r w:rsidR="00A43E62" w:rsidRPr="008B664F">
        <w:t xml:space="preserve">. </w:t>
      </w:r>
    </w:p>
    <w:p w14:paraId="021D9445" w14:textId="02FFE913" w:rsidR="00F87B5F" w:rsidRPr="008B664F" w:rsidRDefault="00A43E62" w:rsidP="00F87B5F">
      <w:pPr>
        <w:pStyle w:val="Responsetext"/>
      </w:pPr>
      <w:r w:rsidRPr="008B664F">
        <w:t xml:space="preserve">Since the release of </w:t>
      </w:r>
      <w:hyperlink r:id="rId45" w:history="1">
        <w:r w:rsidRPr="00FA20C9">
          <w:rPr>
            <w:rStyle w:val="Hyperlink"/>
          </w:rPr>
          <w:t>CP 314</w:t>
        </w:r>
      </w:hyperlink>
      <w:r w:rsidRPr="008B664F">
        <w:t xml:space="preserve">, </w:t>
      </w:r>
      <w:r w:rsidR="00F87B5F" w:rsidRPr="00B87A81">
        <w:t>IOSCO’s</w:t>
      </w:r>
      <w:r w:rsidR="00B87A81">
        <w:t xml:space="preserve"> Committee on</w:t>
      </w:r>
      <w:r w:rsidR="00F87B5F" w:rsidRPr="00B87A81">
        <w:t xml:space="preserve"> Regulation of Secondary Markets (Committee 2) </w:t>
      </w:r>
      <w:r w:rsidR="00F87B5F" w:rsidRPr="008B664F">
        <w:t xml:space="preserve">has issued </w:t>
      </w:r>
      <w:hyperlink r:id="rId46" w:history="1">
        <w:r w:rsidR="006247E1" w:rsidRPr="00B87A81">
          <w:rPr>
            <w:rStyle w:val="Hyperlink"/>
          </w:rPr>
          <w:t>C</w:t>
        </w:r>
        <w:r w:rsidR="00F87B5F" w:rsidRPr="00B87A81">
          <w:rPr>
            <w:rStyle w:val="Hyperlink"/>
          </w:rPr>
          <w:t xml:space="preserve">onsultation </w:t>
        </w:r>
        <w:r w:rsidR="006247E1" w:rsidRPr="00B87A81">
          <w:rPr>
            <w:rStyle w:val="Hyperlink"/>
          </w:rPr>
          <w:t>R</w:t>
        </w:r>
        <w:r w:rsidR="00F87B5F" w:rsidRPr="00B87A81">
          <w:rPr>
            <w:rStyle w:val="Hyperlink"/>
          </w:rPr>
          <w:t>eport</w:t>
        </w:r>
        <w:r w:rsidR="002127BB" w:rsidRPr="00B87A81">
          <w:rPr>
            <w:rStyle w:val="Hyperlink"/>
          </w:rPr>
          <w:t xml:space="preserve"> CR03/2020</w:t>
        </w:r>
      </w:hyperlink>
      <w:r w:rsidR="002127BB" w:rsidRPr="00B87A81">
        <w:t xml:space="preserve"> </w:t>
      </w:r>
      <w:r w:rsidR="002127BB" w:rsidRPr="005C04A2">
        <w:rPr>
          <w:i/>
          <w:iCs/>
        </w:rPr>
        <w:t xml:space="preserve">Market </w:t>
      </w:r>
      <w:r w:rsidR="00B87A81">
        <w:rPr>
          <w:i/>
          <w:iCs/>
        </w:rPr>
        <w:t>d</w:t>
      </w:r>
      <w:r w:rsidR="002127BB" w:rsidRPr="005C04A2">
        <w:rPr>
          <w:i/>
          <w:iCs/>
        </w:rPr>
        <w:t xml:space="preserve">ata in the </w:t>
      </w:r>
      <w:r w:rsidR="00B87A81">
        <w:rPr>
          <w:i/>
          <w:iCs/>
        </w:rPr>
        <w:t>s</w:t>
      </w:r>
      <w:r w:rsidR="002127BB" w:rsidRPr="005C04A2">
        <w:rPr>
          <w:i/>
          <w:iCs/>
        </w:rPr>
        <w:t xml:space="preserve">econdary </w:t>
      </w:r>
      <w:r w:rsidR="00B87A81">
        <w:rPr>
          <w:i/>
          <w:iCs/>
        </w:rPr>
        <w:t>e</w:t>
      </w:r>
      <w:r w:rsidR="002127BB" w:rsidRPr="005C04A2">
        <w:rPr>
          <w:i/>
          <w:iCs/>
        </w:rPr>
        <w:t xml:space="preserve">quity </w:t>
      </w:r>
      <w:r w:rsidR="00B87A81">
        <w:rPr>
          <w:i/>
          <w:iCs/>
        </w:rPr>
        <w:t>m</w:t>
      </w:r>
      <w:r w:rsidR="002127BB" w:rsidRPr="005C04A2">
        <w:rPr>
          <w:i/>
          <w:iCs/>
        </w:rPr>
        <w:t>arkets</w:t>
      </w:r>
      <w:r w:rsidR="00B87A81">
        <w:rPr>
          <w:i/>
          <w:iCs/>
        </w:rPr>
        <w:t xml:space="preserve"> </w:t>
      </w:r>
      <w:r w:rsidR="00B87A81">
        <w:t>(PDF 288 KB)</w:t>
      </w:r>
      <w:r w:rsidR="002127BB" w:rsidRPr="00B87A81">
        <w:t>.</w:t>
      </w:r>
      <w:r w:rsidR="00F87B5F" w:rsidRPr="008B664F">
        <w:t xml:space="preserve"> </w:t>
      </w:r>
    </w:p>
    <w:p w14:paraId="56156C90" w14:textId="45F9E7EB" w:rsidR="002127BB" w:rsidRPr="008B664F" w:rsidRDefault="002127BB" w:rsidP="00C2154C">
      <w:pPr>
        <w:pStyle w:val="Responsetext"/>
      </w:pPr>
      <w:r w:rsidRPr="008B664F">
        <w:t xml:space="preserve">This report sought feedback on the market data necessary to facilitate trading in today’s markets (i.e. what is considered ‘core’ data) and how to ensure fair, equitable and timely access to that market data. It is anticipated that IOSCO will publish its findings </w:t>
      </w:r>
      <w:r w:rsidR="00AE2E3B">
        <w:t xml:space="preserve">in the first half of </w:t>
      </w:r>
      <w:r w:rsidRPr="008B664F">
        <w:t>202</w:t>
      </w:r>
      <w:r w:rsidR="00AE2E3B">
        <w:t>2</w:t>
      </w:r>
      <w:r w:rsidRPr="008B664F">
        <w:t>.</w:t>
      </w:r>
    </w:p>
    <w:p w14:paraId="62E04F74" w14:textId="1F42F086" w:rsidR="001F5E2E" w:rsidRDefault="002127BB" w:rsidP="008B664F">
      <w:pPr>
        <w:pStyle w:val="Responsetext"/>
      </w:pPr>
      <w:r w:rsidRPr="008B664F">
        <w:t xml:space="preserve">Given the relevance of CR03/2020 to this proposal, we consider it appropriate to finalise this proposal </w:t>
      </w:r>
      <w:r w:rsidR="001F5E2E">
        <w:t>after</w:t>
      </w:r>
      <w:r w:rsidRPr="008B664F">
        <w:t xml:space="preserve"> IOSCO has released its findings. This will ensure that the drafting of this rule aligns with IOSCO’s recommendations and principles on this issue. </w:t>
      </w:r>
    </w:p>
    <w:p w14:paraId="7E3F7714" w14:textId="23727E37" w:rsidR="002127BB" w:rsidRPr="000E6930" w:rsidRDefault="00985C77" w:rsidP="008B664F">
      <w:pPr>
        <w:pStyle w:val="Responsetext"/>
      </w:pPr>
      <w:r>
        <w:t>We will further consider and consult on this rule</w:t>
      </w:r>
      <w:r w:rsidR="00F41288">
        <w:t xml:space="preserve"> at a future time</w:t>
      </w:r>
      <w:r>
        <w:t>.</w:t>
      </w:r>
    </w:p>
    <w:p w14:paraId="183B9F92" w14:textId="41384A68" w:rsidR="00F445F9" w:rsidRPr="008B664F" w:rsidRDefault="002C362A" w:rsidP="002127BB">
      <w:pPr>
        <w:pStyle w:val="Heading2"/>
      </w:pPr>
      <w:bookmarkStart w:id="19" w:name="_Toc96948426"/>
      <w:r w:rsidRPr="008B664F">
        <w:t>Trading controls—Mark</w:t>
      </w:r>
      <w:r w:rsidR="002127BB" w:rsidRPr="008B664F">
        <w:t>et oper</w:t>
      </w:r>
      <w:r w:rsidRPr="008B664F">
        <w:t>ator rule only</w:t>
      </w:r>
      <w:bookmarkEnd w:id="19"/>
    </w:p>
    <w:p w14:paraId="426567B3" w14:textId="2E9D2D42" w:rsidR="00F445F9" w:rsidRPr="00057409" w:rsidRDefault="00387247" w:rsidP="00DC2B5E">
      <w:pPr>
        <w:pStyle w:val="BodyText"/>
      </w:pPr>
      <w:r w:rsidRPr="00057409">
        <w:t xml:space="preserve">In </w:t>
      </w:r>
      <w:hyperlink r:id="rId47" w:history="1">
        <w:r w:rsidRPr="00C050CA">
          <w:rPr>
            <w:rStyle w:val="Hyperlink"/>
          </w:rPr>
          <w:t>CP 314</w:t>
        </w:r>
      </w:hyperlink>
      <w:r w:rsidRPr="00057409">
        <w:t>, we sought feedback on the proposal t</w:t>
      </w:r>
      <w:r w:rsidR="00184E79" w:rsidRPr="00057409">
        <w:t xml:space="preserve">o introduce a rule that requires market operators to </w:t>
      </w:r>
      <w:r w:rsidR="008A7885" w:rsidRPr="00057409">
        <w:t>implement</w:t>
      </w:r>
      <w:r w:rsidR="00184E79" w:rsidRPr="00057409">
        <w:t xml:space="preserve"> </w:t>
      </w:r>
      <w:r w:rsidR="00C33E31" w:rsidRPr="00057409">
        <w:t>trading control</w:t>
      </w:r>
      <w:r w:rsidR="00261D07" w:rsidRPr="00057409">
        <w:t>s</w:t>
      </w:r>
      <w:r w:rsidR="00FC170E" w:rsidRPr="00057409">
        <w:t>.</w:t>
      </w:r>
    </w:p>
    <w:p w14:paraId="3C00E933" w14:textId="6F0C9831" w:rsidR="00173ECE" w:rsidRPr="00057409" w:rsidRDefault="00805C75" w:rsidP="00DC2B5E">
      <w:pPr>
        <w:pStyle w:val="BodyText"/>
      </w:pPr>
      <w:r w:rsidRPr="00057409">
        <w:t xml:space="preserve">We received seven submissions on this proposal. </w:t>
      </w:r>
      <w:r w:rsidR="00C60404" w:rsidRPr="00057409">
        <w:t>Most of</w:t>
      </w:r>
      <w:r w:rsidR="00852407" w:rsidRPr="00057409">
        <w:t xml:space="preserve"> the</w:t>
      </w:r>
      <w:r w:rsidR="00C60404" w:rsidRPr="00057409">
        <w:t>se</w:t>
      </w:r>
      <w:r w:rsidR="00852407" w:rsidRPr="00057409">
        <w:t xml:space="preserve"> submissions agreed with the proposed rule.</w:t>
      </w:r>
    </w:p>
    <w:p w14:paraId="5D203B71" w14:textId="566A74C7" w:rsidR="003F5B4F" w:rsidRPr="00057409" w:rsidRDefault="006F4651" w:rsidP="003F5B4F">
      <w:pPr>
        <w:pStyle w:val="BodyText"/>
      </w:pPr>
      <w:r w:rsidRPr="00057409">
        <w:t>O</w:t>
      </w:r>
      <w:r w:rsidR="00C44FEE" w:rsidRPr="00057409">
        <w:t xml:space="preserve">ne </w:t>
      </w:r>
      <w:r w:rsidR="00F621B4" w:rsidRPr="00057409">
        <w:t>submission</w:t>
      </w:r>
      <w:r w:rsidR="00C44FEE" w:rsidRPr="00057409">
        <w:t xml:space="preserve"> </w:t>
      </w:r>
      <w:r w:rsidR="00805C75" w:rsidRPr="00057409">
        <w:t>agreed in principle with the proposed rule</w:t>
      </w:r>
      <w:r w:rsidR="00B87A81">
        <w:t>,</w:t>
      </w:r>
      <w:r w:rsidR="003F5B4F" w:rsidRPr="00057409">
        <w:t xml:space="preserve"> but</w:t>
      </w:r>
      <w:r w:rsidR="00805C75" w:rsidRPr="00057409">
        <w:t xml:space="preserve"> </w:t>
      </w:r>
      <w:r w:rsidR="003F5B4F" w:rsidRPr="00057409">
        <w:t>opposed the implementation of automated controls in markets where automated order processing has not been adopted.</w:t>
      </w:r>
    </w:p>
    <w:p w14:paraId="006D54AE" w14:textId="270EB569" w:rsidR="00173ECE" w:rsidRPr="00057409" w:rsidRDefault="00173ECE" w:rsidP="00DC2B5E">
      <w:pPr>
        <w:pStyle w:val="BodyText"/>
      </w:pPr>
      <w:r w:rsidRPr="00057409">
        <w:t xml:space="preserve">One </w:t>
      </w:r>
      <w:r w:rsidR="00F621B4" w:rsidRPr="00057409">
        <w:t xml:space="preserve">submission </w:t>
      </w:r>
      <w:r w:rsidR="00F33785" w:rsidRPr="00057409">
        <w:t>noted</w:t>
      </w:r>
      <w:r w:rsidRPr="00057409">
        <w:t xml:space="preserve"> that the current framework is sufficient</w:t>
      </w:r>
      <w:r w:rsidR="00F71D73" w:rsidRPr="00057409">
        <w:t xml:space="preserve"> but </w:t>
      </w:r>
      <w:r w:rsidR="00F54002" w:rsidRPr="00057409">
        <w:t>did</w:t>
      </w:r>
      <w:r w:rsidR="00F71D73" w:rsidRPr="00057409">
        <w:t xml:space="preserve"> not provide any explanation as to how the current framework is sufficient</w:t>
      </w:r>
      <w:r w:rsidRPr="00057409">
        <w:t>.</w:t>
      </w:r>
      <w:r w:rsidR="003F5B4F" w:rsidRPr="00057409">
        <w:t xml:space="preserve"> This same respondent stated that it was likely to have </w:t>
      </w:r>
      <w:r w:rsidR="00B87A81">
        <w:t xml:space="preserve">the </w:t>
      </w:r>
      <w:r w:rsidR="003F5B4F" w:rsidRPr="00057409">
        <w:t>required controls in place and the impact may be minimal.</w:t>
      </w:r>
    </w:p>
    <w:p w14:paraId="3CC20617" w14:textId="57077CE0" w:rsidR="003F5B4F" w:rsidRPr="00057409" w:rsidRDefault="0053035B" w:rsidP="003F5B4F">
      <w:pPr>
        <w:pStyle w:val="BodyText"/>
      </w:pPr>
      <w:r w:rsidRPr="00057409">
        <w:t xml:space="preserve">One </w:t>
      </w:r>
      <w:r w:rsidR="003F5B4F" w:rsidRPr="00057409">
        <w:t>submission</w:t>
      </w:r>
      <w:r w:rsidRPr="00057409">
        <w:t xml:space="preserve"> agreed with the principle of introducing ‘kill switch’ functionality but wanted further consideration of the issues before </w:t>
      </w:r>
      <w:r w:rsidR="00C60404" w:rsidRPr="00057409">
        <w:t>the</w:t>
      </w:r>
      <w:r w:rsidRPr="00057409">
        <w:t xml:space="preserve"> rule</w:t>
      </w:r>
      <w:r w:rsidR="00C60404" w:rsidRPr="00057409">
        <w:t xml:space="preserve"> is made</w:t>
      </w:r>
      <w:r w:rsidRPr="00057409">
        <w:t>. Another submission requested</w:t>
      </w:r>
      <w:r w:rsidR="003F5B4F" w:rsidRPr="00057409">
        <w:t xml:space="preserve"> guidance </w:t>
      </w:r>
      <w:r w:rsidRPr="00057409">
        <w:t xml:space="preserve">on the </w:t>
      </w:r>
      <w:r w:rsidR="003F5B4F" w:rsidRPr="00057409">
        <w:t>implementation of automated controls.</w:t>
      </w:r>
    </w:p>
    <w:p w14:paraId="19413E11" w14:textId="77777777" w:rsidR="003F5B4F" w:rsidRPr="008B664F" w:rsidRDefault="003F5B4F" w:rsidP="00C66F34">
      <w:pPr>
        <w:pStyle w:val="Responsehead"/>
      </w:pPr>
      <w:r w:rsidRPr="008B664F">
        <w:t>ASIC’s response</w:t>
      </w:r>
    </w:p>
    <w:p w14:paraId="28D29E5D" w14:textId="3B49C22D" w:rsidR="007E1583" w:rsidRPr="008B664F" w:rsidRDefault="00C52FC3" w:rsidP="0085029A">
      <w:pPr>
        <w:pStyle w:val="Responsebullet"/>
        <w:numPr>
          <w:ilvl w:val="0"/>
          <w:numId w:val="0"/>
        </w:numPr>
        <w:tabs>
          <w:tab w:val="left" w:pos="3261"/>
        </w:tabs>
        <w:ind w:left="3232"/>
      </w:pPr>
      <w:r w:rsidRPr="008B664F">
        <w:t xml:space="preserve">We </w:t>
      </w:r>
      <w:r w:rsidR="00D62CD4">
        <w:t>have</w:t>
      </w:r>
      <w:r w:rsidR="0053035B" w:rsidRPr="008B664F">
        <w:t xml:space="preserve"> proceed</w:t>
      </w:r>
      <w:r w:rsidR="00D62CD4">
        <w:t>ed</w:t>
      </w:r>
      <w:r w:rsidR="0053035B" w:rsidRPr="008B664F">
        <w:t xml:space="preserve"> with this proposal to implement trading controls for market operators. </w:t>
      </w:r>
      <w:r w:rsidR="00391E86" w:rsidRPr="008B664F">
        <w:t>W</w:t>
      </w:r>
      <w:r w:rsidR="00D37260" w:rsidRPr="008B664F">
        <w:t xml:space="preserve">e </w:t>
      </w:r>
      <w:r w:rsidR="00B87A81">
        <w:t>consider</w:t>
      </w:r>
      <w:r w:rsidR="00D37260" w:rsidRPr="008B664F">
        <w:t xml:space="preserve"> it important that market operators have</w:t>
      </w:r>
      <w:r w:rsidR="00FB5082" w:rsidRPr="008B664F">
        <w:t xml:space="preserve"> automated</w:t>
      </w:r>
      <w:r w:rsidR="00D37260" w:rsidRPr="008B664F">
        <w:t xml:space="preserve"> </w:t>
      </w:r>
      <w:r w:rsidR="00CE521A" w:rsidRPr="008B664F">
        <w:t xml:space="preserve">controls in place and </w:t>
      </w:r>
      <w:r w:rsidR="00D37260" w:rsidRPr="008B664F">
        <w:t>the ability to</w:t>
      </w:r>
      <w:r w:rsidR="004C40D4" w:rsidRPr="008B664F">
        <w:t xml:space="preserve"> automatically shut off trading </w:t>
      </w:r>
      <w:r w:rsidR="00CE521A" w:rsidRPr="008B664F">
        <w:t xml:space="preserve">when disruptions </w:t>
      </w:r>
      <w:r w:rsidR="00E2302D">
        <w:t xml:space="preserve">occur </w:t>
      </w:r>
      <w:r w:rsidR="00CE521A" w:rsidRPr="008B664F">
        <w:t>or the need arises</w:t>
      </w:r>
      <w:r w:rsidR="00E2302D">
        <w:t>,</w:t>
      </w:r>
      <w:r w:rsidR="00CE521A" w:rsidRPr="008B664F">
        <w:t xml:space="preserve"> </w:t>
      </w:r>
      <w:r w:rsidR="004C40D4" w:rsidRPr="008B664F">
        <w:t>to ensure a fair, orderly and transparent market.</w:t>
      </w:r>
      <w:r w:rsidRPr="008B664F">
        <w:t xml:space="preserve"> </w:t>
      </w:r>
    </w:p>
    <w:p w14:paraId="3A07356B" w14:textId="5E9ACC73" w:rsidR="0053035B" w:rsidRPr="008B664F" w:rsidRDefault="00B87A81" w:rsidP="0085029A">
      <w:pPr>
        <w:pStyle w:val="Responsebullet"/>
        <w:numPr>
          <w:ilvl w:val="0"/>
          <w:numId w:val="0"/>
        </w:numPr>
        <w:tabs>
          <w:tab w:val="left" w:pos="3261"/>
        </w:tabs>
        <w:ind w:left="3232"/>
      </w:pPr>
      <w:r>
        <w:lastRenderedPageBreak/>
        <w:t>We</w:t>
      </w:r>
      <w:r w:rsidR="0053035B" w:rsidRPr="008B664F">
        <w:t xml:space="preserve"> may consider a waiver from </w:t>
      </w:r>
      <w:r w:rsidR="00C66F34" w:rsidRPr="008B664F">
        <w:t>these rules where a market operator accepts trading messages via manual order entry only. However</w:t>
      </w:r>
      <w:r w:rsidR="00E2302D">
        <w:t>,</w:t>
      </w:r>
      <w:r w:rsidR="00C66F34" w:rsidRPr="008B664F">
        <w:t xml:space="preserve"> it is our view that all market operators should have controls (if not automated) to suspend or prohibit trading messages.</w:t>
      </w:r>
    </w:p>
    <w:p w14:paraId="4D7BFEA0" w14:textId="17AB1B68" w:rsidR="00F445F9" w:rsidRPr="008B664F" w:rsidRDefault="00AB505A" w:rsidP="0085029A">
      <w:pPr>
        <w:pStyle w:val="Responsebullet"/>
        <w:numPr>
          <w:ilvl w:val="0"/>
          <w:numId w:val="0"/>
        </w:numPr>
        <w:tabs>
          <w:tab w:val="left" w:pos="3261"/>
        </w:tabs>
        <w:ind w:left="3232"/>
      </w:pPr>
      <w:r w:rsidRPr="008B664F">
        <w:t xml:space="preserve">We </w:t>
      </w:r>
      <w:r w:rsidR="00D62CD4">
        <w:t>will</w:t>
      </w:r>
      <w:r w:rsidR="008D2843" w:rsidRPr="008B664F">
        <w:t xml:space="preserve"> </w:t>
      </w:r>
      <w:r w:rsidRPr="008B664F">
        <w:t>provide guidance on the situations where automated controls may be needed</w:t>
      </w:r>
      <w:r w:rsidR="00F124C3" w:rsidRPr="00F124C3">
        <w:t xml:space="preserve"> in RG 265, RG 266 and RG 172</w:t>
      </w:r>
      <w:r w:rsidR="00F124C3">
        <w:t>.</w:t>
      </w:r>
    </w:p>
    <w:p w14:paraId="50B0F6D1" w14:textId="77777777" w:rsidR="00F445F9" w:rsidRPr="008B664F" w:rsidRDefault="00F445F9" w:rsidP="003325A9">
      <w:pPr>
        <w:pStyle w:val="Heading1nonumber"/>
        <w:spacing w:after="400"/>
      </w:pPr>
      <w:bookmarkStart w:id="20" w:name="_Toc152037863"/>
      <w:bookmarkStart w:id="21" w:name="_Toc158520483"/>
      <w:bookmarkStart w:id="22" w:name="_Toc164436801"/>
      <w:bookmarkStart w:id="23" w:name="_Toc164465188"/>
      <w:bookmarkStart w:id="24" w:name="_Toc96948427"/>
      <w:r w:rsidRPr="008B664F">
        <w:lastRenderedPageBreak/>
        <w:t xml:space="preserve">Appendix: </w:t>
      </w:r>
      <w:bookmarkEnd w:id="20"/>
      <w:bookmarkEnd w:id="21"/>
      <w:bookmarkEnd w:id="22"/>
      <w:bookmarkEnd w:id="23"/>
      <w:r w:rsidRPr="008B664F">
        <w:t>List of non-confidential respondents</w:t>
      </w:r>
      <w:bookmarkEnd w:id="24"/>
    </w:p>
    <w:p w14:paraId="78847740" w14:textId="77777777" w:rsidR="0013567C" w:rsidRDefault="0013567C" w:rsidP="00057409">
      <w:pPr>
        <w:pStyle w:val="tablebullet"/>
        <w:sectPr w:rsidR="0013567C" w:rsidSect="00F445F9">
          <w:headerReference w:type="even" r:id="rId48"/>
          <w:headerReference w:type="default" r:id="rId49"/>
          <w:footerReference w:type="even" r:id="rId50"/>
          <w:footerReference w:type="default" r:id="rId51"/>
          <w:headerReference w:type="first" r:id="rId52"/>
          <w:pgSz w:w="11906" w:h="16838" w:code="9"/>
          <w:pgMar w:top="1644" w:right="1418" w:bottom="1418" w:left="1418" w:header="567" w:footer="567" w:gutter="0"/>
          <w:cols w:space="720"/>
          <w:docGrid w:linePitch="299"/>
        </w:sectPr>
      </w:pPr>
    </w:p>
    <w:p w14:paraId="2B3D915D" w14:textId="4255EF12" w:rsidR="001A15B5" w:rsidRPr="008B664F" w:rsidRDefault="001A15B5" w:rsidP="00057409">
      <w:pPr>
        <w:pStyle w:val="tablebullet"/>
      </w:pPr>
      <w:r w:rsidRPr="008B664F">
        <w:t>Amazon Web Services</w:t>
      </w:r>
      <w:r w:rsidR="00E112EA">
        <w:t>, Inc</w:t>
      </w:r>
    </w:p>
    <w:p w14:paraId="16085B56" w14:textId="7F86FCF3" w:rsidR="009724C1" w:rsidRDefault="009724C1" w:rsidP="00057409">
      <w:pPr>
        <w:pStyle w:val="tablebullet"/>
      </w:pPr>
      <w:r w:rsidRPr="008B664F">
        <w:t>Asia Cloud Computing Association</w:t>
      </w:r>
    </w:p>
    <w:p w14:paraId="78A2FFD8" w14:textId="6F4228DC" w:rsidR="0013567C" w:rsidRPr="008B664F" w:rsidRDefault="0013567C" w:rsidP="000E6930">
      <w:pPr>
        <w:pStyle w:val="tablebullet"/>
      </w:pPr>
      <w:r w:rsidRPr="008B664F">
        <w:t>ASX</w:t>
      </w:r>
      <w:r w:rsidR="00283236">
        <w:t xml:space="preserve"> Limited</w:t>
      </w:r>
    </w:p>
    <w:p w14:paraId="284B3F1B" w14:textId="3350D830" w:rsidR="008A781E" w:rsidRPr="008B664F" w:rsidRDefault="008A781E" w:rsidP="00057409">
      <w:pPr>
        <w:pStyle w:val="tablebullet"/>
      </w:pPr>
      <w:r w:rsidRPr="008B664F">
        <w:t>Australian Financial Markets Association</w:t>
      </w:r>
    </w:p>
    <w:p w14:paraId="05280885" w14:textId="5B2316EA" w:rsidR="001A15B5" w:rsidRPr="008B664F" w:rsidRDefault="001A15B5" w:rsidP="00057409">
      <w:pPr>
        <w:pStyle w:val="tablebullet"/>
      </w:pPr>
      <w:r w:rsidRPr="008B664F">
        <w:t>Australian Shareholders’ Association</w:t>
      </w:r>
      <w:r w:rsidR="005521CA">
        <w:t xml:space="preserve"> Limited</w:t>
      </w:r>
    </w:p>
    <w:p w14:paraId="03CE7983" w14:textId="038A8BCB" w:rsidR="008A781E" w:rsidRPr="008B664F" w:rsidRDefault="008A781E" w:rsidP="00057409">
      <w:pPr>
        <w:pStyle w:val="tablebullet"/>
      </w:pPr>
      <w:r w:rsidRPr="008B664F">
        <w:t>Chi-X</w:t>
      </w:r>
      <w:r w:rsidR="00283236">
        <w:t xml:space="preserve"> Australia </w:t>
      </w:r>
      <w:r w:rsidR="00283236" w:rsidRPr="009553C7">
        <w:rPr>
          <w:szCs w:val="24"/>
        </w:rPr>
        <w:t>Pty Ltd</w:t>
      </w:r>
      <w:r w:rsidR="00283236">
        <w:rPr>
          <w:szCs w:val="24"/>
        </w:rPr>
        <w:t xml:space="preserve"> (now known as Cboe Australia Pty Ltd)</w:t>
      </w:r>
    </w:p>
    <w:p w14:paraId="01C6D0BD" w14:textId="7A60D4E7" w:rsidR="008A781E" w:rsidRPr="008B664F" w:rsidRDefault="008A781E" w:rsidP="00057409">
      <w:pPr>
        <w:pStyle w:val="tablebullet"/>
      </w:pPr>
      <w:r w:rsidRPr="008B664F">
        <w:t xml:space="preserve">Depository Trust and Clearing </w:t>
      </w:r>
      <w:r w:rsidR="00C459FC">
        <w:t>Corporation</w:t>
      </w:r>
    </w:p>
    <w:p w14:paraId="14E1A1F6" w14:textId="6FD48DD9" w:rsidR="00F445F9" w:rsidRPr="008B664F" w:rsidRDefault="009724C1" w:rsidP="00057409">
      <w:pPr>
        <w:pStyle w:val="tablebullet"/>
      </w:pPr>
      <w:r w:rsidRPr="008B664F">
        <w:t>E</w:t>
      </w:r>
      <w:r w:rsidR="00E112EA">
        <w:t>.</w:t>
      </w:r>
      <w:r w:rsidRPr="008B664F">
        <w:t>L</w:t>
      </w:r>
      <w:r w:rsidR="00E112EA">
        <w:t xml:space="preserve">. and </w:t>
      </w:r>
      <w:r w:rsidRPr="008B664F">
        <w:t>C</w:t>
      </w:r>
      <w:r w:rsidR="00E112EA">
        <w:t>.</w:t>
      </w:r>
      <w:r w:rsidRPr="008B664F">
        <w:t xml:space="preserve"> Baillieu</w:t>
      </w:r>
      <w:r w:rsidR="00E112EA">
        <w:t xml:space="preserve"> Limited</w:t>
      </w:r>
    </w:p>
    <w:p w14:paraId="2F0F1EEE" w14:textId="7A787803" w:rsidR="00F445F9" w:rsidRPr="008B664F" w:rsidRDefault="009724C1" w:rsidP="00057409">
      <w:pPr>
        <w:pStyle w:val="tablebullet"/>
      </w:pPr>
      <w:r w:rsidRPr="008B664F">
        <w:t>Euroz Securities Limited</w:t>
      </w:r>
    </w:p>
    <w:p w14:paraId="304B72C0" w14:textId="7AA1176D" w:rsidR="008A781E" w:rsidRPr="008B664F" w:rsidRDefault="008A781E" w:rsidP="00057409">
      <w:pPr>
        <w:pStyle w:val="tablebullet"/>
      </w:pPr>
      <w:r w:rsidRPr="008B664F">
        <w:t>National Stock Exchange of Australia Limited</w:t>
      </w:r>
    </w:p>
    <w:p w14:paraId="6C8E645C" w14:textId="110CB90C" w:rsidR="008A781E" w:rsidRPr="008B664F" w:rsidRDefault="008A781E" w:rsidP="00057409">
      <w:pPr>
        <w:pStyle w:val="tablebullet"/>
      </w:pPr>
      <w:r w:rsidRPr="008B664F">
        <w:t>Stockbrokers and Financial Advisers Association Limited</w:t>
      </w:r>
    </w:p>
    <w:p w14:paraId="396763EA" w14:textId="4852C407" w:rsidR="00997B80" w:rsidRPr="008B664F" w:rsidRDefault="009724C1" w:rsidP="00057409">
      <w:pPr>
        <w:pStyle w:val="tablebullet"/>
      </w:pPr>
      <w:r w:rsidRPr="008B664F">
        <w:t>Sydney Stock Exchange Limited</w:t>
      </w:r>
    </w:p>
    <w:sectPr w:rsidR="00997B80" w:rsidRPr="008B664F" w:rsidSect="00D74ABE">
      <w:type w:val="continuous"/>
      <w:pgSz w:w="11906" w:h="16838" w:code="9"/>
      <w:pgMar w:top="1644" w:right="1418" w:bottom="1418" w:left="1418" w:header="567" w:footer="567"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2F1C9F" w14:textId="77777777" w:rsidR="007B0C5D" w:rsidRDefault="007B0C5D">
      <w:r>
        <w:separator/>
      </w:r>
    </w:p>
  </w:endnote>
  <w:endnote w:type="continuationSeparator" w:id="0">
    <w:p w14:paraId="30156BE0" w14:textId="77777777" w:rsidR="007B0C5D" w:rsidRDefault="007B0C5D">
      <w:r>
        <w:continuationSeparator/>
      </w:r>
    </w:p>
  </w:endnote>
  <w:endnote w:type="continuationNotice" w:id="1">
    <w:p w14:paraId="432882B9" w14:textId="77777777" w:rsidR="007B0C5D" w:rsidRDefault="007B0C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Neue LT 55 Roman">
    <w:altName w:val="Arial"/>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B439D" w14:textId="77777777" w:rsidR="007B0C5D" w:rsidRDefault="007B0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8FDC1D8" w14:textId="77777777" w:rsidR="007B0C5D" w:rsidRDefault="007B0C5D">
    <w:pPr>
      <w:pStyle w:val="Footer"/>
      <w:ind w:right="360"/>
    </w:pPr>
  </w:p>
  <w:p w14:paraId="0A022CDA" w14:textId="77777777" w:rsidR="007B0C5D" w:rsidRDefault="007B0C5D"/>
  <w:p w14:paraId="107F4F36" w14:textId="77777777" w:rsidR="007B0C5D" w:rsidRDefault="007B0C5D"/>
  <w:p w14:paraId="7F0E7DF1" w14:textId="77777777" w:rsidR="007B0C5D" w:rsidRDefault="007B0C5D"/>
  <w:p w14:paraId="6A0270A6" w14:textId="77777777" w:rsidR="007B0C5D" w:rsidRDefault="007B0C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7D1AA" w14:textId="79117D8E" w:rsidR="007B0C5D" w:rsidRPr="00C0296A" w:rsidRDefault="007B0C5D" w:rsidP="00F445F9">
    <w:pPr>
      <w:pStyle w:val="Footer"/>
      <w:pBdr>
        <w:top w:val="single" w:sz="4" w:space="1" w:color="117DC7"/>
      </w:pBdr>
      <w:rPr>
        <w:b/>
        <w:color w:val="117DC7"/>
      </w:rPr>
    </w:pPr>
    <w:r>
      <w:rPr>
        <w:noProof/>
        <w:color w:val="117DC7"/>
        <w:sz w:val="20"/>
        <w:lang w:val="en-US" w:eastAsia="en-US"/>
      </w:rPr>
      <mc:AlternateContent>
        <mc:Choice Requires="wps">
          <w:drawing>
            <wp:anchor distT="0" distB="0" distL="114300" distR="114300" simplePos="0" relativeHeight="251658752" behindDoc="1" locked="0" layoutInCell="1" allowOverlap="1" wp14:anchorId="2E392781" wp14:editId="61AD429F">
              <wp:simplePos x="0" y="0"/>
              <wp:positionH relativeFrom="leftMargin">
                <wp:align>right</wp:align>
              </wp:positionH>
              <wp:positionV relativeFrom="paragraph">
                <wp:posOffset>-1297781</wp:posOffset>
              </wp:positionV>
              <wp:extent cx="1962785" cy="568008"/>
              <wp:effectExtent l="0" t="0" r="0" b="0"/>
              <wp:wrapNone/>
              <wp:docPr id="3"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1962785" cy="568008"/>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14:paraId="138333F0" w14:textId="77777777" w:rsidR="007B0C5D" w:rsidRDefault="007B0C5D" w:rsidP="00F445F9">
                          <w:pPr>
                            <w:jc w:val="center"/>
                            <w:rPr>
                              <w:sz w:val="24"/>
                              <w:szCs w:val="24"/>
                            </w:rPr>
                          </w:pPr>
                          <w:r>
                            <w:rPr>
                              <w:rFonts w:ascii="Arial" w:hAnsi="Arial" w:cs="Arial"/>
                              <w:b/>
                              <w:bCs/>
                              <w:color w:val="C0C0C0"/>
                              <w:sz w:val="72"/>
                              <w:szCs w:val="72"/>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E392781" id="_x0000_t202" coordsize="21600,21600" o:spt="202" path="m,l,21600r21600,l21600,xe">
              <v:stroke joinstyle="miter"/>
              <v:path gradientshapeok="t" o:connecttype="rect"/>
            </v:shapetype>
            <v:shape id="WordArt 11" o:spid="_x0000_s1026" type="#_x0000_t202" style="position:absolute;margin-left:103.35pt;margin-top:-102.2pt;width:154.55pt;height:44.75pt;rotation:-90;z-index:-2516577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" filled="f" stroked="f" strokecolor="silver">
              <v:stroke joinstyle="round"/>
              <o:lock v:ext="edit" shapetype="t"/>
              <v:textbox>
                <w:txbxContent>
                  <w:p w14:paraId="138333F0" w14:textId="77777777" w:rsidR="007B0C5D" w:rsidRDefault="007B0C5D" w:rsidP="00F445F9">
                    <w:pPr>
                      <w:jc w:val="center"/>
                      <w:rPr>
                        <w:sz w:val="24"/>
                        <w:szCs w:val="24"/>
                      </w:rPr>
                    </w:pPr>
                    <w:r>
                      <w:rPr>
                        <w:rFonts w:ascii="Arial" w:hAnsi="Arial" w:cs="Arial"/>
                        <w:b/>
                        <w:bCs/>
                        <w:color w:val="C0C0C0"/>
                        <w:sz w:val="72"/>
                        <w:szCs w:val="72"/>
                      </w:rPr>
                      <w:t>DRAFT</w:t>
                    </w:r>
                  </w:p>
                </w:txbxContent>
              </v:textbox>
              <w10:wrap anchorx="margin"/>
            </v:shape>
          </w:pict>
        </mc:Fallback>
      </mc:AlternateContent>
    </w:r>
    <w:r>
      <w:rPr>
        <w:noProof/>
        <w:color w:val="117DC7"/>
        <w:sz w:val="20"/>
      </w:rPr>
      <mc:AlternateContent>
        <mc:Choice Requires="wps">
          <w:drawing>
            <wp:anchor distT="0" distB="0" distL="114300" distR="114300" simplePos="0" relativeHeight="251657728" behindDoc="0" locked="1" layoutInCell="1" allowOverlap="1" wp14:anchorId="4EE1C7E5" wp14:editId="63B67D00">
              <wp:simplePos x="0" y="0"/>
              <wp:positionH relativeFrom="rightMargin">
                <wp:posOffset>-648335</wp:posOffset>
              </wp:positionH>
              <wp:positionV relativeFrom="paragraph">
                <wp:posOffset>21590</wp:posOffset>
              </wp:positionV>
              <wp:extent cx="658800" cy="158400"/>
              <wp:effectExtent l="0" t="0" r="825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800" cy="1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4898FA" w14:textId="77777777" w:rsidR="007B0C5D" w:rsidRPr="008F541E" w:rsidRDefault="007B0C5D" w:rsidP="00F445F9">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E1C7E5" id="Text Box 12" o:spid="_x0000_s1027" type="#_x0000_t202" style="position:absolute;margin-left:-51.05pt;margin-top:1.7pt;width:51.85pt;height:12.45pt;z-index:2516577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" stroked="f">
              <v:textbox inset="0,0,0,0">
                <w:txbxContent>
                  <w:p w14:paraId="694898FA" w14:textId="77777777" w:rsidR="007B0C5D" w:rsidRPr="008F541E" w:rsidRDefault="007B0C5D" w:rsidP="00F445F9">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10</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xml:space="preserve">© Australian Securities and Investments Commission </w:t>
    </w:r>
    <w:fldSimple w:instr=" DOCPROPERTY  &quot;Issue date&quot;  \* MERGEFORMAT ">
      <w:r w:rsidR="0051586A" w:rsidRPr="000507AC">
        <w:rPr>
          <w:color w:val="117DC7"/>
        </w:rPr>
        <w:t>March 2022</w:t>
      </w:r>
    </w:fldSimple>
    <w:r>
      <w:rPr>
        <w:color w:val="117DC7"/>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8854F" w14:textId="77777777" w:rsidR="007B0C5D" w:rsidRDefault="007B0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0CEFAA4" w14:textId="77777777" w:rsidR="007B0C5D" w:rsidRDefault="007B0C5D">
    <w:pPr>
      <w:pStyle w:val="Footer"/>
      <w:ind w:right="360"/>
    </w:pPr>
  </w:p>
  <w:p w14:paraId="4F7268B4" w14:textId="77777777" w:rsidR="007B0C5D" w:rsidRDefault="007B0C5D"/>
  <w:p w14:paraId="7327966E" w14:textId="77777777" w:rsidR="007B0C5D" w:rsidRDefault="007B0C5D"/>
  <w:p w14:paraId="50C30062" w14:textId="77777777" w:rsidR="007B0C5D" w:rsidRDefault="007B0C5D"/>
  <w:p w14:paraId="63F28458" w14:textId="77777777" w:rsidR="007B0C5D" w:rsidRDefault="007B0C5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C308" w14:textId="18DBAD3F" w:rsidR="007B0C5D" w:rsidRDefault="007B0C5D" w:rsidP="00A15190">
    <w:pPr>
      <w:pStyle w:val="Footer"/>
      <w:pBdr>
        <w:top w:val="single" w:sz="4" w:space="1" w:color="117DC7"/>
      </w:pBdr>
      <w:rPr>
        <w:b/>
        <w:color w:val="117DC7"/>
      </w:rPr>
    </w:pPr>
    <w:r>
      <w:rPr>
        <w:color w:val="117DC7"/>
      </w:rPr>
      <w:t xml:space="preserve">© Australian Securities and Investments Commission </w:t>
    </w:r>
    <w:fldSimple w:instr=" DOCPROPERTY  &quot;Issue date&quot;  \* MERGEFORMAT ">
      <w:r w:rsidR="0051586A" w:rsidRPr="0051586A">
        <w:rPr>
          <w:color w:val="117DC7"/>
        </w:rPr>
        <w:t>March 2022</w:t>
      </w:r>
    </w:fldSimple>
    <w:r>
      <w:rPr>
        <w:color w:val="117DC7"/>
      </w:rPr>
      <w:tab/>
    </w:r>
    <w:r w:rsidRPr="00664184">
      <w:rPr>
        <w:color w:val="117DC7"/>
      </w:rPr>
      <w:t xml:space="preserve">Page </w:t>
    </w:r>
    <w:r w:rsidRPr="00664184">
      <w:rPr>
        <w:rStyle w:val="PageNumber"/>
        <w:rFonts w:cs="Arial"/>
        <w:color w:val="117DC7"/>
        <w:sz w:val="16"/>
      </w:rPr>
      <w:fldChar w:fldCharType="begin"/>
    </w:r>
    <w:r w:rsidRPr="00664184">
      <w:rPr>
        <w:rStyle w:val="PageNumber"/>
        <w:rFonts w:cs="Arial"/>
        <w:color w:val="117DC7"/>
        <w:sz w:val="16"/>
      </w:rPr>
      <w:instrText xml:space="preserve"> PAGE </w:instrText>
    </w:r>
    <w:r w:rsidRPr="00664184">
      <w:rPr>
        <w:rStyle w:val="PageNumber"/>
        <w:rFonts w:cs="Arial"/>
        <w:color w:val="117DC7"/>
        <w:sz w:val="16"/>
      </w:rPr>
      <w:fldChar w:fldCharType="separate"/>
    </w:r>
    <w:r>
      <w:rPr>
        <w:rStyle w:val="PageNumber"/>
        <w:rFonts w:cs="Arial"/>
        <w:color w:val="117DC7"/>
        <w:sz w:val="16"/>
      </w:rPr>
      <w:t>2</w:t>
    </w:r>
    <w:r w:rsidRPr="00664184">
      <w:rPr>
        <w:rStyle w:val="PageNumber"/>
        <w:rFonts w:cs="Arial"/>
        <w:color w:val="117DC7"/>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995DF" w14:textId="77777777" w:rsidR="007B0C5D" w:rsidRDefault="007B0C5D">
      <w:r>
        <w:separator/>
      </w:r>
    </w:p>
  </w:footnote>
  <w:footnote w:type="continuationSeparator" w:id="0">
    <w:p w14:paraId="301D6B2A" w14:textId="77777777" w:rsidR="007B0C5D" w:rsidRDefault="007B0C5D">
      <w:r>
        <w:continuationSeparator/>
      </w:r>
    </w:p>
  </w:footnote>
  <w:footnote w:type="continuationNotice" w:id="1">
    <w:p w14:paraId="1953AA85" w14:textId="77777777" w:rsidR="007B0C5D" w:rsidRDefault="007B0C5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9CB1E" w14:textId="77777777" w:rsidR="007B0C5D" w:rsidRDefault="007B0C5D"/>
  <w:p w14:paraId="10F1FA38" w14:textId="77777777" w:rsidR="007B0C5D" w:rsidRDefault="007B0C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3C05A" w14:textId="08D9D3CE" w:rsidR="007B0C5D" w:rsidRDefault="007B0C5D">
    <w:pPr>
      <w:pStyle w:val="Footer"/>
      <w:pBdr>
        <w:bottom w:val="single" w:sz="4" w:space="1" w:color="117DC7"/>
      </w:pBdr>
      <w:jc w:val="right"/>
      <w:rPr>
        <w:color w:val="117DC7"/>
      </w:rPr>
    </w:pPr>
    <w:r>
      <w:tab/>
    </w:r>
    <w:r>
      <w:rPr>
        <w:caps/>
        <w:color w:val="117DC7"/>
      </w:rPr>
      <w:fldChar w:fldCharType="begin"/>
    </w:r>
    <w:r>
      <w:rPr>
        <w:caps/>
        <w:color w:val="117DC7"/>
      </w:rPr>
      <w:instrText xml:space="preserve"> DOCPROPERTY  "Document type"  \* MERGEFORMAT </w:instrText>
    </w:r>
    <w:r>
      <w:rPr>
        <w:caps/>
        <w:color w:val="117DC7"/>
      </w:rPr>
      <w:fldChar w:fldCharType="separate"/>
    </w:r>
    <w:r w:rsidR="0051586A">
      <w:rPr>
        <w:caps/>
        <w:color w:val="117DC7"/>
      </w:rPr>
      <w:t>REPORT</w:t>
    </w:r>
    <w:r>
      <w:rPr>
        <w:caps/>
        <w:color w:val="117DC7"/>
      </w:rPr>
      <w:fldChar w:fldCharType="end"/>
    </w:r>
    <w:r>
      <w:rPr>
        <w:caps/>
        <w:color w:val="117DC7"/>
      </w:rPr>
      <w:t xml:space="preserve"> </w:t>
    </w:r>
    <w:fldSimple w:instr=" DOCPROPERTY  &quot;Document num&quot;  \* MERGEFORMAT ">
      <w:r w:rsidR="0051586A" w:rsidRPr="00071556">
        <w:rPr>
          <w:color w:val="117DC7"/>
        </w:rPr>
        <w:t>719</w:t>
      </w:r>
    </w:fldSimple>
    <w:r>
      <w:rPr>
        <w:color w:val="117DC7"/>
      </w:rPr>
      <w:t xml:space="preserve">: </w:t>
    </w:r>
    <w:r>
      <w:rPr>
        <w:color w:val="117DC7"/>
      </w:rPr>
      <w:fldChar w:fldCharType="begin"/>
    </w:r>
    <w:r>
      <w:rPr>
        <w:color w:val="117DC7"/>
      </w:rPr>
      <w:instrText xml:space="preserve"> DOCPROPERTY  "Document title"  \* MERGEFORMAT </w:instrText>
    </w:r>
    <w:r>
      <w:rPr>
        <w:color w:val="117DC7"/>
      </w:rPr>
      <w:fldChar w:fldCharType="separate"/>
    </w:r>
    <w:r w:rsidR="0051586A">
      <w:rPr>
        <w:color w:val="117DC7"/>
      </w:rPr>
      <w:t>Response to submissions on CP 314 Market integrity rules for technological and operational resilienc</w:t>
    </w:r>
    <w:r>
      <w:rPr>
        <w:color w:val="117DC7"/>
      </w:rPr>
      <w:fldChar w:fldCharType="end"/>
    </w:r>
    <w:r w:rsidR="00071556">
      <w:rPr>
        <w:color w:val="117DC7"/>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71F" w14:textId="6A20F8B8" w:rsidR="007B0C5D" w:rsidRDefault="007B0C5D" w:rsidP="00F445F9">
    <w:pPr>
      <w:pStyle w:val="Header"/>
      <w:pBdr>
        <w:bottom w:val="none" w:sz="0" w:space="0" w:color="auto"/>
      </w:pBdr>
      <w:jc w:val="center"/>
      <w:rPr>
        <w:b/>
        <w:bCs/>
        <w:color w:val="C0C0C0"/>
        <w:sz w:val="48"/>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21391" w14:textId="77777777" w:rsidR="007B0C5D" w:rsidRDefault="007B0C5D"/>
  <w:p w14:paraId="37455CA5" w14:textId="77777777" w:rsidR="007B0C5D" w:rsidRDefault="007B0C5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C9090" w14:textId="47CEB68A" w:rsidR="007B0C5D" w:rsidRPr="00BD3B53" w:rsidRDefault="007B0C5D" w:rsidP="00BD3B53">
    <w:pPr>
      <w:pStyle w:val="Footer"/>
      <w:pBdr>
        <w:bottom w:val="single" w:sz="4" w:space="1" w:color="0072CE"/>
      </w:pBdr>
      <w:jc w:val="right"/>
      <w:rPr>
        <w:color w:val="0072CE"/>
      </w:rPr>
    </w:pPr>
    <w:r w:rsidRPr="00BD3B53">
      <w:rPr>
        <w:color w:val="0072CE"/>
      </w:rPr>
      <w:tab/>
    </w:r>
    <w:r w:rsidRPr="0051586A">
      <w:rPr>
        <w:color w:val="0072CE"/>
      </w:rPr>
      <w:fldChar w:fldCharType="begin"/>
    </w:r>
    <w:r w:rsidRPr="0051586A">
      <w:rPr>
        <w:color w:val="0072CE"/>
      </w:rPr>
      <w:instrText xml:space="preserve"> DOCPROPERTY  "Document type"  \* MERGEFORMAT </w:instrText>
    </w:r>
    <w:r w:rsidRPr="0051586A">
      <w:rPr>
        <w:color w:val="0072CE"/>
      </w:rPr>
      <w:fldChar w:fldCharType="separate"/>
    </w:r>
    <w:r w:rsidR="0051586A" w:rsidRPr="0051586A">
      <w:rPr>
        <w:caps/>
        <w:color w:val="0072CE"/>
      </w:rPr>
      <w:t>REPORT</w:t>
    </w:r>
    <w:r w:rsidRPr="0051586A">
      <w:rPr>
        <w:caps/>
        <w:color w:val="0072CE"/>
      </w:rPr>
      <w:fldChar w:fldCharType="end"/>
    </w:r>
    <w:r w:rsidRPr="0051586A">
      <w:rPr>
        <w:color w:val="0072CE"/>
      </w:rPr>
      <w:t xml:space="preserve"> </w:t>
    </w:r>
    <w:r w:rsidRPr="0051586A">
      <w:rPr>
        <w:color w:val="0072CE"/>
      </w:rPr>
      <w:fldChar w:fldCharType="begin"/>
    </w:r>
    <w:r w:rsidRPr="0051586A">
      <w:rPr>
        <w:color w:val="0072CE"/>
      </w:rPr>
      <w:instrText xml:space="preserve"> DOCPROPERTY  "Document num"  \* MERGEFORMAT </w:instrText>
    </w:r>
    <w:r w:rsidRPr="0051586A">
      <w:rPr>
        <w:color w:val="0072CE"/>
      </w:rPr>
      <w:fldChar w:fldCharType="separate"/>
    </w:r>
    <w:r w:rsidR="0051586A" w:rsidRPr="0051586A">
      <w:rPr>
        <w:color w:val="0072CE"/>
      </w:rPr>
      <w:t>719</w:t>
    </w:r>
    <w:r w:rsidRPr="0051586A">
      <w:rPr>
        <w:color w:val="0072CE"/>
      </w:rPr>
      <w:fldChar w:fldCharType="end"/>
    </w:r>
    <w:r w:rsidRPr="0051586A">
      <w:rPr>
        <w:color w:val="0072CE"/>
      </w:rPr>
      <w:t xml:space="preserve">: </w:t>
    </w:r>
    <w:r w:rsidRPr="0051586A">
      <w:rPr>
        <w:color w:val="0072CE"/>
      </w:rPr>
      <w:fldChar w:fldCharType="begin"/>
    </w:r>
    <w:r w:rsidRPr="0051586A">
      <w:rPr>
        <w:color w:val="0072CE"/>
      </w:rPr>
      <w:instrText xml:space="preserve"> DOCPROPERTY  "Document title"  \* charformat </w:instrText>
    </w:r>
    <w:r w:rsidRPr="0051586A">
      <w:rPr>
        <w:color w:val="0072CE"/>
      </w:rPr>
      <w:fldChar w:fldCharType="separate"/>
    </w:r>
    <w:r w:rsidR="0051586A" w:rsidRPr="0051586A">
      <w:rPr>
        <w:color w:val="0072CE"/>
      </w:rPr>
      <w:t>Response to submissions on CP 314 Market integrity rules for technological and operational resilienc</w:t>
    </w:r>
    <w:r w:rsidRPr="0051586A">
      <w:rPr>
        <w:color w:val="0072CE"/>
      </w:rPr>
      <w:fldChar w:fldCharType="end"/>
    </w:r>
    <w:r>
      <w:rPr>
        <w:color w:val="0072CE"/>
      </w:rPr>
      <w:t>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E8BBF" w14:textId="77777777" w:rsidR="007B0C5D" w:rsidRDefault="007B0C5D">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160AD04"/>
    <w:lvl w:ilvl="0">
      <w:start w:val="1"/>
      <w:numFmt w:val="decimal"/>
      <w:lvlText w:val="%1."/>
      <w:lvlJc w:val="left"/>
      <w:pPr>
        <w:tabs>
          <w:tab w:val="num" w:pos="360"/>
        </w:tabs>
        <w:ind w:left="360" w:hanging="360"/>
      </w:pPr>
    </w:lvl>
  </w:abstractNum>
  <w:abstractNum w:abstractNumId="1" w15:restartNumberingAfterBreak="0">
    <w:nsid w:val="00C37790"/>
    <w:multiLevelType w:val="multilevel"/>
    <w:tmpl w:val="7F4AA358"/>
    <w:lvl w:ilvl="0">
      <w:start w:val="575"/>
      <w:numFmt w:val="none"/>
      <w:suff w:val="nothing"/>
      <w:lvlText w:val=""/>
      <w:lvlJc w:val="left"/>
      <w:pPr>
        <w:ind w:left="851" w:firstLine="0"/>
      </w:pPr>
      <w:rPr>
        <w:rFonts w:hint="default"/>
      </w:rPr>
    </w:lvl>
    <w:lvl w:ilvl="1">
      <w:start w:val="1"/>
      <w:numFmt w:val="lowerLetter"/>
      <w:lvlText w:val="(%2)"/>
      <w:lvlJc w:val="left"/>
      <w:pPr>
        <w:tabs>
          <w:tab w:val="num" w:pos="1276"/>
        </w:tabs>
        <w:ind w:left="1276" w:hanging="425"/>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2"/>
      <w:numFmt w:val="lowerRoman"/>
      <w:lvlText w:val="(%3)"/>
      <w:lvlJc w:val="left"/>
      <w:pPr>
        <w:tabs>
          <w:tab w:val="num" w:pos="1701"/>
        </w:tabs>
        <w:ind w:left="1701" w:hanging="425"/>
      </w:pPr>
      <w:rPr>
        <w:rFonts w:hint="default"/>
        <w:sz w:val="18"/>
      </w:rPr>
    </w:lvl>
    <w:lvl w:ilvl="3">
      <w:start w:val="2"/>
      <w:numFmt w:val="upperLetter"/>
      <w:lvlText w:val="(%4)"/>
      <w:lvlJc w:val="left"/>
      <w:pPr>
        <w:tabs>
          <w:tab w:val="num" w:pos="2126"/>
        </w:tabs>
        <w:ind w:left="2126" w:hanging="425"/>
      </w:pPr>
      <w:rPr>
        <w:rFonts w:hint="default"/>
        <w:sz w:val="16"/>
        <w:szCs w:val="16"/>
      </w:rPr>
    </w:lvl>
    <w:lvl w:ilvl="4">
      <w:start w:val="1"/>
      <w:numFmt w:val="lowerLetter"/>
      <w:lvlText w:val="(%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B833EF"/>
    <w:multiLevelType w:val="hybridMultilevel"/>
    <w:tmpl w:val="1E085E60"/>
    <w:lvl w:ilvl="0" w:tplc="246223CE">
      <w:start w:val="1"/>
      <w:numFmt w:val="bullet"/>
      <w:pStyle w:val="boxbullet"/>
      <w:lvlText w:val=""/>
      <w:lvlJc w:val="left"/>
      <w:pPr>
        <w:tabs>
          <w:tab w:val="num" w:pos="425"/>
        </w:tabs>
        <w:ind w:left="425"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7569D7"/>
    <w:multiLevelType w:val="hybridMultilevel"/>
    <w:tmpl w:val="6620323A"/>
    <w:lvl w:ilvl="0" w:tplc="AAD2B1CE">
      <w:start w:val="1"/>
      <w:numFmt w:val="bullet"/>
      <w:pStyle w:val="tabledash"/>
      <w:lvlText w:val=""/>
      <w:lvlJc w:val="left"/>
      <w:pPr>
        <w:tabs>
          <w:tab w:val="num" w:pos="340"/>
        </w:tabs>
        <w:ind w:left="340" w:hanging="17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50AAF"/>
    <w:multiLevelType w:val="multilevel"/>
    <w:tmpl w:val="34E6B782"/>
    <w:lvl w:ilvl="0">
      <w:start w:val="1"/>
      <w:numFmt w:val="decimal"/>
      <w:lvlText w:val="%1"/>
      <w:lvlJc w:val="left"/>
      <w:pPr>
        <w:tabs>
          <w:tab w:val="num" w:pos="425"/>
        </w:tabs>
        <w:ind w:left="425" w:hanging="425"/>
      </w:pPr>
      <w:rPr>
        <w:rFonts w:hint="default"/>
        <w:sz w:val="22"/>
      </w:rPr>
    </w:lvl>
    <w:lvl w:ilvl="1">
      <w:start w:val="1"/>
      <w:numFmt w:val="decimal"/>
      <w:lvlText w:val="%1.%2"/>
      <w:lvlJc w:val="left"/>
      <w:pPr>
        <w:tabs>
          <w:tab w:val="num" w:pos="851"/>
        </w:tabs>
        <w:ind w:left="851" w:hanging="851"/>
      </w:pPr>
      <w:rPr>
        <w:rFonts w:hint="default"/>
      </w:rPr>
    </w:lvl>
    <w:lvl w:ilvl="2">
      <w:start w:val="1"/>
      <w:numFmt w:val="decimal"/>
      <w:lvlText w:val="%1.%3.%2"/>
      <w:lvlJc w:val="left"/>
      <w:pPr>
        <w:tabs>
          <w:tab w:val="num" w:pos="993"/>
        </w:tabs>
        <w:ind w:left="993" w:hanging="1418"/>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5" w15:restartNumberingAfterBreak="0">
    <w:nsid w:val="09BD45B1"/>
    <w:multiLevelType w:val="multilevel"/>
    <w:tmpl w:val="77D25316"/>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1276"/>
        </w:tabs>
        <w:ind w:left="1276"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709"/>
      </w:pPr>
      <w:rPr>
        <w:rFonts w:hint="default"/>
        <w:sz w:val="16"/>
        <w:szCs w:val="16"/>
      </w:rPr>
    </w:lvl>
    <w:lvl w:ilvl="4">
      <w:start w:val="1"/>
      <w:numFmt w:val="none"/>
      <w:lvlText w:val=""/>
      <w:lvlJc w:val="left"/>
      <w:pPr>
        <w:tabs>
          <w:tab w:val="num" w:pos="3884"/>
        </w:tabs>
        <w:ind w:left="3884" w:hanging="1049"/>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0DA769B0"/>
    <w:multiLevelType w:val="hybridMultilevel"/>
    <w:tmpl w:val="B05AECAA"/>
    <w:lvl w:ilvl="0" w:tplc="E3364E6E">
      <w:start w:val="1"/>
      <w:numFmt w:val="bullet"/>
      <w:pStyle w:val="Responsebullet"/>
      <w:lvlText w:val=""/>
      <w:lvlJc w:val="left"/>
      <w:pPr>
        <w:ind w:left="3592" w:hanging="360"/>
      </w:pPr>
      <w:rPr>
        <w:rFonts w:ascii="Symbol" w:hAnsi="Symbol" w:hint="default"/>
      </w:rPr>
    </w:lvl>
    <w:lvl w:ilvl="1" w:tplc="0C090003" w:tentative="1">
      <w:start w:val="1"/>
      <w:numFmt w:val="bullet"/>
      <w:lvlText w:val="o"/>
      <w:lvlJc w:val="left"/>
      <w:pPr>
        <w:ind w:left="4312" w:hanging="360"/>
      </w:pPr>
      <w:rPr>
        <w:rFonts w:ascii="Courier New" w:hAnsi="Courier New" w:cs="Courier New" w:hint="default"/>
      </w:rPr>
    </w:lvl>
    <w:lvl w:ilvl="2" w:tplc="0C090005" w:tentative="1">
      <w:start w:val="1"/>
      <w:numFmt w:val="bullet"/>
      <w:lvlText w:val=""/>
      <w:lvlJc w:val="left"/>
      <w:pPr>
        <w:ind w:left="5032" w:hanging="360"/>
      </w:pPr>
      <w:rPr>
        <w:rFonts w:ascii="Wingdings" w:hAnsi="Wingdings" w:hint="default"/>
      </w:rPr>
    </w:lvl>
    <w:lvl w:ilvl="3" w:tplc="0C090001" w:tentative="1">
      <w:start w:val="1"/>
      <w:numFmt w:val="bullet"/>
      <w:lvlText w:val=""/>
      <w:lvlJc w:val="left"/>
      <w:pPr>
        <w:ind w:left="5752" w:hanging="360"/>
      </w:pPr>
      <w:rPr>
        <w:rFonts w:ascii="Symbol" w:hAnsi="Symbol" w:hint="default"/>
      </w:rPr>
    </w:lvl>
    <w:lvl w:ilvl="4" w:tplc="0C090003" w:tentative="1">
      <w:start w:val="1"/>
      <w:numFmt w:val="bullet"/>
      <w:lvlText w:val="o"/>
      <w:lvlJc w:val="left"/>
      <w:pPr>
        <w:ind w:left="6472" w:hanging="360"/>
      </w:pPr>
      <w:rPr>
        <w:rFonts w:ascii="Courier New" w:hAnsi="Courier New" w:cs="Courier New" w:hint="default"/>
      </w:rPr>
    </w:lvl>
    <w:lvl w:ilvl="5" w:tplc="0C090005" w:tentative="1">
      <w:start w:val="1"/>
      <w:numFmt w:val="bullet"/>
      <w:lvlText w:val=""/>
      <w:lvlJc w:val="left"/>
      <w:pPr>
        <w:ind w:left="7192" w:hanging="360"/>
      </w:pPr>
      <w:rPr>
        <w:rFonts w:ascii="Wingdings" w:hAnsi="Wingdings" w:hint="default"/>
      </w:rPr>
    </w:lvl>
    <w:lvl w:ilvl="6" w:tplc="0C090001" w:tentative="1">
      <w:start w:val="1"/>
      <w:numFmt w:val="bullet"/>
      <w:lvlText w:val=""/>
      <w:lvlJc w:val="left"/>
      <w:pPr>
        <w:ind w:left="7912" w:hanging="360"/>
      </w:pPr>
      <w:rPr>
        <w:rFonts w:ascii="Symbol" w:hAnsi="Symbol" w:hint="default"/>
      </w:rPr>
    </w:lvl>
    <w:lvl w:ilvl="7" w:tplc="0C090003" w:tentative="1">
      <w:start w:val="1"/>
      <w:numFmt w:val="bullet"/>
      <w:lvlText w:val="o"/>
      <w:lvlJc w:val="left"/>
      <w:pPr>
        <w:ind w:left="8632" w:hanging="360"/>
      </w:pPr>
      <w:rPr>
        <w:rFonts w:ascii="Courier New" w:hAnsi="Courier New" w:cs="Courier New" w:hint="default"/>
      </w:rPr>
    </w:lvl>
    <w:lvl w:ilvl="8" w:tplc="0C090005" w:tentative="1">
      <w:start w:val="1"/>
      <w:numFmt w:val="bullet"/>
      <w:lvlText w:val=""/>
      <w:lvlJc w:val="left"/>
      <w:pPr>
        <w:ind w:left="9352" w:hanging="360"/>
      </w:pPr>
      <w:rPr>
        <w:rFonts w:ascii="Wingdings" w:hAnsi="Wingdings" w:hint="default"/>
      </w:rPr>
    </w:lvl>
  </w:abstractNum>
  <w:abstractNum w:abstractNumId="7" w15:restartNumberingAfterBreak="0">
    <w:nsid w:val="0F944638"/>
    <w:multiLevelType w:val="multilevel"/>
    <w:tmpl w:val="BF08110E"/>
    <w:lvl w:ilvl="0">
      <w:start w:val="1"/>
      <w:numFmt w:val="none"/>
      <w:pStyle w:val="MIRBodyText"/>
      <w:suff w:val="nothing"/>
      <w:lvlText w:val=""/>
      <w:lvlJc w:val="left"/>
      <w:pPr>
        <w:ind w:left="851" w:firstLine="0"/>
      </w:pPr>
      <w:rPr>
        <w:rFonts w:hint="default"/>
      </w:rPr>
    </w:lvl>
    <w:lvl w:ilvl="1">
      <w:start w:val="1"/>
      <w:numFmt w:val="lowerLetter"/>
      <w:pStyle w:val="MIRSubpara"/>
      <w:lvlText w:val="(%2)"/>
      <w:lvlJc w:val="left"/>
      <w:pPr>
        <w:tabs>
          <w:tab w:val="num" w:pos="5812"/>
        </w:tabs>
        <w:ind w:left="5812" w:hanging="425"/>
      </w:pPr>
      <w:rPr>
        <w:rFonts w:hint="default"/>
        <w:sz w:val="18"/>
      </w:rPr>
    </w:lvl>
    <w:lvl w:ilvl="2">
      <w:start w:val="1"/>
      <w:numFmt w:val="lowerRoman"/>
      <w:pStyle w:val="MIRSubsubpara"/>
      <w:lvlText w:val="(%3)"/>
      <w:lvlJc w:val="left"/>
      <w:pPr>
        <w:tabs>
          <w:tab w:val="num" w:pos="1701"/>
        </w:tabs>
        <w:ind w:left="1701" w:hanging="425"/>
      </w:pPr>
      <w:rPr>
        <w:rFonts w:hint="default"/>
        <w:sz w:val="18"/>
      </w:rPr>
    </w:lvl>
    <w:lvl w:ilvl="3">
      <w:start w:val="1"/>
      <w:numFmt w:val="upperLetter"/>
      <w:pStyle w:val="MIRsubsubsubpara"/>
      <w:lvlText w:val="(%4)"/>
      <w:lvlJc w:val="left"/>
      <w:pPr>
        <w:tabs>
          <w:tab w:val="num" w:pos="2126"/>
        </w:tabs>
        <w:ind w:left="2126" w:hanging="425"/>
      </w:pPr>
      <w:rPr>
        <w:rFonts w:hint="default"/>
        <w:sz w:val="16"/>
        <w:szCs w:val="1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18"/>
        <w:szCs w:val="18"/>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27172A"/>
    <w:multiLevelType w:val="multilevel"/>
    <w:tmpl w:val="D988F996"/>
    <w:lvl w:ilvl="0">
      <w:start w:val="1"/>
      <w:numFmt w:val="none"/>
      <w:lvlText w:val=""/>
      <w:lvlJc w:val="left"/>
      <w:pPr>
        <w:ind w:left="0" w:firstLine="0"/>
      </w:pPr>
      <w:rPr>
        <w:rFonts w:ascii="Century Gothic" w:hAnsi="Century Gothic" w:hint="default"/>
        <w:b/>
        <w:i w:val="0"/>
        <w:color w:val="0070C0"/>
        <w:sz w:val="28"/>
      </w:rPr>
    </w:lvl>
    <w:lvl w:ilvl="1">
      <w:start w:val="1"/>
      <w:numFmt w:val="decimal"/>
      <w:lvlRestart w:val="0"/>
      <w:lvlText w:val="%2."/>
      <w:lvlJc w:val="left"/>
      <w:pPr>
        <w:ind w:left="340" w:hanging="340"/>
      </w:pPr>
      <w:rPr>
        <w:rFonts w:ascii="Century Gothic" w:hAnsi="Century Gothic" w:hint="default"/>
        <w:b w:val="0"/>
        <w:bCs w:val="0"/>
        <w:sz w:val="22"/>
        <w:szCs w:val="22"/>
      </w:rPr>
    </w:lvl>
    <w:lvl w:ilvl="2">
      <w:start w:val="1"/>
      <w:numFmt w:val="lowerLetter"/>
      <w:lvlText w:val="(%3)"/>
      <w:lvlJc w:val="left"/>
      <w:pPr>
        <w:ind w:left="1134" w:hanging="45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E0C6808"/>
    <w:multiLevelType w:val="multilevel"/>
    <w:tmpl w:val="9C7A7C1E"/>
    <w:lvl w:ilvl="0">
      <w:start w:val="1"/>
      <w:numFmt w:val="decimal"/>
      <w:pStyle w:val="BodyText"/>
      <w:lvlText w:val="%1"/>
      <w:lvlJc w:val="left"/>
      <w:pPr>
        <w:tabs>
          <w:tab w:val="num" w:pos="2268"/>
        </w:tabs>
        <w:ind w:left="2268" w:hanging="1134"/>
      </w:pPr>
      <w:rPr>
        <w:rFonts w:ascii="Times New Roman" w:hAnsi="Times New Roman" w:cs="Arial" w:hint="default"/>
        <w:b w:val="0"/>
        <w:i w:val="0"/>
        <w:color w:val="auto"/>
        <w:sz w:val="18"/>
        <w:szCs w:val="18"/>
      </w:rPr>
    </w:lvl>
    <w:lvl w:ilvl="1">
      <w:start w:val="1"/>
      <w:numFmt w:val="lowerLetter"/>
      <w:pStyle w:val="subparaa"/>
      <w:lvlText w:val="(%2)"/>
      <w:lvlJc w:val="left"/>
      <w:pPr>
        <w:tabs>
          <w:tab w:val="num" w:pos="2693"/>
        </w:tabs>
        <w:ind w:left="2693" w:hanging="425"/>
      </w:pPr>
      <w:rPr>
        <w:rFonts w:hint="default"/>
        <w:b w:val="0"/>
        <w:i w:val="0"/>
        <w:color w:val="auto"/>
        <w:sz w:val="18"/>
        <w:szCs w:val="18"/>
      </w:rPr>
    </w:lvl>
    <w:lvl w:ilvl="2">
      <w:start w:val="1"/>
      <w:numFmt w:val="lowerRoman"/>
      <w:pStyle w:val="subsubparai"/>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sub3paraA"/>
      <w:lvlText w:val="(%4)"/>
      <w:lvlJc w:val="left"/>
      <w:pPr>
        <w:tabs>
          <w:tab w:val="num" w:pos="3544"/>
        </w:tabs>
        <w:ind w:left="3544" w:hanging="425"/>
      </w:pPr>
      <w:rPr>
        <w:rFonts w:hint="default"/>
        <w:sz w:val="16"/>
        <w:szCs w:val="16"/>
      </w:rPr>
    </w:lvl>
    <w:lvl w:ilvl="4">
      <w:start w:val="1"/>
      <w:numFmt w:val="upperRoman"/>
      <w:pStyle w:val="sub4paraI"/>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0" w15:restartNumberingAfterBreak="0">
    <w:nsid w:val="1F88500E"/>
    <w:multiLevelType w:val="singleLevel"/>
    <w:tmpl w:val="286E529C"/>
    <w:lvl w:ilvl="0">
      <w:start w:val="1"/>
      <w:numFmt w:val="bullet"/>
      <w:lvlText w:val=""/>
      <w:lvlJc w:val="left"/>
      <w:pPr>
        <w:tabs>
          <w:tab w:val="num" w:pos="425"/>
        </w:tabs>
        <w:ind w:left="425" w:hanging="425"/>
      </w:pPr>
      <w:rPr>
        <w:rFonts w:ascii="Symbol" w:hAnsi="Symbol" w:hint="default"/>
      </w:rPr>
    </w:lvl>
  </w:abstractNum>
  <w:abstractNum w:abstractNumId="11" w15:restartNumberingAfterBreak="0">
    <w:nsid w:val="20435333"/>
    <w:multiLevelType w:val="multilevel"/>
    <w:tmpl w:val="2BF2360A"/>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2" w15:restartNumberingAfterBreak="0">
    <w:nsid w:val="2212525A"/>
    <w:multiLevelType w:val="hybridMultilevel"/>
    <w:tmpl w:val="6E5A06D8"/>
    <w:lvl w:ilvl="0" w:tplc="4984B814">
      <w:start w:val="5"/>
      <w:numFmt w:val="bullet"/>
      <w:lvlText w:val="-"/>
      <w:lvlJc w:val="left"/>
      <w:pPr>
        <w:ind w:left="2741" w:hanging="360"/>
      </w:pPr>
      <w:rPr>
        <w:rFonts w:ascii="Arial" w:eastAsia="Times New Roman" w:hAnsi="Arial" w:cs="Arial" w:hint="default"/>
      </w:rPr>
    </w:lvl>
    <w:lvl w:ilvl="1" w:tplc="0C090003" w:tentative="1">
      <w:start w:val="1"/>
      <w:numFmt w:val="bullet"/>
      <w:lvlText w:val="o"/>
      <w:lvlJc w:val="left"/>
      <w:pPr>
        <w:ind w:left="3461" w:hanging="360"/>
      </w:pPr>
      <w:rPr>
        <w:rFonts w:ascii="Courier New" w:hAnsi="Courier New" w:cs="Courier New" w:hint="default"/>
      </w:rPr>
    </w:lvl>
    <w:lvl w:ilvl="2" w:tplc="0C090005" w:tentative="1">
      <w:start w:val="1"/>
      <w:numFmt w:val="bullet"/>
      <w:lvlText w:val=""/>
      <w:lvlJc w:val="left"/>
      <w:pPr>
        <w:ind w:left="4181" w:hanging="360"/>
      </w:pPr>
      <w:rPr>
        <w:rFonts w:ascii="Wingdings" w:hAnsi="Wingdings" w:hint="default"/>
      </w:rPr>
    </w:lvl>
    <w:lvl w:ilvl="3" w:tplc="0C090001" w:tentative="1">
      <w:start w:val="1"/>
      <w:numFmt w:val="bullet"/>
      <w:lvlText w:val=""/>
      <w:lvlJc w:val="left"/>
      <w:pPr>
        <w:ind w:left="4901" w:hanging="360"/>
      </w:pPr>
      <w:rPr>
        <w:rFonts w:ascii="Symbol" w:hAnsi="Symbol" w:hint="default"/>
      </w:rPr>
    </w:lvl>
    <w:lvl w:ilvl="4" w:tplc="0C090003" w:tentative="1">
      <w:start w:val="1"/>
      <w:numFmt w:val="bullet"/>
      <w:lvlText w:val="o"/>
      <w:lvlJc w:val="left"/>
      <w:pPr>
        <w:ind w:left="5621" w:hanging="360"/>
      </w:pPr>
      <w:rPr>
        <w:rFonts w:ascii="Courier New" w:hAnsi="Courier New" w:cs="Courier New" w:hint="default"/>
      </w:rPr>
    </w:lvl>
    <w:lvl w:ilvl="5" w:tplc="0C090005" w:tentative="1">
      <w:start w:val="1"/>
      <w:numFmt w:val="bullet"/>
      <w:lvlText w:val=""/>
      <w:lvlJc w:val="left"/>
      <w:pPr>
        <w:ind w:left="6341" w:hanging="360"/>
      </w:pPr>
      <w:rPr>
        <w:rFonts w:ascii="Wingdings" w:hAnsi="Wingdings" w:hint="default"/>
      </w:rPr>
    </w:lvl>
    <w:lvl w:ilvl="6" w:tplc="0C090001" w:tentative="1">
      <w:start w:val="1"/>
      <w:numFmt w:val="bullet"/>
      <w:lvlText w:val=""/>
      <w:lvlJc w:val="left"/>
      <w:pPr>
        <w:ind w:left="7061" w:hanging="360"/>
      </w:pPr>
      <w:rPr>
        <w:rFonts w:ascii="Symbol" w:hAnsi="Symbol" w:hint="default"/>
      </w:rPr>
    </w:lvl>
    <w:lvl w:ilvl="7" w:tplc="0C090003" w:tentative="1">
      <w:start w:val="1"/>
      <w:numFmt w:val="bullet"/>
      <w:lvlText w:val="o"/>
      <w:lvlJc w:val="left"/>
      <w:pPr>
        <w:ind w:left="7781" w:hanging="360"/>
      </w:pPr>
      <w:rPr>
        <w:rFonts w:ascii="Courier New" w:hAnsi="Courier New" w:cs="Courier New" w:hint="default"/>
      </w:rPr>
    </w:lvl>
    <w:lvl w:ilvl="8" w:tplc="0C090005" w:tentative="1">
      <w:start w:val="1"/>
      <w:numFmt w:val="bullet"/>
      <w:lvlText w:val=""/>
      <w:lvlJc w:val="left"/>
      <w:pPr>
        <w:ind w:left="8501" w:hanging="360"/>
      </w:pPr>
      <w:rPr>
        <w:rFonts w:ascii="Wingdings" w:hAnsi="Wingdings" w:hint="default"/>
      </w:rPr>
    </w:lvl>
  </w:abstractNum>
  <w:abstractNum w:abstractNumId="13" w15:restartNumberingAfterBreak="0">
    <w:nsid w:val="22D62565"/>
    <w:multiLevelType w:val="multilevel"/>
    <w:tmpl w:val="D43CAEE8"/>
    <w:lvl w:ilvl="0">
      <w:start w:val="1"/>
      <w:numFmt w:val="decimal"/>
      <w:lvlText w:val="RG 000.%1"/>
      <w:lvlJc w:val="left"/>
      <w:pPr>
        <w:tabs>
          <w:tab w:val="num" w:pos="2268"/>
        </w:tabs>
        <w:ind w:left="2268"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4" w15:restartNumberingAfterBreak="0">
    <w:nsid w:val="243B1A7D"/>
    <w:multiLevelType w:val="multilevel"/>
    <w:tmpl w:val="D292D8DE"/>
    <w:name w:val="ASIC proposal"/>
    <w:lvl w:ilvl="0">
      <w:start w:val="1"/>
      <w:numFmt w:val="upperLetter"/>
      <w:pStyle w:val="Heading1"/>
      <w:lvlText w:val="%1"/>
      <w:lvlJc w:val="left"/>
      <w:pPr>
        <w:tabs>
          <w:tab w:val="num" w:pos="851"/>
        </w:tabs>
        <w:ind w:left="851" w:hanging="851"/>
      </w:pPr>
      <w:rPr>
        <w:rFonts w:hint="default"/>
        <w:b/>
        <w:i w:val="0"/>
        <w:color w:val="0072CE"/>
        <w:sz w:val="36"/>
        <w:szCs w:val="72"/>
      </w:rPr>
    </w:lvl>
    <w:lvl w:ilvl="1">
      <w:start w:val="1"/>
      <w:numFmt w:val="decimal"/>
      <w:pStyle w:val="Proposaltext"/>
      <w:lvlText w:val="%1%2"/>
      <w:lvlJc w:val="left"/>
      <w:pPr>
        <w:tabs>
          <w:tab w:val="num" w:pos="2693"/>
        </w:tabs>
        <w:ind w:left="2693" w:hanging="425"/>
      </w:pPr>
      <w:rPr>
        <w:rFonts w:hint="default"/>
        <w:b/>
        <w:i w:val="0"/>
        <w:color w:val="auto"/>
        <w:sz w:val="16"/>
        <w:szCs w:val="16"/>
      </w:rPr>
    </w:lvl>
    <w:lvl w:ilvl="2">
      <w:start w:val="1"/>
      <w:numFmt w:val="lowerLetter"/>
      <w:pStyle w:val="Proposalsubpara"/>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Proposalsubsubpara"/>
      <w:lvlText w:val="(%4)"/>
      <w:lvlJc w:val="left"/>
      <w:pPr>
        <w:tabs>
          <w:tab w:val="num" w:pos="3544"/>
        </w:tabs>
        <w:ind w:left="3544" w:hanging="425"/>
      </w:pPr>
      <w:rPr>
        <w:rFonts w:hint="default"/>
        <w:sz w:val="18"/>
        <w:szCs w:val="18"/>
      </w:rPr>
    </w:lvl>
    <w:lvl w:ilvl="4">
      <w:start w:val="1"/>
      <w:numFmt w:val="decimal"/>
      <w:pStyle w:val="Feedbackquestion"/>
      <w:lvlText w:val="%1%2Q%5"/>
      <w:lvlJc w:val="left"/>
      <w:pPr>
        <w:tabs>
          <w:tab w:val="num" w:pos="3799"/>
        </w:tabs>
        <w:ind w:left="3799" w:hanging="567"/>
      </w:pPr>
      <w:rPr>
        <w:rFonts w:hint="default"/>
        <w:sz w:val="16"/>
        <w:szCs w:val="16"/>
      </w:rPr>
    </w:lvl>
    <w:lvl w:ilvl="5">
      <w:start w:val="1"/>
      <w:numFmt w:val="lowerLetter"/>
      <w:pStyle w:val="Feedbacksubquestion"/>
      <w:lvlText w:val="             (%6)"/>
      <w:lvlJc w:val="left"/>
      <w:pPr>
        <w:tabs>
          <w:tab w:val="num" w:pos="4139"/>
        </w:tabs>
        <w:ind w:left="4139" w:hanging="907"/>
      </w:pPr>
      <w:rPr>
        <w:rFonts w:hint="default"/>
        <w:sz w:val="16"/>
        <w:szCs w:val="16"/>
      </w:rPr>
    </w:lvl>
    <w:lvl w:ilvl="6">
      <w:start w:val="1"/>
      <w:numFmt w:val="lowerRoman"/>
      <w:pStyle w:val="Feedbacksubsubquestio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15" w15:restartNumberingAfterBreak="0">
    <w:nsid w:val="2C7D73DE"/>
    <w:multiLevelType w:val="hybridMultilevel"/>
    <w:tmpl w:val="46EAF5A6"/>
    <w:lvl w:ilvl="0" w:tplc="AB988280">
      <w:start w:val="1"/>
      <w:numFmt w:val="bullet"/>
      <w:pStyle w:val="tablebullet"/>
      <w:lvlText w:val=""/>
      <w:lvlJc w:val="left"/>
      <w:pPr>
        <w:tabs>
          <w:tab w:val="num" w:pos="170"/>
        </w:tabs>
        <w:ind w:left="170" w:hanging="17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041993"/>
    <w:multiLevelType w:val="multilevel"/>
    <w:tmpl w:val="4680F51A"/>
    <w:name w:val="ASIC para nos"/>
    <w:lvl w:ilvl="0">
      <w:start w:val="1"/>
      <w:numFmt w:val="decimal"/>
      <w:lvlText w:val="%1"/>
      <w:lvlJc w:val="left"/>
      <w:pPr>
        <w:tabs>
          <w:tab w:val="num" w:pos="2693"/>
        </w:tabs>
        <w:ind w:left="2693" w:hanging="425"/>
      </w:pPr>
      <w:rPr>
        <w:rFonts w:hint="default"/>
        <w:sz w:val="22"/>
      </w:rPr>
    </w:lvl>
    <w:lvl w:ilvl="1">
      <w:start w:val="1"/>
      <w:numFmt w:val="decimal"/>
      <w:lvlText w:val="%1.%2"/>
      <w:lvlJc w:val="left"/>
      <w:pPr>
        <w:tabs>
          <w:tab w:val="num" w:pos="3119"/>
        </w:tabs>
        <w:ind w:left="3119" w:hanging="426"/>
      </w:pPr>
      <w:rPr>
        <w:rFonts w:hint="default"/>
      </w:rPr>
    </w:lvl>
    <w:lvl w:ilvl="2">
      <w:start w:val="1"/>
      <w:numFmt w:val="none"/>
      <w:lvlText w:val=""/>
      <w:lvlJc w:val="left"/>
      <w:pPr>
        <w:tabs>
          <w:tab w:val="num" w:pos="4370"/>
        </w:tabs>
        <w:ind w:left="4370" w:hanging="425"/>
      </w:pPr>
      <w:rPr>
        <w:rFonts w:hint="default"/>
      </w:rPr>
    </w:lvl>
    <w:lvl w:ilvl="3">
      <w:start w:val="1"/>
      <w:numFmt w:val="none"/>
      <w:lvlText w:val=""/>
      <w:lvlJc w:val="left"/>
      <w:pPr>
        <w:tabs>
          <w:tab w:val="num" w:pos="4197"/>
        </w:tabs>
        <w:ind w:left="3405" w:hanging="648"/>
      </w:pPr>
      <w:rPr>
        <w:rFonts w:hint="default"/>
      </w:rPr>
    </w:lvl>
    <w:lvl w:ilvl="4">
      <w:start w:val="1"/>
      <w:numFmt w:val="decimal"/>
      <w:lvlText w:val="%1.%2.%3.%4.%5."/>
      <w:lvlJc w:val="left"/>
      <w:pPr>
        <w:tabs>
          <w:tab w:val="num" w:pos="4917"/>
        </w:tabs>
        <w:ind w:left="3909" w:hanging="792"/>
      </w:pPr>
      <w:rPr>
        <w:rFonts w:hint="default"/>
      </w:rPr>
    </w:lvl>
    <w:lvl w:ilvl="5">
      <w:start w:val="1"/>
      <w:numFmt w:val="decimal"/>
      <w:lvlText w:val="%1.%2.%3.%4.%5.%6."/>
      <w:lvlJc w:val="left"/>
      <w:pPr>
        <w:tabs>
          <w:tab w:val="num" w:pos="5637"/>
        </w:tabs>
        <w:ind w:left="4413" w:hanging="936"/>
      </w:pPr>
      <w:rPr>
        <w:rFonts w:hint="default"/>
      </w:rPr>
    </w:lvl>
    <w:lvl w:ilvl="6">
      <w:start w:val="1"/>
      <w:numFmt w:val="decimal"/>
      <w:lvlText w:val="%1.%2.%3.%4.%5.%6.%7."/>
      <w:lvlJc w:val="left"/>
      <w:pPr>
        <w:tabs>
          <w:tab w:val="num" w:pos="5997"/>
        </w:tabs>
        <w:ind w:left="4917" w:hanging="1080"/>
      </w:pPr>
      <w:rPr>
        <w:rFonts w:hint="default"/>
      </w:rPr>
    </w:lvl>
    <w:lvl w:ilvl="7">
      <w:start w:val="1"/>
      <w:numFmt w:val="decimal"/>
      <w:lvlText w:val="%1.%2.%3.%4.%5.%6.%7.%8."/>
      <w:lvlJc w:val="left"/>
      <w:pPr>
        <w:tabs>
          <w:tab w:val="num" w:pos="6717"/>
        </w:tabs>
        <w:ind w:left="5421" w:hanging="1224"/>
      </w:pPr>
      <w:rPr>
        <w:rFonts w:hint="default"/>
      </w:rPr>
    </w:lvl>
    <w:lvl w:ilvl="8">
      <w:start w:val="1"/>
      <w:numFmt w:val="decimal"/>
      <w:lvlText w:val="%1.%2.%3.%4.%5.%6.%7.%8.%9."/>
      <w:lvlJc w:val="left"/>
      <w:pPr>
        <w:tabs>
          <w:tab w:val="num" w:pos="7437"/>
        </w:tabs>
        <w:ind w:left="5997" w:hanging="1440"/>
      </w:pPr>
      <w:rPr>
        <w:rFonts w:hint="default"/>
      </w:rPr>
    </w:lvl>
  </w:abstractNum>
  <w:abstractNum w:abstractNumId="17" w15:restartNumberingAfterBreak="0">
    <w:nsid w:val="45842992"/>
    <w:multiLevelType w:val="hybridMultilevel"/>
    <w:tmpl w:val="0970487A"/>
    <w:lvl w:ilvl="0" w:tplc="0C090001">
      <w:start w:val="1"/>
      <w:numFmt w:val="bullet"/>
      <w:lvlText w:val=""/>
      <w:lvlJc w:val="left"/>
      <w:pPr>
        <w:ind w:left="3760" w:hanging="360"/>
      </w:pPr>
      <w:rPr>
        <w:rFonts w:ascii="Symbol" w:hAnsi="Symbol" w:hint="default"/>
      </w:rPr>
    </w:lvl>
    <w:lvl w:ilvl="1" w:tplc="0C090003" w:tentative="1">
      <w:start w:val="1"/>
      <w:numFmt w:val="bullet"/>
      <w:lvlText w:val="o"/>
      <w:lvlJc w:val="left"/>
      <w:pPr>
        <w:ind w:left="4480" w:hanging="360"/>
      </w:pPr>
      <w:rPr>
        <w:rFonts w:ascii="Courier New" w:hAnsi="Courier New" w:cs="Courier New" w:hint="default"/>
      </w:rPr>
    </w:lvl>
    <w:lvl w:ilvl="2" w:tplc="0C090005" w:tentative="1">
      <w:start w:val="1"/>
      <w:numFmt w:val="bullet"/>
      <w:lvlText w:val=""/>
      <w:lvlJc w:val="left"/>
      <w:pPr>
        <w:ind w:left="5200" w:hanging="360"/>
      </w:pPr>
      <w:rPr>
        <w:rFonts w:ascii="Wingdings" w:hAnsi="Wingdings" w:hint="default"/>
      </w:rPr>
    </w:lvl>
    <w:lvl w:ilvl="3" w:tplc="0C090001" w:tentative="1">
      <w:start w:val="1"/>
      <w:numFmt w:val="bullet"/>
      <w:lvlText w:val=""/>
      <w:lvlJc w:val="left"/>
      <w:pPr>
        <w:ind w:left="5920" w:hanging="360"/>
      </w:pPr>
      <w:rPr>
        <w:rFonts w:ascii="Symbol" w:hAnsi="Symbol" w:hint="default"/>
      </w:rPr>
    </w:lvl>
    <w:lvl w:ilvl="4" w:tplc="0C090003" w:tentative="1">
      <w:start w:val="1"/>
      <w:numFmt w:val="bullet"/>
      <w:lvlText w:val="o"/>
      <w:lvlJc w:val="left"/>
      <w:pPr>
        <w:ind w:left="6640" w:hanging="360"/>
      </w:pPr>
      <w:rPr>
        <w:rFonts w:ascii="Courier New" w:hAnsi="Courier New" w:cs="Courier New" w:hint="default"/>
      </w:rPr>
    </w:lvl>
    <w:lvl w:ilvl="5" w:tplc="0C090005" w:tentative="1">
      <w:start w:val="1"/>
      <w:numFmt w:val="bullet"/>
      <w:lvlText w:val=""/>
      <w:lvlJc w:val="left"/>
      <w:pPr>
        <w:ind w:left="7360" w:hanging="360"/>
      </w:pPr>
      <w:rPr>
        <w:rFonts w:ascii="Wingdings" w:hAnsi="Wingdings" w:hint="default"/>
      </w:rPr>
    </w:lvl>
    <w:lvl w:ilvl="6" w:tplc="0C090001" w:tentative="1">
      <w:start w:val="1"/>
      <w:numFmt w:val="bullet"/>
      <w:lvlText w:val=""/>
      <w:lvlJc w:val="left"/>
      <w:pPr>
        <w:ind w:left="8080" w:hanging="360"/>
      </w:pPr>
      <w:rPr>
        <w:rFonts w:ascii="Symbol" w:hAnsi="Symbol" w:hint="default"/>
      </w:rPr>
    </w:lvl>
    <w:lvl w:ilvl="7" w:tplc="0C090003" w:tentative="1">
      <w:start w:val="1"/>
      <w:numFmt w:val="bullet"/>
      <w:lvlText w:val="o"/>
      <w:lvlJc w:val="left"/>
      <w:pPr>
        <w:ind w:left="8800" w:hanging="360"/>
      </w:pPr>
      <w:rPr>
        <w:rFonts w:ascii="Courier New" w:hAnsi="Courier New" w:cs="Courier New" w:hint="default"/>
      </w:rPr>
    </w:lvl>
    <w:lvl w:ilvl="8" w:tplc="0C090005" w:tentative="1">
      <w:start w:val="1"/>
      <w:numFmt w:val="bullet"/>
      <w:lvlText w:val=""/>
      <w:lvlJc w:val="left"/>
      <w:pPr>
        <w:ind w:left="9520" w:hanging="360"/>
      </w:pPr>
      <w:rPr>
        <w:rFonts w:ascii="Wingdings" w:hAnsi="Wingdings" w:hint="default"/>
      </w:rPr>
    </w:lvl>
  </w:abstractNum>
  <w:abstractNum w:abstractNumId="18" w15:restartNumberingAfterBreak="0">
    <w:nsid w:val="463176A4"/>
    <w:multiLevelType w:val="multilevel"/>
    <w:tmpl w:val="DD3007F6"/>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upperRoman"/>
      <w:lvlText w:val="%4)"/>
      <w:lvlJc w:val="left"/>
      <w:pPr>
        <w:tabs>
          <w:tab w:val="num" w:pos="1701"/>
        </w:tabs>
        <w:ind w:left="1701" w:hanging="425"/>
      </w:pPr>
      <w:rPr>
        <w:rFonts w:hint="default"/>
      </w:rPr>
    </w:lvl>
    <w:lvl w:ilvl="4">
      <w:start w:val="1"/>
      <w:numFmt w:val="decimal"/>
      <w:lvlText w:val="%5)"/>
      <w:lvlJc w:val="left"/>
      <w:pPr>
        <w:ind w:left="2126"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6B65CD"/>
    <w:multiLevelType w:val="hybridMultilevel"/>
    <w:tmpl w:val="C8F0255E"/>
    <w:lvl w:ilvl="0" w:tplc="E63C2630">
      <w:start w:val="1"/>
      <w:numFmt w:val="bullet"/>
      <w:lvlText w:val=""/>
      <w:lvlJc w:val="left"/>
      <w:pPr>
        <w:tabs>
          <w:tab w:val="num" w:pos="2693"/>
        </w:tabs>
        <w:ind w:left="2693" w:hanging="425"/>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D5E6804C">
      <w:start w:val="1"/>
      <w:numFmt w:val="bullet"/>
      <w:pStyle w:val="Frontbullet"/>
      <w:lvlText w:val=""/>
      <w:lvlJc w:val="left"/>
      <w:pPr>
        <w:tabs>
          <w:tab w:val="num" w:pos="2693"/>
        </w:tabs>
        <w:ind w:left="2693" w:hanging="425"/>
      </w:pPr>
      <w:rPr>
        <w:rFonts w:ascii="Wingdings" w:hAnsi="Wingdings" w:hint="default"/>
        <w:color w:val="auto"/>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C14F7E"/>
    <w:multiLevelType w:val="hybridMultilevel"/>
    <w:tmpl w:val="B904640E"/>
    <w:lvl w:ilvl="0" w:tplc="DB5E2A70">
      <w:start w:val="1"/>
      <w:numFmt w:val="bullet"/>
      <w:pStyle w:val="ListBullet2"/>
      <w:lvlText w:val=""/>
      <w:lvlJc w:val="left"/>
      <w:pPr>
        <w:tabs>
          <w:tab w:val="num" w:pos="851"/>
        </w:tabs>
        <w:ind w:left="851"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A97D73"/>
    <w:multiLevelType w:val="multilevel"/>
    <w:tmpl w:val="DE84303C"/>
    <w:lvl w:ilvl="0">
      <w:start w:val="1"/>
      <w:numFmt w:val="bullet"/>
      <w:lvlText w:val=""/>
      <w:lvlJc w:val="left"/>
      <w:pPr>
        <w:tabs>
          <w:tab w:val="num" w:pos="2268"/>
        </w:tabs>
        <w:ind w:left="2268" w:hanging="1134"/>
      </w:pPr>
      <w:rPr>
        <w:rFonts w:ascii="Symbol" w:hAnsi="Symbol"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22" w15:restartNumberingAfterBreak="0">
    <w:nsid w:val="62756F33"/>
    <w:multiLevelType w:val="hybridMultilevel"/>
    <w:tmpl w:val="76EE0A6E"/>
    <w:lvl w:ilvl="0" w:tplc="C700BE30">
      <w:start w:val="1"/>
      <w:numFmt w:val="bullet"/>
      <w:pStyle w:val="KPbullet"/>
      <w:lvlText w:val=""/>
      <w:lvlJc w:val="left"/>
      <w:pPr>
        <w:tabs>
          <w:tab w:val="num" w:pos="2807"/>
        </w:tabs>
        <w:ind w:left="2807" w:hanging="426"/>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E365C4"/>
    <w:multiLevelType w:val="hybridMultilevel"/>
    <w:tmpl w:val="413E4FAA"/>
    <w:lvl w:ilvl="0" w:tplc="8E62C916">
      <w:start w:val="1"/>
      <w:numFmt w:val="bullet"/>
      <w:pStyle w:val="ListBullet"/>
      <w:lvlText w:val=""/>
      <w:lvlJc w:val="left"/>
      <w:pPr>
        <w:tabs>
          <w:tab w:val="num" w:pos="1418"/>
        </w:tabs>
        <w:ind w:left="1418" w:firstLine="85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25" w15:restartNumberingAfterBreak="0">
    <w:nsid w:val="728653C5"/>
    <w:multiLevelType w:val="multilevel"/>
    <w:tmpl w:val="56546CD2"/>
    <w:lvl w:ilvl="0">
      <w:start w:val="1"/>
      <w:numFmt w:val="none"/>
      <w:lvlText w:val=""/>
      <w:lvlJc w:val="left"/>
      <w:pPr>
        <w:ind w:left="0" w:firstLine="0"/>
      </w:pPr>
      <w:rPr>
        <w:rFonts w:ascii="Century Gothic" w:hAnsi="Century Gothic" w:hint="default"/>
        <w:b/>
        <w:i w:val="0"/>
        <w:color w:val="0070C0"/>
        <w:sz w:val="28"/>
      </w:rPr>
    </w:lvl>
    <w:lvl w:ilvl="1">
      <w:start w:val="1"/>
      <w:numFmt w:val="decimal"/>
      <w:lvlRestart w:val="0"/>
      <w:lvlText w:val="%2."/>
      <w:lvlJc w:val="left"/>
      <w:pPr>
        <w:ind w:left="482" w:hanging="340"/>
      </w:pPr>
      <w:rPr>
        <w:rFonts w:ascii="Century Gothic" w:hAnsi="Century Gothic" w:hint="default"/>
        <w:b w:val="0"/>
        <w:bCs w:val="0"/>
        <w:sz w:val="22"/>
        <w:szCs w:val="22"/>
      </w:rPr>
    </w:lvl>
    <w:lvl w:ilvl="2">
      <w:start w:val="1"/>
      <w:numFmt w:val="decimal"/>
      <w:lvlText w:val="%2.%3"/>
      <w:lvlJc w:val="left"/>
      <w:pPr>
        <w:ind w:left="1134" w:hanging="454"/>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A04370D"/>
    <w:multiLevelType w:val="hybridMultilevel"/>
    <w:tmpl w:val="94749C48"/>
    <w:lvl w:ilvl="0" w:tplc="21A06F82">
      <w:start w:val="1"/>
      <w:numFmt w:val="bullet"/>
      <w:lvlText w:val=""/>
      <w:lvlJc w:val="left"/>
      <w:pPr>
        <w:tabs>
          <w:tab w:val="num" w:pos="3119"/>
        </w:tabs>
        <w:ind w:left="3119" w:hanging="42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74114F"/>
    <w:multiLevelType w:val="hybridMultilevel"/>
    <w:tmpl w:val="8C52865E"/>
    <w:lvl w:ilvl="0" w:tplc="0C090001">
      <w:start w:val="1"/>
      <w:numFmt w:val="bullet"/>
      <w:lvlText w:val=""/>
      <w:lvlJc w:val="left"/>
      <w:pPr>
        <w:ind w:left="3952" w:hanging="360"/>
      </w:pPr>
      <w:rPr>
        <w:rFonts w:ascii="Symbol" w:hAnsi="Symbol" w:hint="default"/>
      </w:rPr>
    </w:lvl>
    <w:lvl w:ilvl="1" w:tplc="0C090003" w:tentative="1">
      <w:start w:val="1"/>
      <w:numFmt w:val="bullet"/>
      <w:lvlText w:val="o"/>
      <w:lvlJc w:val="left"/>
      <w:pPr>
        <w:ind w:left="4672" w:hanging="360"/>
      </w:pPr>
      <w:rPr>
        <w:rFonts w:ascii="Courier New" w:hAnsi="Courier New" w:cs="Courier New" w:hint="default"/>
      </w:rPr>
    </w:lvl>
    <w:lvl w:ilvl="2" w:tplc="0C090005" w:tentative="1">
      <w:start w:val="1"/>
      <w:numFmt w:val="bullet"/>
      <w:lvlText w:val=""/>
      <w:lvlJc w:val="left"/>
      <w:pPr>
        <w:ind w:left="5392" w:hanging="360"/>
      </w:pPr>
      <w:rPr>
        <w:rFonts w:ascii="Wingdings" w:hAnsi="Wingdings" w:hint="default"/>
      </w:rPr>
    </w:lvl>
    <w:lvl w:ilvl="3" w:tplc="0C090001" w:tentative="1">
      <w:start w:val="1"/>
      <w:numFmt w:val="bullet"/>
      <w:lvlText w:val=""/>
      <w:lvlJc w:val="left"/>
      <w:pPr>
        <w:ind w:left="6112" w:hanging="360"/>
      </w:pPr>
      <w:rPr>
        <w:rFonts w:ascii="Symbol" w:hAnsi="Symbol" w:hint="default"/>
      </w:rPr>
    </w:lvl>
    <w:lvl w:ilvl="4" w:tplc="0C090003" w:tentative="1">
      <w:start w:val="1"/>
      <w:numFmt w:val="bullet"/>
      <w:lvlText w:val="o"/>
      <w:lvlJc w:val="left"/>
      <w:pPr>
        <w:ind w:left="6832" w:hanging="360"/>
      </w:pPr>
      <w:rPr>
        <w:rFonts w:ascii="Courier New" w:hAnsi="Courier New" w:cs="Courier New" w:hint="default"/>
      </w:rPr>
    </w:lvl>
    <w:lvl w:ilvl="5" w:tplc="0C090005" w:tentative="1">
      <w:start w:val="1"/>
      <w:numFmt w:val="bullet"/>
      <w:lvlText w:val=""/>
      <w:lvlJc w:val="left"/>
      <w:pPr>
        <w:ind w:left="7552" w:hanging="360"/>
      </w:pPr>
      <w:rPr>
        <w:rFonts w:ascii="Wingdings" w:hAnsi="Wingdings" w:hint="default"/>
      </w:rPr>
    </w:lvl>
    <w:lvl w:ilvl="6" w:tplc="0C090001" w:tentative="1">
      <w:start w:val="1"/>
      <w:numFmt w:val="bullet"/>
      <w:lvlText w:val=""/>
      <w:lvlJc w:val="left"/>
      <w:pPr>
        <w:ind w:left="8272" w:hanging="360"/>
      </w:pPr>
      <w:rPr>
        <w:rFonts w:ascii="Symbol" w:hAnsi="Symbol" w:hint="default"/>
      </w:rPr>
    </w:lvl>
    <w:lvl w:ilvl="7" w:tplc="0C090003" w:tentative="1">
      <w:start w:val="1"/>
      <w:numFmt w:val="bullet"/>
      <w:lvlText w:val="o"/>
      <w:lvlJc w:val="left"/>
      <w:pPr>
        <w:ind w:left="8992" w:hanging="360"/>
      </w:pPr>
      <w:rPr>
        <w:rFonts w:ascii="Courier New" w:hAnsi="Courier New" w:cs="Courier New" w:hint="default"/>
      </w:rPr>
    </w:lvl>
    <w:lvl w:ilvl="8" w:tplc="0C090005" w:tentative="1">
      <w:start w:val="1"/>
      <w:numFmt w:val="bullet"/>
      <w:lvlText w:val=""/>
      <w:lvlJc w:val="left"/>
      <w:pPr>
        <w:ind w:left="9712" w:hanging="360"/>
      </w:pPr>
      <w:rPr>
        <w:rFonts w:ascii="Wingdings" w:hAnsi="Wingdings" w:hint="default"/>
      </w:rPr>
    </w:lvl>
  </w:abstractNum>
  <w:num w:numId="1">
    <w:abstractNumId w:val="16"/>
  </w:num>
  <w:num w:numId="2">
    <w:abstractNumId w:val="15"/>
  </w:num>
  <w:num w:numId="3">
    <w:abstractNumId w:val="24"/>
  </w:num>
  <w:num w:numId="4">
    <w:abstractNumId w:val="23"/>
  </w:num>
  <w:num w:numId="5">
    <w:abstractNumId w:val="3"/>
  </w:num>
  <w:num w:numId="6">
    <w:abstractNumId w:val="22"/>
  </w:num>
  <w:num w:numId="7">
    <w:abstractNumId w:val="14"/>
  </w:num>
  <w:num w:numId="8">
    <w:abstractNumId w:val="9"/>
  </w:num>
  <w:num w:numId="9">
    <w:abstractNumId w:val="26"/>
  </w:num>
  <w:num w:numId="10">
    <w:abstractNumId w:val="19"/>
  </w:num>
  <w:num w:numId="11">
    <w:abstractNumId w:val="20"/>
  </w:num>
  <w:num w:numId="12">
    <w:abstractNumId w:val="2"/>
  </w:num>
  <w:num w:numId="13">
    <w:abstractNumId w:val="9"/>
  </w:num>
  <w:num w:numId="14">
    <w:abstractNumId w:val="9"/>
  </w:num>
  <w:num w:numId="15">
    <w:abstractNumId w:val="9"/>
  </w:num>
  <w:num w:numId="16">
    <w:abstractNumId w:val="9"/>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8"/>
  </w:num>
  <w:num w:numId="21">
    <w:abstractNumId w:val="0"/>
  </w:num>
  <w:num w:numId="22">
    <w:abstractNumId w:val="6"/>
  </w:num>
  <w:num w:numId="23">
    <w:abstractNumId w:val="6"/>
  </w:num>
  <w:num w:numId="24">
    <w:abstractNumId w:val="10"/>
  </w:num>
  <w:num w:numId="25">
    <w:abstractNumId w:val="12"/>
  </w:num>
  <w:num w:numId="26">
    <w:abstractNumId w:val="9"/>
  </w:num>
  <w:num w:numId="27">
    <w:abstractNumId w:val="21"/>
  </w:num>
  <w:num w:numId="28">
    <w:abstractNumId w:val="17"/>
  </w:num>
  <w:num w:numId="29">
    <w:abstractNumId w:val="27"/>
  </w:num>
  <w:num w:numId="30">
    <w:abstractNumId w:val="25"/>
    <w:lvlOverride w:ilvl="0">
      <w:startOverride w:val="9"/>
    </w:lvlOverride>
    <w:lvlOverride w:ilvl="1">
      <w:startOverride w:val="1"/>
    </w:lvlOverride>
  </w:num>
  <w:num w:numId="31">
    <w:abstractNumId w:val="25"/>
  </w:num>
  <w:num w:numId="32">
    <w:abstractNumId w:val="6"/>
  </w:num>
  <w:num w:numId="33">
    <w:abstractNumId w:val="8"/>
  </w:num>
  <w:num w:numId="34">
    <w:abstractNumId w:val="6"/>
  </w:num>
  <w:num w:numId="35">
    <w:abstractNumId w:val="9"/>
  </w:num>
  <w:num w:numId="36">
    <w:abstractNumId w:val="9"/>
  </w:num>
  <w:num w:numId="37">
    <w:abstractNumId w:val="9"/>
  </w:num>
  <w:num w:numId="38">
    <w:abstractNumId w:val="9"/>
  </w:num>
  <w:num w:numId="39">
    <w:abstractNumId w:val="9"/>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7"/>
    <w:lvlOverride w:ilvl="0">
      <w:startOverride w:val="87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num>
  <w:num w:numId="44">
    <w:abstractNumId w:val="6"/>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9"/>
  </w:num>
  <w:num w:numId="49">
    <w:abstractNumId w:val="9"/>
  </w:num>
  <w:num w:numId="50">
    <w:abstractNumId w:val="9"/>
  </w:num>
  <w:num w:numId="51">
    <w:abstractNumId w:val="9"/>
  </w:num>
  <w:num w:numId="52">
    <w:abstractNumId w:val="9"/>
  </w:num>
  <w:num w:numId="53">
    <w:abstractNumId w:val="9"/>
  </w:num>
  <w:num w:numId="54">
    <w:abstractNumId w:val="9"/>
  </w:num>
  <w:num w:numId="55">
    <w:abstractNumId w:val="9"/>
  </w:num>
  <w:num w:numId="56">
    <w:abstractNumId w:val="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425"/>
  <w:displayHorizontalDrawingGridEvery w:val="0"/>
  <w:displayVerticalDrawingGridEvery w:val="0"/>
  <w:doNotUseMarginsForDrawingGridOrigin/>
  <w:noPunctuationKerning/>
  <w:characterSpacingControl w:val="doNotCompress"/>
  <w:hdrShapeDefaults>
    <o:shapedefaults v:ext="edit" spidmax="37889">
      <o:colormru v:ext="edit" colors="#00a8d0,#008eb0,#1492e8,#1287d6,#117dc7,#c2e3fa"/>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9"/>
    <w:rsid w:val="000015A1"/>
    <w:rsid w:val="000039D8"/>
    <w:rsid w:val="000044AE"/>
    <w:rsid w:val="00006AB9"/>
    <w:rsid w:val="00011D53"/>
    <w:rsid w:val="00011E79"/>
    <w:rsid w:val="000169A0"/>
    <w:rsid w:val="00021177"/>
    <w:rsid w:val="00024B72"/>
    <w:rsid w:val="00025063"/>
    <w:rsid w:val="0002578A"/>
    <w:rsid w:val="000259B6"/>
    <w:rsid w:val="00026E8D"/>
    <w:rsid w:val="00027150"/>
    <w:rsid w:val="000279F0"/>
    <w:rsid w:val="00034D06"/>
    <w:rsid w:val="0003640A"/>
    <w:rsid w:val="00040230"/>
    <w:rsid w:val="0004049B"/>
    <w:rsid w:val="0004103B"/>
    <w:rsid w:val="00041D67"/>
    <w:rsid w:val="000424F1"/>
    <w:rsid w:val="000431FD"/>
    <w:rsid w:val="000456DF"/>
    <w:rsid w:val="00046846"/>
    <w:rsid w:val="00050529"/>
    <w:rsid w:val="000507AC"/>
    <w:rsid w:val="00050C46"/>
    <w:rsid w:val="00051547"/>
    <w:rsid w:val="00052A7B"/>
    <w:rsid w:val="00052C3E"/>
    <w:rsid w:val="000530A4"/>
    <w:rsid w:val="00055F0E"/>
    <w:rsid w:val="000563A2"/>
    <w:rsid w:val="00057409"/>
    <w:rsid w:val="00057DB2"/>
    <w:rsid w:val="00060304"/>
    <w:rsid w:val="000606B1"/>
    <w:rsid w:val="0006104A"/>
    <w:rsid w:val="00062B83"/>
    <w:rsid w:val="00062F6F"/>
    <w:rsid w:val="00063132"/>
    <w:rsid w:val="00063C16"/>
    <w:rsid w:val="00063DC4"/>
    <w:rsid w:val="00064DD8"/>
    <w:rsid w:val="000703CD"/>
    <w:rsid w:val="00070A09"/>
    <w:rsid w:val="00070A50"/>
    <w:rsid w:val="00070D33"/>
    <w:rsid w:val="00071556"/>
    <w:rsid w:val="00073B22"/>
    <w:rsid w:val="00080614"/>
    <w:rsid w:val="0008140A"/>
    <w:rsid w:val="00081C6C"/>
    <w:rsid w:val="00082154"/>
    <w:rsid w:val="00083EBF"/>
    <w:rsid w:val="00084B74"/>
    <w:rsid w:val="0008669C"/>
    <w:rsid w:val="000869B9"/>
    <w:rsid w:val="0008757C"/>
    <w:rsid w:val="000878DF"/>
    <w:rsid w:val="00087C8F"/>
    <w:rsid w:val="00087EA9"/>
    <w:rsid w:val="000906D6"/>
    <w:rsid w:val="00090AD5"/>
    <w:rsid w:val="000920C8"/>
    <w:rsid w:val="00095786"/>
    <w:rsid w:val="00096D0A"/>
    <w:rsid w:val="00096E41"/>
    <w:rsid w:val="00097240"/>
    <w:rsid w:val="00097284"/>
    <w:rsid w:val="00097434"/>
    <w:rsid w:val="00097838"/>
    <w:rsid w:val="000A1B0E"/>
    <w:rsid w:val="000A3BFF"/>
    <w:rsid w:val="000A4351"/>
    <w:rsid w:val="000A4666"/>
    <w:rsid w:val="000A61D7"/>
    <w:rsid w:val="000A7C37"/>
    <w:rsid w:val="000A7E01"/>
    <w:rsid w:val="000B254F"/>
    <w:rsid w:val="000B34D3"/>
    <w:rsid w:val="000B43A3"/>
    <w:rsid w:val="000B4401"/>
    <w:rsid w:val="000B4D8C"/>
    <w:rsid w:val="000C016C"/>
    <w:rsid w:val="000C08CC"/>
    <w:rsid w:val="000C32F7"/>
    <w:rsid w:val="000C4184"/>
    <w:rsid w:val="000C5174"/>
    <w:rsid w:val="000C7435"/>
    <w:rsid w:val="000C7915"/>
    <w:rsid w:val="000C7D76"/>
    <w:rsid w:val="000D04DE"/>
    <w:rsid w:val="000D1C40"/>
    <w:rsid w:val="000D50AE"/>
    <w:rsid w:val="000D543D"/>
    <w:rsid w:val="000D59A9"/>
    <w:rsid w:val="000D5E34"/>
    <w:rsid w:val="000D6420"/>
    <w:rsid w:val="000D64C7"/>
    <w:rsid w:val="000D6992"/>
    <w:rsid w:val="000D6BC1"/>
    <w:rsid w:val="000D7B4E"/>
    <w:rsid w:val="000E0B2A"/>
    <w:rsid w:val="000E2428"/>
    <w:rsid w:val="000E37AA"/>
    <w:rsid w:val="000E402A"/>
    <w:rsid w:val="000E5B9C"/>
    <w:rsid w:val="000E6930"/>
    <w:rsid w:val="000F23A4"/>
    <w:rsid w:val="000F39BE"/>
    <w:rsid w:val="000F4F0B"/>
    <w:rsid w:val="000F5D3F"/>
    <w:rsid w:val="000F5D53"/>
    <w:rsid w:val="00100DEB"/>
    <w:rsid w:val="001026A8"/>
    <w:rsid w:val="0010355D"/>
    <w:rsid w:val="00103568"/>
    <w:rsid w:val="00103669"/>
    <w:rsid w:val="00103B58"/>
    <w:rsid w:val="00104A2B"/>
    <w:rsid w:val="001058D4"/>
    <w:rsid w:val="0011060F"/>
    <w:rsid w:val="00111484"/>
    <w:rsid w:val="0011639F"/>
    <w:rsid w:val="00116B52"/>
    <w:rsid w:val="00117337"/>
    <w:rsid w:val="00117C8D"/>
    <w:rsid w:val="00122811"/>
    <w:rsid w:val="00124735"/>
    <w:rsid w:val="00126CAC"/>
    <w:rsid w:val="00127434"/>
    <w:rsid w:val="00132A01"/>
    <w:rsid w:val="001332C6"/>
    <w:rsid w:val="0013381F"/>
    <w:rsid w:val="00133C4D"/>
    <w:rsid w:val="0013504B"/>
    <w:rsid w:val="001354EA"/>
    <w:rsid w:val="0013567C"/>
    <w:rsid w:val="001356F2"/>
    <w:rsid w:val="00135D53"/>
    <w:rsid w:val="001366E8"/>
    <w:rsid w:val="00137419"/>
    <w:rsid w:val="00140E25"/>
    <w:rsid w:val="00140E39"/>
    <w:rsid w:val="00142764"/>
    <w:rsid w:val="0014390D"/>
    <w:rsid w:val="0014693B"/>
    <w:rsid w:val="00146BEB"/>
    <w:rsid w:val="00146F85"/>
    <w:rsid w:val="0014767B"/>
    <w:rsid w:val="00151205"/>
    <w:rsid w:val="00151A5C"/>
    <w:rsid w:val="00153D30"/>
    <w:rsid w:val="00153E5E"/>
    <w:rsid w:val="001542B4"/>
    <w:rsid w:val="00156485"/>
    <w:rsid w:val="00157091"/>
    <w:rsid w:val="0016006E"/>
    <w:rsid w:val="00160100"/>
    <w:rsid w:val="0016040D"/>
    <w:rsid w:val="00165ACF"/>
    <w:rsid w:val="00173ECE"/>
    <w:rsid w:val="00174204"/>
    <w:rsid w:val="00177AF4"/>
    <w:rsid w:val="00180CDE"/>
    <w:rsid w:val="00181DE7"/>
    <w:rsid w:val="001843DC"/>
    <w:rsid w:val="00184E79"/>
    <w:rsid w:val="0018673B"/>
    <w:rsid w:val="001904A6"/>
    <w:rsid w:val="001919C8"/>
    <w:rsid w:val="00191AA3"/>
    <w:rsid w:val="0019299C"/>
    <w:rsid w:val="00192B47"/>
    <w:rsid w:val="00193672"/>
    <w:rsid w:val="001A0B04"/>
    <w:rsid w:val="001A15B5"/>
    <w:rsid w:val="001A2537"/>
    <w:rsid w:val="001A2A7A"/>
    <w:rsid w:val="001A2C7D"/>
    <w:rsid w:val="001A2ED1"/>
    <w:rsid w:val="001A4717"/>
    <w:rsid w:val="001B0949"/>
    <w:rsid w:val="001B3035"/>
    <w:rsid w:val="001B5C0D"/>
    <w:rsid w:val="001B7294"/>
    <w:rsid w:val="001B7572"/>
    <w:rsid w:val="001B7D48"/>
    <w:rsid w:val="001C0B5D"/>
    <w:rsid w:val="001C22B5"/>
    <w:rsid w:val="001C3BA8"/>
    <w:rsid w:val="001C58DE"/>
    <w:rsid w:val="001C6EC1"/>
    <w:rsid w:val="001C70A4"/>
    <w:rsid w:val="001C7546"/>
    <w:rsid w:val="001D0307"/>
    <w:rsid w:val="001D0CEA"/>
    <w:rsid w:val="001D258A"/>
    <w:rsid w:val="001D6DAA"/>
    <w:rsid w:val="001D7A07"/>
    <w:rsid w:val="001D7FAE"/>
    <w:rsid w:val="001D7FDC"/>
    <w:rsid w:val="001E3997"/>
    <w:rsid w:val="001E4D96"/>
    <w:rsid w:val="001E5846"/>
    <w:rsid w:val="001E6200"/>
    <w:rsid w:val="001F0FC4"/>
    <w:rsid w:val="001F16FE"/>
    <w:rsid w:val="001F24FA"/>
    <w:rsid w:val="001F3A96"/>
    <w:rsid w:val="001F3FD6"/>
    <w:rsid w:val="001F403F"/>
    <w:rsid w:val="001F4F2B"/>
    <w:rsid w:val="001F5C60"/>
    <w:rsid w:val="001F5D5A"/>
    <w:rsid w:val="001F5E2E"/>
    <w:rsid w:val="001F6A1F"/>
    <w:rsid w:val="0020453A"/>
    <w:rsid w:val="002068F6"/>
    <w:rsid w:val="00210332"/>
    <w:rsid w:val="0021177B"/>
    <w:rsid w:val="00211BA1"/>
    <w:rsid w:val="00211CA5"/>
    <w:rsid w:val="002127BB"/>
    <w:rsid w:val="00213C61"/>
    <w:rsid w:val="00215E73"/>
    <w:rsid w:val="00216A91"/>
    <w:rsid w:val="00220093"/>
    <w:rsid w:val="002233EF"/>
    <w:rsid w:val="00224DBF"/>
    <w:rsid w:val="00231391"/>
    <w:rsid w:val="002320E8"/>
    <w:rsid w:val="00232BF3"/>
    <w:rsid w:val="00234185"/>
    <w:rsid w:val="00234499"/>
    <w:rsid w:val="00235595"/>
    <w:rsid w:val="00236869"/>
    <w:rsid w:val="002368BD"/>
    <w:rsid w:val="00241C5B"/>
    <w:rsid w:val="0024211A"/>
    <w:rsid w:val="00242316"/>
    <w:rsid w:val="00243482"/>
    <w:rsid w:val="00244A3C"/>
    <w:rsid w:val="00244E50"/>
    <w:rsid w:val="00246497"/>
    <w:rsid w:val="00250F0E"/>
    <w:rsid w:val="00251775"/>
    <w:rsid w:val="002517A6"/>
    <w:rsid w:val="002522CA"/>
    <w:rsid w:val="00252D19"/>
    <w:rsid w:val="00255DBD"/>
    <w:rsid w:val="00256D8C"/>
    <w:rsid w:val="002570E0"/>
    <w:rsid w:val="002579A0"/>
    <w:rsid w:val="00257AEB"/>
    <w:rsid w:val="00260748"/>
    <w:rsid w:val="00261A15"/>
    <w:rsid w:val="00261A42"/>
    <w:rsid w:val="00261D07"/>
    <w:rsid w:val="00262053"/>
    <w:rsid w:val="0026208D"/>
    <w:rsid w:val="0026220B"/>
    <w:rsid w:val="0026369B"/>
    <w:rsid w:val="00264317"/>
    <w:rsid w:val="00266E91"/>
    <w:rsid w:val="002676F6"/>
    <w:rsid w:val="00271408"/>
    <w:rsid w:val="00271B91"/>
    <w:rsid w:val="002725EA"/>
    <w:rsid w:val="00272B52"/>
    <w:rsid w:val="00273BFA"/>
    <w:rsid w:val="002744C3"/>
    <w:rsid w:val="00274505"/>
    <w:rsid w:val="002751EA"/>
    <w:rsid w:val="00275342"/>
    <w:rsid w:val="0027538B"/>
    <w:rsid w:val="00275403"/>
    <w:rsid w:val="00276BE3"/>
    <w:rsid w:val="002774A0"/>
    <w:rsid w:val="00282807"/>
    <w:rsid w:val="00283236"/>
    <w:rsid w:val="002835F3"/>
    <w:rsid w:val="0028434A"/>
    <w:rsid w:val="00284370"/>
    <w:rsid w:val="00284994"/>
    <w:rsid w:val="00284F8A"/>
    <w:rsid w:val="00287EAE"/>
    <w:rsid w:val="002910D6"/>
    <w:rsid w:val="00291661"/>
    <w:rsid w:val="002968A7"/>
    <w:rsid w:val="00296FC0"/>
    <w:rsid w:val="002A14F2"/>
    <w:rsid w:val="002A39B7"/>
    <w:rsid w:val="002A565E"/>
    <w:rsid w:val="002A5860"/>
    <w:rsid w:val="002A7218"/>
    <w:rsid w:val="002B038E"/>
    <w:rsid w:val="002B0DA1"/>
    <w:rsid w:val="002B23A2"/>
    <w:rsid w:val="002B4C2E"/>
    <w:rsid w:val="002B6870"/>
    <w:rsid w:val="002B6AA5"/>
    <w:rsid w:val="002B74F1"/>
    <w:rsid w:val="002B7E0A"/>
    <w:rsid w:val="002C0EA6"/>
    <w:rsid w:val="002C1239"/>
    <w:rsid w:val="002C2D5E"/>
    <w:rsid w:val="002C362A"/>
    <w:rsid w:val="002C6E4B"/>
    <w:rsid w:val="002C7910"/>
    <w:rsid w:val="002D0910"/>
    <w:rsid w:val="002D244B"/>
    <w:rsid w:val="002D39A9"/>
    <w:rsid w:val="002D3F93"/>
    <w:rsid w:val="002D584B"/>
    <w:rsid w:val="002D59A2"/>
    <w:rsid w:val="002D5F22"/>
    <w:rsid w:val="002E029C"/>
    <w:rsid w:val="002E0589"/>
    <w:rsid w:val="002E096C"/>
    <w:rsid w:val="002E18C8"/>
    <w:rsid w:val="002E1B25"/>
    <w:rsid w:val="002E1E77"/>
    <w:rsid w:val="002E1F53"/>
    <w:rsid w:val="002E2C8C"/>
    <w:rsid w:val="002E2E55"/>
    <w:rsid w:val="002E4428"/>
    <w:rsid w:val="002E4D55"/>
    <w:rsid w:val="002E7121"/>
    <w:rsid w:val="002F0645"/>
    <w:rsid w:val="002F486E"/>
    <w:rsid w:val="002F6CAF"/>
    <w:rsid w:val="00300784"/>
    <w:rsid w:val="00301DF5"/>
    <w:rsid w:val="003024F0"/>
    <w:rsid w:val="0030301C"/>
    <w:rsid w:val="00303865"/>
    <w:rsid w:val="003063EE"/>
    <w:rsid w:val="00306E4A"/>
    <w:rsid w:val="00307383"/>
    <w:rsid w:val="003120E8"/>
    <w:rsid w:val="00313F8A"/>
    <w:rsid w:val="00315BBF"/>
    <w:rsid w:val="00316993"/>
    <w:rsid w:val="00321C9F"/>
    <w:rsid w:val="003221DE"/>
    <w:rsid w:val="00322516"/>
    <w:rsid w:val="00323D5C"/>
    <w:rsid w:val="003249D4"/>
    <w:rsid w:val="00325A05"/>
    <w:rsid w:val="00327440"/>
    <w:rsid w:val="0033047B"/>
    <w:rsid w:val="003325A9"/>
    <w:rsid w:val="00333971"/>
    <w:rsid w:val="00335710"/>
    <w:rsid w:val="003365AB"/>
    <w:rsid w:val="00336F07"/>
    <w:rsid w:val="00345EEA"/>
    <w:rsid w:val="0035058D"/>
    <w:rsid w:val="00350DAB"/>
    <w:rsid w:val="00350FF6"/>
    <w:rsid w:val="0035133F"/>
    <w:rsid w:val="0035168D"/>
    <w:rsid w:val="00351CE7"/>
    <w:rsid w:val="003523D4"/>
    <w:rsid w:val="00352BBD"/>
    <w:rsid w:val="0035386C"/>
    <w:rsid w:val="00353BF5"/>
    <w:rsid w:val="003552ED"/>
    <w:rsid w:val="003554D6"/>
    <w:rsid w:val="00356150"/>
    <w:rsid w:val="003605BB"/>
    <w:rsid w:val="003624A1"/>
    <w:rsid w:val="00363B7D"/>
    <w:rsid w:val="00364637"/>
    <w:rsid w:val="00366AA5"/>
    <w:rsid w:val="00366D41"/>
    <w:rsid w:val="00367889"/>
    <w:rsid w:val="00371944"/>
    <w:rsid w:val="00373374"/>
    <w:rsid w:val="00373630"/>
    <w:rsid w:val="00373861"/>
    <w:rsid w:val="003746C7"/>
    <w:rsid w:val="003752CB"/>
    <w:rsid w:val="00377338"/>
    <w:rsid w:val="003808E3"/>
    <w:rsid w:val="00380F94"/>
    <w:rsid w:val="00381035"/>
    <w:rsid w:val="00384A25"/>
    <w:rsid w:val="003863A8"/>
    <w:rsid w:val="00387247"/>
    <w:rsid w:val="0039036D"/>
    <w:rsid w:val="00391E86"/>
    <w:rsid w:val="00392065"/>
    <w:rsid w:val="00392130"/>
    <w:rsid w:val="00392CB4"/>
    <w:rsid w:val="003944DA"/>
    <w:rsid w:val="00394D14"/>
    <w:rsid w:val="003953C4"/>
    <w:rsid w:val="003958A6"/>
    <w:rsid w:val="003970D2"/>
    <w:rsid w:val="003A227C"/>
    <w:rsid w:val="003A31C1"/>
    <w:rsid w:val="003A3246"/>
    <w:rsid w:val="003A6974"/>
    <w:rsid w:val="003A6C0F"/>
    <w:rsid w:val="003A6D32"/>
    <w:rsid w:val="003B137C"/>
    <w:rsid w:val="003B1807"/>
    <w:rsid w:val="003B1C32"/>
    <w:rsid w:val="003B2199"/>
    <w:rsid w:val="003B2D47"/>
    <w:rsid w:val="003B468D"/>
    <w:rsid w:val="003B50D0"/>
    <w:rsid w:val="003B77D8"/>
    <w:rsid w:val="003B7ED4"/>
    <w:rsid w:val="003C1F84"/>
    <w:rsid w:val="003C3719"/>
    <w:rsid w:val="003C4239"/>
    <w:rsid w:val="003C5111"/>
    <w:rsid w:val="003C51E7"/>
    <w:rsid w:val="003C5C3E"/>
    <w:rsid w:val="003C75EF"/>
    <w:rsid w:val="003C7983"/>
    <w:rsid w:val="003C7C4E"/>
    <w:rsid w:val="003D1867"/>
    <w:rsid w:val="003D3198"/>
    <w:rsid w:val="003D3578"/>
    <w:rsid w:val="003D4BEA"/>
    <w:rsid w:val="003D5BC2"/>
    <w:rsid w:val="003E0317"/>
    <w:rsid w:val="003E133F"/>
    <w:rsid w:val="003E1E20"/>
    <w:rsid w:val="003E349C"/>
    <w:rsid w:val="003E4C01"/>
    <w:rsid w:val="003E549E"/>
    <w:rsid w:val="003E7C19"/>
    <w:rsid w:val="003F35C5"/>
    <w:rsid w:val="003F3A70"/>
    <w:rsid w:val="003F5B4F"/>
    <w:rsid w:val="00400047"/>
    <w:rsid w:val="004011B7"/>
    <w:rsid w:val="004019CD"/>
    <w:rsid w:val="00401EDC"/>
    <w:rsid w:val="00406B18"/>
    <w:rsid w:val="00407773"/>
    <w:rsid w:val="00411185"/>
    <w:rsid w:val="00411838"/>
    <w:rsid w:val="004118D5"/>
    <w:rsid w:val="00411F92"/>
    <w:rsid w:val="0041210E"/>
    <w:rsid w:val="00416096"/>
    <w:rsid w:val="00417B10"/>
    <w:rsid w:val="00426913"/>
    <w:rsid w:val="00427ECB"/>
    <w:rsid w:val="004312D9"/>
    <w:rsid w:val="00431A90"/>
    <w:rsid w:val="00432C38"/>
    <w:rsid w:val="00433EEF"/>
    <w:rsid w:val="00434072"/>
    <w:rsid w:val="00437EBF"/>
    <w:rsid w:val="00442FA9"/>
    <w:rsid w:val="00444D91"/>
    <w:rsid w:val="004462B6"/>
    <w:rsid w:val="00451329"/>
    <w:rsid w:val="00455083"/>
    <w:rsid w:val="00455DEE"/>
    <w:rsid w:val="00460061"/>
    <w:rsid w:val="0046174A"/>
    <w:rsid w:val="004628F7"/>
    <w:rsid w:val="004640DF"/>
    <w:rsid w:val="0046417B"/>
    <w:rsid w:val="00465DBB"/>
    <w:rsid w:val="0046797C"/>
    <w:rsid w:val="00467B47"/>
    <w:rsid w:val="00470848"/>
    <w:rsid w:val="004725B6"/>
    <w:rsid w:val="004741E4"/>
    <w:rsid w:val="00475801"/>
    <w:rsid w:val="00475A66"/>
    <w:rsid w:val="00480FDA"/>
    <w:rsid w:val="00481861"/>
    <w:rsid w:val="004844BD"/>
    <w:rsid w:val="0048494D"/>
    <w:rsid w:val="004861C3"/>
    <w:rsid w:val="00487A8B"/>
    <w:rsid w:val="00487CB3"/>
    <w:rsid w:val="004913DB"/>
    <w:rsid w:val="004933D1"/>
    <w:rsid w:val="00493B8A"/>
    <w:rsid w:val="00493BBB"/>
    <w:rsid w:val="00495272"/>
    <w:rsid w:val="0049620D"/>
    <w:rsid w:val="004A0FD0"/>
    <w:rsid w:val="004A1FFA"/>
    <w:rsid w:val="004A353B"/>
    <w:rsid w:val="004A4F7C"/>
    <w:rsid w:val="004A50B4"/>
    <w:rsid w:val="004B0A4F"/>
    <w:rsid w:val="004B1D3C"/>
    <w:rsid w:val="004B2B15"/>
    <w:rsid w:val="004B3EFE"/>
    <w:rsid w:val="004B60B7"/>
    <w:rsid w:val="004B679D"/>
    <w:rsid w:val="004C3DC2"/>
    <w:rsid w:val="004C40D4"/>
    <w:rsid w:val="004C54E4"/>
    <w:rsid w:val="004C6162"/>
    <w:rsid w:val="004C72A9"/>
    <w:rsid w:val="004C7386"/>
    <w:rsid w:val="004C7E08"/>
    <w:rsid w:val="004D025B"/>
    <w:rsid w:val="004D0CB9"/>
    <w:rsid w:val="004D1080"/>
    <w:rsid w:val="004D2351"/>
    <w:rsid w:val="004D27D5"/>
    <w:rsid w:val="004D29D1"/>
    <w:rsid w:val="004D3190"/>
    <w:rsid w:val="004D364C"/>
    <w:rsid w:val="004D4FE2"/>
    <w:rsid w:val="004E25A8"/>
    <w:rsid w:val="004E453E"/>
    <w:rsid w:val="004E4B81"/>
    <w:rsid w:val="004E5199"/>
    <w:rsid w:val="004E6186"/>
    <w:rsid w:val="004E61FB"/>
    <w:rsid w:val="004E6261"/>
    <w:rsid w:val="004F037C"/>
    <w:rsid w:val="004F13D8"/>
    <w:rsid w:val="004F1976"/>
    <w:rsid w:val="004F1B6A"/>
    <w:rsid w:val="004F2396"/>
    <w:rsid w:val="004F346A"/>
    <w:rsid w:val="004F5BBE"/>
    <w:rsid w:val="004F62DA"/>
    <w:rsid w:val="004F6680"/>
    <w:rsid w:val="004F7B80"/>
    <w:rsid w:val="00500A9D"/>
    <w:rsid w:val="00503357"/>
    <w:rsid w:val="00506331"/>
    <w:rsid w:val="005069B2"/>
    <w:rsid w:val="00506CAF"/>
    <w:rsid w:val="00507395"/>
    <w:rsid w:val="00507725"/>
    <w:rsid w:val="00507A3E"/>
    <w:rsid w:val="00510AD6"/>
    <w:rsid w:val="00514A14"/>
    <w:rsid w:val="0051586A"/>
    <w:rsid w:val="00515CD5"/>
    <w:rsid w:val="00516816"/>
    <w:rsid w:val="005201E0"/>
    <w:rsid w:val="0052052E"/>
    <w:rsid w:val="00520DFF"/>
    <w:rsid w:val="005217F4"/>
    <w:rsid w:val="00521E08"/>
    <w:rsid w:val="0052280B"/>
    <w:rsid w:val="005245C7"/>
    <w:rsid w:val="00524EDC"/>
    <w:rsid w:val="0052513B"/>
    <w:rsid w:val="00525C4A"/>
    <w:rsid w:val="00526795"/>
    <w:rsid w:val="00526D2A"/>
    <w:rsid w:val="005275D2"/>
    <w:rsid w:val="00527A13"/>
    <w:rsid w:val="0053035B"/>
    <w:rsid w:val="00531333"/>
    <w:rsid w:val="00531B43"/>
    <w:rsid w:val="005370F6"/>
    <w:rsid w:val="00537496"/>
    <w:rsid w:val="00537DFB"/>
    <w:rsid w:val="00537FD3"/>
    <w:rsid w:val="00540E02"/>
    <w:rsid w:val="0054184C"/>
    <w:rsid w:val="005418BD"/>
    <w:rsid w:val="0054265E"/>
    <w:rsid w:val="00542A56"/>
    <w:rsid w:val="005433C3"/>
    <w:rsid w:val="00543DCE"/>
    <w:rsid w:val="00544E80"/>
    <w:rsid w:val="005521CA"/>
    <w:rsid w:val="00554B9F"/>
    <w:rsid w:val="00557728"/>
    <w:rsid w:val="00562023"/>
    <w:rsid w:val="005635CB"/>
    <w:rsid w:val="005657EB"/>
    <w:rsid w:val="0056653A"/>
    <w:rsid w:val="00566601"/>
    <w:rsid w:val="00570F0F"/>
    <w:rsid w:val="00572C99"/>
    <w:rsid w:val="0057385D"/>
    <w:rsid w:val="0057404B"/>
    <w:rsid w:val="00575B21"/>
    <w:rsid w:val="00575BC2"/>
    <w:rsid w:val="0057607B"/>
    <w:rsid w:val="00576865"/>
    <w:rsid w:val="00576C1B"/>
    <w:rsid w:val="005802AF"/>
    <w:rsid w:val="00582851"/>
    <w:rsid w:val="005867A5"/>
    <w:rsid w:val="00590D8D"/>
    <w:rsid w:val="0059171F"/>
    <w:rsid w:val="005949F1"/>
    <w:rsid w:val="00596266"/>
    <w:rsid w:val="0059746D"/>
    <w:rsid w:val="00597F97"/>
    <w:rsid w:val="005A0BB2"/>
    <w:rsid w:val="005A3038"/>
    <w:rsid w:val="005A3606"/>
    <w:rsid w:val="005A457D"/>
    <w:rsid w:val="005A6F28"/>
    <w:rsid w:val="005B28F1"/>
    <w:rsid w:val="005B2925"/>
    <w:rsid w:val="005B6717"/>
    <w:rsid w:val="005C04A2"/>
    <w:rsid w:val="005C17C3"/>
    <w:rsid w:val="005C23A2"/>
    <w:rsid w:val="005C2F1F"/>
    <w:rsid w:val="005C4131"/>
    <w:rsid w:val="005C4951"/>
    <w:rsid w:val="005C5D2E"/>
    <w:rsid w:val="005C7184"/>
    <w:rsid w:val="005D12AB"/>
    <w:rsid w:val="005D3DF3"/>
    <w:rsid w:val="005D5EA2"/>
    <w:rsid w:val="005D607D"/>
    <w:rsid w:val="005D6B2C"/>
    <w:rsid w:val="005E402A"/>
    <w:rsid w:val="005E45D1"/>
    <w:rsid w:val="005E4A43"/>
    <w:rsid w:val="005E4F7A"/>
    <w:rsid w:val="005E578D"/>
    <w:rsid w:val="005E6626"/>
    <w:rsid w:val="005E7C34"/>
    <w:rsid w:val="005F38F4"/>
    <w:rsid w:val="005F4AC6"/>
    <w:rsid w:val="005F633B"/>
    <w:rsid w:val="005F7CE9"/>
    <w:rsid w:val="00600A86"/>
    <w:rsid w:val="00604049"/>
    <w:rsid w:val="00604BD9"/>
    <w:rsid w:val="006103FD"/>
    <w:rsid w:val="00611973"/>
    <w:rsid w:val="006133DD"/>
    <w:rsid w:val="0061350D"/>
    <w:rsid w:val="0061360D"/>
    <w:rsid w:val="00613917"/>
    <w:rsid w:val="00613A2C"/>
    <w:rsid w:val="00614548"/>
    <w:rsid w:val="00614BAC"/>
    <w:rsid w:val="006151AE"/>
    <w:rsid w:val="00616918"/>
    <w:rsid w:val="006169EB"/>
    <w:rsid w:val="00616CAF"/>
    <w:rsid w:val="0062173E"/>
    <w:rsid w:val="00621E2C"/>
    <w:rsid w:val="0062245D"/>
    <w:rsid w:val="0062256C"/>
    <w:rsid w:val="006243CF"/>
    <w:rsid w:val="006247E1"/>
    <w:rsid w:val="00626144"/>
    <w:rsid w:val="0062634C"/>
    <w:rsid w:val="006268EA"/>
    <w:rsid w:val="006269ED"/>
    <w:rsid w:val="00626EA0"/>
    <w:rsid w:val="00626F3F"/>
    <w:rsid w:val="00631BF3"/>
    <w:rsid w:val="00635D6F"/>
    <w:rsid w:val="00640456"/>
    <w:rsid w:val="006413B8"/>
    <w:rsid w:val="006432A3"/>
    <w:rsid w:val="00645767"/>
    <w:rsid w:val="00646C08"/>
    <w:rsid w:val="00647BF1"/>
    <w:rsid w:val="00651434"/>
    <w:rsid w:val="00652045"/>
    <w:rsid w:val="00652893"/>
    <w:rsid w:val="00653423"/>
    <w:rsid w:val="00653D86"/>
    <w:rsid w:val="00655FC4"/>
    <w:rsid w:val="0065626F"/>
    <w:rsid w:val="00656702"/>
    <w:rsid w:val="006578E0"/>
    <w:rsid w:val="0066003C"/>
    <w:rsid w:val="0066093C"/>
    <w:rsid w:val="00663CF9"/>
    <w:rsid w:val="00664EAB"/>
    <w:rsid w:val="006717AC"/>
    <w:rsid w:val="00671A92"/>
    <w:rsid w:val="006725A3"/>
    <w:rsid w:val="00672C98"/>
    <w:rsid w:val="00675DF1"/>
    <w:rsid w:val="00677EA6"/>
    <w:rsid w:val="00682496"/>
    <w:rsid w:val="0068535C"/>
    <w:rsid w:val="00690F97"/>
    <w:rsid w:val="00691286"/>
    <w:rsid w:val="00691C7E"/>
    <w:rsid w:val="00694EE6"/>
    <w:rsid w:val="00696879"/>
    <w:rsid w:val="006971F8"/>
    <w:rsid w:val="0069745F"/>
    <w:rsid w:val="006A051C"/>
    <w:rsid w:val="006A067A"/>
    <w:rsid w:val="006A0CB1"/>
    <w:rsid w:val="006A18C4"/>
    <w:rsid w:val="006A5422"/>
    <w:rsid w:val="006A5593"/>
    <w:rsid w:val="006A6835"/>
    <w:rsid w:val="006A7183"/>
    <w:rsid w:val="006B0F2E"/>
    <w:rsid w:val="006B1416"/>
    <w:rsid w:val="006B2819"/>
    <w:rsid w:val="006B6436"/>
    <w:rsid w:val="006B68E9"/>
    <w:rsid w:val="006B6A5A"/>
    <w:rsid w:val="006B732D"/>
    <w:rsid w:val="006B7403"/>
    <w:rsid w:val="006C05BB"/>
    <w:rsid w:val="006C3917"/>
    <w:rsid w:val="006C3DF2"/>
    <w:rsid w:val="006C4413"/>
    <w:rsid w:val="006C71E5"/>
    <w:rsid w:val="006C7E02"/>
    <w:rsid w:val="006D1835"/>
    <w:rsid w:val="006D2BEC"/>
    <w:rsid w:val="006D4352"/>
    <w:rsid w:val="006D5384"/>
    <w:rsid w:val="006E117E"/>
    <w:rsid w:val="006E1276"/>
    <w:rsid w:val="006E1ACC"/>
    <w:rsid w:val="006E29C3"/>
    <w:rsid w:val="006E35E4"/>
    <w:rsid w:val="006E65D9"/>
    <w:rsid w:val="006E75B9"/>
    <w:rsid w:val="006E789B"/>
    <w:rsid w:val="006F4651"/>
    <w:rsid w:val="006F710D"/>
    <w:rsid w:val="006F7719"/>
    <w:rsid w:val="006F7AB9"/>
    <w:rsid w:val="006F7DAF"/>
    <w:rsid w:val="00700EE4"/>
    <w:rsid w:val="00701A1E"/>
    <w:rsid w:val="00701F18"/>
    <w:rsid w:val="0070206C"/>
    <w:rsid w:val="00705740"/>
    <w:rsid w:val="00706519"/>
    <w:rsid w:val="00713054"/>
    <w:rsid w:val="0071468B"/>
    <w:rsid w:val="00714E3E"/>
    <w:rsid w:val="00715C95"/>
    <w:rsid w:val="00716231"/>
    <w:rsid w:val="0071641C"/>
    <w:rsid w:val="00716BD6"/>
    <w:rsid w:val="00717C76"/>
    <w:rsid w:val="0072031C"/>
    <w:rsid w:val="00721A46"/>
    <w:rsid w:val="007222EB"/>
    <w:rsid w:val="00722BEA"/>
    <w:rsid w:val="00722DC0"/>
    <w:rsid w:val="00722E04"/>
    <w:rsid w:val="007232E7"/>
    <w:rsid w:val="0072344E"/>
    <w:rsid w:val="00725E22"/>
    <w:rsid w:val="0072708E"/>
    <w:rsid w:val="00731600"/>
    <w:rsid w:val="00733285"/>
    <w:rsid w:val="007360A0"/>
    <w:rsid w:val="0074395E"/>
    <w:rsid w:val="00743A89"/>
    <w:rsid w:val="0074761A"/>
    <w:rsid w:val="00751598"/>
    <w:rsid w:val="007520A8"/>
    <w:rsid w:val="00753220"/>
    <w:rsid w:val="00753D3B"/>
    <w:rsid w:val="007546DA"/>
    <w:rsid w:val="007548FC"/>
    <w:rsid w:val="00754E52"/>
    <w:rsid w:val="0075789E"/>
    <w:rsid w:val="00761CC1"/>
    <w:rsid w:val="00762C7B"/>
    <w:rsid w:val="007639B8"/>
    <w:rsid w:val="007648CD"/>
    <w:rsid w:val="00770327"/>
    <w:rsid w:val="00771441"/>
    <w:rsid w:val="0077482F"/>
    <w:rsid w:val="00774DDB"/>
    <w:rsid w:val="0077649F"/>
    <w:rsid w:val="007767B5"/>
    <w:rsid w:val="0077724D"/>
    <w:rsid w:val="00780A92"/>
    <w:rsid w:val="00781BD2"/>
    <w:rsid w:val="00782695"/>
    <w:rsid w:val="00784105"/>
    <w:rsid w:val="007855DC"/>
    <w:rsid w:val="00785ACB"/>
    <w:rsid w:val="007925DC"/>
    <w:rsid w:val="00793831"/>
    <w:rsid w:val="00793A25"/>
    <w:rsid w:val="00794B54"/>
    <w:rsid w:val="00796210"/>
    <w:rsid w:val="0079770C"/>
    <w:rsid w:val="00797BA5"/>
    <w:rsid w:val="00797FD4"/>
    <w:rsid w:val="007A2413"/>
    <w:rsid w:val="007A3397"/>
    <w:rsid w:val="007A5F9F"/>
    <w:rsid w:val="007A61B1"/>
    <w:rsid w:val="007A71CA"/>
    <w:rsid w:val="007A7F10"/>
    <w:rsid w:val="007B0C5D"/>
    <w:rsid w:val="007B4C23"/>
    <w:rsid w:val="007B65BF"/>
    <w:rsid w:val="007C0664"/>
    <w:rsid w:val="007C0A87"/>
    <w:rsid w:val="007C31C3"/>
    <w:rsid w:val="007C4C84"/>
    <w:rsid w:val="007D2B08"/>
    <w:rsid w:val="007D398F"/>
    <w:rsid w:val="007D5263"/>
    <w:rsid w:val="007D5A09"/>
    <w:rsid w:val="007E1583"/>
    <w:rsid w:val="007E2108"/>
    <w:rsid w:val="007E4914"/>
    <w:rsid w:val="007E52CC"/>
    <w:rsid w:val="007E5C30"/>
    <w:rsid w:val="007E6FAE"/>
    <w:rsid w:val="007F0544"/>
    <w:rsid w:val="007F483D"/>
    <w:rsid w:val="007F4C16"/>
    <w:rsid w:val="007F655B"/>
    <w:rsid w:val="007F7212"/>
    <w:rsid w:val="00801B52"/>
    <w:rsid w:val="0080274C"/>
    <w:rsid w:val="00805C75"/>
    <w:rsid w:val="00806A1E"/>
    <w:rsid w:val="008105CC"/>
    <w:rsid w:val="008122A3"/>
    <w:rsid w:val="00812988"/>
    <w:rsid w:val="00812DCA"/>
    <w:rsid w:val="0081374C"/>
    <w:rsid w:val="00813CEB"/>
    <w:rsid w:val="00813CFD"/>
    <w:rsid w:val="00816003"/>
    <w:rsid w:val="008163CD"/>
    <w:rsid w:val="008206B5"/>
    <w:rsid w:val="00822573"/>
    <w:rsid w:val="00832AEA"/>
    <w:rsid w:val="0083411B"/>
    <w:rsid w:val="00834D1F"/>
    <w:rsid w:val="00836D50"/>
    <w:rsid w:val="00842C10"/>
    <w:rsid w:val="00843E0E"/>
    <w:rsid w:val="008447F4"/>
    <w:rsid w:val="0084583A"/>
    <w:rsid w:val="00845BB0"/>
    <w:rsid w:val="00847766"/>
    <w:rsid w:val="00847B0E"/>
    <w:rsid w:val="00847F7B"/>
    <w:rsid w:val="0085029A"/>
    <w:rsid w:val="00850B7A"/>
    <w:rsid w:val="00852407"/>
    <w:rsid w:val="00856333"/>
    <w:rsid w:val="00856F11"/>
    <w:rsid w:val="00863A92"/>
    <w:rsid w:val="00863B2E"/>
    <w:rsid w:val="00864843"/>
    <w:rsid w:val="0086779D"/>
    <w:rsid w:val="00876CEE"/>
    <w:rsid w:val="00877920"/>
    <w:rsid w:val="0088125E"/>
    <w:rsid w:val="008817AE"/>
    <w:rsid w:val="00881B1D"/>
    <w:rsid w:val="0088624A"/>
    <w:rsid w:val="00886D9F"/>
    <w:rsid w:val="00890965"/>
    <w:rsid w:val="00891163"/>
    <w:rsid w:val="00891BE4"/>
    <w:rsid w:val="008937BD"/>
    <w:rsid w:val="0089474E"/>
    <w:rsid w:val="00895EC1"/>
    <w:rsid w:val="00897978"/>
    <w:rsid w:val="008A1941"/>
    <w:rsid w:val="008A1CD7"/>
    <w:rsid w:val="008A20B7"/>
    <w:rsid w:val="008A3521"/>
    <w:rsid w:val="008A781E"/>
    <w:rsid w:val="008A7885"/>
    <w:rsid w:val="008B0A2C"/>
    <w:rsid w:val="008B0E9D"/>
    <w:rsid w:val="008B664F"/>
    <w:rsid w:val="008B73AA"/>
    <w:rsid w:val="008C2057"/>
    <w:rsid w:val="008C4A94"/>
    <w:rsid w:val="008C5E07"/>
    <w:rsid w:val="008C7CC9"/>
    <w:rsid w:val="008D03E7"/>
    <w:rsid w:val="008D2843"/>
    <w:rsid w:val="008D43AC"/>
    <w:rsid w:val="008D4AB0"/>
    <w:rsid w:val="008D4E74"/>
    <w:rsid w:val="008E13BD"/>
    <w:rsid w:val="008E32A5"/>
    <w:rsid w:val="008E34F3"/>
    <w:rsid w:val="008E40A6"/>
    <w:rsid w:val="008E532D"/>
    <w:rsid w:val="008E5957"/>
    <w:rsid w:val="008E6A6D"/>
    <w:rsid w:val="008E72C3"/>
    <w:rsid w:val="008E7FC0"/>
    <w:rsid w:val="008F0986"/>
    <w:rsid w:val="008F46FC"/>
    <w:rsid w:val="008F4D45"/>
    <w:rsid w:val="008F77BF"/>
    <w:rsid w:val="008F7D40"/>
    <w:rsid w:val="008F7FDB"/>
    <w:rsid w:val="0090006D"/>
    <w:rsid w:val="00902869"/>
    <w:rsid w:val="00903630"/>
    <w:rsid w:val="00905EF1"/>
    <w:rsid w:val="009068E4"/>
    <w:rsid w:val="0091025D"/>
    <w:rsid w:val="00910280"/>
    <w:rsid w:val="0091141D"/>
    <w:rsid w:val="00912B5E"/>
    <w:rsid w:val="009141BB"/>
    <w:rsid w:val="00917787"/>
    <w:rsid w:val="00922057"/>
    <w:rsid w:val="009236A6"/>
    <w:rsid w:val="00924632"/>
    <w:rsid w:val="00924958"/>
    <w:rsid w:val="00924D40"/>
    <w:rsid w:val="009253B5"/>
    <w:rsid w:val="00926EB2"/>
    <w:rsid w:val="00930881"/>
    <w:rsid w:val="00930F23"/>
    <w:rsid w:val="0093135B"/>
    <w:rsid w:val="00931660"/>
    <w:rsid w:val="0093171B"/>
    <w:rsid w:val="00934A05"/>
    <w:rsid w:val="0093647A"/>
    <w:rsid w:val="009365BA"/>
    <w:rsid w:val="00936968"/>
    <w:rsid w:val="009378FB"/>
    <w:rsid w:val="00937E95"/>
    <w:rsid w:val="00940FEC"/>
    <w:rsid w:val="00941641"/>
    <w:rsid w:val="00944A78"/>
    <w:rsid w:val="009454E4"/>
    <w:rsid w:val="009522C3"/>
    <w:rsid w:val="00953913"/>
    <w:rsid w:val="00953B61"/>
    <w:rsid w:val="00954447"/>
    <w:rsid w:val="0095678A"/>
    <w:rsid w:val="00957952"/>
    <w:rsid w:val="00960960"/>
    <w:rsid w:val="00960FAB"/>
    <w:rsid w:val="009638AC"/>
    <w:rsid w:val="009641B2"/>
    <w:rsid w:val="00966D55"/>
    <w:rsid w:val="00967D92"/>
    <w:rsid w:val="00970F22"/>
    <w:rsid w:val="009712EA"/>
    <w:rsid w:val="009724C1"/>
    <w:rsid w:val="00974313"/>
    <w:rsid w:val="00977343"/>
    <w:rsid w:val="00982969"/>
    <w:rsid w:val="00983DA3"/>
    <w:rsid w:val="009848B3"/>
    <w:rsid w:val="00985C77"/>
    <w:rsid w:val="00991606"/>
    <w:rsid w:val="00992AB4"/>
    <w:rsid w:val="00992CDD"/>
    <w:rsid w:val="009935C1"/>
    <w:rsid w:val="009961CB"/>
    <w:rsid w:val="0099639E"/>
    <w:rsid w:val="009976BC"/>
    <w:rsid w:val="00997B80"/>
    <w:rsid w:val="009A112E"/>
    <w:rsid w:val="009A1AA8"/>
    <w:rsid w:val="009A2562"/>
    <w:rsid w:val="009A30A4"/>
    <w:rsid w:val="009A36CB"/>
    <w:rsid w:val="009A6F0A"/>
    <w:rsid w:val="009A7EBB"/>
    <w:rsid w:val="009B0402"/>
    <w:rsid w:val="009B24A0"/>
    <w:rsid w:val="009B36F7"/>
    <w:rsid w:val="009B41B0"/>
    <w:rsid w:val="009B45D5"/>
    <w:rsid w:val="009B57B3"/>
    <w:rsid w:val="009B5EBD"/>
    <w:rsid w:val="009B61BF"/>
    <w:rsid w:val="009B6624"/>
    <w:rsid w:val="009C3E7A"/>
    <w:rsid w:val="009C4101"/>
    <w:rsid w:val="009C4D1E"/>
    <w:rsid w:val="009C59E7"/>
    <w:rsid w:val="009C6E8B"/>
    <w:rsid w:val="009C761E"/>
    <w:rsid w:val="009C7C6B"/>
    <w:rsid w:val="009D11FB"/>
    <w:rsid w:val="009D2D3E"/>
    <w:rsid w:val="009D4927"/>
    <w:rsid w:val="009D672B"/>
    <w:rsid w:val="009E0538"/>
    <w:rsid w:val="009E142C"/>
    <w:rsid w:val="009E1453"/>
    <w:rsid w:val="009E265E"/>
    <w:rsid w:val="009E2EC8"/>
    <w:rsid w:val="009E4E5B"/>
    <w:rsid w:val="009E50E6"/>
    <w:rsid w:val="009E5FEF"/>
    <w:rsid w:val="009E60D2"/>
    <w:rsid w:val="009E7741"/>
    <w:rsid w:val="009F046B"/>
    <w:rsid w:val="009F11BC"/>
    <w:rsid w:val="009F1B59"/>
    <w:rsid w:val="009F38EF"/>
    <w:rsid w:val="009F4DE3"/>
    <w:rsid w:val="009F648F"/>
    <w:rsid w:val="009F7528"/>
    <w:rsid w:val="009F7C61"/>
    <w:rsid w:val="00A02FF6"/>
    <w:rsid w:val="00A048DF"/>
    <w:rsid w:val="00A10A33"/>
    <w:rsid w:val="00A10C6B"/>
    <w:rsid w:val="00A13583"/>
    <w:rsid w:val="00A14F64"/>
    <w:rsid w:val="00A15190"/>
    <w:rsid w:val="00A15AF9"/>
    <w:rsid w:val="00A1764A"/>
    <w:rsid w:val="00A22EFC"/>
    <w:rsid w:val="00A23DD8"/>
    <w:rsid w:val="00A2401B"/>
    <w:rsid w:val="00A24C29"/>
    <w:rsid w:val="00A26A90"/>
    <w:rsid w:val="00A26D09"/>
    <w:rsid w:val="00A27020"/>
    <w:rsid w:val="00A27F1E"/>
    <w:rsid w:val="00A30E5F"/>
    <w:rsid w:val="00A31D64"/>
    <w:rsid w:val="00A33D27"/>
    <w:rsid w:val="00A3496E"/>
    <w:rsid w:val="00A408AD"/>
    <w:rsid w:val="00A409B8"/>
    <w:rsid w:val="00A41202"/>
    <w:rsid w:val="00A41449"/>
    <w:rsid w:val="00A41EE2"/>
    <w:rsid w:val="00A42F9D"/>
    <w:rsid w:val="00A43B7F"/>
    <w:rsid w:val="00A43E62"/>
    <w:rsid w:val="00A451EA"/>
    <w:rsid w:val="00A45B25"/>
    <w:rsid w:val="00A4626C"/>
    <w:rsid w:val="00A46AFC"/>
    <w:rsid w:val="00A4701F"/>
    <w:rsid w:val="00A47B9B"/>
    <w:rsid w:val="00A50CE2"/>
    <w:rsid w:val="00A513D2"/>
    <w:rsid w:val="00A53C83"/>
    <w:rsid w:val="00A53FDC"/>
    <w:rsid w:val="00A5412E"/>
    <w:rsid w:val="00A558D8"/>
    <w:rsid w:val="00A5796F"/>
    <w:rsid w:val="00A57F9A"/>
    <w:rsid w:val="00A6473D"/>
    <w:rsid w:val="00A6525C"/>
    <w:rsid w:val="00A65770"/>
    <w:rsid w:val="00A678D5"/>
    <w:rsid w:val="00A71FE0"/>
    <w:rsid w:val="00A72218"/>
    <w:rsid w:val="00A72486"/>
    <w:rsid w:val="00A7336D"/>
    <w:rsid w:val="00A74AB1"/>
    <w:rsid w:val="00A75D1C"/>
    <w:rsid w:val="00A7624B"/>
    <w:rsid w:val="00A874F3"/>
    <w:rsid w:val="00A9109E"/>
    <w:rsid w:val="00A95159"/>
    <w:rsid w:val="00A97259"/>
    <w:rsid w:val="00A974D6"/>
    <w:rsid w:val="00AA4F99"/>
    <w:rsid w:val="00AA59EE"/>
    <w:rsid w:val="00AA6579"/>
    <w:rsid w:val="00AA7E2A"/>
    <w:rsid w:val="00AA7EDA"/>
    <w:rsid w:val="00AB0D39"/>
    <w:rsid w:val="00AB1B9D"/>
    <w:rsid w:val="00AB2CDA"/>
    <w:rsid w:val="00AB2F59"/>
    <w:rsid w:val="00AB3AA6"/>
    <w:rsid w:val="00AB499D"/>
    <w:rsid w:val="00AB505A"/>
    <w:rsid w:val="00AB7645"/>
    <w:rsid w:val="00AB7EB1"/>
    <w:rsid w:val="00AC0A88"/>
    <w:rsid w:val="00AC1B9A"/>
    <w:rsid w:val="00AC2AF5"/>
    <w:rsid w:val="00AC36A9"/>
    <w:rsid w:val="00AC4844"/>
    <w:rsid w:val="00AC5563"/>
    <w:rsid w:val="00AC64B3"/>
    <w:rsid w:val="00AC79B5"/>
    <w:rsid w:val="00AD0413"/>
    <w:rsid w:val="00AD0AB4"/>
    <w:rsid w:val="00AD11CE"/>
    <w:rsid w:val="00AD22BA"/>
    <w:rsid w:val="00AD249A"/>
    <w:rsid w:val="00AD2DC7"/>
    <w:rsid w:val="00AD39A2"/>
    <w:rsid w:val="00AD46B7"/>
    <w:rsid w:val="00AD66BA"/>
    <w:rsid w:val="00AD7177"/>
    <w:rsid w:val="00AD7F3B"/>
    <w:rsid w:val="00AE1375"/>
    <w:rsid w:val="00AE2E3B"/>
    <w:rsid w:val="00AE4B94"/>
    <w:rsid w:val="00AE5E30"/>
    <w:rsid w:val="00AE72A3"/>
    <w:rsid w:val="00AF0CB1"/>
    <w:rsid w:val="00AF0EC7"/>
    <w:rsid w:val="00AF1C58"/>
    <w:rsid w:val="00AF3545"/>
    <w:rsid w:val="00AF3F79"/>
    <w:rsid w:val="00AF4537"/>
    <w:rsid w:val="00AF4B53"/>
    <w:rsid w:val="00AF505D"/>
    <w:rsid w:val="00AF6A34"/>
    <w:rsid w:val="00AF7C9B"/>
    <w:rsid w:val="00B004C4"/>
    <w:rsid w:val="00B01486"/>
    <w:rsid w:val="00B02EAF"/>
    <w:rsid w:val="00B02FE2"/>
    <w:rsid w:val="00B037A4"/>
    <w:rsid w:val="00B05272"/>
    <w:rsid w:val="00B079A1"/>
    <w:rsid w:val="00B10AC8"/>
    <w:rsid w:val="00B10E88"/>
    <w:rsid w:val="00B10EFE"/>
    <w:rsid w:val="00B11A37"/>
    <w:rsid w:val="00B21DE2"/>
    <w:rsid w:val="00B22A4F"/>
    <w:rsid w:val="00B24627"/>
    <w:rsid w:val="00B265C7"/>
    <w:rsid w:val="00B27C4C"/>
    <w:rsid w:val="00B31429"/>
    <w:rsid w:val="00B33052"/>
    <w:rsid w:val="00B34CA0"/>
    <w:rsid w:val="00B34E2E"/>
    <w:rsid w:val="00B35F20"/>
    <w:rsid w:val="00B36F17"/>
    <w:rsid w:val="00B43EFA"/>
    <w:rsid w:val="00B4610D"/>
    <w:rsid w:val="00B51E3A"/>
    <w:rsid w:val="00B524F8"/>
    <w:rsid w:val="00B52B85"/>
    <w:rsid w:val="00B56F0E"/>
    <w:rsid w:val="00B57828"/>
    <w:rsid w:val="00B57D4D"/>
    <w:rsid w:val="00B60047"/>
    <w:rsid w:val="00B62186"/>
    <w:rsid w:val="00B64B4E"/>
    <w:rsid w:val="00B657D8"/>
    <w:rsid w:val="00B6599E"/>
    <w:rsid w:val="00B66254"/>
    <w:rsid w:val="00B71293"/>
    <w:rsid w:val="00B71444"/>
    <w:rsid w:val="00B726D7"/>
    <w:rsid w:val="00B72D15"/>
    <w:rsid w:val="00B732DC"/>
    <w:rsid w:val="00B74893"/>
    <w:rsid w:val="00B752DC"/>
    <w:rsid w:val="00B752E2"/>
    <w:rsid w:val="00B76EA0"/>
    <w:rsid w:val="00B85411"/>
    <w:rsid w:val="00B87148"/>
    <w:rsid w:val="00B87563"/>
    <w:rsid w:val="00B87A81"/>
    <w:rsid w:val="00B91766"/>
    <w:rsid w:val="00B918F5"/>
    <w:rsid w:val="00B923EF"/>
    <w:rsid w:val="00B92B72"/>
    <w:rsid w:val="00B92E2F"/>
    <w:rsid w:val="00B9424B"/>
    <w:rsid w:val="00B94FB2"/>
    <w:rsid w:val="00B9513C"/>
    <w:rsid w:val="00B967E1"/>
    <w:rsid w:val="00BA0A32"/>
    <w:rsid w:val="00BA1272"/>
    <w:rsid w:val="00BA45B7"/>
    <w:rsid w:val="00BA4B8A"/>
    <w:rsid w:val="00BA4C75"/>
    <w:rsid w:val="00BA576D"/>
    <w:rsid w:val="00BA5D0E"/>
    <w:rsid w:val="00BA64C8"/>
    <w:rsid w:val="00BA6576"/>
    <w:rsid w:val="00BA6EF8"/>
    <w:rsid w:val="00BB1282"/>
    <w:rsid w:val="00BB1523"/>
    <w:rsid w:val="00BB21B8"/>
    <w:rsid w:val="00BC048C"/>
    <w:rsid w:val="00BC0860"/>
    <w:rsid w:val="00BC0AF7"/>
    <w:rsid w:val="00BC1BE6"/>
    <w:rsid w:val="00BC62CE"/>
    <w:rsid w:val="00BC6BCE"/>
    <w:rsid w:val="00BC6D2C"/>
    <w:rsid w:val="00BC761E"/>
    <w:rsid w:val="00BC7D41"/>
    <w:rsid w:val="00BD11A9"/>
    <w:rsid w:val="00BD1639"/>
    <w:rsid w:val="00BD303E"/>
    <w:rsid w:val="00BD3154"/>
    <w:rsid w:val="00BD3B53"/>
    <w:rsid w:val="00BD42FC"/>
    <w:rsid w:val="00BE043A"/>
    <w:rsid w:val="00BE0864"/>
    <w:rsid w:val="00BE0F6C"/>
    <w:rsid w:val="00BE3365"/>
    <w:rsid w:val="00BE4B92"/>
    <w:rsid w:val="00BE5386"/>
    <w:rsid w:val="00BE57AB"/>
    <w:rsid w:val="00BE7E5F"/>
    <w:rsid w:val="00BF0166"/>
    <w:rsid w:val="00BF0DAB"/>
    <w:rsid w:val="00BF189F"/>
    <w:rsid w:val="00BF1B37"/>
    <w:rsid w:val="00BF6851"/>
    <w:rsid w:val="00C0036C"/>
    <w:rsid w:val="00C006D1"/>
    <w:rsid w:val="00C008F3"/>
    <w:rsid w:val="00C03678"/>
    <w:rsid w:val="00C05096"/>
    <w:rsid w:val="00C050CA"/>
    <w:rsid w:val="00C06BA3"/>
    <w:rsid w:val="00C07385"/>
    <w:rsid w:val="00C11C01"/>
    <w:rsid w:val="00C13D07"/>
    <w:rsid w:val="00C207CE"/>
    <w:rsid w:val="00C20825"/>
    <w:rsid w:val="00C2154C"/>
    <w:rsid w:val="00C234AA"/>
    <w:rsid w:val="00C23C78"/>
    <w:rsid w:val="00C247C5"/>
    <w:rsid w:val="00C26CBE"/>
    <w:rsid w:val="00C279F3"/>
    <w:rsid w:val="00C32127"/>
    <w:rsid w:val="00C32691"/>
    <w:rsid w:val="00C33E31"/>
    <w:rsid w:val="00C34AA6"/>
    <w:rsid w:val="00C36387"/>
    <w:rsid w:val="00C36A51"/>
    <w:rsid w:val="00C418BA"/>
    <w:rsid w:val="00C42A28"/>
    <w:rsid w:val="00C44FEE"/>
    <w:rsid w:val="00C44FF5"/>
    <w:rsid w:val="00C459FC"/>
    <w:rsid w:val="00C476FF"/>
    <w:rsid w:val="00C47AF9"/>
    <w:rsid w:val="00C5257B"/>
    <w:rsid w:val="00C52FC3"/>
    <w:rsid w:val="00C530B4"/>
    <w:rsid w:val="00C56B7C"/>
    <w:rsid w:val="00C60404"/>
    <w:rsid w:val="00C61EBE"/>
    <w:rsid w:val="00C63548"/>
    <w:rsid w:val="00C64321"/>
    <w:rsid w:val="00C6534A"/>
    <w:rsid w:val="00C66F34"/>
    <w:rsid w:val="00C67967"/>
    <w:rsid w:val="00C730D8"/>
    <w:rsid w:val="00C75151"/>
    <w:rsid w:val="00C81112"/>
    <w:rsid w:val="00C82EBE"/>
    <w:rsid w:val="00C8503A"/>
    <w:rsid w:val="00C87C23"/>
    <w:rsid w:val="00C87C85"/>
    <w:rsid w:val="00C936AF"/>
    <w:rsid w:val="00C94314"/>
    <w:rsid w:val="00C949D0"/>
    <w:rsid w:val="00C95D32"/>
    <w:rsid w:val="00C96E23"/>
    <w:rsid w:val="00C97566"/>
    <w:rsid w:val="00CA0105"/>
    <w:rsid w:val="00CA0807"/>
    <w:rsid w:val="00CA1580"/>
    <w:rsid w:val="00CA3653"/>
    <w:rsid w:val="00CA4292"/>
    <w:rsid w:val="00CA4DA7"/>
    <w:rsid w:val="00CA5620"/>
    <w:rsid w:val="00CB2163"/>
    <w:rsid w:val="00CB2CF2"/>
    <w:rsid w:val="00CB4061"/>
    <w:rsid w:val="00CB6EDB"/>
    <w:rsid w:val="00CC04C6"/>
    <w:rsid w:val="00CC14B2"/>
    <w:rsid w:val="00CC24ED"/>
    <w:rsid w:val="00CC3D78"/>
    <w:rsid w:val="00CC3E64"/>
    <w:rsid w:val="00CC5AE0"/>
    <w:rsid w:val="00CC60E0"/>
    <w:rsid w:val="00CD0811"/>
    <w:rsid w:val="00CD089C"/>
    <w:rsid w:val="00CD0F99"/>
    <w:rsid w:val="00CD1040"/>
    <w:rsid w:val="00CD1310"/>
    <w:rsid w:val="00CD3F8A"/>
    <w:rsid w:val="00CD4B7B"/>
    <w:rsid w:val="00CD5978"/>
    <w:rsid w:val="00CD7D53"/>
    <w:rsid w:val="00CD7DD3"/>
    <w:rsid w:val="00CE00FD"/>
    <w:rsid w:val="00CE020D"/>
    <w:rsid w:val="00CE0AEB"/>
    <w:rsid w:val="00CE11B9"/>
    <w:rsid w:val="00CE1900"/>
    <w:rsid w:val="00CE1F98"/>
    <w:rsid w:val="00CE2141"/>
    <w:rsid w:val="00CE21E2"/>
    <w:rsid w:val="00CE2D86"/>
    <w:rsid w:val="00CE32D4"/>
    <w:rsid w:val="00CE521A"/>
    <w:rsid w:val="00CE5319"/>
    <w:rsid w:val="00CE748C"/>
    <w:rsid w:val="00CF20DB"/>
    <w:rsid w:val="00CF3936"/>
    <w:rsid w:val="00D0026A"/>
    <w:rsid w:val="00D0671D"/>
    <w:rsid w:val="00D07949"/>
    <w:rsid w:val="00D1094E"/>
    <w:rsid w:val="00D11FE0"/>
    <w:rsid w:val="00D129F1"/>
    <w:rsid w:val="00D13F61"/>
    <w:rsid w:val="00D14A92"/>
    <w:rsid w:val="00D16D67"/>
    <w:rsid w:val="00D16D79"/>
    <w:rsid w:val="00D20D70"/>
    <w:rsid w:val="00D217D1"/>
    <w:rsid w:val="00D222A1"/>
    <w:rsid w:val="00D2333D"/>
    <w:rsid w:val="00D24E4B"/>
    <w:rsid w:val="00D257C6"/>
    <w:rsid w:val="00D26963"/>
    <w:rsid w:val="00D277ED"/>
    <w:rsid w:val="00D309D6"/>
    <w:rsid w:val="00D31E41"/>
    <w:rsid w:val="00D34D7F"/>
    <w:rsid w:val="00D360C6"/>
    <w:rsid w:val="00D36E96"/>
    <w:rsid w:val="00D37260"/>
    <w:rsid w:val="00D40005"/>
    <w:rsid w:val="00D41AC6"/>
    <w:rsid w:val="00D4229B"/>
    <w:rsid w:val="00D445AC"/>
    <w:rsid w:val="00D456E3"/>
    <w:rsid w:val="00D46D90"/>
    <w:rsid w:val="00D47F30"/>
    <w:rsid w:val="00D51094"/>
    <w:rsid w:val="00D52325"/>
    <w:rsid w:val="00D538B6"/>
    <w:rsid w:val="00D55175"/>
    <w:rsid w:val="00D57B3A"/>
    <w:rsid w:val="00D57F78"/>
    <w:rsid w:val="00D601B3"/>
    <w:rsid w:val="00D603CA"/>
    <w:rsid w:val="00D61670"/>
    <w:rsid w:val="00D61E19"/>
    <w:rsid w:val="00D62040"/>
    <w:rsid w:val="00D62CD4"/>
    <w:rsid w:val="00D63B2F"/>
    <w:rsid w:val="00D63C8C"/>
    <w:rsid w:val="00D64D0C"/>
    <w:rsid w:val="00D650BF"/>
    <w:rsid w:val="00D65F9A"/>
    <w:rsid w:val="00D66814"/>
    <w:rsid w:val="00D711BB"/>
    <w:rsid w:val="00D71C24"/>
    <w:rsid w:val="00D744DA"/>
    <w:rsid w:val="00D7470C"/>
    <w:rsid w:val="00D74ABE"/>
    <w:rsid w:val="00D7774E"/>
    <w:rsid w:val="00D80EBB"/>
    <w:rsid w:val="00D81501"/>
    <w:rsid w:val="00D84CAE"/>
    <w:rsid w:val="00D852C4"/>
    <w:rsid w:val="00D8630A"/>
    <w:rsid w:val="00D90FAA"/>
    <w:rsid w:val="00D91B19"/>
    <w:rsid w:val="00D91E2F"/>
    <w:rsid w:val="00D9221F"/>
    <w:rsid w:val="00D9288C"/>
    <w:rsid w:val="00D93464"/>
    <w:rsid w:val="00D94A31"/>
    <w:rsid w:val="00D963D3"/>
    <w:rsid w:val="00D97BB6"/>
    <w:rsid w:val="00D97C35"/>
    <w:rsid w:val="00D97E57"/>
    <w:rsid w:val="00DA048B"/>
    <w:rsid w:val="00DA1444"/>
    <w:rsid w:val="00DA14D8"/>
    <w:rsid w:val="00DA1556"/>
    <w:rsid w:val="00DA1800"/>
    <w:rsid w:val="00DA686A"/>
    <w:rsid w:val="00DA7707"/>
    <w:rsid w:val="00DB0639"/>
    <w:rsid w:val="00DB0D60"/>
    <w:rsid w:val="00DB3C90"/>
    <w:rsid w:val="00DB40D8"/>
    <w:rsid w:val="00DB4FC5"/>
    <w:rsid w:val="00DB50D3"/>
    <w:rsid w:val="00DB7C6C"/>
    <w:rsid w:val="00DB7E17"/>
    <w:rsid w:val="00DC007B"/>
    <w:rsid w:val="00DC0113"/>
    <w:rsid w:val="00DC03BC"/>
    <w:rsid w:val="00DC03DD"/>
    <w:rsid w:val="00DC079B"/>
    <w:rsid w:val="00DC0838"/>
    <w:rsid w:val="00DC0937"/>
    <w:rsid w:val="00DC1A9D"/>
    <w:rsid w:val="00DC2226"/>
    <w:rsid w:val="00DC23F6"/>
    <w:rsid w:val="00DC2B5E"/>
    <w:rsid w:val="00DC2B66"/>
    <w:rsid w:val="00DC729B"/>
    <w:rsid w:val="00DD18F4"/>
    <w:rsid w:val="00DD1A76"/>
    <w:rsid w:val="00DD3884"/>
    <w:rsid w:val="00DD3AB4"/>
    <w:rsid w:val="00DE4B26"/>
    <w:rsid w:val="00DE4D77"/>
    <w:rsid w:val="00DE6F41"/>
    <w:rsid w:val="00DF2B28"/>
    <w:rsid w:val="00DF2B93"/>
    <w:rsid w:val="00DF3FAB"/>
    <w:rsid w:val="00DF580A"/>
    <w:rsid w:val="00DF75D5"/>
    <w:rsid w:val="00E00074"/>
    <w:rsid w:val="00E0011A"/>
    <w:rsid w:val="00E04064"/>
    <w:rsid w:val="00E04837"/>
    <w:rsid w:val="00E05AAD"/>
    <w:rsid w:val="00E112EA"/>
    <w:rsid w:val="00E11D18"/>
    <w:rsid w:val="00E13286"/>
    <w:rsid w:val="00E15E43"/>
    <w:rsid w:val="00E16393"/>
    <w:rsid w:val="00E16E1D"/>
    <w:rsid w:val="00E2302D"/>
    <w:rsid w:val="00E23E48"/>
    <w:rsid w:val="00E2538A"/>
    <w:rsid w:val="00E27418"/>
    <w:rsid w:val="00E30A3D"/>
    <w:rsid w:val="00E31336"/>
    <w:rsid w:val="00E32B73"/>
    <w:rsid w:val="00E34A9E"/>
    <w:rsid w:val="00E35847"/>
    <w:rsid w:val="00E3634D"/>
    <w:rsid w:val="00E369BC"/>
    <w:rsid w:val="00E40AA1"/>
    <w:rsid w:val="00E42576"/>
    <w:rsid w:val="00E46962"/>
    <w:rsid w:val="00E47003"/>
    <w:rsid w:val="00E47359"/>
    <w:rsid w:val="00E507D2"/>
    <w:rsid w:val="00E5216C"/>
    <w:rsid w:val="00E52F02"/>
    <w:rsid w:val="00E55211"/>
    <w:rsid w:val="00E5562E"/>
    <w:rsid w:val="00E55DD2"/>
    <w:rsid w:val="00E56A34"/>
    <w:rsid w:val="00E57238"/>
    <w:rsid w:val="00E57EF7"/>
    <w:rsid w:val="00E6007B"/>
    <w:rsid w:val="00E61A83"/>
    <w:rsid w:val="00E62CDA"/>
    <w:rsid w:val="00E62D4A"/>
    <w:rsid w:val="00E63689"/>
    <w:rsid w:val="00E661E4"/>
    <w:rsid w:val="00E6621C"/>
    <w:rsid w:val="00E67132"/>
    <w:rsid w:val="00E67FAB"/>
    <w:rsid w:val="00E7011A"/>
    <w:rsid w:val="00E70851"/>
    <w:rsid w:val="00E70929"/>
    <w:rsid w:val="00E72445"/>
    <w:rsid w:val="00E726B1"/>
    <w:rsid w:val="00E73543"/>
    <w:rsid w:val="00E73750"/>
    <w:rsid w:val="00E73FB3"/>
    <w:rsid w:val="00E74665"/>
    <w:rsid w:val="00E75080"/>
    <w:rsid w:val="00E7563C"/>
    <w:rsid w:val="00E76DB0"/>
    <w:rsid w:val="00E80D5C"/>
    <w:rsid w:val="00E811EC"/>
    <w:rsid w:val="00E83D8A"/>
    <w:rsid w:val="00E83E18"/>
    <w:rsid w:val="00E8562C"/>
    <w:rsid w:val="00E85802"/>
    <w:rsid w:val="00E869B5"/>
    <w:rsid w:val="00E87961"/>
    <w:rsid w:val="00E87F76"/>
    <w:rsid w:val="00E91981"/>
    <w:rsid w:val="00E939F9"/>
    <w:rsid w:val="00E93DB8"/>
    <w:rsid w:val="00EA0CDB"/>
    <w:rsid w:val="00EA1932"/>
    <w:rsid w:val="00EA19D3"/>
    <w:rsid w:val="00EA243F"/>
    <w:rsid w:val="00EA3560"/>
    <w:rsid w:val="00EA5141"/>
    <w:rsid w:val="00EB051B"/>
    <w:rsid w:val="00EB196F"/>
    <w:rsid w:val="00EB1F70"/>
    <w:rsid w:val="00EB2D48"/>
    <w:rsid w:val="00EB45C7"/>
    <w:rsid w:val="00EB5DFD"/>
    <w:rsid w:val="00EB5E1A"/>
    <w:rsid w:val="00EB6366"/>
    <w:rsid w:val="00EB63B1"/>
    <w:rsid w:val="00EB7862"/>
    <w:rsid w:val="00EC15F1"/>
    <w:rsid w:val="00EC289B"/>
    <w:rsid w:val="00EC2D17"/>
    <w:rsid w:val="00EC2EA9"/>
    <w:rsid w:val="00EC7E8F"/>
    <w:rsid w:val="00ED11CF"/>
    <w:rsid w:val="00ED2408"/>
    <w:rsid w:val="00ED5E96"/>
    <w:rsid w:val="00EE2215"/>
    <w:rsid w:val="00EE6998"/>
    <w:rsid w:val="00EE6C83"/>
    <w:rsid w:val="00EF04BA"/>
    <w:rsid w:val="00EF058C"/>
    <w:rsid w:val="00EF1701"/>
    <w:rsid w:val="00EF4B2F"/>
    <w:rsid w:val="00EF6BF9"/>
    <w:rsid w:val="00F01A24"/>
    <w:rsid w:val="00F023FA"/>
    <w:rsid w:val="00F02FC5"/>
    <w:rsid w:val="00F05A2D"/>
    <w:rsid w:val="00F06FC7"/>
    <w:rsid w:val="00F07182"/>
    <w:rsid w:val="00F1026E"/>
    <w:rsid w:val="00F10C24"/>
    <w:rsid w:val="00F10C6B"/>
    <w:rsid w:val="00F12011"/>
    <w:rsid w:val="00F124C3"/>
    <w:rsid w:val="00F135F6"/>
    <w:rsid w:val="00F13873"/>
    <w:rsid w:val="00F14545"/>
    <w:rsid w:val="00F16852"/>
    <w:rsid w:val="00F20B86"/>
    <w:rsid w:val="00F20D0F"/>
    <w:rsid w:val="00F21D20"/>
    <w:rsid w:val="00F23D5A"/>
    <w:rsid w:val="00F309F7"/>
    <w:rsid w:val="00F31CA4"/>
    <w:rsid w:val="00F321F7"/>
    <w:rsid w:val="00F32F4B"/>
    <w:rsid w:val="00F33137"/>
    <w:rsid w:val="00F33785"/>
    <w:rsid w:val="00F3483A"/>
    <w:rsid w:val="00F353B3"/>
    <w:rsid w:val="00F3723D"/>
    <w:rsid w:val="00F4020A"/>
    <w:rsid w:val="00F40C93"/>
    <w:rsid w:val="00F41288"/>
    <w:rsid w:val="00F418EA"/>
    <w:rsid w:val="00F42155"/>
    <w:rsid w:val="00F42879"/>
    <w:rsid w:val="00F42E3C"/>
    <w:rsid w:val="00F438D0"/>
    <w:rsid w:val="00F445F9"/>
    <w:rsid w:val="00F457CF"/>
    <w:rsid w:val="00F47E02"/>
    <w:rsid w:val="00F500F5"/>
    <w:rsid w:val="00F5061A"/>
    <w:rsid w:val="00F54002"/>
    <w:rsid w:val="00F54871"/>
    <w:rsid w:val="00F548E0"/>
    <w:rsid w:val="00F54FB5"/>
    <w:rsid w:val="00F556A0"/>
    <w:rsid w:val="00F56500"/>
    <w:rsid w:val="00F56ECF"/>
    <w:rsid w:val="00F621B4"/>
    <w:rsid w:val="00F64A73"/>
    <w:rsid w:val="00F668E4"/>
    <w:rsid w:val="00F66B37"/>
    <w:rsid w:val="00F67A40"/>
    <w:rsid w:val="00F67AC8"/>
    <w:rsid w:val="00F71D73"/>
    <w:rsid w:val="00F72118"/>
    <w:rsid w:val="00F7247E"/>
    <w:rsid w:val="00F77A53"/>
    <w:rsid w:val="00F80569"/>
    <w:rsid w:val="00F82FC3"/>
    <w:rsid w:val="00F833B0"/>
    <w:rsid w:val="00F84955"/>
    <w:rsid w:val="00F857F0"/>
    <w:rsid w:val="00F87AA9"/>
    <w:rsid w:val="00F87B5F"/>
    <w:rsid w:val="00F87C49"/>
    <w:rsid w:val="00F9203C"/>
    <w:rsid w:val="00F93594"/>
    <w:rsid w:val="00F93B5B"/>
    <w:rsid w:val="00F947DD"/>
    <w:rsid w:val="00FA085B"/>
    <w:rsid w:val="00FA09FF"/>
    <w:rsid w:val="00FA20C9"/>
    <w:rsid w:val="00FA2CCF"/>
    <w:rsid w:val="00FA4B5A"/>
    <w:rsid w:val="00FA5BF9"/>
    <w:rsid w:val="00FA7085"/>
    <w:rsid w:val="00FB0BB3"/>
    <w:rsid w:val="00FB3018"/>
    <w:rsid w:val="00FB3452"/>
    <w:rsid w:val="00FB46C4"/>
    <w:rsid w:val="00FB4BF4"/>
    <w:rsid w:val="00FB5082"/>
    <w:rsid w:val="00FB524E"/>
    <w:rsid w:val="00FB5F56"/>
    <w:rsid w:val="00FB6B7F"/>
    <w:rsid w:val="00FB7A62"/>
    <w:rsid w:val="00FC170E"/>
    <w:rsid w:val="00FC1F7A"/>
    <w:rsid w:val="00FC3267"/>
    <w:rsid w:val="00FC34BE"/>
    <w:rsid w:val="00FC5CCF"/>
    <w:rsid w:val="00FD2B70"/>
    <w:rsid w:val="00FD4694"/>
    <w:rsid w:val="00FD49D6"/>
    <w:rsid w:val="00FD5E5D"/>
    <w:rsid w:val="00FD60DD"/>
    <w:rsid w:val="00FE15A7"/>
    <w:rsid w:val="00FE1622"/>
    <w:rsid w:val="00FE1947"/>
    <w:rsid w:val="00FE1A3E"/>
    <w:rsid w:val="00FE2278"/>
    <w:rsid w:val="00FE37FC"/>
    <w:rsid w:val="00FE5E34"/>
    <w:rsid w:val="00FE5E9C"/>
    <w:rsid w:val="00FE6B05"/>
    <w:rsid w:val="00FE6C07"/>
    <w:rsid w:val="00FE7BF6"/>
    <w:rsid w:val="00FF2B76"/>
    <w:rsid w:val="00FF45FB"/>
    <w:rsid w:val="00FF4669"/>
    <w:rsid w:val="00FF75C4"/>
    <w:rsid w:val="00FF7A0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colormru v:ext="edit" colors="#00a8d0,#008eb0,#1492e8,#1287d6,#117dc7,#c2e3fa"/>
    </o:shapedefaults>
    <o:shapelayout v:ext="edit">
      <o:idmap v:ext="edit" data="1"/>
    </o:shapelayout>
  </w:shapeDefaults>
  <w:decimalSymbol w:val="."/>
  <w:listSeparator w:val=","/>
  <w14:docId w14:val="161F6A8B"/>
  <w15:docId w15:val="{6AB6EBB7-23B8-4DD7-8044-A67DAB50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03B"/>
    <w:pPr>
      <w:spacing w:after="240"/>
    </w:pPr>
    <w:rPr>
      <w:sz w:val="22"/>
    </w:rPr>
  </w:style>
  <w:style w:type="paragraph" w:styleId="Heading1">
    <w:name w:val="heading 1"/>
    <w:basedOn w:val="Normal"/>
    <w:next w:val="BodyText"/>
    <w:uiPriority w:val="9"/>
    <w:qFormat/>
    <w:rsid w:val="001F5D5A"/>
    <w:pPr>
      <w:keepNext/>
      <w:pageBreakBefore/>
      <w:numPr>
        <w:numId w:val="7"/>
      </w:numPr>
      <w:spacing w:after="720" w:line="280" w:lineRule="atLeast"/>
      <w:outlineLvl w:val="0"/>
    </w:pPr>
    <w:rPr>
      <w:rFonts w:ascii="Arial" w:hAnsi="Arial" w:cs="Arial"/>
      <w:b/>
      <w:kern w:val="28"/>
      <w:sz w:val="36"/>
      <w:szCs w:val="36"/>
    </w:rPr>
  </w:style>
  <w:style w:type="paragraph" w:styleId="Heading2">
    <w:name w:val="heading 2"/>
    <w:basedOn w:val="Normal"/>
    <w:next w:val="BodyText"/>
    <w:qFormat/>
    <w:rsid w:val="00B36F17"/>
    <w:pPr>
      <w:keepNext/>
      <w:spacing w:before="720" w:after="0" w:line="280" w:lineRule="atLeast"/>
      <w:outlineLvl w:val="1"/>
    </w:pPr>
    <w:rPr>
      <w:rFonts w:ascii="Arial" w:hAnsi="Arial" w:cs="Arial"/>
      <w:b/>
      <w:sz w:val="28"/>
      <w:szCs w:val="28"/>
    </w:rPr>
  </w:style>
  <w:style w:type="paragraph" w:styleId="Heading3">
    <w:name w:val="heading 3"/>
    <w:basedOn w:val="Normal"/>
    <w:next w:val="BodyText"/>
    <w:qFormat/>
    <w:rsid w:val="00B36F17"/>
    <w:pPr>
      <w:keepNext/>
      <w:spacing w:before="400" w:after="0" w:line="280" w:lineRule="atLeast"/>
      <w:ind w:left="2268"/>
      <w:outlineLvl w:val="2"/>
    </w:pPr>
    <w:rPr>
      <w:rFonts w:ascii="Arial" w:hAnsi="Arial" w:cs="Arial"/>
      <w:b/>
      <w:sz w:val="24"/>
      <w:szCs w:val="24"/>
    </w:rPr>
  </w:style>
  <w:style w:type="paragraph" w:styleId="Heading4">
    <w:name w:val="heading 4"/>
    <w:basedOn w:val="Normal"/>
    <w:next w:val="BodyText"/>
    <w:qFormat/>
    <w:rsid w:val="00B36F17"/>
    <w:pPr>
      <w:keepNext/>
      <w:spacing w:before="280" w:after="0" w:line="280" w:lineRule="atLeast"/>
      <w:ind w:left="2268"/>
      <w:outlineLvl w:val="3"/>
    </w:pPr>
    <w:rPr>
      <w:rFonts w:ascii="Arial" w:hAnsi="Arial" w:cs="Arial"/>
      <w:b/>
      <w:sz w:val="20"/>
      <w:szCs w:val="22"/>
    </w:rPr>
  </w:style>
  <w:style w:type="paragraph" w:styleId="Heading5">
    <w:name w:val="heading 5"/>
    <w:basedOn w:val="Normal"/>
    <w:next w:val="BodyText"/>
    <w:qFormat/>
    <w:rsid w:val="00B36F17"/>
    <w:pPr>
      <w:keepNext/>
      <w:spacing w:before="280" w:after="0" w:line="280" w:lineRule="atLeast"/>
      <w:ind w:left="2268"/>
      <w:outlineLvl w:val="4"/>
    </w:pPr>
    <w:rPr>
      <w:rFonts w:ascii="Arial" w:hAnsi="Arial" w:cs="Arial"/>
      <w:i/>
      <w:sz w:val="20"/>
    </w:rPr>
  </w:style>
  <w:style w:type="paragraph" w:styleId="Heading6">
    <w:name w:val="heading 6"/>
    <w:basedOn w:val="Normal"/>
    <w:next w:val="Bodytextplain"/>
    <w:unhideWhenUsed/>
    <w:qFormat/>
    <w:rsid w:val="00E70851"/>
    <w:pPr>
      <w:keepNext/>
      <w:pageBreakBefore/>
      <w:spacing w:after="400" w:line="280" w:lineRule="atLeast"/>
      <w:outlineLvl w:val="5"/>
    </w:pPr>
    <w:rPr>
      <w:rFonts w:ascii="Arial" w:hAnsi="Arial" w:cs="Arial"/>
      <w:b/>
      <w:kern w:val="28"/>
      <w:sz w:val="36"/>
      <w:szCs w:val="36"/>
    </w:rPr>
  </w:style>
  <w:style w:type="paragraph" w:styleId="Heading7">
    <w:name w:val="heading 7"/>
    <w:basedOn w:val="Normal"/>
    <w:next w:val="Bodytextplain"/>
    <w:unhideWhenUsed/>
    <w:qFormat/>
    <w:rsid w:val="00E70851"/>
    <w:pPr>
      <w:spacing w:before="720" w:after="0" w:line="300" w:lineRule="atLeast"/>
      <w:outlineLvl w:val="6"/>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378FB"/>
    <w:pPr>
      <w:numPr>
        <w:numId w:val="16"/>
      </w:numPr>
      <w:spacing w:before="200" w:after="0" w:line="300" w:lineRule="atLeast"/>
    </w:pPr>
    <w:rPr>
      <w:szCs w:val="22"/>
    </w:rPr>
  </w:style>
  <w:style w:type="paragraph" w:customStyle="1" w:styleId="sourcenotefullwidth">
    <w:name w:val="source note full width"/>
    <w:rsid w:val="00C42A28"/>
    <w:pPr>
      <w:spacing w:before="120"/>
    </w:pPr>
    <w:rPr>
      <w:rFonts w:ascii="Arial" w:hAnsi="Arial"/>
      <w:sz w:val="16"/>
      <w:szCs w:val="22"/>
    </w:rPr>
  </w:style>
  <w:style w:type="paragraph" w:styleId="Footer">
    <w:name w:val="footer"/>
    <w:basedOn w:val="Normal"/>
    <w:link w:val="FooterChar"/>
    <w:rsid w:val="00B36F17"/>
    <w:pPr>
      <w:tabs>
        <w:tab w:val="right" w:pos="9070"/>
      </w:tabs>
      <w:spacing w:after="0"/>
    </w:pPr>
    <w:rPr>
      <w:rFonts w:ascii="Arial" w:hAnsi="Arial"/>
      <w:sz w:val="16"/>
      <w:szCs w:val="16"/>
    </w:rPr>
  </w:style>
  <w:style w:type="character" w:styleId="PageNumber">
    <w:name w:val="page number"/>
    <w:basedOn w:val="DefaultParagraphFont"/>
    <w:rsid w:val="00B36F17"/>
    <w:rPr>
      <w:b/>
      <w:sz w:val="20"/>
    </w:rPr>
  </w:style>
  <w:style w:type="paragraph" w:styleId="Header">
    <w:name w:val="header"/>
    <w:basedOn w:val="Normal"/>
    <w:link w:val="HeaderChar"/>
    <w:rsid w:val="00B36F17"/>
    <w:pPr>
      <w:pBdr>
        <w:bottom w:val="single" w:sz="4" w:space="1" w:color="008291"/>
      </w:pBdr>
      <w:tabs>
        <w:tab w:val="right" w:pos="9356"/>
      </w:tabs>
      <w:spacing w:after="0"/>
      <w:ind w:left="-85"/>
    </w:pPr>
    <w:rPr>
      <w:rFonts w:ascii="Arial" w:hAnsi="Arial" w:cs="Arial"/>
      <w:caps/>
      <w:color w:val="008291"/>
      <w:sz w:val="16"/>
      <w:szCs w:val="16"/>
    </w:rPr>
  </w:style>
  <w:style w:type="paragraph" w:styleId="ListBullet">
    <w:name w:val="List Bullet"/>
    <w:basedOn w:val="Normal"/>
    <w:rsid w:val="00B36F17"/>
    <w:pPr>
      <w:numPr>
        <w:numId w:val="4"/>
      </w:numPr>
      <w:tabs>
        <w:tab w:val="clear" w:pos="1418"/>
        <w:tab w:val="num" w:pos="2694"/>
      </w:tabs>
      <w:spacing w:before="100" w:after="0" w:line="300" w:lineRule="atLeast"/>
      <w:ind w:left="2693" w:hanging="425"/>
    </w:pPr>
    <w:rPr>
      <w:szCs w:val="22"/>
    </w:rPr>
  </w:style>
  <w:style w:type="paragraph" w:customStyle="1" w:styleId="figuretitleindented">
    <w:name w:val="figure title indented"/>
    <w:basedOn w:val="figuretitlefullwidth"/>
    <w:rsid w:val="00B36F17"/>
    <w:pPr>
      <w:ind w:left="3260"/>
    </w:pPr>
  </w:style>
  <w:style w:type="paragraph" w:customStyle="1" w:styleId="figuretitlefullwidth">
    <w:name w:val="figure title full width"/>
    <w:basedOn w:val="tabletitlefullwidth"/>
    <w:next w:val="figuretext"/>
    <w:rsid w:val="00B36F17"/>
    <w:rPr>
      <w:szCs w:val="22"/>
    </w:rPr>
  </w:style>
  <w:style w:type="paragraph" w:customStyle="1" w:styleId="tabletitlefullwidth">
    <w:name w:val="table title full width"/>
    <w:basedOn w:val="Normal"/>
    <w:rsid w:val="00B36F17"/>
    <w:pPr>
      <w:keepNext/>
      <w:spacing w:before="360" w:after="120" w:line="240" w:lineRule="atLeast"/>
      <w:ind w:left="992" w:hanging="992"/>
    </w:pPr>
    <w:rPr>
      <w:rFonts w:ascii="Arial" w:hAnsi="Arial" w:cs="Arial"/>
      <w:b/>
      <w:sz w:val="20"/>
    </w:rPr>
  </w:style>
  <w:style w:type="paragraph" w:customStyle="1" w:styleId="figuretext">
    <w:name w:val="figure text"/>
    <w:basedOn w:val="Normal"/>
    <w:rsid w:val="00B36F17"/>
    <w:pPr>
      <w:widowControl w:val="0"/>
      <w:spacing w:after="0" w:line="240" w:lineRule="atLeast"/>
    </w:pPr>
    <w:rPr>
      <w:rFonts w:ascii="Arial" w:hAnsi="Arial" w:cs="Arial"/>
      <w:sz w:val="18"/>
      <w:szCs w:val="18"/>
    </w:rPr>
  </w:style>
  <w:style w:type="paragraph" w:customStyle="1" w:styleId="tbltext">
    <w:name w:val="tbl text"/>
    <w:basedOn w:val="Bodytextplain"/>
    <w:rsid w:val="00B36F17"/>
    <w:pPr>
      <w:widowControl w:val="0"/>
      <w:spacing w:before="120" w:line="240" w:lineRule="atLeast"/>
      <w:ind w:left="0"/>
    </w:pPr>
    <w:rPr>
      <w:rFonts w:ascii="Arial" w:hAnsi="Arial" w:cs="Arial"/>
      <w:sz w:val="18"/>
      <w:szCs w:val="18"/>
    </w:rPr>
  </w:style>
  <w:style w:type="paragraph" w:customStyle="1" w:styleId="Bodytextplain">
    <w:name w:val="Body text plain"/>
    <w:basedOn w:val="BodyText"/>
    <w:link w:val="BodytextplainChar"/>
    <w:rsid w:val="00B36F17"/>
    <w:pPr>
      <w:numPr>
        <w:numId w:val="0"/>
      </w:numPr>
      <w:ind w:left="2268"/>
    </w:pPr>
  </w:style>
  <w:style w:type="paragraph" w:customStyle="1" w:styleId="tablehead">
    <w:name w:val="table head"/>
    <w:basedOn w:val="Normal"/>
    <w:rsid w:val="00B36F17"/>
    <w:pPr>
      <w:keepNext/>
      <w:spacing w:before="120" w:after="0" w:line="240" w:lineRule="atLeast"/>
    </w:pPr>
    <w:rPr>
      <w:rFonts w:ascii="Arial" w:hAnsi="Arial" w:cs="Arial"/>
      <w:b/>
      <w:sz w:val="18"/>
      <w:szCs w:val="18"/>
    </w:rPr>
  </w:style>
  <w:style w:type="paragraph" w:styleId="ListBullet2">
    <w:name w:val="List Bullet 2"/>
    <w:basedOn w:val="Normal"/>
    <w:rsid w:val="008D4E74"/>
    <w:pPr>
      <w:numPr>
        <w:numId w:val="11"/>
      </w:numPr>
      <w:tabs>
        <w:tab w:val="clear" w:pos="851"/>
        <w:tab w:val="left" w:pos="3119"/>
      </w:tabs>
      <w:spacing w:before="100" w:after="0" w:line="300" w:lineRule="atLeast"/>
      <w:ind w:left="3118" w:hanging="425"/>
    </w:pPr>
  </w:style>
  <w:style w:type="character" w:styleId="Hyperlink">
    <w:name w:val="Hyperlink"/>
    <w:basedOn w:val="DefaultParagraphFont"/>
    <w:uiPriority w:val="99"/>
    <w:rsid w:val="00B36F17"/>
    <w:rPr>
      <w:color w:val="0000FF"/>
      <w:u w:val="single"/>
    </w:rPr>
  </w:style>
  <w:style w:type="paragraph" w:customStyle="1" w:styleId="tablebullet">
    <w:name w:val="table bullet"/>
    <w:basedOn w:val="Normal"/>
    <w:rsid w:val="00B36F17"/>
    <w:pPr>
      <w:widowControl w:val="0"/>
      <w:numPr>
        <w:numId w:val="2"/>
      </w:numPr>
      <w:spacing w:before="60" w:after="0" w:line="240" w:lineRule="atLeast"/>
    </w:pPr>
    <w:rPr>
      <w:rFonts w:ascii="Arial" w:hAnsi="Arial" w:cs="Arial"/>
      <w:sz w:val="18"/>
      <w:szCs w:val="18"/>
    </w:rPr>
  </w:style>
  <w:style w:type="paragraph" w:styleId="FootnoteText">
    <w:name w:val="footnote text"/>
    <w:basedOn w:val="Normal"/>
    <w:semiHidden/>
    <w:rsid w:val="00B36F17"/>
    <w:pPr>
      <w:spacing w:after="0"/>
    </w:pPr>
    <w:rPr>
      <w:sz w:val="18"/>
    </w:rPr>
  </w:style>
  <w:style w:type="character" w:styleId="FootnoteReference">
    <w:name w:val="footnote reference"/>
    <w:basedOn w:val="DefaultParagraphFont"/>
    <w:semiHidden/>
    <w:rsid w:val="00B36F17"/>
    <w:rPr>
      <w:vertAlign w:val="superscript"/>
    </w:rPr>
  </w:style>
  <w:style w:type="paragraph" w:styleId="TOC1">
    <w:name w:val="toc 1"/>
    <w:basedOn w:val="Normal"/>
    <w:next w:val="Normal"/>
    <w:autoRedefine/>
    <w:uiPriority w:val="39"/>
    <w:rsid w:val="00B36F17"/>
    <w:pPr>
      <w:tabs>
        <w:tab w:val="left" w:pos="2694"/>
        <w:tab w:val="right" w:leader="dot" w:pos="9072"/>
      </w:tabs>
      <w:spacing w:before="100" w:after="0"/>
      <w:ind w:left="2694" w:right="284" w:hanging="425"/>
    </w:pPr>
    <w:rPr>
      <w:rFonts w:ascii="Arial" w:hAnsi="Arial" w:cs="Arial"/>
      <w:b/>
      <w:noProof/>
      <w:sz w:val="20"/>
    </w:rPr>
  </w:style>
  <w:style w:type="paragraph" w:styleId="TOC2">
    <w:name w:val="toc 2"/>
    <w:basedOn w:val="Normal"/>
    <w:next w:val="Normal"/>
    <w:autoRedefine/>
    <w:uiPriority w:val="39"/>
    <w:rsid w:val="009B6624"/>
    <w:pPr>
      <w:tabs>
        <w:tab w:val="left" w:pos="2694"/>
        <w:tab w:val="right" w:leader="dot" w:pos="9072"/>
      </w:tabs>
      <w:spacing w:before="20" w:after="0"/>
      <w:ind w:left="2693" w:right="284" w:firstLine="1"/>
    </w:pPr>
    <w:rPr>
      <w:rFonts w:ascii="Arial" w:hAnsi="Arial" w:cs="Arial"/>
      <w:noProof/>
      <w:sz w:val="20"/>
    </w:rPr>
  </w:style>
  <w:style w:type="paragraph" w:styleId="TOC3">
    <w:name w:val="toc 3"/>
    <w:basedOn w:val="Normal"/>
    <w:next w:val="Normal"/>
    <w:autoRedefine/>
    <w:semiHidden/>
    <w:rsid w:val="00B36F17"/>
    <w:pPr>
      <w:tabs>
        <w:tab w:val="left" w:pos="3261"/>
        <w:tab w:val="right" w:leader="dot" w:pos="9072"/>
      </w:tabs>
      <w:spacing w:after="0"/>
      <w:ind w:left="3260" w:right="284" w:hanging="567"/>
    </w:pPr>
    <w:rPr>
      <w:rFonts w:ascii="Arial" w:hAnsi="Arial" w:cs="Arial"/>
      <w:noProof/>
      <w:sz w:val="18"/>
      <w:szCs w:val="18"/>
    </w:rPr>
  </w:style>
  <w:style w:type="paragraph" w:styleId="TOC4">
    <w:name w:val="toc 4"/>
    <w:basedOn w:val="Normal"/>
    <w:next w:val="Normal"/>
    <w:autoRedefine/>
    <w:semiHidden/>
    <w:rsid w:val="00B36F17"/>
    <w:pPr>
      <w:tabs>
        <w:tab w:val="right" w:leader="dot" w:pos="8364"/>
      </w:tabs>
      <w:spacing w:after="0"/>
      <w:ind w:left="1134" w:right="565"/>
    </w:pPr>
    <w:rPr>
      <w:rFonts w:ascii="Arial" w:hAnsi="Arial" w:cs="Arial"/>
      <w:noProof/>
      <w:sz w:val="18"/>
      <w:szCs w:val="18"/>
      <w:lang w:val="en-ZW"/>
    </w:rPr>
  </w:style>
  <w:style w:type="paragraph" w:customStyle="1" w:styleId="tabletitleindented">
    <w:name w:val="table title indented"/>
    <w:basedOn w:val="tabletitlefullwidth"/>
    <w:rsid w:val="00B36F17"/>
    <w:pPr>
      <w:ind w:left="3260"/>
    </w:pPr>
  </w:style>
  <w:style w:type="paragraph" w:customStyle="1" w:styleId="tabledash">
    <w:name w:val="table dash"/>
    <w:basedOn w:val="tablebullet"/>
    <w:rsid w:val="00B36F17"/>
    <w:pPr>
      <w:numPr>
        <w:numId w:val="5"/>
      </w:numPr>
    </w:pPr>
  </w:style>
  <w:style w:type="paragraph" w:customStyle="1" w:styleId="Tablebody">
    <w:name w:val="Table body"/>
    <w:basedOn w:val="Normal"/>
    <w:semiHidden/>
    <w:rsid w:val="00B36F17"/>
    <w:pPr>
      <w:overflowPunct w:val="0"/>
      <w:autoSpaceDE w:val="0"/>
      <w:autoSpaceDN w:val="0"/>
      <w:adjustRightInd w:val="0"/>
      <w:spacing w:before="40" w:after="120" w:line="260" w:lineRule="atLeast"/>
      <w:textAlignment w:val="baseline"/>
    </w:pPr>
    <w:rPr>
      <w:rFonts w:ascii="Arial" w:hAnsi="Arial" w:cs="Arial"/>
      <w:sz w:val="20"/>
      <w:lang w:eastAsia="en-US"/>
    </w:rPr>
  </w:style>
  <w:style w:type="paragraph" w:customStyle="1" w:styleId="KPbold">
    <w:name w:val="KP bold"/>
    <w:basedOn w:val="KPhead"/>
    <w:next w:val="Normal"/>
    <w:rsid w:val="00B35F20"/>
    <w:pPr>
      <w:keepNext w:val="0"/>
      <w:pBdr>
        <w:top w:val="none" w:sz="0" w:space="0" w:color="auto"/>
        <w:bottom w:val="none" w:sz="0" w:space="0" w:color="auto"/>
        <w:right w:val="none" w:sz="0" w:space="0" w:color="auto"/>
      </w:pBdr>
      <w:shd w:val="clear" w:color="auto" w:fill="auto"/>
      <w:spacing w:before="160" w:line="260" w:lineRule="atLeast"/>
      <w:ind w:right="0"/>
    </w:pPr>
    <w:rPr>
      <w:color w:val="auto"/>
    </w:rPr>
  </w:style>
  <w:style w:type="paragraph" w:customStyle="1" w:styleId="KPhead">
    <w:name w:val="KP head"/>
    <w:basedOn w:val="Normal"/>
    <w:next w:val="KPtext"/>
    <w:rsid w:val="001F5D5A"/>
    <w:pPr>
      <w:keepNext/>
      <w:pBdr>
        <w:top w:val="single" w:sz="6" w:space="1" w:color="0072CE"/>
        <w:left w:val="single" w:sz="6" w:space="4" w:color="0072CE"/>
        <w:bottom w:val="single" w:sz="6" w:space="3" w:color="0072CE"/>
        <w:right w:val="single" w:sz="6" w:space="4" w:color="0072CE"/>
      </w:pBdr>
      <w:shd w:val="clear" w:color="auto" w:fill="0072CE"/>
      <w:spacing w:before="240" w:after="0"/>
      <w:ind w:left="2381" w:right="5613"/>
    </w:pPr>
    <w:rPr>
      <w:rFonts w:ascii="Arial" w:hAnsi="Arial" w:cs="Arial"/>
      <w:b/>
      <w:color w:val="FFFFFF"/>
      <w:sz w:val="20"/>
    </w:rPr>
  </w:style>
  <w:style w:type="paragraph" w:customStyle="1" w:styleId="KPtext">
    <w:name w:val="KP text"/>
    <w:basedOn w:val="KPbold"/>
    <w:rsid w:val="00B36F17"/>
    <w:rPr>
      <w:b w:val="0"/>
    </w:rPr>
  </w:style>
  <w:style w:type="paragraph" w:customStyle="1" w:styleId="KPbullet">
    <w:name w:val="KP bullet"/>
    <w:basedOn w:val="KPtext"/>
    <w:rsid w:val="00B36F17"/>
    <w:pPr>
      <w:numPr>
        <w:numId w:val="6"/>
      </w:numPr>
      <w:tabs>
        <w:tab w:val="clear" w:pos="2807"/>
        <w:tab w:val="left" w:pos="2665"/>
      </w:tabs>
      <w:spacing w:before="100"/>
      <w:ind w:left="2665" w:hanging="284"/>
    </w:pPr>
  </w:style>
  <w:style w:type="paragraph" w:customStyle="1" w:styleId="Note">
    <w:name w:val="Note"/>
    <w:basedOn w:val="BodyText"/>
    <w:next w:val="BodyText"/>
    <w:rsid w:val="00B36F17"/>
    <w:pPr>
      <w:numPr>
        <w:numId w:val="0"/>
      </w:numPr>
      <w:spacing w:line="240" w:lineRule="atLeast"/>
      <w:ind w:left="2693"/>
    </w:pPr>
    <w:rPr>
      <w:sz w:val="18"/>
    </w:rPr>
  </w:style>
  <w:style w:type="paragraph" w:customStyle="1" w:styleId="subparaa">
    <w:name w:val="sub para (a)"/>
    <w:basedOn w:val="BodyText"/>
    <w:rsid w:val="00B36F17"/>
    <w:pPr>
      <w:numPr>
        <w:ilvl w:val="1"/>
      </w:numPr>
      <w:spacing w:before="100"/>
    </w:pPr>
  </w:style>
  <w:style w:type="paragraph" w:customStyle="1" w:styleId="Feedbackhead">
    <w:name w:val="Feedback head"/>
    <w:basedOn w:val="KPhead"/>
    <w:next w:val="Feedbackquestion"/>
    <w:rsid w:val="00C279F3"/>
    <w:pPr>
      <w:pBdr>
        <w:left w:val="single" w:sz="6" w:space="2" w:color="0072CE"/>
        <w:bottom w:val="none" w:sz="0" w:space="0" w:color="auto"/>
        <w:right w:val="none" w:sz="0" w:space="0" w:color="auto"/>
      </w:pBdr>
      <w:shd w:val="clear" w:color="auto" w:fill="auto"/>
      <w:spacing w:before="200"/>
      <w:ind w:left="3232" w:right="4536"/>
    </w:pPr>
    <w:rPr>
      <w:b w:val="0"/>
      <w:i/>
      <w:color w:val="auto"/>
    </w:rPr>
  </w:style>
  <w:style w:type="paragraph" w:customStyle="1" w:styleId="Feedbackquestion">
    <w:name w:val="Feedback question"/>
    <w:basedOn w:val="Feedbackhead"/>
    <w:rsid w:val="00B36F17"/>
    <w:pPr>
      <w:keepNext w:val="0"/>
      <w:keepLines/>
      <w:numPr>
        <w:ilvl w:val="4"/>
        <w:numId w:val="7"/>
      </w:numPr>
      <w:pBdr>
        <w:top w:val="none" w:sz="0" w:space="0" w:color="auto"/>
      </w:pBdr>
      <w:spacing w:before="100" w:line="260" w:lineRule="atLeast"/>
      <w:ind w:right="0"/>
    </w:pPr>
    <w:rPr>
      <w:i w:val="0"/>
    </w:rPr>
  </w:style>
  <w:style w:type="paragraph" w:customStyle="1" w:styleId="Feedbacksubquestion">
    <w:name w:val="Feedback subquestion"/>
    <w:basedOn w:val="Feedbackquestion"/>
    <w:rsid w:val="00B36F17"/>
    <w:pPr>
      <w:numPr>
        <w:ilvl w:val="5"/>
      </w:numPr>
    </w:pPr>
  </w:style>
  <w:style w:type="paragraph" w:customStyle="1" w:styleId="subsubparai">
    <w:name w:val="sub sub para (i)"/>
    <w:basedOn w:val="subparaa"/>
    <w:rsid w:val="00B36F17"/>
    <w:pPr>
      <w:numPr>
        <w:ilvl w:val="2"/>
      </w:numPr>
    </w:pPr>
  </w:style>
  <w:style w:type="paragraph" w:customStyle="1" w:styleId="DescriptorRG">
    <w:name w:val="Descriptor RG"/>
    <w:basedOn w:val="Normal"/>
    <w:next w:val="Normal"/>
    <w:rsid w:val="00220093"/>
    <w:pPr>
      <w:pBdr>
        <w:top w:val="single" w:sz="4" w:space="4" w:color="0072CE"/>
        <w:left w:val="single" w:sz="4" w:space="4" w:color="0072CE"/>
        <w:bottom w:val="single" w:sz="4" w:space="4" w:color="0072CE"/>
        <w:right w:val="single" w:sz="4" w:space="4" w:color="0072CE"/>
      </w:pBdr>
      <w:shd w:val="clear" w:color="auto" w:fill="0072CE"/>
      <w:spacing w:before="960"/>
      <w:ind w:left="2268"/>
    </w:pPr>
    <w:rPr>
      <w:rFonts w:ascii="Arial" w:hAnsi="Arial" w:cs="Arial"/>
      <w:caps/>
      <w:color w:val="FFFFFF"/>
      <w:sz w:val="28"/>
      <w:szCs w:val="28"/>
    </w:rPr>
  </w:style>
  <w:style w:type="paragraph" w:customStyle="1" w:styleId="DescriptorCP">
    <w:name w:val="Descriptor CP"/>
    <w:basedOn w:val="DescriptorRG"/>
    <w:next w:val="Normal"/>
    <w:rsid w:val="007D398F"/>
    <w:pPr>
      <w:pBdr>
        <w:top w:val="single" w:sz="4" w:space="4" w:color="C2E3FA"/>
        <w:left w:val="single" w:sz="4" w:space="4" w:color="C2E3FA"/>
        <w:bottom w:val="single" w:sz="4" w:space="4" w:color="C2E3FA"/>
        <w:right w:val="single" w:sz="4" w:space="4" w:color="C2E3FA"/>
      </w:pBdr>
      <w:shd w:val="clear" w:color="auto" w:fill="C2E3FA"/>
    </w:pPr>
    <w:rPr>
      <w:color w:val="auto"/>
    </w:rPr>
  </w:style>
  <w:style w:type="paragraph" w:customStyle="1" w:styleId="Fronttext">
    <w:name w:val="Front text"/>
    <w:basedOn w:val="Bodytextplain"/>
    <w:rsid w:val="00B36F17"/>
    <w:pPr>
      <w:spacing w:line="260" w:lineRule="atLeast"/>
    </w:pPr>
    <w:rPr>
      <w:rFonts w:ascii="Arial" w:hAnsi="Arial" w:cs="Arial"/>
      <w:sz w:val="20"/>
      <w:szCs w:val="20"/>
    </w:rPr>
  </w:style>
  <w:style w:type="paragraph" w:customStyle="1" w:styleId="Frontbullet">
    <w:name w:val="Front bullet"/>
    <w:basedOn w:val="Fronttext"/>
    <w:rsid w:val="00B36F17"/>
    <w:pPr>
      <w:numPr>
        <w:ilvl w:val="5"/>
        <w:numId w:val="10"/>
      </w:numPr>
      <w:spacing w:before="120"/>
    </w:pPr>
  </w:style>
  <w:style w:type="paragraph" w:customStyle="1" w:styleId="Frontheading">
    <w:name w:val="Front heading"/>
    <w:basedOn w:val="Heading3"/>
    <w:next w:val="Fronttext"/>
    <w:rsid w:val="00103568"/>
    <w:pPr>
      <w:outlineLvl w:val="0"/>
    </w:pPr>
  </w:style>
  <w:style w:type="paragraph" w:customStyle="1" w:styleId="Blockquote">
    <w:name w:val="Block quote"/>
    <w:basedOn w:val="Bodytextplain"/>
    <w:rsid w:val="00B36F17"/>
    <w:pPr>
      <w:spacing w:before="100" w:line="240" w:lineRule="auto"/>
      <w:ind w:left="2693"/>
    </w:pPr>
    <w:rPr>
      <w:sz w:val="21"/>
      <w:szCs w:val="21"/>
    </w:rPr>
  </w:style>
  <w:style w:type="paragraph" w:customStyle="1" w:styleId="Proposalhead">
    <w:name w:val="Proposal head"/>
    <w:basedOn w:val="Bodytextplain"/>
    <w:next w:val="Proposaltext"/>
    <w:rsid w:val="00DE6F41"/>
    <w:pPr>
      <w:keepNext/>
      <w:pBdr>
        <w:top w:val="single" w:sz="18" w:space="1" w:color="0072CE"/>
        <w:left w:val="single" w:sz="4" w:space="4" w:color="0072CE"/>
      </w:pBdr>
      <w:spacing w:line="240" w:lineRule="auto"/>
      <w:ind w:right="5812"/>
    </w:pPr>
    <w:rPr>
      <w:rFonts w:ascii="Arial" w:hAnsi="Arial" w:cs="Arial"/>
      <w:b/>
    </w:rPr>
  </w:style>
  <w:style w:type="paragraph" w:customStyle="1" w:styleId="Proposaltext">
    <w:name w:val="Proposal text"/>
    <w:basedOn w:val="Bodytextplain"/>
    <w:rsid w:val="00AD22BA"/>
    <w:pPr>
      <w:numPr>
        <w:ilvl w:val="1"/>
        <w:numId w:val="7"/>
      </w:numPr>
      <w:spacing w:line="260" w:lineRule="atLeast"/>
    </w:pPr>
    <w:rPr>
      <w:rFonts w:ascii="Arial" w:hAnsi="Arial" w:cs="Arial"/>
      <w:sz w:val="20"/>
      <w:szCs w:val="20"/>
    </w:rPr>
  </w:style>
  <w:style w:type="paragraph" w:customStyle="1" w:styleId="Proposalsubpara">
    <w:name w:val="Proposal sub para"/>
    <w:basedOn w:val="Proposaltext"/>
    <w:rsid w:val="00B36F17"/>
    <w:pPr>
      <w:numPr>
        <w:ilvl w:val="2"/>
      </w:numPr>
      <w:spacing w:before="100"/>
    </w:pPr>
  </w:style>
  <w:style w:type="paragraph" w:customStyle="1" w:styleId="Proposalsubsubpara">
    <w:name w:val="Proposal sub sub para"/>
    <w:basedOn w:val="Proposaltext"/>
    <w:rsid w:val="00B36F17"/>
    <w:pPr>
      <w:numPr>
        <w:ilvl w:val="3"/>
      </w:numPr>
      <w:spacing w:before="100"/>
    </w:pPr>
  </w:style>
  <w:style w:type="paragraph" w:customStyle="1" w:styleId="Proposalnote">
    <w:name w:val="Proposal note"/>
    <w:basedOn w:val="Note"/>
    <w:rsid w:val="00B36F17"/>
    <w:pPr>
      <w:spacing w:before="100"/>
      <w:ind w:left="3119"/>
    </w:pPr>
    <w:rPr>
      <w:rFonts w:ascii="Arial" w:hAnsi="Arial" w:cs="Arial"/>
      <w:sz w:val="16"/>
      <w:szCs w:val="16"/>
    </w:rPr>
  </w:style>
  <w:style w:type="character" w:styleId="CommentReference">
    <w:name w:val="annotation reference"/>
    <w:basedOn w:val="DefaultParagraphFont"/>
    <w:semiHidden/>
    <w:rsid w:val="00B36F17"/>
    <w:rPr>
      <w:sz w:val="16"/>
      <w:szCs w:val="16"/>
    </w:rPr>
  </w:style>
  <w:style w:type="paragraph" w:styleId="CommentText">
    <w:name w:val="annotation text"/>
    <w:basedOn w:val="Normal"/>
    <w:link w:val="CommentTextChar"/>
    <w:semiHidden/>
    <w:rsid w:val="00B36F17"/>
    <w:rPr>
      <w:sz w:val="20"/>
    </w:rPr>
  </w:style>
  <w:style w:type="paragraph" w:styleId="BalloonText">
    <w:name w:val="Balloon Text"/>
    <w:basedOn w:val="Normal"/>
    <w:semiHidden/>
    <w:rsid w:val="00B36F17"/>
    <w:rPr>
      <w:rFonts w:ascii="Tahoma" w:hAnsi="Tahoma" w:cs="Tahoma"/>
      <w:sz w:val="16"/>
      <w:szCs w:val="16"/>
    </w:rPr>
  </w:style>
  <w:style w:type="paragraph" w:customStyle="1" w:styleId="boxbullet">
    <w:name w:val="box bullet"/>
    <w:basedOn w:val="Frontbullet"/>
    <w:rsid w:val="004E61FB"/>
    <w:pPr>
      <w:numPr>
        <w:ilvl w:val="0"/>
        <w:numId w:val="12"/>
      </w:numPr>
      <w:spacing w:before="60"/>
    </w:pPr>
  </w:style>
  <w:style w:type="paragraph" w:customStyle="1" w:styleId="boxtext">
    <w:name w:val="box text"/>
    <w:basedOn w:val="Fronttext"/>
    <w:rsid w:val="00B36F17"/>
    <w:pPr>
      <w:spacing w:before="120"/>
      <w:ind w:left="0"/>
    </w:pPr>
  </w:style>
  <w:style w:type="paragraph" w:customStyle="1" w:styleId="sub3paraA">
    <w:name w:val="sub3para (A)"/>
    <w:basedOn w:val="subsubparai"/>
    <w:qFormat/>
    <w:rsid w:val="009F4DE3"/>
    <w:pPr>
      <w:numPr>
        <w:ilvl w:val="3"/>
      </w:numPr>
    </w:pPr>
  </w:style>
  <w:style w:type="paragraph" w:customStyle="1" w:styleId="sub4paraI">
    <w:name w:val="sub4para (I)"/>
    <w:basedOn w:val="subsubparai"/>
    <w:qFormat/>
    <w:rsid w:val="009F4DE3"/>
    <w:pPr>
      <w:numPr>
        <w:ilvl w:val="4"/>
      </w:numPr>
    </w:pPr>
  </w:style>
  <w:style w:type="paragraph" w:customStyle="1" w:styleId="Feedbacksubsubquestion">
    <w:name w:val="Feedback subsubquestion"/>
    <w:basedOn w:val="Feedbacksubquestion"/>
    <w:qFormat/>
    <w:rsid w:val="00BC048C"/>
    <w:pPr>
      <w:numPr>
        <w:ilvl w:val="6"/>
      </w:numPr>
    </w:pPr>
  </w:style>
  <w:style w:type="paragraph" w:customStyle="1" w:styleId="sourcenoteindented">
    <w:name w:val="source note indented"/>
    <w:basedOn w:val="sourcenotefullwidth"/>
    <w:qFormat/>
    <w:rsid w:val="00C42A28"/>
    <w:pPr>
      <w:ind w:left="2268"/>
    </w:pPr>
  </w:style>
  <w:style w:type="paragraph" w:customStyle="1" w:styleId="tblnote">
    <w:name w:val="tbl note"/>
    <w:basedOn w:val="sourcenotefullwidth"/>
    <w:next w:val="tbltext"/>
    <w:qFormat/>
    <w:rsid w:val="00BE7E5F"/>
    <w:pPr>
      <w:ind w:left="170"/>
    </w:pPr>
  </w:style>
  <w:style w:type="paragraph" w:customStyle="1" w:styleId="tblProposalsubpara">
    <w:name w:val="tbl Proposal sub para"/>
    <w:basedOn w:val="tbltext"/>
    <w:qFormat/>
    <w:rsid w:val="00CC3E64"/>
    <w:pPr>
      <w:ind w:left="885" w:hanging="425"/>
    </w:pPr>
  </w:style>
  <w:style w:type="paragraph" w:customStyle="1" w:styleId="tblProposalsubsubpara">
    <w:name w:val="tbl Proposal sub sub para"/>
    <w:basedOn w:val="tbltext"/>
    <w:qFormat/>
    <w:rsid w:val="00CC3E64"/>
    <w:pPr>
      <w:ind w:left="1310" w:hanging="425"/>
    </w:pPr>
  </w:style>
  <w:style w:type="paragraph" w:customStyle="1" w:styleId="tblProposaltext">
    <w:name w:val="tbl Proposal text"/>
    <w:basedOn w:val="tbltext"/>
    <w:qFormat/>
    <w:rsid w:val="00CC3E64"/>
    <w:pPr>
      <w:ind w:left="425" w:hanging="425"/>
    </w:pPr>
  </w:style>
  <w:style w:type="paragraph" w:customStyle="1" w:styleId="tblProposaltextnonumber">
    <w:name w:val="tbl Proposal text no number"/>
    <w:basedOn w:val="tbltext"/>
    <w:qFormat/>
    <w:rsid w:val="00CC3E64"/>
    <w:pPr>
      <w:ind w:left="425"/>
    </w:pPr>
  </w:style>
  <w:style w:type="paragraph" w:customStyle="1" w:styleId="tblFeedbackquestion">
    <w:name w:val="tbl Feedback question"/>
    <w:basedOn w:val="Proposaltext"/>
    <w:qFormat/>
    <w:rsid w:val="004F6680"/>
    <w:pPr>
      <w:numPr>
        <w:ilvl w:val="0"/>
        <w:numId w:val="0"/>
      </w:numPr>
      <w:spacing w:before="120" w:line="240" w:lineRule="atLeast"/>
      <w:ind w:left="624" w:hanging="624"/>
    </w:pPr>
    <w:rPr>
      <w:sz w:val="18"/>
      <w:szCs w:val="18"/>
    </w:rPr>
  </w:style>
  <w:style w:type="paragraph" w:customStyle="1" w:styleId="tblProposalnotenonumber">
    <w:name w:val="tbl Proposal note no number"/>
    <w:basedOn w:val="tblProposalsubsubpara"/>
    <w:qFormat/>
    <w:rsid w:val="005E45D1"/>
    <w:rPr>
      <w:sz w:val="16"/>
      <w:szCs w:val="16"/>
    </w:rPr>
  </w:style>
  <w:style w:type="paragraph" w:customStyle="1" w:styleId="tblFeedbacksubquestion">
    <w:name w:val="tbl Feedback subquestion"/>
    <w:basedOn w:val="tblProposalsubpara"/>
    <w:rsid w:val="004F6680"/>
    <w:pPr>
      <w:ind w:left="964" w:hanging="340"/>
    </w:pPr>
  </w:style>
  <w:style w:type="paragraph" w:customStyle="1" w:styleId="tblFeedbacksubsubquestion">
    <w:name w:val="tbl Feedback subsubquestion"/>
    <w:basedOn w:val="tblProposalsubsubpara"/>
    <w:qFormat/>
    <w:rsid w:val="004F6680"/>
    <w:pPr>
      <w:ind w:left="1304" w:hanging="340"/>
    </w:pPr>
  </w:style>
  <w:style w:type="paragraph" w:styleId="TOCHeading">
    <w:name w:val="TOC Heading"/>
    <w:basedOn w:val="Heading1"/>
    <w:next w:val="Normal"/>
    <w:uiPriority w:val="39"/>
    <w:qFormat/>
    <w:rsid w:val="00713054"/>
    <w:pPr>
      <w:numPr>
        <w:numId w:val="0"/>
      </w:numPr>
      <w:spacing w:before="200" w:line="240" w:lineRule="auto"/>
    </w:pPr>
    <w:rPr>
      <w:rFonts w:eastAsiaTheme="majorEastAsia"/>
      <w:kern w:val="0"/>
    </w:rPr>
  </w:style>
  <w:style w:type="paragraph" w:customStyle="1" w:styleId="Heading1nonumber">
    <w:name w:val="Heading 1 no number"/>
    <w:basedOn w:val="Heading1"/>
    <w:next w:val="Bodytextplain"/>
    <w:rsid w:val="007E6FAE"/>
    <w:pPr>
      <w:numPr>
        <w:numId w:val="0"/>
      </w:numPr>
    </w:pPr>
  </w:style>
  <w:style w:type="paragraph" w:customStyle="1" w:styleId="Heading2noToC">
    <w:name w:val="Heading 2 no ToC"/>
    <w:basedOn w:val="Bodytextplain"/>
    <w:next w:val="Bodytextplain"/>
    <w:rsid w:val="007E6FAE"/>
    <w:pPr>
      <w:keepNext/>
      <w:spacing w:before="720" w:line="280" w:lineRule="atLeast"/>
      <w:ind w:left="0"/>
      <w:outlineLvl w:val="1"/>
    </w:pPr>
    <w:rPr>
      <w:rFonts w:ascii="Arial" w:hAnsi="Arial" w:cs="Arial"/>
      <w:b/>
      <w:sz w:val="28"/>
      <w:szCs w:val="28"/>
    </w:rPr>
  </w:style>
  <w:style w:type="paragraph" w:customStyle="1" w:styleId="Heading2indented">
    <w:name w:val="Heading 2 indented"/>
    <w:basedOn w:val="Normal"/>
    <w:next w:val="Bodytextplain"/>
    <w:qFormat/>
    <w:rsid w:val="00635D6F"/>
    <w:pPr>
      <w:keepNext/>
      <w:spacing w:before="400" w:after="0" w:line="280" w:lineRule="atLeast"/>
      <w:ind w:left="2268"/>
      <w:outlineLvl w:val="1"/>
    </w:pPr>
    <w:rPr>
      <w:rFonts w:ascii="Arial" w:hAnsi="Arial" w:cs="Arial"/>
      <w:b/>
      <w:sz w:val="24"/>
      <w:szCs w:val="24"/>
    </w:rPr>
  </w:style>
  <w:style w:type="paragraph" w:customStyle="1" w:styleId="Frontmatternote">
    <w:name w:val="Front matter note"/>
    <w:basedOn w:val="tblnote"/>
    <w:qFormat/>
    <w:rsid w:val="00BE7E5F"/>
    <w:pPr>
      <w:spacing w:before="200"/>
      <w:ind w:left="2693"/>
    </w:pPr>
  </w:style>
  <w:style w:type="paragraph" w:customStyle="1" w:styleId="Responsehead">
    <w:name w:val="Response head"/>
    <w:basedOn w:val="Feedbackhead"/>
    <w:next w:val="Responsetext"/>
    <w:qFormat/>
    <w:rsid w:val="00BE0F6C"/>
    <w:pPr>
      <w:spacing w:before="400"/>
      <w:ind w:right="4309"/>
    </w:pPr>
  </w:style>
  <w:style w:type="paragraph" w:customStyle="1" w:styleId="Responsetext">
    <w:name w:val="Response text"/>
    <w:basedOn w:val="Responsehead"/>
    <w:qFormat/>
    <w:rsid w:val="00BE0F6C"/>
    <w:pPr>
      <w:keepNext w:val="0"/>
      <w:pBdr>
        <w:top w:val="none" w:sz="0" w:space="0" w:color="auto"/>
      </w:pBdr>
      <w:spacing w:before="100" w:line="260" w:lineRule="atLeast"/>
      <w:ind w:right="0"/>
    </w:pPr>
    <w:rPr>
      <w:i w:val="0"/>
    </w:rPr>
  </w:style>
  <w:style w:type="paragraph" w:customStyle="1" w:styleId="Responsebullet">
    <w:name w:val="Response bullet"/>
    <w:basedOn w:val="Responsetext"/>
    <w:qFormat/>
    <w:rsid w:val="001B3035"/>
    <w:pPr>
      <w:numPr>
        <w:numId w:val="22"/>
      </w:numPr>
    </w:pPr>
  </w:style>
  <w:style w:type="character" w:customStyle="1" w:styleId="HeaderChar">
    <w:name w:val="Header Char"/>
    <w:basedOn w:val="DefaultParagraphFont"/>
    <w:link w:val="Header"/>
    <w:rsid w:val="00F445F9"/>
    <w:rPr>
      <w:rFonts w:ascii="Arial" w:hAnsi="Arial" w:cs="Arial"/>
      <w:caps/>
      <w:color w:val="008291"/>
      <w:sz w:val="16"/>
      <w:szCs w:val="16"/>
    </w:rPr>
  </w:style>
  <w:style w:type="paragraph" w:customStyle="1" w:styleId="StyleDescriptorRGBoldCustomColorRGB17125199">
    <w:name w:val="Style Descriptor RG + Bold Custom Color(RGB(17125199))"/>
    <w:basedOn w:val="DescriptorRG"/>
    <w:rsid w:val="00F445F9"/>
    <w:pPr>
      <w:shd w:val="clear" w:color="auto" w:fill="auto"/>
    </w:pPr>
    <w:rPr>
      <w:b/>
      <w:bCs/>
      <w:color w:val="0072CE"/>
    </w:rPr>
  </w:style>
  <w:style w:type="character" w:customStyle="1" w:styleId="BodytextplainChar">
    <w:name w:val="Body text plain Char"/>
    <w:basedOn w:val="DefaultParagraphFont"/>
    <w:link w:val="Bodytextplain"/>
    <w:rsid w:val="00F445F9"/>
    <w:rPr>
      <w:sz w:val="22"/>
      <w:szCs w:val="22"/>
    </w:rPr>
  </w:style>
  <w:style w:type="paragraph" w:customStyle="1" w:styleId="Default">
    <w:name w:val="Default"/>
    <w:rsid w:val="002C362A"/>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7482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E349C"/>
    <w:rPr>
      <w:b/>
      <w:bCs/>
    </w:rPr>
  </w:style>
  <w:style w:type="character" w:customStyle="1" w:styleId="CommentTextChar">
    <w:name w:val="Comment Text Char"/>
    <w:basedOn w:val="DefaultParagraphFont"/>
    <w:link w:val="CommentText"/>
    <w:semiHidden/>
    <w:rsid w:val="003E349C"/>
  </w:style>
  <w:style w:type="character" w:customStyle="1" w:styleId="CommentSubjectChar">
    <w:name w:val="Comment Subject Char"/>
    <w:basedOn w:val="CommentTextChar"/>
    <w:link w:val="CommentSubject"/>
    <w:uiPriority w:val="99"/>
    <w:semiHidden/>
    <w:rsid w:val="003E349C"/>
    <w:rPr>
      <w:b/>
      <w:bCs/>
    </w:rPr>
  </w:style>
  <w:style w:type="character" w:styleId="FollowedHyperlink">
    <w:name w:val="FollowedHyperlink"/>
    <w:basedOn w:val="DefaultParagraphFont"/>
    <w:uiPriority w:val="99"/>
    <w:semiHidden/>
    <w:unhideWhenUsed/>
    <w:rsid w:val="00180CDE"/>
    <w:rPr>
      <w:color w:val="800080" w:themeColor="followedHyperlink"/>
      <w:u w:val="single"/>
    </w:rPr>
  </w:style>
  <w:style w:type="paragraph" w:styleId="Revision">
    <w:name w:val="Revision"/>
    <w:hidden/>
    <w:uiPriority w:val="99"/>
    <w:semiHidden/>
    <w:rsid w:val="007A61B1"/>
    <w:rPr>
      <w:sz w:val="22"/>
    </w:rPr>
  </w:style>
  <w:style w:type="paragraph" w:customStyle="1" w:styleId="ListPara1">
    <w:name w:val="List Para 1"/>
    <w:basedOn w:val="Normal"/>
    <w:link w:val="ListPara1Char"/>
    <w:uiPriority w:val="4"/>
    <w:qFormat/>
    <w:rsid w:val="00E57238"/>
    <w:pPr>
      <w:spacing w:after="200" w:line="276" w:lineRule="auto"/>
      <w:ind w:left="482" w:hanging="340"/>
    </w:pPr>
    <w:rPr>
      <w:rFonts w:ascii="Century Gothic" w:hAnsi="Century Gothic" w:cs="Arial"/>
      <w:szCs w:val="22"/>
      <w:lang w:val="en-US"/>
    </w:rPr>
  </w:style>
  <w:style w:type="character" w:customStyle="1" w:styleId="ListPara1Char">
    <w:name w:val="List Para 1 Char"/>
    <w:basedOn w:val="DefaultParagraphFont"/>
    <w:link w:val="ListPara1"/>
    <w:uiPriority w:val="4"/>
    <w:rsid w:val="00E57238"/>
    <w:rPr>
      <w:rFonts w:ascii="Century Gothic" w:hAnsi="Century Gothic" w:cs="Arial"/>
      <w:sz w:val="22"/>
      <w:szCs w:val="22"/>
      <w:lang w:val="en-US"/>
    </w:rPr>
  </w:style>
  <w:style w:type="paragraph" w:customStyle="1" w:styleId="ListPara2">
    <w:name w:val="List Para 2"/>
    <w:basedOn w:val="Normal"/>
    <w:link w:val="ListPara2Char"/>
    <w:qFormat/>
    <w:rsid w:val="00E57238"/>
    <w:pPr>
      <w:spacing w:after="160" w:line="259" w:lineRule="auto"/>
      <w:ind w:left="1134" w:hanging="454"/>
    </w:pPr>
    <w:rPr>
      <w:rFonts w:ascii="Century Gothic" w:eastAsiaTheme="minorHAnsi" w:hAnsi="Century Gothic" w:cstheme="minorBidi"/>
      <w:lang w:eastAsia="en-US"/>
    </w:rPr>
  </w:style>
  <w:style w:type="paragraph" w:styleId="ListParagraph">
    <w:name w:val="List Paragraph"/>
    <w:basedOn w:val="Normal"/>
    <w:uiPriority w:val="34"/>
    <w:qFormat/>
    <w:rsid w:val="002522CA"/>
    <w:pPr>
      <w:ind w:left="720"/>
      <w:contextualSpacing/>
    </w:pPr>
  </w:style>
  <w:style w:type="character" w:customStyle="1" w:styleId="ListPara2Char">
    <w:name w:val="List Para 2 Char"/>
    <w:basedOn w:val="DefaultParagraphFont"/>
    <w:link w:val="ListPara2"/>
    <w:rsid w:val="004628F7"/>
    <w:rPr>
      <w:rFonts w:ascii="Century Gothic" w:eastAsiaTheme="minorHAnsi" w:hAnsi="Century Gothic" w:cstheme="minorBidi"/>
      <w:sz w:val="22"/>
      <w:lang w:eastAsia="en-US"/>
    </w:rPr>
  </w:style>
  <w:style w:type="character" w:customStyle="1" w:styleId="BodyTextChar">
    <w:name w:val="Body Text Char"/>
    <w:basedOn w:val="DefaultParagraphFont"/>
    <w:link w:val="BodyText"/>
    <w:rsid w:val="00DC2B5E"/>
    <w:rPr>
      <w:sz w:val="22"/>
      <w:szCs w:val="22"/>
    </w:rPr>
  </w:style>
  <w:style w:type="paragraph" w:customStyle="1" w:styleId="MIRSubpara">
    <w:name w:val="MIR Subpara"/>
    <w:basedOn w:val="subparaa"/>
    <w:link w:val="MIRSubparaChar"/>
    <w:qFormat/>
    <w:rsid w:val="00F20D0F"/>
    <w:pPr>
      <w:numPr>
        <w:numId w:val="41"/>
      </w:numPr>
    </w:pPr>
  </w:style>
  <w:style w:type="paragraph" w:customStyle="1" w:styleId="MIRsubsubsubpara">
    <w:name w:val="MIR subsubsubpara"/>
    <w:basedOn w:val="subsubparai"/>
    <w:qFormat/>
    <w:rsid w:val="00F20D0F"/>
    <w:pPr>
      <w:numPr>
        <w:ilvl w:val="3"/>
        <w:numId w:val="41"/>
      </w:numPr>
    </w:pPr>
  </w:style>
  <w:style w:type="character" w:customStyle="1" w:styleId="MIRSubparaChar">
    <w:name w:val="MIR Subpara Char"/>
    <w:basedOn w:val="DefaultParagraphFont"/>
    <w:link w:val="MIRSubpara"/>
    <w:rsid w:val="00F20D0F"/>
    <w:rPr>
      <w:sz w:val="22"/>
      <w:szCs w:val="22"/>
    </w:rPr>
  </w:style>
  <w:style w:type="paragraph" w:customStyle="1" w:styleId="MIRBodyText">
    <w:name w:val="MIR Body Text"/>
    <w:basedOn w:val="Bodytextplain"/>
    <w:link w:val="MIRBodyTextChar"/>
    <w:qFormat/>
    <w:rsid w:val="00F20D0F"/>
    <w:pPr>
      <w:numPr>
        <w:numId w:val="41"/>
      </w:numPr>
      <w:tabs>
        <w:tab w:val="left" w:pos="2205"/>
      </w:tabs>
    </w:pPr>
  </w:style>
  <w:style w:type="character" w:customStyle="1" w:styleId="MIRBodyTextChar">
    <w:name w:val="MIR Body Text Char"/>
    <w:basedOn w:val="BodytextplainChar"/>
    <w:link w:val="MIRBodyText"/>
    <w:rsid w:val="00F20D0F"/>
    <w:rPr>
      <w:sz w:val="22"/>
      <w:szCs w:val="22"/>
    </w:rPr>
  </w:style>
  <w:style w:type="paragraph" w:customStyle="1" w:styleId="MIRSubsubpara">
    <w:name w:val="MIR Subsubpara"/>
    <w:basedOn w:val="subsubparai"/>
    <w:qFormat/>
    <w:rsid w:val="00F20D0F"/>
    <w:pPr>
      <w:numPr>
        <w:numId w:val="41"/>
      </w:numPr>
    </w:pPr>
  </w:style>
  <w:style w:type="character" w:customStyle="1" w:styleId="FooterChar">
    <w:name w:val="Footer Char"/>
    <w:basedOn w:val="DefaultParagraphFont"/>
    <w:link w:val="Footer"/>
    <w:rsid w:val="00A15190"/>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852252">
      <w:bodyDiv w:val="1"/>
      <w:marLeft w:val="0"/>
      <w:marRight w:val="0"/>
      <w:marTop w:val="0"/>
      <w:marBottom w:val="0"/>
      <w:divBdr>
        <w:top w:val="none" w:sz="0" w:space="0" w:color="auto"/>
        <w:left w:val="none" w:sz="0" w:space="0" w:color="auto"/>
        <w:bottom w:val="none" w:sz="0" w:space="0" w:color="auto"/>
        <w:right w:val="none" w:sz="0" w:space="0" w:color="auto"/>
      </w:divBdr>
    </w:div>
    <w:div w:id="421756746">
      <w:bodyDiv w:val="1"/>
      <w:marLeft w:val="0"/>
      <w:marRight w:val="0"/>
      <w:marTop w:val="0"/>
      <w:marBottom w:val="0"/>
      <w:divBdr>
        <w:top w:val="none" w:sz="0" w:space="0" w:color="auto"/>
        <w:left w:val="none" w:sz="0" w:space="0" w:color="auto"/>
        <w:bottom w:val="none" w:sz="0" w:space="0" w:color="auto"/>
        <w:right w:val="none" w:sz="0" w:space="0" w:color="auto"/>
      </w:divBdr>
    </w:div>
    <w:div w:id="1032071411">
      <w:bodyDiv w:val="1"/>
      <w:marLeft w:val="0"/>
      <w:marRight w:val="0"/>
      <w:marTop w:val="0"/>
      <w:marBottom w:val="0"/>
      <w:divBdr>
        <w:top w:val="none" w:sz="0" w:space="0" w:color="auto"/>
        <w:left w:val="none" w:sz="0" w:space="0" w:color="auto"/>
        <w:bottom w:val="none" w:sz="0" w:space="0" w:color="auto"/>
        <w:right w:val="none" w:sz="0" w:space="0" w:color="auto"/>
      </w:divBdr>
    </w:div>
    <w:div w:id="1280920220">
      <w:bodyDiv w:val="1"/>
      <w:marLeft w:val="0"/>
      <w:marRight w:val="0"/>
      <w:marTop w:val="0"/>
      <w:marBottom w:val="0"/>
      <w:divBdr>
        <w:top w:val="none" w:sz="0" w:space="0" w:color="auto"/>
        <w:left w:val="none" w:sz="0" w:space="0" w:color="auto"/>
        <w:bottom w:val="none" w:sz="0" w:space="0" w:color="auto"/>
        <w:right w:val="none" w:sz="0" w:space="0" w:color="auto"/>
      </w:divBdr>
    </w:div>
    <w:div w:id="1398095379">
      <w:bodyDiv w:val="1"/>
      <w:marLeft w:val="0"/>
      <w:marRight w:val="0"/>
      <w:marTop w:val="0"/>
      <w:marBottom w:val="0"/>
      <w:divBdr>
        <w:top w:val="none" w:sz="0" w:space="0" w:color="auto"/>
        <w:left w:val="none" w:sz="0" w:space="0" w:color="auto"/>
        <w:bottom w:val="none" w:sz="0" w:space="0" w:color="auto"/>
        <w:right w:val="none" w:sz="0" w:space="0" w:color="auto"/>
      </w:divBdr>
    </w:div>
    <w:div w:id="1644698277">
      <w:bodyDiv w:val="1"/>
      <w:marLeft w:val="0"/>
      <w:marRight w:val="0"/>
      <w:marTop w:val="0"/>
      <w:marBottom w:val="0"/>
      <w:divBdr>
        <w:top w:val="none" w:sz="0" w:space="0" w:color="auto"/>
        <w:left w:val="none" w:sz="0" w:space="0" w:color="auto"/>
        <w:bottom w:val="none" w:sz="0" w:space="0" w:color="auto"/>
        <w:right w:val="none" w:sz="0" w:space="0" w:color="auto"/>
      </w:divBdr>
    </w:div>
    <w:div w:id="183772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asic.gov.au/regulatory-resources/find-a-document/regulatory-guides/rg-172-financial-markets-domestic-and-overseas-operators/" TargetMode="External"/><Relationship Id="rId26" Type="http://schemas.openxmlformats.org/officeDocument/2006/relationships/hyperlink" Target="https://asic.gov.au/regulatory-resources/find-a-document/consultation-papers/cp-314-market-integrity-rules-for-technological-and-operational-resilience/" TargetMode="External"/><Relationship Id="rId39" Type="http://schemas.openxmlformats.org/officeDocument/2006/relationships/hyperlink" Target="https://asic.gov.au/regulatory-resources/find-a-document/consultation-papers/cp-314-market-integrity-rules-for-technological-and-operational-resilience/" TargetMode="External"/><Relationship Id="rId21" Type="http://schemas.openxmlformats.org/officeDocument/2006/relationships/hyperlink" Target="https://asic.gov.au/regulatory-resources/find-a-document/consultation-papers/cp-314-market-integrity-rules-for-technological-and-operational-resilience/" TargetMode="External"/><Relationship Id="rId34" Type="http://schemas.openxmlformats.org/officeDocument/2006/relationships/hyperlink" Target="https://asic.gov.au/regulatory-resources/find-a-document/regulatory-guides/rg-104-afs-licensing-meeting-the-general-obligations/" TargetMode="External"/><Relationship Id="rId42" Type="http://schemas.openxmlformats.org/officeDocument/2006/relationships/hyperlink" Target="https://asic.gov.au/regulatory-resources/find-a-document/consultation-papers/cp-314-market-integrity-rules-for-technological-and-operational-resilience/" TargetMode="External"/><Relationship Id="rId47" Type="http://schemas.openxmlformats.org/officeDocument/2006/relationships/hyperlink" Target="https://asic.gov.au/regulatory-resources/find-a-document/consultation-papers/cp-314-market-integrity-rules-for-technological-and-operational-resilience/" TargetMode="External"/><Relationship Id="rId50" Type="http://schemas.openxmlformats.org/officeDocument/2006/relationships/footer" Target="footer3.xml"/><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asic.gov.au/regulatory-resources/find-a-document/regulatory-guides/rg-172-financial-markets-domestic-and-overseas-operators/" TargetMode="External"/><Relationship Id="rId11" Type="http://schemas.openxmlformats.org/officeDocument/2006/relationships/image" Target="media/image1.jpg"/><Relationship Id="rId24" Type="http://schemas.openxmlformats.org/officeDocument/2006/relationships/hyperlink" Target="https://www.legislation.gov.au/Details/F2016L01431" TargetMode="External"/><Relationship Id="rId32" Type="http://schemas.openxmlformats.org/officeDocument/2006/relationships/hyperlink" Target="https://www.legislation.gov.au/Details/F2016L01431" TargetMode="External"/><Relationship Id="rId37" Type="http://schemas.openxmlformats.org/officeDocument/2006/relationships/hyperlink" Target="https://www.legislation.gov.au/Details/F2016L01436" TargetMode="External"/><Relationship Id="rId40" Type="http://schemas.openxmlformats.org/officeDocument/2006/relationships/hyperlink" Target="https://www.legislation.gov.au/Details/F2018L01745" TargetMode="External"/><Relationship Id="rId45" Type="http://schemas.openxmlformats.org/officeDocument/2006/relationships/hyperlink" Target="https://asic.gov.au/regulatory-resources/find-a-document/consultation-papers/cp-314-market-integrity-rules-for-technological-and-operational-resilience/"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asic.gov.au/regulatory-resources/find-a-document/regulatory-guides/rg-265-guidance-on-asic-market-integrity-rules-for-participants-of-securities-markets/" TargetMode="External"/><Relationship Id="rId31" Type="http://schemas.openxmlformats.org/officeDocument/2006/relationships/hyperlink" Target="https://asic.gov.au/regulatory-resources/find-a-document/consultation-papers/cp-314-market-integrity-rules-for-technological-and-operational-resilience/" TargetMode="External"/><Relationship Id="rId44" Type="http://schemas.openxmlformats.org/officeDocument/2006/relationships/hyperlink" Target="https://asic.gov.au/regulatory-resources/find-a-document/consultation-papers/cp-314-market-integrity-rules-for-technological-and-operational-resilience/"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asic.gov.au/regulatory-resources/find-a-document/consultation-papers/cp-314-market-integrity-rules-for-technological-and-operational-resilience/" TargetMode="External"/><Relationship Id="rId27" Type="http://schemas.openxmlformats.org/officeDocument/2006/relationships/hyperlink" Target="https://asic.gov.au/regulatory-resources/find-a-document/regulatory-guides/rg-265-guidance-on-asic-market-integrity-rules-for-participants-of-securities-markets/" TargetMode="External"/><Relationship Id="rId30" Type="http://schemas.openxmlformats.org/officeDocument/2006/relationships/hyperlink" Target="https://asic.gov.au/regulatory-resources/find-a-document/consultation-papers/cp-314-market-integrity-rules-for-technological-and-operational-resilience/" TargetMode="External"/><Relationship Id="rId35" Type="http://schemas.openxmlformats.org/officeDocument/2006/relationships/hyperlink" Target="https://www.legislation.gov.au/Details/F2016L01436" TargetMode="External"/><Relationship Id="rId43" Type="http://schemas.openxmlformats.org/officeDocument/2006/relationships/hyperlink" Target="https://asic.gov.au/regulatory-resources/find-a-document/consultation-papers/cp-314-market-integrity-rules-for-technological-and-operational-resilience/"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hyperlink" Target="https://asic.gov.au/regulatory-resources/find-a-document/consultation-papers/cp-314-market-integrity-rules-for-technological-and-operational-resilience/" TargetMode="External"/><Relationship Id="rId17" Type="http://schemas.openxmlformats.org/officeDocument/2006/relationships/header" Target="header3.xml"/><Relationship Id="rId25" Type="http://schemas.openxmlformats.org/officeDocument/2006/relationships/hyperlink" Target="https://www.legislation.gov.au/Details/F2018L01745" TargetMode="External"/><Relationship Id="rId33" Type="http://schemas.openxmlformats.org/officeDocument/2006/relationships/hyperlink" Target="https://asic.gov.au/regulatory-resources/find-a-document/consultation-papers/cp-314-market-integrity-rules-for-technological-and-operational-resilience/" TargetMode="External"/><Relationship Id="rId38" Type="http://schemas.openxmlformats.org/officeDocument/2006/relationships/hyperlink" Target="https://www.legislation.gov.au/Details/F2018L01745" TargetMode="External"/><Relationship Id="rId46" Type="http://schemas.openxmlformats.org/officeDocument/2006/relationships/hyperlink" Target="https://www.iosco.org/library/pubdocs/pdf/IOSCOPD667.pdf" TargetMode="External"/><Relationship Id="rId20" Type="http://schemas.openxmlformats.org/officeDocument/2006/relationships/hyperlink" Target="https://asic.gov.au/regulatory-resources/find-a-document/regulatory-guides/rg-266-guidance-on-asic-market-integrity-rules-for-participants-of-futures-markets/" TargetMode="External"/><Relationship Id="rId41" Type="http://schemas.openxmlformats.org/officeDocument/2006/relationships/hyperlink" Target="https://www.legislation.gov.au/Details/F2018L01745"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legislation.gov.au/Details/F2016L01436" TargetMode="External"/><Relationship Id="rId28" Type="http://schemas.openxmlformats.org/officeDocument/2006/relationships/hyperlink" Target="https://asic.gov.au/regulatory-resources/find-a-document/regulatory-guides/rg-266-guidance-on-asic-market-integrity-rules-for-participants-of-futures-markets/" TargetMode="External"/><Relationship Id="rId36" Type="http://schemas.openxmlformats.org/officeDocument/2006/relationships/hyperlink" Target="https://www.legislation.gov.au/Details/F2016L01436" TargetMode="External"/><Relationship Id="rId49"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a1.asic.gov.au\ds\appHome\Office%202016\ASIC%20Templates\RegDocs\ASIC%20Reg%20Docs%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1" ma:contentTypeDescription="Create a new document." ma:contentTypeScope="" ma:versionID="59e167facbd9e776d6599421bbce5fe9">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77a0628d3abd3daff5cf9c84b73c7fc9"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4195ad5f-cdf2-4c4a-8d9b-b7944a108e98">DOCID-322795542-10747</_dlc_DocId>
    <_dlc_DocIdUrl xmlns="4195ad5f-cdf2-4c4a-8d9b-b7944a108e98">
      <Url>https://pmc01.sharepoint.com/sites/CRMOBPR/_layouts/15/DocIdRedir.aspx?ID=DOCID-322795542-10747</Url>
      <Description>DOCID-322795542-10747</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FB302EB-AC6B-4C38-B75F-B8C8DF1A5531}">
  <ds:schemaRefs>
    <ds:schemaRef ds:uri="http://schemas.microsoft.com/sharepoint/v3/contenttype/forms"/>
  </ds:schemaRefs>
</ds:datastoreItem>
</file>

<file path=customXml/itemProps2.xml><?xml version="1.0" encoding="utf-8"?>
<ds:datastoreItem xmlns:ds="http://schemas.openxmlformats.org/officeDocument/2006/customXml" ds:itemID="{26236258-2472-4356-8E40-0ED587DC9164}"/>
</file>

<file path=customXml/itemProps3.xml><?xml version="1.0" encoding="utf-8"?>
<ds:datastoreItem xmlns:ds="http://schemas.openxmlformats.org/officeDocument/2006/customXml" ds:itemID="{F285A272-7F05-41D8-9115-01E6BDD5EB27}">
  <ds:schemaRefs>
    <ds:schemaRef ds:uri="http://schemas.microsoft.com/office/2006/metadata/properties"/>
    <ds:schemaRef ds:uri="http://purl.org/dc/elements/1.1/"/>
    <ds:schemaRef ds:uri="http://purl.org/dc/terms/"/>
    <ds:schemaRef ds:uri="http://schemas.microsoft.com/office/2006/documentManagement/types"/>
    <ds:schemaRef ds:uri="17f478ab-373e-4295-9ff0-9b833ad01319"/>
    <ds:schemaRef ds:uri="http://purl.org/dc/dcmitype/"/>
    <ds:schemaRef ds:uri="http://schemas.microsoft.com/office/infopath/2007/PartnerControls"/>
    <ds:schemaRef ds:uri="http://schemas.microsoft.com/sharepoint/v4"/>
    <ds:schemaRef ds:uri="http://www.w3.org/XML/1998/namespace"/>
    <ds:schemaRef ds:uri="http://schemas.openxmlformats.org/package/2006/metadata/core-properties"/>
    <ds:schemaRef ds:uri="a21c7a24-fb33-462c-8728-ede2c6d24d59"/>
    <ds:schemaRef ds:uri="da7a9ac0-bc47-4684-84e6-3a8e9ac80c12"/>
  </ds:schemaRefs>
</ds:datastoreItem>
</file>

<file path=customXml/itemProps4.xml><?xml version="1.0" encoding="utf-8"?>
<ds:datastoreItem xmlns:ds="http://schemas.openxmlformats.org/officeDocument/2006/customXml" ds:itemID="{BD419315-FBF8-42D4-BBA9-E160EA3BF348}">
  <ds:schemaRefs>
    <ds:schemaRef ds:uri="http://schemas.openxmlformats.org/officeDocument/2006/bibliography"/>
  </ds:schemaRefs>
</ds:datastoreItem>
</file>

<file path=customXml/itemProps5.xml><?xml version="1.0" encoding="utf-8"?>
<ds:datastoreItem xmlns:ds="http://schemas.openxmlformats.org/officeDocument/2006/customXml" ds:itemID="{0E882155-5434-4868-9354-F4F36217F398}"/>
</file>

<file path=docProps/app.xml><?xml version="1.0" encoding="utf-8"?>
<Properties xmlns="http://schemas.openxmlformats.org/officeDocument/2006/extended-properties" xmlns:vt="http://schemas.openxmlformats.org/officeDocument/2006/docPropsVTypes">
  <Template>ASIC Reg Docs Template.dotm</Template>
  <TotalTime>1212</TotalTime>
  <Pages>21</Pages>
  <Words>5966</Words>
  <Characters>38936</Characters>
  <Application>Microsoft Office Word</Application>
  <DocSecurity>0</DocSecurity>
  <Lines>794</Lines>
  <Paragraphs>311</Paragraphs>
  <ScaleCrop>false</ScaleCrop>
  <HeadingPairs>
    <vt:vector size="2" baseType="variant">
      <vt:variant>
        <vt:lpstr>Title</vt:lpstr>
      </vt:variant>
      <vt:variant>
        <vt:i4>1</vt:i4>
      </vt:variant>
    </vt:vector>
  </HeadingPairs>
  <TitlesOfParts>
    <vt:vector size="1" baseType="lpstr">
      <vt:lpstr>Report REP 719 Response to submissions on CP 314 Market integrity rules for technological and operational resilience</vt:lpstr>
    </vt:vector>
  </TitlesOfParts>
  <Company/>
  <LinksUpToDate>false</LinksUpToDate>
  <CharactersWithSpaces>44591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REP 719 Response to submissions on CP 314 Market integrity rules for technological and operational resilience</dc:title>
  <dc:subject>Report REP 719 Response to submissions on CP 314 Market integrity rules for technological and operational resilience</dc:subject>
  <dc:creator>ASIC</dc:creator>
  <cp:keywords>Report REP 719 Response to submissions on CP 314 Market integrity rules for technological and operational resilience</cp:keywords>
  <dc:description/>
  <cp:lastModifiedBy>Deborah Norberry</cp:lastModifiedBy>
  <cp:revision>16</cp:revision>
  <cp:lastPrinted>2019-12-23T00:01:00Z</cp:lastPrinted>
  <dcterms:created xsi:type="dcterms:W3CDTF">2022-03-07T04:16:00Z</dcterms:created>
  <dcterms:modified xsi:type="dcterms:W3CDTF">2022-03-08T02:27:00Z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REPORT</vt:lpwstr>
  </property>
  <property fmtid="{D5CDD505-2E9C-101B-9397-08002B2CF9AE}" pid="3" name="Document title">
    <vt:lpwstr>Response to submissions on CP 314 Market integrity rules for technological and operational resilienc</vt:lpwstr>
  </property>
  <property fmtid="{D5CDD505-2E9C-101B-9397-08002B2CF9AE}" pid="4" name="Document num">
    <vt:lpwstr>719</vt:lpwstr>
  </property>
  <property fmtid="{D5CDD505-2E9C-101B-9397-08002B2CF9AE}" pid="5" name="Issue date">
    <vt:lpwstr>March 2022</vt:lpwstr>
  </property>
  <property fmtid="{D5CDD505-2E9C-101B-9397-08002B2CF9AE}" pid="6" name="Source file type">
    <vt:lpwstr>FR</vt:lpwstr>
  </property>
  <property fmtid="{D5CDD505-2E9C-101B-9397-08002B2CF9AE}" pid="7" name="ContentTypeId">
    <vt:lpwstr>0x0101009CA239676470E04B809DDC4E24CF2322</vt:lpwstr>
  </property>
  <property fmtid="{D5CDD505-2E9C-101B-9397-08002B2CF9AE}" pid="8" name="_dlc_DocIdItemGuid">
    <vt:lpwstr>0f22c5c0-f217-4fea-9d79-6e58149255be</vt:lpwstr>
  </property>
</Properties>
</file>