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35612" w14:textId="074D6103" w:rsidR="00C47C54" w:rsidRDefault="004359E6" w:rsidP="00ED3CD3">
      <w:bookmarkStart w:id="0" w:name="_GoBack"/>
      <w:bookmarkEnd w:id="0"/>
      <w:r w:rsidRPr="008A3584">
        <w:rPr>
          <w:noProof/>
          <w:lang w:eastAsia="en-AU"/>
        </w:rPr>
        <mc:AlternateContent>
          <mc:Choice Requires="wps">
            <w:drawing>
              <wp:anchor distT="0" distB="0" distL="114300" distR="114300" simplePos="0" relativeHeight="251658242" behindDoc="1" locked="0" layoutInCell="1" allowOverlap="1" wp14:anchorId="18127C95" wp14:editId="461A7F11">
                <wp:simplePos x="0" y="0"/>
                <wp:positionH relativeFrom="margin">
                  <wp:posOffset>-914400</wp:posOffset>
                </wp:positionH>
                <wp:positionV relativeFrom="margin">
                  <wp:posOffset>990600</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9047D6" w14:textId="515D445F" w:rsidR="00B91EE2" w:rsidRDefault="00B91EE2" w:rsidP="00FE110C">
                            <w:pPr>
                              <w:pStyle w:val="PaperTitle"/>
                            </w:pPr>
                            <w:r>
                              <w:t>Revisions to Prudential Standard LPS 117 Capital Adequacy: Asset Concentration Risk Charge</w:t>
                            </w:r>
                          </w:p>
                          <w:p w14:paraId="2520D36E" w14:textId="224DF380" w:rsidR="00B91EE2" w:rsidRPr="00FE110C" w:rsidRDefault="00B91EE2" w:rsidP="00FE110C">
                            <w:pPr>
                              <w:pStyle w:val="CoverDate"/>
                            </w:pPr>
                            <w:r w:rsidRPr="001053A3">
                              <w:t>8</w:t>
                            </w:r>
                            <w:r>
                              <w:t xml:space="preserve"> April</w:t>
                            </w:r>
                            <w:r w:rsidRPr="001C726D">
                              <w:t xml:space="preserve"> </w:t>
                            </w:r>
                            <w:r w:rsidRPr="00346D30">
                              <w:t>2021</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18127C95" id="Rectangle 6" o:spid="_x0000_s1026" alt="Title: Background shape - Description: Background shape" style="position:absolute;left:0;text-align:left;margin-left:-1in;margin-top:78pt;width:525.55pt;height:239.8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" fillcolor="white [3212]" stroked="f" strokeweight="2pt">
                <v:textbox style="mso-fit-shape-to-text:t" inset="18mm,,8mm,10mm">
                  <w:txbxContent>
                    <w:p w14:paraId="679047D6" w14:textId="515D445F" w:rsidR="00B91EE2" w:rsidRDefault="00B91EE2" w:rsidP="00FE110C">
                      <w:pPr>
                        <w:pStyle w:val="PaperTitle"/>
                      </w:pPr>
                      <w:r>
                        <w:t>Revisions to Prudential Standard LPS 117 Capital Adequacy: Asset Concentration Risk Charge</w:t>
                      </w:r>
                    </w:p>
                    <w:p w14:paraId="2520D36E" w14:textId="224DF380" w:rsidR="00B91EE2" w:rsidRPr="00FE110C" w:rsidRDefault="00B91EE2" w:rsidP="00FE110C">
                      <w:pPr>
                        <w:pStyle w:val="CoverDate"/>
                      </w:pPr>
                      <w:r w:rsidRPr="001053A3">
                        <w:t>8</w:t>
                      </w:r>
                      <w:r>
                        <w:t xml:space="preserve"> April</w:t>
                      </w:r>
                      <w:r w:rsidRPr="001C726D">
                        <w:t xml:space="preserve"> </w:t>
                      </w:r>
                      <w:r w:rsidRPr="00346D30">
                        <w:t>2021</w:t>
                      </w:r>
                    </w:p>
                  </w:txbxContent>
                </v:textbox>
                <w10:wrap anchorx="margin" anchory="margin"/>
              </v:rect>
            </w:pict>
          </mc:Fallback>
        </mc:AlternateContent>
      </w:r>
      <w:r>
        <w:rPr>
          <w:noProof/>
          <w:lang w:eastAsia="en-AU"/>
        </w:rPr>
        <w:drawing>
          <wp:anchor distT="0" distB="0" distL="114300" distR="114300" simplePos="0" relativeHeight="251658241" behindDoc="1" locked="0" layoutInCell="1" allowOverlap="1" wp14:anchorId="4026AAC4" wp14:editId="3E8F6E35">
            <wp:simplePos x="0" y="0"/>
            <wp:positionH relativeFrom="page">
              <wp:posOffset>0</wp:posOffset>
            </wp:positionH>
            <wp:positionV relativeFrom="page">
              <wp:posOffset>-895</wp:posOffset>
            </wp:positionV>
            <wp:extent cx="7560000" cy="10699200"/>
            <wp:effectExtent l="0" t="0" r="3175" b="6985"/>
            <wp:wrapNone/>
            <wp:docPr id="13" name="Picture 13" descr="Logo and Background Image" title="Logo and 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14">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p w14:paraId="7519957A" w14:textId="144EC13D"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3" behindDoc="0" locked="0" layoutInCell="1" allowOverlap="1" wp14:anchorId="21EB32FD" wp14:editId="570FE6B4">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alias w:val="Title - Max 2 lines"/>
                              <w:tag w:val=""/>
                              <w:id w:val="126363909"/>
                              <w:lock w:val="sdtLocked"/>
                              <w:placeholder>
                                <w:docPart w:val="7D26CEE9C42541529DE1DFF8FAF2C47B"/>
                              </w:placeholder>
                              <w:dataBinding w:prefixMappings="xmlns:ns0='http://schemas.microsoft.com/office/2006/coverPageProps' " w:xpath="/ns0:CoverPageProperties[1]/ns0:Abstract[1]" w:storeItemID="{55AF091B-3C7A-41E3-B477-F2FDAA23CFDA}"/>
                              <w:text w:multiLine="1"/>
                            </w:sdtPr>
                            <w:sdtEndPr/>
                            <w:sdtContent>
                              <w:p w14:paraId="77E69ABE" w14:textId="29B35C0B" w:rsidR="00B91EE2" w:rsidRPr="00694C76" w:rsidRDefault="00B91EE2" w:rsidP="00B6214D">
                                <w:pPr>
                                  <w:pStyle w:val="Title"/>
                                </w:pPr>
                                <w:r>
                                  <w:t>Response Paper</w:t>
                                </w:r>
                              </w:p>
                            </w:sdtContent>
                          </w:sdt>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1EB32FD" id="Rectangle 12" o:spid="_x0000_s1027" alt="Title: Background shape - Description: Background shape" style="position:absolute;left:0;text-align:left;margin-left:51.05pt;margin-top:96.35pt;width:187.65pt;height:54.45pt;z-index:251658243;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" filled="f" stroked="f" strokeweight=".25pt">
                <v:textbox style="mso-fit-shape-to-text:t" inset="0,0,0,0">
                  <w:txbxContent>
                    <w:sdt>
                      <w:sdtPr>
                        <w:alias w:val="Title - Max 2 lines"/>
                        <w:tag w:val=""/>
                        <w:id w:val="126363909"/>
                        <w:lock w:val="sdtLocked"/>
                        <w:placeholder>
                          <w:docPart w:val="7D26CEE9C42541529DE1DFF8FAF2C47B"/>
                        </w:placeholder>
                        <w:dataBinding w:prefixMappings="xmlns:ns0='http://schemas.microsoft.com/office/2006/coverPageProps' " w:xpath="/ns0:CoverPageProperties[1]/ns0:Abstract[1]" w:storeItemID="{55AF091B-3C7A-41E3-B477-F2FDAA23CFDA}"/>
                        <w:text w:multiLine="1"/>
                      </w:sdtPr>
                      <w:sdtEndPr/>
                      <w:sdtContent>
                        <w:p w14:paraId="77E69ABE" w14:textId="29B35C0B" w:rsidR="00B91EE2" w:rsidRPr="00694C76" w:rsidRDefault="00B91EE2" w:rsidP="00B6214D">
                          <w:pPr>
                            <w:pStyle w:val="Title"/>
                          </w:pPr>
                          <w:r>
                            <w:t>Response Paper</w:t>
                          </w:r>
                        </w:p>
                      </w:sdtContent>
                    </w:sdt>
                  </w:txbxContent>
                </v:textbox>
                <w10:wrap anchorx="page"/>
              </v:rect>
            </w:pict>
          </mc:Fallback>
        </mc:AlternateContent>
      </w:r>
      <w:sdt>
        <w:sdtPr>
          <w:alias w:val="Title"/>
          <w:tag w:val=""/>
          <w:id w:val="41795664"/>
          <w:lock w:val="sdtLocked"/>
          <w:placeholder>
            <w:docPart w:val="6911E8B0B27F469FB9ED2ECA5A0322C7"/>
          </w:placeholder>
          <w:dataBinding w:prefixMappings="xmlns:ns0='http://schemas.microsoft.com/office/2006/coverPageProps' " w:xpath="/ns0:CoverPageProperties[1]/ns0:Abstract[1]" w:storeItemID="{55AF091B-3C7A-41E3-B477-F2FDAA23CFDA}"/>
          <w:text w:multiLine="1"/>
        </w:sdtPr>
        <w:sdtEndPr/>
        <w:sdtContent>
          <w:r w:rsidR="008F3B15">
            <w:t>Response Paper</w:t>
          </w:r>
        </w:sdtContent>
      </w:sdt>
    </w:p>
    <w:p w14:paraId="71885836" w14:textId="77777777" w:rsidR="003B51A4" w:rsidRDefault="003B51A4" w:rsidP="00C47C54">
      <w:r>
        <w:br w:type="page"/>
      </w:r>
    </w:p>
    <w:p w14:paraId="16AD14C5" w14:textId="77777777" w:rsidR="003B51A4" w:rsidRPr="003B51A4" w:rsidRDefault="003B51A4" w:rsidP="00460E6B">
      <w:pPr>
        <w:pStyle w:val="DisclaimerHeading"/>
        <w:framePr w:wrap="around"/>
      </w:pPr>
      <w:r w:rsidRPr="008F1B07">
        <w:lastRenderedPageBreak/>
        <w:t>Disclaimer Text</w:t>
      </w:r>
    </w:p>
    <w:p w14:paraId="7CF90388" w14:textId="77777777" w:rsidR="008F3B15" w:rsidRDefault="008F3B15" w:rsidP="008F3B15">
      <w:pPr>
        <w:pStyle w:val="DisclaimerText"/>
        <w:framePr w:wrap="around"/>
      </w:pPr>
      <w:r>
        <w:t xml:space="preserve">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 </w:t>
      </w:r>
    </w:p>
    <w:p w14:paraId="78097130" w14:textId="77777777" w:rsidR="008F3B15" w:rsidRPr="008F3B15" w:rsidRDefault="008F3B15" w:rsidP="008F3B15">
      <w:pPr>
        <w:pStyle w:val="DisclaimerText"/>
        <w:framePr w:wrap="around"/>
        <w:rPr>
          <w:rStyle w:val="BoldCharacterDINOTMedium"/>
        </w:rPr>
      </w:pPr>
      <w:r w:rsidRPr="008F3B15">
        <w:rPr>
          <w:rStyle w:val="BoldCharacterDINOTMedium"/>
        </w:rPr>
        <w:t xml:space="preserve">© Australian Prudential Regulation Authority (APRA) </w:t>
      </w:r>
    </w:p>
    <w:p w14:paraId="1D483726" w14:textId="77777777" w:rsidR="008F3B15" w:rsidRDefault="008F3B15" w:rsidP="008F3B15">
      <w:pPr>
        <w:pStyle w:val="DisclaimerText"/>
        <w:framePr w:wrap="around"/>
      </w:pPr>
      <w:r>
        <w:t xml:space="preserve">This work is licensed under the Creative Commons Attribution 3.0 Australia Licence  </w:t>
      </w:r>
    </w:p>
    <w:p w14:paraId="3E3C2F69" w14:textId="7EE1CC3F" w:rsidR="003B51A4" w:rsidRPr="003B51A4" w:rsidRDefault="008F3B15" w:rsidP="008F3B15">
      <w:pPr>
        <w:pStyle w:val="DisclaimerText"/>
        <w:framePr w:wrap="around"/>
      </w:pPr>
      <w:r>
        <w:t xml:space="preserve">(CCBY 3.0). This licence allows you to copy, distribute and adapt this work, provided you attribute the work and do not suggest that APRA endorses you or your work. To view a full copy of the terms of this licence, visit </w:t>
      </w:r>
      <w:hyperlink r:id="rId15" w:history="1">
        <w:r w:rsidR="00515B31" w:rsidRPr="00A52B2C">
          <w:rPr>
            <w:rStyle w:val="Hyperlink"/>
          </w:rPr>
          <w:t>https://creativecommons.org/licenses/by/3.0/au/</w:t>
        </w:r>
      </w:hyperlink>
      <w:r w:rsidR="00515B31">
        <w:t xml:space="preserve"> </w:t>
      </w:r>
    </w:p>
    <w:p w14:paraId="25F3B1FA"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10FF8DB4" w14:textId="77777777" w:rsidR="00C636DA" w:rsidRDefault="00C636DA" w:rsidP="00BD7B83">
      <w:pPr>
        <w:pStyle w:val="TOCHeading"/>
      </w:pPr>
      <w:r w:rsidRPr="00BD7B83">
        <w:lastRenderedPageBreak/>
        <w:t>Contents</w:t>
      </w:r>
    </w:p>
    <w:p w14:paraId="5C91AA4B" w14:textId="2D86DCDA" w:rsidR="00B91EE2" w:rsidRDefault="00207301">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68598677" w:history="1">
        <w:r w:rsidR="00B91EE2" w:rsidRPr="001F71EA">
          <w:rPr>
            <w:rStyle w:val="Hyperlink"/>
            <w:noProof/>
          </w:rPr>
          <w:t>Executive summary</w:t>
        </w:r>
        <w:r w:rsidR="00B91EE2">
          <w:rPr>
            <w:noProof/>
            <w:webHidden/>
          </w:rPr>
          <w:tab/>
        </w:r>
        <w:r w:rsidR="00B91EE2">
          <w:rPr>
            <w:noProof/>
            <w:webHidden/>
          </w:rPr>
          <w:fldChar w:fldCharType="begin"/>
        </w:r>
        <w:r w:rsidR="00B91EE2">
          <w:rPr>
            <w:noProof/>
            <w:webHidden/>
          </w:rPr>
          <w:instrText xml:space="preserve"> PAGEREF _Toc68598677 \h </w:instrText>
        </w:r>
        <w:r w:rsidR="00B91EE2">
          <w:rPr>
            <w:noProof/>
            <w:webHidden/>
          </w:rPr>
        </w:r>
        <w:r w:rsidR="00B91EE2">
          <w:rPr>
            <w:noProof/>
            <w:webHidden/>
          </w:rPr>
          <w:fldChar w:fldCharType="separate"/>
        </w:r>
        <w:r w:rsidR="00B91EE2">
          <w:rPr>
            <w:noProof/>
            <w:webHidden/>
          </w:rPr>
          <w:t>4</w:t>
        </w:r>
        <w:r w:rsidR="00B91EE2">
          <w:rPr>
            <w:noProof/>
            <w:webHidden/>
          </w:rPr>
          <w:fldChar w:fldCharType="end"/>
        </w:r>
      </w:hyperlink>
    </w:p>
    <w:p w14:paraId="5B3EF15C" w14:textId="16937222" w:rsidR="00B91EE2" w:rsidRDefault="00741A32">
      <w:pPr>
        <w:pStyle w:val="TOC1"/>
        <w:rPr>
          <w:rFonts w:asciiTheme="minorHAnsi" w:eastAsiaTheme="minorEastAsia" w:hAnsiTheme="minorHAnsi"/>
          <w:noProof/>
          <w:color w:val="auto"/>
          <w:lang w:eastAsia="en-AU"/>
        </w:rPr>
      </w:pPr>
      <w:hyperlink w:anchor="_Toc68598678" w:history="1">
        <w:r w:rsidR="00B91EE2" w:rsidRPr="001F71EA">
          <w:rPr>
            <w:rStyle w:val="Hyperlink"/>
            <w:noProof/>
          </w:rPr>
          <w:t>Glossary</w:t>
        </w:r>
        <w:r w:rsidR="00B91EE2">
          <w:rPr>
            <w:noProof/>
            <w:webHidden/>
          </w:rPr>
          <w:tab/>
        </w:r>
        <w:r w:rsidR="00B91EE2">
          <w:rPr>
            <w:noProof/>
            <w:webHidden/>
          </w:rPr>
          <w:fldChar w:fldCharType="begin"/>
        </w:r>
        <w:r w:rsidR="00B91EE2">
          <w:rPr>
            <w:noProof/>
            <w:webHidden/>
          </w:rPr>
          <w:instrText xml:space="preserve"> PAGEREF _Toc68598678 \h </w:instrText>
        </w:r>
        <w:r w:rsidR="00B91EE2">
          <w:rPr>
            <w:noProof/>
            <w:webHidden/>
          </w:rPr>
        </w:r>
        <w:r w:rsidR="00B91EE2">
          <w:rPr>
            <w:noProof/>
            <w:webHidden/>
          </w:rPr>
          <w:fldChar w:fldCharType="separate"/>
        </w:r>
        <w:r w:rsidR="00B91EE2">
          <w:rPr>
            <w:noProof/>
            <w:webHidden/>
          </w:rPr>
          <w:t>5</w:t>
        </w:r>
        <w:r w:rsidR="00B91EE2">
          <w:rPr>
            <w:noProof/>
            <w:webHidden/>
          </w:rPr>
          <w:fldChar w:fldCharType="end"/>
        </w:r>
      </w:hyperlink>
    </w:p>
    <w:p w14:paraId="18BE48C4" w14:textId="30018C88" w:rsidR="00B91EE2" w:rsidRDefault="00741A32">
      <w:pPr>
        <w:pStyle w:val="TOC1"/>
        <w:rPr>
          <w:rFonts w:asciiTheme="minorHAnsi" w:eastAsiaTheme="minorEastAsia" w:hAnsiTheme="minorHAnsi"/>
          <w:noProof/>
          <w:color w:val="auto"/>
          <w:lang w:eastAsia="en-AU"/>
        </w:rPr>
      </w:pPr>
      <w:hyperlink w:anchor="_Toc68598679" w:history="1">
        <w:r w:rsidR="00B91EE2" w:rsidRPr="001F71EA">
          <w:rPr>
            <w:rStyle w:val="Hyperlink"/>
            <w:noProof/>
          </w:rPr>
          <w:t>Chapter 1 - Introduction</w:t>
        </w:r>
        <w:r w:rsidR="00B91EE2">
          <w:rPr>
            <w:noProof/>
            <w:webHidden/>
          </w:rPr>
          <w:tab/>
        </w:r>
        <w:r w:rsidR="00B91EE2">
          <w:rPr>
            <w:noProof/>
            <w:webHidden/>
          </w:rPr>
          <w:fldChar w:fldCharType="begin"/>
        </w:r>
        <w:r w:rsidR="00B91EE2">
          <w:rPr>
            <w:noProof/>
            <w:webHidden/>
          </w:rPr>
          <w:instrText xml:space="preserve"> PAGEREF _Toc68598679 \h </w:instrText>
        </w:r>
        <w:r w:rsidR="00B91EE2">
          <w:rPr>
            <w:noProof/>
            <w:webHidden/>
          </w:rPr>
        </w:r>
        <w:r w:rsidR="00B91EE2">
          <w:rPr>
            <w:noProof/>
            <w:webHidden/>
          </w:rPr>
          <w:fldChar w:fldCharType="separate"/>
        </w:r>
        <w:r w:rsidR="00B91EE2">
          <w:rPr>
            <w:noProof/>
            <w:webHidden/>
          </w:rPr>
          <w:t>6</w:t>
        </w:r>
        <w:r w:rsidR="00B91EE2">
          <w:rPr>
            <w:noProof/>
            <w:webHidden/>
          </w:rPr>
          <w:fldChar w:fldCharType="end"/>
        </w:r>
      </w:hyperlink>
    </w:p>
    <w:p w14:paraId="56FA41B9" w14:textId="60892B3D" w:rsidR="00B91EE2" w:rsidRDefault="00741A32">
      <w:pPr>
        <w:pStyle w:val="TOC1"/>
        <w:rPr>
          <w:rFonts w:asciiTheme="minorHAnsi" w:eastAsiaTheme="minorEastAsia" w:hAnsiTheme="minorHAnsi"/>
          <w:noProof/>
          <w:color w:val="auto"/>
          <w:lang w:eastAsia="en-AU"/>
        </w:rPr>
      </w:pPr>
      <w:hyperlink w:anchor="_Toc68598680" w:history="1">
        <w:r w:rsidR="00B91EE2" w:rsidRPr="001F71EA">
          <w:rPr>
            <w:rStyle w:val="Hyperlink"/>
            <w:noProof/>
          </w:rPr>
          <w:t>Chapter 2 - Concentration limits for reinsurance assets</w:t>
        </w:r>
        <w:r w:rsidR="00B91EE2">
          <w:rPr>
            <w:noProof/>
            <w:webHidden/>
          </w:rPr>
          <w:tab/>
        </w:r>
        <w:r w:rsidR="00B91EE2">
          <w:rPr>
            <w:noProof/>
            <w:webHidden/>
          </w:rPr>
          <w:fldChar w:fldCharType="begin"/>
        </w:r>
        <w:r w:rsidR="00B91EE2">
          <w:rPr>
            <w:noProof/>
            <w:webHidden/>
          </w:rPr>
          <w:instrText xml:space="preserve"> PAGEREF _Toc68598680 \h </w:instrText>
        </w:r>
        <w:r w:rsidR="00B91EE2">
          <w:rPr>
            <w:noProof/>
            <w:webHidden/>
          </w:rPr>
        </w:r>
        <w:r w:rsidR="00B91EE2">
          <w:rPr>
            <w:noProof/>
            <w:webHidden/>
          </w:rPr>
          <w:fldChar w:fldCharType="separate"/>
        </w:r>
        <w:r w:rsidR="00B91EE2">
          <w:rPr>
            <w:noProof/>
            <w:webHidden/>
          </w:rPr>
          <w:t>10</w:t>
        </w:r>
        <w:r w:rsidR="00B91EE2">
          <w:rPr>
            <w:noProof/>
            <w:webHidden/>
          </w:rPr>
          <w:fldChar w:fldCharType="end"/>
        </w:r>
      </w:hyperlink>
    </w:p>
    <w:p w14:paraId="59B82ABA" w14:textId="6F87DE65" w:rsidR="00B91EE2" w:rsidRDefault="00741A32">
      <w:pPr>
        <w:pStyle w:val="TOC1"/>
        <w:rPr>
          <w:rFonts w:asciiTheme="minorHAnsi" w:eastAsiaTheme="minorEastAsia" w:hAnsiTheme="minorHAnsi"/>
          <w:noProof/>
          <w:color w:val="auto"/>
          <w:lang w:eastAsia="en-AU"/>
        </w:rPr>
      </w:pPr>
      <w:hyperlink w:anchor="_Toc68598681" w:history="1">
        <w:r w:rsidR="00B91EE2" w:rsidRPr="001F71EA">
          <w:rPr>
            <w:rStyle w:val="Hyperlink"/>
            <w:noProof/>
          </w:rPr>
          <w:t>Chapter 3 - Measurement of limits and definition of stressed reinsurance assets</w:t>
        </w:r>
        <w:r w:rsidR="00B91EE2">
          <w:rPr>
            <w:noProof/>
            <w:webHidden/>
          </w:rPr>
          <w:tab/>
        </w:r>
        <w:r w:rsidR="00B91EE2">
          <w:rPr>
            <w:noProof/>
            <w:webHidden/>
          </w:rPr>
          <w:fldChar w:fldCharType="begin"/>
        </w:r>
        <w:r w:rsidR="00B91EE2">
          <w:rPr>
            <w:noProof/>
            <w:webHidden/>
          </w:rPr>
          <w:instrText xml:space="preserve"> PAGEREF _Toc68598681 \h </w:instrText>
        </w:r>
        <w:r w:rsidR="00B91EE2">
          <w:rPr>
            <w:noProof/>
            <w:webHidden/>
          </w:rPr>
        </w:r>
        <w:r w:rsidR="00B91EE2">
          <w:rPr>
            <w:noProof/>
            <w:webHidden/>
          </w:rPr>
          <w:fldChar w:fldCharType="separate"/>
        </w:r>
        <w:r w:rsidR="00B91EE2">
          <w:rPr>
            <w:noProof/>
            <w:webHidden/>
          </w:rPr>
          <w:t>13</w:t>
        </w:r>
        <w:r w:rsidR="00B91EE2">
          <w:rPr>
            <w:noProof/>
            <w:webHidden/>
          </w:rPr>
          <w:fldChar w:fldCharType="end"/>
        </w:r>
      </w:hyperlink>
    </w:p>
    <w:p w14:paraId="094BF738" w14:textId="40EB3CB4" w:rsidR="00B91EE2" w:rsidRDefault="00741A32">
      <w:pPr>
        <w:pStyle w:val="TOC1"/>
        <w:rPr>
          <w:rFonts w:asciiTheme="minorHAnsi" w:eastAsiaTheme="minorEastAsia" w:hAnsiTheme="minorHAnsi"/>
          <w:noProof/>
          <w:color w:val="auto"/>
          <w:lang w:eastAsia="en-AU"/>
        </w:rPr>
      </w:pPr>
      <w:hyperlink w:anchor="_Toc68598682" w:history="1">
        <w:r w:rsidR="00B91EE2" w:rsidRPr="001F71EA">
          <w:rPr>
            <w:rStyle w:val="Hyperlink"/>
            <w:noProof/>
          </w:rPr>
          <w:t>Chapter 4 - Treatment of risk mitigants</w:t>
        </w:r>
        <w:r w:rsidR="00B91EE2">
          <w:rPr>
            <w:noProof/>
            <w:webHidden/>
          </w:rPr>
          <w:tab/>
        </w:r>
        <w:r w:rsidR="00B91EE2">
          <w:rPr>
            <w:noProof/>
            <w:webHidden/>
          </w:rPr>
          <w:fldChar w:fldCharType="begin"/>
        </w:r>
        <w:r w:rsidR="00B91EE2">
          <w:rPr>
            <w:noProof/>
            <w:webHidden/>
          </w:rPr>
          <w:instrText xml:space="preserve"> PAGEREF _Toc68598682 \h </w:instrText>
        </w:r>
        <w:r w:rsidR="00B91EE2">
          <w:rPr>
            <w:noProof/>
            <w:webHidden/>
          </w:rPr>
        </w:r>
        <w:r w:rsidR="00B91EE2">
          <w:rPr>
            <w:noProof/>
            <w:webHidden/>
          </w:rPr>
          <w:fldChar w:fldCharType="separate"/>
        </w:r>
        <w:r w:rsidR="00B91EE2">
          <w:rPr>
            <w:noProof/>
            <w:webHidden/>
          </w:rPr>
          <w:t>16</w:t>
        </w:r>
        <w:r w:rsidR="00B91EE2">
          <w:rPr>
            <w:noProof/>
            <w:webHidden/>
          </w:rPr>
          <w:fldChar w:fldCharType="end"/>
        </w:r>
      </w:hyperlink>
    </w:p>
    <w:p w14:paraId="4257C40F" w14:textId="0F1F1BD0" w:rsidR="00B91EE2" w:rsidRDefault="00741A32">
      <w:pPr>
        <w:pStyle w:val="TOC1"/>
        <w:rPr>
          <w:rFonts w:asciiTheme="minorHAnsi" w:eastAsiaTheme="minorEastAsia" w:hAnsiTheme="minorHAnsi"/>
          <w:noProof/>
          <w:color w:val="auto"/>
          <w:lang w:eastAsia="en-AU"/>
        </w:rPr>
      </w:pPr>
      <w:hyperlink w:anchor="_Toc68598683" w:history="1">
        <w:r w:rsidR="00B91EE2" w:rsidRPr="001F71EA">
          <w:rPr>
            <w:rStyle w:val="Hyperlink"/>
            <w:noProof/>
            <w:lang w:val="en-GB"/>
          </w:rPr>
          <w:t>Chapter 5 - Next steps and consultation</w:t>
        </w:r>
        <w:r w:rsidR="00B91EE2">
          <w:rPr>
            <w:noProof/>
            <w:webHidden/>
          </w:rPr>
          <w:tab/>
        </w:r>
        <w:r w:rsidR="00B91EE2">
          <w:rPr>
            <w:noProof/>
            <w:webHidden/>
          </w:rPr>
          <w:fldChar w:fldCharType="begin"/>
        </w:r>
        <w:r w:rsidR="00B91EE2">
          <w:rPr>
            <w:noProof/>
            <w:webHidden/>
          </w:rPr>
          <w:instrText xml:space="preserve"> PAGEREF _Toc68598683 \h </w:instrText>
        </w:r>
        <w:r w:rsidR="00B91EE2">
          <w:rPr>
            <w:noProof/>
            <w:webHidden/>
          </w:rPr>
        </w:r>
        <w:r w:rsidR="00B91EE2">
          <w:rPr>
            <w:noProof/>
            <w:webHidden/>
          </w:rPr>
          <w:fldChar w:fldCharType="separate"/>
        </w:r>
        <w:r w:rsidR="00B91EE2">
          <w:rPr>
            <w:noProof/>
            <w:webHidden/>
          </w:rPr>
          <w:t>25</w:t>
        </w:r>
        <w:r w:rsidR="00B91EE2">
          <w:rPr>
            <w:noProof/>
            <w:webHidden/>
          </w:rPr>
          <w:fldChar w:fldCharType="end"/>
        </w:r>
      </w:hyperlink>
    </w:p>
    <w:p w14:paraId="79D13AB1" w14:textId="4E99B5C2" w:rsidR="0016272E" w:rsidRPr="00D62515" w:rsidRDefault="00207301" w:rsidP="004F7011">
      <w:pPr>
        <w:pStyle w:val="TOC1"/>
      </w:pPr>
      <w:r>
        <w:rPr>
          <w:noProof/>
          <w:lang w:val="en-US"/>
        </w:rPr>
        <w:fldChar w:fldCharType="end"/>
      </w:r>
    </w:p>
    <w:p w14:paraId="1A972F83" w14:textId="37659748" w:rsidR="00AC1C12" w:rsidRDefault="00AC1C12" w:rsidP="00AC1C12">
      <w:pPr>
        <w:pStyle w:val="Heading1"/>
      </w:pPr>
      <w:bookmarkStart w:id="1" w:name="_Toc34916174"/>
      <w:bookmarkStart w:id="2" w:name="_Toc34925655"/>
      <w:bookmarkStart w:id="3" w:name="_Toc68598677"/>
      <w:r>
        <w:lastRenderedPageBreak/>
        <w:t>Executive summary</w:t>
      </w:r>
      <w:bookmarkEnd w:id="1"/>
      <w:bookmarkEnd w:id="2"/>
      <w:bookmarkEnd w:id="3"/>
    </w:p>
    <w:p w14:paraId="786DB3BD" w14:textId="1B87E372" w:rsidR="000A2604" w:rsidRDefault="000A2604" w:rsidP="00F00DCD">
      <w:pPr>
        <w:numPr>
          <w:ilvl w:val="0"/>
          <w:numId w:val="0"/>
        </w:numPr>
      </w:pPr>
      <w:r>
        <w:t xml:space="preserve">APRA is proposing revisions to </w:t>
      </w:r>
      <w:bookmarkStart w:id="4" w:name="_Hlk56072301"/>
      <w:r w:rsidRPr="00920372">
        <w:rPr>
          <w:i/>
        </w:rPr>
        <w:t>Prudential Standard LPS 117 Capital Adequacy: Asset Concentration Risk Charge</w:t>
      </w:r>
      <w:r>
        <w:t xml:space="preserve"> (LPS 117). These revisions </w:t>
      </w:r>
      <w:r w:rsidR="0074120B">
        <w:t xml:space="preserve">seek to </w:t>
      </w:r>
      <w:r w:rsidR="006001D1">
        <w:t xml:space="preserve">strengthen the standard to </w:t>
      </w:r>
      <w:r>
        <w:t>respond to prudential concerns from the increased use of offshore reinsurers</w:t>
      </w:r>
      <w:r w:rsidR="006001D1">
        <w:t>,</w:t>
      </w:r>
      <w:r>
        <w:t xml:space="preserve"> </w:t>
      </w:r>
      <w:bookmarkEnd w:id="4"/>
      <w:r>
        <w:t xml:space="preserve">and </w:t>
      </w:r>
      <w:r w:rsidR="006001D1">
        <w:t>improve clarity on key definitions</w:t>
      </w:r>
      <w:r>
        <w:t>.</w:t>
      </w:r>
    </w:p>
    <w:p w14:paraId="0DCE3775" w14:textId="7208DC13" w:rsidR="00CB7C0E" w:rsidRDefault="00882D88" w:rsidP="0079682A">
      <w:pPr>
        <w:numPr>
          <w:ilvl w:val="0"/>
          <w:numId w:val="0"/>
        </w:numPr>
      </w:pPr>
      <w:r>
        <w:t xml:space="preserve">To </w:t>
      </w:r>
      <w:r w:rsidR="004720D5">
        <w:t xml:space="preserve">support </w:t>
      </w:r>
      <w:r>
        <w:t xml:space="preserve">the safety </w:t>
      </w:r>
      <w:r w:rsidR="005542C2">
        <w:t xml:space="preserve">and resilience </w:t>
      </w:r>
      <w:r>
        <w:t xml:space="preserve">of the financial system and individual entities, it is important that </w:t>
      </w:r>
      <w:r w:rsidR="009D12F0">
        <w:t xml:space="preserve">APRA </w:t>
      </w:r>
      <w:r>
        <w:t>has adequate oversight of the markets it regulates.</w:t>
      </w:r>
      <w:r w:rsidR="000A2604">
        <w:t xml:space="preserve"> </w:t>
      </w:r>
      <w:r w:rsidR="002C1DEA">
        <w:t xml:space="preserve">In December 2017 and March 2019, </w:t>
      </w:r>
      <w:r w:rsidR="0079682A">
        <w:t xml:space="preserve">APRA </w:t>
      </w:r>
      <w:r w:rsidR="002C1DEA">
        <w:t>communicated it</w:t>
      </w:r>
      <w:r w:rsidR="0079682A">
        <w:t xml:space="preserve">s concern </w:t>
      </w:r>
      <w:r w:rsidR="002C1DEA">
        <w:t xml:space="preserve">that </w:t>
      </w:r>
      <w:r w:rsidR="0079682A">
        <w:t xml:space="preserve">the increased use of offshore reinsurers could </w:t>
      </w:r>
      <w:r w:rsidR="00DC6319">
        <w:t xml:space="preserve">reduce APRA’s oversight, </w:t>
      </w:r>
      <w:bookmarkStart w:id="5" w:name="_Hlk68088506"/>
      <w:r w:rsidR="00DC6319">
        <w:t>putting at risk APRA’s ability to effectively superv</w:t>
      </w:r>
      <w:r w:rsidR="0039136A">
        <w:t>ise</w:t>
      </w:r>
      <w:r w:rsidR="005B4692">
        <w:t xml:space="preserve"> the prudent operation of</w:t>
      </w:r>
      <w:r w:rsidR="00DC6319">
        <w:t xml:space="preserve"> the life insurance industry</w:t>
      </w:r>
      <w:r w:rsidR="00C5461D">
        <w:t xml:space="preserve"> and </w:t>
      </w:r>
      <w:r w:rsidR="005B4692">
        <w:t xml:space="preserve">hence the </w:t>
      </w:r>
      <w:r w:rsidR="00C5461D">
        <w:t>protect</w:t>
      </w:r>
      <w:r w:rsidR="005B4692">
        <w:t>ion of</w:t>
      </w:r>
      <w:r w:rsidR="00C5461D">
        <w:t xml:space="preserve"> policyholders</w:t>
      </w:r>
      <w:r w:rsidR="00DC6319">
        <w:t>.</w:t>
      </w:r>
    </w:p>
    <w:bookmarkEnd w:id="5"/>
    <w:p w14:paraId="3622D7C5" w14:textId="74396E92" w:rsidR="00CB7C0E" w:rsidRDefault="005B4692" w:rsidP="00CB7C0E">
      <w:r>
        <w:t>Of</w:t>
      </w:r>
      <w:r w:rsidR="00CB7C0E">
        <w:t xml:space="preserve"> particular concern </w:t>
      </w:r>
      <w:r>
        <w:t xml:space="preserve">is </w:t>
      </w:r>
      <w:r w:rsidR="00CB7C0E">
        <w:t>the increasing amount of group</w:t>
      </w:r>
      <w:r w:rsidR="00381115">
        <w:t xml:space="preserve"> life insurance</w:t>
      </w:r>
      <w:r w:rsidR="00CB7C0E">
        <w:t xml:space="preserve"> which is being placed with offshore </w:t>
      </w:r>
      <w:r>
        <w:t xml:space="preserve">(rather than domestic) </w:t>
      </w:r>
      <w:r w:rsidR="00CB7C0E">
        <w:t>reinsurers</w:t>
      </w:r>
      <w:r w:rsidR="004720D5">
        <w:t>, g</w:t>
      </w:r>
      <w:r w:rsidR="00CB7C0E">
        <w:t xml:space="preserve">iven </w:t>
      </w:r>
      <w:r w:rsidR="00047995">
        <w:t xml:space="preserve">the importance of </w:t>
      </w:r>
      <w:r>
        <w:t>group life reinsurance to</w:t>
      </w:r>
      <w:r w:rsidR="00047995">
        <w:t xml:space="preserve"> </w:t>
      </w:r>
      <w:r>
        <w:t xml:space="preserve">the provision of insurance through </w:t>
      </w:r>
      <w:r w:rsidR="00047995">
        <w:t>Australia’s superannuation system</w:t>
      </w:r>
      <w:r w:rsidR="004720D5">
        <w:t>.</w:t>
      </w:r>
      <w:r w:rsidR="00CB7C0E">
        <w:t xml:space="preserve"> </w:t>
      </w:r>
    </w:p>
    <w:p w14:paraId="3B155FF3" w14:textId="0F9A6BC9" w:rsidR="00087DE2" w:rsidRPr="0006727E" w:rsidRDefault="00087DE2" w:rsidP="00F50060">
      <w:pPr>
        <w:pStyle w:val="SubHeadingNoTOC"/>
      </w:pPr>
      <w:r>
        <w:t xml:space="preserve">Proposed </w:t>
      </w:r>
      <w:r w:rsidR="00D975E7">
        <w:t>revisions</w:t>
      </w:r>
    </w:p>
    <w:p w14:paraId="25DB896B" w14:textId="16FB2C3F" w:rsidR="00361398" w:rsidRDefault="00CB7C0E" w:rsidP="00D0230A">
      <w:pPr>
        <w:numPr>
          <w:ilvl w:val="0"/>
          <w:numId w:val="0"/>
        </w:numPr>
      </w:pPr>
      <w:r w:rsidRPr="00691B02">
        <w:t>To address these</w:t>
      </w:r>
      <w:r w:rsidR="002C1DEA" w:rsidRPr="00691B02">
        <w:t xml:space="preserve"> concern</w:t>
      </w:r>
      <w:r w:rsidRPr="00691B02">
        <w:t>s</w:t>
      </w:r>
      <w:r w:rsidR="002C1DEA" w:rsidRPr="00691B02">
        <w:t xml:space="preserve">, </w:t>
      </w:r>
      <w:r w:rsidR="0079682A" w:rsidRPr="000431ED">
        <w:t xml:space="preserve">APRA is proposing </w:t>
      </w:r>
      <w:r w:rsidR="00EB4FD7" w:rsidRPr="000431ED">
        <w:t xml:space="preserve">revisions to </w:t>
      </w:r>
      <w:r w:rsidR="000A2604" w:rsidRPr="000431ED">
        <w:t xml:space="preserve">existing restrictions on exposures to offshore reinsurers in </w:t>
      </w:r>
      <w:r w:rsidR="00EB4FD7" w:rsidRPr="000431ED">
        <w:t>LPS 117</w:t>
      </w:r>
      <w:r w:rsidR="000431ED">
        <w:t xml:space="preserve"> </w:t>
      </w:r>
      <w:r w:rsidR="001A1512">
        <w:t>to further</w:t>
      </w:r>
      <w:r w:rsidR="004720D5">
        <w:t xml:space="preserve"> </w:t>
      </w:r>
      <w:r w:rsidR="005B4692">
        <w:t>mitigate</w:t>
      </w:r>
      <w:r w:rsidR="000431ED">
        <w:t xml:space="preserve"> </w:t>
      </w:r>
      <w:r w:rsidR="00B87B2A">
        <w:t xml:space="preserve">the </w:t>
      </w:r>
      <w:r w:rsidR="000431ED">
        <w:t>risk</w:t>
      </w:r>
      <w:r w:rsidR="003A705E">
        <w:t xml:space="preserve"> presented by this growth in use of offshore reinsurers</w:t>
      </w:r>
      <w:r w:rsidR="00EB4FD7" w:rsidRPr="000431ED">
        <w:t>. T</w:t>
      </w:r>
      <w:r w:rsidRPr="000431ED">
        <w:t xml:space="preserve">hese </w:t>
      </w:r>
      <w:r w:rsidR="003A705E">
        <w:t xml:space="preserve">revisions </w:t>
      </w:r>
      <w:r w:rsidRPr="000431ED">
        <w:t>include the</w:t>
      </w:r>
      <w:r w:rsidR="00EB4FD7" w:rsidRPr="000431ED">
        <w:t xml:space="preserve"> </w:t>
      </w:r>
      <w:r w:rsidR="0079682A" w:rsidRPr="000431ED">
        <w:t>introduc</w:t>
      </w:r>
      <w:r w:rsidRPr="000431ED">
        <w:t>tion</w:t>
      </w:r>
      <w:r w:rsidR="0079682A" w:rsidRPr="000431ED" w:rsidDel="00EB4FD7">
        <w:t xml:space="preserve"> of</w:t>
      </w:r>
      <w:r w:rsidR="0079682A" w:rsidRPr="000431ED">
        <w:t xml:space="preserve"> an aggregate limit </w:t>
      </w:r>
      <w:r w:rsidR="00D945F1" w:rsidRPr="000431ED">
        <w:t xml:space="preserve">on exposures to offshore reinsurers </w:t>
      </w:r>
      <w:r w:rsidR="0079682A" w:rsidRPr="000431ED">
        <w:t xml:space="preserve">and restrictions on </w:t>
      </w:r>
      <w:r w:rsidR="006001D1">
        <w:t xml:space="preserve">the </w:t>
      </w:r>
      <w:r w:rsidR="0079682A" w:rsidRPr="000431ED">
        <w:t>recognition of risk mitigants</w:t>
      </w:r>
      <w:r w:rsidR="003B6A52" w:rsidRPr="000431ED">
        <w:t xml:space="preserve"> in certain circumstances</w:t>
      </w:r>
      <w:r w:rsidR="0079682A" w:rsidRPr="00691B02">
        <w:t xml:space="preserve">. </w:t>
      </w:r>
    </w:p>
    <w:p w14:paraId="2588B9D6" w14:textId="7A72AB8D" w:rsidR="00361398" w:rsidRDefault="00361398" w:rsidP="00D0230A">
      <w:pPr>
        <w:numPr>
          <w:ilvl w:val="0"/>
          <w:numId w:val="0"/>
        </w:numPr>
      </w:pPr>
      <w:r>
        <w:t xml:space="preserve">These proposals </w:t>
      </w:r>
      <w:r w:rsidR="004720D5">
        <w:t xml:space="preserve">have been </w:t>
      </w:r>
      <w:r>
        <w:t xml:space="preserve">informed by an initial round of consultation conducted in 2019. </w:t>
      </w:r>
      <w:r w:rsidR="00E84541">
        <w:t xml:space="preserve">APRA received </w:t>
      </w:r>
      <w:r w:rsidR="00BE442E">
        <w:t>diverse</w:t>
      </w:r>
      <w:r w:rsidR="00E84541">
        <w:t xml:space="preserve"> feedback during this </w:t>
      </w:r>
      <w:r w:rsidR="003A705E">
        <w:t>consultation</w:t>
      </w:r>
      <w:r w:rsidR="00BE442E">
        <w:t xml:space="preserve">, with submissions </w:t>
      </w:r>
      <w:bookmarkStart w:id="6" w:name="_Hlk68088826"/>
      <w:r w:rsidR="00BE442E">
        <w:t>highlighting a wide range of risk</w:t>
      </w:r>
      <w:r w:rsidR="00E71478">
        <w:t>s</w:t>
      </w:r>
      <w:r w:rsidR="00BE442E">
        <w:t xml:space="preserve"> and benefits associated with </w:t>
      </w:r>
      <w:r w:rsidR="003A705E">
        <w:t xml:space="preserve">the use of </w:t>
      </w:r>
      <w:r w:rsidR="00BE442E">
        <w:t xml:space="preserve">offshore reinsurers. </w:t>
      </w:r>
      <w:r w:rsidR="001A1512">
        <w:t>APRA’s proposed</w:t>
      </w:r>
      <w:r w:rsidR="00456CB4" w:rsidRPr="00691B02">
        <w:t xml:space="preserve"> revisions</w:t>
      </w:r>
      <w:r w:rsidR="00BE442E">
        <w:t xml:space="preserve"> </w:t>
      </w:r>
      <w:r w:rsidR="003A705E">
        <w:t xml:space="preserve">consider </w:t>
      </w:r>
      <w:r w:rsidR="00BE442E">
        <w:t>stakeholder feedback and</w:t>
      </w:r>
      <w:r w:rsidR="00456CB4" w:rsidRPr="00691B02">
        <w:t xml:space="preserve"> </w:t>
      </w:r>
      <w:r w:rsidR="003A705E">
        <w:t xml:space="preserve">take a balanced approach that </w:t>
      </w:r>
      <w:r w:rsidR="00B87B2A">
        <w:t>aim</w:t>
      </w:r>
      <w:r w:rsidR="003A705E">
        <w:t>s</w:t>
      </w:r>
      <w:r w:rsidR="00B87B2A">
        <w:t xml:space="preserve"> to</w:t>
      </w:r>
      <w:r w:rsidR="005E4D45">
        <w:t xml:space="preserve"> ensure there are appropriate limits on the use of offshore reinsurers, while </w:t>
      </w:r>
      <w:r w:rsidR="003A705E">
        <w:t>continuing to enable</w:t>
      </w:r>
      <w:r w:rsidR="005E4D45">
        <w:t xml:space="preserve"> their participation in the </w:t>
      </w:r>
      <w:r w:rsidR="003A705E">
        <w:t xml:space="preserve">Australian </w:t>
      </w:r>
      <w:r w:rsidR="005E4D45">
        <w:t>market.</w:t>
      </w:r>
      <w:r w:rsidR="00B87B2A">
        <w:t xml:space="preserve"> </w:t>
      </w:r>
      <w:bookmarkEnd w:id="6"/>
    </w:p>
    <w:p w14:paraId="41876893" w14:textId="1C2C3D0E" w:rsidR="00EF1129" w:rsidRDefault="00AE4254" w:rsidP="00D0230A">
      <w:pPr>
        <w:numPr>
          <w:ilvl w:val="0"/>
          <w:numId w:val="0"/>
        </w:numPr>
      </w:pPr>
      <w:r>
        <w:t xml:space="preserve">APRA is also using this review as an opportunity to introduce a number of </w:t>
      </w:r>
      <w:r w:rsidR="00CF7595">
        <w:t xml:space="preserve">enhancements </w:t>
      </w:r>
      <w:r>
        <w:t xml:space="preserve">and </w:t>
      </w:r>
      <w:r w:rsidR="00047995">
        <w:t>updates</w:t>
      </w:r>
      <w:r w:rsidR="006001D1">
        <w:t xml:space="preserve"> to the standard</w:t>
      </w:r>
      <w:r>
        <w:t>.</w:t>
      </w:r>
      <w:r w:rsidR="000431ED">
        <w:t xml:space="preserve"> </w:t>
      </w:r>
      <w:r w:rsidR="00CF7595">
        <w:t xml:space="preserve">These aim to make the standard more practical for use by insurers by providing </w:t>
      </w:r>
      <w:r w:rsidR="00CF7595" w:rsidRPr="00400CD3">
        <w:t xml:space="preserve">clarity on key definitions </w:t>
      </w:r>
      <w:r w:rsidR="003A705E">
        <w:t xml:space="preserve">and </w:t>
      </w:r>
      <w:r w:rsidR="00CF7595" w:rsidRPr="00400CD3">
        <w:t>better facilitate the use of risk mitigation techniques where appropriate.</w:t>
      </w:r>
    </w:p>
    <w:p w14:paraId="60565DA0" w14:textId="06A1EAB9" w:rsidR="00CC31D1" w:rsidRPr="0079699A" w:rsidRDefault="00EF1129" w:rsidP="00CC31D1">
      <w:pPr>
        <w:numPr>
          <w:ilvl w:val="0"/>
          <w:numId w:val="0"/>
        </w:numPr>
        <w:rPr>
          <w:lang w:val="en-GB"/>
        </w:rPr>
      </w:pPr>
      <w:r>
        <w:t>This review is running concurrently with APRA</w:t>
      </w:r>
      <w:r w:rsidR="00CC31D1">
        <w:t>’s</w:t>
      </w:r>
      <w:r>
        <w:t xml:space="preserve"> </w:t>
      </w:r>
      <w:r w:rsidR="00CC31D1">
        <w:rPr>
          <w:lang w:val="en-GB"/>
        </w:rPr>
        <w:t xml:space="preserve">AASB 17 Insurance Contracts (AASB 17) </w:t>
      </w:r>
      <w:r>
        <w:t>implementation and</w:t>
      </w:r>
      <w:r w:rsidR="000431ED">
        <w:t xml:space="preserve"> Life and General Insurance Capital Standards</w:t>
      </w:r>
      <w:r>
        <w:t xml:space="preserve"> </w:t>
      </w:r>
      <w:r w:rsidR="000431ED">
        <w:t>(</w:t>
      </w:r>
      <w:r>
        <w:t>LAGIC</w:t>
      </w:r>
      <w:r w:rsidR="000431ED">
        <w:t>)</w:t>
      </w:r>
      <w:r>
        <w:t xml:space="preserve"> </w:t>
      </w:r>
      <w:r w:rsidR="00D34475">
        <w:t>updates</w:t>
      </w:r>
      <w:r>
        <w:t xml:space="preserve">. Given the nature of the proposed changes to LPS 117, APRA has </w:t>
      </w:r>
      <w:r w:rsidR="00CC31D1">
        <w:t xml:space="preserve">chosen </w:t>
      </w:r>
      <w:r>
        <w:t>to address these matters independently</w:t>
      </w:r>
      <w:r w:rsidR="002213E4">
        <w:t xml:space="preserve"> and </w:t>
      </w:r>
      <w:r w:rsidR="000A2933">
        <w:rPr>
          <w:lang w:val="en-GB"/>
        </w:rPr>
        <w:t>i</w:t>
      </w:r>
      <w:r w:rsidR="00D34475">
        <w:rPr>
          <w:lang w:val="en-GB"/>
        </w:rPr>
        <w:t>s carefully managing the interlinkages between these reviews.</w:t>
      </w:r>
    </w:p>
    <w:p w14:paraId="27CDBFDA" w14:textId="30B726B4" w:rsidR="00087DE2" w:rsidRPr="0006727E" w:rsidRDefault="00087DE2" w:rsidP="00F50060">
      <w:pPr>
        <w:pStyle w:val="SubHeadingNoTOC"/>
      </w:pPr>
      <w:r>
        <w:t>Consultation</w:t>
      </w:r>
    </w:p>
    <w:p w14:paraId="09AF3BE8" w14:textId="5B8C1350" w:rsidR="00C50772" w:rsidRDefault="00E67F84" w:rsidP="00E67F84">
      <w:pPr>
        <w:numPr>
          <w:ilvl w:val="0"/>
          <w:numId w:val="0"/>
        </w:numPr>
      </w:pPr>
      <w:r>
        <w:t xml:space="preserve">APRA seeks feedback on the draft prudential standard </w:t>
      </w:r>
      <w:r w:rsidR="00246B69">
        <w:t>LPS 117</w:t>
      </w:r>
      <w:r>
        <w:t xml:space="preserve"> which accompanies this Response to Submissions</w:t>
      </w:r>
      <w:r w:rsidR="003B6A52">
        <w:t xml:space="preserve"> paper</w:t>
      </w:r>
      <w:r w:rsidR="006267EE">
        <w:t xml:space="preserve"> </w:t>
      </w:r>
      <w:r w:rsidR="006267EE" w:rsidRPr="004F7011">
        <w:t>by</w:t>
      </w:r>
      <w:r w:rsidR="00D34475" w:rsidRPr="004F7011">
        <w:t xml:space="preserve"> 25 June 2021</w:t>
      </w:r>
      <w:r w:rsidR="006267EE" w:rsidRPr="00A303EA">
        <w:t>.</w:t>
      </w:r>
      <w:r w:rsidR="00882D88">
        <w:t xml:space="preserve"> </w:t>
      </w:r>
    </w:p>
    <w:p w14:paraId="685CF69F" w14:textId="77777777" w:rsidR="00AC1C12" w:rsidRDefault="00AC1C12" w:rsidP="00AC1C12">
      <w:pPr>
        <w:pStyle w:val="Heading1"/>
      </w:pPr>
      <w:bookmarkStart w:id="7" w:name="_Toc34916175"/>
      <w:bookmarkStart w:id="8" w:name="_Toc34925656"/>
      <w:bookmarkStart w:id="9" w:name="_Toc68598678"/>
      <w:r>
        <w:lastRenderedPageBreak/>
        <w:t>Glossary</w:t>
      </w:r>
      <w:bookmarkEnd w:id="7"/>
      <w:bookmarkEnd w:id="8"/>
      <w:bookmarkEnd w:id="9"/>
    </w:p>
    <w:tbl>
      <w:tblPr>
        <w:tblStyle w:val="TableOption2"/>
        <w:tblW w:w="0" w:type="auto"/>
        <w:tblLook w:val="0480" w:firstRow="0" w:lastRow="0" w:firstColumn="1" w:lastColumn="0" w:noHBand="0" w:noVBand="1"/>
      </w:tblPr>
      <w:tblGrid>
        <w:gridCol w:w="4513"/>
        <w:gridCol w:w="4513"/>
      </w:tblGrid>
      <w:tr w:rsidR="00010CE0" w14:paraId="125164C8" w14:textId="77777777" w:rsidTr="0062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6AB96A14" w14:textId="77777777" w:rsidR="00010CE0" w:rsidRDefault="00010CE0" w:rsidP="006222B9">
            <w:pPr>
              <w:pStyle w:val="TableHeading"/>
              <w:spacing w:before="60" w:after="60"/>
            </w:pPr>
            <w:r>
              <w:t>AASB 17</w:t>
            </w:r>
          </w:p>
        </w:tc>
        <w:tc>
          <w:tcPr>
            <w:tcW w:w="4513" w:type="dxa"/>
          </w:tcPr>
          <w:p w14:paraId="6627721B" w14:textId="77777777" w:rsidR="00010CE0" w:rsidRDefault="00010CE0" w:rsidP="00010CE0">
            <w:pPr>
              <w:numPr>
                <w:ilvl w:val="0"/>
                <w:numId w:val="28"/>
              </w:numPr>
              <w:cnfStyle w:val="000000100000" w:firstRow="0" w:lastRow="0" w:firstColumn="0" w:lastColumn="0" w:oddVBand="0" w:evenVBand="0" w:oddHBand="1" w:evenHBand="0" w:firstRowFirstColumn="0" w:firstRowLastColumn="0" w:lastRowFirstColumn="0" w:lastRowLastColumn="0"/>
            </w:pPr>
            <w:r>
              <w:t>AASB 17 Insurance Contracts</w:t>
            </w:r>
          </w:p>
        </w:tc>
      </w:tr>
      <w:tr w:rsidR="00010CE0" w14:paraId="44945B03" w14:textId="77777777" w:rsidTr="00622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70AF5D46" w14:textId="77777777" w:rsidR="00010CE0" w:rsidRDefault="00010CE0" w:rsidP="006222B9">
            <w:pPr>
              <w:pStyle w:val="TableHeading"/>
              <w:spacing w:before="60" w:after="60"/>
            </w:pPr>
            <w:r>
              <w:t>ADI</w:t>
            </w:r>
          </w:p>
        </w:tc>
        <w:tc>
          <w:tcPr>
            <w:tcW w:w="4513" w:type="dxa"/>
          </w:tcPr>
          <w:p w14:paraId="129A4D4E" w14:textId="77777777" w:rsidR="00010CE0" w:rsidRDefault="00010CE0" w:rsidP="00010CE0">
            <w:pPr>
              <w:numPr>
                <w:ilvl w:val="0"/>
                <w:numId w:val="28"/>
              </w:numPr>
              <w:cnfStyle w:val="000000010000" w:firstRow="0" w:lastRow="0" w:firstColumn="0" w:lastColumn="0" w:oddVBand="0" w:evenVBand="0" w:oddHBand="0" w:evenHBand="1" w:firstRowFirstColumn="0" w:firstRowLastColumn="0" w:lastRowFirstColumn="0" w:lastRowLastColumn="0"/>
            </w:pPr>
            <w:r>
              <w:t>Authorised Deposit-taking Institution</w:t>
            </w:r>
          </w:p>
        </w:tc>
      </w:tr>
      <w:tr w:rsidR="00010CE0" w14:paraId="05DE06CD" w14:textId="77777777" w:rsidTr="0062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A746C57" w14:textId="77777777" w:rsidR="00010CE0" w:rsidRDefault="00010CE0" w:rsidP="006222B9">
            <w:pPr>
              <w:pStyle w:val="TableHeading"/>
              <w:spacing w:before="60" w:after="60"/>
            </w:pPr>
            <w:r>
              <w:t>APRA</w:t>
            </w:r>
          </w:p>
        </w:tc>
        <w:tc>
          <w:tcPr>
            <w:tcW w:w="4513" w:type="dxa"/>
          </w:tcPr>
          <w:p w14:paraId="2F6D0ED0" w14:textId="77777777" w:rsidR="00010CE0" w:rsidRDefault="00010CE0" w:rsidP="00010CE0">
            <w:pPr>
              <w:numPr>
                <w:ilvl w:val="0"/>
                <w:numId w:val="28"/>
              </w:numPr>
              <w:cnfStyle w:val="000000100000" w:firstRow="0" w:lastRow="0" w:firstColumn="0" w:lastColumn="0" w:oddVBand="0" w:evenVBand="0" w:oddHBand="1" w:evenHBand="0" w:firstRowFirstColumn="0" w:firstRowLastColumn="0" w:lastRowFirstColumn="0" w:lastRowLastColumn="0"/>
            </w:pPr>
            <w:r>
              <w:t>Australian Prudential Regulation Authority</w:t>
            </w:r>
          </w:p>
        </w:tc>
      </w:tr>
      <w:tr w:rsidR="00010CE0" w14:paraId="57D714DA" w14:textId="77777777" w:rsidTr="00622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31B793A8" w14:textId="77777777" w:rsidR="00010CE0" w:rsidRDefault="00010CE0" w:rsidP="006222B9">
            <w:pPr>
              <w:pStyle w:val="TableHeading"/>
              <w:spacing w:before="60" w:after="60"/>
            </w:pPr>
            <w:r>
              <w:t>ARC</w:t>
            </w:r>
          </w:p>
        </w:tc>
        <w:tc>
          <w:tcPr>
            <w:tcW w:w="4513" w:type="dxa"/>
          </w:tcPr>
          <w:p w14:paraId="6AA85BCF" w14:textId="77777777" w:rsidR="00010CE0" w:rsidRDefault="00010CE0" w:rsidP="00010CE0">
            <w:pPr>
              <w:numPr>
                <w:ilvl w:val="0"/>
                <w:numId w:val="28"/>
              </w:numPr>
              <w:cnfStyle w:val="000000010000" w:firstRow="0" w:lastRow="0" w:firstColumn="0" w:lastColumn="0" w:oddVBand="0" w:evenVBand="0" w:oddHBand="0" w:evenHBand="1" w:firstRowFirstColumn="0" w:firstRowLastColumn="0" w:lastRowFirstColumn="0" w:lastRowLastColumn="0"/>
            </w:pPr>
            <w:r>
              <w:t>Asset Risk Charge</w:t>
            </w:r>
          </w:p>
        </w:tc>
      </w:tr>
      <w:tr w:rsidR="00010CE0" w14:paraId="631895C9" w14:textId="77777777" w:rsidTr="0062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26C06BA" w14:textId="2E329B99" w:rsidR="00010CE0" w:rsidRDefault="00010CE0" w:rsidP="006222B9">
            <w:pPr>
              <w:pStyle w:val="TableHeading"/>
              <w:spacing w:before="60" w:after="60"/>
            </w:pPr>
            <w:r>
              <w:t>ACRC</w:t>
            </w:r>
          </w:p>
        </w:tc>
        <w:tc>
          <w:tcPr>
            <w:tcW w:w="4513" w:type="dxa"/>
          </w:tcPr>
          <w:p w14:paraId="454AD6A0" w14:textId="7F5A2244" w:rsidR="00010CE0" w:rsidRDefault="00010CE0" w:rsidP="00010CE0">
            <w:pPr>
              <w:numPr>
                <w:ilvl w:val="0"/>
                <w:numId w:val="28"/>
              </w:numPr>
              <w:cnfStyle w:val="000000100000" w:firstRow="0" w:lastRow="0" w:firstColumn="0" w:lastColumn="0" w:oddVBand="0" w:evenVBand="0" w:oddHBand="1" w:evenHBand="0" w:firstRowFirstColumn="0" w:firstRowLastColumn="0" w:lastRowFirstColumn="0" w:lastRowLastColumn="0"/>
            </w:pPr>
            <w:r>
              <w:t>Asset Concentration Risk Charge</w:t>
            </w:r>
          </w:p>
        </w:tc>
      </w:tr>
      <w:tr w:rsidR="00F55916" w14:paraId="75BA22B5" w14:textId="77777777" w:rsidTr="00622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D534AF4" w14:textId="1BB404BD" w:rsidR="00F55916" w:rsidRDefault="00F55916" w:rsidP="006222B9">
            <w:pPr>
              <w:pStyle w:val="TableHeading"/>
              <w:spacing w:before="60" w:after="60"/>
            </w:pPr>
            <w:r>
              <w:t>ICAAP</w:t>
            </w:r>
          </w:p>
        </w:tc>
        <w:tc>
          <w:tcPr>
            <w:tcW w:w="4513" w:type="dxa"/>
          </w:tcPr>
          <w:p w14:paraId="4F6F23B8" w14:textId="60C9508E" w:rsidR="00F55916" w:rsidRDefault="00F55916" w:rsidP="00010CE0">
            <w:pPr>
              <w:numPr>
                <w:ilvl w:val="0"/>
                <w:numId w:val="28"/>
              </w:numPr>
              <w:cnfStyle w:val="000000010000" w:firstRow="0" w:lastRow="0" w:firstColumn="0" w:lastColumn="0" w:oddVBand="0" w:evenVBand="0" w:oddHBand="0" w:evenHBand="1" w:firstRowFirstColumn="0" w:firstRowLastColumn="0" w:lastRowFirstColumn="0" w:lastRowLastColumn="0"/>
            </w:pPr>
            <w:r w:rsidRPr="00F21CBA">
              <w:t>Internal Capital Adequacy Assessment Process</w:t>
            </w:r>
          </w:p>
        </w:tc>
      </w:tr>
      <w:tr w:rsidR="009A4479" w14:paraId="7268D09F" w14:textId="77777777" w:rsidTr="0062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15257172" w14:textId="3FD624A9" w:rsidR="009A4479" w:rsidRDefault="009A4479" w:rsidP="006222B9">
            <w:pPr>
              <w:pStyle w:val="TableHeading"/>
              <w:spacing w:before="60" w:after="60"/>
            </w:pPr>
            <w:r>
              <w:t>LAGIC</w:t>
            </w:r>
          </w:p>
        </w:tc>
        <w:tc>
          <w:tcPr>
            <w:tcW w:w="4513" w:type="dxa"/>
          </w:tcPr>
          <w:p w14:paraId="587DEFE4" w14:textId="34086266" w:rsidR="009A4479" w:rsidRDefault="009A4479" w:rsidP="00010CE0">
            <w:pPr>
              <w:numPr>
                <w:ilvl w:val="0"/>
                <w:numId w:val="28"/>
              </w:numPr>
              <w:cnfStyle w:val="000000100000" w:firstRow="0" w:lastRow="0" w:firstColumn="0" w:lastColumn="0" w:oddVBand="0" w:evenVBand="0" w:oddHBand="1" w:evenHBand="0" w:firstRowFirstColumn="0" w:firstRowLastColumn="0" w:lastRowFirstColumn="0" w:lastRowLastColumn="0"/>
            </w:pPr>
            <w:r>
              <w:t>Life and General Insurance Capital Standards</w:t>
            </w:r>
          </w:p>
        </w:tc>
      </w:tr>
      <w:tr w:rsidR="00010CE0" w14:paraId="7F90AEC5" w14:textId="77777777" w:rsidTr="006222B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27A07C5" w14:textId="2D8EF26F" w:rsidR="00010CE0" w:rsidRDefault="009A4479" w:rsidP="006222B9">
            <w:pPr>
              <w:pStyle w:val="TableHeading"/>
              <w:spacing w:before="60" w:after="60"/>
            </w:pPr>
            <w:r>
              <w:t xml:space="preserve">Life Act </w:t>
            </w:r>
          </w:p>
        </w:tc>
        <w:tc>
          <w:tcPr>
            <w:tcW w:w="4513" w:type="dxa"/>
          </w:tcPr>
          <w:p w14:paraId="1E88C23F" w14:textId="61725762" w:rsidR="00010CE0" w:rsidRPr="001C3C1D" w:rsidRDefault="009A4479" w:rsidP="00010CE0">
            <w:pPr>
              <w:numPr>
                <w:ilvl w:val="0"/>
                <w:numId w:val="28"/>
              </w:numPr>
              <w:cnfStyle w:val="000000010000" w:firstRow="0" w:lastRow="0" w:firstColumn="0" w:lastColumn="0" w:oddVBand="0" w:evenVBand="0" w:oddHBand="0" w:evenHBand="1" w:firstRowFirstColumn="0" w:firstRowLastColumn="0" w:lastRowFirstColumn="0" w:lastRowLastColumn="0"/>
            </w:pPr>
            <w:r w:rsidRPr="004F7011">
              <w:t>Life Insurance Act 1995</w:t>
            </w:r>
          </w:p>
        </w:tc>
      </w:tr>
      <w:tr w:rsidR="001F34EF" w14:paraId="5333E68F" w14:textId="77777777" w:rsidTr="00622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41683E55" w14:textId="3C469054" w:rsidR="001F34EF" w:rsidRDefault="001F34EF" w:rsidP="006222B9">
            <w:pPr>
              <w:pStyle w:val="TableHeading"/>
              <w:spacing w:before="60" w:after="60"/>
            </w:pPr>
            <w:r>
              <w:t>PCA</w:t>
            </w:r>
          </w:p>
        </w:tc>
        <w:tc>
          <w:tcPr>
            <w:tcW w:w="4513" w:type="dxa"/>
          </w:tcPr>
          <w:p w14:paraId="572C227C" w14:textId="3997C0FD" w:rsidR="001F34EF" w:rsidRPr="009271CC" w:rsidRDefault="000678AF" w:rsidP="00010CE0">
            <w:pPr>
              <w:numPr>
                <w:ilvl w:val="0"/>
                <w:numId w:val="28"/>
              </w:numPr>
              <w:cnfStyle w:val="000000100000" w:firstRow="0" w:lastRow="0" w:firstColumn="0" w:lastColumn="0" w:oddVBand="0" w:evenVBand="0" w:oddHBand="1" w:evenHBand="0" w:firstRowFirstColumn="0" w:firstRowLastColumn="0" w:lastRowFirstColumn="0" w:lastRowLastColumn="0"/>
              <w:rPr>
                <w:i/>
              </w:rPr>
            </w:pPr>
            <w:r>
              <w:t>P</w:t>
            </w:r>
            <w:r w:rsidRPr="001C726D">
              <w:t xml:space="preserve">rescribed </w:t>
            </w:r>
            <w:r>
              <w:t>C</w:t>
            </w:r>
            <w:r w:rsidRPr="001C726D">
              <w:t xml:space="preserve">apital </w:t>
            </w:r>
            <w:r>
              <w:t>A</w:t>
            </w:r>
            <w:r w:rsidRPr="001C726D">
              <w:t>mount</w:t>
            </w:r>
          </w:p>
        </w:tc>
      </w:tr>
    </w:tbl>
    <w:p w14:paraId="42706252" w14:textId="77777777" w:rsidR="00AC1C12" w:rsidRDefault="00AC1C12" w:rsidP="00AC1C12">
      <w:pPr>
        <w:numPr>
          <w:ilvl w:val="0"/>
          <w:numId w:val="0"/>
        </w:numPr>
      </w:pPr>
    </w:p>
    <w:p w14:paraId="6C78AAE5" w14:textId="51B77723" w:rsidR="00AC1C12" w:rsidRDefault="00515B31" w:rsidP="00A86CD3">
      <w:pPr>
        <w:pStyle w:val="Heading1Numbers"/>
        <w:numPr>
          <w:ilvl w:val="0"/>
          <w:numId w:val="18"/>
        </w:numPr>
      </w:pPr>
      <w:bookmarkStart w:id="10" w:name="_Toc34916176"/>
      <w:bookmarkStart w:id="11" w:name="_Toc34925657"/>
      <w:bookmarkStart w:id="12" w:name="_Toc68598679"/>
      <w:r>
        <w:lastRenderedPageBreak/>
        <w:t>Introduction</w:t>
      </w:r>
      <w:bookmarkEnd w:id="10"/>
      <w:bookmarkEnd w:id="11"/>
      <w:bookmarkEnd w:id="12"/>
    </w:p>
    <w:p w14:paraId="6C40FB7D" w14:textId="291F6299" w:rsidR="00AC1C12" w:rsidRDefault="00A86CD3" w:rsidP="00AD393D">
      <w:pPr>
        <w:pStyle w:val="Heading2Numbers"/>
      </w:pPr>
      <w:r>
        <w:t>Background</w:t>
      </w:r>
    </w:p>
    <w:p w14:paraId="28FB3B4F" w14:textId="73596062" w:rsidR="005A54B0" w:rsidRDefault="005A54B0" w:rsidP="005A54B0">
      <w:r>
        <w:t xml:space="preserve">In </w:t>
      </w:r>
      <w:r w:rsidR="002213E4">
        <w:t>recent years</w:t>
      </w:r>
      <w:r>
        <w:t xml:space="preserve">, APRA </w:t>
      </w:r>
      <w:r w:rsidR="002213E4">
        <w:t xml:space="preserve">has </w:t>
      </w:r>
      <w:r>
        <w:t>observed increased use of offshore reinsurers by life companies</w:t>
      </w:r>
      <w:r w:rsidR="00AC1B65">
        <w:t xml:space="preserve">, which </w:t>
      </w:r>
      <w:r w:rsidR="00EF1043">
        <w:t xml:space="preserve">creates risks that </w:t>
      </w:r>
      <w:r w:rsidR="008945AE">
        <w:t>need to be carefully managed</w:t>
      </w:r>
      <w:r>
        <w:t>.</w:t>
      </w:r>
      <w:r w:rsidDel="00FB007E">
        <w:t xml:space="preserve"> APRA </w:t>
      </w:r>
      <w:r w:rsidR="00EF1043">
        <w:t xml:space="preserve">is </w:t>
      </w:r>
      <w:r w:rsidDel="00FB007E">
        <w:t>respond</w:t>
      </w:r>
      <w:r w:rsidR="00EF1043">
        <w:t>ing</w:t>
      </w:r>
      <w:r w:rsidDel="00FB007E">
        <w:t xml:space="preserve"> to this emerging risk by reviewing the existing limits on exposures to offshore reinsurers in LPS 117. </w:t>
      </w:r>
    </w:p>
    <w:p w14:paraId="6464189C" w14:textId="46D38790" w:rsidR="005542C2" w:rsidRDefault="005542C2" w:rsidP="005542C2">
      <w:r>
        <w:t>Reinsurance is a fundamental part of the life insurance industry. Given the important role reinsurers play within the life insurance market</w:t>
      </w:r>
      <w:r w:rsidR="00EF1043">
        <w:t>,</w:t>
      </w:r>
      <w:r>
        <w:t xml:space="preserve"> and </w:t>
      </w:r>
      <w:r w:rsidR="003D2EEF">
        <w:t>because</w:t>
      </w:r>
      <w:r>
        <w:t xml:space="preserve"> reinsurance can be considered an alternative to capital, it is important that APRA has an appropriate level of oversight over the </w:t>
      </w:r>
      <w:r w:rsidR="00EF1043">
        <w:t>reinsurance arrangements used in order</w:t>
      </w:r>
      <w:r w:rsidR="00A24C5D">
        <w:t xml:space="preserve"> to promote financial safety </w:t>
      </w:r>
      <w:r w:rsidR="00EF1043">
        <w:t xml:space="preserve">and stability </w:t>
      </w:r>
      <w:r w:rsidR="00A24C5D">
        <w:t xml:space="preserve">and </w:t>
      </w:r>
      <w:r w:rsidR="00EF1043">
        <w:t xml:space="preserve">hence </w:t>
      </w:r>
      <w:r w:rsidR="00A24C5D">
        <w:t>protect policyholder</w:t>
      </w:r>
      <w:r w:rsidR="00830E3A">
        <w:t>s</w:t>
      </w:r>
      <w:r>
        <w:t xml:space="preserve">. </w:t>
      </w:r>
    </w:p>
    <w:p w14:paraId="346C0C64" w14:textId="35F1ABCA" w:rsidR="00DB751C" w:rsidRPr="008120C3" w:rsidRDefault="00DB751C" w:rsidP="00DB751C">
      <w:pPr>
        <w:pStyle w:val="SubHeadingNoTOC"/>
      </w:pPr>
      <w:r>
        <w:t>Offshore reinsurance</w:t>
      </w:r>
    </w:p>
    <w:p w14:paraId="7A0E8F1A" w14:textId="54C0C0B3" w:rsidR="00DB751C" w:rsidRDefault="005A54B0" w:rsidP="005A54B0">
      <w:pPr>
        <w:numPr>
          <w:ilvl w:val="0"/>
          <w:numId w:val="0"/>
        </w:numPr>
      </w:pPr>
      <w:r>
        <w:t xml:space="preserve">Under the </w:t>
      </w:r>
      <w:r w:rsidRPr="003A1196">
        <w:rPr>
          <w:i/>
        </w:rPr>
        <w:t>Life Insurance Act 1995</w:t>
      </w:r>
      <w:r>
        <w:t xml:space="preserve"> (Life Act)</w:t>
      </w:r>
      <w:r w:rsidR="00EF1043">
        <w:t>,</w:t>
      </w:r>
      <w:r>
        <w:t xml:space="preserve"> foreign life insurance companies that want to operate in Australia are required to establish an Australian subsidiary or, where eligible, an Australian branch that complies with the Life Act and APRA prudential standards. This includes foreign life insurance companies that predominantly write inwards reinsurance business.</w:t>
      </w:r>
    </w:p>
    <w:p w14:paraId="18F36C40" w14:textId="56B55A70" w:rsidR="005A54B0" w:rsidRDefault="005A54B0" w:rsidP="005A54B0">
      <w:pPr>
        <w:numPr>
          <w:ilvl w:val="0"/>
          <w:numId w:val="0"/>
        </w:numPr>
      </w:pPr>
      <w:r>
        <w:t xml:space="preserve">In </w:t>
      </w:r>
      <w:r w:rsidR="00DB751C">
        <w:t xml:space="preserve">some </w:t>
      </w:r>
      <w:r>
        <w:t xml:space="preserve">circumstances, Australian life companies are able to obtain reinsurance from offshore reinsurers that do not operate in Australia. LPS 117 exposure limits for such offshore reinsurance arrangements are considerably lower than the limits for other reinsurance arrangements. </w:t>
      </w:r>
    </w:p>
    <w:p w14:paraId="4D8CA239" w14:textId="1A5C98DD" w:rsidR="005A54B0" w:rsidRDefault="005A54B0" w:rsidP="005A54B0">
      <w:pPr>
        <w:numPr>
          <w:ilvl w:val="0"/>
          <w:numId w:val="0"/>
        </w:numPr>
      </w:pPr>
      <w:r>
        <w:t>APRA defines offshore reinsurers as reinsurers that are not registered under the Life Act and therefore are outside of APRA’s regulatory remit. APRA-approved offshore related parties, including appropriate retrocessionaires of specialist reinsurers, have been carved out of the scope of this review because APRA has a greater level of oversight of these entities.</w:t>
      </w:r>
      <w:r w:rsidRPr="0005572B">
        <w:rPr>
          <w:rStyle w:val="FootnoteReference"/>
        </w:rPr>
        <w:t xml:space="preserve"> </w:t>
      </w:r>
      <w:r>
        <w:rPr>
          <w:rStyle w:val="FootnoteReference"/>
        </w:rPr>
        <w:footnoteReference w:id="2"/>
      </w:r>
      <w:r>
        <w:t xml:space="preserve">  </w:t>
      </w:r>
    </w:p>
    <w:p w14:paraId="732870B1" w14:textId="32EDEE36" w:rsidR="009061B7" w:rsidRDefault="005A54B0" w:rsidP="00216580">
      <w:r>
        <w:t>APRA actively supervises all life insurers (including reinsurers) which are registered under the Life Act. APRA’s objective is to ensure that under all reasonable circumstances, financial promises made by life insurers to policyholders are met</w:t>
      </w:r>
      <w:r w:rsidR="008A1F65">
        <w:t>:</w:t>
      </w:r>
      <w:r>
        <w:t xml:space="preserve"> </w:t>
      </w:r>
      <w:r w:rsidR="008A1F65">
        <w:t>o</w:t>
      </w:r>
      <w:r>
        <w:t xml:space="preserve">versight of both primary writers and reinsurers is vital to fulfilling </w:t>
      </w:r>
      <w:r w:rsidR="008A1F65">
        <w:t xml:space="preserve">this </w:t>
      </w:r>
      <w:r>
        <w:t xml:space="preserve">mandate. </w:t>
      </w:r>
      <w:r w:rsidR="009061B7">
        <w:t xml:space="preserve">When primary writers place risk with offshore reinsurers, APRA </w:t>
      </w:r>
      <w:r w:rsidR="00EF1043">
        <w:t xml:space="preserve">is </w:t>
      </w:r>
      <w:r w:rsidR="00B1473B">
        <w:t>not</w:t>
      </w:r>
      <w:r w:rsidR="00EF1043">
        <w:t xml:space="preserve"> able</w:t>
      </w:r>
      <w:r w:rsidR="009061B7">
        <w:t xml:space="preserve"> to </w:t>
      </w:r>
      <w:r w:rsidR="00B1473B">
        <w:t xml:space="preserve">directly </w:t>
      </w:r>
      <w:r w:rsidR="009061B7">
        <w:t xml:space="preserve">oversee or supervise the reinsurer receiving this risk. If the use of offshore reinsurers continues to increase, the portion of the market </w:t>
      </w:r>
      <w:r w:rsidR="004B0E3A">
        <w:t xml:space="preserve">over </w:t>
      </w:r>
      <w:r w:rsidR="009061B7">
        <w:t xml:space="preserve">which APRA has </w:t>
      </w:r>
      <w:r w:rsidR="00B1473B">
        <w:t xml:space="preserve">direct </w:t>
      </w:r>
      <w:r w:rsidR="009061B7">
        <w:t xml:space="preserve">oversight will be reduced.  </w:t>
      </w:r>
    </w:p>
    <w:p w14:paraId="6CCD4721" w14:textId="3ED5255B" w:rsidR="00DD3926" w:rsidRDefault="00DB751C" w:rsidP="00216580">
      <w:r>
        <w:t>O</w:t>
      </w:r>
      <w:r w:rsidR="00CA4811">
        <w:t>ffshore reinsurers</w:t>
      </w:r>
      <w:r>
        <w:t xml:space="preserve"> provide important benefits to the local industry; they </w:t>
      </w:r>
      <w:r w:rsidR="00CA4811">
        <w:t xml:space="preserve">can be a source of extra </w:t>
      </w:r>
      <w:r w:rsidR="00B1473B">
        <w:t xml:space="preserve">reinsurance </w:t>
      </w:r>
      <w:r w:rsidR="00CA4811">
        <w:t xml:space="preserve">capacity in the </w:t>
      </w:r>
      <w:r w:rsidR="00B1473B">
        <w:t xml:space="preserve">domestic </w:t>
      </w:r>
      <w:r w:rsidR="00CA4811">
        <w:t xml:space="preserve">market and </w:t>
      </w:r>
      <w:r w:rsidR="00B1473B">
        <w:t xml:space="preserve">are </w:t>
      </w:r>
      <w:r w:rsidR="00CA4811">
        <w:t xml:space="preserve">an avenue for </w:t>
      </w:r>
      <w:r w:rsidR="00B1473B">
        <w:t>direct insurers</w:t>
      </w:r>
      <w:r w:rsidR="00CA4811">
        <w:t xml:space="preserve"> to </w:t>
      </w:r>
      <w:r w:rsidR="00CA4811">
        <w:lastRenderedPageBreak/>
        <w:t>access competitively priced reinsurance support for innovative product designs</w:t>
      </w:r>
      <w:r w:rsidR="00CC401B">
        <w:t>. APRA has been mindful of both the risk</w:t>
      </w:r>
      <w:r w:rsidR="001A2D3B">
        <w:t>s</w:t>
      </w:r>
      <w:r w:rsidR="00CC401B">
        <w:t xml:space="preserve"> and benefits of offshore reinsurers throughout this review. </w:t>
      </w:r>
    </w:p>
    <w:p w14:paraId="58AE8F4E" w14:textId="4999E3DD" w:rsidR="00BA4DEE" w:rsidRDefault="00BA4DEE" w:rsidP="00BA4DEE">
      <w:pPr>
        <w:pStyle w:val="Heading2Numbers"/>
      </w:pPr>
      <w:r>
        <w:t>Consultation process</w:t>
      </w:r>
    </w:p>
    <w:p w14:paraId="1BE654B1" w14:textId="5B7A807D" w:rsidR="00BD007F" w:rsidRDefault="001A5176" w:rsidP="003A473C">
      <w:pPr>
        <w:numPr>
          <w:ilvl w:val="0"/>
          <w:numId w:val="0"/>
        </w:numPr>
      </w:pPr>
      <w:r>
        <w:t>APRA communicated it</w:t>
      </w:r>
      <w:r w:rsidR="00D51756">
        <w:t xml:space="preserve"> w</w:t>
      </w:r>
      <w:r w:rsidR="007E6A94">
        <w:t>ould</w:t>
      </w:r>
      <w:r w:rsidR="00D51756">
        <w:t xml:space="preserve"> be </w:t>
      </w:r>
      <w:r>
        <w:t>review</w:t>
      </w:r>
      <w:r w:rsidR="00D51756">
        <w:t>ing</w:t>
      </w:r>
      <w:r>
        <w:t xml:space="preserve"> LPS 117 in</w:t>
      </w:r>
      <w:r w:rsidR="009F1131">
        <w:t xml:space="preserve"> a letter to industry on 15</w:t>
      </w:r>
      <w:r w:rsidR="00FF46F1">
        <w:t> </w:t>
      </w:r>
      <w:r w:rsidR="009F1131">
        <w:t>December 2017</w:t>
      </w:r>
      <w:r w:rsidR="00234D68">
        <w:t>.</w:t>
      </w:r>
      <w:r w:rsidR="00234D68">
        <w:rPr>
          <w:rStyle w:val="FootnoteReference"/>
        </w:rPr>
        <w:footnoteReference w:id="3"/>
      </w:r>
      <w:r w:rsidR="009F1131">
        <w:t xml:space="preserve"> APRA</w:t>
      </w:r>
      <w:r w:rsidR="00D374FC">
        <w:t xml:space="preserve"> undertook </w:t>
      </w:r>
      <w:r w:rsidR="009F1131">
        <w:t xml:space="preserve">an information </w:t>
      </w:r>
      <w:r w:rsidR="00D51756">
        <w:t xml:space="preserve">gathering </w:t>
      </w:r>
      <w:r w:rsidR="009F1131">
        <w:t xml:space="preserve">exercise </w:t>
      </w:r>
      <w:r w:rsidR="00D51756">
        <w:t xml:space="preserve">in </w:t>
      </w:r>
      <w:r w:rsidR="00D374FC">
        <w:t xml:space="preserve">2018 </w:t>
      </w:r>
      <w:r w:rsidR="002511AA">
        <w:t xml:space="preserve">that </w:t>
      </w:r>
      <w:r w:rsidR="009F1131">
        <w:t>captur</w:t>
      </w:r>
      <w:r w:rsidR="002511AA">
        <w:t>ed</w:t>
      </w:r>
      <w:r w:rsidR="009F1131">
        <w:t xml:space="preserve"> reinsurance arrangements</w:t>
      </w:r>
      <w:r w:rsidR="00B35CF5">
        <w:t xml:space="preserve"> and arrangements that have the effect</w:t>
      </w:r>
      <w:r w:rsidR="007E0B96">
        <w:t xml:space="preserve"> of reducing an insurer</w:t>
      </w:r>
      <w:r w:rsidR="00435F24">
        <w:t>’</w:t>
      </w:r>
      <w:r w:rsidR="007E0B96">
        <w:t xml:space="preserve">s </w:t>
      </w:r>
      <w:r w:rsidR="00D51756">
        <w:t>Asset Concentration Risk Charge (</w:t>
      </w:r>
      <w:r w:rsidR="007E0B96">
        <w:t>ACRC</w:t>
      </w:r>
      <w:r w:rsidR="00D51756">
        <w:t>)</w:t>
      </w:r>
      <w:r w:rsidR="007E0B96">
        <w:t xml:space="preserve"> as it pertains to reinsurance.</w:t>
      </w:r>
      <w:r w:rsidR="00897A1C">
        <w:t xml:space="preserve"> This information helped establish the </w:t>
      </w:r>
      <w:r w:rsidR="00BD007F">
        <w:t>s</w:t>
      </w:r>
      <w:r w:rsidR="00760019">
        <w:t>cope of th</w:t>
      </w:r>
      <w:r w:rsidR="003B1126">
        <w:t>is</w:t>
      </w:r>
      <w:r w:rsidR="00760019">
        <w:t xml:space="preserve"> review and </w:t>
      </w:r>
      <w:r w:rsidR="003910BB">
        <w:t>develop</w:t>
      </w:r>
      <w:r w:rsidR="004B0E3A">
        <w:t>ment of</w:t>
      </w:r>
      <w:r w:rsidR="003910BB">
        <w:t xml:space="preserve"> </w:t>
      </w:r>
      <w:r w:rsidR="00BD007F">
        <w:t xml:space="preserve">preliminary policy proposals. </w:t>
      </w:r>
    </w:p>
    <w:p w14:paraId="6C753549" w14:textId="43AEA2D0" w:rsidR="00A86CD3" w:rsidRDefault="00C80E26" w:rsidP="00400CD3">
      <w:pPr>
        <w:numPr>
          <w:ilvl w:val="0"/>
          <w:numId w:val="0"/>
        </w:numPr>
      </w:pPr>
      <w:r>
        <w:t xml:space="preserve">APRA </w:t>
      </w:r>
      <w:r w:rsidR="00897A1C">
        <w:t xml:space="preserve">initiated its first round of consultation </w:t>
      </w:r>
      <w:r w:rsidR="00212378">
        <w:t>with the release</w:t>
      </w:r>
      <w:r w:rsidR="00897A1C">
        <w:t xml:space="preserve"> of an industry</w:t>
      </w:r>
      <w:r>
        <w:t xml:space="preserve"> letter</w:t>
      </w:r>
      <w:r w:rsidR="005308FD">
        <w:t xml:space="preserve"> </w:t>
      </w:r>
      <w:r w:rsidR="00096C6F">
        <w:t>in</w:t>
      </w:r>
      <w:r w:rsidR="005308FD">
        <w:t xml:space="preserve"> March 2019</w:t>
      </w:r>
      <w:r w:rsidR="00897A1C">
        <w:t>.</w:t>
      </w:r>
      <w:r w:rsidR="00897A1C" w:rsidDel="00FD5834">
        <w:rPr>
          <w:rStyle w:val="FootnoteReference"/>
        </w:rPr>
        <w:footnoteReference w:id="4"/>
      </w:r>
      <w:r w:rsidR="00897A1C" w:rsidRPr="00897A1C" w:rsidDel="00FD5834">
        <w:rPr>
          <w:rStyle w:val="FootnoteReference"/>
        </w:rPr>
        <w:t xml:space="preserve"> </w:t>
      </w:r>
      <w:r w:rsidR="002C14E3">
        <w:t xml:space="preserve"> </w:t>
      </w:r>
      <w:r w:rsidR="00897A1C">
        <w:t>This letter outlined</w:t>
      </w:r>
      <w:r>
        <w:t xml:space="preserve"> prudential concerns relating to increased use of offshore reinsurers</w:t>
      </w:r>
      <w:r w:rsidR="00897A1C">
        <w:t xml:space="preserve"> and </w:t>
      </w:r>
      <w:r w:rsidR="00212378">
        <w:t xml:space="preserve">the </w:t>
      </w:r>
      <w:r>
        <w:t>options being considered to respond to these concerns</w:t>
      </w:r>
      <w:r w:rsidR="00D772C9">
        <w:t xml:space="preserve">. This letter also </w:t>
      </w:r>
      <w:r w:rsidR="002511AA">
        <w:t xml:space="preserve">detailed </w:t>
      </w:r>
      <w:r w:rsidR="004B0E3A">
        <w:t xml:space="preserve">proposed </w:t>
      </w:r>
      <w:r w:rsidR="00055755">
        <w:t xml:space="preserve">revisions </w:t>
      </w:r>
      <w:r w:rsidR="005A72C7">
        <w:t xml:space="preserve">to </w:t>
      </w:r>
      <w:r w:rsidR="0013704F">
        <w:t>improve the effective operation of the standard</w:t>
      </w:r>
      <w:r w:rsidR="00E17027">
        <w:t>.</w:t>
      </w:r>
    </w:p>
    <w:p w14:paraId="13D2306F" w14:textId="45A16A68" w:rsidR="00772098" w:rsidRDefault="00891751" w:rsidP="00A86CD3">
      <w:pPr>
        <w:numPr>
          <w:ilvl w:val="0"/>
          <w:numId w:val="0"/>
        </w:numPr>
      </w:pPr>
      <w:r>
        <w:t xml:space="preserve">APRA received 15 submissions in response to </w:t>
      </w:r>
      <w:r w:rsidR="005A72C7">
        <w:t>the</w:t>
      </w:r>
      <w:r>
        <w:t xml:space="preserve"> consultation letter. Non-confidential submissions </w:t>
      </w:r>
      <w:r w:rsidR="002E2416">
        <w:t>are</w:t>
      </w:r>
      <w:r>
        <w:t xml:space="preserve"> </w:t>
      </w:r>
      <w:r w:rsidR="002E2416">
        <w:t>available on</w:t>
      </w:r>
      <w:r>
        <w:t xml:space="preserve"> APRA’s website. </w:t>
      </w:r>
    </w:p>
    <w:p w14:paraId="6EAFCC9D" w14:textId="79645EE7" w:rsidR="00B12844" w:rsidRDefault="004B0E3A" w:rsidP="00A86CD3">
      <w:pPr>
        <w:numPr>
          <w:ilvl w:val="0"/>
          <w:numId w:val="0"/>
        </w:numPr>
      </w:pPr>
      <w:r>
        <w:t>S</w:t>
      </w:r>
      <w:r w:rsidR="00B12844">
        <w:t xml:space="preserve">ome of the issues covered in this review, particularly the participation of offshore reinsurers in the Australian life insurance market, have commercial impacts that differ according to the nature of the industry participant’s business. </w:t>
      </w:r>
      <w:r>
        <w:t xml:space="preserve">Accordingly, APRA has received </w:t>
      </w:r>
      <w:r w:rsidR="00B12844">
        <w:t>diverse feedback</w:t>
      </w:r>
      <w:r>
        <w:t xml:space="preserve"> on its proposals</w:t>
      </w:r>
      <w:r w:rsidR="00B12844">
        <w:t xml:space="preserve">. </w:t>
      </w:r>
    </w:p>
    <w:p w14:paraId="11C94F41" w14:textId="31B10F22" w:rsidR="009B2371" w:rsidRDefault="009B2371" w:rsidP="009B2371">
      <w:pPr>
        <w:pStyle w:val="Heading2Numbers"/>
      </w:pPr>
      <w:r>
        <w:t>Balancing APRA’s mandate</w:t>
      </w:r>
    </w:p>
    <w:p w14:paraId="0EE2083D" w14:textId="18EBA0AA" w:rsidR="00B12844" w:rsidRDefault="009B2371" w:rsidP="009B2371">
      <w:pPr>
        <w:numPr>
          <w:ilvl w:val="0"/>
          <w:numId w:val="0"/>
        </w:numPr>
      </w:pPr>
      <w:r>
        <w:t>When developing policy proposals</w:t>
      </w:r>
      <w:r w:rsidR="00462C05">
        <w:t>,</w:t>
      </w:r>
      <w:r>
        <w:t xml:space="preserve"> APRA seeks to balance the objectives of financial safety, financial stability and efficiency, competition, contestability and competitive neutrality. </w:t>
      </w:r>
    </w:p>
    <w:p w14:paraId="19201D2C" w14:textId="3C650997" w:rsidR="00E6471E" w:rsidRDefault="009B2371" w:rsidP="009B2371">
      <w:pPr>
        <w:numPr>
          <w:ilvl w:val="0"/>
          <w:numId w:val="0"/>
        </w:numPr>
      </w:pPr>
      <w:r>
        <w:t xml:space="preserve">The March 2019 letter asked stakeholders to comment on issues APRA should consider to </w:t>
      </w:r>
      <w:r w:rsidR="00587972">
        <w:t>achieve this</w:t>
      </w:r>
      <w:r>
        <w:t xml:space="preserve"> balance.</w:t>
      </w:r>
      <w:r w:rsidR="00E6471E">
        <w:t xml:space="preserve"> </w:t>
      </w:r>
      <w:r w:rsidR="00B12844">
        <w:t xml:space="preserve">The wide range of views informed </w:t>
      </w:r>
      <w:r w:rsidR="00906ED4">
        <w:t xml:space="preserve">the </w:t>
      </w:r>
      <w:r w:rsidR="00B12844">
        <w:t xml:space="preserve">revised proposals </w:t>
      </w:r>
      <w:r w:rsidR="004B0E3A">
        <w:t xml:space="preserve">set out in this consultation package, </w:t>
      </w:r>
      <w:r w:rsidR="00906ED4">
        <w:t>that</w:t>
      </w:r>
      <w:r w:rsidR="00B12844">
        <w:t xml:space="preserve"> </w:t>
      </w:r>
      <w:r w:rsidR="00906ED4">
        <w:t>aim</w:t>
      </w:r>
      <w:r w:rsidR="00B12844">
        <w:t xml:space="preserve"> to </w:t>
      </w:r>
      <w:r w:rsidR="004B0E3A">
        <w:t xml:space="preserve">effectively </w:t>
      </w:r>
      <w:r w:rsidR="00B12844">
        <w:t>manage prudential risks associated with offshore reinsurers, while still enabling the benefits</w:t>
      </w:r>
      <w:r w:rsidR="004B0E3A">
        <w:t xml:space="preserve"> of their participation in the Australian market</w:t>
      </w:r>
      <w:r w:rsidR="00B12844">
        <w:t>.</w:t>
      </w:r>
    </w:p>
    <w:p w14:paraId="362CAD5D" w14:textId="194AFB77" w:rsidR="00596321" w:rsidRPr="008120C3" w:rsidRDefault="00596321" w:rsidP="00596321">
      <w:pPr>
        <w:pStyle w:val="SubHeadingNoTOC"/>
      </w:pPr>
      <w:r>
        <w:t>Competition</w:t>
      </w:r>
    </w:p>
    <w:p w14:paraId="5E365A43" w14:textId="1491875C" w:rsidR="009E30D6" w:rsidRDefault="00904D57">
      <w:pPr>
        <w:numPr>
          <w:ilvl w:val="0"/>
          <w:numId w:val="0"/>
        </w:numPr>
      </w:pPr>
      <w:r>
        <w:t>Some s</w:t>
      </w:r>
      <w:r w:rsidR="00AF1068">
        <w:t xml:space="preserve">takeholders submitted </w:t>
      </w:r>
      <w:r w:rsidR="002C14E3">
        <w:t xml:space="preserve">that </w:t>
      </w:r>
      <w:r>
        <w:t xml:space="preserve">APRA’s </w:t>
      </w:r>
      <w:r w:rsidR="00F520C9">
        <w:t>proposal would reduce competition and therefore result in worse outcome</w:t>
      </w:r>
      <w:r w:rsidR="00906ED4">
        <w:t>s</w:t>
      </w:r>
      <w:r w:rsidR="00F520C9">
        <w:t xml:space="preserve"> for policyholders. </w:t>
      </w:r>
      <w:r w:rsidR="00024AB5">
        <w:t xml:space="preserve">Submissions highlighted </w:t>
      </w:r>
      <w:r w:rsidR="00024AB5" w:rsidRPr="001C726D">
        <w:t xml:space="preserve">that offshore reinsurers </w:t>
      </w:r>
      <w:r w:rsidR="00024AB5" w:rsidRPr="001C726D">
        <w:lastRenderedPageBreak/>
        <w:t>bring competition and innovation to the local market and that restricting them could result in</w:t>
      </w:r>
      <w:r w:rsidR="00B57010">
        <w:t xml:space="preserve"> </w:t>
      </w:r>
      <w:r w:rsidR="00B12844">
        <w:t>increased</w:t>
      </w:r>
      <w:r w:rsidR="00024AB5" w:rsidRPr="001C726D">
        <w:t xml:space="preserve"> cost</w:t>
      </w:r>
      <w:r w:rsidR="00906ED4">
        <w:t>s</w:t>
      </w:r>
      <w:r w:rsidR="00024AB5" w:rsidRPr="001C726D">
        <w:t xml:space="preserve"> and</w:t>
      </w:r>
      <w:r w:rsidR="00B12844">
        <w:t xml:space="preserve"> reduce</w:t>
      </w:r>
      <w:r w:rsidR="00906ED4">
        <w:t>d</w:t>
      </w:r>
      <w:r w:rsidR="00B12844">
        <w:t xml:space="preserve"> availability of</w:t>
      </w:r>
      <w:r w:rsidR="00024AB5" w:rsidRPr="001C726D">
        <w:t xml:space="preserve"> reinsurance support for certain product designs.</w:t>
      </w:r>
      <w:r w:rsidR="00024AB5">
        <w:t xml:space="preserve"> </w:t>
      </w:r>
    </w:p>
    <w:p w14:paraId="4ABBBE64" w14:textId="727FA03D" w:rsidR="00AF1068" w:rsidRDefault="009B525A" w:rsidP="001C726D">
      <w:pPr>
        <w:pStyle w:val="ListBullet"/>
        <w:numPr>
          <w:ilvl w:val="0"/>
          <w:numId w:val="0"/>
        </w:numPr>
      </w:pPr>
      <w:r>
        <w:t>The</w:t>
      </w:r>
      <w:r w:rsidRPr="00807CFC">
        <w:t xml:space="preserve"> </w:t>
      </w:r>
      <w:r w:rsidR="00AF1068" w:rsidRPr="00807CFC">
        <w:t>revisi</w:t>
      </w:r>
      <w:r w:rsidR="00F42FE5">
        <w:t xml:space="preserve">ons are </w:t>
      </w:r>
      <w:r>
        <w:t xml:space="preserve">designed </w:t>
      </w:r>
      <w:r w:rsidR="00AF1068" w:rsidRPr="00807CFC">
        <w:t xml:space="preserve">to ensure </w:t>
      </w:r>
      <w:r>
        <w:t xml:space="preserve">the </w:t>
      </w:r>
      <w:r w:rsidR="00AF1068" w:rsidRPr="00807CFC">
        <w:t xml:space="preserve">use of offshore reinsurers remains within </w:t>
      </w:r>
      <w:r w:rsidR="00A0283C">
        <w:t>prudent</w:t>
      </w:r>
      <w:r w:rsidR="00A0283C" w:rsidRPr="00807CFC">
        <w:t xml:space="preserve"> </w:t>
      </w:r>
      <w:r w:rsidR="00AF1068" w:rsidRPr="00807CFC">
        <w:t>levels</w:t>
      </w:r>
      <w:r w:rsidR="00CF4034">
        <w:t>,</w:t>
      </w:r>
      <w:r w:rsidR="00AF1068" w:rsidRPr="00807CFC">
        <w:t xml:space="preserve"> </w:t>
      </w:r>
      <w:r w:rsidR="002801E1">
        <w:t>and</w:t>
      </w:r>
      <w:r w:rsidR="00B90034">
        <w:t xml:space="preserve"> do</w:t>
      </w:r>
      <w:r w:rsidR="00AF1068" w:rsidRPr="00807CFC">
        <w:t xml:space="preserve"> not </w:t>
      </w:r>
      <w:r w:rsidR="00B90034">
        <w:t xml:space="preserve">stop </w:t>
      </w:r>
      <w:r w:rsidR="00AF1068" w:rsidRPr="00807CFC">
        <w:t xml:space="preserve">offshore reinsurers from entering the market as an </w:t>
      </w:r>
      <w:r w:rsidR="00667C9A">
        <w:t xml:space="preserve">APRA </w:t>
      </w:r>
      <w:r w:rsidR="0062642E">
        <w:t>registered</w:t>
      </w:r>
      <w:r w:rsidR="0062642E" w:rsidRPr="00807CFC">
        <w:t xml:space="preserve"> </w:t>
      </w:r>
      <w:r w:rsidR="00AF1068" w:rsidRPr="00807CFC">
        <w:t xml:space="preserve">entity. No </w:t>
      </w:r>
      <w:r w:rsidR="002801E1">
        <w:t>changes</w:t>
      </w:r>
      <w:r w:rsidR="00805160" w:rsidRPr="00807CFC">
        <w:t xml:space="preserve"> </w:t>
      </w:r>
      <w:r w:rsidR="00AF1068" w:rsidRPr="00807CFC">
        <w:t xml:space="preserve">are being proposed to the existing </w:t>
      </w:r>
      <w:r w:rsidR="00805160">
        <w:t>requirements</w:t>
      </w:r>
      <w:r w:rsidR="00AF1068" w:rsidRPr="00807CFC">
        <w:t xml:space="preserve"> for establishing an Australian subsidiary.</w:t>
      </w:r>
      <w:r w:rsidR="00CF4034">
        <w:t xml:space="preserve"> </w:t>
      </w:r>
    </w:p>
    <w:p w14:paraId="24FB458F" w14:textId="6BEDA799" w:rsidR="009B2371" w:rsidRDefault="001F1563" w:rsidP="009B2371">
      <w:r>
        <w:t xml:space="preserve">Some respondents suggested </w:t>
      </w:r>
      <w:r w:rsidR="009B2371">
        <w:t xml:space="preserve">APRA’s </w:t>
      </w:r>
      <w:r w:rsidR="009B2371" w:rsidRPr="00823B0C">
        <w:t>interpretation</w:t>
      </w:r>
      <w:r w:rsidR="009B2371">
        <w:t xml:space="preserve"> of competitive neutrality</w:t>
      </w:r>
      <w:r>
        <w:t xml:space="preserve"> should focus on </w:t>
      </w:r>
      <w:r w:rsidR="00820B48">
        <w:t>‘creating a level playing field’</w:t>
      </w:r>
      <w:r w:rsidR="009B2371" w:rsidRPr="00823B0C">
        <w:t xml:space="preserve">. APRA’s interpretation of the concept of competitive neutrality </w:t>
      </w:r>
      <w:r w:rsidR="00F64FE7">
        <w:t xml:space="preserve">is </w:t>
      </w:r>
      <w:r w:rsidR="009B2371" w:rsidRPr="00823B0C">
        <w:t xml:space="preserve">that government business </w:t>
      </w:r>
      <w:r w:rsidR="00875919">
        <w:t>activity</w:t>
      </w:r>
      <w:r w:rsidR="009B2371" w:rsidRPr="00823B0C">
        <w:t xml:space="preserve"> should not </w:t>
      </w:r>
      <w:r w:rsidR="00875919">
        <w:t xml:space="preserve">have a </w:t>
      </w:r>
      <w:r w:rsidR="009B2371" w:rsidRPr="00823B0C">
        <w:t xml:space="preserve">competitive advantage over private sector </w:t>
      </w:r>
      <w:r w:rsidR="009B2371" w:rsidRPr="00216580">
        <w:t xml:space="preserve">competitors </w:t>
      </w:r>
      <w:r w:rsidR="00875919" w:rsidRPr="00216580">
        <w:t xml:space="preserve">due to </w:t>
      </w:r>
      <w:r w:rsidR="009B2371" w:rsidRPr="00723D89">
        <w:t xml:space="preserve">public </w:t>
      </w:r>
      <w:r w:rsidR="00875919" w:rsidRPr="00723D89">
        <w:t>ownership.</w:t>
      </w:r>
      <w:r w:rsidR="00CD2F70" w:rsidRPr="00216580">
        <w:rPr>
          <w:rStyle w:val="FootnoteReference"/>
        </w:rPr>
        <w:footnoteReference w:id="5"/>
      </w:r>
      <w:r w:rsidR="00381115" w:rsidRPr="00216580">
        <w:t xml:space="preserve"> A level playing field</w:t>
      </w:r>
      <w:r w:rsidR="00381115" w:rsidRPr="00723D89">
        <w:t xml:space="preserve"> forms</w:t>
      </w:r>
      <w:r w:rsidR="008E5958">
        <w:t xml:space="preserve"> part </w:t>
      </w:r>
      <w:r w:rsidR="00381115" w:rsidRPr="001F1563">
        <w:t>of APRA’s</w:t>
      </w:r>
      <w:r w:rsidR="00381115">
        <w:t xml:space="preserve"> considerations </w:t>
      </w:r>
      <w:r w:rsidR="00CD2F70">
        <w:t xml:space="preserve">in the context of competition impacts. </w:t>
      </w:r>
    </w:p>
    <w:tbl>
      <w:tblPr>
        <w:tblStyle w:val="TableGrid10"/>
        <w:tblW w:w="8931" w:type="dxa"/>
        <w:tblLook w:val="0620" w:firstRow="1" w:lastRow="0" w:firstColumn="0" w:lastColumn="0" w:noHBand="1" w:noVBand="1"/>
      </w:tblPr>
      <w:tblGrid>
        <w:gridCol w:w="1560"/>
        <w:gridCol w:w="2968"/>
        <w:gridCol w:w="4403"/>
      </w:tblGrid>
      <w:tr w:rsidR="009B2371" w:rsidRPr="00E11D92" w14:paraId="10411324" w14:textId="77777777" w:rsidTr="00577BF0">
        <w:trPr>
          <w:cnfStyle w:val="100000000000" w:firstRow="1" w:lastRow="0" w:firstColumn="0" w:lastColumn="0" w:oddVBand="0" w:evenVBand="0" w:oddHBand="0" w:evenHBand="0" w:firstRowFirstColumn="0" w:firstRowLastColumn="0" w:lastRowFirstColumn="0" w:lastRowLastColumn="0"/>
          <w:cantSplit w:val="0"/>
          <w:tblHeader w:val="0"/>
        </w:trPr>
        <w:tc>
          <w:tcPr>
            <w:tcW w:w="8931" w:type="dxa"/>
            <w:gridSpan w:val="3"/>
          </w:tcPr>
          <w:p w14:paraId="56A843E2" w14:textId="77777777" w:rsidR="009B2371" w:rsidRPr="00E11D92" w:rsidRDefault="009B2371" w:rsidP="00EA1467">
            <w:pPr>
              <w:pStyle w:val="TableHeading"/>
              <w:jc w:val="center"/>
            </w:pPr>
            <w:r w:rsidRPr="00E11D92">
              <w:t>PRIMARY OBJECTIVES</w:t>
            </w:r>
          </w:p>
        </w:tc>
      </w:tr>
      <w:tr w:rsidR="009B2371" w:rsidRPr="00E11D92" w14:paraId="5A105694" w14:textId="77777777" w:rsidTr="00577BF0">
        <w:tc>
          <w:tcPr>
            <w:tcW w:w="4528" w:type="dxa"/>
            <w:gridSpan w:val="2"/>
            <w:shd w:val="clear" w:color="auto" w:fill="00A9E0"/>
          </w:tcPr>
          <w:p w14:paraId="2B87FDFB" w14:textId="1D14183D" w:rsidR="009B2371" w:rsidRPr="00E11D92" w:rsidRDefault="00346D30" w:rsidP="00EA1467">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5" behindDoc="0" locked="0" layoutInCell="1" allowOverlap="1" wp14:anchorId="7359DA7F" wp14:editId="4C31F712">
                  <wp:simplePos x="0" y="0"/>
                  <wp:positionH relativeFrom="column">
                    <wp:posOffset>1079500</wp:posOffset>
                  </wp:positionH>
                  <wp:positionV relativeFrom="paragraph">
                    <wp:posOffset>356870</wp:posOffset>
                  </wp:positionV>
                  <wp:extent cx="243840" cy="243840"/>
                  <wp:effectExtent l="0" t="0" r="381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r w:rsidR="009B2371" w:rsidRPr="00E11D92">
              <w:rPr>
                <w:rFonts w:ascii="DIN OT Medium" w:eastAsiaTheme="majorEastAsia" w:hAnsi="DIN OT Medium" w:cstheme="majorBidi"/>
                <w:color w:val="FFFFFF" w:themeColor="background1"/>
              </w:rPr>
              <w:t>Financial safety</w:t>
            </w:r>
          </w:p>
          <w:p w14:paraId="507359A9" w14:textId="77777777" w:rsidR="009B2371" w:rsidRPr="00E11D92" w:rsidRDefault="009B2371" w:rsidP="001C726D">
            <w:pPr>
              <w:keepNext/>
              <w:keepLines/>
              <w:numPr>
                <w:ilvl w:val="0"/>
                <w:numId w:val="0"/>
              </w:numPr>
              <w:spacing w:before="240"/>
              <w:jc w:val="center"/>
              <w:outlineLvl w:val="4"/>
              <w:rPr>
                <w:rFonts w:ascii="DIN OT Medium" w:eastAsiaTheme="majorEastAsia" w:hAnsi="DIN OT Medium" w:cstheme="majorBidi"/>
                <w:color w:val="FFFFFF" w:themeColor="background1"/>
              </w:rPr>
            </w:pPr>
          </w:p>
        </w:tc>
        <w:tc>
          <w:tcPr>
            <w:tcW w:w="4403" w:type="dxa"/>
            <w:shd w:val="clear" w:color="auto" w:fill="00A9E0"/>
          </w:tcPr>
          <w:p w14:paraId="7443951D" w14:textId="68C29BC5" w:rsidR="009B2371" w:rsidRPr="00E11D92" w:rsidRDefault="009B2371" w:rsidP="00EA1467">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color w:val="FFFFFF" w:themeColor="background1"/>
              </w:rPr>
              <w:t>Financial system stability</w:t>
            </w:r>
          </w:p>
          <w:p w14:paraId="5FBC68E1" w14:textId="0CDECA5B" w:rsidR="009B2371" w:rsidRPr="00E11D92" w:rsidRDefault="00576A5A" w:rsidP="00EA1467">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7" behindDoc="0" locked="0" layoutInCell="1" allowOverlap="1" wp14:anchorId="4356F9C5" wp14:editId="24202006">
                  <wp:simplePos x="0" y="0"/>
                  <wp:positionH relativeFrom="column">
                    <wp:posOffset>1291590</wp:posOffset>
                  </wp:positionH>
                  <wp:positionV relativeFrom="paragraph">
                    <wp:posOffset>29210</wp:posOffset>
                  </wp:positionV>
                  <wp:extent cx="243840" cy="243840"/>
                  <wp:effectExtent l="0" t="0" r="381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p>
        </w:tc>
      </w:tr>
      <w:tr w:rsidR="009B2371" w:rsidRPr="00E11D92" w14:paraId="1F8A1362" w14:textId="77777777" w:rsidTr="00577BF0">
        <w:trPr>
          <w:trHeight w:val="930"/>
        </w:trPr>
        <w:tc>
          <w:tcPr>
            <w:tcW w:w="4528" w:type="dxa"/>
            <w:gridSpan w:val="2"/>
          </w:tcPr>
          <w:p w14:paraId="5517E535" w14:textId="74578BA5" w:rsidR="008F38E2" w:rsidRDefault="009B2371" w:rsidP="00EA1467">
            <w:r w:rsidRPr="00225D1D">
              <w:rPr>
                <w:b/>
              </w:rPr>
              <w:t>Improved</w:t>
            </w:r>
            <w:r w:rsidRPr="00E11D92">
              <w:t xml:space="preserve">: </w:t>
            </w:r>
            <w:r w:rsidR="008F38E2">
              <w:t xml:space="preserve">The proposals responding to offshore reinsurers will allow APRA to maintain an appropriate level of supervisory oversight of the life insurance industry, supporting APRA’s ability to promote financial safety. </w:t>
            </w:r>
          </w:p>
          <w:p w14:paraId="3FD6599C" w14:textId="4BA9B683" w:rsidR="009B2371" w:rsidRPr="00E11D92" w:rsidRDefault="009B2371" w:rsidP="00EA1467"/>
        </w:tc>
        <w:tc>
          <w:tcPr>
            <w:tcW w:w="4403" w:type="dxa"/>
          </w:tcPr>
          <w:p w14:paraId="16AB4405" w14:textId="759C2FF6" w:rsidR="009B2371" w:rsidRDefault="009B2371" w:rsidP="00EA1467">
            <w:r w:rsidRPr="00225D1D">
              <w:rPr>
                <w:b/>
              </w:rPr>
              <w:t>Improved</w:t>
            </w:r>
            <w:r w:rsidRPr="00E11D92">
              <w:t xml:space="preserve">: </w:t>
            </w:r>
            <w:r w:rsidR="008F38E2">
              <w:t xml:space="preserve">The proposals responding to offshore reinsurers improve financial system stability </w:t>
            </w:r>
            <w:r w:rsidR="00F37F09">
              <w:t xml:space="preserve">as they </w:t>
            </w:r>
            <w:r w:rsidR="0006727E">
              <w:t xml:space="preserve">maintain this capacity within prudent levels, capping the risk of excessive reliance which could otherwise lead to instability in </w:t>
            </w:r>
            <w:r w:rsidR="002801E1">
              <w:t xml:space="preserve">a </w:t>
            </w:r>
            <w:r w:rsidR="0006727E">
              <w:t>stress</w:t>
            </w:r>
            <w:r w:rsidR="002801E1">
              <w:t xml:space="preserve"> scenario</w:t>
            </w:r>
            <w:r w:rsidR="00F37F09">
              <w:t xml:space="preserve">. </w:t>
            </w:r>
          </w:p>
          <w:p w14:paraId="1D389A74" w14:textId="5967C011" w:rsidR="00445AAD" w:rsidRPr="00E11D92" w:rsidRDefault="00445AAD" w:rsidP="00EA1467"/>
        </w:tc>
      </w:tr>
      <w:tr w:rsidR="009B2371" w:rsidRPr="00E11D92" w14:paraId="66E51EC3" w14:textId="77777777" w:rsidTr="00577BF0">
        <w:trPr>
          <w:trHeight w:val="813"/>
        </w:trPr>
        <w:tc>
          <w:tcPr>
            <w:tcW w:w="8931" w:type="dxa"/>
            <w:gridSpan w:val="3"/>
            <w:shd w:val="clear" w:color="auto" w:fill="012169"/>
          </w:tcPr>
          <w:p w14:paraId="0F1655C5" w14:textId="77777777" w:rsidR="009B2371" w:rsidRPr="00E11D92" w:rsidRDefault="009B2371" w:rsidP="00EA1467">
            <w:pPr>
              <w:keepNext/>
              <w:numPr>
                <w:ilvl w:val="0"/>
                <w:numId w:val="0"/>
              </w:numPr>
              <w:spacing w:before="240" w:after="120"/>
              <w:jc w:val="center"/>
              <w:rPr>
                <w:rFonts w:ascii="DIN OT Medium" w:hAnsi="DIN OT Medium"/>
              </w:rPr>
            </w:pPr>
            <w:r w:rsidRPr="00E11D92">
              <w:rPr>
                <w:rFonts w:ascii="DIN OT Medium" w:hAnsi="DIN OT Medium"/>
                <w:color w:val="FFFFFF" w:themeColor="background1"/>
              </w:rPr>
              <w:lastRenderedPageBreak/>
              <w:t>OTHER CONSIDERATIONS</w:t>
            </w:r>
          </w:p>
        </w:tc>
      </w:tr>
      <w:tr w:rsidR="009B2371" w:rsidRPr="00E11D92" w14:paraId="3F4DFEED" w14:textId="77777777" w:rsidTr="00577BF0">
        <w:trPr>
          <w:trHeight w:val="1134"/>
        </w:trPr>
        <w:tc>
          <w:tcPr>
            <w:tcW w:w="1560" w:type="dxa"/>
            <w:shd w:val="clear" w:color="auto" w:fill="00A9E0"/>
          </w:tcPr>
          <w:p w14:paraId="0C792DA0" w14:textId="02ED32F5" w:rsidR="009B2371" w:rsidRPr="00E11D92" w:rsidRDefault="00576A5A">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8" behindDoc="0" locked="0" layoutInCell="1" allowOverlap="1" wp14:anchorId="7CDA34DF" wp14:editId="5A5CE77B">
                  <wp:simplePos x="0" y="0"/>
                  <wp:positionH relativeFrom="column">
                    <wp:posOffset>243840</wp:posOffset>
                  </wp:positionH>
                  <wp:positionV relativeFrom="paragraph">
                    <wp:posOffset>368300</wp:posOffset>
                  </wp:positionV>
                  <wp:extent cx="243840" cy="243840"/>
                  <wp:effectExtent l="0" t="0" r="381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r w:rsidR="009B2371" w:rsidRPr="00E11D92">
              <w:rPr>
                <w:rFonts w:ascii="DIN OT Medium" w:eastAsiaTheme="majorEastAsia" w:hAnsi="DIN OT Medium" w:cstheme="majorBidi"/>
                <w:color w:val="FFFFFF" w:themeColor="background1"/>
              </w:rPr>
              <w:t>Efficiency</w:t>
            </w:r>
          </w:p>
        </w:tc>
        <w:tc>
          <w:tcPr>
            <w:tcW w:w="7371" w:type="dxa"/>
            <w:gridSpan w:val="2"/>
          </w:tcPr>
          <w:p w14:paraId="1FD81297" w14:textId="7772A327" w:rsidR="009B2371" w:rsidRPr="00C333D6" w:rsidRDefault="00576A5A" w:rsidP="00EA1467">
            <w:r w:rsidRPr="00225D1D">
              <w:rPr>
                <w:b/>
              </w:rPr>
              <w:t>Slightly improved</w:t>
            </w:r>
            <w:r w:rsidR="009B2371" w:rsidRPr="00E11D92">
              <w:t xml:space="preserve">: </w:t>
            </w:r>
            <w:r w:rsidR="00F25DAE" w:rsidRPr="00577BF0">
              <w:t xml:space="preserve">Making the regulatory requirements clearer will reduce the need for industry and APRA to clarify, and sometimes amend, requirements on a case by case basis (which can be a process that </w:t>
            </w:r>
            <w:r w:rsidR="0006727E">
              <w:t xml:space="preserve">takes time and </w:t>
            </w:r>
            <w:r w:rsidR="00F25DAE" w:rsidRPr="00400CD3">
              <w:t>imposes regulatory burden).</w:t>
            </w:r>
            <w:r w:rsidR="00F25DAE" w:rsidRPr="00B854E6">
              <w:rPr>
                <w:rFonts w:ascii="Arial" w:hAnsi="Arial" w:cs="Arial"/>
                <w:sz w:val="22"/>
                <w:lang w:val="en-GB"/>
              </w:rPr>
              <w:t xml:space="preserve"> </w:t>
            </w:r>
            <w:r w:rsidR="00402CF4">
              <w:t xml:space="preserve"> </w:t>
            </w:r>
          </w:p>
        </w:tc>
      </w:tr>
      <w:tr w:rsidR="009B2371" w:rsidRPr="00E11D92" w14:paraId="6045C5DE" w14:textId="77777777" w:rsidTr="00577BF0">
        <w:trPr>
          <w:trHeight w:val="1134"/>
        </w:trPr>
        <w:tc>
          <w:tcPr>
            <w:tcW w:w="1560" w:type="dxa"/>
            <w:shd w:val="clear" w:color="auto" w:fill="00A9E0"/>
          </w:tcPr>
          <w:p w14:paraId="3F204377" w14:textId="7FB00550" w:rsidR="009B2371" w:rsidRPr="00E11D92" w:rsidRDefault="00E85FA8">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6" behindDoc="0" locked="0" layoutInCell="1" allowOverlap="1" wp14:anchorId="29767BC5" wp14:editId="22C1066C">
                  <wp:simplePos x="0" y="0"/>
                  <wp:positionH relativeFrom="column">
                    <wp:posOffset>271145</wp:posOffset>
                  </wp:positionH>
                  <wp:positionV relativeFrom="paragraph">
                    <wp:posOffset>385445</wp:posOffset>
                  </wp:positionV>
                  <wp:extent cx="243840" cy="243840"/>
                  <wp:effectExtent l="0" t="0" r="3810" b="381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0800000">
                            <a:off x="0" y="0"/>
                            <a:ext cx="243840" cy="243840"/>
                          </a:xfrm>
                          <a:prstGeom prst="rect">
                            <a:avLst/>
                          </a:prstGeom>
                          <a:noFill/>
                        </pic:spPr>
                      </pic:pic>
                    </a:graphicData>
                  </a:graphic>
                  <wp14:sizeRelH relativeFrom="page">
                    <wp14:pctWidth>0</wp14:pctWidth>
                  </wp14:sizeRelH>
                  <wp14:sizeRelV relativeFrom="page">
                    <wp14:pctHeight>0</wp14:pctHeight>
                  </wp14:sizeRelV>
                </wp:anchor>
              </w:drawing>
            </w:r>
            <w:r w:rsidR="009B2371" w:rsidRPr="00E11D92">
              <w:rPr>
                <w:rFonts w:ascii="DIN OT Medium" w:eastAsiaTheme="majorEastAsia" w:hAnsi="DIN OT Medium" w:cstheme="majorBidi"/>
                <w:color w:val="FFFFFF" w:themeColor="background1"/>
              </w:rPr>
              <w:t>Competition</w:t>
            </w:r>
          </w:p>
        </w:tc>
        <w:tc>
          <w:tcPr>
            <w:tcW w:w="7371" w:type="dxa"/>
            <w:gridSpan w:val="2"/>
          </w:tcPr>
          <w:p w14:paraId="53C8FAAE" w14:textId="412159D5" w:rsidR="009B2371" w:rsidRPr="00445AAD" w:rsidRDefault="0071429F" w:rsidP="00445AAD">
            <w:r w:rsidRPr="00225D1D">
              <w:rPr>
                <w:b/>
              </w:rPr>
              <w:t>Slightly r</w:t>
            </w:r>
            <w:r w:rsidR="009B2371" w:rsidRPr="00225D1D">
              <w:rPr>
                <w:b/>
              </w:rPr>
              <w:t>educed</w:t>
            </w:r>
            <w:r w:rsidR="009B2371" w:rsidRPr="00E11D92">
              <w:t xml:space="preserve">: </w:t>
            </w:r>
            <w:r w:rsidR="00341E9C">
              <w:t xml:space="preserve">The revisions concerning offshore reinsurers may slightly reduce competition within the reinsurance market. </w:t>
            </w:r>
            <w:r w:rsidR="00550ED7" w:rsidRPr="00BE442E">
              <w:t xml:space="preserve">The </w:t>
            </w:r>
            <w:r w:rsidR="00550ED7" w:rsidRPr="00E71478">
              <w:t>proposals aim to ensure the use of offshore reinsurers is capped within reasonable prudent limits</w:t>
            </w:r>
            <w:r w:rsidR="00550ED7" w:rsidRPr="00445AAD">
              <w:t xml:space="preserve">. </w:t>
            </w:r>
            <w:r w:rsidR="00550ED7" w:rsidRPr="0095510F">
              <w:t>This will</w:t>
            </w:r>
            <w:r w:rsidR="00550ED7" w:rsidRPr="00432288">
              <w:t xml:space="preserve"> help to</w:t>
            </w:r>
            <w:r w:rsidR="00550ED7" w:rsidRPr="00BE442E">
              <w:t xml:space="preserve"> ensure that </w:t>
            </w:r>
            <w:r w:rsidR="00550ED7" w:rsidRPr="00E71478">
              <w:t>prudential risks are mitigate</w:t>
            </w:r>
            <w:r w:rsidR="00445AAD">
              <w:t>d</w:t>
            </w:r>
            <w:r w:rsidR="00550ED7" w:rsidRPr="00445AAD">
              <w:t xml:space="preserve"> while benefits brought by of</w:t>
            </w:r>
            <w:r w:rsidR="00550ED7" w:rsidRPr="0095510F">
              <w:t xml:space="preserve">fshore reinsurers are still </w:t>
            </w:r>
            <w:r w:rsidR="00445AAD" w:rsidRPr="00432288">
              <w:t>rea</w:t>
            </w:r>
            <w:r w:rsidR="00445AAD">
              <w:t>lised.</w:t>
            </w:r>
          </w:p>
        </w:tc>
      </w:tr>
      <w:tr w:rsidR="009B2371" w:rsidRPr="00E11D92" w14:paraId="1A6B28AE" w14:textId="77777777" w:rsidTr="00577BF0">
        <w:trPr>
          <w:trHeight w:val="1179"/>
        </w:trPr>
        <w:tc>
          <w:tcPr>
            <w:tcW w:w="1560" w:type="dxa"/>
            <w:shd w:val="clear" w:color="auto" w:fill="00A9E0"/>
          </w:tcPr>
          <w:p w14:paraId="74A3A14E" w14:textId="0EBDC6F6" w:rsidR="009B2371" w:rsidRPr="00E11D92" w:rsidRDefault="00E85FA8">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4" behindDoc="1" locked="0" layoutInCell="1" allowOverlap="1" wp14:anchorId="0E9612C9" wp14:editId="4735EFAE">
                  <wp:simplePos x="0" y="0"/>
                  <wp:positionH relativeFrom="column">
                    <wp:posOffset>71120</wp:posOffset>
                  </wp:positionH>
                  <wp:positionV relativeFrom="paragraph">
                    <wp:posOffset>389890</wp:posOffset>
                  </wp:positionV>
                  <wp:extent cx="628015" cy="274320"/>
                  <wp:effectExtent l="0" t="0" r="635" b="0"/>
                  <wp:wrapTight wrapText="bothSides">
                    <wp:wrapPolygon edited="0">
                      <wp:start x="2621" y="0"/>
                      <wp:lineTo x="0" y="7500"/>
                      <wp:lineTo x="0" y="12000"/>
                      <wp:lineTo x="2621" y="19500"/>
                      <wp:lineTo x="18346" y="19500"/>
                      <wp:lineTo x="20967" y="12000"/>
                      <wp:lineTo x="20967" y="7500"/>
                      <wp:lineTo x="18346" y="0"/>
                      <wp:lineTo x="2621"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274320"/>
                          </a:xfrm>
                          <a:prstGeom prst="rect">
                            <a:avLst/>
                          </a:prstGeom>
                          <a:noFill/>
                        </pic:spPr>
                      </pic:pic>
                    </a:graphicData>
                  </a:graphic>
                </wp:anchor>
              </w:drawing>
            </w:r>
            <w:r w:rsidR="009B2371" w:rsidRPr="00E11D92">
              <w:rPr>
                <w:rFonts w:ascii="DIN OT Medium" w:eastAsiaTheme="majorEastAsia" w:hAnsi="DIN OT Medium" w:cstheme="majorBidi"/>
                <w:color w:val="FFFFFF" w:themeColor="background1"/>
              </w:rPr>
              <w:t>Contestability</w:t>
            </w:r>
          </w:p>
        </w:tc>
        <w:tc>
          <w:tcPr>
            <w:tcW w:w="7371" w:type="dxa"/>
            <w:gridSpan w:val="2"/>
          </w:tcPr>
          <w:p w14:paraId="447011E4" w14:textId="306CA285" w:rsidR="009B2371" w:rsidRPr="00E11D92" w:rsidRDefault="009B2371" w:rsidP="00EA1467">
            <w:r w:rsidRPr="00225D1D">
              <w:rPr>
                <w:b/>
              </w:rPr>
              <w:t>No change</w:t>
            </w:r>
            <w:r w:rsidRPr="00E11D92">
              <w:t xml:space="preserve">: </w:t>
            </w:r>
            <w:r w:rsidR="00402CF4">
              <w:t>The proposed revisions do not alter contestability in the market</w:t>
            </w:r>
            <w:r w:rsidR="00642CDE">
              <w:t>,</w:t>
            </w:r>
            <w:r w:rsidR="003B0A4F">
              <w:t xml:space="preserve"> as they do not affect the ability of new entrants to enter the market by </w:t>
            </w:r>
            <w:r w:rsidR="003B0A4F" w:rsidRPr="00807CFC">
              <w:t xml:space="preserve">establishing an Australian </w:t>
            </w:r>
            <w:r w:rsidR="003B0A4F">
              <w:t xml:space="preserve">life insurance </w:t>
            </w:r>
            <w:r w:rsidR="003B0A4F" w:rsidRPr="00807CFC">
              <w:t>subsidiary</w:t>
            </w:r>
            <w:r w:rsidR="003B0A4F">
              <w:t xml:space="preserve">. </w:t>
            </w:r>
            <w:r w:rsidR="00402CF4">
              <w:t xml:space="preserve"> </w:t>
            </w:r>
          </w:p>
        </w:tc>
      </w:tr>
      <w:tr w:rsidR="009B2371" w:rsidRPr="00E11D92" w14:paraId="485D278B" w14:textId="77777777" w:rsidTr="00577BF0">
        <w:trPr>
          <w:trHeight w:val="1134"/>
        </w:trPr>
        <w:tc>
          <w:tcPr>
            <w:tcW w:w="1560" w:type="dxa"/>
            <w:shd w:val="clear" w:color="auto" w:fill="00A9E0"/>
          </w:tcPr>
          <w:p w14:paraId="1C044E51" w14:textId="38164636" w:rsidR="009B2371" w:rsidRPr="00E11D92" w:rsidRDefault="00E85FA8" w:rsidP="00EA1467">
            <w:pPr>
              <w:keepNext/>
              <w:keepLines/>
              <w:numPr>
                <w:ilvl w:val="0"/>
                <w:numId w:val="0"/>
              </w:numPr>
              <w:spacing w:before="240"/>
              <w:jc w:val="center"/>
              <w:outlineLvl w:val="4"/>
              <w:rPr>
                <w:rFonts w:ascii="DIN OT Medium" w:eastAsiaTheme="majorEastAsia" w:hAnsi="DIN OT Medium" w:cstheme="majorBidi"/>
                <w:color w:val="FFFFFF" w:themeColor="background1"/>
              </w:rPr>
            </w:pPr>
            <w:r w:rsidRPr="00E11D92">
              <w:rPr>
                <w:rFonts w:ascii="DIN OT Medium" w:eastAsiaTheme="majorEastAsia" w:hAnsi="DIN OT Medium" w:cstheme="majorBidi"/>
                <w:noProof/>
                <w:color w:val="FFFFFF" w:themeColor="background1"/>
                <w:lang w:eastAsia="en-AU"/>
              </w:rPr>
              <w:drawing>
                <wp:anchor distT="0" distB="0" distL="114300" distR="114300" simplePos="0" relativeHeight="251658240" behindDoc="1" locked="0" layoutInCell="1" allowOverlap="1" wp14:anchorId="05090282" wp14:editId="3B7A2496">
                  <wp:simplePos x="0" y="0"/>
                  <wp:positionH relativeFrom="column">
                    <wp:posOffset>42545</wp:posOffset>
                  </wp:positionH>
                  <wp:positionV relativeFrom="paragraph">
                    <wp:posOffset>530860</wp:posOffset>
                  </wp:positionV>
                  <wp:extent cx="628015" cy="274320"/>
                  <wp:effectExtent l="0" t="0" r="635" b="0"/>
                  <wp:wrapTight wrapText="bothSides">
                    <wp:wrapPolygon edited="0">
                      <wp:start x="2621" y="0"/>
                      <wp:lineTo x="0" y="7500"/>
                      <wp:lineTo x="0" y="12000"/>
                      <wp:lineTo x="2621" y="19500"/>
                      <wp:lineTo x="18346" y="19500"/>
                      <wp:lineTo x="20967" y="12000"/>
                      <wp:lineTo x="20967" y="7500"/>
                      <wp:lineTo x="18346" y="0"/>
                      <wp:lineTo x="262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015" cy="274320"/>
                          </a:xfrm>
                          <a:prstGeom prst="rect">
                            <a:avLst/>
                          </a:prstGeom>
                          <a:noFill/>
                        </pic:spPr>
                      </pic:pic>
                    </a:graphicData>
                  </a:graphic>
                </wp:anchor>
              </w:drawing>
            </w:r>
            <w:r w:rsidR="009B2371" w:rsidRPr="00E11D92">
              <w:rPr>
                <w:rFonts w:ascii="DIN OT Medium" w:eastAsiaTheme="majorEastAsia" w:hAnsi="DIN OT Medium" w:cstheme="majorBidi"/>
                <w:color w:val="FFFFFF" w:themeColor="background1"/>
              </w:rPr>
              <w:t>Competitive Neutrality</w:t>
            </w:r>
          </w:p>
          <w:p w14:paraId="013E339D" w14:textId="77777777" w:rsidR="009B2371" w:rsidRPr="00E11D92" w:rsidRDefault="009B2371" w:rsidP="00346D30">
            <w:pPr>
              <w:keepNext/>
              <w:keepLines/>
              <w:numPr>
                <w:ilvl w:val="0"/>
                <w:numId w:val="0"/>
              </w:numPr>
              <w:spacing w:before="240"/>
              <w:jc w:val="center"/>
              <w:outlineLvl w:val="4"/>
              <w:rPr>
                <w:rFonts w:ascii="DIN OT Medium" w:eastAsiaTheme="majorEastAsia" w:hAnsi="DIN OT Medium" w:cstheme="majorBidi"/>
                <w:color w:val="FFFFFF" w:themeColor="background1"/>
              </w:rPr>
            </w:pPr>
          </w:p>
        </w:tc>
        <w:tc>
          <w:tcPr>
            <w:tcW w:w="7371" w:type="dxa"/>
            <w:gridSpan w:val="2"/>
          </w:tcPr>
          <w:p w14:paraId="4A4EB406" w14:textId="557CA96D" w:rsidR="009B2371" w:rsidRPr="00E11D92" w:rsidRDefault="009B2371" w:rsidP="00EA1467">
            <w:r w:rsidRPr="00225D1D">
              <w:rPr>
                <w:b/>
              </w:rPr>
              <w:t>No change</w:t>
            </w:r>
            <w:r w:rsidRPr="00E11D92">
              <w:t xml:space="preserve">: The revised standard does not create </w:t>
            </w:r>
            <w:r w:rsidR="00F60A26">
              <w:t xml:space="preserve">an </w:t>
            </w:r>
            <w:r w:rsidRPr="00E11D92">
              <w:t>advantage for public sector entities relative to other market participants.</w:t>
            </w:r>
          </w:p>
        </w:tc>
      </w:tr>
    </w:tbl>
    <w:p w14:paraId="4739B3A1" w14:textId="70154E89" w:rsidR="00A86CD3" w:rsidRDefault="00B935C1" w:rsidP="00A86CD3">
      <w:pPr>
        <w:pStyle w:val="Heading1Numbers"/>
      </w:pPr>
      <w:bookmarkStart w:id="13" w:name="_Toc64369340"/>
      <w:bookmarkStart w:id="14" w:name="_Toc64369341"/>
      <w:bookmarkStart w:id="15" w:name="_Toc64369342"/>
      <w:bookmarkStart w:id="16" w:name="_Toc64369343"/>
      <w:bookmarkStart w:id="17" w:name="_Toc64369344"/>
      <w:bookmarkStart w:id="18" w:name="_Toc34916178"/>
      <w:bookmarkStart w:id="19" w:name="_Toc34925659"/>
      <w:bookmarkStart w:id="20" w:name="_Toc68598680"/>
      <w:bookmarkEnd w:id="13"/>
      <w:bookmarkEnd w:id="14"/>
      <w:bookmarkEnd w:id="15"/>
      <w:bookmarkEnd w:id="16"/>
      <w:bookmarkEnd w:id="17"/>
      <w:r>
        <w:lastRenderedPageBreak/>
        <w:t>C</w:t>
      </w:r>
      <w:r w:rsidR="00A86CD3">
        <w:t>oncentration limits</w:t>
      </w:r>
      <w:r>
        <w:t xml:space="preserve"> for reinsurance assets</w:t>
      </w:r>
      <w:bookmarkEnd w:id="18"/>
      <w:bookmarkEnd w:id="19"/>
      <w:bookmarkEnd w:id="20"/>
    </w:p>
    <w:p w14:paraId="7743D7B0" w14:textId="404F0572" w:rsidR="00A86CD3" w:rsidRDefault="0049062D" w:rsidP="00920372">
      <w:r>
        <w:t>The Asset Risk Charge (</w:t>
      </w:r>
      <w:r w:rsidR="001E0515">
        <w:t>defined</w:t>
      </w:r>
      <w:r w:rsidR="001E0515" w:rsidRPr="00FF40A1">
        <w:t xml:space="preserve"> in</w:t>
      </w:r>
      <w:r w:rsidR="001E0515" w:rsidRPr="001E0515">
        <w:rPr>
          <w:i/>
        </w:rPr>
        <w:t xml:space="preserve"> </w:t>
      </w:r>
      <w:r w:rsidRPr="001E0515">
        <w:rPr>
          <w:i/>
        </w:rPr>
        <w:t xml:space="preserve">Prudential Standard LPS 114 </w:t>
      </w:r>
      <w:r w:rsidR="001E0515" w:rsidRPr="001E0515">
        <w:rPr>
          <w:i/>
        </w:rPr>
        <w:t xml:space="preserve">Capital Adequacy: </w:t>
      </w:r>
      <w:r w:rsidRPr="001E0515">
        <w:rPr>
          <w:i/>
        </w:rPr>
        <w:t>Asset Risk Charge</w:t>
      </w:r>
      <w:r>
        <w:t>) is calibrated for statutory funds whose investment</w:t>
      </w:r>
      <w:r w:rsidR="00F2090D">
        <w:t xml:space="preserve"> asset</w:t>
      </w:r>
      <w:r>
        <w:t xml:space="preserve">s </w:t>
      </w:r>
      <w:r w:rsidR="00F2090D">
        <w:t>and credit exposures</w:t>
      </w:r>
      <w:r>
        <w:t xml:space="preserve"> are well diversified. Additional capital is required if</w:t>
      </w:r>
      <w:r w:rsidR="00F2090D">
        <w:t xml:space="preserve"> a fund has</w:t>
      </w:r>
      <w:r>
        <w:t xml:space="preserve"> </w:t>
      </w:r>
      <w:r w:rsidR="00F2090D">
        <w:t>concentrated</w:t>
      </w:r>
      <w:r>
        <w:t xml:space="preserve"> </w:t>
      </w:r>
      <w:r w:rsidR="00F2090D">
        <w:t>exposures</w:t>
      </w:r>
      <w:r>
        <w:t xml:space="preserve">. The </w:t>
      </w:r>
      <w:r w:rsidR="00F37F09">
        <w:t>ACRC</w:t>
      </w:r>
      <w:r>
        <w:t xml:space="preserve"> is the amount by which </w:t>
      </w:r>
      <w:r w:rsidR="00F2090D">
        <w:t>investment assets</w:t>
      </w:r>
      <w:r>
        <w:t xml:space="preserve"> and credit exp</w:t>
      </w:r>
      <w:r w:rsidR="00920372">
        <w:t xml:space="preserve">osures exceed specified limits. </w:t>
      </w:r>
      <w:r w:rsidR="00876C67">
        <w:t xml:space="preserve">Changes in the life insurance market have prompted APRA to review </w:t>
      </w:r>
      <w:r w:rsidR="000C1FC5">
        <w:t xml:space="preserve">the </w:t>
      </w:r>
      <w:r w:rsidR="002808FD">
        <w:t>limits</w:t>
      </w:r>
      <w:r w:rsidR="009619CF">
        <w:t xml:space="preserve"> </w:t>
      </w:r>
      <w:r w:rsidR="002808FD">
        <w:t xml:space="preserve">relevant to reinsurance assets. </w:t>
      </w:r>
      <w:r w:rsidR="008E035A" w:rsidRPr="00A86CD3">
        <w:t>This chapter sets out APRA’s response to</w:t>
      </w:r>
      <w:r w:rsidR="008E035A">
        <w:t xml:space="preserve"> submissions on these proposed revisions.</w:t>
      </w:r>
    </w:p>
    <w:p w14:paraId="00B67D18" w14:textId="77777777" w:rsidR="00A86CD3" w:rsidRPr="00A86CD3" w:rsidRDefault="00A86CD3" w:rsidP="00A86CD3">
      <w:pPr>
        <w:pStyle w:val="Heading2Numbers"/>
      </w:pPr>
      <w:bookmarkStart w:id="21" w:name="_Toc14705993"/>
      <w:bookmarkStart w:id="22" w:name="_Toc14769831"/>
      <w:r w:rsidRPr="00A86CD3">
        <w:t>Exposures to offshore reinsurers</w:t>
      </w:r>
      <w:bookmarkEnd w:id="21"/>
      <w:bookmarkEnd w:id="22"/>
    </w:p>
    <w:p w14:paraId="73E9A276" w14:textId="3290B7DD" w:rsidR="00A86CD3" w:rsidRDefault="00C500EC" w:rsidP="00A86CD3">
      <w:r>
        <w:t xml:space="preserve">The March 2019 letter </w:t>
      </w:r>
      <w:r w:rsidR="00EA1467">
        <w:t>outlined</w:t>
      </w:r>
      <w:r w:rsidR="00A86CD3" w:rsidRPr="00A86CD3">
        <w:t xml:space="preserve"> APRA</w:t>
      </w:r>
      <w:r w:rsidR="00EA1467">
        <w:t>’s proposal to</w:t>
      </w:r>
      <w:r w:rsidR="00A86CD3" w:rsidRPr="00A86CD3">
        <w:t xml:space="preserve"> include a requirement for exposures to offshore reinsurers with a counterparty grade of 1, 2 or 3 </w:t>
      </w:r>
      <w:r w:rsidR="00642CDE">
        <w:t xml:space="preserve">to </w:t>
      </w:r>
      <w:r w:rsidR="00A86CD3" w:rsidRPr="00A86CD3">
        <w:t>be measured in aggregate</w:t>
      </w:r>
      <w:r w:rsidR="00EA1467">
        <w:t>.</w:t>
      </w:r>
      <w:r w:rsidR="00A86CD3" w:rsidRPr="00A86CD3">
        <w:t xml:space="preserve"> </w:t>
      </w:r>
      <w:r w:rsidR="00EA1467">
        <w:t>T</w:t>
      </w:r>
      <w:r w:rsidR="00A86CD3" w:rsidRPr="00A86CD3">
        <w:t xml:space="preserve">his aggregate exposure </w:t>
      </w:r>
      <w:r w:rsidR="00BC4AB7">
        <w:t xml:space="preserve">was proposed to </w:t>
      </w:r>
      <w:r w:rsidR="00A86CD3" w:rsidRPr="00A86CD3">
        <w:t>be subject to</w:t>
      </w:r>
      <w:r w:rsidR="00642CDE">
        <w:t xml:space="preserve"> a limit set as</w:t>
      </w:r>
      <w:r w:rsidR="00A86CD3" w:rsidRPr="00A86CD3">
        <w:t xml:space="preserve"> the greater of 5 per cent of</w:t>
      </w:r>
      <w:r w:rsidR="001868B3">
        <w:t xml:space="preserve"> the</w:t>
      </w:r>
      <w:r w:rsidR="00A86CD3" w:rsidRPr="00A86CD3">
        <w:t xml:space="preserve"> </w:t>
      </w:r>
      <w:r w:rsidR="001868B3">
        <w:t>value of the assets of the statutory fund (</w:t>
      </w:r>
      <w:r w:rsidR="00A86CD3" w:rsidRPr="00A86CD3">
        <w:t>VAF</w:t>
      </w:r>
      <w:r w:rsidR="001868B3">
        <w:t>)</w:t>
      </w:r>
      <w:r w:rsidR="00A86CD3" w:rsidRPr="00A86CD3">
        <w:t xml:space="preserve"> and 25 per cent of capital base, with a 2.5 per cent of VAF limit on individual offshore reinsurers. Aggregate exposures to offshore reins</w:t>
      </w:r>
      <w:r w:rsidR="00AE2623">
        <w:t xml:space="preserve">urers with a lower counterparty </w:t>
      </w:r>
      <w:r w:rsidR="00A86CD3" w:rsidRPr="00A86CD3">
        <w:t>grade would be subject to a limit half this size. The collective exposure to offshore reinsurers would also be subject to a 5 per cent of VAF limit.</w:t>
      </w:r>
    </w:p>
    <w:p w14:paraId="650A712B" w14:textId="77777777" w:rsidR="00A86CD3" w:rsidRPr="00A86CD3" w:rsidRDefault="00A86CD3" w:rsidP="00D62515">
      <w:pPr>
        <w:pStyle w:val="SubHeadingNoTOC"/>
      </w:pPr>
      <w:r w:rsidRPr="00A86CD3">
        <w:t>Comments received</w:t>
      </w:r>
    </w:p>
    <w:p w14:paraId="3BE01CEA" w14:textId="6944D18C" w:rsidR="00AE2623" w:rsidRPr="00C54448" w:rsidRDefault="007B39C2" w:rsidP="00AE2623">
      <w:r>
        <w:t xml:space="preserve">A number of submissions </w:t>
      </w:r>
      <w:r w:rsidR="00327B7C">
        <w:t>viewed</w:t>
      </w:r>
      <w:r w:rsidR="00B427E2">
        <w:t xml:space="preserve"> </w:t>
      </w:r>
      <w:r w:rsidR="00AE2623">
        <w:t xml:space="preserve">the </w:t>
      </w:r>
      <w:r w:rsidR="00B427E2">
        <w:t xml:space="preserve">aggregate and individual offshore reinsurer limits </w:t>
      </w:r>
      <w:r w:rsidR="0071278D">
        <w:t>a</w:t>
      </w:r>
      <w:r w:rsidR="00327B7C">
        <w:t>s</w:t>
      </w:r>
      <w:r w:rsidR="00B427E2">
        <w:t xml:space="preserve"> too restricti</w:t>
      </w:r>
      <w:r w:rsidR="0071278D">
        <w:t>ve</w:t>
      </w:r>
      <w:r w:rsidR="00AA5895">
        <w:t xml:space="preserve">. </w:t>
      </w:r>
      <w:r w:rsidR="00CF0F2E">
        <w:t xml:space="preserve">Respondents </w:t>
      </w:r>
      <w:r w:rsidR="009D2F12">
        <w:t>highlighted possible</w:t>
      </w:r>
      <w:r w:rsidR="00CF0F2E">
        <w:t xml:space="preserve"> </w:t>
      </w:r>
      <w:r w:rsidR="00E94A67">
        <w:t xml:space="preserve">negative impacts </w:t>
      </w:r>
      <w:r w:rsidR="00AC76DB">
        <w:t>to policyholders</w:t>
      </w:r>
      <w:r w:rsidR="00F12041">
        <w:t>, particularly in circumstance</w:t>
      </w:r>
      <w:r w:rsidR="007654C9">
        <w:t>s</w:t>
      </w:r>
      <w:r w:rsidR="00F12041">
        <w:t xml:space="preserve"> where there is a contraction in local reinsurance capacity</w:t>
      </w:r>
      <w:r w:rsidR="00AC76DB">
        <w:t xml:space="preserve">. </w:t>
      </w:r>
    </w:p>
    <w:p w14:paraId="44093060" w14:textId="1027DD80" w:rsidR="00CF0F2E" w:rsidRDefault="00C54448" w:rsidP="00550BF7">
      <w:r>
        <w:t>One</w:t>
      </w:r>
      <w:r w:rsidR="005E41AF">
        <w:t xml:space="preserve"> respondent</w:t>
      </w:r>
      <w:r w:rsidR="00AC76DB" w:rsidDel="00063A79">
        <w:t xml:space="preserve"> </w:t>
      </w:r>
      <w:r w:rsidR="00063A79">
        <w:t xml:space="preserve">stated </w:t>
      </w:r>
      <w:r w:rsidR="00AC76DB">
        <w:t xml:space="preserve">that </w:t>
      </w:r>
      <w:r w:rsidR="007654C9">
        <w:t xml:space="preserve">the proposals </w:t>
      </w:r>
      <w:r w:rsidR="00336151">
        <w:t>discourage</w:t>
      </w:r>
      <w:r w:rsidR="00D65140">
        <w:t xml:space="preserve"> risk sharing across borders which could in</w:t>
      </w:r>
      <w:r w:rsidR="009D2F12">
        <w:t xml:space="preserve"> </w:t>
      </w:r>
      <w:r w:rsidR="00D65140">
        <w:t>t</w:t>
      </w:r>
      <w:r w:rsidR="009D2F12">
        <w:t>u</w:t>
      </w:r>
      <w:r w:rsidR="00D65140">
        <w:t xml:space="preserve">rn intensify the impacts from a shock to the Australian market. </w:t>
      </w:r>
      <w:r w:rsidR="009F2C09">
        <w:t>S</w:t>
      </w:r>
      <w:r w:rsidR="00EB4B49">
        <w:t>ome respondents indicat</w:t>
      </w:r>
      <w:r w:rsidR="00540957">
        <w:t xml:space="preserve">ed </w:t>
      </w:r>
      <w:r w:rsidR="00EB4B49">
        <w:t xml:space="preserve">that the proposals may not </w:t>
      </w:r>
      <w:r w:rsidR="00A9376C">
        <w:t xml:space="preserve">always </w:t>
      </w:r>
      <w:r w:rsidR="00EB4B49">
        <w:t>be sufficient to allow</w:t>
      </w:r>
      <w:r w:rsidR="00336151">
        <w:t xml:space="preserve"> </w:t>
      </w:r>
      <w:r w:rsidR="00A9376C">
        <w:t xml:space="preserve">full </w:t>
      </w:r>
      <w:r w:rsidR="00336151">
        <w:t>capital relief for</w:t>
      </w:r>
      <w:r w:rsidR="00EB4B49">
        <w:t xml:space="preserve"> reinsurance of </w:t>
      </w:r>
      <w:r w:rsidR="0071278D">
        <w:t>catastrophe and pandemic risk</w:t>
      </w:r>
      <w:r w:rsidR="00AA5895">
        <w:t xml:space="preserve">. </w:t>
      </w:r>
    </w:p>
    <w:p w14:paraId="2FE329BA" w14:textId="7EDA0A10" w:rsidR="00AA5895" w:rsidRDefault="00327B7C" w:rsidP="007654C9">
      <w:r>
        <w:t>However</w:t>
      </w:r>
      <w:r w:rsidR="00AA5895">
        <w:t xml:space="preserve">, a number of respondents supported the introduction of the aggregate limit. Some submissions </w:t>
      </w:r>
      <w:r>
        <w:t>took</w:t>
      </w:r>
      <w:r w:rsidR="00AA5895">
        <w:t xml:space="preserve"> a more conservative stance</w:t>
      </w:r>
      <w:r w:rsidR="007654C9">
        <w:t xml:space="preserve"> than APRA’s propo</w:t>
      </w:r>
      <w:r w:rsidR="00540957">
        <w:t>sed option</w:t>
      </w:r>
      <w:r w:rsidR="007C577F">
        <w:t>,</w:t>
      </w:r>
      <w:r w:rsidR="00AA5895">
        <w:t xml:space="preserve"> </w:t>
      </w:r>
      <w:r w:rsidR="007654C9">
        <w:t>questioning</w:t>
      </w:r>
      <w:r w:rsidR="00CF0F2E">
        <w:t xml:space="preserve"> whether </w:t>
      </w:r>
      <w:r w:rsidR="00BC7B81">
        <w:t xml:space="preserve">non-APRA </w:t>
      </w:r>
      <w:r w:rsidR="00CF0F2E">
        <w:t>regulated entities should provide any capital relief for ins</w:t>
      </w:r>
      <w:r w:rsidR="007654C9">
        <w:t>urers that reinsure</w:t>
      </w:r>
      <w:r w:rsidR="00D65140">
        <w:t xml:space="preserve"> with them. One submission </w:t>
      </w:r>
      <w:r w:rsidR="00CD10B8">
        <w:t xml:space="preserve">recommended that the proposal be structured </w:t>
      </w:r>
      <w:r w:rsidR="00E741E2">
        <w:t>to not allow</w:t>
      </w:r>
      <w:r w:rsidR="00B1325E">
        <w:t xml:space="preserve"> insurer</w:t>
      </w:r>
      <w:r w:rsidR="00E741E2">
        <w:t>s</w:t>
      </w:r>
      <w:r w:rsidR="00B1325E">
        <w:t xml:space="preserve"> to have an exposure to </w:t>
      </w:r>
      <w:r w:rsidR="00E741E2">
        <w:t xml:space="preserve">an </w:t>
      </w:r>
      <w:r w:rsidR="00B1325E">
        <w:t>offshore reinsurer above the new limit by m</w:t>
      </w:r>
      <w:r w:rsidR="005E41AF">
        <w:t>anaging the exposure with</w:t>
      </w:r>
      <w:r w:rsidR="00B1325E">
        <w:t xml:space="preserve"> collateral. </w:t>
      </w:r>
    </w:p>
    <w:p w14:paraId="28B72EF8" w14:textId="77777777" w:rsidR="00A86CD3" w:rsidRPr="00A86CD3" w:rsidRDefault="00A86CD3" w:rsidP="00D62515">
      <w:pPr>
        <w:pStyle w:val="SubHeadingNoTOC"/>
      </w:pPr>
      <w:r w:rsidRPr="00A86CD3">
        <w:t>APRA’s response</w:t>
      </w:r>
    </w:p>
    <w:p w14:paraId="41D531CE" w14:textId="4118564E" w:rsidR="00AD76CE" w:rsidRDefault="00AE2623" w:rsidP="00AD76CE">
      <w:r>
        <w:t xml:space="preserve">Having considered </w:t>
      </w:r>
      <w:r w:rsidR="00AD76CE" w:rsidRPr="00AD76CE">
        <w:t xml:space="preserve">stakeholder feedback, </w:t>
      </w:r>
      <w:r w:rsidR="009501BF">
        <w:t xml:space="preserve">APRA has </w:t>
      </w:r>
      <w:r w:rsidR="00E737D0">
        <w:t xml:space="preserve">increased </w:t>
      </w:r>
      <w:r w:rsidR="009501BF">
        <w:t>its propos</w:t>
      </w:r>
      <w:r w:rsidR="00E737D0">
        <w:t xml:space="preserve">ed limits </w:t>
      </w:r>
      <w:r w:rsidR="00AD76CE" w:rsidRPr="00AD76CE">
        <w:t xml:space="preserve">to </w:t>
      </w:r>
      <w:r w:rsidR="009501BF">
        <w:t>provide</w:t>
      </w:r>
      <w:r w:rsidR="00AD76CE" w:rsidRPr="00AD76CE">
        <w:t xml:space="preserve"> additional flexibility while still ensuring the majority of reinsurance arrangements remain with APRA-authorised reinsurers. </w:t>
      </w:r>
    </w:p>
    <w:p w14:paraId="1A25C3D4" w14:textId="72C8ECA2" w:rsidR="00AD76CE" w:rsidRPr="0046234D" w:rsidRDefault="009B29A7" w:rsidP="00AD76CE">
      <w:r w:rsidRPr="0046234D">
        <w:t xml:space="preserve">APRA </w:t>
      </w:r>
      <w:r w:rsidR="00AD76CE" w:rsidRPr="0046234D">
        <w:t>is proposing to refine the approach to:</w:t>
      </w:r>
    </w:p>
    <w:p w14:paraId="35D649DF" w14:textId="4ED2FC30" w:rsidR="00AD76CE" w:rsidRPr="0046234D" w:rsidRDefault="00AD76CE" w:rsidP="00AD76CE">
      <w:pPr>
        <w:pStyle w:val="ListBullet"/>
      </w:pPr>
      <w:r w:rsidRPr="0046234D">
        <w:lastRenderedPageBreak/>
        <w:t>i</w:t>
      </w:r>
      <w:r w:rsidR="00522385" w:rsidRPr="0046234D">
        <w:t>ntroduce a 1</w:t>
      </w:r>
      <w:r w:rsidR="004B0A9D">
        <w:t>2.5</w:t>
      </w:r>
      <w:r w:rsidR="00522385" w:rsidRPr="0046234D">
        <w:t xml:space="preserve"> per cent</w:t>
      </w:r>
      <w:r w:rsidRPr="0046234D">
        <w:t xml:space="preserve"> </w:t>
      </w:r>
      <w:r w:rsidR="00BC52E8">
        <w:t xml:space="preserve">of VAF </w:t>
      </w:r>
      <w:r w:rsidRPr="0046234D">
        <w:t>aggregate limit for offshore re</w:t>
      </w:r>
      <w:r w:rsidR="00540957" w:rsidRPr="0046234D">
        <w:t>insurers</w:t>
      </w:r>
      <w:r w:rsidR="00230481">
        <w:t xml:space="preserve"> (rather than 5 per cent, as initially proposed)</w:t>
      </w:r>
      <w:r w:rsidRPr="0046234D">
        <w:t xml:space="preserve">; and </w:t>
      </w:r>
    </w:p>
    <w:p w14:paraId="1691BB6F" w14:textId="283B25DD" w:rsidR="00A86CD3" w:rsidRPr="0046234D" w:rsidRDefault="00522385" w:rsidP="009B29A7">
      <w:pPr>
        <w:pStyle w:val="ListBullet"/>
      </w:pPr>
      <w:r w:rsidRPr="0046234D">
        <w:t xml:space="preserve">maintain the existing </w:t>
      </w:r>
      <w:r w:rsidR="00B702D5">
        <w:t xml:space="preserve">individual offshore reinsurer limits of </w:t>
      </w:r>
      <w:r w:rsidRPr="0046234D">
        <w:t>5 per cent</w:t>
      </w:r>
      <w:r w:rsidR="00AD76CE" w:rsidRPr="0046234D">
        <w:t xml:space="preserve"> </w:t>
      </w:r>
      <w:r w:rsidR="00BC52E8">
        <w:t xml:space="preserve">of VAF </w:t>
      </w:r>
      <w:r w:rsidR="00AD76CE" w:rsidRPr="0046234D">
        <w:t xml:space="preserve">for </w:t>
      </w:r>
      <w:r w:rsidR="00B702D5">
        <w:t xml:space="preserve">counterparties with </w:t>
      </w:r>
      <w:r w:rsidR="009A28D9">
        <w:t>counterparty grade 1, 2 or 3</w:t>
      </w:r>
      <w:r w:rsidR="006D2004">
        <w:t>,</w:t>
      </w:r>
      <w:r w:rsidR="009A28D9">
        <w:t xml:space="preserve"> </w:t>
      </w:r>
      <w:r w:rsidRPr="0046234D">
        <w:t>and 2.5 per cent</w:t>
      </w:r>
      <w:r w:rsidR="00BC52E8">
        <w:t xml:space="preserve"> of VAF</w:t>
      </w:r>
      <w:r w:rsidR="00AD76CE" w:rsidRPr="0046234D">
        <w:t xml:space="preserve"> for lower </w:t>
      </w:r>
      <w:r w:rsidR="0001579F" w:rsidRPr="0046234D">
        <w:t xml:space="preserve">grade </w:t>
      </w:r>
      <w:r w:rsidR="00AD76CE" w:rsidRPr="0046234D">
        <w:t>counterparties</w:t>
      </w:r>
      <w:r w:rsidR="00230481">
        <w:t xml:space="preserve"> (rather than reducing </w:t>
      </w:r>
      <w:r w:rsidR="00A23F77">
        <w:t xml:space="preserve">the </w:t>
      </w:r>
      <w:r w:rsidR="00B7477B">
        <w:t xml:space="preserve">individual </w:t>
      </w:r>
      <w:r w:rsidR="00A23F77">
        <w:t xml:space="preserve">limit for all offshore reinsurers </w:t>
      </w:r>
      <w:r w:rsidR="00230481">
        <w:t>to 2.5 per cent, as initially proposed)</w:t>
      </w:r>
      <w:r w:rsidR="008B1FFF">
        <w:t>.</w:t>
      </w:r>
    </w:p>
    <w:p w14:paraId="68A33988" w14:textId="4BDD954F" w:rsidR="00060FB6" w:rsidRDefault="00C54448" w:rsidP="004F7011">
      <w:pPr>
        <w:pStyle w:val="ListBullet"/>
        <w:numPr>
          <w:ilvl w:val="0"/>
          <w:numId w:val="0"/>
        </w:numPr>
      </w:pPr>
      <w:r w:rsidRPr="000127D3">
        <w:t xml:space="preserve">The adjusted proposal allows APRA to maintain adequate oversight of the </w:t>
      </w:r>
      <w:r w:rsidR="00887F8E">
        <w:t xml:space="preserve">operation of the Australian </w:t>
      </w:r>
      <w:r w:rsidRPr="000127D3">
        <w:t>life insurance market</w:t>
      </w:r>
      <w:r w:rsidR="00887F8E">
        <w:t xml:space="preserve"> for the protection of policyholders</w:t>
      </w:r>
      <w:r w:rsidRPr="000127D3">
        <w:t xml:space="preserve">, while providing added flexibility for insurers to access </w:t>
      </w:r>
      <w:r w:rsidR="007C02D1">
        <w:t xml:space="preserve">offshore reinsurance within prudent limits. </w:t>
      </w:r>
    </w:p>
    <w:p w14:paraId="6FD054E8" w14:textId="77777777" w:rsidR="00A86CD3" w:rsidRPr="00A86CD3" w:rsidRDefault="00A86CD3" w:rsidP="00A86CD3">
      <w:pPr>
        <w:pStyle w:val="Heading2Numbers"/>
      </w:pPr>
      <w:bookmarkStart w:id="23" w:name="_Toc14705994"/>
      <w:bookmarkStart w:id="24" w:name="_Toc14769832"/>
      <w:r w:rsidRPr="00A86CD3">
        <w:t>Related party exposures</w:t>
      </w:r>
      <w:bookmarkEnd w:id="23"/>
      <w:bookmarkEnd w:id="24"/>
    </w:p>
    <w:p w14:paraId="26564257" w14:textId="72B84FD5" w:rsidR="00A86CD3" w:rsidRDefault="001323D2" w:rsidP="00A86CD3">
      <w:r>
        <w:t>I</w:t>
      </w:r>
      <w:r w:rsidR="00C178DC">
        <w:t>n t</w:t>
      </w:r>
      <w:r w:rsidR="00A86CD3" w:rsidRPr="00A86CD3">
        <w:t>he March 2019 letter</w:t>
      </w:r>
      <w:r w:rsidR="00BA31D9">
        <w:t>,</w:t>
      </w:r>
      <w:r w:rsidR="00A86CD3" w:rsidRPr="00A86CD3">
        <w:t xml:space="preserve"> a 12.5 per cent of VAF </w:t>
      </w:r>
      <w:r w:rsidR="00540957">
        <w:t xml:space="preserve">limit </w:t>
      </w:r>
      <w:r w:rsidR="00A86CD3" w:rsidRPr="00A86CD3">
        <w:t>for exposures arising from reinsurance arrangement</w:t>
      </w:r>
      <w:r w:rsidR="00972A83">
        <w:t>s</w:t>
      </w:r>
      <w:r w:rsidR="00A86CD3" w:rsidRPr="00A86CD3">
        <w:t xml:space="preserve"> between a life company and a</w:t>
      </w:r>
      <w:r w:rsidR="000E7AEC">
        <w:t>n offshore</w:t>
      </w:r>
      <w:r w:rsidR="00A86CD3" w:rsidRPr="00A86CD3">
        <w:t xml:space="preserve"> related party</w:t>
      </w:r>
      <w:r>
        <w:t xml:space="preserve"> was proposed</w:t>
      </w:r>
      <w:r w:rsidR="00A86CD3" w:rsidRPr="00A86CD3">
        <w:t>. Access to this higher limit</w:t>
      </w:r>
      <w:r w:rsidR="00CB494C">
        <w:t xml:space="preserve">, compared to </w:t>
      </w:r>
      <w:r w:rsidR="00D65BEF">
        <w:t>the</w:t>
      </w:r>
      <w:r w:rsidR="00CB494C">
        <w:t xml:space="preserve"> </w:t>
      </w:r>
      <w:r w:rsidR="00CD4E1F">
        <w:t>lower</w:t>
      </w:r>
      <w:r w:rsidR="003458FF">
        <w:t xml:space="preserve"> </w:t>
      </w:r>
      <w:r w:rsidR="00CB494C">
        <w:t>limit</w:t>
      </w:r>
      <w:r w:rsidR="00AD4D84">
        <w:t xml:space="preserve"> for </w:t>
      </w:r>
      <w:r w:rsidR="003458FF">
        <w:t>other (</w:t>
      </w:r>
      <w:r w:rsidR="00AD4D84">
        <w:t>unrelated</w:t>
      </w:r>
      <w:r w:rsidR="003458FF">
        <w:t>) individual</w:t>
      </w:r>
      <w:r w:rsidR="00AD4D84">
        <w:t xml:space="preserve"> </w:t>
      </w:r>
      <w:r w:rsidR="00D65BEF">
        <w:t>offshore exposures</w:t>
      </w:r>
      <w:r w:rsidR="003458FF">
        <w:t xml:space="preserve"> outlined above</w:t>
      </w:r>
      <w:r w:rsidR="00CB494C">
        <w:t>,</w:t>
      </w:r>
      <w:r w:rsidR="00A86CD3" w:rsidRPr="00A86CD3">
        <w:t xml:space="preserve"> would be </w:t>
      </w:r>
      <w:r w:rsidR="00B175E5">
        <w:t xml:space="preserve">subject to an </w:t>
      </w:r>
      <w:r w:rsidR="003458FF">
        <w:t xml:space="preserve">APRA </w:t>
      </w:r>
      <w:r w:rsidR="00B175E5">
        <w:t>approval process.</w:t>
      </w:r>
    </w:p>
    <w:p w14:paraId="17F91C2C" w14:textId="7D1238E2" w:rsidR="0021175A" w:rsidRDefault="00FD3B52" w:rsidP="00A86CD3">
      <w:r>
        <w:t xml:space="preserve">This </w:t>
      </w:r>
      <w:r w:rsidR="00C178DC">
        <w:t>proposal was important</w:t>
      </w:r>
      <w:r w:rsidR="0021175A">
        <w:t xml:space="preserve"> in the context of a changing life insurance market. </w:t>
      </w:r>
      <w:r w:rsidR="006F0196">
        <w:t>M</w:t>
      </w:r>
      <w:r w:rsidR="001A6586">
        <w:t>ultiple acquisitions and mergers in the l</w:t>
      </w:r>
      <w:r w:rsidR="00972A83">
        <w:t>ife insurance industry which have</w:t>
      </w:r>
      <w:r w:rsidR="001A6586">
        <w:t xml:space="preserve"> shifted the </w:t>
      </w:r>
      <w:r w:rsidR="00972A83">
        <w:t xml:space="preserve">market </w:t>
      </w:r>
      <w:r w:rsidR="001A6586">
        <w:t>to being largely foreign owned</w:t>
      </w:r>
      <w:r w:rsidR="006F0196">
        <w:t>, with a consequent increase in exposures to offshore related parties</w:t>
      </w:r>
      <w:r w:rsidR="001A6586">
        <w:t xml:space="preserve">. </w:t>
      </w:r>
    </w:p>
    <w:p w14:paraId="563BD966" w14:textId="77777777" w:rsidR="00A86CD3" w:rsidRPr="00A86CD3" w:rsidRDefault="00A86CD3" w:rsidP="00D62515">
      <w:pPr>
        <w:pStyle w:val="SubHeadingNoTOC"/>
      </w:pPr>
      <w:r w:rsidRPr="00A86CD3">
        <w:t>Comments received</w:t>
      </w:r>
    </w:p>
    <w:p w14:paraId="3D731726" w14:textId="3DDEF9BE" w:rsidR="002677D3" w:rsidRDefault="006C1BA9" w:rsidP="00A86CD3">
      <w:r>
        <w:t>A number of</w:t>
      </w:r>
      <w:r w:rsidR="00443400">
        <w:t xml:space="preserve"> r</w:t>
      </w:r>
      <w:r w:rsidR="002677D3">
        <w:t>espondents</w:t>
      </w:r>
      <w:r w:rsidR="00443400">
        <w:t xml:space="preserve"> expressed general support</w:t>
      </w:r>
      <w:r w:rsidR="007654C9">
        <w:t>,</w:t>
      </w:r>
      <w:r w:rsidR="00443400">
        <w:t xml:space="preserve"> </w:t>
      </w:r>
      <w:r w:rsidR="007B0EA7">
        <w:t xml:space="preserve">seeing </w:t>
      </w:r>
      <w:r w:rsidR="00443400">
        <w:t xml:space="preserve">it as a tool to allow insurance groups to better manage overall risk exposures. </w:t>
      </w:r>
      <w:r>
        <w:t>Some submissions suggested a higher limit</w:t>
      </w:r>
      <w:r w:rsidR="001323D2">
        <w:t>.</w:t>
      </w:r>
      <w:r>
        <w:t xml:space="preserve"> </w:t>
      </w:r>
      <w:r w:rsidR="001323D2">
        <w:t>O</w:t>
      </w:r>
      <w:r w:rsidR="00443400">
        <w:t>ne</w:t>
      </w:r>
      <w:r w:rsidR="007B0EA7">
        <w:t xml:space="preserve"> submission</w:t>
      </w:r>
      <w:r w:rsidR="00443400">
        <w:t xml:space="preserve"> </w:t>
      </w:r>
      <w:r w:rsidR="001323D2">
        <w:t xml:space="preserve">recommended </w:t>
      </w:r>
      <w:r w:rsidR="00443400">
        <w:t xml:space="preserve">this new limit be increased to align with </w:t>
      </w:r>
      <w:r w:rsidR="00E93E65">
        <w:t xml:space="preserve">limits available to </w:t>
      </w:r>
      <w:r w:rsidR="00443400">
        <w:t xml:space="preserve">specialist </w:t>
      </w:r>
      <w:r w:rsidR="00E93E65">
        <w:t>reinsurers</w:t>
      </w:r>
      <w:r w:rsidR="00443400">
        <w:t xml:space="preserve"> (50 per cent of VAF)</w:t>
      </w:r>
      <w:r w:rsidR="003D409E">
        <w:t>.</w:t>
      </w:r>
    </w:p>
    <w:p w14:paraId="2DE25791" w14:textId="4ECD05C5" w:rsidR="00443400" w:rsidRDefault="006C1BA9" w:rsidP="00A86CD3">
      <w:r>
        <w:t xml:space="preserve">In contrast, a number of </w:t>
      </w:r>
      <w:r w:rsidR="000A4C3C">
        <w:t xml:space="preserve">respondents did not support </w:t>
      </w:r>
      <w:r w:rsidR="001323D2">
        <w:t>this proposal</w:t>
      </w:r>
      <w:r w:rsidR="000A4C3C">
        <w:t>.</w:t>
      </w:r>
      <w:r>
        <w:t xml:space="preserve"> Some submissions argued </w:t>
      </w:r>
      <w:r w:rsidR="00C31558">
        <w:t>it</w:t>
      </w:r>
      <w:r w:rsidR="009C5281">
        <w:t xml:space="preserve"> could lead to further exposure </w:t>
      </w:r>
      <w:r w:rsidR="00C31558">
        <w:t xml:space="preserve">to </w:t>
      </w:r>
      <w:r w:rsidR="009C5281">
        <w:t>and reliance on multinational entities</w:t>
      </w:r>
      <w:r w:rsidR="007654C9">
        <w:t>,</w:t>
      </w:r>
      <w:r w:rsidR="009C5281">
        <w:t xml:space="preserve"> </w:t>
      </w:r>
      <w:r w:rsidR="00C31558">
        <w:t xml:space="preserve">making </w:t>
      </w:r>
      <w:r w:rsidR="009C5281">
        <w:t>the Australian financial system</w:t>
      </w:r>
      <w:r w:rsidR="00C31558">
        <w:t xml:space="preserve"> more </w:t>
      </w:r>
      <w:r w:rsidR="009C5281">
        <w:t>vulnerab</w:t>
      </w:r>
      <w:r w:rsidR="00C31558">
        <w:t>le</w:t>
      </w:r>
      <w:r w:rsidR="009C5281">
        <w:t xml:space="preserve"> to global events</w:t>
      </w:r>
      <w:r w:rsidR="009F6EF0">
        <w:t xml:space="preserve">. </w:t>
      </w:r>
      <w:r w:rsidR="006858B7">
        <w:t>S</w:t>
      </w:r>
      <w:r w:rsidR="007B0EA7">
        <w:t>ome submissions suggested this proposal contradict</w:t>
      </w:r>
      <w:r w:rsidR="00BA31D9">
        <w:t>ed</w:t>
      </w:r>
      <w:r w:rsidR="007B0EA7">
        <w:t xml:space="preserve"> APRA’s offshore reinsurer proposals and highlighted the potential for </w:t>
      </w:r>
      <w:r w:rsidR="00C31558">
        <w:t>it</w:t>
      </w:r>
      <w:r w:rsidR="007B0EA7">
        <w:t xml:space="preserve"> to reduce the </w:t>
      </w:r>
      <w:r w:rsidR="00ED7EB5">
        <w:t xml:space="preserve">local </w:t>
      </w:r>
      <w:r w:rsidR="007B0EA7">
        <w:t>reinsurance market</w:t>
      </w:r>
      <w:r w:rsidR="00C31558">
        <w:t xml:space="preserve"> and</w:t>
      </w:r>
      <w:r w:rsidR="007B0EA7">
        <w:t xml:space="preserve"> destabilis</w:t>
      </w:r>
      <w:r w:rsidR="00C31558">
        <w:t>e</w:t>
      </w:r>
      <w:r w:rsidR="007B0EA7">
        <w:t xml:space="preserve"> </w:t>
      </w:r>
      <w:r w:rsidR="00C31558">
        <w:t xml:space="preserve">the market </w:t>
      </w:r>
      <w:r w:rsidR="007B0EA7">
        <w:t>in the long term.</w:t>
      </w:r>
    </w:p>
    <w:p w14:paraId="6C863F49" w14:textId="77777777" w:rsidR="00A86CD3" w:rsidRPr="00A86CD3" w:rsidRDefault="00A86CD3" w:rsidP="00D62515">
      <w:pPr>
        <w:pStyle w:val="SubHeadingNoTOC"/>
      </w:pPr>
      <w:r w:rsidRPr="00A86CD3">
        <w:t>APRA’s response</w:t>
      </w:r>
    </w:p>
    <w:p w14:paraId="614A869F" w14:textId="46B4AABB" w:rsidR="00CF623A" w:rsidRDefault="00842F48" w:rsidP="00F42B14">
      <w:r>
        <w:t>APRA is proposing to retain</w:t>
      </w:r>
      <w:r w:rsidR="00B9097F">
        <w:t xml:space="preserve"> the </w:t>
      </w:r>
      <w:r w:rsidR="00CE5CD8">
        <w:t xml:space="preserve">planned </w:t>
      </w:r>
      <w:r w:rsidR="00B9097F">
        <w:t xml:space="preserve">12.5 per cent of VAF </w:t>
      </w:r>
      <w:r w:rsidR="00723A83">
        <w:t xml:space="preserve">individual </w:t>
      </w:r>
      <w:r w:rsidR="00B9097F">
        <w:t>limit for offshore related parties</w:t>
      </w:r>
      <w:r w:rsidR="009279AF">
        <w:t xml:space="preserve"> (where approved by APRA)</w:t>
      </w:r>
      <w:r w:rsidR="007B4C5E">
        <w:t>. In response to feedback</w:t>
      </w:r>
      <w:r w:rsidR="00673414">
        <w:t>, APRA proposes</w:t>
      </w:r>
      <w:r w:rsidR="00350AD9">
        <w:t xml:space="preserve"> </w:t>
      </w:r>
      <w:r w:rsidR="007B4C5E">
        <w:t xml:space="preserve">that </w:t>
      </w:r>
      <w:r w:rsidR="00343494">
        <w:t>any</w:t>
      </w:r>
      <w:r w:rsidR="00B9097F">
        <w:t xml:space="preserve"> </w:t>
      </w:r>
      <w:r w:rsidR="00343494">
        <w:t xml:space="preserve">such </w:t>
      </w:r>
      <w:r w:rsidR="00EB121A">
        <w:t xml:space="preserve">related </w:t>
      </w:r>
      <w:r w:rsidR="00B9097F">
        <w:t>exposure</w:t>
      </w:r>
      <w:r w:rsidR="00343494">
        <w:t>s</w:t>
      </w:r>
      <w:r w:rsidR="00091DC8">
        <w:t xml:space="preserve"> </w:t>
      </w:r>
      <w:r w:rsidR="00EB121A">
        <w:t xml:space="preserve">should </w:t>
      </w:r>
      <w:r w:rsidR="00091DC8">
        <w:t>also</w:t>
      </w:r>
      <w:r w:rsidR="00343494">
        <w:t xml:space="preserve"> be</w:t>
      </w:r>
      <w:r w:rsidR="007B4C5E">
        <w:t xml:space="preserve"> </w:t>
      </w:r>
      <w:r w:rsidR="00343494">
        <w:t>counted</w:t>
      </w:r>
      <w:r w:rsidR="00B9097F">
        <w:t xml:space="preserve"> against the </w:t>
      </w:r>
      <w:r w:rsidR="00343494">
        <w:t>aggregate limit for offshore reinsurers.</w:t>
      </w:r>
      <w:r w:rsidR="00CF623A">
        <w:t xml:space="preserve"> </w:t>
      </w:r>
    </w:p>
    <w:p w14:paraId="49BA86A9" w14:textId="0BE7B89D" w:rsidR="00B8644D" w:rsidRDefault="00B22C44" w:rsidP="00BC0FF0">
      <w:r>
        <w:t>APRA’s view is that</w:t>
      </w:r>
      <w:r w:rsidR="00A61E75">
        <w:t xml:space="preserve"> this proposal </w:t>
      </w:r>
      <w:r w:rsidR="00C31558">
        <w:t xml:space="preserve">will </w:t>
      </w:r>
      <w:r>
        <w:t xml:space="preserve">not materially increase the Australian financial system’s vulnerability to global events. Any </w:t>
      </w:r>
      <w:r w:rsidR="00E0441D">
        <w:t>marginal</w:t>
      </w:r>
      <w:r>
        <w:t xml:space="preserve"> increase of this risk is</w:t>
      </w:r>
      <w:r w:rsidR="006858B7">
        <w:t xml:space="preserve"> </w:t>
      </w:r>
      <w:r>
        <w:t>outweighed by the benefits of the proposal.</w:t>
      </w:r>
    </w:p>
    <w:p w14:paraId="3E15FAEA" w14:textId="72E64D1E" w:rsidR="006858B7" w:rsidRPr="006858B7" w:rsidRDefault="00C27E7F" w:rsidP="0064327E">
      <w:r>
        <w:t>Respondents requested</w:t>
      </w:r>
      <w:r w:rsidR="003E14D5">
        <w:t xml:space="preserve"> further information on APRA’s decision to calibrate this limit at 12.5 per cent </w:t>
      </w:r>
      <w:r w:rsidR="00974F63">
        <w:t>of VAF</w:t>
      </w:r>
      <w:r w:rsidR="003E14D5">
        <w:t xml:space="preserve">. </w:t>
      </w:r>
      <w:r w:rsidR="00825930">
        <w:t xml:space="preserve">The </w:t>
      </w:r>
      <w:r w:rsidR="006766F2">
        <w:t xml:space="preserve">calibration </w:t>
      </w:r>
      <w:r w:rsidR="00825930">
        <w:t>of the limit was determined</w:t>
      </w:r>
      <w:r w:rsidR="00FA37D1">
        <w:t xml:space="preserve"> </w:t>
      </w:r>
      <w:r w:rsidR="0027572B">
        <w:t xml:space="preserve">using </w:t>
      </w:r>
      <w:r w:rsidR="00E0441D">
        <w:t xml:space="preserve">informed </w:t>
      </w:r>
      <w:r w:rsidR="008103D3">
        <w:t>judgement</w:t>
      </w:r>
      <w:r w:rsidR="0027572B">
        <w:t xml:space="preserve"> about </w:t>
      </w:r>
      <w:r w:rsidR="0027572B">
        <w:lastRenderedPageBreak/>
        <w:t xml:space="preserve">potential risks </w:t>
      </w:r>
      <w:r w:rsidR="008103D3">
        <w:t xml:space="preserve">that </w:t>
      </w:r>
      <w:r w:rsidR="0038537D">
        <w:t>could arise</w:t>
      </w:r>
      <w:r w:rsidR="0027572B">
        <w:t xml:space="preserve"> from exposure</w:t>
      </w:r>
      <w:r w:rsidR="002F7BDE">
        <w:t>s</w:t>
      </w:r>
      <w:r w:rsidR="00023B86">
        <w:t xml:space="preserve"> to different counterparties</w:t>
      </w:r>
      <w:r w:rsidR="002F7BDE">
        <w:t xml:space="preserve">. The limit was also set </w:t>
      </w:r>
      <w:r w:rsidR="00825930">
        <w:t xml:space="preserve">to be proportionate to </w:t>
      </w:r>
      <w:r w:rsidR="006766F2">
        <w:t xml:space="preserve">other </w:t>
      </w:r>
      <w:r w:rsidR="00FA37D1">
        <w:t xml:space="preserve">existing limits within </w:t>
      </w:r>
      <w:r w:rsidR="002F7BDE">
        <w:t>the standard</w:t>
      </w:r>
      <w:r w:rsidR="0027572B">
        <w:t>.</w:t>
      </w:r>
      <w:r w:rsidR="0038537D">
        <w:t xml:space="preserve"> </w:t>
      </w:r>
    </w:p>
    <w:p w14:paraId="4E606FEA" w14:textId="5F1B5CCF" w:rsidR="000A3FC5" w:rsidRDefault="001375C7" w:rsidP="00AB4E0E">
      <w:r>
        <w:t xml:space="preserve">It is not appropriate to </w:t>
      </w:r>
      <w:r w:rsidR="003103FE">
        <w:t>increase this limit so that it is in line with the limit for appropriate retrocessionaire</w:t>
      </w:r>
      <w:r w:rsidR="002F7BDE">
        <w:t>s</w:t>
      </w:r>
      <w:r w:rsidR="003103FE">
        <w:t xml:space="preserve"> (50 per cent</w:t>
      </w:r>
      <w:r w:rsidR="009A6625">
        <w:t xml:space="preserve"> of VAF</w:t>
      </w:r>
      <w:r w:rsidR="003103FE">
        <w:t>)</w:t>
      </w:r>
      <w:r w:rsidR="001B43A0">
        <w:t>. T</w:t>
      </w:r>
      <w:r w:rsidR="003103FE">
        <w:t>his high</w:t>
      </w:r>
      <w:r w:rsidR="00DA5170">
        <w:t>er</w:t>
      </w:r>
      <w:r w:rsidR="003103FE">
        <w:t xml:space="preserve"> limit is specific to business </w:t>
      </w:r>
      <w:r w:rsidR="008103D3">
        <w:t xml:space="preserve">that </w:t>
      </w:r>
      <w:r w:rsidR="003103FE">
        <w:t>is</w:t>
      </w:r>
      <w:r w:rsidR="008103D3">
        <w:t xml:space="preserve"> </w:t>
      </w:r>
      <w:r w:rsidR="003103FE">
        <w:t>retroceded</w:t>
      </w:r>
      <w:r w:rsidR="00923236">
        <w:t xml:space="preserve"> (not reinsured) by specialist </w:t>
      </w:r>
      <w:r w:rsidR="005F6783">
        <w:t xml:space="preserve">reinsurers </w:t>
      </w:r>
      <w:r w:rsidR="00923236">
        <w:t xml:space="preserve">to </w:t>
      </w:r>
      <w:r w:rsidR="005F6783">
        <w:t>an</w:t>
      </w:r>
      <w:r w:rsidR="00923236">
        <w:t xml:space="preserve"> appropriate retrocessionaire</w:t>
      </w:r>
      <w:r w:rsidR="003103FE">
        <w:t>.</w:t>
      </w:r>
      <w:r w:rsidR="00C01608">
        <w:t xml:space="preserve"> </w:t>
      </w:r>
      <w:r w:rsidR="000A3FC5">
        <w:t xml:space="preserve">The different nature of the </w:t>
      </w:r>
      <w:r w:rsidR="00285BB5">
        <w:t>arrangement</w:t>
      </w:r>
      <w:r w:rsidR="000A3FC5">
        <w:t xml:space="preserve"> means </w:t>
      </w:r>
      <w:r w:rsidR="00C14D3F">
        <w:t xml:space="preserve">that </w:t>
      </w:r>
      <w:r w:rsidR="000A3FC5">
        <w:t xml:space="preserve">different limits are </w:t>
      </w:r>
      <w:r w:rsidR="00FB6FEE">
        <w:t>appropriate</w:t>
      </w:r>
      <w:r w:rsidR="000A3FC5">
        <w:t>.</w:t>
      </w:r>
    </w:p>
    <w:p w14:paraId="4A254DB6" w14:textId="379F7AB2" w:rsidR="00B9440C" w:rsidRDefault="006C5249" w:rsidP="00B9440C">
      <w:r>
        <w:t xml:space="preserve">Submitters requested further guidance on </w:t>
      </w:r>
      <w:r w:rsidR="001375C7">
        <w:t>APRA’s</w:t>
      </w:r>
      <w:r w:rsidR="001648A5">
        <w:t xml:space="preserve"> </w:t>
      </w:r>
      <w:r w:rsidR="001375C7">
        <w:t>process for approving a related counterparty for access to this higher limit</w:t>
      </w:r>
      <w:r>
        <w:t xml:space="preserve">. </w:t>
      </w:r>
      <w:r w:rsidR="001648A5">
        <w:t xml:space="preserve">The process will be similar to that used to </w:t>
      </w:r>
      <w:r w:rsidR="004E4311">
        <w:t>assess</w:t>
      </w:r>
      <w:r w:rsidR="001648A5">
        <w:t xml:space="preserve"> the</w:t>
      </w:r>
      <w:r w:rsidR="001375C7">
        <w:t xml:space="preserve"> suitability of an </w:t>
      </w:r>
      <w:r w:rsidR="00D944CA">
        <w:t>appropriate</w:t>
      </w:r>
      <w:r w:rsidR="00D7350F">
        <w:t xml:space="preserve"> retrocessionaire</w:t>
      </w:r>
      <w:r w:rsidR="006C5DC3">
        <w:t xml:space="preserve">. </w:t>
      </w:r>
      <w:r w:rsidR="00754774">
        <w:t xml:space="preserve">The assessment will </w:t>
      </w:r>
      <w:r w:rsidR="00341E9C">
        <w:t>consider</w:t>
      </w:r>
      <w:r w:rsidR="00754774">
        <w:t xml:space="preserve"> a number of factors</w:t>
      </w:r>
      <w:r w:rsidR="004E4311">
        <w:t xml:space="preserve"> such as </w:t>
      </w:r>
      <w:r w:rsidR="00754774">
        <w:t xml:space="preserve">financial strength and prudential soundness, the </w:t>
      </w:r>
      <w:r w:rsidR="004E4311">
        <w:t xml:space="preserve">level of prudential supervision, group arrangements and also </w:t>
      </w:r>
      <w:r w:rsidR="00703C5D">
        <w:t xml:space="preserve">the nature of the relationship </w:t>
      </w:r>
      <w:r w:rsidR="004E4311">
        <w:t xml:space="preserve">between </w:t>
      </w:r>
      <w:r w:rsidR="00703C5D">
        <w:t>the APRA</w:t>
      </w:r>
      <w:r w:rsidR="007B4778">
        <w:t xml:space="preserve"> regulated entity and the related counterparty</w:t>
      </w:r>
      <w:r w:rsidR="004E4311">
        <w:t xml:space="preserve">. </w:t>
      </w:r>
    </w:p>
    <w:p w14:paraId="4CF0788E" w14:textId="7E9BF59D" w:rsidR="00703C5D" w:rsidRDefault="00CC7276" w:rsidP="00703C5D">
      <w:r>
        <w:rPr>
          <w:shd w:val="clear" w:color="auto" w:fill="FFFFFF"/>
        </w:rPr>
        <w:t xml:space="preserve">To improve risk sensitivity, </w:t>
      </w:r>
      <w:r w:rsidR="006C5249" w:rsidRPr="000C5B0A">
        <w:rPr>
          <w:shd w:val="clear" w:color="auto" w:fill="FFFFFF"/>
        </w:rPr>
        <w:t>APRA proposes that</w:t>
      </w:r>
      <w:r w:rsidR="00703C5D">
        <w:rPr>
          <w:shd w:val="clear" w:color="auto" w:fill="FFFFFF"/>
        </w:rPr>
        <w:t xml:space="preserve"> under</w:t>
      </w:r>
      <w:r w:rsidR="006C5249" w:rsidRPr="000C5B0A">
        <w:rPr>
          <w:shd w:val="clear" w:color="auto" w:fill="FFFFFF"/>
        </w:rPr>
        <w:t xml:space="preserve"> this new limit</w:t>
      </w:r>
      <w:r w:rsidR="00703C5D">
        <w:rPr>
          <w:shd w:val="clear" w:color="auto" w:fill="FFFFFF"/>
        </w:rPr>
        <w:t xml:space="preserve"> </w:t>
      </w:r>
      <w:r w:rsidR="00703C5D">
        <w:t>d</w:t>
      </w:r>
      <w:r w:rsidR="00703C5D" w:rsidRPr="00831A54">
        <w:t>owngrades would be treated in the same way as for appropriate retrocessionaires, with the limit scaled down over 2 years.</w:t>
      </w:r>
    </w:p>
    <w:p w14:paraId="3E8DDEE5" w14:textId="66964EE7" w:rsidR="000C5B0A" w:rsidRDefault="000C5B0A" w:rsidP="00225D1D">
      <w:pPr>
        <w:numPr>
          <w:ilvl w:val="0"/>
          <w:numId w:val="0"/>
        </w:numPr>
      </w:pPr>
      <w:r>
        <w:t xml:space="preserve">The draft standard uses ‘affiliated entity’ </w:t>
      </w:r>
      <w:r w:rsidR="00F76276">
        <w:t>when referring to this</w:t>
      </w:r>
      <w:r>
        <w:t xml:space="preserve"> limit.</w:t>
      </w:r>
    </w:p>
    <w:p w14:paraId="54BD95F4" w14:textId="56D1122B" w:rsidR="00604C57" w:rsidRDefault="00831A54" w:rsidP="00831A54">
      <w:pPr>
        <w:pStyle w:val="Heading2Numbers"/>
      </w:pPr>
      <w:r>
        <w:t xml:space="preserve">Other amendments </w:t>
      </w:r>
    </w:p>
    <w:p w14:paraId="5BF57E72" w14:textId="1D535D76" w:rsidR="0037404E" w:rsidRDefault="00831A54" w:rsidP="006C5249">
      <w:r w:rsidRPr="00831A54">
        <w:rPr>
          <w:shd w:val="clear" w:color="auto" w:fill="FFFFFF"/>
        </w:rPr>
        <w:t xml:space="preserve">APRA is proposing to improve risk sensitivity for the 25 per cent of VAF limit </w:t>
      </w:r>
      <w:r>
        <w:rPr>
          <w:shd w:val="clear" w:color="auto" w:fill="FFFFFF"/>
        </w:rPr>
        <w:t xml:space="preserve">for </w:t>
      </w:r>
      <w:r w:rsidR="00E410CC">
        <w:rPr>
          <w:shd w:val="clear" w:color="auto" w:fill="FFFFFF"/>
        </w:rPr>
        <w:t xml:space="preserve">reinsurance with </w:t>
      </w:r>
      <w:r>
        <w:rPr>
          <w:shd w:val="clear" w:color="auto" w:fill="FFFFFF"/>
        </w:rPr>
        <w:t xml:space="preserve">APRA-authorised </w:t>
      </w:r>
      <w:r w:rsidR="00EC3595">
        <w:rPr>
          <w:shd w:val="clear" w:color="auto" w:fill="FFFFFF"/>
        </w:rPr>
        <w:t xml:space="preserve">insurers and </w:t>
      </w:r>
      <w:r>
        <w:rPr>
          <w:shd w:val="clear" w:color="auto" w:fill="FFFFFF"/>
        </w:rPr>
        <w:t>reinsurers</w:t>
      </w:r>
      <w:r w:rsidR="006D02CA">
        <w:rPr>
          <w:shd w:val="clear" w:color="auto" w:fill="FFFFFF"/>
        </w:rPr>
        <w:t>,</w:t>
      </w:r>
      <w:r>
        <w:rPr>
          <w:shd w:val="clear" w:color="auto" w:fill="FFFFFF"/>
        </w:rPr>
        <w:t xml:space="preserve"> </w:t>
      </w:r>
      <w:r w:rsidRPr="00831A54">
        <w:rPr>
          <w:shd w:val="clear" w:color="auto" w:fill="FFFFFF"/>
        </w:rPr>
        <w:t xml:space="preserve">by reducing this limit for lower rated counterparties. The existing limit would only apply for counterparty credit grades of 1-3. If the registered life company had </w:t>
      </w:r>
      <w:r w:rsidR="00E14D16">
        <w:rPr>
          <w:shd w:val="clear" w:color="auto" w:fill="FFFFFF"/>
        </w:rPr>
        <w:t xml:space="preserve">a </w:t>
      </w:r>
      <w:r w:rsidRPr="00831A54">
        <w:rPr>
          <w:shd w:val="clear" w:color="auto" w:fill="FFFFFF"/>
        </w:rPr>
        <w:t xml:space="preserve">counterparty grade </w:t>
      </w:r>
      <w:r w:rsidR="00E14D16">
        <w:rPr>
          <w:shd w:val="clear" w:color="auto" w:fill="FFFFFF"/>
        </w:rPr>
        <w:t xml:space="preserve">of </w:t>
      </w:r>
      <w:r w:rsidRPr="00831A54">
        <w:rPr>
          <w:shd w:val="clear" w:color="auto" w:fill="FFFFFF"/>
        </w:rPr>
        <w:t xml:space="preserve">4-7 the limit </w:t>
      </w:r>
      <w:r w:rsidR="004D0D40">
        <w:rPr>
          <w:shd w:val="clear" w:color="auto" w:fill="FFFFFF"/>
        </w:rPr>
        <w:t xml:space="preserve">of 2.5 per cent of VAF </w:t>
      </w:r>
      <w:r w:rsidRPr="00831A54">
        <w:rPr>
          <w:shd w:val="clear" w:color="auto" w:fill="FFFFFF"/>
        </w:rPr>
        <w:t>for ‘other assets’ would apply</w:t>
      </w:r>
      <w:r w:rsidRPr="00831A54">
        <w:t xml:space="preserve">. </w:t>
      </w:r>
    </w:p>
    <w:p w14:paraId="0DB261DD" w14:textId="3BD45609" w:rsidR="004D42B6" w:rsidRDefault="00831A54" w:rsidP="006C5249">
      <w:r w:rsidRPr="00831A54">
        <w:t>Downgrades would be treated in the same way as for appropriate retrocessionaires, with the limit scaled down over 2 years.</w:t>
      </w:r>
    </w:p>
    <w:p w14:paraId="2BD017BE" w14:textId="327BCD2D" w:rsidR="00B1325E" w:rsidRDefault="001261AC" w:rsidP="00B613C4">
      <w:pPr>
        <w:pStyle w:val="Heading1Numbers"/>
      </w:pPr>
      <w:bookmarkStart w:id="25" w:name="_Toc34916179"/>
      <w:bookmarkStart w:id="26" w:name="_Toc34925660"/>
      <w:bookmarkStart w:id="27" w:name="_Toc68598681"/>
      <w:r>
        <w:lastRenderedPageBreak/>
        <w:t>Measurement of limits</w:t>
      </w:r>
      <w:r w:rsidR="000E1E73">
        <w:t xml:space="preserve"> and</w:t>
      </w:r>
      <w:r>
        <w:t xml:space="preserve"> definition of stressed reinsurance asset</w:t>
      </w:r>
      <w:bookmarkEnd w:id="25"/>
      <w:bookmarkEnd w:id="26"/>
      <w:r w:rsidR="008E0C63">
        <w:t>s</w:t>
      </w:r>
      <w:bookmarkEnd w:id="27"/>
    </w:p>
    <w:p w14:paraId="0284003B" w14:textId="0790D7E2" w:rsidR="00D07D88" w:rsidRDefault="008E035A" w:rsidP="00B613C4">
      <w:bookmarkStart w:id="28" w:name="_Toc14705995"/>
      <w:bookmarkStart w:id="29" w:name="_Toc14769833"/>
      <w:r w:rsidRPr="0039760D">
        <w:t>This chapter sets out APRA’s response to s</w:t>
      </w:r>
      <w:r w:rsidR="001868B3" w:rsidRPr="0039760D">
        <w:t xml:space="preserve">ubmissions on </w:t>
      </w:r>
      <w:r w:rsidR="001868B3" w:rsidRPr="004B0C68">
        <w:t xml:space="preserve">the proposal to amend how limits are </w:t>
      </w:r>
      <w:r w:rsidR="001868B3" w:rsidRPr="0077691B">
        <w:t>measured</w:t>
      </w:r>
      <w:r w:rsidR="008E0C63">
        <w:t xml:space="preserve"> and the definition of stressed reinsurance assets.</w:t>
      </w:r>
    </w:p>
    <w:p w14:paraId="487106B9" w14:textId="77777777" w:rsidR="001261AC" w:rsidRPr="001261AC" w:rsidRDefault="001261AC" w:rsidP="001261AC">
      <w:pPr>
        <w:pStyle w:val="Heading2Numbers"/>
      </w:pPr>
      <w:r w:rsidRPr="001261AC">
        <w:t>Measurement of limits</w:t>
      </w:r>
      <w:bookmarkEnd w:id="28"/>
      <w:bookmarkEnd w:id="29"/>
    </w:p>
    <w:p w14:paraId="331BD5E1" w14:textId="32A918F1" w:rsidR="001261AC" w:rsidRPr="001261AC" w:rsidRDefault="001261AC" w:rsidP="001261AC">
      <w:r w:rsidRPr="001261AC">
        <w:t>The March 2019 letter</w:t>
      </w:r>
      <w:r w:rsidR="00F76276">
        <w:t xml:space="preserve"> stated </w:t>
      </w:r>
      <w:r w:rsidR="002A7773">
        <w:t xml:space="preserve">that </w:t>
      </w:r>
      <w:r w:rsidRPr="001261AC">
        <w:t xml:space="preserve">APRA </w:t>
      </w:r>
      <w:r w:rsidR="00E64A20">
        <w:t>was</w:t>
      </w:r>
      <w:r w:rsidR="00F76276">
        <w:t xml:space="preserve"> </w:t>
      </w:r>
      <w:r w:rsidR="004A7DEF">
        <w:t>considering</w:t>
      </w:r>
      <w:r w:rsidRPr="001261AC">
        <w:t xml:space="preserve"> changing the reinsurance asset limits to be expressed solely as a percentage of the capital base. How the limits are currently expressed </w:t>
      </w:r>
      <w:r w:rsidR="004A7DEF">
        <w:t>creates issues such as</w:t>
      </w:r>
      <w:r w:rsidRPr="001261AC">
        <w:t xml:space="preserve"> </w:t>
      </w:r>
      <w:r w:rsidR="005433EB">
        <w:t>limits differ</w:t>
      </w:r>
      <w:r w:rsidR="004A7DEF">
        <w:t>ing</w:t>
      </w:r>
      <w:r w:rsidR="005433EB">
        <w:t xml:space="preserve"> </w:t>
      </w:r>
      <w:r w:rsidRPr="001261AC">
        <w:t>depending on the type of business held in the fund</w:t>
      </w:r>
      <w:r w:rsidR="005433EB">
        <w:t>.</w:t>
      </w:r>
      <w:r w:rsidRPr="001261AC">
        <w:t xml:space="preserve"> </w:t>
      </w:r>
    </w:p>
    <w:p w14:paraId="4DE8D714" w14:textId="77777777" w:rsidR="001261AC" w:rsidRPr="001261AC" w:rsidRDefault="001261AC" w:rsidP="001261AC">
      <w:pPr>
        <w:pStyle w:val="SubHeadingNoTOC"/>
      </w:pPr>
      <w:r w:rsidRPr="001261AC">
        <w:t>Comments received</w:t>
      </w:r>
    </w:p>
    <w:p w14:paraId="788FF8E6" w14:textId="1C2E9CBC" w:rsidR="001261AC" w:rsidRPr="001261AC" w:rsidRDefault="001261AC" w:rsidP="001261AC">
      <w:r w:rsidRPr="001261AC">
        <w:t xml:space="preserve">Submissions were generally against the proposal to set concentration limits using solely the capital base. The strongest argument </w:t>
      </w:r>
      <w:r w:rsidR="002A7773">
        <w:t xml:space="preserve">against was </w:t>
      </w:r>
      <w:r w:rsidRPr="001261AC">
        <w:t>that in adverse circumstances the concentration limit would become more punitive</w:t>
      </w:r>
      <w:r w:rsidR="00AA27D1">
        <w:t>;</w:t>
      </w:r>
      <w:r w:rsidRPr="001261AC">
        <w:t xml:space="preserve"> if claims experience is poor, reinsurance assets increase while the capital base reduces. Insurers would therefore have to keep reinsurance exposures well within the limits in normal conditions, to ensure sufficient headroom in case of very adverse claims experience. </w:t>
      </w:r>
    </w:p>
    <w:p w14:paraId="464C7934" w14:textId="433FA134" w:rsidR="001261AC" w:rsidRPr="001261AC" w:rsidRDefault="00B935C1" w:rsidP="001261AC">
      <w:r>
        <w:t>Some s</w:t>
      </w:r>
      <w:r w:rsidR="001261AC" w:rsidRPr="001261AC">
        <w:t xml:space="preserve">ubmissions indicated support for the ring-fencing of participating assets for the purpose of calculating the </w:t>
      </w:r>
      <w:r w:rsidR="004A7DEF">
        <w:t>limits</w:t>
      </w:r>
      <w:r w:rsidR="001261AC" w:rsidRPr="001261AC">
        <w:t xml:space="preserve">. </w:t>
      </w:r>
    </w:p>
    <w:p w14:paraId="7ED29E39" w14:textId="77777777" w:rsidR="001261AC" w:rsidRPr="001261AC" w:rsidRDefault="001261AC" w:rsidP="001261AC">
      <w:pPr>
        <w:pStyle w:val="SubHeadingNoTOC"/>
      </w:pPr>
      <w:r w:rsidRPr="001261AC">
        <w:t>APRA’s response</w:t>
      </w:r>
    </w:p>
    <w:p w14:paraId="710CE4D8" w14:textId="60EEEC97" w:rsidR="001261AC" w:rsidRPr="001261AC" w:rsidRDefault="0038279F" w:rsidP="001261AC">
      <w:pPr>
        <w:rPr>
          <w:highlight w:val="yellow"/>
        </w:rPr>
      </w:pPr>
      <w:r>
        <w:rPr>
          <w:rStyle w:val="Hyperlink"/>
          <w:color w:val="000000"/>
          <w:u w:val="none"/>
        </w:rPr>
        <w:t>Following consideration of</w:t>
      </w:r>
      <w:r w:rsidR="00990078">
        <w:rPr>
          <w:rStyle w:val="Hyperlink"/>
          <w:color w:val="000000"/>
          <w:u w:val="none"/>
        </w:rPr>
        <w:t xml:space="preserve"> feedback received, </w:t>
      </w:r>
      <w:r w:rsidR="001261AC" w:rsidRPr="001261AC">
        <w:rPr>
          <w:rStyle w:val="Hyperlink"/>
          <w:color w:val="000000"/>
          <w:u w:val="none"/>
        </w:rPr>
        <w:t xml:space="preserve">APRA is </w:t>
      </w:r>
      <w:r w:rsidR="00990078">
        <w:rPr>
          <w:rStyle w:val="Hyperlink"/>
          <w:color w:val="000000"/>
          <w:u w:val="none"/>
        </w:rPr>
        <w:t>not pro</w:t>
      </w:r>
      <w:r w:rsidR="00797E3C">
        <w:rPr>
          <w:rStyle w:val="Hyperlink"/>
          <w:color w:val="000000"/>
          <w:u w:val="none"/>
        </w:rPr>
        <w:t>po</w:t>
      </w:r>
      <w:r w:rsidR="00990078">
        <w:rPr>
          <w:rStyle w:val="Hyperlink"/>
          <w:color w:val="000000"/>
          <w:u w:val="none"/>
        </w:rPr>
        <w:t>sing to</w:t>
      </w:r>
      <w:r w:rsidR="001261AC" w:rsidRPr="001261AC">
        <w:rPr>
          <w:rStyle w:val="Hyperlink"/>
          <w:color w:val="000000"/>
          <w:u w:val="none"/>
        </w:rPr>
        <w:t xml:space="preserve"> </w:t>
      </w:r>
      <w:r w:rsidR="007907A9">
        <w:rPr>
          <w:rStyle w:val="Hyperlink"/>
          <w:color w:val="000000"/>
          <w:u w:val="none"/>
        </w:rPr>
        <w:t xml:space="preserve">express </w:t>
      </w:r>
      <w:r w:rsidR="001261AC" w:rsidRPr="001261AC">
        <w:rPr>
          <w:rStyle w:val="Hyperlink"/>
          <w:color w:val="000000"/>
          <w:u w:val="none"/>
        </w:rPr>
        <w:t xml:space="preserve">reinsurance exposure </w:t>
      </w:r>
      <w:r w:rsidR="007907A9">
        <w:rPr>
          <w:rStyle w:val="Hyperlink"/>
          <w:color w:val="000000"/>
          <w:u w:val="none"/>
        </w:rPr>
        <w:t xml:space="preserve">limits </w:t>
      </w:r>
      <w:r w:rsidR="001261AC" w:rsidRPr="001261AC">
        <w:rPr>
          <w:rStyle w:val="Hyperlink"/>
          <w:color w:val="000000"/>
          <w:u w:val="none"/>
        </w:rPr>
        <w:t xml:space="preserve">solely as a percentage of capital base. </w:t>
      </w:r>
      <w:r w:rsidR="00397B0C">
        <w:rPr>
          <w:rStyle w:val="Hyperlink"/>
          <w:color w:val="000000"/>
          <w:u w:val="none"/>
        </w:rPr>
        <w:t xml:space="preserve">However, </w:t>
      </w:r>
      <w:r w:rsidR="001261AC" w:rsidRPr="001261AC">
        <w:t xml:space="preserve">APRA </w:t>
      </w:r>
      <w:r w:rsidR="00AA27D1">
        <w:t>is proposing other revisions to address</w:t>
      </w:r>
      <w:r w:rsidR="00AA27D1" w:rsidRPr="001261AC">
        <w:t xml:space="preserve"> </w:t>
      </w:r>
      <w:r w:rsidR="001261AC" w:rsidRPr="001261AC">
        <w:t>concern</w:t>
      </w:r>
      <w:r w:rsidR="00990078">
        <w:t>s</w:t>
      </w:r>
      <w:r w:rsidR="001261AC" w:rsidRPr="001261AC">
        <w:t xml:space="preserve"> with the structure of the current limits. </w:t>
      </w:r>
    </w:p>
    <w:p w14:paraId="143574C4" w14:textId="77777777" w:rsidR="003642F5" w:rsidRPr="00225D1D" w:rsidRDefault="001261AC" w:rsidP="001261AC">
      <w:pPr>
        <w:rPr>
          <w:highlight w:val="yellow"/>
        </w:rPr>
      </w:pPr>
      <w:r w:rsidRPr="001261AC">
        <w:t>Statutory funds with significant amounts of participating and/or discretionary investment business can have a much larger VAF-based limit relative to their capital base than funds containing only risk business and/or non-discretionary investment business. This is because many of the asset risks for such funds (other than reinsurer default risk) can be mitigated by reducing future policyholder bonus and crediting rates. For funds with participating and/or discretionary investment business as well as risk business</w:t>
      </w:r>
      <w:r w:rsidR="009D4BE2">
        <w:t>,</w:t>
      </w:r>
      <w:r w:rsidRPr="001261AC">
        <w:t xml:space="preserve"> the current VAF based limits can allow excessively large reinsurance exposures relative to the size of the capital base.</w:t>
      </w:r>
    </w:p>
    <w:p w14:paraId="176DE03D" w14:textId="0F875F25" w:rsidR="001261AC" w:rsidRPr="00380270" w:rsidRDefault="001261AC" w:rsidP="00271FD2">
      <w:r w:rsidRPr="001261AC">
        <w:rPr>
          <w:rStyle w:val="Hyperlink"/>
          <w:color w:val="000000"/>
          <w:u w:val="none"/>
        </w:rPr>
        <w:t xml:space="preserve">APRA is now proposing a modified form of VAF as the basis for setting the limits for reinsurance exposures. It is proposed that </w:t>
      </w:r>
      <w:r w:rsidRPr="00271FD2">
        <w:rPr>
          <w:rStyle w:val="Hyperlink"/>
          <w:color w:val="000000"/>
          <w:u w:val="none"/>
        </w:rPr>
        <w:t>for reinsurance assets</w:t>
      </w:r>
      <w:r w:rsidR="009D4BE2">
        <w:rPr>
          <w:rStyle w:val="Hyperlink"/>
          <w:color w:val="000000"/>
          <w:u w:val="none"/>
        </w:rPr>
        <w:t>,</w:t>
      </w:r>
      <w:r w:rsidRPr="00271FD2">
        <w:rPr>
          <w:rStyle w:val="Hyperlink"/>
          <w:color w:val="000000"/>
          <w:u w:val="none"/>
        </w:rPr>
        <w:t xml:space="preserve"> VAF</w:t>
      </w:r>
      <w:r w:rsidRPr="00271FD2" w:rsidDel="00341E9C">
        <w:rPr>
          <w:rStyle w:val="Hyperlink"/>
          <w:color w:val="000000"/>
          <w:u w:val="none"/>
        </w:rPr>
        <w:t xml:space="preserve"> </w:t>
      </w:r>
      <w:r w:rsidRPr="00271FD2">
        <w:rPr>
          <w:rStyle w:val="Hyperlink"/>
          <w:color w:val="000000"/>
          <w:u w:val="none"/>
        </w:rPr>
        <w:t>be revised to be defined as:</w:t>
      </w:r>
    </w:p>
    <w:p w14:paraId="6D403B28" w14:textId="77777777" w:rsidR="001261AC" w:rsidRPr="001261AC" w:rsidRDefault="001261AC" w:rsidP="001261AC">
      <w:pPr>
        <w:pStyle w:val="ListBullet"/>
      </w:pPr>
      <w:r w:rsidRPr="001261AC">
        <w:t xml:space="preserve">the assets of the fund as reported in the statutory accounts (with the exception of reinsurance assets which are measured on a stressed basis); </w:t>
      </w:r>
    </w:p>
    <w:p w14:paraId="542A53CF" w14:textId="393804C2" w:rsidR="001261AC" w:rsidRPr="001261AC" w:rsidRDefault="001261AC" w:rsidP="001261AC">
      <w:pPr>
        <w:pStyle w:val="ListBullet"/>
      </w:pPr>
      <w:bookmarkStart w:id="30" w:name="_Hlk63774179"/>
      <w:r w:rsidRPr="001261AC">
        <w:lastRenderedPageBreak/>
        <w:t>less a</w:t>
      </w:r>
      <w:r w:rsidRPr="00EF22F3">
        <w:t xml:space="preserve">ssets backing </w:t>
      </w:r>
      <w:r w:rsidR="00EF22F3" w:rsidRPr="00EF22F3">
        <w:t>participating</w:t>
      </w:r>
      <w:r w:rsidR="00EF22F3" w:rsidRPr="00B75888">
        <w:t xml:space="preserve"> </w:t>
      </w:r>
      <w:r w:rsidR="00EF22F3" w:rsidRPr="004F7011">
        <w:t>traditional business</w:t>
      </w:r>
      <w:r w:rsidR="00EF22F3" w:rsidRPr="00EF22F3">
        <w:t xml:space="preserve"> and participating </w:t>
      </w:r>
      <w:r w:rsidR="00EF22F3" w:rsidRPr="004F7011">
        <w:t>unbundled investment business</w:t>
      </w:r>
      <w:r w:rsidR="00EF22F3" w:rsidRPr="00EF22F3">
        <w:t xml:space="preserve"> (gross policy liabilities</w:t>
      </w:r>
      <w:r w:rsidR="00EF22F3" w:rsidRPr="00B75888">
        <w:t>, policy</w:t>
      </w:r>
      <w:r w:rsidR="00EF22F3" w:rsidRPr="00B367D4">
        <w:t xml:space="preserve"> owners’ retained</w:t>
      </w:r>
      <w:r w:rsidR="00EF22F3" w:rsidRPr="00EF22F3">
        <w:t xml:space="preserve"> profits, and shareholder</w:t>
      </w:r>
      <w:r w:rsidR="00EF22F3" w:rsidRPr="00B75888">
        <w:t>s’ retained profits)</w:t>
      </w:r>
      <w:r w:rsidR="00EF22F3">
        <w:t>;</w:t>
      </w:r>
      <w:r w:rsidRPr="001261AC">
        <w:t xml:space="preserve"> </w:t>
      </w:r>
    </w:p>
    <w:p w14:paraId="76DE03CA" w14:textId="2FF07CC7" w:rsidR="001261AC" w:rsidRPr="001261AC" w:rsidRDefault="001261AC" w:rsidP="001261AC">
      <w:pPr>
        <w:pStyle w:val="ListBullet"/>
      </w:pPr>
      <w:bookmarkStart w:id="31" w:name="OLE_LINK1"/>
      <w:bookmarkEnd w:id="30"/>
      <w:r w:rsidRPr="001261AC">
        <w:t xml:space="preserve">less assets backing </w:t>
      </w:r>
      <w:r w:rsidR="00C527E8">
        <w:t xml:space="preserve">gross </w:t>
      </w:r>
      <w:r w:rsidRPr="001261AC">
        <w:t>policy liabilities for non-participating benefits with entitlement to discretionary additions</w:t>
      </w:r>
      <w:bookmarkEnd w:id="31"/>
      <w:r w:rsidR="00EF22F3">
        <w:t>.</w:t>
      </w:r>
    </w:p>
    <w:p w14:paraId="5BD24401" w14:textId="354C90FE" w:rsidR="001261AC" w:rsidRPr="001261AC" w:rsidRDefault="001261AC" w:rsidP="001261AC">
      <w:r w:rsidRPr="001261AC">
        <w:rPr>
          <w:shd w:val="clear" w:color="auto" w:fill="FFFFFF"/>
        </w:rPr>
        <w:t xml:space="preserve">APRA proposes to also introduce a capital base component to the limits so that insurers with a relatively large capital base are able to exceed the relevant VAF limit. The capital base limits proposed are proportional to those that currently exist in the standards for other types of assets. </w:t>
      </w:r>
    </w:p>
    <w:p w14:paraId="2C87C3B7" w14:textId="4D2F1D7A" w:rsidR="001261AC" w:rsidRPr="001261AC" w:rsidRDefault="00990078" w:rsidP="001261AC">
      <w:r>
        <w:rPr>
          <w:shd w:val="clear" w:color="auto" w:fill="FFFFFF"/>
        </w:rPr>
        <w:t>W</w:t>
      </w:r>
      <w:r w:rsidR="004E30DD">
        <w:rPr>
          <w:shd w:val="clear" w:color="auto" w:fill="FFFFFF"/>
        </w:rPr>
        <w:t xml:space="preserve">hile </w:t>
      </w:r>
      <w:r w:rsidR="001261AC" w:rsidRPr="001261AC">
        <w:rPr>
          <w:shd w:val="clear" w:color="auto" w:fill="FFFFFF"/>
        </w:rPr>
        <w:t>exposure</w:t>
      </w:r>
      <w:r w:rsidR="003E4A14">
        <w:rPr>
          <w:shd w:val="clear" w:color="auto" w:fill="FFFFFF"/>
        </w:rPr>
        <w:t xml:space="preserve"> limit</w:t>
      </w:r>
      <w:r w:rsidR="001261AC" w:rsidRPr="001261AC">
        <w:rPr>
          <w:shd w:val="clear" w:color="auto" w:fill="FFFFFF"/>
        </w:rPr>
        <w:t xml:space="preserve">s to registered life companies can exceed 100 per cent of </w:t>
      </w:r>
      <w:r w:rsidR="003642F5">
        <w:rPr>
          <w:shd w:val="clear" w:color="auto" w:fill="FFFFFF"/>
        </w:rPr>
        <w:t xml:space="preserve">the </w:t>
      </w:r>
      <w:r w:rsidR="001261AC" w:rsidRPr="001261AC">
        <w:rPr>
          <w:shd w:val="clear" w:color="auto" w:fill="FFFFFF"/>
        </w:rPr>
        <w:t xml:space="preserve">capital base under the existing and </w:t>
      </w:r>
      <w:r w:rsidR="00681E2C">
        <w:rPr>
          <w:shd w:val="clear" w:color="auto" w:fill="FFFFFF"/>
        </w:rPr>
        <w:t>proposed standard,</w:t>
      </w:r>
      <w:r w:rsidR="001261AC" w:rsidRPr="001261AC">
        <w:rPr>
          <w:shd w:val="clear" w:color="auto" w:fill="FFFFFF"/>
        </w:rPr>
        <w:t xml:space="preserve"> APRA</w:t>
      </w:r>
      <w:r>
        <w:rPr>
          <w:shd w:val="clear" w:color="auto" w:fill="FFFFFF"/>
        </w:rPr>
        <w:t xml:space="preserve"> does </w:t>
      </w:r>
      <w:r w:rsidR="001261AC" w:rsidRPr="001261AC">
        <w:rPr>
          <w:shd w:val="clear" w:color="auto" w:fill="FFFFFF"/>
        </w:rPr>
        <w:t xml:space="preserve">not necessarily </w:t>
      </w:r>
      <w:r>
        <w:rPr>
          <w:shd w:val="clear" w:color="auto" w:fill="FFFFFF"/>
        </w:rPr>
        <w:t xml:space="preserve">view this as </w:t>
      </w:r>
      <w:r w:rsidR="001261AC" w:rsidRPr="001261AC">
        <w:rPr>
          <w:shd w:val="clear" w:color="auto" w:fill="FFFFFF"/>
        </w:rPr>
        <w:t>imprudent</w:t>
      </w:r>
      <w:r w:rsidR="00681E2C">
        <w:rPr>
          <w:shd w:val="clear" w:color="auto" w:fill="FFFFFF"/>
        </w:rPr>
        <w:t xml:space="preserve"> because</w:t>
      </w:r>
      <w:r>
        <w:rPr>
          <w:shd w:val="clear" w:color="auto" w:fill="FFFFFF"/>
        </w:rPr>
        <w:t>,</w:t>
      </w:r>
      <w:r w:rsidR="00681E2C">
        <w:rPr>
          <w:shd w:val="clear" w:color="auto" w:fill="FFFFFF"/>
        </w:rPr>
        <w:t xml:space="preserve"> i</w:t>
      </w:r>
      <w:r w:rsidR="001261AC" w:rsidRPr="001261AC">
        <w:rPr>
          <w:shd w:val="clear" w:color="auto" w:fill="FFFFFF"/>
        </w:rPr>
        <w:t>n the event of reinsurer default, a substantial portion of the exposure should be recoverable. APRA expect</w:t>
      </w:r>
      <w:r w:rsidR="00681E2C">
        <w:rPr>
          <w:shd w:val="clear" w:color="auto" w:fill="FFFFFF"/>
        </w:rPr>
        <w:t>s</w:t>
      </w:r>
      <w:r w:rsidR="0035511C">
        <w:rPr>
          <w:shd w:val="clear" w:color="auto" w:fill="FFFFFF"/>
        </w:rPr>
        <w:t xml:space="preserve"> </w:t>
      </w:r>
      <w:r w:rsidR="001261AC" w:rsidRPr="001261AC">
        <w:rPr>
          <w:shd w:val="clear" w:color="auto" w:fill="FFFFFF"/>
        </w:rPr>
        <w:t>insurer</w:t>
      </w:r>
      <w:r w:rsidR="00681E2C">
        <w:rPr>
          <w:shd w:val="clear" w:color="auto" w:fill="FFFFFF"/>
        </w:rPr>
        <w:t>s to</w:t>
      </w:r>
      <w:r w:rsidR="001261AC" w:rsidRPr="001261AC">
        <w:rPr>
          <w:shd w:val="clear" w:color="auto" w:fill="FFFFFF"/>
        </w:rPr>
        <w:t xml:space="preserve"> make their own assessments of appropriate limits </w:t>
      </w:r>
      <w:r w:rsidR="003E4A14">
        <w:rPr>
          <w:shd w:val="clear" w:color="auto" w:fill="FFFFFF"/>
        </w:rPr>
        <w:t>in accordance with their risk appetite</w:t>
      </w:r>
      <w:r w:rsidR="001261AC" w:rsidRPr="001261AC">
        <w:rPr>
          <w:shd w:val="clear" w:color="auto" w:fill="FFFFFF"/>
        </w:rPr>
        <w:t xml:space="preserve"> when managing their reinsurance arrangements and not rely only on the LPS 117 limits.</w:t>
      </w:r>
    </w:p>
    <w:p w14:paraId="409E1BAE" w14:textId="74E7BC9C" w:rsidR="001261AC" w:rsidRDefault="001261AC" w:rsidP="001261AC">
      <w:pPr>
        <w:pStyle w:val="Heading2Numbers"/>
        <w:rPr>
          <w:lang w:val="en-GB"/>
        </w:rPr>
      </w:pPr>
      <w:r>
        <w:rPr>
          <w:lang w:val="en-GB"/>
        </w:rPr>
        <w:t>Stressed reinsurance assets</w:t>
      </w:r>
    </w:p>
    <w:p w14:paraId="6F6FB470" w14:textId="52D34707" w:rsidR="008E3136" w:rsidRPr="00B935C1" w:rsidRDefault="008E3136" w:rsidP="00B613C4">
      <w:pPr>
        <w:pStyle w:val="Heading3Numbers"/>
        <w:rPr>
          <w:lang w:val="en-GB"/>
        </w:rPr>
      </w:pPr>
      <w:r>
        <w:rPr>
          <w:lang w:val="en-GB"/>
        </w:rPr>
        <w:t>Investment risk sharing</w:t>
      </w:r>
    </w:p>
    <w:p w14:paraId="0C98BBFA" w14:textId="38A6D654" w:rsidR="001261AC" w:rsidRDefault="0000429B" w:rsidP="001261AC">
      <w:pPr>
        <w:rPr>
          <w:lang w:val="en-GB"/>
        </w:rPr>
      </w:pPr>
      <w:r>
        <w:rPr>
          <w:lang w:val="en-GB"/>
        </w:rPr>
        <w:t xml:space="preserve">APRA’s </w:t>
      </w:r>
      <w:r w:rsidR="001261AC">
        <w:rPr>
          <w:lang w:val="en-GB"/>
        </w:rPr>
        <w:t xml:space="preserve">March 2019 letter </w:t>
      </w:r>
      <w:r w:rsidR="009D4BE2">
        <w:rPr>
          <w:lang w:val="en-GB"/>
        </w:rPr>
        <w:t xml:space="preserve">outlined </w:t>
      </w:r>
      <w:r w:rsidR="001261AC">
        <w:rPr>
          <w:lang w:val="en-GB"/>
        </w:rPr>
        <w:t xml:space="preserve">a deficiency in how LPS 117 accounts for reinsurance arrangements </w:t>
      </w:r>
      <w:r w:rsidR="002A7773">
        <w:rPr>
          <w:lang w:val="en-GB"/>
        </w:rPr>
        <w:t xml:space="preserve">that </w:t>
      </w:r>
      <w:r w:rsidR="00681E2C">
        <w:rPr>
          <w:lang w:val="en-GB"/>
        </w:rPr>
        <w:t xml:space="preserve">share </w:t>
      </w:r>
      <w:r w:rsidR="001261AC">
        <w:rPr>
          <w:lang w:val="en-GB"/>
        </w:rPr>
        <w:t>investment risk</w:t>
      </w:r>
      <w:r w:rsidR="00876F1C">
        <w:rPr>
          <w:lang w:val="en-GB"/>
        </w:rPr>
        <w:t xml:space="preserve"> due to </w:t>
      </w:r>
      <w:r w:rsidR="001261AC">
        <w:rPr>
          <w:lang w:val="en-GB"/>
        </w:rPr>
        <w:t>the ACRC</w:t>
      </w:r>
      <w:r w:rsidR="00876F1C">
        <w:rPr>
          <w:lang w:val="en-GB"/>
        </w:rPr>
        <w:t xml:space="preserve"> calculations</w:t>
      </w:r>
      <w:r w:rsidR="001261AC">
        <w:rPr>
          <w:lang w:val="en-GB"/>
        </w:rPr>
        <w:t xml:space="preserve"> only includ</w:t>
      </w:r>
      <w:r w:rsidR="00876F1C">
        <w:rPr>
          <w:lang w:val="en-GB"/>
        </w:rPr>
        <w:t>ing</w:t>
      </w:r>
      <w:r w:rsidR="001261AC">
        <w:rPr>
          <w:lang w:val="en-GB"/>
        </w:rPr>
        <w:t xml:space="preserve"> insurance stresses and no asset stresses</w:t>
      </w:r>
      <w:r w:rsidR="009D4BE2">
        <w:rPr>
          <w:lang w:val="en-GB"/>
        </w:rPr>
        <w:t xml:space="preserve">. </w:t>
      </w:r>
      <w:r w:rsidR="00876F1C">
        <w:rPr>
          <w:lang w:val="en-GB"/>
        </w:rPr>
        <w:t>I</w:t>
      </w:r>
      <w:r w:rsidR="001261AC">
        <w:rPr>
          <w:lang w:val="en-GB"/>
        </w:rPr>
        <w:t xml:space="preserve">f there is investment experience sharing in an arrangement, future counterparty exposure could increase under adverse investment conditions. </w:t>
      </w:r>
    </w:p>
    <w:p w14:paraId="5A703086" w14:textId="77777777" w:rsidR="001261AC" w:rsidRDefault="001261AC" w:rsidP="001261AC">
      <w:pPr>
        <w:pStyle w:val="SubHeadingNoTOC"/>
      </w:pPr>
      <w:r w:rsidRPr="00A86CD3">
        <w:t>Comments received</w:t>
      </w:r>
    </w:p>
    <w:p w14:paraId="7F7DBFA6" w14:textId="56E19105" w:rsidR="001261AC" w:rsidRPr="000F36B8" w:rsidRDefault="0029528F" w:rsidP="003B1E8E">
      <w:r>
        <w:t>S</w:t>
      </w:r>
      <w:r w:rsidR="006647B3">
        <w:t xml:space="preserve">ome respondents </w:t>
      </w:r>
      <w:r w:rsidR="001261AC">
        <w:t>considered it reasonable that APRA seek to address th</w:t>
      </w:r>
      <w:r w:rsidR="00990078">
        <w:t>is</w:t>
      </w:r>
      <w:r w:rsidR="001261AC">
        <w:t xml:space="preserve"> potential deficiency in the standard</w:t>
      </w:r>
      <w:r w:rsidR="00876F1C">
        <w:t xml:space="preserve">. </w:t>
      </w:r>
      <w:r w:rsidR="001261AC">
        <w:t xml:space="preserve"> </w:t>
      </w:r>
      <w:r w:rsidR="00876F1C">
        <w:t xml:space="preserve">Other </w:t>
      </w:r>
      <w:r w:rsidR="001261AC">
        <w:t xml:space="preserve">respondents thought this proposal had limited benefits. One respondent expressed the view that this proposal could make the calculation unnecessarily complicated and that </w:t>
      </w:r>
      <w:r w:rsidR="005E60D0">
        <w:t xml:space="preserve">its </w:t>
      </w:r>
      <w:r w:rsidR="001261AC">
        <w:t xml:space="preserve">practical application was unclear. </w:t>
      </w:r>
    </w:p>
    <w:p w14:paraId="162E38F2" w14:textId="77777777" w:rsidR="001261AC" w:rsidRPr="00D62515" w:rsidRDefault="001261AC" w:rsidP="001261AC">
      <w:pPr>
        <w:pStyle w:val="SubHeadingNoTOC"/>
      </w:pPr>
      <w:r w:rsidRPr="00A86CD3">
        <w:t>APRA’s response</w:t>
      </w:r>
    </w:p>
    <w:p w14:paraId="064B5649" w14:textId="64A64DAA" w:rsidR="001261AC" w:rsidRPr="001B002E" w:rsidRDefault="001261AC" w:rsidP="001261AC">
      <w:pPr>
        <w:rPr>
          <w:i/>
        </w:rPr>
      </w:pPr>
      <w:r>
        <w:t xml:space="preserve">While reinsurance arrangements which transfer asset risks are fairly </w:t>
      </w:r>
      <w:r w:rsidR="006C552A">
        <w:t>uncommon</w:t>
      </w:r>
      <w:r>
        <w:t>, redefining stressed reinsurance assets to include asset stresses as well as insurance stresses is a logical change to ensure that the ACRC accurately accounts for exposures arising from reinsurance arrangements.</w:t>
      </w:r>
    </w:p>
    <w:p w14:paraId="1B6E7731" w14:textId="30FB93B9" w:rsidR="00913404" w:rsidRDefault="001261AC" w:rsidP="000233B3">
      <w:r>
        <w:t>APRA is proposing that</w:t>
      </w:r>
      <w:r w:rsidRPr="001B002E">
        <w:t xml:space="preserve"> </w:t>
      </w:r>
      <w:r w:rsidR="005E60D0">
        <w:t xml:space="preserve">the measurement of </w:t>
      </w:r>
      <w:r w:rsidRPr="001B002E">
        <w:t xml:space="preserve">stressed reinsurance assets </w:t>
      </w:r>
      <w:r w:rsidR="005E60D0">
        <w:t>remain unchanged</w:t>
      </w:r>
      <w:r w:rsidRPr="001B002E">
        <w:t xml:space="preserve"> (insurance stresses only), except in the case where the </w:t>
      </w:r>
      <w:r w:rsidR="007C421B">
        <w:t xml:space="preserve">value of the </w:t>
      </w:r>
      <w:r w:rsidRPr="001B002E">
        <w:t>reinsurance asset increase</w:t>
      </w:r>
      <w:r w:rsidR="007C421B">
        <w:t>s</w:t>
      </w:r>
      <w:r w:rsidRPr="001B002E">
        <w:t xml:space="preserve"> in response to a fall in the value of the fund’s assets </w:t>
      </w:r>
      <w:r w:rsidR="004869D6">
        <w:t>under</w:t>
      </w:r>
      <w:r w:rsidRPr="001B002E">
        <w:t xml:space="preserve"> equity, property, credit spreads, currency or default stresses.</w:t>
      </w:r>
      <w:r w:rsidR="009909DF">
        <w:t xml:space="preserve"> </w:t>
      </w:r>
      <w:r w:rsidR="008B78D9">
        <w:t xml:space="preserve">In this situation, the </w:t>
      </w:r>
      <w:r w:rsidR="009909DF">
        <w:t xml:space="preserve">value of the </w:t>
      </w:r>
      <w:r w:rsidR="008B78D9">
        <w:t>stressed reinsurance asset would be calculated as the greater of the current value and a</w:t>
      </w:r>
      <w:r w:rsidR="00041F2C">
        <w:t>n alternative</w:t>
      </w:r>
      <w:r w:rsidR="00EC5FE0">
        <w:t xml:space="preserve"> </w:t>
      </w:r>
      <w:r w:rsidR="008B78D9">
        <w:t>value</w:t>
      </w:r>
      <w:r w:rsidR="00EC5FE0">
        <w:t>.</w:t>
      </w:r>
      <w:r w:rsidR="008B78D9">
        <w:t xml:space="preserve"> </w:t>
      </w:r>
      <w:r w:rsidR="00EC5FE0">
        <w:t xml:space="preserve">The </w:t>
      </w:r>
      <w:r w:rsidR="00714133">
        <w:t>alternative</w:t>
      </w:r>
      <w:r w:rsidR="00EC5FE0">
        <w:t xml:space="preserve"> value would be </w:t>
      </w:r>
      <w:r w:rsidR="00041F2C">
        <w:t>determined</w:t>
      </w:r>
      <w:r w:rsidR="00965960">
        <w:t xml:space="preserve"> under</w:t>
      </w:r>
      <w:r w:rsidR="009909DF">
        <w:t xml:space="preserve"> a combination </w:t>
      </w:r>
      <w:r w:rsidR="00F933E6">
        <w:t>asset</w:t>
      </w:r>
      <w:r w:rsidR="009909DF">
        <w:t xml:space="preserve"> </w:t>
      </w:r>
      <w:r w:rsidR="00BB5555">
        <w:t xml:space="preserve">and insurance </w:t>
      </w:r>
      <w:r w:rsidR="009909DF">
        <w:t>stress</w:t>
      </w:r>
      <w:r w:rsidR="001B444D">
        <w:t xml:space="preserve">, as </w:t>
      </w:r>
      <w:r w:rsidR="001B444D">
        <w:lastRenderedPageBreak/>
        <w:t xml:space="preserve">the amount by which </w:t>
      </w:r>
      <w:r w:rsidR="00BB5555">
        <w:t>combination</w:t>
      </w:r>
      <w:r w:rsidR="00433B6E">
        <w:t>-</w:t>
      </w:r>
      <w:r w:rsidR="001B444D">
        <w:t>stressed policy liabilities increase when they are determined gross of reinsurance.</w:t>
      </w:r>
    </w:p>
    <w:p w14:paraId="054FF1C4" w14:textId="5AFC436E" w:rsidR="008E3136" w:rsidRPr="005504B0" w:rsidRDefault="001261AC" w:rsidP="00B613C4">
      <w:pPr>
        <w:numPr>
          <w:ilvl w:val="0"/>
          <w:numId w:val="0"/>
        </w:numPr>
        <w:rPr>
          <w:i/>
        </w:rPr>
      </w:pPr>
      <w:r w:rsidRPr="001B002E">
        <w:t xml:space="preserve">Real interest rate and expected inflation stresses have been excluded from asset stresses as these affect most reinsurance assets without necessarily transferring asset risk. In a typical reinsurance </w:t>
      </w:r>
      <w:r w:rsidRPr="001B002E" w:rsidDel="00341E9C">
        <w:t>arrangement</w:t>
      </w:r>
      <w:r w:rsidR="00341E9C" w:rsidRPr="001B002E">
        <w:t>,</w:t>
      </w:r>
      <w:r w:rsidRPr="001B002E">
        <w:t xml:space="preserve"> the movement in the value of the reinsurance asset in response to these stresses is not dependent on the investment assets held by the life company. If the company matches its investment assets to its net policy liabilities, the value of reinsurance assets will remain roughly constant as a proportion of total assets in the post stress environment.</w:t>
      </w:r>
    </w:p>
    <w:p w14:paraId="1862EC36" w14:textId="0F8D2A6A" w:rsidR="008E3136" w:rsidRDefault="008E3136" w:rsidP="00B613C4">
      <w:pPr>
        <w:pStyle w:val="Heading3Numbers"/>
      </w:pPr>
      <w:r>
        <w:t xml:space="preserve">Drafting clarification </w:t>
      </w:r>
    </w:p>
    <w:p w14:paraId="2B137644" w14:textId="69C9D07F" w:rsidR="008E3136" w:rsidRPr="00B935C1" w:rsidRDefault="000E6861" w:rsidP="00B613C4">
      <w:pPr>
        <w:numPr>
          <w:ilvl w:val="0"/>
          <w:numId w:val="0"/>
        </w:numPr>
      </w:pPr>
      <w:r>
        <w:t>Revisions are proposed to</w:t>
      </w:r>
      <w:r w:rsidR="008E3136">
        <w:t xml:space="preserve"> clarify that when determining stressed policy liabilities gross of reinsurance, stress margins and </w:t>
      </w:r>
      <w:r w:rsidR="001A6B20">
        <w:t xml:space="preserve">the </w:t>
      </w:r>
      <w:r w:rsidR="008E3136">
        <w:t xml:space="preserve">diversification factor </w:t>
      </w:r>
      <w:r w:rsidR="0003238B">
        <w:t xml:space="preserve">used to derive the adjusted stress margins </w:t>
      </w:r>
      <w:r w:rsidR="008E3136">
        <w:t xml:space="preserve">must be determined on a gross of reinsurance basis. They cannot be assumed to be the same as in the net of reinsurance scenario. </w:t>
      </w:r>
      <w:r w:rsidR="00125DB9">
        <w:t>Th</w:t>
      </w:r>
      <w:r>
        <w:t>is</w:t>
      </w:r>
      <w:r w:rsidR="00016B18">
        <w:t xml:space="preserve"> </w:t>
      </w:r>
      <w:r w:rsidR="00125DB9">
        <w:t xml:space="preserve">clarification </w:t>
      </w:r>
      <w:r>
        <w:t xml:space="preserve">is </w:t>
      </w:r>
      <w:r w:rsidR="00125DB9">
        <w:t xml:space="preserve">proposed to ensure the original intent of the standard is </w:t>
      </w:r>
      <w:r w:rsidR="006647B3">
        <w:t>clear</w:t>
      </w:r>
      <w:r w:rsidR="00125DB9">
        <w:t>.</w:t>
      </w:r>
    </w:p>
    <w:p w14:paraId="79A28EFC" w14:textId="764E5E6F" w:rsidR="00A86CD3" w:rsidRDefault="001261AC" w:rsidP="00A86CD3">
      <w:pPr>
        <w:pStyle w:val="Heading1Numbers"/>
      </w:pPr>
      <w:bookmarkStart w:id="32" w:name="_Toc34916180"/>
      <w:bookmarkStart w:id="33" w:name="_Toc34925661"/>
      <w:bookmarkStart w:id="34" w:name="_Toc68598682"/>
      <w:r>
        <w:lastRenderedPageBreak/>
        <w:t>T</w:t>
      </w:r>
      <w:r w:rsidR="003C1744">
        <w:t>reatment of r</w:t>
      </w:r>
      <w:r w:rsidR="00A86CD3">
        <w:t>isk mitigants</w:t>
      </w:r>
      <w:bookmarkEnd w:id="32"/>
      <w:bookmarkEnd w:id="33"/>
      <w:bookmarkEnd w:id="34"/>
    </w:p>
    <w:p w14:paraId="7CF7BEB4" w14:textId="41CAB110" w:rsidR="006D750E" w:rsidRPr="00A86CD3" w:rsidRDefault="006D750E" w:rsidP="006D750E">
      <w:r w:rsidRPr="00A86CD3">
        <w:t xml:space="preserve">This chapter </w:t>
      </w:r>
      <w:r w:rsidR="00A16E31">
        <w:t>summaris</w:t>
      </w:r>
      <w:r w:rsidR="00CE0816">
        <w:t>es</w:t>
      </w:r>
      <w:r w:rsidR="00174983">
        <w:t xml:space="preserve"> input received </w:t>
      </w:r>
      <w:r w:rsidRPr="00A86CD3">
        <w:t>on options to revise the treatment of risk mitigants under LPS 117</w:t>
      </w:r>
      <w:r w:rsidR="000E6861">
        <w:t xml:space="preserve"> and </w:t>
      </w:r>
      <w:r w:rsidR="00A16E31">
        <w:t>details</w:t>
      </w:r>
      <w:r w:rsidR="000E6861">
        <w:t xml:space="preserve"> </w:t>
      </w:r>
      <w:r w:rsidR="0077691B">
        <w:t>APRA’s proposed revisions</w:t>
      </w:r>
      <w:r w:rsidR="000E6861">
        <w:t>.</w:t>
      </w:r>
    </w:p>
    <w:p w14:paraId="182954A1" w14:textId="0CB404AA" w:rsidR="00A86CD3" w:rsidRDefault="00250D0F" w:rsidP="00A86CD3">
      <w:pPr>
        <w:pStyle w:val="Heading2Numbers"/>
      </w:pPr>
      <w:r>
        <w:t>Summary of</w:t>
      </w:r>
      <w:r w:rsidR="004364B3">
        <w:t xml:space="preserve"> submissions</w:t>
      </w:r>
      <w:r w:rsidR="00927A8C">
        <w:t xml:space="preserve"> on treatment of risk mitigants</w:t>
      </w:r>
    </w:p>
    <w:p w14:paraId="7AB7B181" w14:textId="3F8C810F" w:rsidR="00341E9C" w:rsidRDefault="00AF6183" w:rsidP="001C726D">
      <w:pPr>
        <w:numPr>
          <w:ilvl w:val="0"/>
          <w:numId w:val="0"/>
        </w:numPr>
      </w:pPr>
      <w:r>
        <w:t>T</w:t>
      </w:r>
      <w:r w:rsidR="00616E07">
        <w:t>he March 2019 letter</w:t>
      </w:r>
      <w:r>
        <w:t xml:space="preserve"> advised that</w:t>
      </w:r>
      <w:r w:rsidR="00E85187" w:rsidRPr="00A86CD3">
        <w:t xml:space="preserve"> APRA</w:t>
      </w:r>
      <w:r w:rsidR="00616E07">
        <w:t xml:space="preserve"> </w:t>
      </w:r>
      <w:r>
        <w:t>was</w:t>
      </w:r>
      <w:r w:rsidR="00616E07">
        <w:t xml:space="preserve"> considering options to tighten and refine the definitions of risk mitigants in LPS 117, including whether collateral trusts should be permitted under the standard. The letter </w:t>
      </w:r>
      <w:r w:rsidR="00E85187" w:rsidRPr="00A86CD3">
        <w:t xml:space="preserve">indicated </w:t>
      </w:r>
      <w:r w:rsidR="00CE49EF">
        <w:t xml:space="preserve">that </w:t>
      </w:r>
      <w:r w:rsidR="008D33B0">
        <w:t>limiting</w:t>
      </w:r>
      <w:r w:rsidR="00E85187" w:rsidRPr="00A86CD3">
        <w:t xml:space="preserve"> </w:t>
      </w:r>
      <w:r w:rsidR="004D1555">
        <w:t>recognition of mitigation for capital purposes</w:t>
      </w:r>
      <w:r w:rsidR="00CE49EF">
        <w:t xml:space="preserve"> was being considered. The possible introduction of </w:t>
      </w:r>
      <w:r w:rsidR="00E85187">
        <w:t>governance and oversight requirements for risk mitigants</w:t>
      </w:r>
      <w:r w:rsidR="00CE49EF">
        <w:t xml:space="preserve"> was also outlined</w:t>
      </w:r>
      <w:r w:rsidR="00E85187">
        <w:t>.</w:t>
      </w:r>
      <w:r w:rsidR="00CE49EF">
        <w:t xml:space="preserve"> Feedback received in</w:t>
      </w:r>
      <w:r w:rsidR="00BD7E68">
        <w:t xml:space="preserve"> submissions </w:t>
      </w:r>
      <w:r w:rsidR="00341E9C">
        <w:t>is summaris</w:t>
      </w:r>
      <w:r w:rsidR="00471B80">
        <w:t>ed</w:t>
      </w:r>
      <w:r w:rsidR="00341E9C">
        <w:t xml:space="preserve"> below.</w:t>
      </w:r>
    </w:p>
    <w:p w14:paraId="332EDC1F" w14:textId="3880DAEC" w:rsidR="004364B3" w:rsidRPr="004364B3" w:rsidRDefault="004364B3" w:rsidP="00024AB5">
      <w:pPr>
        <w:pStyle w:val="Heading5"/>
      </w:pPr>
      <w:r>
        <w:t>Definition and use of risk mitigants</w:t>
      </w:r>
    </w:p>
    <w:p w14:paraId="691A80B6" w14:textId="21D7A74A" w:rsidR="00304CC8" w:rsidRPr="00304CC8" w:rsidRDefault="00A73238" w:rsidP="00304CC8">
      <w:pPr>
        <w:rPr>
          <w:highlight w:val="yellow"/>
        </w:rPr>
      </w:pPr>
      <w:r>
        <w:t>Some</w:t>
      </w:r>
      <w:r w:rsidR="003853AC">
        <w:t xml:space="preserve"> respondents submitted that the current definition</w:t>
      </w:r>
      <w:r w:rsidR="00A16E31">
        <w:t>s</w:t>
      </w:r>
      <w:r w:rsidR="00873F13">
        <w:t xml:space="preserve"> of risk mitigan</w:t>
      </w:r>
      <w:r w:rsidR="003853AC">
        <w:t xml:space="preserve">ts is clear and adequate. </w:t>
      </w:r>
      <w:r>
        <w:t xml:space="preserve">Other respondents </w:t>
      </w:r>
      <w:r w:rsidR="00873F13">
        <w:t>recommended APRA expand the current definiti</w:t>
      </w:r>
      <w:r w:rsidR="008C6928">
        <w:t>on</w:t>
      </w:r>
      <w:r w:rsidR="00A16E31">
        <w:t>s</w:t>
      </w:r>
      <w:r w:rsidR="008C6928">
        <w:t xml:space="preserve"> to include letters of credit</w:t>
      </w:r>
      <w:r w:rsidR="00873F13">
        <w:t xml:space="preserve">, funds withheld arrangements and collateral trust structures. </w:t>
      </w:r>
      <w:r w:rsidR="004B6044">
        <w:t xml:space="preserve">Some </w:t>
      </w:r>
      <w:r w:rsidR="00F43378">
        <w:t xml:space="preserve">recommended that APRA should make the definitions consistent with the definitions in </w:t>
      </w:r>
      <w:r w:rsidR="00524000" w:rsidRPr="00225D1D">
        <w:rPr>
          <w:i/>
        </w:rPr>
        <w:t xml:space="preserve">Prudential Standard </w:t>
      </w:r>
      <w:r w:rsidR="00F43378" w:rsidRPr="00225D1D">
        <w:rPr>
          <w:i/>
        </w:rPr>
        <w:t>GPS</w:t>
      </w:r>
      <w:r w:rsidR="002D2125" w:rsidRPr="00225D1D">
        <w:rPr>
          <w:i/>
        </w:rPr>
        <w:t> </w:t>
      </w:r>
      <w:r w:rsidR="00F43378" w:rsidRPr="00225D1D">
        <w:rPr>
          <w:i/>
        </w:rPr>
        <w:t xml:space="preserve">117 </w:t>
      </w:r>
      <w:r w:rsidR="00524000" w:rsidRPr="00225D1D">
        <w:rPr>
          <w:i/>
        </w:rPr>
        <w:t>Capital Adequacy: Asset Concentration Risk Charge</w:t>
      </w:r>
      <w:r w:rsidR="00524000">
        <w:t xml:space="preserve"> (GPS 117) </w:t>
      </w:r>
      <w:r w:rsidR="00F43378">
        <w:t xml:space="preserve">and </w:t>
      </w:r>
      <w:r w:rsidR="00524000" w:rsidRPr="00225D1D">
        <w:rPr>
          <w:i/>
        </w:rPr>
        <w:t>Prudential Standard GPS 114 Capital Adequacy: Asset Risk Charge</w:t>
      </w:r>
      <w:r w:rsidR="00524000">
        <w:t xml:space="preserve"> (GPS 114)</w:t>
      </w:r>
      <w:r w:rsidR="00F43378">
        <w:t xml:space="preserve">. </w:t>
      </w:r>
      <w:r w:rsidR="00487696">
        <w:t xml:space="preserve">One respondent submitted that certain credit enhancement structures are currently being explored by market participants </w:t>
      </w:r>
      <w:r w:rsidR="004B6044">
        <w:t>due to the</w:t>
      </w:r>
      <w:r w:rsidR="00487696">
        <w:t xml:space="preserve"> restrictive definition of eligible collateral and this should therefore encourage APRA to accelerate expansion</w:t>
      </w:r>
      <w:r w:rsidR="00AF6183">
        <w:t xml:space="preserve"> of the definition of risk mitigants</w:t>
      </w:r>
      <w:r w:rsidR="00487696">
        <w:t xml:space="preserve">. </w:t>
      </w:r>
    </w:p>
    <w:p w14:paraId="1AFAE480" w14:textId="539E6FC4" w:rsidR="009D41AE" w:rsidRDefault="004364B3" w:rsidP="00E1263F">
      <w:pPr>
        <w:pStyle w:val="Heading5"/>
      </w:pPr>
      <w:r>
        <w:t>Collateral trusts</w:t>
      </w:r>
    </w:p>
    <w:p w14:paraId="76F743A1" w14:textId="7B359DC6" w:rsidR="00D72A26" w:rsidRPr="00D72A26" w:rsidRDefault="00D72A26" w:rsidP="00D72A26">
      <w:r w:rsidRPr="00D72A26">
        <w:t>Submission</w:t>
      </w:r>
      <w:r>
        <w:t>s</w:t>
      </w:r>
      <w:r w:rsidRPr="00D72A26">
        <w:t xml:space="preserve"> contained </w:t>
      </w:r>
      <w:r>
        <w:t xml:space="preserve">recommendations </w:t>
      </w:r>
      <w:r w:rsidRPr="00D72A26">
        <w:t>on how collateral trust structures should be considered under the standard. There</w:t>
      </w:r>
      <w:r>
        <w:t xml:space="preserve"> was</w:t>
      </w:r>
      <w:r w:rsidRPr="00D72A26">
        <w:t xml:space="preserve"> recognition of the complexities </w:t>
      </w:r>
      <w:r w:rsidR="004B6044">
        <w:t>of</w:t>
      </w:r>
      <w:r>
        <w:t xml:space="preserve"> </w:t>
      </w:r>
      <w:r w:rsidRPr="00D72A26">
        <w:t>interaction</w:t>
      </w:r>
      <w:r w:rsidR="004B6044">
        <w:t>s</w:t>
      </w:r>
      <w:r w:rsidRPr="00D72A26">
        <w:t xml:space="preserve"> between collateral trusts and the Life Act</w:t>
      </w:r>
      <w:r w:rsidR="004B6044">
        <w:t>,</w:t>
      </w:r>
      <w:r w:rsidRPr="00D72A26">
        <w:t xml:space="preserve"> and that any outcome needs </w:t>
      </w:r>
      <w:r>
        <w:t xml:space="preserve">to </w:t>
      </w:r>
      <w:r w:rsidRPr="00D72A26">
        <w:t xml:space="preserve">ensure there is a level playing field. </w:t>
      </w:r>
      <w:r w:rsidR="00286BAC">
        <w:t>The Life Act prevents the mortgage or charge of an asset of a statutory fund, such as would be required in setting up a collateral trust, other than in very limited circumstances.</w:t>
      </w:r>
      <w:r w:rsidR="005453D2">
        <w:t xml:space="preserve"> </w:t>
      </w:r>
      <w:r w:rsidR="00E229CB">
        <w:t>Since o</w:t>
      </w:r>
      <w:r w:rsidR="005453D2">
        <w:t>ffshore reinsurers are not subject to these restrictions</w:t>
      </w:r>
      <w:r w:rsidR="00E229CB">
        <w:t xml:space="preserve"> they</w:t>
      </w:r>
      <w:r w:rsidR="005453D2">
        <w:t xml:space="preserve"> </w:t>
      </w:r>
      <w:r w:rsidR="00252A0C">
        <w:t xml:space="preserve">are likely to </w:t>
      </w:r>
      <w:r w:rsidR="00E229CB">
        <w:t xml:space="preserve">find it easier </w:t>
      </w:r>
      <w:r w:rsidR="000B02F8">
        <w:t xml:space="preserve">than APRA-authorised reinsurers </w:t>
      </w:r>
      <w:r w:rsidR="00F951A2">
        <w:t xml:space="preserve">to </w:t>
      </w:r>
      <w:r w:rsidR="00902219">
        <w:t xml:space="preserve">provide collateral via a </w:t>
      </w:r>
      <w:r w:rsidR="00F951A2">
        <w:t>collateral trust.</w:t>
      </w:r>
    </w:p>
    <w:p w14:paraId="258DB147" w14:textId="3C1DEEF0" w:rsidR="00A86CD3" w:rsidRPr="00A86CD3" w:rsidRDefault="00A86CD3" w:rsidP="00E1263F">
      <w:pPr>
        <w:pStyle w:val="Heading5"/>
      </w:pPr>
      <w:bookmarkStart w:id="35" w:name="_Toc14705999"/>
      <w:bookmarkStart w:id="36" w:name="_Toc14769837"/>
      <w:r w:rsidRPr="00A86CD3">
        <w:t>Governance</w:t>
      </w:r>
      <w:bookmarkEnd w:id="35"/>
      <w:bookmarkEnd w:id="36"/>
      <w:r w:rsidR="00465AA1">
        <w:t xml:space="preserve"> of mitigants</w:t>
      </w:r>
    </w:p>
    <w:p w14:paraId="6BF6FD4D" w14:textId="7225DBCB" w:rsidR="00F8186C" w:rsidRDefault="006C59DD" w:rsidP="00F8186C">
      <w:r>
        <w:t>R</w:t>
      </w:r>
      <w:r w:rsidR="00F8186C">
        <w:t>espondents recognised the importance of</w:t>
      </w:r>
      <w:r w:rsidR="00B00B26">
        <w:t xml:space="preserve"> an appropriate level of governance and oversight of risk mitigants. It was recommended</w:t>
      </w:r>
      <w:r w:rsidR="00D86296">
        <w:t xml:space="preserve"> </w:t>
      </w:r>
      <w:r w:rsidR="00B00B26">
        <w:t xml:space="preserve">that </w:t>
      </w:r>
      <w:r w:rsidR="00D86296">
        <w:t xml:space="preserve">the level of governance and </w:t>
      </w:r>
      <w:r w:rsidR="00731B20">
        <w:t>oversight</w:t>
      </w:r>
      <w:r w:rsidR="00D86296">
        <w:t xml:space="preserve"> be commensurate with complexity and </w:t>
      </w:r>
      <w:r w:rsidR="00B00B26">
        <w:t>any new governance requirements be included within existing require</w:t>
      </w:r>
      <w:r w:rsidR="00D86296">
        <w:t xml:space="preserve">ments (for example, </w:t>
      </w:r>
      <w:r>
        <w:t xml:space="preserve">within </w:t>
      </w:r>
      <w:r w:rsidR="00D86296">
        <w:t>the</w:t>
      </w:r>
      <w:r w:rsidR="00F55916">
        <w:t xml:space="preserve"> </w:t>
      </w:r>
      <w:r w:rsidR="00F55916" w:rsidRPr="00225D1D">
        <w:t>Internal Capital Adequacy Assessment Process</w:t>
      </w:r>
      <w:r w:rsidR="00D86296">
        <w:t xml:space="preserve"> </w:t>
      </w:r>
      <w:r w:rsidR="00F55916">
        <w:t>(</w:t>
      </w:r>
      <w:r w:rsidR="00D86296">
        <w:t>ICAAP</w:t>
      </w:r>
      <w:r w:rsidR="00F55916">
        <w:t>)</w:t>
      </w:r>
      <w:r w:rsidR="00D86296">
        <w:t>).</w:t>
      </w:r>
      <w:r w:rsidR="00731B20">
        <w:t xml:space="preserve"> </w:t>
      </w:r>
    </w:p>
    <w:p w14:paraId="1E11FB39" w14:textId="624F98E3" w:rsidR="00341E9C" w:rsidRPr="00402CF4" w:rsidRDefault="00F8186C" w:rsidP="001C726D">
      <w:r>
        <w:t>Two submissions recommended APRA publish ‘template forms’ of collateral inst</w:t>
      </w:r>
      <w:r w:rsidR="00430FF9">
        <w:t xml:space="preserve">ruments </w:t>
      </w:r>
      <w:r w:rsidR="004A5932">
        <w:t xml:space="preserve">that </w:t>
      </w:r>
      <w:r w:rsidR="00430FF9">
        <w:t xml:space="preserve">it has approved. </w:t>
      </w:r>
      <w:r w:rsidR="006C59DD">
        <w:t xml:space="preserve">A number of respondents </w:t>
      </w:r>
      <w:r w:rsidR="00430FF9">
        <w:t xml:space="preserve">expressed </w:t>
      </w:r>
      <w:r w:rsidR="006C59DD">
        <w:t xml:space="preserve">a view that </w:t>
      </w:r>
      <w:r w:rsidR="00430FF9">
        <w:t xml:space="preserve">governance and oversight proposals should not require independent legal advice. </w:t>
      </w:r>
    </w:p>
    <w:p w14:paraId="50722D71" w14:textId="3F0CE0EA" w:rsidR="0098066A" w:rsidRDefault="00D61394" w:rsidP="001B3C4C">
      <w:pPr>
        <w:pStyle w:val="Heading2Numbers"/>
      </w:pPr>
      <w:r>
        <w:lastRenderedPageBreak/>
        <w:t>P</w:t>
      </w:r>
      <w:r w:rsidR="001B3C4C">
        <w:t>roposed revisions to the treatment of risk mitigants</w:t>
      </w:r>
    </w:p>
    <w:p w14:paraId="70204F08" w14:textId="4CE61334" w:rsidR="00BE1585" w:rsidRPr="00BE1585" w:rsidRDefault="00BE1585" w:rsidP="009C4FC9">
      <w:pPr>
        <w:pStyle w:val="Heading3Numbers"/>
      </w:pPr>
      <w:r>
        <w:t xml:space="preserve">Overview </w:t>
      </w:r>
    </w:p>
    <w:p w14:paraId="7F1AFD3A" w14:textId="022C51B3" w:rsidR="001B3C4C" w:rsidRDefault="001B3C4C" w:rsidP="00D36338">
      <w:r>
        <w:t>Risk mitigants are an important element of an insurer</w:t>
      </w:r>
      <w:r w:rsidR="00420FCD">
        <w:t>’</w:t>
      </w:r>
      <w:r>
        <w:t xml:space="preserve">s approach to managing credit risk arising from reinsurance arrangements. </w:t>
      </w:r>
      <w:r w:rsidR="00B754CB">
        <w:t>T</w:t>
      </w:r>
      <w:r>
        <w:t xml:space="preserve">he current standard outlines how the impact of applying the asset concentration limits can be reduced by the use of collateral and guarantees. Market developments have </w:t>
      </w:r>
      <w:r w:rsidR="00E7593A">
        <w:t xml:space="preserve">led to this </w:t>
      </w:r>
      <w:r w:rsidR="00C746C5">
        <w:t>section</w:t>
      </w:r>
      <w:r w:rsidR="00E7593A">
        <w:t xml:space="preserve"> of the standard </w:t>
      </w:r>
      <w:r>
        <w:t>no longer</w:t>
      </w:r>
      <w:r w:rsidR="00E7593A">
        <w:t xml:space="preserve"> being</w:t>
      </w:r>
      <w:r>
        <w:t xml:space="preserve"> fit for purpose. </w:t>
      </w:r>
    </w:p>
    <w:p w14:paraId="4971873E" w14:textId="187698F1" w:rsidR="001B3C4C" w:rsidRDefault="001B3C4C" w:rsidP="00BE1585">
      <w:r>
        <w:t xml:space="preserve">APRA’s main objective </w:t>
      </w:r>
      <w:r w:rsidR="00B16BAA">
        <w:t>is to</w:t>
      </w:r>
      <w:r>
        <w:t xml:space="preserve"> enhance clarity </w:t>
      </w:r>
      <w:r w:rsidR="00B16BAA">
        <w:t xml:space="preserve">of </w:t>
      </w:r>
      <w:r>
        <w:t>requirements and expectations. By clarifying and refining the treatment of risk mitigants under LPS 117, it is expected that insurers will be able to utilise mitigation features in a more efficient manner.</w:t>
      </w:r>
    </w:p>
    <w:p w14:paraId="621B1EE8" w14:textId="18D6062F" w:rsidR="005F05AC" w:rsidRDefault="005F05AC" w:rsidP="00BE1585">
      <w:r>
        <w:t xml:space="preserve">While focus has been on </w:t>
      </w:r>
      <w:r w:rsidR="00B4165D">
        <w:t xml:space="preserve">risk mitigation techniques used in the context of reinsurance exposures, some proposed changes affect assets other than reinsurance assets. </w:t>
      </w:r>
    </w:p>
    <w:p w14:paraId="0C12066E" w14:textId="4BDCF607" w:rsidR="00C41A82" w:rsidRDefault="007A5D34" w:rsidP="00D36338">
      <w:pPr>
        <w:numPr>
          <w:ilvl w:val="0"/>
          <w:numId w:val="0"/>
        </w:numPr>
      </w:pPr>
      <w:r>
        <w:t>APRA has established t</w:t>
      </w:r>
      <w:r w:rsidR="006F58E8">
        <w:t>hree categories of risk mitigants t</w:t>
      </w:r>
      <w:r w:rsidR="001B3C4C">
        <w:t xml:space="preserve">o help </w:t>
      </w:r>
      <w:r w:rsidR="00D36338">
        <w:t>communicate the proposed revisions</w:t>
      </w:r>
      <w:r w:rsidR="00C41A82">
        <w:t>.</w:t>
      </w:r>
      <w:r w:rsidR="00D36338">
        <w:t xml:space="preserve"> </w:t>
      </w:r>
      <w:r w:rsidR="006F58E8">
        <w:t xml:space="preserve">These categories are not explicit </w:t>
      </w:r>
      <w:r w:rsidR="0023424F">
        <w:t>in the draft standard</w:t>
      </w:r>
      <w:r w:rsidR="00D36338">
        <w:t xml:space="preserve">. </w:t>
      </w:r>
    </w:p>
    <w:p w14:paraId="601E5769" w14:textId="02ECF419" w:rsidR="00D36338" w:rsidRDefault="00C41A82" w:rsidP="003B1E8E">
      <w:pPr>
        <w:pStyle w:val="ListBullet"/>
      </w:pPr>
      <w:r>
        <w:t>Collateral-type mitigants - m</w:t>
      </w:r>
      <w:r w:rsidRPr="00771DBB">
        <w:t>itigants</w:t>
      </w:r>
      <w:r>
        <w:t xml:space="preserve"> that take the form of assets being a substitute for the exposure to a reinsurance asset.</w:t>
      </w:r>
    </w:p>
    <w:p w14:paraId="479B4A6B" w14:textId="029CCB6B" w:rsidR="00C41A82" w:rsidRDefault="00C41A82" w:rsidP="003B1E8E">
      <w:pPr>
        <w:pStyle w:val="ListBullet"/>
      </w:pPr>
      <w:r>
        <w:t xml:space="preserve">Guarantee-type mitigants - mitigants that allow security for a reinsurance asset to be provided by a </w:t>
      </w:r>
      <w:r w:rsidDel="00050898">
        <w:t>third</w:t>
      </w:r>
      <w:r>
        <w:t>-party guarantor.</w:t>
      </w:r>
    </w:p>
    <w:p w14:paraId="3BD95989" w14:textId="04DCB60D" w:rsidR="00C41A82" w:rsidRDefault="00C41A82" w:rsidP="003B1E8E">
      <w:pPr>
        <w:pStyle w:val="ListBullet"/>
      </w:pPr>
      <w:r>
        <w:t xml:space="preserve">Netting arrangements - </w:t>
      </w:r>
      <w:r w:rsidRPr="000127D3">
        <w:t>arrangements where the net exposure to the reinsurance asset is reduced through contractual terms in the reinsurance treaty altering the underlying premium and claims cash flows, or other payments made or received so as to reduce the reinsured’s exposure to the reinsurance asset</w:t>
      </w:r>
      <w:r>
        <w:t>.</w:t>
      </w:r>
    </w:p>
    <w:p w14:paraId="2BB7FEA6" w14:textId="6B39AC62" w:rsidR="001B3C4C" w:rsidRDefault="001B3C4C" w:rsidP="003B1E8E">
      <w:pPr>
        <w:numPr>
          <w:ilvl w:val="0"/>
          <w:numId w:val="0"/>
        </w:numPr>
      </w:pPr>
      <w:r>
        <w:t xml:space="preserve">A list of the main types of mitigants within each of these categories can be found in </w:t>
      </w:r>
      <w:r w:rsidR="00473C62">
        <w:t>the following table</w:t>
      </w:r>
      <w:r w:rsidR="00B754CB">
        <w:t>,</w:t>
      </w:r>
      <w:r>
        <w:t xml:space="preserve"> provid</w:t>
      </w:r>
      <w:r w:rsidR="00AF6183">
        <w:t>ing</w:t>
      </w:r>
      <w:r w:rsidR="00B754CB">
        <w:t xml:space="preserve"> </w:t>
      </w:r>
      <w:r>
        <w:t xml:space="preserve">common </w:t>
      </w:r>
      <w:r w:rsidR="00C3377D">
        <w:t xml:space="preserve">terminology </w:t>
      </w:r>
      <w:r w:rsidR="00D36338">
        <w:t>to facilitate the consultation process</w:t>
      </w:r>
      <w:r w:rsidR="00BE1585">
        <w:t>.</w:t>
      </w:r>
    </w:p>
    <w:p w14:paraId="046A02BB" w14:textId="57496151" w:rsidR="00473C62" w:rsidRDefault="00D938A1" w:rsidP="00473C62">
      <w:pPr>
        <w:pStyle w:val="Heading4"/>
      </w:pPr>
      <w:r>
        <w:t>Table 1</w:t>
      </w:r>
      <w:r w:rsidR="00473C62">
        <w:t>. Commonly used risk mitigants</w:t>
      </w:r>
    </w:p>
    <w:tbl>
      <w:tblPr>
        <w:tblStyle w:val="TableGrid"/>
        <w:tblW w:w="0" w:type="auto"/>
        <w:tblLook w:val="04A0" w:firstRow="1" w:lastRow="0" w:firstColumn="1" w:lastColumn="0" w:noHBand="0" w:noVBand="1"/>
      </w:tblPr>
      <w:tblGrid>
        <w:gridCol w:w="1649"/>
        <w:gridCol w:w="1470"/>
        <w:gridCol w:w="5907"/>
      </w:tblGrid>
      <w:tr w:rsidR="00473C62" w14:paraId="1F2C6B7D" w14:textId="77777777" w:rsidTr="00AF7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tcPr>
          <w:p w14:paraId="3C755FDE" w14:textId="03D05EC5" w:rsidR="00473C62" w:rsidRPr="00473C62" w:rsidRDefault="00473C62" w:rsidP="00473C62">
            <w:pPr>
              <w:rPr>
                <w:b/>
              </w:rPr>
            </w:pPr>
            <w:r w:rsidRPr="00473C62">
              <w:rPr>
                <w:b/>
              </w:rPr>
              <w:t>Category</w:t>
            </w:r>
          </w:p>
        </w:tc>
        <w:tc>
          <w:tcPr>
            <w:tcW w:w="1470" w:type="dxa"/>
          </w:tcPr>
          <w:p w14:paraId="7DEBA288" w14:textId="312ED973" w:rsidR="00473C62" w:rsidRPr="00473C62" w:rsidRDefault="00473C62" w:rsidP="00473C62">
            <w:pPr>
              <w:numPr>
                <w:ilvl w:val="0"/>
                <w:numId w:val="0"/>
              </w:numPr>
              <w:cnfStyle w:val="100000000000" w:firstRow="1" w:lastRow="0" w:firstColumn="0" w:lastColumn="0" w:oddVBand="0" w:evenVBand="0" w:oddHBand="0" w:evenHBand="0" w:firstRowFirstColumn="0" w:firstRowLastColumn="0" w:lastRowFirstColumn="0" w:lastRowLastColumn="0"/>
              <w:rPr>
                <w:b/>
              </w:rPr>
            </w:pPr>
            <w:r w:rsidRPr="00473C62">
              <w:rPr>
                <w:b/>
              </w:rPr>
              <w:t>Title</w:t>
            </w:r>
          </w:p>
        </w:tc>
        <w:tc>
          <w:tcPr>
            <w:tcW w:w="5907" w:type="dxa"/>
          </w:tcPr>
          <w:p w14:paraId="53C74845" w14:textId="049E1E8F" w:rsidR="00473C62" w:rsidRPr="00473C62" w:rsidRDefault="00473C62" w:rsidP="00473C62">
            <w:pPr>
              <w:numPr>
                <w:ilvl w:val="0"/>
                <w:numId w:val="0"/>
              </w:numPr>
              <w:cnfStyle w:val="100000000000" w:firstRow="1" w:lastRow="0" w:firstColumn="0" w:lastColumn="0" w:oddVBand="0" w:evenVBand="0" w:oddHBand="0" w:evenHBand="0" w:firstRowFirstColumn="0" w:firstRowLastColumn="0" w:lastRowFirstColumn="0" w:lastRowLastColumn="0"/>
              <w:rPr>
                <w:b/>
              </w:rPr>
            </w:pPr>
            <w:r w:rsidRPr="00473C62">
              <w:rPr>
                <w:b/>
              </w:rPr>
              <w:t>Description</w:t>
            </w:r>
          </w:p>
        </w:tc>
      </w:tr>
      <w:tr w:rsidR="00E1263F" w14:paraId="281EDF9E" w14:textId="77777777" w:rsidTr="00AF7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val="restart"/>
            <w:shd w:val="clear" w:color="auto" w:fill="012169" w:themeFill="accent1"/>
          </w:tcPr>
          <w:p w14:paraId="06246DE2" w14:textId="37F2CF6A" w:rsidR="00E1263F" w:rsidRPr="00EA280A" w:rsidRDefault="00E1263F" w:rsidP="00473C62">
            <w:pPr>
              <w:rPr>
                <w:b/>
              </w:rPr>
            </w:pPr>
            <w:r w:rsidRPr="00EA280A">
              <w:rPr>
                <w:b/>
              </w:rPr>
              <w:t>Collateral-type mitigants</w:t>
            </w:r>
          </w:p>
        </w:tc>
        <w:tc>
          <w:tcPr>
            <w:tcW w:w="1470" w:type="dxa"/>
          </w:tcPr>
          <w:p w14:paraId="3E9837EA" w14:textId="4754A45F" w:rsidR="00E1263F" w:rsidRDefault="00E1263F" w:rsidP="00473C62">
            <w:pPr>
              <w:cnfStyle w:val="000000100000" w:firstRow="0" w:lastRow="0" w:firstColumn="0" w:lastColumn="0" w:oddVBand="0" w:evenVBand="0" w:oddHBand="1" w:evenHBand="0" w:firstRowFirstColumn="0" w:firstRowLastColumn="0" w:lastRowFirstColumn="0" w:lastRowLastColumn="0"/>
            </w:pPr>
            <w:r>
              <w:t>Collateral arrangement</w:t>
            </w:r>
          </w:p>
        </w:tc>
        <w:tc>
          <w:tcPr>
            <w:tcW w:w="5907" w:type="dxa"/>
          </w:tcPr>
          <w:p w14:paraId="70A5EA6A" w14:textId="0A5DC1E9" w:rsidR="00E1263F" w:rsidRDefault="00E1263F" w:rsidP="00473C62">
            <w:pPr>
              <w:cnfStyle w:val="000000100000" w:firstRow="0" w:lastRow="0" w:firstColumn="0" w:lastColumn="0" w:oddVBand="0" w:evenVBand="0" w:oddHBand="1" w:evenHBand="0" w:firstRowFirstColumn="0" w:firstRowLastColumn="0" w:lastRowFirstColumn="0" w:lastRowLastColumn="0"/>
            </w:pPr>
            <w:r>
              <w:t>A registered charge or mortgage or other legally enforceable security interest in or over an eligible collateral item (including custodial deposit arrangements where the custodian acts exclusively on the instruction of the reinsured</w:t>
            </w:r>
            <w:r w:rsidR="008C348F">
              <w:t>)</w:t>
            </w:r>
            <w:r>
              <w:t>.</w:t>
            </w:r>
          </w:p>
        </w:tc>
      </w:tr>
      <w:tr w:rsidR="00E1263F" w14:paraId="11E55C66" w14:textId="77777777" w:rsidTr="00AF7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437574A9" w14:textId="77777777" w:rsidR="00E1263F" w:rsidRDefault="00E1263F" w:rsidP="00473C62"/>
        </w:tc>
        <w:tc>
          <w:tcPr>
            <w:tcW w:w="1470" w:type="dxa"/>
          </w:tcPr>
          <w:p w14:paraId="0C093D15" w14:textId="54EBE2C9" w:rsidR="00E1263F" w:rsidRDefault="00E1263F" w:rsidP="00473C62">
            <w:pPr>
              <w:cnfStyle w:val="000000010000" w:firstRow="0" w:lastRow="0" w:firstColumn="0" w:lastColumn="0" w:oddVBand="0" w:evenVBand="0" w:oddHBand="0" w:evenHBand="1" w:firstRowFirstColumn="0" w:firstRowLastColumn="0" w:lastRowFirstColumn="0" w:lastRowLastColumn="0"/>
            </w:pPr>
            <w:r>
              <w:t>Collateral trusts</w:t>
            </w:r>
          </w:p>
        </w:tc>
        <w:tc>
          <w:tcPr>
            <w:tcW w:w="5907" w:type="dxa"/>
          </w:tcPr>
          <w:p w14:paraId="5978FF42" w14:textId="3A214728" w:rsidR="00E1263F" w:rsidRDefault="00E1263F" w:rsidP="00473C62">
            <w:pPr>
              <w:cnfStyle w:val="000000010000" w:firstRow="0" w:lastRow="0" w:firstColumn="0" w:lastColumn="0" w:oddVBand="0" w:evenVBand="0" w:oddHBand="0" w:evenHBand="1" w:firstRowFirstColumn="0" w:firstRowLastColumn="0" w:lastRowFirstColumn="0" w:lastRowLastColumn="0"/>
            </w:pPr>
            <w:r>
              <w:t>A</w:t>
            </w:r>
            <w:r w:rsidR="00E359DB">
              <w:t>n</w:t>
            </w:r>
            <w:r>
              <w:t xml:space="preserve"> arrangement where assets are housed in a trust</w:t>
            </w:r>
            <w:r w:rsidR="008C348F">
              <w:t xml:space="preserve"> on behalf of the reinsured </w:t>
            </w:r>
            <w:r w:rsidR="00E359DB">
              <w:t xml:space="preserve">as security for the reinsurer’s obligations </w:t>
            </w:r>
            <w:r w:rsidR="008C348F">
              <w:t xml:space="preserve">under </w:t>
            </w:r>
            <w:r>
              <w:t>the reinsurance contract.</w:t>
            </w:r>
          </w:p>
        </w:tc>
      </w:tr>
      <w:tr w:rsidR="00EA280A" w14:paraId="1A1ACD8F" w14:textId="77777777" w:rsidTr="00AF7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val="restart"/>
            <w:shd w:val="clear" w:color="auto" w:fill="012169" w:themeFill="accent1"/>
          </w:tcPr>
          <w:p w14:paraId="27166B3B" w14:textId="13AE1772" w:rsidR="00EA280A" w:rsidRPr="00EA280A" w:rsidRDefault="00EA280A" w:rsidP="00473C62">
            <w:pPr>
              <w:rPr>
                <w:b/>
              </w:rPr>
            </w:pPr>
            <w:r w:rsidRPr="00EA280A">
              <w:rPr>
                <w:b/>
              </w:rPr>
              <w:t>Guarantee-type mitigants</w:t>
            </w:r>
          </w:p>
        </w:tc>
        <w:tc>
          <w:tcPr>
            <w:tcW w:w="1470" w:type="dxa"/>
          </w:tcPr>
          <w:p w14:paraId="221C766D" w14:textId="7BFC80B7" w:rsidR="00EA280A" w:rsidRDefault="00EA280A" w:rsidP="00473C62">
            <w:pPr>
              <w:cnfStyle w:val="000000100000" w:firstRow="0" w:lastRow="0" w:firstColumn="0" w:lastColumn="0" w:oddVBand="0" w:evenVBand="0" w:oddHBand="1" w:evenHBand="0" w:firstRowFirstColumn="0" w:firstRowLastColumn="0" w:lastRowFirstColumn="0" w:lastRowLastColumn="0"/>
            </w:pPr>
            <w:r>
              <w:t>Guarantee</w:t>
            </w:r>
          </w:p>
        </w:tc>
        <w:tc>
          <w:tcPr>
            <w:tcW w:w="5907" w:type="dxa"/>
          </w:tcPr>
          <w:p w14:paraId="38F7EBB8" w14:textId="29B39C54" w:rsidR="00EA280A" w:rsidRDefault="00EA280A" w:rsidP="00EA280A">
            <w:pPr>
              <w:numPr>
                <w:ilvl w:val="0"/>
                <w:numId w:val="0"/>
              </w:numPr>
              <w:cnfStyle w:val="000000100000" w:firstRow="0" w:lastRow="0" w:firstColumn="0" w:lastColumn="0" w:oddVBand="0" w:evenVBand="0" w:oddHBand="1" w:evenHBand="0" w:firstRowFirstColumn="0" w:firstRowLastColumn="0" w:lastRowFirstColumn="0" w:lastRowLastColumn="0"/>
            </w:pPr>
            <w:r>
              <w:t xml:space="preserve">A guarantor agrees to </w:t>
            </w:r>
            <w:r w:rsidR="008C348F">
              <w:t xml:space="preserve">meet </w:t>
            </w:r>
            <w:r>
              <w:t>the obligations of the reinsurer to the cedant in the event that the reinsurer defaults.</w:t>
            </w:r>
          </w:p>
        </w:tc>
      </w:tr>
      <w:tr w:rsidR="00EA280A" w14:paraId="133D09CC" w14:textId="77777777" w:rsidTr="00AF7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114CA704" w14:textId="77777777" w:rsidR="00EA280A" w:rsidRDefault="00EA280A" w:rsidP="00473C62"/>
        </w:tc>
        <w:tc>
          <w:tcPr>
            <w:tcW w:w="1470" w:type="dxa"/>
          </w:tcPr>
          <w:p w14:paraId="44B0038B" w14:textId="1303934D" w:rsidR="00EA280A" w:rsidRDefault="00EA280A" w:rsidP="00473C62">
            <w:pPr>
              <w:cnfStyle w:val="000000010000" w:firstRow="0" w:lastRow="0" w:firstColumn="0" w:lastColumn="0" w:oddVBand="0" w:evenVBand="0" w:oddHBand="0" w:evenHBand="1" w:firstRowFirstColumn="0" w:firstRowLastColumn="0" w:lastRowFirstColumn="0" w:lastRowLastColumn="0"/>
            </w:pPr>
            <w:r>
              <w:t>Letter of credit</w:t>
            </w:r>
          </w:p>
        </w:tc>
        <w:tc>
          <w:tcPr>
            <w:tcW w:w="5907" w:type="dxa"/>
          </w:tcPr>
          <w:p w14:paraId="2F84C317" w14:textId="748313BD" w:rsidR="00EA280A" w:rsidRDefault="00EA280A" w:rsidP="00473C62">
            <w:pPr>
              <w:cnfStyle w:val="000000010000" w:firstRow="0" w:lastRow="0" w:firstColumn="0" w:lastColumn="0" w:oddVBand="0" w:evenVBand="0" w:oddHBand="0" w:evenHBand="1" w:firstRowFirstColumn="0" w:firstRowLastColumn="0" w:lastRowFirstColumn="0" w:lastRowLastColumn="0"/>
            </w:pPr>
            <w:r>
              <w:t>A</w:t>
            </w:r>
            <w:r w:rsidR="008C348F">
              <w:t xml:space="preserve">n arrangement under which a reinsured can call upon the </w:t>
            </w:r>
            <w:r w:rsidR="00E359DB">
              <w:t xml:space="preserve">third party </w:t>
            </w:r>
            <w:r w:rsidR="008C348F">
              <w:t xml:space="preserve">issuer to make payments required from a reinsurer where </w:t>
            </w:r>
            <w:r w:rsidR="008C348F">
              <w:lastRenderedPageBreak/>
              <w:t>the reinsurer fails to pay an amount required under the reinsurance contract</w:t>
            </w:r>
            <w:r>
              <w:t>, typically provided by an ADI.</w:t>
            </w:r>
          </w:p>
        </w:tc>
      </w:tr>
      <w:tr w:rsidR="007866B1" w14:paraId="56A9F66D" w14:textId="77777777" w:rsidTr="00AF7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val="restart"/>
            <w:shd w:val="clear" w:color="auto" w:fill="012169" w:themeFill="accent1"/>
          </w:tcPr>
          <w:p w14:paraId="27AD92AE" w14:textId="78AF267D" w:rsidR="007866B1" w:rsidRPr="007866B1" w:rsidRDefault="00DB7789">
            <w:pPr>
              <w:rPr>
                <w:b/>
              </w:rPr>
            </w:pPr>
            <w:r>
              <w:rPr>
                <w:b/>
              </w:rPr>
              <w:lastRenderedPageBreak/>
              <w:t xml:space="preserve">Netting </w:t>
            </w:r>
            <w:r w:rsidR="0023424F">
              <w:rPr>
                <w:b/>
              </w:rPr>
              <w:t>arrangements</w:t>
            </w:r>
          </w:p>
        </w:tc>
        <w:tc>
          <w:tcPr>
            <w:tcW w:w="1470" w:type="dxa"/>
          </w:tcPr>
          <w:p w14:paraId="48E0E032" w14:textId="71FB7B7A" w:rsidR="007866B1" w:rsidRDefault="007866B1" w:rsidP="00473C62">
            <w:pPr>
              <w:cnfStyle w:val="000000100000" w:firstRow="0" w:lastRow="0" w:firstColumn="0" w:lastColumn="0" w:oddVBand="0" w:evenVBand="0" w:oddHBand="1" w:evenHBand="0" w:firstRowFirstColumn="0" w:firstRowLastColumn="0" w:lastRowFirstColumn="0" w:lastRowLastColumn="0"/>
            </w:pPr>
            <w:r>
              <w:t>Premium deferral</w:t>
            </w:r>
          </w:p>
        </w:tc>
        <w:tc>
          <w:tcPr>
            <w:tcW w:w="5907" w:type="dxa"/>
          </w:tcPr>
          <w:p w14:paraId="7605C6D6" w14:textId="521CC866" w:rsidR="007866B1" w:rsidRDefault="007866B1" w:rsidP="00473C62">
            <w:pPr>
              <w:cnfStyle w:val="000000100000" w:firstRow="0" w:lastRow="0" w:firstColumn="0" w:lastColumn="0" w:oddVBand="0" w:evenVBand="0" w:oddHBand="1" w:evenHBand="0" w:firstRowFirstColumn="0" w:firstRowLastColumn="0" w:lastRowFirstColumn="0" w:lastRowLastColumn="0"/>
            </w:pPr>
            <w:r>
              <w:t xml:space="preserve">Arrangements that allow the insurer to defer the payment of premiums, either in the normal course of business or as a means of avoiding an ACRC. It has the effect of reducing the net counterparty exposure to the reinsurer. </w:t>
            </w:r>
          </w:p>
        </w:tc>
      </w:tr>
      <w:tr w:rsidR="007866B1" w14:paraId="248DC968" w14:textId="77777777" w:rsidTr="00AF7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515FA902" w14:textId="77777777" w:rsidR="007866B1" w:rsidRDefault="007866B1" w:rsidP="00473C62"/>
        </w:tc>
        <w:tc>
          <w:tcPr>
            <w:tcW w:w="1470" w:type="dxa"/>
          </w:tcPr>
          <w:p w14:paraId="5DE3A3C4" w14:textId="086AB641" w:rsidR="007866B1" w:rsidRDefault="007866B1" w:rsidP="00473C62">
            <w:pPr>
              <w:cnfStyle w:val="000000010000" w:firstRow="0" w:lastRow="0" w:firstColumn="0" w:lastColumn="0" w:oddVBand="0" w:evenVBand="0" w:oddHBand="0" w:evenHBand="1" w:firstRowFirstColumn="0" w:firstRowLastColumn="0" w:lastRowFirstColumn="0" w:lastRowLastColumn="0"/>
            </w:pPr>
            <w:r>
              <w:t xml:space="preserve">Funds withheld </w:t>
            </w:r>
          </w:p>
        </w:tc>
        <w:tc>
          <w:tcPr>
            <w:tcW w:w="5907" w:type="dxa"/>
          </w:tcPr>
          <w:p w14:paraId="010E8194" w14:textId="387492A3" w:rsidR="007866B1" w:rsidRPr="007030A0" w:rsidRDefault="007866B1" w:rsidP="007030A0">
            <w:pPr>
              <w:cnfStyle w:val="000000010000" w:firstRow="0" w:lastRow="0" w:firstColumn="0" w:lastColumn="0" w:oddVBand="0" w:evenVBand="0" w:oddHBand="0" w:evenHBand="1" w:firstRowFirstColumn="0" w:firstRowLastColumn="0" w:lastRowFirstColumn="0" w:lastRowLastColumn="0"/>
            </w:pPr>
            <w:r>
              <w:t xml:space="preserve">A portion of reinsurance premiums </w:t>
            </w:r>
            <w:r w:rsidR="006D02CA">
              <w:t xml:space="preserve">is </w:t>
            </w:r>
            <w:r>
              <w:t>withheld, typically equal to the reinsurer’s expected share of expected incurred claims. A separate funds withheld liability is recorded and has the effect of reduc</w:t>
            </w:r>
            <w:r w:rsidR="007030A0">
              <w:t xml:space="preserve">ing the net reinsurance asset. </w:t>
            </w:r>
          </w:p>
        </w:tc>
      </w:tr>
      <w:tr w:rsidR="007866B1" w14:paraId="2DEB312F" w14:textId="77777777" w:rsidTr="00AF7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4829FB32" w14:textId="2FECFD46" w:rsidR="007866B1" w:rsidRDefault="007866B1" w:rsidP="00473C62"/>
        </w:tc>
        <w:tc>
          <w:tcPr>
            <w:tcW w:w="1470" w:type="dxa"/>
          </w:tcPr>
          <w:p w14:paraId="0D9693AB" w14:textId="21581AE0" w:rsidR="007866B1" w:rsidRDefault="007866B1" w:rsidP="00473C62">
            <w:pPr>
              <w:cnfStyle w:val="000000100000" w:firstRow="0" w:lastRow="0" w:firstColumn="0" w:lastColumn="0" w:oddVBand="0" w:evenVBand="0" w:oddHBand="1" w:evenHBand="0" w:firstRowFirstColumn="0" w:firstRowLastColumn="0" w:lastRowFirstColumn="0" w:lastRowLastColumn="0"/>
            </w:pPr>
            <w:r>
              <w:t>Deposit back</w:t>
            </w:r>
          </w:p>
        </w:tc>
        <w:tc>
          <w:tcPr>
            <w:tcW w:w="5907" w:type="dxa"/>
          </w:tcPr>
          <w:p w14:paraId="64ABCD2D" w14:textId="3B8B3CF3" w:rsidR="007866B1" w:rsidRDefault="007866B1" w:rsidP="00473C62">
            <w:pPr>
              <w:cnfStyle w:val="000000100000" w:firstRow="0" w:lastRow="0" w:firstColumn="0" w:lastColumn="0" w:oddVBand="0" w:evenVBand="0" w:oddHBand="1" w:evenHBand="0" w:firstRowFirstColumn="0" w:firstRowLastColumn="0" w:lastRowFirstColumn="0" w:lastRowLastColumn="0"/>
            </w:pPr>
            <w:r>
              <w:t xml:space="preserve">The reinsurer invests the assets backing the reinsured policy liabilities with the cedant. It differs from funds withheld in that the deposit back is </w:t>
            </w:r>
            <w:r w:rsidR="003509EA">
              <w:t>funded by</w:t>
            </w:r>
            <w:r>
              <w:t xml:space="preserve"> the reinsurer, again having the effect of reducing the net reinsurance asset. </w:t>
            </w:r>
          </w:p>
        </w:tc>
      </w:tr>
      <w:tr w:rsidR="007866B1" w14:paraId="50149851" w14:textId="77777777" w:rsidTr="00AF7A6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1F4B37F7" w14:textId="77777777" w:rsidR="007866B1" w:rsidRDefault="007866B1" w:rsidP="00473C62"/>
        </w:tc>
        <w:tc>
          <w:tcPr>
            <w:tcW w:w="1470" w:type="dxa"/>
          </w:tcPr>
          <w:p w14:paraId="23AEB462" w14:textId="1A1AB2AE" w:rsidR="007866B1" w:rsidRDefault="00966075" w:rsidP="00473C62">
            <w:pPr>
              <w:cnfStyle w:val="000000010000" w:firstRow="0" w:lastRow="0" w:firstColumn="0" w:lastColumn="0" w:oddVBand="0" w:evenVBand="0" w:oddHBand="0" w:evenHBand="1" w:firstRowFirstColumn="0" w:firstRowLastColumn="0" w:lastRowFirstColumn="0" w:lastRowLastColumn="0"/>
            </w:pPr>
            <w:r>
              <w:t>Modified coinsurance</w:t>
            </w:r>
          </w:p>
        </w:tc>
        <w:tc>
          <w:tcPr>
            <w:tcW w:w="5907" w:type="dxa"/>
          </w:tcPr>
          <w:p w14:paraId="004AC92E" w14:textId="2B2DE2BC" w:rsidR="007866B1" w:rsidRDefault="007866B1" w:rsidP="00473C62">
            <w:pPr>
              <w:cnfStyle w:val="000000010000" w:firstRow="0" w:lastRow="0" w:firstColumn="0" w:lastColumn="0" w:oddVBand="0" w:evenVBand="0" w:oddHBand="0" w:evenHBand="1" w:firstRowFirstColumn="0" w:firstRowLastColumn="0" w:lastRowFirstColumn="0" w:lastRowLastColumn="0"/>
            </w:pPr>
            <w:r>
              <w:t xml:space="preserve">Reinsurance premiums are paid the normal way, but reinsurance recoveries are based on </w:t>
            </w:r>
            <w:r w:rsidR="005D64D9">
              <w:t xml:space="preserve">changes to policy liabilities or </w:t>
            </w:r>
            <w:r>
              <w:t xml:space="preserve">incurred claims </w:t>
            </w:r>
            <w:r w:rsidR="00966075">
              <w:t>reserves</w:t>
            </w:r>
            <w:r>
              <w:t xml:space="preserve">, rather than paid claims. </w:t>
            </w:r>
          </w:p>
        </w:tc>
      </w:tr>
      <w:tr w:rsidR="007866B1" w14:paraId="18C80A30" w14:textId="77777777" w:rsidTr="00AF7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9" w:type="dxa"/>
            <w:vMerge/>
            <w:shd w:val="clear" w:color="auto" w:fill="012169" w:themeFill="accent1"/>
          </w:tcPr>
          <w:p w14:paraId="5FDFDE7B" w14:textId="77777777" w:rsidR="007866B1" w:rsidRDefault="007866B1" w:rsidP="00473C62"/>
        </w:tc>
        <w:tc>
          <w:tcPr>
            <w:tcW w:w="1470" w:type="dxa"/>
          </w:tcPr>
          <w:p w14:paraId="2A66FC29" w14:textId="026E1142" w:rsidR="007866B1" w:rsidRDefault="007866B1" w:rsidP="00473C62">
            <w:pPr>
              <w:cnfStyle w:val="000000100000" w:firstRow="0" w:lastRow="0" w:firstColumn="0" w:lastColumn="0" w:oddVBand="0" w:evenVBand="0" w:oddHBand="1" w:evenHBand="0" w:firstRowFirstColumn="0" w:firstRowLastColumn="0" w:lastRowFirstColumn="0" w:lastRowLastColumn="0"/>
            </w:pPr>
            <w:r>
              <w:t>Other netting arrangements</w:t>
            </w:r>
          </w:p>
        </w:tc>
        <w:tc>
          <w:tcPr>
            <w:tcW w:w="5907" w:type="dxa"/>
          </w:tcPr>
          <w:p w14:paraId="4BE484D0" w14:textId="17DC6555" w:rsidR="007866B1" w:rsidRDefault="007866B1" w:rsidP="00473C62">
            <w:pPr>
              <w:cnfStyle w:val="000000100000" w:firstRow="0" w:lastRow="0" w:firstColumn="0" w:lastColumn="0" w:oddVBand="0" w:evenVBand="0" w:oddHBand="1" w:evenHBand="0" w:firstRowFirstColumn="0" w:firstRowLastColumn="0" w:lastRowFirstColumn="0" w:lastRowLastColumn="0"/>
            </w:pPr>
            <w:r>
              <w:t>Whil</w:t>
            </w:r>
            <w:r w:rsidR="00416011">
              <w:t>e</w:t>
            </w:r>
            <w:r>
              <w:t xml:space="preserve"> most of the preceding arrangements include a form of </w:t>
            </w:r>
            <w:r w:rsidR="007030A0">
              <w:t xml:space="preserve">netting, other forms of netting reinsurance assets and liabilities are possible, resulting in a reduction to the net exposure to a reinsurer. </w:t>
            </w:r>
          </w:p>
        </w:tc>
      </w:tr>
    </w:tbl>
    <w:p w14:paraId="1798C5D6" w14:textId="77777777" w:rsidR="00715C91" w:rsidRDefault="00715C91" w:rsidP="00715C91">
      <w:pPr>
        <w:jc w:val="both"/>
      </w:pPr>
    </w:p>
    <w:p w14:paraId="2ED71F88" w14:textId="7F231A36" w:rsidR="00473C62" w:rsidRPr="00473C62" w:rsidRDefault="00715C91" w:rsidP="003B1E8E">
      <w:pPr>
        <w:numPr>
          <w:ilvl w:val="0"/>
          <w:numId w:val="0"/>
        </w:numPr>
        <w:jc w:val="both"/>
      </w:pPr>
      <w:r>
        <w:t xml:space="preserve">The </w:t>
      </w:r>
      <w:r w:rsidR="00B43369">
        <w:t xml:space="preserve">following sections provide further details </w:t>
      </w:r>
      <w:r w:rsidR="0096127A">
        <w:t xml:space="preserve">of the </w:t>
      </w:r>
      <w:r w:rsidR="00B43369">
        <w:t xml:space="preserve">proposed revisions to the standard. </w:t>
      </w:r>
    </w:p>
    <w:p w14:paraId="0D980AFA" w14:textId="30E2506B" w:rsidR="001B3C4C" w:rsidRDefault="00BE1585" w:rsidP="009C4FC9">
      <w:pPr>
        <w:pStyle w:val="Heading3Numbers"/>
      </w:pPr>
      <w:r>
        <w:t>Collateral-type mitigants</w:t>
      </w:r>
    </w:p>
    <w:p w14:paraId="0F06B442" w14:textId="5E018EA2" w:rsidR="00B43369" w:rsidRDefault="00B43369" w:rsidP="00B43369">
      <w:pPr>
        <w:pStyle w:val="Heading5"/>
      </w:pPr>
      <w:r>
        <w:t>Key features</w:t>
      </w:r>
    </w:p>
    <w:p w14:paraId="611DAF34" w14:textId="291F8D85" w:rsidR="00FF1FFC" w:rsidRDefault="00882843" w:rsidP="00A557E2">
      <w:pPr>
        <w:jc w:val="both"/>
      </w:pPr>
      <w:r>
        <w:t>C</w:t>
      </w:r>
      <w:r w:rsidR="00D722AC">
        <w:t>ollateral-type mitigant</w:t>
      </w:r>
      <w:r w:rsidR="0096127A">
        <w:t>s</w:t>
      </w:r>
      <w:r w:rsidR="00D722AC">
        <w:t xml:space="preserve"> are</w:t>
      </w:r>
      <w:r>
        <w:t xml:space="preserve"> arrangements that exhibit the following features.</w:t>
      </w:r>
      <w:r w:rsidR="00D722AC">
        <w:t xml:space="preserve"> </w:t>
      </w:r>
    </w:p>
    <w:p w14:paraId="58BE1628" w14:textId="00B73460" w:rsidR="00D722AC" w:rsidRDefault="00D722AC" w:rsidP="00D722AC">
      <w:pPr>
        <w:pStyle w:val="ListBullet"/>
      </w:pPr>
      <w:r>
        <w:t>As a substitute for a reinsurance asset, the reinsured under a reinsurance contract is given security over a defined pool of assets, increasing the level of security in respect of the reinsurance asset (fully, or in part).</w:t>
      </w:r>
    </w:p>
    <w:p w14:paraId="15C3A491" w14:textId="3A84DF70" w:rsidR="00D722AC" w:rsidRDefault="00882843" w:rsidP="00D722AC">
      <w:pPr>
        <w:pStyle w:val="ListBullet"/>
      </w:pPr>
      <w:r>
        <w:t>S</w:t>
      </w:r>
      <w:r w:rsidR="00D722AC" w:rsidRPr="00882843">
        <w:t xml:space="preserve">ecurity </w:t>
      </w:r>
      <w:r>
        <w:t xml:space="preserve">that </w:t>
      </w:r>
      <w:r w:rsidR="00D722AC" w:rsidRPr="00882843">
        <w:t>can</w:t>
      </w:r>
      <w:r w:rsidR="00D722AC">
        <w:t xml:space="preserve"> take different forms, such as </w:t>
      </w:r>
      <w:r w:rsidR="003509EA">
        <w:t xml:space="preserve">eligible collateral items being held in </w:t>
      </w:r>
      <w:r w:rsidR="00D722AC">
        <w:t xml:space="preserve">a trust, a mortgage or some other </w:t>
      </w:r>
      <w:r w:rsidR="002446B7">
        <w:t>security interest</w:t>
      </w:r>
      <w:r w:rsidR="00D722AC">
        <w:t xml:space="preserve"> over eligible assets. </w:t>
      </w:r>
    </w:p>
    <w:p w14:paraId="6D4E36F2" w14:textId="1753608D" w:rsidR="00D722AC" w:rsidRDefault="00D722AC" w:rsidP="00D722AC">
      <w:pPr>
        <w:pStyle w:val="ListBullet"/>
      </w:pPr>
      <w:r>
        <w:t>Assets</w:t>
      </w:r>
      <w:r w:rsidR="00882843">
        <w:t xml:space="preserve"> that</w:t>
      </w:r>
      <w:r>
        <w:t xml:space="preserve"> normally comprise cash and </w:t>
      </w:r>
      <w:r w:rsidR="00C730D4">
        <w:t>high-grade</w:t>
      </w:r>
      <w:r>
        <w:t xml:space="preserve"> bonds or other debt obligations.</w:t>
      </w:r>
    </w:p>
    <w:p w14:paraId="3197EF4E" w14:textId="280AE86D" w:rsidR="00D722AC" w:rsidRDefault="00D722AC" w:rsidP="00D722AC">
      <w:pPr>
        <w:pStyle w:val="ListBullet"/>
      </w:pPr>
      <w:r>
        <w:t xml:space="preserve">Assets held under the collateral arrangement must specify to which statutory fund of the reinsured the assets are referable. </w:t>
      </w:r>
    </w:p>
    <w:p w14:paraId="3957CE45" w14:textId="15955755" w:rsidR="00D722AC" w:rsidRDefault="00D722AC" w:rsidP="00D722AC">
      <w:pPr>
        <w:pStyle w:val="ListBullet"/>
      </w:pPr>
      <w:r>
        <w:t xml:space="preserve">Governance arrangements </w:t>
      </w:r>
      <w:r w:rsidR="008C6695">
        <w:t xml:space="preserve">that </w:t>
      </w:r>
      <w:r>
        <w:t xml:space="preserve">would typically include a review of the adequacy of the secured assets from time to time and require a top-up or release to maintain a given level of </w:t>
      </w:r>
      <w:r w:rsidR="00B43369">
        <w:t xml:space="preserve">security. </w:t>
      </w:r>
    </w:p>
    <w:p w14:paraId="19327AB8" w14:textId="6B808622" w:rsidR="00A26E19" w:rsidRPr="004B2EB5" w:rsidRDefault="000F38F2" w:rsidP="004B2EB5">
      <w:pPr>
        <w:pStyle w:val="ListBullet"/>
      </w:pPr>
      <w:r>
        <w:lastRenderedPageBreak/>
        <w:t>C</w:t>
      </w:r>
      <w:r w:rsidR="005A1660">
        <w:t xml:space="preserve">omprise a security interest over eligible collateral items or a trust holding such items for the benefit of the reinsured.  </w:t>
      </w:r>
    </w:p>
    <w:p w14:paraId="1B8785CB" w14:textId="77777777" w:rsidR="00091437" w:rsidRDefault="00091437" w:rsidP="00091437">
      <w:pPr>
        <w:pStyle w:val="Heading5"/>
      </w:pPr>
      <w:r>
        <w:t>Security of arrangements</w:t>
      </w:r>
    </w:p>
    <w:p w14:paraId="39246D3A" w14:textId="77777777" w:rsidR="00091437" w:rsidRDefault="00091437" w:rsidP="00091437">
      <w:r>
        <w:t xml:space="preserve">The current standard requires collateral to take the form of a registered charge, registered mortgage or other legally enforceable security interest in, or over, an eligible collateral item. </w:t>
      </w:r>
    </w:p>
    <w:p w14:paraId="7964651A" w14:textId="740032B7" w:rsidR="00091437" w:rsidRDefault="00091437" w:rsidP="003B1E8E">
      <w:r>
        <w:t>The draft standard also recognises collateral against a reinsurance asset if it is held in a collateral trust that satisfies certain conditions.</w:t>
      </w:r>
    </w:p>
    <w:p w14:paraId="69A0128B" w14:textId="60C4CFCA" w:rsidR="00B43369" w:rsidRDefault="00B43369" w:rsidP="00A557E2">
      <w:pPr>
        <w:pStyle w:val="Heading5"/>
      </w:pPr>
      <w:r>
        <w:t xml:space="preserve">Life Act requirements </w:t>
      </w:r>
    </w:p>
    <w:p w14:paraId="3B54FDE5" w14:textId="1E0BA682" w:rsidR="00315003" w:rsidRDefault="002446B7" w:rsidP="00315003">
      <w:r>
        <w:t>Under</w:t>
      </w:r>
      <w:r w:rsidR="00116833" w:rsidRPr="00B613C4" w:rsidDel="00954D56">
        <w:t xml:space="preserve"> </w:t>
      </w:r>
      <w:r w:rsidR="00954D56">
        <w:t>section 32 and 48 of the Life Act</w:t>
      </w:r>
      <w:r w:rsidR="000360A9">
        <w:t>,</w:t>
      </w:r>
      <w:r w:rsidR="00954D56">
        <w:t xml:space="preserve"> assets of a statutory fund must be administered, invested and otherwise dealt </w:t>
      </w:r>
      <w:r w:rsidR="005A1660">
        <w:t xml:space="preserve">with </w:t>
      </w:r>
      <w:r w:rsidR="00954D56">
        <w:t>in the interest of policyholders of that statutory fund (viewed as a whole). Using assets of a statutory fund to preference the claims of particular policy</w:t>
      </w:r>
      <w:r w:rsidR="007F041C">
        <w:t>holders</w:t>
      </w:r>
      <w:r w:rsidR="00954D56">
        <w:t xml:space="preserve"> ahead of the interests of policy</w:t>
      </w:r>
      <w:r w:rsidR="007F041C">
        <w:t>holders</w:t>
      </w:r>
      <w:r w:rsidR="00954D56">
        <w:t xml:space="preserve"> as a whole is not consistent with a life company’s obligations. Additionally, subsection 38</w:t>
      </w:r>
      <w:r w:rsidR="00000D18">
        <w:t xml:space="preserve">(3) of the Life Act restricts life companies from mortgaging or putting a charge on assets of a statutory fund. Siloing assets in a trust for the benefit of a third party is not a permitted use of statutory fund assets under subsection 38(2) of the Life Act. </w:t>
      </w:r>
    </w:p>
    <w:p w14:paraId="0884CC48" w14:textId="3FFF8ACA" w:rsidR="00000D18" w:rsidRPr="00B613C4" w:rsidRDefault="00000D18" w:rsidP="0067537D">
      <w:r>
        <w:t xml:space="preserve">The aforementioned requirements </w:t>
      </w:r>
      <w:r w:rsidR="00080AE2">
        <w:t>of</w:t>
      </w:r>
      <w:r>
        <w:t xml:space="preserve"> the Life Act have implications for how and when collateral trust structures </w:t>
      </w:r>
      <w:r w:rsidR="000444A2">
        <w:t xml:space="preserve">can be </w:t>
      </w:r>
      <w:r>
        <w:t>used, particularly for APRA-authorised reinsurers.</w:t>
      </w:r>
      <w:r w:rsidR="00A51CEB">
        <w:t xml:space="preserve"> </w:t>
      </w:r>
      <w:r w:rsidR="0067537D">
        <w:t xml:space="preserve">To post collateral in the form of a trust and comply with the Life Act, an APRA-authorised reinsurer would likely need to source the collateral assets from its general fund. This option is likely to be unattractive to the reinsurer. </w:t>
      </w:r>
      <w:r w:rsidR="00E22426" w:rsidRPr="00E22426" w:rsidDel="00E22426">
        <w:rPr>
          <w:highlight w:val="lightGray"/>
        </w:rPr>
        <w:t xml:space="preserve"> </w:t>
      </w:r>
    </w:p>
    <w:p w14:paraId="0C7CF57C" w14:textId="2982029C" w:rsidR="00BE1585" w:rsidRDefault="00A557E2" w:rsidP="00A557E2">
      <w:pPr>
        <w:pStyle w:val="Heading5"/>
      </w:pPr>
      <w:r>
        <w:t xml:space="preserve">Term-matching requirements </w:t>
      </w:r>
    </w:p>
    <w:p w14:paraId="1D493ABF" w14:textId="3E801DA6" w:rsidR="00E23ADC" w:rsidRDefault="00C4644A" w:rsidP="00C4644A">
      <w:bookmarkStart w:id="37" w:name="_Hlk61709229"/>
      <w:r>
        <w:t xml:space="preserve">Presently LPS 117 requires an eligible collateral item to be held for the period that the underlying reinsurance asset is held. </w:t>
      </w:r>
      <w:r w:rsidR="000E75C9">
        <w:t>A</w:t>
      </w:r>
      <w:r w:rsidR="00944839">
        <w:t xml:space="preserve"> </w:t>
      </w:r>
      <w:r w:rsidR="00E23ADC">
        <w:t xml:space="preserve">life company needs to have a security interest over an eligible </w:t>
      </w:r>
      <w:r w:rsidR="00944839">
        <w:t>asset</w:t>
      </w:r>
      <w:r w:rsidR="00E23ADC">
        <w:t xml:space="preserve"> whose term is not less than the term of the reinsurance asset.</w:t>
      </w:r>
    </w:p>
    <w:p w14:paraId="68DC755E" w14:textId="59B3B305" w:rsidR="00DE5D4F" w:rsidRDefault="00C629DD" w:rsidP="00C4644A">
      <w:r>
        <w:t>Given the long-term nature of life reinsurance, it may be impractical to source eligible assets that satisfy th</w:t>
      </w:r>
      <w:r w:rsidR="00C3516D">
        <w:t>is</w:t>
      </w:r>
      <w:r>
        <w:t xml:space="preserve"> term-matching requirement. </w:t>
      </w:r>
      <w:r w:rsidR="00C3516D">
        <w:t>T</w:t>
      </w:r>
      <w:r w:rsidR="00087A9B">
        <w:t>he draft standard recognises</w:t>
      </w:r>
      <w:r w:rsidR="00893FB2">
        <w:t xml:space="preserve"> eligible collateral items </w:t>
      </w:r>
      <w:r w:rsidR="00196E3A">
        <w:t>held with</w:t>
      </w:r>
      <w:r w:rsidR="00893FB2">
        <w:t xml:space="preserve">in </w:t>
      </w:r>
      <w:r w:rsidR="00075E44">
        <w:t xml:space="preserve">a </w:t>
      </w:r>
      <w:r w:rsidR="00893FB2">
        <w:t xml:space="preserve">collateral </w:t>
      </w:r>
      <w:r w:rsidR="00554536">
        <w:t xml:space="preserve">trust provided </w:t>
      </w:r>
      <w:r w:rsidR="00075E44">
        <w:t xml:space="preserve">the reinsurer </w:t>
      </w:r>
      <w:r w:rsidR="00D76D5A">
        <w:t>maintain</w:t>
      </w:r>
      <w:r w:rsidR="000E75C9">
        <w:t>s</w:t>
      </w:r>
      <w:r w:rsidR="0084772F">
        <w:t xml:space="preserve"> </w:t>
      </w:r>
      <w:r w:rsidR="00314734">
        <w:t>th</w:t>
      </w:r>
      <w:r w:rsidR="00554536">
        <w:t>e trust</w:t>
      </w:r>
      <w:r w:rsidR="000022C1">
        <w:t xml:space="preserve"> in place </w:t>
      </w:r>
      <w:r w:rsidR="00075E44">
        <w:t>until</w:t>
      </w:r>
      <w:r w:rsidR="000022C1">
        <w:t xml:space="preserve"> </w:t>
      </w:r>
      <w:r w:rsidR="00C7715E">
        <w:t xml:space="preserve">the reinsurance arrangement is terminated and all of the reinsurer’s </w:t>
      </w:r>
      <w:r w:rsidR="000022C1">
        <w:t xml:space="preserve">obligations </w:t>
      </w:r>
      <w:bookmarkEnd w:id="37"/>
      <w:r w:rsidR="00C7715E">
        <w:t>have been discharged</w:t>
      </w:r>
      <w:r w:rsidR="000022C1">
        <w:t>.</w:t>
      </w:r>
    </w:p>
    <w:p w14:paraId="6460A83C" w14:textId="5520B8F1" w:rsidR="0093459D" w:rsidRDefault="00196E3A" w:rsidP="00C4644A">
      <w:r>
        <w:t>Since collateral trust</w:t>
      </w:r>
      <w:r w:rsidR="00554536">
        <w:t xml:space="preserve"> agreement</w:t>
      </w:r>
      <w:r>
        <w:t xml:space="preserve">s typically allow for reinvestment of assets when they mature, </w:t>
      </w:r>
      <w:r w:rsidR="00BA29EB">
        <w:t>assets held in the trust</w:t>
      </w:r>
      <w:r>
        <w:t xml:space="preserve"> do not </w:t>
      </w:r>
      <w:r w:rsidR="00BA29EB">
        <w:t xml:space="preserve">themselves </w:t>
      </w:r>
      <w:r>
        <w:t>need to satisfy the term-matching requirement.</w:t>
      </w:r>
      <w:r w:rsidR="00DE5D4F">
        <w:t xml:space="preserve"> The draft standard specifies that </w:t>
      </w:r>
      <w:r w:rsidR="00554536">
        <w:t xml:space="preserve">life companies must address the </w:t>
      </w:r>
      <w:r w:rsidR="00A260D8">
        <w:t xml:space="preserve">risks </w:t>
      </w:r>
      <w:r w:rsidR="00554536">
        <w:t xml:space="preserve">associated with this change </w:t>
      </w:r>
      <w:r w:rsidR="0035105E">
        <w:t>in their ICAAPs.</w:t>
      </w:r>
      <w:r w:rsidR="00DE5D4F">
        <w:t xml:space="preserve"> </w:t>
      </w:r>
    </w:p>
    <w:p w14:paraId="3614462B" w14:textId="58EB0B26" w:rsidR="00FF1FFC" w:rsidRDefault="00FF1FFC" w:rsidP="00FF1FFC">
      <w:pPr>
        <w:pStyle w:val="Heading5"/>
      </w:pPr>
      <w:r>
        <w:t>Legal jurisdiction requirements</w:t>
      </w:r>
    </w:p>
    <w:p w14:paraId="42808E97" w14:textId="4B9BF43B" w:rsidR="00FF1FFC" w:rsidRDefault="00FF1FFC" w:rsidP="00FF1FFC">
      <w:r>
        <w:t>To lessen legal and operational risk</w:t>
      </w:r>
      <w:r w:rsidR="00091437">
        <w:t>s</w:t>
      </w:r>
      <w:r>
        <w:t xml:space="preserve">, </w:t>
      </w:r>
      <w:r w:rsidR="00433915">
        <w:t>the draf</w:t>
      </w:r>
      <w:r w:rsidR="00085236">
        <w:t>t standard includes a requirement for</w:t>
      </w:r>
      <w:r w:rsidR="00433915">
        <w:t xml:space="preserve"> </w:t>
      </w:r>
      <w:r w:rsidR="000B241F">
        <w:t>collateral arrangement contracts to be governed by the law of an</w:t>
      </w:r>
      <w:r w:rsidR="0054325E">
        <w:t xml:space="preserve"> Australian state or territory</w:t>
      </w:r>
      <w:r w:rsidR="002F1EBA">
        <w:t xml:space="preserve">, except where they apply </w:t>
      </w:r>
      <w:r w:rsidR="00080AE2">
        <w:t xml:space="preserve">exclusively </w:t>
      </w:r>
      <w:r w:rsidR="002F1EBA">
        <w:t>to overseas statutory funds</w:t>
      </w:r>
      <w:r w:rsidR="0054325E">
        <w:t xml:space="preserve">. </w:t>
      </w:r>
      <w:r w:rsidR="00085236">
        <w:t xml:space="preserve">Additionally, where an agreement provides for arbitration, the seat of arbitration must be a capital city of a state or territory of Australia. </w:t>
      </w:r>
    </w:p>
    <w:p w14:paraId="77F40B5F" w14:textId="5A24F363" w:rsidR="00085236" w:rsidRDefault="00085236" w:rsidP="00085236">
      <w:pPr>
        <w:pStyle w:val="Heading5"/>
      </w:pPr>
      <w:r>
        <w:lastRenderedPageBreak/>
        <w:t>Top-up arrangements</w:t>
      </w:r>
    </w:p>
    <w:p w14:paraId="62BC1585" w14:textId="1C57C4F5" w:rsidR="00043E8B" w:rsidRDefault="00085236" w:rsidP="00085236">
      <w:r>
        <w:t xml:space="preserve">Depending on changes in the value of the underlying reinsurance </w:t>
      </w:r>
      <w:r w:rsidR="00BA3927">
        <w:t xml:space="preserve">asset </w:t>
      </w:r>
      <w:r>
        <w:t xml:space="preserve">and the collateral assets, the adequacy of a collateral arrangement as a substitute for the underlying reinsurance asset could change over time. </w:t>
      </w:r>
      <w:r w:rsidR="00A92A55">
        <w:t xml:space="preserve">Where the value of the collateral arrangement diverges from the value of the underlying reinsurance asset, there is a risk that the collateral arrangement will no longer be adequate, </w:t>
      </w:r>
      <w:r w:rsidR="00043E8B">
        <w:t xml:space="preserve">resulting in an ACRC arising. </w:t>
      </w:r>
    </w:p>
    <w:p w14:paraId="61B2C652" w14:textId="2DFD247E" w:rsidR="008D0E8D" w:rsidRDefault="008D0E8D" w:rsidP="00085236">
      <w:r>
        <w:t>A</w:t>
      </w:r>
      <w:r w:rsidR="0054325E">
        <w:t xml:space="preserve">mendments are proposed </w:t>
      </w:r>
      <w:r w:rsidR="00080AE2">
        <w:t xml:space="preserve">to </w:t>
      </w:r>
      <w:r w:rsidR="0054325E">
        <w:t xml:space="preserve">the standard to </w:t>
      </w:r>
      <w:r w:rsidR="00DE1065">
        <w:t>ensure this risk is addressed in the ICAAP</w:t>
      </w:r>
      <w:r w:rsidR="00967F4A">
        <w:t xml:space="preserve">. The </w:t>
      </w:r>
      <w:r w:rsidR="008B54B2">
        <w:t xml:space="preserve">amendments include a requirement to specify the method for determining the value of assets to be held under the collateral arrangement and how </w:t>
      </w:r>
      <w:r w:rsidR="0072311A">
        <w:t xml:space="preserve">to deal with </w:t>
      </w:r>
      <w:r w:rsidR="008B54B2">
        <w:t>any shortfall or excess</w:t>
      </w:r>
      <w:r w:rsidR="0072311A">
        <w:t>. Adjustments to the required collateral amount must be determined by the Appointed Actuary of the reinsured life company</w:t>
      </w:r>
      <w:r>
        <w:t xml:space="preserve">. </w:t>
      </w:r>
    </w:p>
    <w:p w14:paraId="6268A637" w14:textId="16368CDA" w:rsidR="0097514D" w:rsidRDefault="00887AFC" w:rsidP="009C4FC9">
      <w:pPr>
        <w:pStyle w:val="Heading3Numbers"/>
      </w:pPr>
      <w:r>
        <w:t>Guarantee-type mitigants</w:t>
      </w:r>
    </w:p>
    <w:p w14:paraId="49D232DA" w14:textId="7DCF006A" w:rsidR="00981D63" w:rsidRDefault="00981D63" w:rsidP="00981D63">
      <w:pPr>
        <w:pStyle w:val="Heading5"/>
      </w:pPr>
      <w:r>
        <w:t>Key features</w:t>
      </w:r>
    </w:p>
    <w:p w14:paraId="37B891EE" w14:textId="71D56D90" w:rsidR="00D06AD6" w:rsidRDefault="00831097" w:rsidP="00BE57A5">
      <w:r>
        <w:t>Guarantee-type mitigant</w:t>
      </w:r>
      <w:r w:rsidR="0037512A">
        <w:t>s</w:t>
      </w:r>
      <w:r>
        <w:t xml:space="preserve"> exhibit the following features. </w:t>
      </w:r>
      <w:r w:rsidR="00D06AD6">
        <w:t xml:space="preserve"> </w:t>
      </w:r>
    </w:p>
    <w:p w14:paraId="702FFBC8" w14:textId="64F195BF" w:rsidR="00753138" w:rsidRDefault="00D06AD6" w:rsidP="00D06AD6">
      <w:pPr>
        <w:pStyle w:val="ListBullet"/>
      </w:pPr>
      <w:r>
        <w:t>Security</w:t>
      </w:r>
      <w:r w:rsidR="0037512A">
        <w:t xml:space="preserve"> that</w:t>
      </w:r>
      <w:r>
        <w:t xml:space="preserve"> is provided by a third party in the form of a letter of credit or demand guarantee.</w:t>
      </w:r>
      <w:r w:rsidR="00C76193">
        <w:t xml:space="preserve"> </w:t>
      </w:r>
      <w:r w:rsidR="004E2452">
        <w:t xml:space="preserve">APRA is proposing that </w:t>
      </w:r>
      <w:r w:rsidR="00C76193">
        <w:t>guarantees in respect of reinsurance assets must be provided by an APRA-</w:t>
      </w:r>
      <w:r w:rsidR="00F57C28">
        <w:t>regulated</w:t>
      </w:r>
      <w:r w:rsidR="00C76193">
        <w:t xml:space="preserve"> </w:t>
      </w:r>
      <w:r w:rsidR="00F57C28">
        <w:t>ADI</w:t>
      </w:r>
      <w:r w:rsidR="00C76193">
        <w:t xml:space="preserve"> with a counterparty grade of 1, 2 or 3.</w:t>
      </w:r>
    </w:p>
    <w:p w14:paraId="78EB7CFE" w14:textId="6B2A4B82" w:rsidR="00D06AD6" w:rsidRDefault="006A66DB" w:rsidP="00C7426E">
      <w:pPr>
        <w:pStyle w:val="ListBullet"/>
      </w:pPr>
      <w:r>
        <w:t xml:space="preserve">An </w:t>
      </w:r>
      <w:r w:rsidR="00061BE2">
        <w:t xml:space="preserve">asset must </w:t>
      </w:r>
      <w:r w:rsidR="00656EDA">
        <w:t>be explicit</w:t>
      </w:r>
      <w:r w:rsidR="00061BE2">
        <w:t>ly</w:t>
      </w:r>
      <w:r w:rsidR="00656EDA">
        <w:t>, unconditional</w:t>
      </w:r>
      <w:r w:rsidR="00061BE2">
        <w:t xml:space="preserve">ly and </w:t>
      </w:r>
      <w:r w:rsidR="00656EDA">
        <w:t>irrevocabl</w:t>
      </w:r>
      <w:r w:rsidR="00061BE2">
        <w:t>y guaranteed</w:t>
      </w:r>
      <w:r w:rsidR="00656EDA">
        <w:t xml:space="preserve"> for </w:t>
      </w:r>
      <w:r w:rsidR="000E4CAB">
        <w:t xml:space="preserve">the </w:t>
      </w:r>
      <w:r w:rsidR="00061BE2">
        <w:t xml:space="preserve">remaining </w:t>
      </w:r>
      <w:r w:rsidR="00656EDA">
        <w:t>term</w:t>
      </w:r>
      <w:r w:rsidR="00F57C28">
        <w:t xml:space="preserve"> of the underlying asset</w:t>
      </w:r>
      <w:r w:rsidR="00656EDA">
        <w:t xml:space="preserve">. </w:t>
      </w:r>
      <w:r w:rsidR="00FF71F0">
        <w:t>For guarantees relating to reinsurance assets where this would be impractical</w:t>
      </w:r>
      <w:r w:rsidR="001D4E6C">
        <w:t xml:space="preserve"> APRA proposes that</w:t>
      </w:r>
      <w:r w:rsidR="00FF71F0">
        <w:t>:</w:t>
      </w:r>
    </w:p>
    <w:p w14:paraId="0195B2BA" w14:textId="77777777" w:rsidR="00FF71F0" w:rsidRDefault="00FF71F0" w:rsidP="00FF71F0">
      <w:pPr>
        <w:pStyle w:val="ListBullet2"/>
      </w:pPr>
      <w:r>
        <w:t>The guarantee must be effective for a period of at least five years.</w:t>
      </w:r>
    </w:p>
    <w:p w14:paraId="66F638D9" w14:textId="4752E516" w:rsidR="00FF71F0" w:rsidRDefault="00FF71F0" w:rsidP="00FF71F0">
      <w:pPr>
        <w:pStyle w:val="ListBullet2"/>
      </w:pPr>
      <w:r>
        <w:t>If the reinsurer is put into administration during th</w:t>
      </w:r>
      <w:r w:rsidR="00226F1C">
        <w:t>e</w:t>
      </w:r>
      <w:r>
        <w:t xml:space="preserve"> </w:t>
      </w:r>
      <w:r w:rsidR="00F34547">
        <w:t>guarantee period</w:t>
      </w:r>
      <w:r>
        <w:t>, the reinsured must be able to draw-down to meet the reinsurer’s share of incurred claims</w:t>
      </w:r>
      <w:r w:rsidR="001D4E6C">
        <w:t xml:space="preserve">, </w:t>
      </w:r>
      <w:r w:rsidR="00EC748F">
        <w:t>not solely</w:t>
      </w:r>
      <w:r w:rsidR="001D4E6C">
        <w:t xml:space="preserve"> </w:t>
      </w:r>
      <w:r w:rsidR="00E07916">
        <w:t xml:space="preserve">the reinsurer’s share of </w:t>
      </w:r>
      <w:r w:rsidR="001D4E6C">
        <w:t>claim payment</w:t>
      </w:r>
      <w:r w:rsidR="00EC748F">
        <w:t>s due in the guarantee period</w:t>
      </w:r>
      <w:r>
        <w:t xml:space="preserve">. </w:t>
      </w:r>
    </w:p>
    <w:p w14:paraId="0EEFCE47" w14:textId="15BA9CB8" w:rsidR="00FF71F0" w:rsidRDefault="00FF71F0" w:rsidP="00FF71F0">
      <w:pPr>
        <w:pStyle w:val="ListBullet2"/>
      </w:pPr>
      <w:r>
        <w:t>The guarantee may include a condition assigning claims to the guarantor provided that claims by the reinsurer’s policyholders rank ahead of the guarantor’s assigned claims.</w:t>
      </w:r>
    </w:p>
    <w:p w14:paraId="23DF4FFB" w14:textId="633AFF70" w:rsidR="006E65CF" w:rsidRDefault="00656EDA" w:rsidP="00C7426E">
      <w:pPr>
        <w:pStyle w:val="ListBullet"/>
      </w:pPr>
      <w:r>
        <w:t xml:space="preserve">Guarantees cannot be provided by the life company’s parent or related entities. </w:t>
      </w:r>
    </w:p>
    <w:p w14:paraId="059F2178" w14:textId="77777777" w:rsidR="001A7AE1" w:rsidRDefault="001A7AE1" w:rsidP="001A7AE1">
      <w:pPr>
        <w:pStyle w:val="Heading5"/>
      </w:pPr>
      <w:r>
        <w:t>Guarantee and guarantor requirements</w:t>
      </w:r>
    </w:p>
    <w:p w14:paraId="44D3A76D" w14:textId="77777777" w:rsidR="001A7AE1" w:rsidRDefault="001A7AE1" w:rsidP="001A7AE1">
      <w:r>
        <w:t xml:space="preserve">To provide greater clarity on APRA’s expectations regarding guarantee-type mitigants, the draft standard includes a number of specific requirements.  </w:t>
      </w:r>
    </w:p>
    <w:p w14:paraId="6AFCF710" w14:textId="33B82CA4" w:rsidR="001A7AE1" w:rsidRDefault="001A7AE1" w:rsidP="004F64AE">
      <w:r>
        <w:t xml:space="preserve">Additionally, it is proposed that LPS 117 be amended to require </w:t>
      </w:r>
      <w:r w:rsidR="00B10402">
        <w:t xml:space="preserve">guarantees in respect of reinsurance assets to be provided by </w:t>
      </w:r>
      <w:r>
        <w:t xml:space="preserve">an APRA-regulated ADI </w:t>
      </w:r>
      <w:r w:rsidR="00261647">
        <w:t xml:space="preserve">with a counterparty </w:t>
      </w:r>
      <w:r w:rsidR="00347D98">
        <w:t>grade</w:t>
      </w:r>
      <w:r w:rsidR="00261647">
        <w:t xml:space="preserve"> of 1, 2 or</w:t>
      </w:r>
      <w:r w:rsidR="00B10402">
        <w:t xml:space="preserve"> 3.</w:t>
      </w:r>
      <w:r w:rsidR="00261647">
        <w:t xml:space="preserve"> </w:t>
      </w:r>
      <w:r>
        <w:t xml:space="preserve"> This </w:t>
      </w:r>
      <w:r w:rsidR="00B10402">
        <w:t>aligns to</w:t>
      </w:r>
      <w:r>
        <w:t xml:space="preserve"> GPS 117</w:t>
      </w:r>
      <w:r w:rsidR="00613727">
        <w:t xml:space="preserve"> requirements</w:t>
      </w:r>
      <w:r w:rsidR="00B10402">
        <w:t xml:space="preserve"> for </w:t>
      </w:r>
      <w:r w:rsidR="007204F8">
        <w:t xml:space="preserve">guarantees </w:t>
      </w:r>
      <w:r w:rsidR="00E07916">
        <w:t>relating</w:t>
      </w:r>
      <w:r w:rsidR="007204F8">
        <w:t xml:space="preserve"> to </w:t>
      </w:r>
      <w:r w:rsidR="00B10402">
        <w:t xml:space="preserve">reinsurance </w:t>
      </w:r>
      <w:r w:rsidR="007204F8">
        <w:t>recoveries due from non-APRA-authorised reinsurers</w:t>
      </w:r>
      <w:r>
        <w:t>.</w:t>
      </w:r>
      <w:r w:rsidR="00613727">
        <w:t xml:space="preserve"> </w:t>
      </w:r>
      <w:r>
        <w:t xml:space="preserve"> </w:t>
      </w:r>
    </w:p>
    <w:p w14:paraId="4B923669" w14:textId="70AE54ED" w:rsidR="00043E8B" w:rsidRDefault="00715C91" w:rsidP="00715C91">
      <w:pPr>
        <w:pStyle w:val="Heading5"/>
      </w:pPr>
      <w:r>
        <w:lastRenderedPageBreak/>
        <w:t xml:space="preserve">Nature of guarantees </w:t>
      </w:r>
    </w:p>
    <w:p w14:paraId="3ED8AE7E" w14:textId="2E0F985E" w:rsidR="00B40218" w:rsidRDefault="00715C91" w:rsidP="00715C91">
      <w:r>
        <w:t xml:space="preserve">Revisions included in the draft </w:t>
      </w:r>
      <w:r w:rsidR="0054325E">
        <w:t>standard</w:t>
      </w:r>
      <w:r>
        <w:t xml:space="preserve"> </w:t>
      </w:r>
      <w:r w:rsidR="00C10003">
        <w:t>specify that whe</w:t>
      </w:r>
      <w:r w:rsidR="003F5190">
        <w:t xml:space="preserve">n a life company notifies a guarantor that </w:t>
      </w:r>
      <w:r w:rsidR="00C10003">
        <w:t xml:space="preserve">an amount due and payable under a reinsurance contract </w:t>
      </w:r>
      <w:r w:rsidR="003F5190">
        <w:t>has not been paid, the guarantor must pay the amount</w:t>
      </w:r>
      <w:r w:rsidR="000C795F">
        <w:rPr>
          <w:rStyle w:val="FootnoteReference"/>
        </w:rPr>
        <w:footnoteReference w:id="6"/>
      </w:r>
      <w:r w:rsidR="003F5190">
        <w:t xml:space="preserve"> within five business days</w:t>
      </w:r>
      <w:r w:rsidR="009A1684">
        <w:t xml:space="preserve">. </w:t>
      </w:r>
    </w:p>
    <w:p w14:paraId="50E4521F" w14:textId="67C04A17" w:rsidR="00715C91" w:rsidRDefault="000C795F" w:rsidP="00715C91">
      <w:r>
        <w:t>The draft standard also specifie</w:t>
      </w:r>
      <w:r w:rsidR="009F5446">
        <w:t>s</w:t>
      </w:r>
      <w:r>
        <w:t xml:space="preserve"> that </w:t>
      </w:r>
      <w:r w:rsidR="009F5446">
        <w:t>i</w:t>
      </w:r>
      <w:r w:rsidR="003F5190">
        <w:t xml:space="preserve">f the reinsurer is put into administration during the guarantee period, the </w:t>
      </w:r>
      <w:r w:rsidR="009F5446">
        <w:t xml:space="preserve">guarantor must </w:t>
      </w:r>
      <w:r w:rsidR="004F42A3">
        <w:t>cover not only outstanding reinsurance claim payments, but the reinsurer’s share of claims that have been incurred but not paid</w:t>
      </w:r>
      <w:r w:rsidR="002D37B1">
        <w:t xml:space="preserve"> and any unearned reinsurance premiums</w:t>
      </w:r>
      <w:r w:rsidR="00715C91">
        <w:t xml:space="preserve">. </w:t>
      </w:r>
    </w:p>
    <w:p w14:paraId="466BB14B" w14:textId="77777777" w:rsidR="00433026" w:rsidRPr="00433026" w:rsidRDefault="00433026" w:rsidP="00433026">
      <w:pPr>
        <w:pStyle w:val="Heading5"/>
      </w:pPr>
      <w:r w:rsidRPr="00433026">
        <w:t>Term-matching requirements</w:t>
      </w:r>
    </w:p>
    <w:p w14:paraId="335CFC20" w14:textId="0F463675" w:rsidR="0054325E" w:rsidRDefault="00433026" w:rsidP="00433026">
      <w:r w:rsidRPr="00433026">
        <w:t xml:space="preserve">Presently a guarantee is required to be explicit, unconditional, irrevocable and enforceable for the remaining term to maturity. The remaining term to maturity refers to the term of the asset being guaranteed. </w:t>
      </w:r>
      <w:r w:rsidR="00C2490E">
        <w:t>For reinsurance assets with an indefinite term, this is impractical.</w:t>
      </w:r>
    </w:p>
    <w:p w14:paraId="27098784" w14:textId="1F8FFF56" w:rsidR="00363997" w:rsidRDefault="00AD7688" w:rsidP="00433026">
      <w:r>
        <w:t xml:space="preserve">GPS 117 specifies that </w:t>
      </w:r>
      <w:r w:rsidR="00C2490E">
        <w:t xml:space="preserve">where it is impractical for a guarantee </w:t>
      </w:r>
      <w:r>
        <w:t xml:space="preserve">that relates to reinsurance recoveries due from non-APRA-authorised reinsurers </w:t>
      </w:r>
      <w:r w:rsidR="00C2490E">
        <w:t xml:space="preserve">to be effective for the expected </w:t>
      </w:r>
      <w:r w:rsidR="00CE0BE2">
        <w:t>claim payment</w:t>
      </w:r>
      <w:r>
        <w:t xml:space="preserve"> period</w:t>
      </w:r>
      <w:r w:rsidR="00CE0BE2">
        <w:t>, it must be effective for a period of at least 24 months and be renegotiable each year. This allows at least 12 months to identify alternative arrangements if the guarantee cannot be renegotiated.</w:t>
      </w:r>
    </w:p>
    <w:p w14:paraId="145D6DC6" w14:textId="23D927E6" w:rsidR="00114A1D" w:rsidRDefault="0012518C" w:rsidP="00433026">
      <w:r>
        <w:t>Given the long</w:t>
      </w:r>
      <w:r w:rsidR="00CA1583">
        <w:t>-</w:t>
      </w:r>
      <w:r>
        <w:t xml:space="preserve">term nature of </w:t>
      </w:r>
      <w:r w:rsidR="00114A1D">
        <w:t xml:space="preserve">most </w:t>
      </w:r>
      <w:r w:rsidR="00AD7688">
        <w:t>life reinsurance</w:t>
      </w:r>
      <w:r w:rsidR="00114A1D">
        <w:t xml:space="preserve"> arrangements</w:t>
      </w:r>
      <w:r w:rsidR="00AD7688">
        <w:t xml:space="preserve">, </w:t>
      </w:r>
      <w:r>
        <w:t xml:space="preserve">APRA is proposing that where it is impractical for the guarantee term to match the term of the reinsurance asset, the guarantee must be effective for a period of at least five years. </w:t>
      </w:r>
      <w:r w:rsidR="00114A1D">
        <w:t>At each</w:t>
      </w:r>
      <w:r w:rsidR="00CA1583">
        <w:t xml:space="preserve"> anniversary the guarantee must automatically extend for a further term of 12 months</w:t>
      </w:r>
      <w:r w:rsidR="00114A1D">
        <w:t xml:space="preserve"> </w:t>
      </w:r>
      <w:r w:rsidR="00961752">
        <w:t xml:space="preserve">until either the </w:t>
      </w:r>
      <w:r w:rsidR="00114A1D">
        <w:t xml:space="preserve">life company or guarantor gives notice </w:t>
      </w:r>
      <w:r w:rsidR="00961752">
        <w:t xml:space="preserve">that automatic extension will cease. This allows at least four years for </w:t>
      </w:r>
      <w:r w:rsidR="003F05E7">
        <w:t>a</w:t>
      </w:r>
      <w:r w:rsidR="00961752">
        <w:t xml:space="preserve"> life company to identify alternative arrangements</w:t>
      </w:r>
      <w:r w:rsidR="00114A1D">
        <w:t>.</w:t>
      </w:r>
    </w:p>
    <w:p w14:paraId="1C4BBA8B" w14:textId="094F3609" w:rsidR="009A1684" w:rsidRDefault="00B40218" w:rsidP="00B40218">
      <w:pPr>
        <w:pStyle w:val="Heading5"/>
      </w:pPr>
      <w:r>
        <w:t xml:space="preserve">Substitution of counterparty </w:t>
      </w:r>
    </w:p>
    <w:p w14:paraId="4AC5240A" w14:textId="22B29337" w:rsidR="007204F8" w:rsidRDefault="007204F8" w:rsidP="007204F8">
      <w:r>
        <w:t xml:space="preserve">The existing standard provides for credit risk to be assessed using the counterparty grade of a third-party guarantor. Where </w:t>
      </w:r>
      <w:r w:rsidR="00AE046E">
        <w:t xml:space="preserve">higher </w:t>
      </w:r>
      <w:r>
        <w:t xml:space="preserve">ACRC </w:t>
      </w:r>
      <w:r w:rsidR="006452F7">
        <w:t xml:space="preserve">exposure </w:t>
      </w:r>
      <w:r>
        <w:t xml:space="preserve">limits </w:t>
      </w:r>
      <w:r w:rsidR="000B4182">
        <w:t>apply to counterparties with a higher credit rating</w:t>
      </w:r>
      <w:r w:rsidR="000B4182">
        <w:rPr>
          <w:rStyle w:val="FootnoteReference"/>
        </w:rPr>
        <w:footnoteReference w:id="7"/>
      </w:r>
      <w:r w:rsidR="006452F7">
        <w:t>,</w:t>
      </w:r>
      <w:r w:rsidR="000B4182">
        <w:t xml:space="preserve"> </w:t>
      </w:r>
      <w:r>
        <w:t xml:space="preserve">exposure to a lower-grade counterparty can be assessed against the higher limit by obtaining a </w:t>
      </w:r>
      <w:r w:rsidR="006452F7">
        <w:t xml:space="preserve">suitable </w:t>
      </w:r>
      <w:r>
        <w:t>guarantee.</w:t>
      </w:r>
    </w:p>
    <w:p w14:paraId="6E40F742" w14:textId="66668305" w:rsidR="006E65CF" w:rsidRDefault="007204F8" w:rsidP="007204F8">
      <w:r>
        <w:t xml:space="preserve">The draft standard </w:t>
      </w:r>
      <w:r w:rsidR="006E65CF">
        <w:t>includes revisions in respect of guarantees that meet the relevant requirements. These revisions</w:t>
      </w:r>
      <w:r w:rsidR="003B7DC3">
        <w:t xml:space="preserve"> allow life companies to treat an underlying asset that has been guaranteed as an exposure to the guarantor.</w:t>
      </w:r>
    </w:p>
    <w:p w14:paraId="08F287E6" w14:textId="7F5DB80D" w:rsidR="0073418A" w:rsidRPr="0073418A" w:rsidRDefault="00433026" w:rsidP="00433026">
      <w:pPr>
        <w:pStyle w:val="Heading5"/>
      </w:pPr>
      <w:r>
        <w:t>Treatment of the guarantee in the ACRC</w:t>
      </w:r>
    </w:p>
    <w:p w14:paraId="5179F711" w14:textId="1B416D80" w:rsidR="003B7DC3" w:rsidRDefault="00AD2CE6" w:rsidP="00EB74B3">
      <w:r>
        <w:t xml:space="preserve">To </w:t>
      </w:r>
      <w:r w:rsidR="00655A87">
        <w:t>provid</w:t>
      </w:r>
      <w:r>
        <w:t>e</w:t>
      </w:r>
      <w:r w:rsidR="00655A87">
        <w:t xml:space="preserve"> greater clarity on how a guarantee should be treated in the calculation of the ACRC</w:t>
      </w:r>
      <w:r>
        <w:t>,</w:t>
      </w:r>
      <w:r w:rsidR="003B06D3">
        <w:t xml:space="preserve"> </w:t>
      </w:r>
      <w:r>
        <w:t>t</w:t>
      </w:r>
      <w:r w:rsidR="001F17DC">
        <w:t>he draft standard include</w:t>
      </w:r>
      <w:r w:rsidR="0054325E">
        <w:t>s</w:t>
      </w:r>
      <w:r w:rsidR="001F17DC">
        <w:t xml:space="preserve"> revisions </w:t>
      </w:r>
      <w:r>
        <w:t>specifying that,</w:t>
      </w:r>
      <w:r w:rsidR="001F17DC">
        <w:t xml:space="preserve"> </w:t>
      </w:r>
      <w:r w:rsidR="003B06D3">
        <w:t>where</w:t>
      </w:r>
      <w:r w:rsidR="00BD398F">
        <w:t xml:space="preserve"> the guarantor is an </w:t>
      </w:r>
      <w:r w:rsidR="00F00DCD">
        <w:t>APRA</w:t>
      </w:r>
      <w:r w:rsidR="00BD398F">
        <w:t xml:space="preserve">-regulated ADI, the </w:t>
      </w:r>
      <w:r w:rsidR="006C7337">
        <w:t xml:space="preserve">guarantee exposure is assessed against the item (c) limit of Attachment A. This limit also applies to </w:t>
      </w:r>
      <w:r w:rsidR="00BD398F">
        <w:t>bank bill</w:t>
      </w:r>
      <w:r w:rsidR="006C7337">
        <w:t>s</w:t>
      </w:r>
      <w:r w:rsidR="00BD398F">
        <w:t xml:space="preserve">. </w:t>
      </w:r>
    </w:p>
    <w:p w14:paraId="1F277F5E" w14:textId="77777777" w:rsidR="0021702D" w:rsidRPr="007833DD" w:rsidRDefault="0021702D" w:rsidP="0021702D">
      <w:pPr>
        <w:jc w:val="both"/>
        <w:rPr>
          <w:rFonts w:ascii="DIN OT Medium" w:eastAsiaTheme="majorEastAsia" w:hAnsi="DIN OT Medium" w:cstheme="majorBidi"/>
          <w:color w:val="000000" w:themeColor="text1"/>
        </w:rPr>
      </w:pPr>
      <w:r w:rsidRPr="007833DD">
        <w:rPr>
          <w:rFonts w:ascii="DIN OT Medium" w:eastAsiaTheme="majorEastAsia" w:hAnsi="DIN OT Medium" w:cstheme="majorBidi"/>
          <w:color w:val="000000" w:themeColor="text1"/>
        </w:rPr>
        <w:lastRenderedPageBreak/>
        <w:t>Assignment of reinsurance claim to guarantor</w:t>
      </w:r>
    </w:p>
    <w:p w14:paraId="494E0A12" w14:textId="26CA914A" w:rsidR="0021702D" w:rsidRPr="007833DD" w:rsidRDefault="0021702D" w:rsidP="00E91578">
      <w:pPr>
        <w:numPr>
          <w:ilvl w:val="0"/>
          <w:numId w:val="0"/>
        </w:numPr>
      </w:pPr>
      <w:r w:rsidRPr="007833DD">
        <w:t xml:space="preserve">APRA has recently observed guarantees which provide for the assignment of a claim under a reinsurance contract to the guarantor where a draw down occurs under the guarantee in relation to the claim.  </w:t>
      </w:r>
    </w:p>
    <w:p w14:paraId="4EF4D932" w14:textId="1897521C" w:rsidR="0021702D" w:rsidRPr="007833DD" w:rsidRDefault="0021702D" w:rsidP="0021702D">
      <w:r w:rsidRPr="007833DD">
        <w:t xml:space="preserve">As noted above, guarantees are generally required to be unconditional. However, revisions have been included in the draft standard to allow for a guarantee to provide for such an assignment </w:t>
      </w:r>
      <w:r w:rsidR="002F5F6D">
        <w:t xml:space="preserve">as long as </w:t>
      </w:r>
      <w:r w:rsidRPr="007833DD">
        <w:t xml:space="preserve">the guarantor’s assigned claim is subordinate to the claims of </w:t>
      </w:r>
      <w:r w:rsidR="002F5F6D">
        <w:t xml:space="preserve">all of </w:t>
      </w:r>
      <w:r w:rsidRPr="007833DD">
        <w:t xml:space="preserve">the reinsurer’s policyholders </w:t>
      </w:r>
      <w:r w:rsidR="002157AF">
        <w:t xml:space="preserve">in any statutory fund </w:t>
      </w:r>
      <w:r w:rsidRPr="007833DD">
        <w:t>in the winding up of the reinsurer.</w:t>
      </w:r>
    </w:p>
    <w:p w14:paraId="4A465FFF" w14:textId="18283E74" w:rsidR="00BD398F" w:rsidRDefault="00DB7789" w:rsidP="009C4FC9">
      <w:pPr>
        <w:pStyle w:val="Heading3Numbers"/>
      </w:pPr>
      <w:r>
        <w:t>Netting</w:t>
      </w:r>
      <w:r w:rsidR="0023424F">
        <w:t xml:space="preserve"> arrangements</w:t>
      </w:r>
    </w:p>
    <w:p w14:paraId="10A03C65" w14:textId="77777777" w:rsidR="00981D63" w:rsidRDefault="00981D63" w:rsidP="00981D63">
      <w:pPr>
        <w:pStyle w:val="Heading5"/>
      </w:pPr>
      <w:r>
        <w:t>Key features</w:t>
      </w:r>
    </w:p>
    <w:p w14:paraId="6E8EDC2E" w14:textId="699F345F" w:rsidR="00981D63" w:rsidRPr="00F37056" w:rsidRDefault="003B06D3" w:rsidP="00EB74B3">
      <w:r>
        <w:t xml:space="preserve">Netting arrangements exhibit the following features. </w:t>
      </w:r>
    </w:p>
    <w:p w14:paraId="7AD5549B" w14:textId="51BF3899" w:rsidR="00084009" w:rsidRDefault="008E4377" w:rsidP="008E4377">
      <w:pPr>
        <w:pStyle w:val="ListBullet"/>
      </w:pPr>
      <w:r>
        <w:t xml:space="preserve">Typically, under a reinsurance agreement, there are timing differences between when premiums are paid and claims received. The magnitude of the exposure to a reinsurer, or the reinsurance asset, is </w:t>
      </w:r>
      <w:r w:rsidR="00F91F6B">
        <w:t xml:space="preserve">affected </w:t>
      </w:r>
      <w:r>
        <w:t xml:space="preserve">by these timing differences. APRA is aware that various measures and practices are adopted and incorporated into reinsurance treaties to reduce the effect of these timing differences. </w:t>
      </w:r>
    </w:p>
    <w:p w14:paraId="5EC84BF8" w14:textId="59D0E936" w:rsidR="008E4377" w:rsidRDefault="007A703A" w:rsidP="008E4377">
      <w:pPr>
        <w:pStyle w:val="ListBullet"/>
      </w:pPr>
      <w:r>
        <w:t xml:space="preserve">Given that premiums typically </w:t>
      </w:r>
      <w:r w:rsidR="002F1EBA">
        <w:t xml:space="preserve">exceed expected </w:t>
      </w:r>
      <w:r>
        <w:t>claims, one approach is to delay or defer the payment of premiums.</w:t>
      </w:r>
    </w:p>
    <w:p w14:paraId="50A38848" w14:textId="40D7AF7B" w:rsidR="007A703A" w:rsidRDefault="007A703A" w:rsidP="008E4377">
      <w:pPr>
        <w:pStyle w:val="ListBullet"/>
      </w:pPr>
      <w:r>
        <w:t xml:space="preserve">The majority of mitigants in this </w:t>
      </w:r>
      <w:r w:rsidR="003B06D3">
        <w:t xml:space="preserve">category </w:t>
      </w:r>
      <w:r>
        <w:t xml:space="preserve">deal with mechanisms that effectively accelerate the recognition of claims, thereby reducing the effect of timing differences. </w:t>
      </w:r>
    </w:p>
    <w:p w14:paraId="68AF6A00" w14:textId="657FDB8F" w:rsidR="007A703A" w:rsidRDefault="007A703A" w:rsidP="008E4377">
      <w:pPr>
        <w:pStyle w:val="ListBullet"/>
      </w:pPr>
      <w:r>
        <w:t xml:space="preserve">Several mitigants in this category rely on the principle of being able to net off assets and liabilities in respect of the same reinsurer. </w:t>
      </w:r>
    </w:p>
    <w:p w14:paraId="51D14CE5" w14:textId="1EA76072" w:rsidR="007A703A" w:rsidRPr="00EB74B3" w:rsidRDefault="007A703A" w:rsidP="008E4377">
      <w:pPr>
        <w:pStyle w:val="ListBullet"/>
      </w:pPr>
      <w:r>
        <w:t xml:space="preserve">In respect of funds withheld and deposit back arrangements, funds must be held by the reinsured who </w:t>
      </w:r>
      <w:r w:rsidR="002F1EBA">
        <w:t xml:space="preserve">must </w:t>
      </w:r>
      <w:r>
        <w:t xml:space="preserve">have an enforceable contractual right to draw on the deposit to </w:t>
      </w:r>
      <w:r w:rsidRPr="00EB74B3">
        <w:t xml:space="preserve">meet the reinsurer’s liabilities. </w:t>
      </w:r>
    </w:p>
    <w:p w14:paraId="69176BA0" w14:textId="52ECDC01" w:rsidR="00E5349B" w:rsidRPr="00EB74B3" w:rsidRDefault="008F7DC4" w:rsidP="00D53E87">
      <w:pPr>
        <w:pStyle w:val="Heading5"/>
      </w:pPr>
      <w:r w:rsidRPr="00EB74B3">
        <w:t>Roll</w:t>
      </w:r>
      <w:r w:rsidR="002A5468" w:rsidRPr="003B1E8E">
        <w:t>-</w:t>
      </w:r>
      <w:r w:rsidRPr="00EB74B3">
        <w:t>off risk</w:t>
      </w:r>
    </w:p>
    <w:p w14:paraId="4E67203A" w14:textId="63C0E9A7" w:rsidR="00172601" w:rsidRPr="002A5468" w:rsidRDefault="00ED50F9" w:rsidP="00FE4DB5">
      <w:r w:rsidRPr="002A5468">
        <w:t xml:space="preserve">Several mitigants </w:t>
      </w:r>
      <w:r w:rsidR="00A031CF" w:rsidRPr="002A5468">
        <w:t xml:space="preserve">in this category </w:t>
      </w:r>
      <w:r w:rsidRPr="002A5468">
        <w:t xml:space="preserve">create a liability to the counterparty </w:t>
      </w:r>
      <w:r w:rsidR="00A120D6" w:rsidRPr="002A5468">
        <w:t xml:space="preserve">that </w:t>
      </w:r>
      <w:r w:rsidRPr="002A5468">
        <w:t xml:space="preserve">can be netted against amounts owing from the </w:t>
      </w:r>
      <w:r w:rsidR="00172601" w:rsidRPr="002A5468">
        <w:t>counterparty. This results in a smaller net exposure to the reinsurer and thus a smaller counterparty risk. Considering different elements of the exposure to the rein</w:t>
      </w:r>
      <w:r w:rsidR="0054325E" w:rsidRPr="002A5468">
        <w:t>surer, it is possible that they</w:t>
      </w:r>
      <w:r w:rsidR="00172601" w:rsidRPr="002A5468">
        <w:t xml:space="preserve"> will not always change in a consistent manner, resulting in a change in the net exposure to the reinsurer. </w:t>
      </w:r>
    </w:p>
    <w:p w14:paraId="6AD5B9B7" w14:textId="4F04567A" w:rsidR="00FE4DB5" w:rsidRPr="002A5468" w:rsidRDefault="00FE4DB5" w:rsidP="00ED50F9">
      <w:pPr>
        <w:rPr>
          <w:i/>
        </w:rPr>
      </w:pPr>
      <w:r w:rsidRPr="002A5468">
        <w:rPr>
          <w:i/>
        </w:rPr>
        <w:t xml:space="preserve">Prudential Standard APS 112 Capital Adequacy: Standardised Approach to Credit Risk </w:t>
      </w:r>
      <w:r w:rsidR="000A35AB" w:rsidRPr="002A5468">
        <w:t>(APS 112) considers a similar</w:t>
      </w:r>
      <w:r w:rsidR="00507D2F" w:rsidRPr="002A5468">
        <w:t xml:space="preserve"> concept which is defined as ‘roll</w:t>
      </w:r>
      <w:r w:rsidR="002A5468" w:rsidRPr="003B1E8E">
        <w:t>-</w:t>
      </w:r>
      <w:r w:rsidR="00507D2F" w:rsidRPr="00EB74B3">
        <w:t>off risk’</w:t>
      </w:r>
      <w:r w:rsidR="00A9701E" w:rsidRPr="004B12DE">
        <w:t>. APS 112 defines this</w:t>
      </w:r>
      <w:r w:rsidR="00066907" w:rsidRPr="002A5468">
        <w:t xml:space="preserve"> as the</w:t>
      </w:r>
      <w:r w:rsidR="00507D2F" w:rsidRPr="002A5468">
        <w:t xml:space="preserve"> risk of a sudden material increase in an exposure(s) when short term obligations that have been netted against longer-te</w:t>
      </w:r>
      <w:r w:rsidR="00CC118B" w:rsidRPr="002A5468">
        <w:t>r</w:t>
      </w:r>
      <w:r w:rsidR="00507D2F" w:rsidRPr="002A5468">
        <w:t xml:space="preserve">m claims either mature, are rescinded or are generally no longer available to offset the obligation. </w:t>
      </w:r>
      <w:r w:rsidR="0053211F" w:rsidRPr="002A5468">
        <w:t>APS 112 requires that an ADI’s netting policy must include systems and controls for monitoring netting arrangements that should include monitoring and managing rol</w:t>
      </w:r>
      <w:r w:rsidR="002A5468" w:rsidRPr="003B1E8E">
        <w:t>l-o</w:t>
      </w:r>
      <w:r w:rsidR="0053211F" w:rsidRPr="004B12DE">
        <w:t>ff</w:t>
      </w:r>
      <w:r w:rsidR="0053211F" w:rsidRPr="002A5468">
        <w:t xml:space="preserve"> risk. </w:t>
      </w:r>
    </w:p>
    <w:p w14:paraId="23FDE2EF" w14:textId="0ED7EE72" w:rsidR="0053211F" w:rsidRPr="00066907" w:rsidRDefault="0053211F" w:rsidP="00ED50F9">
      <w:pPr>
        <w:rPr>
          <w:i/>
        </w:rPr>
      </w:pPr>
      <w:r>
        <w:lastRenderedPageBreak/>
        <w:t xml:space="preserve">A similar </w:t>
      </w:r>
      <w:r w:rsidR="002416D1">
        <w:t>concept</w:t>
      </w:r>
      <w:r w:rsidR="00A9701E">
        <w:t xml:space="preserve"> to what is defined as </w:t>
      </w:r>
      <w:r w:rsidR="002F1EBA">
        <w:t>roll</w:t>
      </w:r>
      <w:r w:rsidR="005D7C47">
        <w:t>-</w:t>
      </w:r>
      <w:r w:rsidR="00A9701E">
        <w:t xml:space="preserve">off risk in </w:t>
      </w:r>
      <w:r w:rsidR="002F1EBA">
        <w:t xml:space="preserve">APS </w:t>
      </w:r>
      <w:r w:rsidR="00A9701E">
        <w:t>112 occurs in life insurance. It occurs when liabilities to a reinsurer have a shorter term than amounts owing from a reinsurer, resulting in an increased net exposure. It is proposed that requirement</w:t>
      </w:r>
      <w:r w:rsidR="002416D1">
        <w:t>s</w:t>
      </w:r>
      <w:r w:rsidR="00A9701E">
        <w:t xml:space="preserve"> for management </w:t>
      </w:r>
      <w:r w:rsidR="00CC118B">
        <w:t xml:space="preserve">of </w:t>
      </w:r>
      <w:r w:rsidR="00A9701E">
        <w:t>roll</w:t>
      </w:r>
      <w:r w:rsidR="005D7C47">
        <w:t>-</w:t>
      </w:r>
      <w:r w:rsidR="00A9701E">
        <w:t xml:space="preserve">off risk </w:t>
      </w:r>
      <w:r w:rsidR="002416D1">
        <w:t>are</w:t>
      </w:r>
      <w:r w:rsidR="00A9701E">
        <w:t xml:space="preserve"> included in LPS 117</w:t>
      </w:r>
      <w:r w:rsidR="002416D1">
        <w:t>,</w:t>
      </w:r>
      <w:r w:rsidR="00CC118B">
        <w:t xml:space="preserve"> </w:t>
      </w:r>
      <w:r w:rsidR="00A9701E">
        <w:t xml:space="preserve">similar to those in APS 112 </w:t>
      </w:r>
      <w:r w:rsidR="00CF67E0">
        <w:t>for roll</w:t>
      </w:r>
      <w:r w:rsidR="005D7C47">
        <w:t>-</w:t>
      </w:r>
      <w:r w:rsidR="00CF67E0">
        <w:t>off risk</w:t>
      </w:r>
      <w:r w:rsidR="00A9701E">
        <w:t xml:space="preserve">. </w:t>
      </w:r>
    </w:p>
    <w:p w14:paraId="6B96F6BE" w14:textId="7B7874A4" w:rsidR="00066907" w:rsidRDefault="00066907" w:rsidP="00066907">
      <w:pPr>
        <w:pStyle w:val="Heading5"/>
      </w:pPr>
      <w:r>
        <w:t>Inflating VAF</w:t>
      </w:r>
      <w:r w:rsidR="001E049F">
        <w:t xml:space="preserve"> </w:t>
      </w:r>
    </w:p>
    <w:p w14:paraId="6EBB330E" w14:textId="25BD4C3A" w:rsidR="00A9701E" w:rsidRPr="00BF5F1D" w:rsidRDefault="00D37693" w:rsidP="00ED50F9">
      <w:pPr>
        <w:rPr>
          <w:i/>
        </w:rPr>
      </w:pPr>
      <w:r>
        <w:t xml:space="preserve">Some of the mitigants </w:t>
      </w:r>
      <w:r w:rsidR="00A031CF">
        <w:t xml:space="preserve">in this category </w:t>
      </w:r>
      <w:r>
        <w:t xml:space="preserve">have the effect of </w:t>
      </w:r>
      <w:r w:rsidR="00DA2FC4">
        <w:t xml:space="preserve">inflating </w:t>
      </w:r>
      <w:r>
        <w:t xml:space="preserve">both insurer assets and insurer liabilities by the same amount. </w:t>
      </w:r>
      <w:r w:rsidR="00DA2FC4">
        <w:t xml:space="preserve">This may occur with funds withheld or deposit back arrangements where </w:t>
      </w:r>
      <w:r w:rsidR="00F977C7">
        <w:t xml:space="preserve">reinsurance assets continue to be valued as if these amounts are owed to the cedant by the reinsurer with a corresponding funds withheld liability being shown on the liability side of the </w:t>
      </w:r>
      <w:r w:rsidR="00325E2F">
        <w:t xml:space="preserve">cedant’s </w:t>
      </w:r>
      <w:r w:rsidR="00F977C7">
        <w:t xml:space="preserve">balance sheet. </w:t>
      </w:r>
      <w:r>
        <w:t>This has the unintended consequence of increasing VAF and subsequently the exposure limits in LPS 117. This is an undesirable outcome because there has not been any change in the net assets or capital base.</w:t>
      </w:r>
    </w:p>
    <w:p w14:paraId="418EE8F5" w14:textId="32CF070F" w:rsidR="00FE4DB5" w:rsidRDefault="002F62A8" w:rsidP="009A2376">
      <w:pPr>
        <w:numPr>
          <w:ilvl w:val="0"/>
          <w:numId w:val="0"/>
        </w:numPr>
      </w:pPr>
      <w:r>
        <w:t xml:space="preserve">For the purpose of determining asset concentration limits for non-reinsurance assets, APRA is proposing to amend the definition of VAF to make it net of any reinsurance liabilities reported in the statutory accounts that are able to be netted against reinsurance assets.  Similarly, asset concentration limits for reinsurance assets will be based on </w:t>
      </w:r>
      <w:r w:rsidR="00F42991">
        <w:t>the stressed value of the assets less any liabilities to the reinsurer which satisfy netting requirements.</w:t>
      </w:r>
      <w:r w:rsidR="00C45290">
        <w:t xml:space="preserve"> </w:t>
      </w:r>
    </w:p>
    <w:p w14:paraId="039CA817" w14:textId="3549576D" w:rsidR="00D63B44" w:rsidRDefault="009D62EF" w:rsidP="009D62EF">
      <w:pPr>
        <w:pStyle w:val="Heading3Numbers"/>
      </w:pPr>
      <w:r>
        <w:t>Limiting recognition of mi</w:t>
      </w:r>
      <w:r w:rsidR="00267F25">
        <w:t xml:space="preserve">tigation for capital purposes </w:t>
      </w:r>
      <w:r>
        <w:t xml:space="preserve"> </w:t>
      </w:r>
    </w:p>
    <w:p w14:paraId="300119D9" w14:textId="6965EDBD" w:rsidR="00267F25" w:rsidRDefault="006E4DFA" w:rsidP="00267F25">
      <w:r>
        <w:t>The current standard</w:t>
      </w:r>
      <w:r w:rsidR="00267F25" w:rsidRPr="00B613C4" w:rsidDel="006E377A">
        <w:t xml:space="preserve"> </w:t>
      </w:r>
      <w:r w:rsidR="00853774">
        <w:t xml:space="preserve">does not place </w:t>
      </w:r>
      <w:r w:rsidR="00713CFB">
        <w:t>restrictions</w:t>
      </w:r>
      <w:r w:rsidR="00853774">
        <w:t xml:space="preserve"> on how much the impact of applying the asset concentration limits can be reduced by using risk mitigants. The March 2019 consultation letter </w:t>
      </w:r>
      <w:r w:rsidR="00A87019">
        <w:t xml:space="preserve">stated </w:t>
      </w:r>
      <w:r w:rsidR="00853774">
        <w:t>that</w:t>
      </w:r>
      <w:r w:rsidR="009519C6">
        <w:t xml:space="preserve"> APRA </w:t>
      </w:r>
      <w:r w:rsidR="006D02CA">
        <w:t>wa</w:t>
      </w:r>
      <w:r w:rsidR="009519C6">
        <w:t xml:space="preserve">s </w:t>
      </w:r>
      <w:r w:rsidR="00617182">
        <w:t>considering the option of capping the extent that life companies can use risk mitigants to lessen the impact of applying the limits in LPS 117.</w:t>
      </w:r>
    </w:p>
    <w:p w14:paraId="14B3106F" w14:textId="3997B21E" w:rsidR="00A06C03" w:rsidRDefault="00B967B6" w:rsidP="000820EE">
      <w:r>
        <w:t>S</w:t>
      </w:r>
      <w:r w:rsidR="0049665D">
        <w:t xml:space="preserve">ubmissions contained a variety of views on this proposal. </w:t>
      </w:r>
      <w:r w:rsidR="007179D0">
        <w:t>Common themes in the submissions were that</w:t>
      </w:r>
      <w:r w:rsidR="00F56BA7">
        <w:t xml:space="preserve"> any limit on recognition should be proportional to the applicable net exposure limit and </w:t>
      </w:r>
      <w:r>
        <w:t>that the</w:t>
      </w:r>
      <w:r w:rsidR="00F56BA7">
        <w:t xml:space="preserve"> limits should be set at different levels </w:t>
      </w:r>
      <w:r w:rsidR="00482573">
        <w:t>depending on</w:t>
      </w:r>
      <w:r w:rsidR="00F56BA7">
        <w:t xml:space="preserve"> risk mitigants.</w:t>
      </w:r>
    </w:p>
    <w:p w14:paraId="5485E91F" w14:textId="444CA792" w:rsidR="00193EB3" w:rsidRDefault="00482573" w:rsidP="008E0C63">
      <w:r>
        <w:t xml:space="preserve">Following further consideration, APRA </w:t>
      </w:r>
      <w:r w:rsidR="00193EB3">
        <w:t>proposes to</w:t>
      </w:r>
      <w:r w:rsidR="00E82E1C">
        <w:t xml:space="preserve"> only limit the recognition of risk mitigants for capital purposes when the counterparty is an offshore reinsurer. </w:t>
      </w:r>
      <w:r w:rsidR="00E76323">
        <w:t>APRA is proposing an aggregate limit for the use of offshore reinsurers. This aggregate limit will only be effective at responding to APRA’</w:t>
      </w:r>
      <w:r w:rsidR="007562FC">
        <w:t xml:space="preserve">s concerns if limits are also applied to risk mitigants. </w:t>
      </w:r>
      <w:r w:rsidR="00857430">
        <w:t>W</w:t>
      </w:r>
      <w:r w:rsidR="00186818">
        <w:t xml:space="preserve">hile risk mitigants may limit exposure to counterparty risk, </w:t>
      </w:r>
      <w:r w:rsidR="00D85CA0">
        <w:t>unlimited</w:t>
      </w:r>
      <w:r w:rsidR="00186818">
        <w:t xml:space="preserve"> use of risk mitigants undermines the effectiveness of the limits in addressing the prudential concerns APRA has with offshore reinsurers. </w:t>
      </w:r>
      <w:r w:rsidR="007562FC">
        <w:t xml:space="preserve"> </w:t>
      </w:r>
    </w:p>
    <w:p w14:paraId="27FAF9F0" w14:textId="4BC55C5D" w:rsidR="00193EB3" w:rsidRDefault="00857430">
      <w:r>
        <w:t>It is proposed</w:t>
      </w:r>
      <w:r w:rsidR="00C8521B">
        <w:t xml:space="preserve"> that a maximum of 50 per cent of a reinsurance asset held in respect of a reinsurance arrangement with an offshore reinsurer can be treated as an exposure to eligible collateral, guarantors or issuers of letters of credit. </w:t>
      </w:r>
    </w:p>
    <w:p w14:paraId="6E61E897" w14:textId="4BAC24F8" w:rsidR="001312DB" w:rsidRDefault="00857430">
      <w:r>
        <w:t>T</w:t>
      </w:r>
      <w:r w:rsidR="001312DB">
        <w:t>he merit of extending this restriction to arrangements with offshore related parties</w:t>
      </w:r>
      <w:r>
        <w:t xml:space="preserve"> is also being considered</w:t>
      </w:r>
      <w:r w:rsidR="001312DB">
        <w:t xml:space="preserve">. APRA will use stakeholder feedback from this consultation to </w:t>
      </w:r>
      <w:r w:rsidR="00B967B6">
        <w:t xml:space="preserve">inform </w:t>
      </w:r>
      <w:r w:rsidR="001312DB">
        <w:t xml:space="preserve">its </w:t>
      </w:r>
      <w:r w:rsidR="0001325C">
        <w:t>view</w:t>
      </w:r>
      <w:r w:rsidR="001312DB">
        <w:t xml:space="preserve">. </w:t>
      </w:r>
    </w:p>
    <w:p w14:paraId="2BD8AAF5" w14:textId="48959FEE" w:rsidR="00055BE7" w:rsidRDefault="00D91E15">
      <w:r>
        <w:lastRenderedPageBreak/>
        <w:t>APRA’s adopted approach is to propose limits</w:t>
      </w:r>
      <w:r w:rsidR="00055BE7">
        <w:t xml:space="preserve"> for </w:t>
      </w:r>
      <w:r>
        <w:t>certain</w:t>
      </w:r>
      <w:r w:rsidR="00055BE7">
        <w:t xml:space="preserve"> types of mitigants</w:t>
      </w:r>
      <w:r w:rsidR="00D85CA0">
        <w:t>. N</w:t>
      </w:r>
      <w:r w:rsidR="00055BE7">
        <w:t>etting arrangements do not readily lend themselves to</w:t>
      </w:r>
      <w:r>
        <w:t xml:space="preserve"> this approach due to calculation complexities. Nonetheless, APRA’s expectation is that life insurers should not use netting arrangements to circumvent the limit. </w:t>
      </w:r>
    </w:p>
    <w:p w14:paraId="64125924" w14:textId="4460FE53" w:rsidR="00733746" w:rsidRDefault="001312DB" w:rsidP="002630F4">
      <w:r>
        <w:t>I</w:t>
      </w:r>
      <w:r w:rsidR="00097C29">
        <w:t xml:space="preserve">t is also proposed that APRA </w:t>
      </w:r>
      <w:r w:rsidR="00EB7759">
        <w:t xml:space="preserve">be able to </w:t>
      </w:r>
      <w:r w:rsidR="00097C29">
        <w:t xml:space="preserve">determine </w:t>
      </w:r>
      <w:r w:rsidR="00EB7759">
        <w:t>limits on recognition of risk mitigants in specific circumstances</w:t>
      </w:r>
      <w:r w:rsidR="00D91E15">
        <w:t xml:space="preserve"> if deemed necessary.</w:t>
      </w:r>
      <w:r w:rsidR="00733746">
        <w:t xml:space="preserve"> </w:t>
      </w:r>
    </w:p>
    <w:p w14:paraId="1D4479A0" w14:textId="21BE28B8" w:rsidR="005904CF" w:rsidRDefault="005B3A26" w:rsidP="0007642A">
      <w:pPr>
        <w:pStyle w:val="Heading1Numbers"/>
        <w:rPr>
          <w:lang w:val="en-GB"/>
        </w:rPr>
      </w:pPr>
      <w:bookmarkStart w:id="38" w:name="_Toc34916182"/>
      <w:bookmarkStart w:id="39" w:name="_Toc34925663"/>
      <w:bookmarkStart w:id="40" w:name="_Toc68598683"/>
      <w:r>
        <w:rPr>
          <w:lang w:val="en-GB"/>
        </w:rPr>
        <w:lastRenderedPageBreak/>
        <w:t>Next steps and consultation</w:t>
      </w:r>
      <w:bookmarkEnd w:id="38"/>
      <w:bookmarkEnd w:id="39"/>
      <w:bookmarkEnd w:id="40"/>
    </w:p>
    <w:p w14:paraId="070672D9" w14:textId="2D5A1848" w:rsidR="0007642A" w:rsidRDefault="008C7807" w:rsidP="0007642A">
      <w:pPr>
        <w:pStyle w:val="Heading2Numbers"/>
        <w:rPr>
          <w:lang w:val="en-GB"/>
        </w:rPr>
      </w:pPr>
      <w:r>
        <w:rPr>
          <w:lang w:val="en-GB"/>
        </w:rPr>
        <w:t>Timetable</w:t>
      </w:r>
      <w:r w:rsidR="00D61394">
        <w:rPr>
          <w:lang w:val="en-GB"/>
        </w:rPr>
        <w:t xml:space="preserve"> and transitional arrangements</w:t>
      </w:r>
    </w:p>
    <w:p w14:paraId="252DBF00" w14:textId="230B2739" w:rsidR="00AE50F6" w:rsidRPr="00AE50F6" w:rsidRDefault="003A1EB1" w:rsidP="00900D5C">
      <w:pPr>
        <w:numPr>
          <w:ilvl w:val="0"/>
          <w:numId w:val="0"/>
        </w:numPr>
        <w:rPr>
          <w:lang w:val="en-GB"/>
        </w:rPr>
      </w:pPr>
      <w:r>
        <w:rPr>
          <w:lang w:val="en-GB"/>
        </w:rPr>
        <w:t>S</w:t>
      </w:r>
      <w:r w:rsidR="00AE50F6" w:rsidRPr="00AE50F6">
        <w:rPr>
          <w:lang w:val="en-GB"/>
        </w:rPr>
        <w:t xml:space="preserve">ubmissions </w:t>
      </w:r>
      <w:r w:rsidR="00FC4CE7">
        <w:rPr>
          <w:lang w:val="en-GB"/>
        </w:rPr>
        <w:t xml:space="preserve">on the proposals in this consultation package should be provided by </w:t>
      </w:r>
      <w:r w:rsidR="00A034FA" w:rsidRPr="004F7011">
        <w:rPr>
          <w:lang w:val="en-GB"/>
        </w:rPr>
        <w:t>25 June 2021</w:t>
      </w:r>
      <w:r w:rsidR="00AE50F6" w:rsidRPr="004F7011">
        <w:rPr>
          <w:lang w:val="en-GB"/>
        </w:rPr>
        <w:t>.</w:t>
      </w:r>
      <w:r w:rsidR="00AE50F6" w:rsidRPr="00A034FA">
        <w:rPr>
          <w:lang w:val="en-GB"/>
        </w:rPr>
        <w:t xml:space="preserve"> </w:t>
      </w:r>
      <w:r w:rsidR="00FC4CE7">
        <w:rPr>
          <w:lang w:val="en-GB"/>
        </w:rPr>
        <w:t xml:space="preserve">Following consideration of feedback received, </w:t>
      </w:r>
      <w:r w:rsidR="00D93341">
        <w:rPr>
          <w:lang w:val="en-GB"/>
        </w:rPr>
        <w:t>APRA expect</w:t>
      </w:r>
      <w:r w:rsidR="0074681D">
        <w:rPr>
          <w:lang w:val="en-GB"/>
        </w:rPr>
        <w:t>s</w:t>
      </w:r>
      <w:r w:rsidR="00D93341">
        <w:rPr>
          <w:lang w:val="en-GB"/>
        </w:rPr>
        <w:t xml:space="preserve"> to release </w:t>
      </w:r>
      <w:r w:rsidR="00FC4CE7">
        <w:rPr>
          <w:lang w:val="en-GB"/>
        </w:rPr>
        <w:t xml:space="preserve">a final standard </w:t>
      </w:r>
      <w:r w:rsidR="00402CF4" w:rsidRPr="003F7114">
        <w:rPr>
          <w:lang w:val="en-GB"/>
        </w:rPr>
        <w:t xml:space="preserve">by </w:t>
      </w:r>
      <w:r w:rsidR="003F7114" w:rsidRPr="004F7011">
        <w:rPr>
          <w:lang w:val="en-GB"/>
        </w:rPr>
        <w:t>the end of 2021</w:t>
      </w:r>
      <w:r w:rsidR="0079699A" w:rsidRPr="003F7114">
        <w:rPr>
          <w:lang w:val="en-GB"/>
        </w:rPr>
        <w:t xml:space="preserve">. </w:t>
      </w:r>
      <w:r w:rsidR="002630F4">
        <w:rPr>
          <w:lang w:val="en-GB"/>
        </w:rPr>
        <w:t xml:space="preserve">Revisions made to LPS 117 will give rise to consequential amendments, particularly to LPS 114. </w:t>
      </w:r>
      <w:r w:rsidR="0079699A">
        <w:rPr>
          <w:lang w:val="en-GB"/>
        </w:rPr>
        <w:t xml:space="preserve">Draft consequential amendments will be consulted on </w:t>
      </w:r>
      <w:r w:rsidR="00570BA2">
        <w:rPr>
          <w:lang w:val="en-GB"/>
        </w:rPr>
        <w:t xml:space="preserve">once </w:t>
      </w:r>
      <w:r w:rsidR="0079699A">
        <w:rPr>
          <w:lang w:val="en-GB"/>
        </w:rPr>
        <w:t xml:space="preserve">the revised LPS 117 has been finalised. </w:t>
      </w:r>
    </w:p>
    <w:p w14:paraId="674DDD45" w14:textId="6E3C40BE" w:rsidR="00AE50F6" w:rsidRPr="0079699A" w:rsidRDefault="00B323F2" w:rsidP="00900D5C">
      <w:pPr>
        <w:numPr>
          <w:ilvl w:val="0"/>
          <w:numId w:val="0"/>
        </w:numPr>
        <w:rPr>
          <w:lang w:val="en-GB"/>
        </w:rPr>
      </w:pPr>
      <w:r>
        <w:rPr>
          <w:lang w:val="en-GB"/>
        </w:rPr>
        <w:t xml:space="preserve">Concurrent with this review, </w:t>
      </w:r>
      <w:r w:rsidR="0079699A" w:rsidRPr="0079699A">
        <w:rPr>
          <w:lang w:val="en-GB"/>
        </w:rPr>
        <w:t xml:space="preserve">APRA </w:t>
      </w:r>
      <w:r>
        <w:rPr>
          <w:lang w:val="en-GB"/>
        </w:rPr>
        <w:t xml:space="preserve">is also </w:t>
      </w:r>
      <w:r w:rsidR="0079699A" w:rsidRPr="0079699A">
        <w:rPr>
          <w:lang w:val="en-GB"/>
        </w:rPr>
        <w:t>rev</w:t>
      </w:r>
      <w:r>
        <w:rPr>
          <w:lang w:val="en-GB"/>
        </w:rPr>
        <w:t>iew</w:t>
      </w:r>
      <w:r w:rsidR="00570BA2">
        <w:rPr>
          <w:lang w:val="en-GB"/>
        </w:rPr>
        <w:t>ing</w:t>
      </w:r>
      <w:r w:rsidR="00AF2A76">
        <w:rPr>
          <w:lang w:val="en-GB"/>
        </w:rPr>
        <w:t xml:space="preserve"> how to integrate</w:t>
      </w:r>
      <w:r>
        <w:rPr>
          <w:lang w:val="en-GB"/>
        </w:rPr>
        <w:t xml:space="preserve"> AASB 17</w:t>
      </w:r>
      <w:r w:rsidR="00AF2A76">
        <w:rPr>
          <w:lang w:val="en-GB"/>
        </w:rPr>
        <w:t xml:space="preserve"> into the LAGIC framework</w:t>
      </w:r>
      <w:r w:rsidR="00594EB5">
        <w:rPr>
          <w:lang w:val="en-GB"/>
        </w:rPr>
        <w:t xml:space="preserve">. </w:t>
      </w:r>
      <w:r w:rsidR="001E1716">
        <w:rPr>
          <w:lang w:val="en-GB"/>
        </w:rPr>
        <w:t xml:space="preserve">LPS 117 may be subject to </w:t>
      </w:r>
      <w:r w:rsidR="0013641E">
        <w:rPr>
          <w:lang w:val="en-GB"/>
        </w:rPr>
        <w:t xml:space="preserve">minor </w:t>
      </w:r>
      <w:r w:rsidR="001E1716">
        <w:rPr>
          <w:lang w:val="en-GB"/>
        </w:rPr>
        <w:t xml:space="preserve">revisions as part of the </w:t>
      </w:r>
      <w:r w:rsidR="00570BA2">
        <w:rPr>
          <w:lang w:val="en-GB"/>
        </w:rPr>
        <w:t xml:space="preserve">AASB 17 </w:t>
      </w:r>
      <w:r w:rsidR="001E1716">
        <w:rPr>
          <w:lang w:val="en-GB"/>
        </w:rPr>
        <w:t>integration</w:t>
      </w:r>
      <w:r w:rsidR="00570BA2">
        <w:rPr>
          <w:lang w:val="en-GB"/>
        </w:rPr>
        <w:t xml:space="preserve"> process</w:t>
      </w:r>
      <w:r w:rsidR="001E1716">
        <w:rPr>
          <w:lang w:val="en-GB"/>
        </w:rPr>
        <w:t>.</w:t>
      </w:r>
      <w:r w:rsidR="003F7114">
        <w:rPr>
          <w:lang w:val="en-GB"/>
        </w:rPr>
        <w:t xml:space="preserve"> </w:t>
      </w:r>
      <w:r w:rsidR="004A7566">
        <w:rPr>
          <w:lang w:val="en-GB"/>
        </w:rPr>
        <w:t>APRA is proposing r</w:t>
      </w:r>
      <w:r w:rsidR="003F7114">
        <w:rPr>
          <w:lang w:val="en-GB"/>
        </w:rPr>
        <w:t xml:space="preserve">evisions from this review and AASB 17 revisions </w:t>
      </w:r>
      <w:r w:rsidR="00D02C19">
        <w:rPr>
          <w:lang w:val="en-GB"/>
        </w:rPr>
        <w:t xml:space="preserve">to come into effect </w:t>
      </w:r>
      <w:r w:rsidR="004A7566">
        <w:rPr>
          <w:lang w:val="en-GB"/>
        </w:rPr>
        <w:t xml:space="preserve">at the same time on 1 July 2023. </w:t>
      </w:r>
    </w:p>
    <w:p w14:paraId="1EA55BE6" w14:textId="35ABFE77" w:rsidR="00E669F5" w:rsidRPr="00CB494C" w:rsidRDefault="009A2376" w:rsidP="002630F4">
      <w:pPr>
        <w:rPr>
          <w:lang w:val="en-GB"/>
        </w:rPr>
      </w:pPr>
      <w:r>
        <w:rPr>
          <w:lang w:val="en-GB"/>
        </w:rPr>
        <w:t>APRA</w:t>
      </w:r>
      <w:r w:rsidR="00D53E87">
        <w:rPr>
          <w:lang w:val="en-GB"/>
        </w:rPr>
        <w:t xml:space="preserve"> will put in place appropriate arrangements to allow for an orderly transition to </w:t>
      </w:r>
      <w:r w:rsidR="008C7807">
        <w:rPr>
          <w:lang w:val="en-GB"/>
        </w:rPr>
        <w:t>the revised standard</w:t>
      </w:r>
      <w:r w:rsidR="00F100AD">
        <w:rPr>
          <w:lang w:val="en-GB"/>
        </w:rPr>
        <w:t xml:space="preserve">, including </w:t>
      </w:r>
      <w:r w:rsidR="008C7807">
        <w:rPr>
          <w:lang w:val="en-GB"/>
        </w:rPr>
        <w:t xml:space="preserve">insurer specific </w:t>
      </w:r>
      <w:r w:rsidR="00F100AD">
        <w:rPr>
          <w:lang w:val="en-GB"/>
        </w:rPr>
        <w:t xml:space="preserve">transition </w:t>
      </w:r>
      <w:r w:rsidR="008C7807">
        <w:rPr>
          <w:lang w:val="en-GB"/>
        </w:rPr>
        <w:t xml:space="preserve">arrangements on a case by case basis. </w:t>
      </w:r>
      <w:r w:rsidR="008C7807" w:rsidRPr="00B10059">
        <w:rPr>
          <w:lang w:val="en-GB"/>
        </w:rPr>
        <w:t xml:space="preserve">APRA is </w:t>
      </w:r>
      <w:r w:rsidR="0066640C" w:rsidRPr="00B10059">
        <w:rPr>
          <w:lang w:val="en-GB"/>
        </w:rPr>
        <w:t xml:space="preserve">not </w:t>
      </w:r>
      <w:r w:rsidR="00D12FDB" w:rsidRPr="00B10059">
        <w:rPr>
          <w:lang w:val="en-GB"/>
        </w:rPr>
        <w:t xml:space="preserve">intending </w:t>
      </w:r>
      <w:r w:rsidR="0066640C" w:rsidRPr="00B10059">
        <w:rPr>
          <w:lang w:val="en-GB"/>
        </w:rPr>
        <w:t>t</w:t>
      </w:r>
      <w:r w:rsidR="008C7807" w:rsidRPr="00B10059">
        <w:rPr>
          <w:lang w:val="en-GB"/>
        </w:rPr>
        <w:t>o grandfather existing requiremen</w:t>
      </w:r>
      <w:r w:rsidR="0066640C" w:rsidRPr="00B10059">
        <w:rPr>
          <w:lang w:val="en-GB"/>
        </w:rPr>
        <w:t>ts</w:t>
      </w:r>
      <w:r w:rsidR="00C86020" w:rsidRPr="00B10059">
        <w:rPr>
          <w:lang w:val="en-GB"/>
        </w:rPr>
        <w:t xml:space="preserve"> in LPS 117</w:t>
      </w:r>
      <w:r w:rsidR="0066640C" w:rsidRPr="00CF2713">
        <w:rPr>
          <w:lang w:val="en-GB"/>
        </w:rPr>
        <w:t>.</w:t>
      </w:r>
      <w:r w:rsidR="00FF25A2" w:rsidRPr="00CF2713">
        <w:rPr>
          <w:lang w:val="en-GB"/>
        </w:rPr>
        <w:t xml:space="preserve"> </w:t>
      </w:r>
    </w:p>
    <w:p w14:paraId="6FA90E31" w14:textId="057DC5ED" w:rsidR="00272114" w:rsidRDefault="008A67BD" w:rsidP="00272114">
      <w:pPr>
        <w:rPr>
          <w:lang w:val="en-GB"/>
        </w:rPr>
      </w:pPr>
      <w:r>
        <w:rPr>
          <w:lang w:val="en-GB"/>
        </w:rPr>
        <w:t>C</w:t>
      </w:r>
      <w:r w:rsidR="00FF25A2" w:rsidRPr="000127D3">
        <w:rPr>
          <w:lang w:val="en-GB"/>
        </w:rPr>
        <w:t xml:space="preserve">urrent adjustments </w:t>
      </w:r>
      <w:r w:rsidR="007475AD" w:rsidRPr="000127D3">
        <w:rPr>
          <w:lang w:val="en-GB"/>
        </w:rPr>
        <w:t xml:space="preserve">and exclusions will </w:t>
      </w:r>
      <w:r w:rsidR="00497C67" w:rsidRPr="000127D3">
        <w:rPr>
          <w:lang w:val="en-GB"/>
        </w:rPr>
        <w:t>cease to apply</w:t>
      </w:r>
      <w:r w:rsidR="007475AD" w:rsidRPr="000127D3">
        <w:rPr>
          <w:lang w:val="en-GB"/>
        </w:rPr>
        <w:t xml:space="preserve"> once the</w:t>
      </w:r>
      <w:r w:rsidR="00E669F5" w:rsidRPr="000127D3">
        <w:rPr>
          <w:lang w:val="en-GB"/>
        </w:rPr>
        <w:t xml:space="preserve"> </w:t>
      </w:r>
      <w:r w:rsidR="00C213F2" w:rsidRPr="000127D3">
        <w:rPr>
          <w:lang w:val="en-GB"/>
        </w:rPr>
        <w:t xml:space="preserve">current standard is revoked. </w:t>
      </w:r>
      <w:r w:rsidR="008F7D41" w:rsidRPr="000127D3">
        <w:rPr>
          <w:lang w:val="en-GB"/>
        </w:rPr>
        <w:t>Insurers with adjustments or exclusion</w:t>
      </w:r>
      <w:r w:rsidR="00E669F5" w:rsidRPr="00380270">
        <w:rPr>
          <w:lang w:val="en-GB"/>
        </w:rPr>
        <w:t>s</w:t>
      </w:r>
      <w:r w:rsidR="008F7D41" w:rsidRPr="00380270">
        <w:rPr>
          <w:lang w:val="en-GB"/>
        </w:rPr>
        <w:t xml:space="preserve"> to the current standard are encouraged to </w:t>
      </w:r>
      <w:r w:rsidR="00DB7789" w:rsidRPr="00380270">
        <w:rPr>
          <w:lang w:val="en-GB"/>
        </w:rPr>
        <w:t xml:space="preserve">discuss </w:t>
      </w:r>
      <w:r w:rsidR="00DB7789" w:rsidRPr="00380270" w:rsidDel="00402CF4">
        <w:rPr>
          <w:lang w:val="en-GB"/>
        </w:rPr>
        <w:t xml:space="preserve">these </w:t>
      </w:r>
      <w:r w:rsidR="00402CF4" w:rsidRPr="00380270">
        <w:rPr>
          <w:lang w:val="en-GB"/>
        </w:rPr>
        <w:t>arrangements</w:t>
      </w:r>
      <w:r w:rsidR="00DB7789" w:rsidRPr="00380270">
        <w:rPr>
          <w:lang w:val="en-GB"/>
        </w:rPr>
        <w:t xml:space="preserve"> with their responsible sup</w:t>
      </w:r>
      <w:r w:rsidR="00DB7789" w:rsidRPr="00DB7789">
        <w:rPr>
          <w:lang w:val="en-GB"/>
        </w:rPr>
        <w:t xml:space="preserve">ervisor. </w:t>
      </w:r>
      <w:r w:rsidR="00E669F5" w:rsidRPr="00DB7789">
        <w:rPr>
          <w:lang w:val="en-GB"/>
        </w:rPr>
        <w:t xml:space="preserve">APRA </w:t>
      </w:r>
      <w:r w:rsidR="00F15273" w:rsidRPr="00DB7789">
        <w:rPr>
          <w:lang w:val="en-GB"/>
        </w:rPr>
        <w:t xml:space="preserve">will only </w:t>
      </w:r>
      <w:r w:rsidR="00497C67" w:rsidRPr="00DB7789">
        <w:rPr>
          <w:lang w:val="en-GB"/>
        </w:rPr>
        <w:t xml:space="preserve">exercise its </w:t>
      </w:r>
      <w:r w:rsidR="00F15273" w:rsidRPr="00DB7789">
        <w:rPr>
          <w:lang w:val="en-GB"/>
        </w:rPr>
        <w:t xml:space="preserve">adjust </w:t>
      </w:r>
      <w:r w:rsidR="00497C67" w:rsidRPr="00DB7789">
        <w:rPr>
          <w:lang w:val="en-GB"/>
        </w:rPr>
        <w:t>or</w:t>
      </w:r>
      <w:r w:rsidR="00F15273" w:rsidRPr="00DB7789">
        <w:rPr>
          <w:lang w:val="en-GB"/>
        </w:rPr>
        <w:t xml:space="preserve"> exclude powers </w:t>
      </w:r>
      <w:r w:rsidR="00497C67" w:rsidRPr="00DB7789">
        <w:rPr>
          <w:lang w:val="en-GB"/>
        </w:rPr>
        <w:t>where there are compelling reasons to do so</w:t>
      </w:r>
      <w:r w:rsidR="00DB7789">
        <w:rPr>
          <w:lang w:val="en-GB"/>
        </w:rPr>
        <w:t>.</w:t>
      </w:r>
    </w:p>
    <w:p w14:paraId="51ECB29A" w14:textId="7FCE91DE" w:rsidR="00272114" w:rsidRPr="00EC2183" w:rsidRDefault="004F64AE" w:rsidP="00EC2183">
      <w:pPr>
        <w:rPr>
          <w:lang w:val="en-GB"/>
        </w:rPr>
      </w:pPr>
      <w:r>
        <w:rPr>
          <w:lang w:val="en-GB"/>
        </w:rPr>
        <w:t xml:space="preserve">Up until the time that the new standard is effective, APRA maintains </w:t>
      </w:r>
      <w:r w:rsidR="006D02CA">
        <w:rPr>
          <w:lang w:val="en-GB"/>
        </w:rPr>
        <w:t xml:space="preserve">the </w:t>
      </w:r>
      <w:r>
        <w:rPr>
          <w:lang w:val="en-GB"/>
        </w:rPr>
        <w:t xml:space="preserve">position </w:t>
      </w:r>
      <w:r w:rsidR="006D02CA">
        <w:rPr>
          <w:lang w:val="en-GB"/>
        </w:rPr>
        <w:t xml:space="preserve">it </w:t>
      </w:r>
      <w:r>
        <w:rPr>
          <w:lang w:val="en-GB"/>
        </w:rPr>
        <w:t xml:space="preserve">communicated in December 2017 and is not inclined to grant further discretionary approvals to allow entities to mitigate exposures to non-registered reinsurers for the purpose of calculating the ACRC. This does not apply when the non-registered reinsurer is a related party or appropriate retrocessionaire. </w:t>
      </w:r>
    </w:p>
    <w:p w14:paraId="57FCFBB2" w14:textId="23E8E19D" w:rsidR="005B3A26" w:rsidRPr="00A86CD3" w:rsidRDefault="005B3A26" w:rsidP="005B3A26">
      <w:pPr>
        <w:pStyle w:val="Heading2Numbers"/>
      </w:pPr>
      <w:r w:rsidRPr="00A86CD3">
        <w:t>Request for submissions</w:t>
      </w:r>
      <w:r w:rsidR="003A0373">
        <w:t xml:space="preserve"> and cost-benefit analysis</w:t>
      </w:r>
    </w:p>
    <w:p w14:paraId="7760FB3F" w14:textId="3AB3708D" w:rsidR="005B3A26" w:rsidRPr="00A86CD3" w:rsidRDefault="005B3A26" w:rsidP="002630F4">
      <w:r w:rsidRPr="00A86CD3">
        <w:t xml:space="preserve">APRA invites written submissions on the proposals set out in this </w:t>
      </w:r>
      <w:r>
        <w:t>p</w:t>
      </w:r>
      <w:r w:rsidRPr="00A86CD3">
        <w:t>aper</w:t>
      </w:r>
      <w:r>
        <w:t xml:space="preserve"> and the draft standard</w:t>
      </w:r>
      <w:r w:rsidRPr="00A86CD3">
        <w:t xml:space="preserve">. Written submissions should be sent to insurance.policy@apra.gov.au by </w:t>
      </w:r>
      <w:r w:rsidR="00A303EA" w:rsidRPr="004F7011">
        <w:t>25 June 2021</w:t>
      </w:r>
      <w:r w:rsidRPr="00A303EA">
        <w:t xml:space="preserve"> and addressed to:</w:t>
      </w:r>
      <w:r w:rsidRPr="00A86CD3">
        <w:t xml:space="preserve">  </w:t>
      </w:r>
    </w:p>
    <w:p w14:paraId="5E9397C5" w14:textId="77777777" w:rsidR="005B3A26" w:rsidRPr="00A86CD3" w:rsidRDefault="005B3A26" w:rsidP="006001D1">
      <w:pPr>
        <w:keepNext/>
        <w:spacing w:after="0"/>
      </w:pPr>
      <w:r w:rsidRPr="00A86CD3">
        <w:t xml:space="preserve">General Manager </w:t>
      </w:r>
    </w:p>
    <w:p w14:paraId="5F325262" w14:textId="77777777" w:rsidR="005B3A26" w:rsidRPr="00A86CD3" w:rsidRDefault="005B3A26" w:rsidP="005B3A26">
      <w:pPr>
        <w:spacing w:after="0"/>
      </w:pPr>
      <w:r w:rsidRPr="00A86CD3">
        <w:t xml:space="preserve">Policy Development  </w:t>
      </w:r>
    </w:p>
    <w:p w14:paraId="288F5012" w14:textId="77777777" w:rsidR="005B3A26" w:rsidRPr="00A86CD3" w:rsidRDefault="005B3A26" w:rsidP="005B3A26">
      <w:pPr>
        <w:spacing w:after="0"/>
      </w:pPr>
      <w:r w:rsidRPr="00A86CD3">
        <w:t xml:space="preserve">Policy and Advice Division  </w:t>
      </w:r>
    </w:p>
    <w:p w14:paraId="1CFF8D8B" w14:textId="3B992566" w:rsidR="005B3A26" w:rsidRDefault="005B3A26" w:rsidP="005B3A26">
      <w:pPr>
        <w:spacing w:after="0"/>
      </w:pPr>
      <w:r w:rsidRPr="00A86CD3">
        <w:t>Australian Prudential Regulation Authority</w:t>
      </w:r>
    </w:p>
    <w:p w14:paraId="7D3C9949" w14:textId="77777777" w:rsidR="003A0373" w:rsidRDefault="003A0373" w:rsidP="005B3A26">
      <w:pPr>
        <w:spacing w:after="0"/>
      </w:pPr>
    </w:p>
    <w:p w14:paraId="690FCE4B" w14:textId="77777777" w:rsidR="003A0373" w:rsidRPr="00A86CD3" w:rsidRDefault="003A0373" w:rsidP="003A0373">
      <w:pPr>
        <w:rPr>
          <w:sz w:val="26"/>
          <w:szCs w:val="24"/>
        </w:rPr>
      </w:pPr>
      <w:r w:rsidRPr="00A86CD3">
        <w:t xml:space="preserve">APRA requests that all interested stakeholders use this consultation opportunity to provide information on the compliance impact of the proposed changes and any other substantive costs associated with the changes. Compliance costs are defined as direct costs to businesses of performing activities associated with complying with government regulation. Specifically, information is sought on any increases or decreases to the compliance costs incurred by businesses as a result of APRA’s proposal.  </w:t>
      </w:r>
    </w:p>
    <w:p w14:paraId="1E6A0F2E" w14:textId="77777777" w:rsidR="003A0373" w:rsidRPr="00A86CD3" w:rsidRDefault="003A0373" w:rsidP="003A0373">
      <w:r w:rsidRPr="00A86CD3">
        <w:lastRenderedPageBreak/>
        <w:t xml:space="preserve">Consistent with the Government’s approach, APRA will use the methodology behind the Regulatory Burden Measurement Tool to assess compliance costs. This tool is designed to capture the relevant costs in a structured way, including a separate assessment of upfront costs and ongoing costs. It is available at: </w:t>
      </w:r>
      <w:r w:rsidRPr="00B613C4">
        <w:t>https://rbm.obpr.gov.au</w:t>
      </w:r>
      <w:r>
        <w:t>/</w:t>
      </w:r>
      <w:r w:rsidRPr="00B613C4">
        <w:t>.</w:t>
      </w:r>
      <w:r w:rsidRPr="00A86CD3">
        <w:t xml:space="preserve">  </w:t>
      </w:r>
    </w:p>
    <w:p w14:paraId="65D51BD2" w14:textId="77777777" w:rsidR="003A0373" w:rsidRPr="00A86CD3" w:rsidRDefault="003A0373" w:rsidP="003A0373">
      <w:r w:rsidRPr="00A86CD3">
        <w:t>Respondents are requested to use this methodology to estimate costs to ensure that the data supplied to APRA can be aggregated and used in an industry-wide assessment. When submitting their cost assessment to APRA, respondents are asked to include any assumptions made and, where relevant, any limitations inherent in their assessment. Feedback should address the additional costs incurred as a result of complying with APRA’s requirements, not activities that entities would undertake regardless of regulatory requirements in their ordinary course of business.</w:t>
      </w:r>
    </w:p>
    <w:p w14:paraId="12E5E085" w14:textId="77777777" w:rsidR="005B3A26" w:rsidRPr="00A86CD3" w:rsidRDefault="005B3A26" w:rsidP="005B3A26">
      <w:pPr>
        <w:pStyle w:val="Heading2Numbers"/>
      </w:pPr>
      <w:bookmarkStart w:id="41" w:name="_Hlk64361581"/>
      <w:r w:rsidRPr="00A86CD3">
        <w:t>Important disclosure requirements – publication of submissions</w:t>
      </w:r>
    </w:p>
    <w:p w14:paraId="17E30BAF" w14:textId="1C8F62E5" w:rsidR="005B3A26" w:rsidRPr="00A86CD3" w:rsidRDefault="005B3A26" w:rsidP="005B3A26">
      <w:r w:rsidRPr="00A86CD3">
        <w:t xml:space="preserve">All information in submissions will be made available to the public on the APRA website unless a respondent expressly requests that all or part of the submission is to remain in confidence. </w:t>
      </w:r>
      <w:r w:rsidR="0007087F">
        <w:t>Requests for submissions to remain in confidence are to be clearly ma</w:t>
      </w:r>
      <w:r w:rsidR="000C1E3C">
        <w:t>rked</w:t>
      </w:r>
      <w:r w:rsidR="0007087F">
        <w:t xml:space="preserve"> on the first page of the submission.  </w:t>
      </w:r>
    </w:p>
    <w:p w14:paraId="59276DD4" w14:textId="2AD5012D" w:rsidR="005B3A26" w:rsidRPr="00A86CD3" w:rsidRDefault="005B3A26">
      <w:r w:rsidRPr="00A86CD3">
        <w:t>Automatically generated confidentiality statements in emails do not suffice for this purpose.</w:t>
      </w:r>
      <w:r w:rsidR="005A0554">
        <w:t xml:space="preserve"> </w:t>
      </w:r>
      <w:r w:rsidRPr="00A86CD3">
        <w:t>Respondents who would like part of their submission to rema</w:t>
      </w:r>
      <w:r>
        <w:t xml:space="preserve">in in confidence should provide </w:t>
      </w:r>
      <w:r w:rsidRPr="00A86CD3">
        <w:t xml:space="preserve">this information marked as confidential in a separate attachment. </w:t>
      </w:r>
    </w:p>
    <w:p w14:paraId="419C3D5F" w14:textId="1A022BDD" w:rsidR="003A473C" w:rsidRDefault="005B3A26" w:rsidP="00F76276">
      <w:r w:rsidRPr="00A86CD3">
        <w:t xml:space="preserve">Submissions may be the subject of a request for access made under the </w:t>
      </w:r>
      <w:r w:rsidRPr="005A0554">
        <w:rPr>
          <w:i/>
        </w:rPr>
        <w:t xml:space="preserve">Freedom of Information Act 1982 </w:t>
      </w:r>
      <w:r w:rsidRPr="00A86CD3">
        <w:t xml:space="preserve">(FOIA). APRA will determine such requests, if any, in accordance with the provisions of the FOIA. Information in the submission about any APRA-regulated entity that is not in the public domain and that is identified as confidential will be protected by section 56 of the </w:t>
      </w:r>
      <w:r w:rsidRPr="005A0554">
        <w:rPr>
          <w:i/>
        </w:rPr>
        <w:t>Australian Prudential Regulation Authority Act 1998</w:t>
      </w:r>
      <w:r w:rsidRPr="00A86CD3">
        <w:t xml:space="preserve"> and will therefore be exempt from production under the FOIA.</w:t>
      </w:r>
      <w:bookmarkEnd w:id="41"/>
    </w:p>
    <w:p w14:paraId="0A2E9946" w14:textId="77777777" w:rsidR="00A96F64" w:rsidRDefault="00A96F64" w:rsidP="00225D1D">
      <w:pPr>
        <w:numPr>
          <w:ilvl w:val="0"/>
          <w:numId w:val="0"/>
        </w:numPr>
      </w:pPr>
    </w:p>
    <w:p w14:paraId="6C4D1E95" w14:textId="77777777" w:rsidR="00A96F64" w:rsidRDefault="00A96F64" w:rsidP="00A96F64">
      <w:pPr>
        <w:numPr>
          <w:ilvl w:val="0"/>
          <w:numId w:val="0"/>
        </w:numPr>
        <w:sectPr w:rsidR="00A96F64" w:rsidSect="00AD7CB0">
          <w:footerReference w:type="default" r:id="rId18"/>
          <w:headerReference w:type="first" r:id="rId19"/>
          <w:pgSz w:w="11906" w:h="16838" w:code="9"/>
          <w:pgMar w:top="1440" w:right="1440" w:bottom="1440" w:left="1440" w:header="567" w:footer="567" w:gutter="0"/>
          <w:pgNumType w:start="1"/>
          <w:cols w:space="708"/>
          <w:titlePg/>
          <w:docGrid w:linePitch="360"/>
        </w:sectPr>
      </w:pPr>
    </w:p>
    <w:p w14:paraId="58C196B3" w14:textId="65D30AAB" w:rsidR="00A96F64" w:rsidRPr="005B3A26" w:rsidRDefault="00A96F64" w:rsidP="00225D1D">
      <w:pPr>
        <w:numPr>
          <w:ilvl w:val="0"/>
          <w:numId w:val="0"/>
        </w:numPr>
      </w:pPr>
    </w:p>
    <w:sectPr w:rsidR="00A96F64" w:rsidRPr="005B3A26" w:rsidSect="00AD7CB0">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53B99" w14:textId="77777777" w:rsidR="00B91EE2" w:rsidRPr="000D4EDE" w:rsidRDefault="00B91EE2" w:rsidP="000D4EDE">
      <w:r>
        <w:separator/>
      </w:r>
    </w:p>
  </w:endnote>
  <w:endnote w:type="continuationSeparator" w:id="0">
    <w:p w14:paraId="1FD2140C" w14:textId="77777777" w:rsidR="00B91EE2" w:rsidRPr="000D4EDE" w:rsidRDefault="00B91EE2" w:rsidP="000D4EDE">
      <w:r>
        <w:continuationSeparator/>
      </w:r>
    </w:p>
  </w:endnote>
  <w:endnote w:type="continuationNotice" w:id="1">
    <w:p w14:paraId="16CCFCBF" w14:textId="77777777" w:rsidR="00B91EE2" w:rsidRDefault="00B91E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Cordia New">
    <w:panose1 w:val="020B0304020202020204"/>
    <w:charset w:val="DE"/>
    <w:family w:val="swiss"/>
    <w:pitch w:val="variable"/>
    <w:sig w:usb0="81000003" w:usb1="00000000" w:usb2="00000000" w:usb3="00000000" w:csb0="00010001"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301276"/>
      <w:docPartObj>
        <w:docPartGallery w:val="Page Numbers (Bottom of Page)"/>
        <w:docPartUnique/>
      </w:docPartObj>
    </w:sdtPr>
    <w:sdtEndPr>
      <w:rPr>
        <w:noProof/>
      </w:rPr>
    </w:sdtEndPr>
    <w:sdtContent>
      <w:p w14:paraId="471D3FD1" w14:textId="756AB9E2" w:rsidR="00B91EE2" w:rsidRDefault="00B91E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87C04D" w14:textId="6D4C7C92" w:rsidR="00B91EE2" w:rsidRDefault="00B91EE2">
    <w:pPr>
      <w:pStyle w:val="Footer"/>
    </w:pPr>
    <w:r>
      <w:rPr>
        <w:noProof/>
        <w:lang w:eastAsia="en-AU"/>
      </w:rPr>
      <mc:AlternateContent>
        <mc:Choice Requires="wpg">
          <w:drawing>
            <wp:anchor distT="0" distB="0" distL="114300" distR="114300" simplePos="0" relativeHeight="251658241" behindDoc="0" locked="0" layoutInCell="1" allowOverlap="1" wp14:anchorId="2A53E740" wp14:editId="5B387FE1">
              <wp:simplePos x="0" y="0"/>
              <wp:positionH relativeFrom="page">
                <wp:align>left</wp:align>
              </wp:positionH>
              <wp:positionV relativeFrom="paragraph">
                <wp:posOffset>190500</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2" name="Rectangle 5" descr="Footer Banner" title="Footer Banner"/>
                      <wps:cNvSpPr/>
                      <wps:spPr>
                        <a:xfrm>
                          <a:off x="0" y="0"/>
                          <a:ext cx="15120000" cy="277200"/>
                        </a:xfrm>
                        <a:prstGeom prst="rect">
                          <a:avLst/>
                        </a:prstGeom>
                        <a:solidFill>
                          <a:srgbClr val="00A9E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3" descr="Footer Banner" title="Footer Banner"/>
                      <wps:cNvSpPr/>
                      <wps:spPr>
                        <a:xfrm>
                          <a:off x="914400" y="0"/>
                          <a:ext cx="2732400" cy="277200"/>
                        </a:xfrm>
                        <a:prstGeom prst="rect">
                          <a:avLst/>
                        </a:prstGeom>
                        <a:solidFill>
                          <a:srgbClr val="01216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AEA0B7" id="Group 1" o:spid="_x0000_s1026" alt="Title: Footer Banner - Description: Footer Banner" style="position:absolute;margin-left:0;margin-top:15pt;width:1190.55pt;height:21.85pt;z-index:251658241;mso-position-horizontal:left;mso-position-horizontal-relative:page"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">
              <v:rect id="Rectangle 5"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" fillcolor="#00a9e0" stroked="f" strokeweight="2pt"/>
              <v:rect id="Rectangle 3"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" fillcolor="#012169" stroked="f" strokeweight="2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861D8" w14:textId="77777777" w:rsidR="00B91EE2" w:rsidRPr="000D4EDE" w:rsidRDefault="00B91EE2" w:rsidP="000D4EDE">
      <w:r>
        <w:separator/>
      </w:r>
    </w:p>
  </w:footnote>
  <w:footnote w:type="continuationSeparator" w:id="0">
    <w:p w14:paraId="149C5C2F" w14:textId="77777777" w:rsidR="00B91EE2" w:rsidRPr="000D4EDE" w:rsidRDefault="00B91EE2" w:rsidP="000D4EDE">
      <w:r>
        <w:continuationSeparator/>
      </w:r>
    </w:p>
  </w:footnote>
  <w:footnote w:type="continuationNotice" w:id="1">
    <w:p w14:paraId="226032D4" w14:textId="77777777" w:rsidR="00B91EE2" w:rsidRDefault="00B91EE2">
      <w:pPr>
        <w:spacing w:after="0"/>
      </w:pPr>
    </w:p>
  </w:footnote>
  <w:footnote w:id="2">
    <w:p w14:paraId="365974CA" w14:textId="77777777" w:rsidR="00B91EE2" w:rsidRDefault="00B91EE2" w:rsidP="005A54B0">
      <w:pPr>
        <w:pStyle w:val="FootnoteText"/>
      </w:pPr>
      <w:r>
        <w:rPr>
          <w:rStyle w:val="FootnoteReference"/>
        </w:rPr>
        <w:footnoteRef/>
      </w:r>
      <w:r>
        <w:t xml:space="preserve"> </w:t>
      </w:r>
      <w:r w:rsidRPr="00920372">
        <w:rPr>
          <w:i/>
        </w:rPr>
        <w:t>Prudential Standard LPS 001 Definitions</w:t>
      </w:r>
      <w:r>
        <w:t xml:space="preserve"> (LPS 001) defines a specialist reinsurer as a statutory fund of a registered life company where all policies referable to the fund are reinsurance policies and none of the policies are owned by a related entity of the life company. Appropriate retrocessionaire is defined in paragraph 29 of LPS 117.      </w:t>
      </w:r>
    </w:p>
  </w:footnote>
  <w:footnote w:id="3">
    <w:p w14:paraId="1AE3F714" w14:textId="77777777" w:rsidR="00B91EE2" w:rsidRDefault="00B91EE2">
      <w:pPr>
        <w:pStyle w:val="FootnoteText"/>
      </w:pPr>
      <w:r>
        <w:rPr>
          <w:rStyle w:val="FootnoteReference"/>
        </w:rPr>
        <w:footnoteRef/>
      </w:r>
      <w:r>
        <w:t xml:space="preserve"> </w:t>
      </w:r>
      <w:r w:rsidRPr="00271FD2">
        <w:t xml:space="preserve">APRA, Review of Prudential Standard LPS 117 Capital Adequacy: Asset Concentration Risk </w:t>
      </w:r>
      <w:r w:rsidRPr="00FD516A">
        <w:t xml:space="preserve">Charge (Industry Letter, December 2017) available at: </w:t>
      </w:r>
      <w:hyperlink r:id="rId1" w:history="1">
        <w:r w:rsidRPr="00FD516A">
          <w:rPr>
            <w:rStyle w:val="Hyperlink"/>
          </w:rPr>
          <w:t>https://www.apra.gov.au/sites/default/files/review-of-lps-117-15-dec-2017_0.pdf</w:t>
        </w:r>
      </w:hyperlink>
    </w:p>
  </w:footnote>
  <w:footnote w:id="4">
    <w:p w14:paraId="4E19F5FB" w14:textId="7F6655C1" w:rsidR="00B91EE2" w:rsidDel="00FD5834" w:rsidRDefault="00B91EE2" w:rsidP="00897A1C">
      <w:pPr>
        <w:pStyle w:val="FootnoteText"/>
      </w:pPr>
      <w:r>
        <w:rPr>
          <w:rStyle w:val="FootnoteReference"/>
        </w:rPr>
        <w:footnoteRef/>
      </w:r>
      <w:r>
        <w:t xml:space="preserve"> </w:t>
      </w:r>
      <w:r w:rsidRPr="00271FD2">
        <w:t>APRA, Offshore reinsurers and the review of Prudential Standard LPS 117 Capital Adequacy: Asset Concentration Risk Charge (Industry Letter, March 2019) available at:</w:t>
      </w:r>
      <w:r>
        <w:t xml:space="preserve"> </w:t>
      </w:r>
      <w:hyperlink r:id="rId2" w:history="1">
        <w:r w:rsidRPr="00FD516A">
          <w:rPr>
            <w:rStyle w:val="Hyperlink"/>
          </w:rPr>
          <w:t>https://www.apra.gov.au/sites/default/files/letter_offshore_reinsurers_and_the_review_of_prudential_standard_lps_117_capital_adequacy_asset_concentration_risk_charge_v1.pdf</w:t>
        </w:r>
      </w:hyperlink>
    </w:p>
  </w:footnote>
  <w:footnote w:id="5">
    <w:p w14:paraId="2FC5743A" w14:textId="07662932" w:rsidR="00B91EE2" w:rsidRDefault="00B91EE2">
      <w:pPr>
        <w:pStyle w:val="FootnoteText"/>
      </w:pPr>
      <w:r>
        <w:rPr>
          <w:rStyle w:val="FootnoteReference"/>
        </w:rPr>
        <w:footnoteRef/>
      </w:r>
      <w:r>
        <w:t xml:space="preserve"> </w:t>
      </w:r>
      <w:r w:rsidRPr="0074135D">
        <w:t xml:space="preserve">For a fuller explanation of how APRA considers the various components of its mandate, see APRA’s objectives (Information Paper, November 2019).  </w:t>
      </w:r>
    </w:p>
  </w:footnote>
  <w:footnote w:id="6">
    <w:p w14:paraId="617C6BA0" w14:textId="43933DAD" w:rsidR="00B91EE2" w:rsidRDefault="00B91EE2">
      <w:pPr>
        <w:pStyle w:val="FootnoteText"/>
      </w:pPr>
      <w:r>
        <w:rPr>
          <w:rStyle w:val="FootnoteReference"/>
        </w:rPr>
        <w:footnoteRef/>
      </w:r>
      <w:r>
        <w:t xml:space="preserve">  Subject to a limit of the face value of the guarantee or letter of credit, less any prior draw-downs.</w:t>
      </w:r>
    </w:p>
  </w:footnote>
  <w:footnote w:id="7">
    <w:p w14:paraId="0EC5D98E" w14:textId="40E68157" w:rsidR="00B91EE2" w:rsidRDefault="00B91EE2">
      <w:pPr>
        <w:pStyle w:val="FootnoteText"/>
      </w:pPr>
      <w:r>
        <w:rPr>
          <w:rStyle w:val="FootnoteReference"/>
        </w:rPr>
        <w:footnoteRef/>
      </w:r>
      <w:r>
        <w:t xml:space="preserve">  For example, </w:t>
      </w:r>
      <w:r w:rsidRPr="0046234D">
        <w:t xml:space="preserve">the </w:t>
      </w:r>
      <w:r>
        <w:t xml:space="preserve">individual offshore reinsurer limits of </w:t>
      </w:r>
      <w:r w:rsidRPr="0046234D">
        <w:t xml:space="preserve">5 per cent </w:t>
      </w:r>
      <w:r>
        <w:t xml:space="preserve">of VAF </w:t>
      </w:r>
      <w:r w:rsidRPr="0046234D">
        <w:t xml:space="preserve">for </w:t>
      </w:r>
      <w:r>
        <w:t xml:space="preserve">counterparties with counterparty grade 1, 2 or 3 </w:t>
      </w:r>
      <w:r w:rsidRPr="0046234D">
        <w:t>and 2.5 per cent</w:t>
      </w:r>
      <w:r>
        <w:t xml:space="preserve"> of VAF</w:t>
      </w:r>
      <w:r w:rsidRPr="0046234D">
        <w:t xml:space="preserve"> for lower grade counterparties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C221" w14:textId="672F8687" w:rsidR="00B91EE2" w:rsidRDefault="00B91EE2">
    <w:pPr>
      <w:pStyle w:val="Header"/>
    </w:pPr>
    <w:r>
      <w:rPr>
        <w:noProof/>
        <w:lang w:eastAsia="en-AU"/>
      </w:rPr>
      <w:drawing>
        <wp:anchor distT="0" distB="0" distL="114300" distR="114300" simplePos="0" relativeHeight="251658240" behindDoc="1" locked="0" layoutInCell="1" allowOverlap="1" wp14:anchorId="19B60A97" wp14:editId="77C10504">
          <wp:simplePos x="0" y="0"/>
          <wp:positionH relativeFrom="page">
            <wp:align>left</wp:align>
          </wp:positionH>
          <wp:positionV relativeFrom="page">
            <wp:align>top</wp:align>
          </wp:positionV>
          <wp:extent cx="7560000" cy="10698352"/>
          <wp:effectExtent l="0" t="0" r="3175"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nk-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478E37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350526"/>
    <w:multiLevelType w:val="hybridMultilevel"/>
    <w:tmpl w:val="AD483C3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FD123D"/>
    <w:multiLevelType w:val="hybridMultilevel"/>
    <w:tmpl w:val="AE56A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F3016"/>
    <w:multiLevelType w:val="hybridMultilevel"/>
    <w:tmpl w:val="DB8E8C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641D8F"/>
    <w:multiLevelType w:val="singleLevel"/>
    <w:tmpl w:val="605296A0"/>
    <w:lvl w:ilvl="0">
      <w:start w:val="2"/>
      <w:numFmt w:val="decimal"/>
      <w:lvlText w:val="%1."/>
      <w:lvlJc w:val="left"/>
      <w:pPr>
        <w:tabs>
          <w:tab w:val="num" w:pos="570"/>
        </w:tabs>
        <w:ind w:left="570" w:hanging="570"/>
      </w:pPr>
      <w:rPr>
        <w:rFonts w:hint="default"/>
      </w:rPr>
    </w:lvl>
  </w:abstractNum>
  <w:abstractNum w:abstractNumId="13" w15:restartNumberingAfterBreak="0">
    <w:nsid w:val="29CF15D5"/>
    <w:multiLevelType w:val="hybridMultilevel"/>
    <w:tmpl w:val="01741D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5"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9720AD6"/>
    <w:multiLevelType w:val="hybridMultilevel"/>
    <w:tmpl w:val="36BAF530"/>
    <w:lvl w:ilvl="0" w:tplc="E23A5B40">
      <w:numFmt w:val="bullet"/>
      <w:lvlText w:val="-"/>
      <w:lvlJc w:val="left"/>
      <w:pPr>
        <w:ind w:left="720" w:hanging="360"/>
      </w:pPr>
      <w:rPr>
        <w:rFonts w:ascii="DIN OT Light" w:eastAsiaTheme="minorHAnsi" w:hAnsi="DIN O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FE1B54"/>
    <w:multiLevelType w:val="multilevel"/>
    <w:tmpl w:val="9036E0CA"/>
    <w:lvl w:ilvl="0">
      <w:start w:val="1"/>
      <w:numFmt w:val="decimal"/>
      <w:pStyle w:val="Heading1Numbers"/>
      <w:suff w:val="nothing"/>
      <w:lvlText w:val="Chapter %1 - "/>
      <w:lvlJc w:val="left"/>
      <w:pPr>
        <w:ind w:left="0" w:firstLine="0"/>
      </w:pPr>
      <w:rPr>
        <w:rFonts w:hint="default"/>
      </w:rPr>
    </w:lvl>
    <w:lvl w:ilvl="1">
      <w:start w:val="1"/>
      <w:numFmt w:val="decimal"/>
      <w:pStyle w:val="Heading2Numbers"/>
      <w:lvlText w:val="%1.%2"/>
      <w:lvlJc w:val="left"/>
      <w:pPr>
        <w:tabs>
          <w:tab w:val="num" w:pos="-425"/>
        </w:tabs>
        <w:ind w:left="-425" w:hanging="851"/>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417"/>
        </w:tabs>
        <w:ind w:left="-1842" w:hanging="851"/>
      </w:pPr>
      <w:rPr>
        <w:rFonts w:hint="default"/>
      </w:rPr>
    </w:lvl>
    <w:lvl w:ilvl="3">
      <w:start w:val="1"/>
      <w:numFmt w:val="none"/>
      <w:suff w:val="nothing"/>
      <w:lvlText w:val=""/>
      <w:lvlJc w:val="left"/>
      <w:pPr>
        <w:ind w:left="-2693" w:firstLine="0"/>
      </w:pPr>
      <w:rPr>
        <w:rFonts w:hint="default"/>
      </w:rPr>
    </w:lvl>
    <w:lvl w:ilvl="4">
      <w:start w:val="1"/>
      <w:numFmt w:val="none"/>
      <w:suff w:val="nothing"/>
      <w:lvlText w:val=""/>
      <w:lvlJc w:val="left"/>
      <w:pPr>
        <w:ind w:left="-2693" w:firstLine="0"/>
      </w:pPr>
      <w:rPr>
        <w:rFonts w:hint="default"/>
      </w:rPr>
    </w:lvl>
    <w:lvl w:ilvl="5">
      <w:start w:val="1"/>
      <w:numFmt w:val="none"/>
      <w:suff w:val="nothing"/>
      <w:lvlText w:val=""/>
      <w:lvlJc w:val="left"/>
      <w:pPr>
        <w:ind w:left="-2693" w:firstLine="0"/>
      </w:pPr>
      <w:rPr>
        <w:rFonts w:hint="default"/>
      </w:rPr>
    </w:lvl>
    <w:lvl w:ilvl="6">
      <w:start w:val="1"/>
      <w:numFmt w:val="none"/>
      <w:suff w:val="nothing"/>
      <w:lvlText w:val=""/>
      <w:lvlJc w:val="left"/>
      <w:pPr>
        <w:ind w:left="-2693" w:firstLine="0"/>
      </w:pPr>
      <w:rPr>
        <w:rFonts w:hint="default"/>
      </w:rPr>
    </w:lvl>
    <w:lvl w:ilvl="7">
      <w:start w:val="1"/>
      <w:numFmt w:val="none"/>
      <w:suff w:val="nothing"/>
      <w:lvlText w:val=""/>
      <w:lvlJc w:val="left"/>
      <w:pPr>
        <w:ind w:left="-2693" w:firstLine="0"/>
      </w:pPr>
      <w:rPr>
        <w:rFonts w:hint="default"/>
      </w:rPr>
    </w:lvl>
    <w:lvl w:ilvl="8">
      <w:start w:val="1"/>
      <w:numFmt w:val="none"/>
      <w:suff w:val="nothing"/>
      <w:lvlText w:val=""/>
      <w:lvlJc w:val="left"/>
      <w:pPr>
        <w:ind w:left="-2693" w:firstLine="0"/>
      </w:pPr>
      <w:rPr>
        <w:rFonts w:hint="default"/>
      </w:rPr>
    </w:lvl>
  </w:abstractNum>
  <w:abstractNum w:abstractNumId="19" w15:restartNumberingAfterBreak="0">
    <w:nsid w:val="41C01B42"/>
    <w:multiLevelType w:val="hybridMultilevel"/>
    <w:tmpl w:val="E97CE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AE74B7C"/>
    <w:multiLevelType w:val="hybridMultilevel"/>
    <w:tmpl w:val="14D0E0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62E7D1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526774"/>
    <w:multiLevelType w:val="multilevel"/>
    <w:tmpl w:val="7CC65220"/>
    <w:lvl w:ilvl="0">
      <w:start w:val="1"/>
      <w:numFmt w:val="upperLetter"/>
      <w:pStyle w:val="AttachmentHeading"/>
      <w:suff w:val="space"/>
      <w:lvlText w:val="Attachment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EB60688"/>
    <w:multiLevelType w:val="hybridMultilevel"/>
    <w:tmpl w:val="E92A995C"/>
    <w:lvl w:ilvl="0" w:tplc="D80489AA">
      <w:numFmt w:val="bullet"/>
      <w:lvlText w:val="-"/>
      <w:lvlJc w:val="left"/>
      <w:pPr>
        <w:ind w:left="720" w:hanging="360"/>
      </w:pPr>
      <w:rPr>
        <w:rFonts w:ascii="DIN OT Light" w:eastAsiaTheme="minorHAnsi" w:hAnsi="DIN O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6E5372"/>
    <w:multiLevelType w:val="hybridMultilevel"/>
    <w:tmpl w:val="273ED3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abstractNumId w:val="1"/>
  </w:num>
  <w:num w:numId="2">
    <w:abstractNumId w:val="0"/>
  </w:num>
  <w:num w:numId="3">
    <w:abstractNumId w:val="8"/>
  </w:num>
  <w:num w:numId="4">
    <w:abstractNumId w:val="21"/>
  </w:num>
  <w:num w:numId="5">
    <w:abstractNumId w:val="24"/>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5"/>
  </w:num>
  <w:num w:numId="10">
    <w:abstractNumId w:val="6"/>
  </w:num>
  <w:num w:numId="11">
    <w:abstractNumId w:val="4"/>
  </w:num>
  <w:num w:numId="12">
    <w:abstractNumId w:val="3"/>
  </w:num>
  <w:num w:numId="13">
    <w:abstractNumId w:val="15"/>
  </w:num>
  <w:num w:numId="14">
    <w:abstractNumId w:val="9"/>
  </w:num>
  <w:num w:numId="15">
    <w:abstractNumId w:val="16"/>
  </w:num>
  <w:num w:numId="16">
    <w:abstractNumId w:val="23"/>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0"/>
  </w:num>
  <w:num w:numId="21">
    <w:abstractNumId w:val="7"/>
  </w:num>
  <w:num w:numId="22">
    <w:abstractNumId w:val="14"/>
  </w:num>
  <w:num w:numId="23">
    <w:abstractNumId w:val="14"/>
  </w:num>
  <w:num w:numId="24">
    <w:abstractNumId w:val="13"/>
  </w:num>
  <w:num w:numId="25">
    <w:abstractNumId w:val="14"/>
  </w:num>
  <w:num w:numId="26">
    <w:abstractNumId w:val="19"/>
  </w:num>
  <w:num w:numId="27">
    <w:abstractNumId w:val="11"/>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17"/>
  </w:num>
  <w:num w:numId="31">
    <w:abstractNumId w:val="20"/>
  </w:num>
  <w:num w:numId="32">
    <w:abstractNumId w:val="27"/>
  </w:num>
  <w:num w:numId="33">
    <w:abstractNumId w:val="12"/>
  </w:num>
  <w:num w:numId="34">
    <w:abstractNumId w:val="26"/>
  </w:num>
  <w:num w:numId="35">
    <w:abstractNumId w:val="14"/>
  </w:num>
  <w:num w:numId="3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SortMethod w:val="0004"/>
  <w:trackRevisions/>
  <w:documentProtection w:formatting="1" w:enforcement="0"/>
  <w:styleLockTheme/>
  <w:styleLockQFSet/>
  <w:defaultTabStop w:val="425"/>
  <w:characterSpacingControl w:val="doNotCompress"/>
  <w:hdrShapeDefaults>
    <o:shapedefaults v:ext="edit" spidmax="296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40"/>
    <w:rsid w:val="00000157"/>
    <w:rsid w:val="00000D18"/>
    <w:rsid w:val="000022C1"/>
    <w:rsid w:val="00002816"/>
    <w:rsid w:val="000037BE"/>
    <w:rsid w:val="0000429B"/>
    <w:rsid w:val="00004479"/>
    <w:rsid w:val="000051D6"/>
    <w:rsid w:val="000055DC"/>
    <w:rsid w:val="00005D98"/>
    <w:rsid w:val="00006434"/>
    <w:rsid w:val="00007262"/>
    <w:rsid w:val="00010152"/>
    <w:rsid w:val="00010CE0"/>
    <w:rsid w:val="00011C96"/>
    <w:rsid w:val="000127D3"/>
    <w:rsid w:val="0001306B"/>
    <w:rsid w:val="0001325C"/>
    <w:rsid w:val="00013A4F"/>
    <w:rsid w:val="000141B9"/>
    <w:rsid w:val="00014DB5"/>
    <w:rsid w:val="00015776"/>
    <w:rsid w:val="0001579F"/>
    <w:rsid w:val="00016B18"/>
    <w:rsid w:val="00017518"/>
    <w:rsid w:val="00017DC6"/>
    <w:rsid w:val="00017FDF"/>
    <w:rsid w:val="00020002"/>
    <w:rsid w:val="00022E42"/>
    <w:rsid w:val="000231A5"/>
    <w:rsid w:val="000233B3"/>
    <w:rsid w:val="00023B86"/>
    <w:rsid w:val="000249AD"/>
    <w:rsid w:val="00024AB5"/>
    <w:rsid w:val="00025213"/>
    <w:rsid w:val="000265F9"/>
    <w:rsid w:val="00027B0A"/>
    <w:rsid w:val="0003013E"/>
    <w:rsid w:val="0003186B"/>
    <w:rsid w:val="0003238B"/>
    <w:rsid w:val="00034A19"/>
    <w:rsid w:val="00035449"/>
    <w:rsid w:val="000360A9"/>
    <w:rsid w:val="000368FD"/>
    <w:rsid w:val="00036F9E"/>
    <w:rsid w:val="00037B14"/>
    <w:rsid w:val="00040782"/>
    <w:rsid w:val="00040ED8"/>
    <w:rsid w:val="000413B3"/>
    <w:rsid w:val="0004158A"/>
    <w:rsid w:val="00041F2C"/>
    <w:rsid w:val="000421AB"/>
    <w:rsid w:val="00042240"/>
    <w:rsid w:val="00042385"/>
    <w:rsid w:val="000431ED"/>
    <w:rsid w:val="0004345B"/>
    <w:rsid w:val="00043E8B"/>
    <w:rsid w:val="000444A2"/>
    <w:rsid w:val="00044D7F"/>
    <w:rsid w:val="00044E67"/>
    <w:rsid w:val="00044EF2"/>
    <w:rsid w:val="000452BA"/>
    <w:rsid w:val="0004563D"/>
    <w:rsid w:val="00045FC9"/>
    <w:rsid w:val="00047995"/>
    <w:rsid w:val="00050898"/>
    <w:rsid w:val="00050CFF"/>
    <w:rsid w:val="00051EE8"/>
    <w:rsid w:val="000522AE"/>
    <w:rsid w:val="00053BBA"/>
    <w:rsid w:val="00053D3E"/>
    <w:rsid w:val="000551EC"/>
    <w:rsid w:val="0005572B"/>
    <w:rsid w:val="00055755"/>
    <w:rsid w:val="00055BE7"/>
    <w:rsid w:val="000573E5"/>
    <w:rsid w:val="00057B71"/>
    <w:rsid w:val="00060130"/>
    <w:rsid w:val="00060FB6"/>
    <w:rsid w:val="00061193"/>
    <w:rsid w:val="000612D4"/>
    <w:rsid w:val="000617E8"/>
    <w:rsid w:val="00061BE2"/>
    <w:rsid w:val="000626EB"/>
    <w:rsid w:val="00062B6C"/>
    <w:rsid w:val="000631BC"/>
    <w:rsid w:val="00063A79"/>
    <w:rsid w:val="00065408"/>
    <w:rsid w:val="00065D61"/>
    <w:rsid w:val="00065DA3"/>
    <w:rsid w:val="00066907"/>
    <w:rsid w:val="0006727E"/>
    <w:rsid w:val="000678AF"/>
    <w:rsid w:val="00070504"/>
    <w:rsid w:val="0007087F"/>
    <w:rsid w:val="0007202C"/>
    <w:rsid w:val="000723CB"/>
    <w:rsid w:val="00072B30"/>
    <w:rsid w:val="0007319C"/>
    <w:rsid w:val="000732AA"/>
    <w:rsid w:val="00073983"/>
    <w:rsid w:val="00073D6C"/>
    <w:rsid w:val="00074035"/>
    <w:rsid w:val="0007541C"/>
    <w:rsid w:val="0007549E"/>
    <w:rsid w:val="00075E44"/>
    <w:rsid w:val="0007642A"/>
    <w:rsid w:val="000767DD"/>
    <w:rsid w:val="0008011A"/>
    <w:rsid w:val="00080AE2"/>
    <w:rsid w:val="00081365"/>
    <w:rsid w:val="00081B3E"/>
    <w:rsid w:val="000820EE"/>
    <w:rsid w:val="00084009"/>
    <w:rsid w:val="00084ACA"/>
    <w:rsid w:val="00084CDD"/>
    <w:rsid w:val="00084F2B"/>
    <w:rsid w:val="00084F8B"/>
    <w:rsid w:val="000851D0"/>
    <w:rsid w:val="00085236"/>
    <w:rsid w:val="000857AE"/>
    <w:rsid w:val="00085ED6"/>
    <w:rsid w:val="000865D9"/>
    <w:rsid w:val="0008689D"/>
    <w:rsid w:val="00086D07"/>
    <w:rsid w:val="00086F71"/>
    <w:rsid w:val="00087A9B"/>
    <w:rsid w:val="00087DE2"/>
    <w:rsid w:val="00090D26"/>
    <w:rsid w:val="00091437"/>
    <w:rsid w:val="00091DC8"/>
    <w:rsid w:val="00093022"/>
    <w:rsid w:val="00093915"/>
    <w:rsid w:val="000941BD"/>
    <w:rsid w:val="000949AD"/>
    <w:rsid w:val="00095109"/>
    <w:rsid w:val="00095590"/>
    <w:rsid w:val="00096B0F"/>
    <w:rsid w:val="00096BFF"/>
    <w:rsid w:val="00096C6F"/>
    <w:rsid w:val="000979E1"/>
    <w:rsid w:val="00097C29"/>
    <w:rsid w:val="000A1165"/>
    <w:rsid w:val="000A2604"/>
    <w:rsid w:val="000A2933"/>
    <w:rsid w:val="000A35AB"/>
    <w:rsid w:val="000A3FC5"/>
    <w:rsid w:val="000A490E"/>
    <w:rsid w:val="000A4C3C"/>
    <w:rsid w:val="000A5265"/>
    <w:rsid w:val="000A55B8"/>
    <w:rsid w:val="000A619C"/>
    <w:rsid w:val="000A6CA0"/>
    <w:rsid w:val="000B02F8"/>
    <w:rsid w:val="000B04C5"/>
    <w:rsid w:val="000B21FF"/>
    <w:rsid w:val="000B241F"/>
    <w:rsid w:val="000B29AF"/>
    <w:rsid w:val="000B2C71"/>
    <w:rsid w:val="000B2F7C"/>
    <w:rsid w:val="000B30B5"/>
    <w:rsid w:val="000B32A6"/>
    <w:rsid w:val="000B397D"/>
    <w:rsid w:val="000B4182"/>
    <w:rsid w:val="000B45D5"/>
    <w:rsid w:val="000B51A5"/>
    <w:rsid w:val="000B63CA"/>
    <w:rsid w:val="000B74CA"/>
    <w:rsid w:val="000B752A"/>
    <w:rsid w:val="000C14D9"/>
    <w:rsid w:val="000C15C7"/>
    <w:rsid w:val="000C1E3C"/>
    <w:rsid w:val="000C1FC5"/>
    <w:rsid w:val="000C3AF2"/>
    <w:rsid w:val="000C4A21"/>
    <w:rsid w:val="000C4F62"/>
    <w:rsid w:val="000C554D"/>
    <w:rsid w:val="000C5B0A"/>
    <w:rsid w:val="000C795F"/>
    <w:rsid w:val="000C7C0B"/>
    <w:rsid w:val="000C7FEE"/>
    <w:rsid w:val="000D211C"/>
    <w:rsid w:val="000D290F"/>
    <w:rsid w:val="000D413E"/>
    <w:rsid w:val="000D438A"/>
    <w:rsid w:val="000D4E02"/>
    <w:rsid w:val="000D4EDE"/>
    <w:rsid w:val="000D532C"/>
    <w:rsid w:val="000D5AB9"/>
    <w:rsid w:val="000D6BB9"/>
    <w:rsid w:val="000D6BC6"/>
    <w:rsid w:val="000D6DEA"/>
    <w:rsid w:val="000D7618"/>
    <w:rsid w:val="000D7ADB"/>
    <w:rsid w:val="000E1E73"/>
    <w:rsid w:val="000E2460"/>
    <w:rsid w:val="000E28DF"/>
    <w:rsid w:val="000E3427"/>
    <w:rsid w:val="000E3954"/>
    <w:rsid w:val="000E43AC"/>
    <w:rsid w:val="000E4CAB"/>
    <w:rsid w:val="000E4FFC"/>
    <w:rsid w:val="000E54B4"/>
    <w:rsid w:val="000E6861"/>
    <w:rsid w:val="000E6973"/>
    <w:rsid w:val="000E6E37"/>
    <w:rsid w:val="000E71D3"/>
    <w:rsid w:val="000E75C9"/>
    <w:rsid w:val="000E768C"/>
    <w:rsid w:val="000E7AEC"/>
    <w:rsid w:val="000E7D17"/>
    <w:rsid w:val="000F0B86"/>
    <w:rsid w:val="000F0E6F"/>
    <w:rsid w:val="000F258D"/>
    <w:rsid w:val="000F36B8"/>
    <w:rsid w:val="000F38F2"/>
    <w:rsid w:val="000F4139"/>
    <w:rsid w:val="000F4233"/>
    <w:rsid w:val="000F43BF"/>
    <w:rsid w:val="000F444C"/>
    <w:rsid w:val="000F5B8C"/>
    <w:rsid w:val="000F65CB"/>
    <w:rsid w:val="000F7990"/>
    <w:rsid w:val="0010067D"/>
    <w:rsid w:val="001018A5"/>
    <w:rsid w:val="0010226A"/>
    <w:rsid w:val="00102933"/>
    <w:rsid w:val="001029AA"/>
    <w:rsid w:val="0010323C"/>
    <w:rsid w:val="001034DA"/>
    <w:rsid w:val="001043F2"/>
    <w:rsid w:val="00104B47"/>
    <w:rsid w:val="001053A3"/>
    <w:rsid w:val="00105852"/>
    <w:rsid w:val="00106F56"/>
    <w:rsid w:val="001116F9"/>
    <w:rsid w:val="001122A1"/>
    <w:rsid w:val="00113190"/>
    <w:rsid w:val="00114A1D"/>
    <w:rsid w:val="00115A39"/>
    <w:rsid w:val="00116263"/>
    <w:rsid w:val="001165B3"/>
    <w:rsid w:val="00116833"/>
    <w:rsid w:val="00116F22"/>
    <w:rsid w:val="001200F8"/>
    <w:rsid w:val="00120522"/>
    <w:rsid w:val="00120E41"/>
    <w:rsid w:val="001227CA"/>
    <w:rsid w:val="00122CE6"/>
    <w:rsid w:val="001231CC"/>
    <w:rsid w:val="00123576"/>
    <w:rsid w:val="00123B31"/>
    <w:rsid w:val="001241CB"/>
    <w:rsid w:val="00124B21"/>
    <w:rsid w:val="0012518C"/>
    <w:rsid w:val="001254E1"/>
    <w:rsid w:val="0012584A"/>
    <w:rsid w:val="00125DB9"/>
    <w:rsid w:val="001261AC"/>
    <w:rsid w:val="001279A4"/>
    <w:rsid w:val="001300F1"/>
    <w:rsid w:val="001312DB"/>
    <w:rsid w:val="001323D2"/>
    <w:rsid w:val="001327B8"/>
    <w:rsid w:val="0013321F"/>
    <w:rsid w:val="00133615"/>
    <w:rsid w:val="001338E4"/>
    <w:rsid w:val="0013471B"/>
    <w:rsid w:val="001352D4"/>
    <w:rsid w:val="00135E08"/>
    <w:rsid w:val="0013641E"/>
    <w:rsid w:val="00136D78"/>
    <w:rsid w:val="0013704F"/>
    <w:rsid w:val="001375C7"/>
    <w:rsid w:val="00137B6C"/>
    <w:rsid w:val="001400CF"/>
    <w:rsid w:val="00141435"/>
    <w:rsid w:val="00142F30"/>
    <w:rsid w:val="001439A2"/>
    <w:rsid w:val="00144295"/>
    <w:rsid w:val="00144A9E"/>
    <w:rsid w:val="00150A39"/>
    <w:rsid w:val="00151107"/>
    <w:rsid w:val="0015181A"/>
    <w:rsid w:val="00151D78"/>
    <w:rsid w:val="001520CD"/>
    <w:rsid w:val="0015233F"/>
    <w:rsid w:val="001523E6"/>
    <w:rsid w:val="00153FE4"/>
    <w:rsid w:val="0015660C"/>
    <w:rsid w:val="00157790"/>
    <w:rsid w:val="001577B5"/>
    <w:rsid w:val="00157C98"/>
    <w:rsid w:val="0016073C"/>
    <w:rsid w:val="001619C8"/>
    <w:rsid w:val="00161BF7"/>
    <w:rsid w:val="00162018"/>
    <w:rsid w:val="0016272E"/>
    <w:rsid w:val="00162989"/>
    <w:rsid w:val="00162C74"/>
    <w:rsid w:val="00162DD9"/>
    <w:rsid w:val="001648A5"/>
    <w:rsid w:val="001648EF"/>
    <w:rsid w:val="00164DC7"/>
    <w:rsid w:val="00164F41"/>
    <w:rsid w:val="00165018"/>
    <w:rsid w:val="001653B6"/>
    <w:rsid w:val="0016595E"/>
    <w:rsid w:val="00165BF6"/>
    <w:rsid w:val="00165CB5"/>
    <w:rsid w:val="00166629"/>
    <w:rsid w:val="00172601"/>
    <w:rsid w:val="00172844"/>
    <w:rsid w:val="00172A44"/>
    <w:rsid w:val="00172E2A"/>
    <w:rsid w:val="00174983"/>
    <w:rsid w:val="00174B0F"/>
    <w:rsid w:val="00175459"/>
    <w:rsid w:val="00176362"/>
    <w:rsid w:val="00176CC2"/>
    <w:rsid w:val="00177D46"/>
    <w:rsid w:val="00181A7E"/>
    <w:rsid w:val="00181B5C"/>
    <w:rsid w:val="001820E8"/>
    <w:rsid w:val="0018235E"/>
    <w:rsid w:val="00182CCD"/>
    <w:rsid w:val="00182F93"/>
    <w:rsid w:val="00183037"/>
    <w:rsid w:val="00183C49"/>
    <w:rsid w:val="00184187"/>
    <w:rsid w:val="001858A3"/>
    <w:rsid w:val="00186818"/>
    <w:rsid w:val="001868B3"/>
    <w:rsid w:val="00186FAF"/>
    <w:rsid w:val="00191293"/>
    <w:rsid w:val="001923DA"/>
    <w:rsid w:val="00193895"/>
    <w:rsid w:val="00193EB3"/>
    <w:rsid w:val="00194AB2"/>
    <w:rsid w:val="0019671F"/>
    <w:rsid w:val="00196E3A"/>
    <w:rsid w:val="00197160"/>
    <w:rsid w:val="001A0116"/>
    <w:rsid w:val="001A1512"/>
    <w:rsid w:val="001A1995"/>
    <w:rsid w:val="001A228B"/>
    <w:rsid w:val="001A2D3B"/>
    <w:rsid w:val="001A2D9C"/>
    <w:rsid w:val="001A3AB6"/>
    <w:rsid w:val="001A40C6"/>
    <w:rsid w:val="001A4E25"/>
    <w:rsid w:val="001A4EA4"/>
    <w:rsid w:val="001A5176"/>
    <w:rsid w:val="001A54E7"/>
    <w:rsid w:val="001A6586"/>
    <w:rsid w:val="001A664F"/>
    <w:rsid w:val="001A6B20"/>
    <w:rsid w:val="001A6EE5"/>
    <w:rsid w:val="001A761C"/>
    <w:rsid w:val="001A7AE1"/>
    <w:rsid w:val="001A7CF2"/>
    <w:rsid w:val="001B002E"/>
    <w:rsid w:val="001B02B5"/>
    <w:rsid w:val="001B13D2"/>
    <w:rsid w:val="001B1F85"/>
    <w:rsid w:val="001B2DB7"/>
    <w:rsid w:val="001B3855"/>
    <w:rsid w:val="001B3A9F"/>
    <w:rsid w:val="001B3C4C"/>
    <w:rsid w:val="001B3F08"/>
    <w:rsid w:val="001B43A0"/>
    <w:rsid w:val="001B444D"/>
    <w:rsid w:val="001B46C4"/>
    <w:rsid w:val="001B538F"/>
    <w:rsid w:val="001B58A0"/>
    <w:rsid w:val="001B6F9A"/>
    <w:rsid w:val="001B73EB"/>
    <w:rsid w:val="001B7531"/>
    <w:rsid w:val="001C0307"/>
    <w:rsid w:val="001C0592"/>
    <w:rsid w:val="001C3129"/>
    <w:rsid w:val="001C3B80"/>
    <w:rsid w:val="001C3C1D"/>
    <w:rsid w:val="001C4783"/>
    <w:rsid w:val="001C5E20"/>
    <w:rsid w:val="001C726D"/>
    <w:rsid w:val="001C7D0C"/>
    <w:rsid w:val="001D0C02"/>
    <w:rsid w:val="001D1530"/>
    <w:rsid w:val="001D3173"/>
    <w:rsid w:val="001D33AA"/>
    <w:rsid w:val="001D3D43"/>
    <w:rsid w:val="001D4094"/>
    <w:rsid w:val="001D434C"/>
    <w:rsid w:val="001D4E6C"/>
    <w:rsid w:val="001D52C7"/>
    <w:rsid w:val="001D7560"/>
    <w:rsid w:val="001D79B0"/>
    <w:rsid w:val="001E049F"/>
    <w:rsid w:val="001E0515"/>
    <w:rsid w:val="001E0F51"/>
    <w:rsid w:val="001E1716"/>
    <w:rsid w:val="001E1947"/>
    <w:rsid w:val="001E429E"/>
    <w:rsid w:val="001E507D"/>
    <w:rsid w:val="001E55BF"/>
    <w:rsid w:val="001F0EBC"/>
    <w:rsid w:val="001F1563"/>
    <w:rsid w:val="001F17DC"/>
    <w:rsid w:val="001F34EF"/>
    <w:rsid w:val="001F411C"/>
    <w:rsid w:val="001F6E1A"/>
    <w:rsid w:val="001F7044"/>
    <w:rsid w:val="001F780A"/>
    <w:rsid w:val="001F7917"/>
    <w:rsid w:val="001F7E74"/>
    <w:rsid w:val="00200560"/>
    <w:rsid w:val="00200613"/>
    <w:rsid w:val="00201E93"/>
    <w:rsid w:val="002035C7"/>
    <w:rsid w:val="0020413F"/>
    <w:rsid w:val="00205C15"/>
    <w:rsid w:val="00206BE5"/>
    <w:rsid w:val="00207301"/>
    <w:rsid w:val="00207C57"/>
    <w:rsid w:val="0021175A"/>
    <w:rsid w:val="00212378"/>
    <w:rsid w:val="00212FEE"/>
    <w:rsid w:val="00214714"/>
    <w:rsid w:val="00214883"/>
    <w:rsid w:val="002157AF"/>
    <w:rsid w:val="00216133"/>
    <w:rsid w:val="00216580"/>
    <w:rsid w:val="0021702D"/>
    <w:rsid w:val="00217E47"/>
    <w:rsid w:val="00217E5B"/>
    <w:rsid w:val="00220550"/>
    <w:rsid w:val="002213E4"/>
    <w:rsid w:val="00221B7B"/>
    <w:rsid w:val="00222376"/>
    <w:rsid w:val="00222EB7"/>
    <w:rsid w:val="00225D1D"/>
    <w:rsid w:val="00225FA8"/>
    <w:rsid w:val="00226F1C"/>
    <w:rsid w:val="00230194"/>
    <w:rsid w:val="002301A2"/>
    <w:rsid w:val="002302E2"/>
    <w:rsid w:val="00230481"/>
    <w:rsid w:val="00231E61"/>
    <w:rsid w:val="00231EE0"/>
    <w:rsid w:val="0023345A"/>
    <w:rsid w:val="0023424F"/>
    <w:rsid w:val="00234AF1"/>
    <w:rsid w:val="00234D68"/>
    <w:rsid w:val="00236C2D"/>
    <w:rsid w:val="002374B7"/>
    <w:rsid w:val="0024002C"/>
    <w:rsid w:val="00240126"/>
    <w:rsid w:val="00240302"/>
    <w:rsid w:val="002415C7"/>
    <w:rsid w:val="002416D1"/>
    <w:rsid w:val="00241FCC"/>
    <w:rsid w:val="00242384"/>
    <w:rsid w:val="00242FDB"/>
    <w:rsid w:val="0024304D"/>
    <w:rsid w:val="002446B7"/>
    <w:rsid w:val="00244826"/>
    <w:rsid w:val="0024498C"/>
    <w:rsid w:val="002449EC"/>
    <w:rsid w:val="00246B69"/>
    <w:rsid w:val="00247014"/>
    <w:rsid w:val="002476AA"/>
    <w:rsid w:val="00247ACA"/>
    <w:rsid w:val="00250D0F"/>
    <w:rsid w:val="00250E81"/>
    <w:rsid w:val="002511AA"/>
    <w:rsid w:val="00252A0C"/>
    <w:rsid w:val="00252E6A"/>
    <w:rsid w:val="00252EB9"/>
    <w:rsid w:val="00253036"/>
    <w:rsid w:val="00253732"/>
    <w:rsid w:val="00255467"/>
    <w:rsid w:val="00255A20"/>
    <w:rsid w:val="00256B55"/>
    <w:rsid w:val="00256BE0"/>
    <w:rsid w:val="0025782A"/>
    <w:rsid w:val="00257E39"/>
    <w:rsid w:val="00260D19"/>
    <w:rsid w:val="00261647"/>
    <w:rsid w:val="00261CC8"/>
    <w:rsid w:val="002630F4"/>
    <w:rsid w:val="00263414"/>
    <w:rsid w:val="002657FD"/>
    <w:rsid w:val="002661A6"/>
    <w:rsid w:val="00266AC7"/>
    <w:rsid w:val="00266C23"/>
    <w:rsid w:val="00267783"/>
    <w:rsid w:val="002677D3"/>
    <w:rsid w:val="0026797D"/>
    <w:rsid w:val="00267F25"/>
    <w:rsid w:val="00270F27"/>
    <w:rsid w:val="0027194D"/>
    <w:rsid w:val="00271FD2"/>
    <w:rsid w:val="00272114"/>
    <w:rsid w:val="00272CB4"/>
    <w:rsid w:val="0027572B"/>
    <w:rsid w:val="00275CCF"/>
    <w:rsid w:val="00276341"/>
    <w:rsid w:val="00276B8F"/>
    <w:rsid w:val="002771A8"/>
    <w:rsid w:val="00277571"/>
    <w:rsid w:val="00277D6C"/>
    <w:rsid w:val="0028000D"/>
    <w:rsid w:val="002801E1"/>
    <w:rsid w:val="002808FD"/>
    <w:rsid w:val="00281B2B"/>
    <w:rsid w:val="00281BD1"/>
    <w:rsid w:val="002838A0"/>
    <w:rsid w:val="002838CF"/>
    <w:rsid w:val="00283DF4"/>
    <w:rsid w:val="002840CB"/>
    <w:rsid w:val="002844F5"/>
    <w:rsid w:val="002846F6"/>
    <w:rsid w:val="00284CF0"/>
    <w:rsid w:val="00284E4B"/>
    <w:rsid w:val="00285BB5"/>
    <w:rsid w:val="00286041"/>
    <w:rsid w:val="00286102"/>
    <w:rsid w:val="002862A1"/>
    <w:rsid w:val="00286BAC"/>
    <w:rsid w:val="00286EAD"/>
    <w:rsid w:val="002907B6"/>
    <w:rsid w:val="00290FA2"/>
    <w:rsid w:val="00291A51"/>
    <w:rsid w:val="00291FA5"/>
    <w:rsid w:val="0029389B"/>
    <w:rsid w:val="00294170"/>
    <w:rsid w:val="00295016"/>
    <w:rsid w:val="00295147"/>
    <w:rsid w:val="0029528F"/>
    <w:rsid w:val="002A06BF"/>
    <w:rsid w:val="002A1001"/>
    <w:rsid w:val="002A166D"/>
    <w:rsid w:val="002A1894"/>
    <w:rsid w:val="002A2188"/>
    <w:rsid w:val="002A296D"/>
    <w:rsid w:val="002A2A45"/>
    <w:rsid w:val="002A3580"/>
    <w:rsid w:val="002A36F2"/>
    <w:rsid w:val="002A5468"/>
    <w:rsid w:val="002A569E"/>
    <w:rsid w:val="002A5CD5"/>
    <w:rsid w:val="002A641A"/>
    <w:rsid w:val="002A7773"/>
    <w:rsid w:val="002A7D14"/>
    <w:rsid w:val="002B0913"/>
    <w:rsid w:val="002B1EEB"/>
    <w:rsid w:val="002B2861"/>
    <w:rsid w:val="002B28E4"/>
    <w:rsid w:val="002B3C7D"/>
    <w:rsid w:val="002B4496"/>
    <w:rsid w:val="002B5CA0"/>
    <w:rsid w:val="002B7504"/>
    <w:rsid w:val="002B7BBB"/>
    <w:rsid w:val="002C03C7"/>
    <w:rsid w:val="002C052D"/>
    <w:rsid w:val="002C0D97"/>
    <w:rsid w:val="002C14E3"/>
    <w:rsid w:val="002C18F6"/>
    <w:rsid w:val="002C1DEA"/>
    <w:rsid w:val="002C25F8"/>
    <w:rsid w:val="002C2CB7"/>
    <w:rsid w:val="002C3A62"/>
    <w:rsid w:val="002C3D77"/>
    <w:rsid w:val="002C66D1"/>
    <w:rsid w:val="002C6E70"/>
    <w:rsid w:val="002C6FAD"/>
    <w:rsid w:val="002C7065"/>
    <w:rsid w:val="002C7A06"/>
    <w:rsid w:val="002C7F4A"/>
    <w:rsid w:val="002D19A2"/>
    <w:rsid w:val="002D2125"/>
    <w:rsid w:val="002D2804"/>
    <w:rsid w:val="002D2DD1"/>
    <w:rsid w:val="002D3363"/>
    <w:rsid w:val="002D3421"/>
    <w:rsid w:val="002D37B1"/>
    <w:rsid w:val="002D452A"/>
    <w:rsid w:val="002D45BB"/>
    <w:rsid w:val="002D4B6C"/>
    <w:rsid w:val="002D5274"/>
    <w:rsid w:val="002E0394"/>
    <w:rsid w:val="002E11D6"/>
    <w:rsid w:val="002E2416"/>
    <w:rsid w:val="002E463B"/>
    <w:rsid w:val="002E5EE1"/>
    <w:rsid w:val="002E639D"/>
    <w:rsid w:val="002E7AB0"/>
    <w:rsid w:val="002F0135"/>
    <w:rsid w:val="002F0C2C"/>
    <w:rsid w:val="002F17FA"/>
    <w:rsid w:val="002F1EBA"/>
    <w:rsid w:val="002F2A27"/>
    <w:rsid w:val="002F46DA"/>
    <w:rsid w:val="002F5392"/>
    <w:rsid w:val="002F5A17"/>
    <w:rsid w:val="002F5F6D"/>
    <w:rsid w:val="002F62A8"/>
    <w:rsid w:val="002F67B6"/>
    <w:rsid w:val="002F7B8F"/>
    <w:rsid w:val="002F7BDE"/>
    <w:rsid w:val="002F7D07"/>
    <w:rsid w:val="00300655"/>
    <w:rsid w:val="003012D6"/>
    <w:rsid w:val="00303D18"/>
    <w:rsid w:val="0030403C"/>
    <w:rsid w:val="00304B55"/>
    <w:rsid w:val="00304CC8"/>
    <w:rsid w:val="00305166"/>
    <w:rsid w:val="00305AB7"/>
    <w:rsid w:val="00305BE2"/>
    <w:rsid w:val="00306299"/>
    <w:rsid w:val="003064B2"/>
    <w:rsid w:val="00307ADD"/>
    <w:rsid w:val="00307E55"/>
    <w:rsid w:val="003100EF"/>
    <w:rsid w:val="00310230"/>
    <w:rsid w:val="003103FE"/>
    <w:rsid w:val="00310AC9"/>
    <w:rsid w:val="00312A66"/>
    <w:rsid w:val="0031302C"/>
    <w:rsid w:val="003130CA"/>
    <w:rsid w:val="00314333"/>
    <w:rsid w:val="00314734"/>
    <w:rsid w:val="00315003"/>
    <w:rsid w:val="00315636"/>
    <w:rsid w:val="00316C4C"/>
    <w:rsid w:val="00316F5E"/>
    <w:rsid w:val="00317D91"/>
    <w:rsid w:val="00317F8B"/>
    <w:rsid w:val="00320EEC"/>
    <w:rsid w:val="00321582"/>
    <w:rsid w:val="00321614"/>
    <w:rsid w:val="0032180D"/>
    <w:rsid w:val="00322A5E"/>
    <w:rsid w:val="00323020"/>
    <w:rsid w:val="00323B7A"/>
    <w:rsid w:val="00324D09"/>
    <w:rsid w:val="00324DF2"/>
    <w:rsid w:val="00325022"/>
    <w:rsid w:val="003251D4"/>
    <w:rsid w:val="00325E2F"/>
    <w:rsid w:val="00327B7C"/>
    <w:rsid w:val="003301DB"/>
    <w:rsid w:val="00332909"/>
    <w:rsid w:val="00335DF6"/>
    <w:rsid w:val="00336151"/>
    <w:rsid w:val="003376D8"/>
    <w:rsid w:val="003400E0"/>
    <w:rsid w:val="00341E9C"/>
    <w:rsid w:val="0034292B"/>
    <w:rsid w:val="00343494"/>
    <w:rsid w:val="00344A4A"/>
    <w:rsid w:val="00344E40"/>
    <w:rsid w:val="003458FF"/>
    <w:rsid w:val="00346228"/>
    <w:rsid w:val="00346D30"/>
    <w:rsid w:val="00347B29"/>
    <w:rsid w:val="00347D98"/>
    <w:rsid w:val="003509EA"/>
    <w:rsid w:val="00350AD9"/>
    <w:rsid w:val="00350FA3"/>
    <w:rsid w:val="0035105E"/>
    <w:rsid w:val="00352398"/>
    <w:rsid w:val="0035383A"/>
    <w:rsid w:val="003544C3"/>
    <w:rsid w:val="00354A2C"/>
    <w:rsid w:val="0035511C"/>
    <w:rsid w:val="00355D40"/>
    <w:rsid w:val="00356510"/>
    <w:rsid w:val="00361398"/>
    <w:rsid w:val="003617B5"/>
    <w:rsid w:val="00361D8A"/>
    <w:rsid w:val="00361F41"/>
    <w:rsid w:val="00361F96"/>
    <w:rsid w:val="00362355"/>
    <w:rsid w:val="00363997"/>
    <w:rsid w:val="003642F5"/>
    <w:rsid w:val="00366B50"/>
    <w:rsid w:val="00366EE7"/>
    <w:rsid w:val="0036723D"/>
    <w:rsid w:val="00367699"/>
    <w:rsid w:val="00367999"/>
    <w:rsid w:val="00370215"/>
    <w:rsid w:val="00370477"/>
    <w:rsid w:val="00371AAC"/>
    <w:rsid w:val="00371F54"/>
    <w:rsid w:val="00373A11"/>
    <w:rsid w:val="0037404E"/>
    <w:rsid w:val="00374A36"/>
    <w:rsid w:val="0037512A"/>
    <w:rsid w:val="00375657"/>
    <w:rsid w:val="00375B62"/>
    <w:rsid w:val="00375CBA"/>
    <w:rsid w:val="00376432"/>
    <w:rsid w:val="0037653F"/>
    <w:rsid w:val="0037742A"/>
    <w:rsid w:val="0037770C"/>
    <w:rsid w:val="00377C8B"/>
    <w:rsid w:val="00380179"/>
    <w:rsid w:val="00380270"/>
    <w:rsid w:val="00381115"/>
    <w:rsid w:val="003812CE"/>
    <w:rsid w:val="00381389"/>
    <w:rsid w:val="003823AC"/>
    <w:rsid w:val="0038279F"/>
    <w:rsid w:val="003833E9"/>
    <w:rsid w:val="00383A95"/>
    <w:rsid w:val="00385106"/>
    <w:rsid w:val="003852D7"/>
    <w:rsid w:val="0038537D"/>
    <w:rsid w:val="003853AC"/>
    <w:rsid w:val="003858FD"/>
    <w:rsid w:val="00385CA0"/>
    <w:rsid w:val="00386B56"/>
    <w:rsid w:val="003870AF"/>
    <w:rsid w:val="003910BB"/>
    <w:rsid w:val="0039136A"/>
    <w:rsid w:val="00391A2D"/>
    <w:rsid w:val="0039373B"/>
    <w:rsid w:val="00393782"/>
    <w:rsid w:val="0039381F"/>
    <w:rsid w:val="00393820"/>
    <w:rsid w:val="00393A43"/>
    <w:rsid w:val="0039439B"/>
    <w:rsid w:val="0039668C"/>
    <w:rsid w:val="00396B26"/>
    <w:rsid w:val="0039760D"/>
    <w:rsid w:val="00397B0C"/>
    <w:rsid w:val="00397EC2"/>
    <w:rsid w:val="003A0373"/>
    <w:rsid w:val="003A1196"/>
    <w:rsid w:val="003A1EB1"/>
    <w:rsid w:val="003A1F41"/>
    <w:rsid w:val="003A2733"/>
    <w:rsid w:val="003A3021"/>
    <w:rsid w:val="003A473C"/>
    <w:rsid w:val="003A58E2"/>
    <w:rsid w:val="003A5E39"/>
    <w:rsid w:val="003A627E"/>
    <w:rsid w:val="003A6F18"/>
    <w:rsid w:val="003A705E"/>
    <w:rsid w:val="003A7648"/>
    <w:rsid w:val="003A79EE"/>
    <w:rsid w:val="003A7F75"/>
    <w:rsid w:val="003B06D3"/>
    <w:rsid w:val="003B09F2"/>
    <w:rsid w:val="003B0A4F"/>
    <w:rsid w:val="003B0DAA"/>
    <w:rsid w:val="003B1126"/>
    <w:rsid w:val="003B1480"/>
    <w:rsid w:val="003B1AD9"/>
    <w:rsid w:val="003B1E8E"/>
    <w:rsid w:val="003B25FE"/>
    <w:rsid w:val="003B33BF"/>
    <w:rsid w:val="003B3A8B"/>
    <w:rsid w:val="003B3B6B"/>
    <w:rsid w:val="003B47E8"/>
    <w:rsid w:val="003B51A4"/>
    <w:rsid w:val="003B521E"/>
    <w:rsid w:val="003B6A52"/>
    <w:rsid w:val="003B6E16"/>
    <w:rsid w:val="003B70F8"/>
    <w:rsid w:val="003B7375"/>
    <w:rsid w:val="003B7DC3"/>
    <w:rsid w:val="003C010B"/>
    <w:rsid w:val="003C0DA3"/>
    <w:rsid w:val="003C1267"/>
    <w:rsid w:val="003C1744"/>
    <w:rsid w:val="003C180A"/>
    <w:rsid w:val="003C1E25"/>
    <w:rsid w:val="003C271E"/>
    <w:rsid w:val="003C3AE4"/>
    <w:rsid w:val="003C4780"/>
    <w:rsid w:val="003C4B81"/>
    <w:rsid w:val="003C50C7"/>
    <w:rsid w:val="003C7139"/>
    <w:rsid w:val="003C7B0C"/>
    <w:rsid w:val="003D0712"/>
    <w:rsid w:val="003D1175"/>
    <w:rsid w:val="003D1247"/>
    <w:rsid w:val="003D1595"/>
    <w:rsid w:val="003D204E"/>
    <w:rsid w:val="003D21F5"/>
    <w:rsid w:val="003D27CB"/>
    <w:rsid w:val="003D2C26"/>
    <w:rsid w:val="003D2EEF"/>
    <w:rsid w:val="003D3089"/>
    <w:rsid w:val="003D329D"/>
    <w:rsid w:val="003D409E"/>
    <w:rsid w:val="003D43AA"/>
    <w:rsid w:val="003D7B69"/>
    <w:rsid w:val="003E14D5"/>
    <w:rsid w:val="003E2CB6"/>
    <w:rsid w:val="003E3D4A"/>
    <w:rsid w:val="003E4A14"/>
    <w:rsid w:val="003E57F8"/>
    <w:rsid w:val="003E6BF6"/>
    <w:rsid w:val="003E6EB7"/>
    <w:rsid w:val="003F05E7"/>
    <w:rsid w:val="003F0F0D"/>
    <w:rsid w:val="003F13C8"/>
    <w:rsid w:val="003F192D"/>
    <w:rsid w:val="003F1EFB"/>
    <w:rsid w:val="003F2CB9"/>
    <w:rsid w:val="003F3A0D"/>
    <w:rsid w:val="003F4BFE"/>
    <w:rsid w:val="003F5190"/>
    <w:rsid w:val="003F53BC"/>
    <w:rsid w:val="003F5F05"/>
    <w:rsid w:val="003F6627"/>
    <w:rsid w:val="003F7114"/>
    <w:rsid w:val="0040006F"/>
    <w:rsid w:val="00400CD3"/>
    <w:rsid w:val="0040111F"/>
    <w:rsid w:val="00401329"/>
    <w:rsid w:val="0040173E"/>
    <w:rsid w:val="0040195E"/>
    <w:rsid w:val="00402CF4"/>
    <w:rsid w:val="00402F9B"/>
    <w:rsid w:val="004045DC"/>
    <w:rsid w:val="00404652"/>
    <w:rsid w:val="00405876"/>
    <w:rsid w:val="004060BA"/>
    <w:rsid w:val="00410A34"/>
    <w:rsid w:val="00410EB5"/>
    <w:rsid w:val="00411060"/>
    <w:rsid w:val="004126DD"/>
    <w:rsid w:val="00413F96"/>
    <w:rsid w:val="00415B3D"/>
    <w:rsid w:val="00416011"/>
    <w:rsid w:val="00416F15"/>
    <w:rsid w:val="00420FCD"/>
    <w:rsid w:val="00422301"/>
    <w:rsid w:val="00425A51"/>
    <w:rsid w:val="00430FF9"/>
    <w:rsid w:val="00432288"/>
    <w:rsid w:val="00433026"/>
    <w:rsid w:val="00433843"/>
    <w:rsid w:val="00433915"/>
    <w:rsid w:val="00433B6E"/>
    <w:rsid w:val="00435288"/>
    <w:rsid w:val="00435339"/>
    <w:rsid w:val="004359E6"/>
    <w:rsid w:val="00435B1F"/>
    <w:rsid w:val="00435F24"/>
    <w:rsid w:val="004364B3"/>
    <w:rsid w:val="004367B6"/>
    <w:rsid w:val="00436B89"/>
    <w:rsid w:val="00440717"/>
    <w:rsid w:val="004408ED"/>
    <w:rsid w:val="004410DC"/>
    <w:rsid w:val="004418BC"/>
    <w:rsid w:val="00441C12"/>
    <w:rsid w:val="00441DF1"/>
    <w:rsid w:val="00442AD0"/>
    <w:rsid w:val="00443400"/>
    <w:rsid w:val="00443D94"/>
    <w:rsid w:val="0044447D"/>
    <w:rsid w:val="004458EA"/>
    <w:rsid w:val="00445AAD"/>
    <w:rsid w:val="004477E4"/>
    <w:rsid w:val="00447A3D"/>
    <w:rsid w:val="00450726"/>
    <w:rsid w:val="00450C67"/>
    <w:rsid w:val="0045101F"/>
    <w:rsid w:val="00451291"/>
    <w:rsid w:val="00453810"/>
    <w:rsid w:val="00456CB4"/>
    <w:rsid w:val="004577C8"/>
    <w:rsid w:val="00457D50"/>
    <w:rsid w:val="00460CF7"/>
    <w:rsid w:val="00460E6B"/>
    <w:rsid w:val="0046234D"/>
    <w:rsid w:val="00462C05"/>
    <w:rsid w:val="004636E9"/>
    <w:rsid w:val="00463FA8"/>
    <w:rsid w:val="00465AA1"/>
    <w:rsid w:val="00465B5F"/>
    <w:rsid w:val="00466648"/>
    <w:rsid w:val="00466B39"/>
    <w:rsid w:val="004703A0"/>
    <w:rsid w:val="00470E21"/>
    <w:rsid w:val="004710D5"/>
    <w:rsid w:val="00471B80"/>
    <w:rsid w:val="004720D5"/>
    <w:rsid w:val="00472278"/>
    <w:rsid w:val="00472C55"/>
    <w:rsid w:val="00472CBC"/>
    <w:rsid w:val="00473C62"/>
    <w:rsid w:val="00474D7E"/>
    <w:rsid w:val="00474FDC"/>
    <w:rsid w:val="00475A36"/>
    <w:rsid w:val="004765B3"/>
    <w:rsid w:val="004765DC"/>
    <w:rsid w:val="0047756D"/>
    <w:rsid w:val="00480473"/>
    <w:rsid w:val="00480CF5"/>
    <w:rsid w:val="00480CFC"/>
    <w:rsid w:val="00482573"/>
    <w:rsid w:val="004837F3"/>
    <w:rsid w:val="00483C5A"/>
    <w:rsid w:val="00484991"/>
    <w:rsid w:val="00484BF5"/>
    <w:rsid w:val="004868EA"/>
    <w:rsid w:val="004869D6"/>
    <w:rsid w:val="00486B52"/>
    <w:rsid w:val="00487696"/>
    <w:rsid w:val="0049062D"/>
    <w:rsid w:val="004908B6"/>
    <w:rsid w:val="0049238B"/>
    <w:rsid w:val="00493DAA"/>
    <w:rsid w:val="00494335"/>
    <w:rsid w:val="00495A4C"/>
    <w:rsid w:val="00495AC3"/>
    <w:rsid w:val="0049665D"/>
    <w:rsid w:val="004967A1"/>
    <w:rsid w:val="00496EE6"/>
    <w:rsid w:val="00496F90"/>
    <w:rsid w:val="00497C67"/>
    <w:rsid w:val="004A0FBD"/>
    <w:rsid w:val="004A3B93"/>
    <w:rsid w:val="004A553D"/>
    <w:rsid w:val="004A5932"/>
    <w:rsid w:val="004A5C2F"/>
    <w:rsid w:val="004A7566"/>
    <w:rsid w:val="004A797A"/>
    <w:rsid w:val="004A7CF2"/>
    <w:rsid w:val="004A7DEF"/>
    <w:rsid w:val="004B0A9D"/>
    <w:rsid w:val="004B0C68"/>
    <w:rsid w:val="004B0E3A"/>
    <w:rsid w:val="004B0F8D"/>
    <w:rsid w:val="004B12DE"/>
    <w:rsid w:val="004B1A39"/>
    <w:rsid w:val="004B24DA"/>
    <w:rsid w:val="004B2CFA"/>
    <w:rsid w:val="004B2EB5"/>
    <w:rsid w:val="004B3548"/>
    <w:rsid w:val="004B3A81"/>
    <w:rsid w:val="004B584E"/>
    <w:rsid w:val="004B5B8A"/>
    <w:rsid w:val="004B6044"/>
    <w:rsid w:val="004C0652"/>
    <w:rsid w:val="004C1106"/>
    <w:rsid w:val="004C11C5"/>
    <w:rsid w:val="004C11CB"/>
    <w:rsid w:val="004C261C"/>
    <w:rsid w:val="004C6BE7"/>
    <w:rsid w:val="004C6D4B"/>
    <w:rsid w:val="004C766B"/>
    <w:rsid w:val="004C775F"/>
    <w:rsid w:val="004C7CA7"/>
    <w:rsid w:val="004D0D40"/>
    <w:rsid w:val="004D1381"/>
    <w:rsid w:val="004D1555"/>
    <w:rsid w:val="004D33E3"/>
    <w:rsid w:val="004D42B6"/>
    <w:rsid w:val="004D5888"/>
    <w:rsid w:val="004D5CCD"/>
    <w:rsid w:val="004D797B"/>
    <w:rsid w:val="004D7E7F"/>
    <w:rsid w:val="004E0F9F"/>
    <w:rsid w:val="004E1178"/>
    <w:rsid w:val="004E1EEB"/>
    <w:rsid w:val="004E2054"/>
    <w:rsid w:val="004E2269"/>
    <w:rsid w:val="004E2452"/>
    <w:rsid w:val="004E30DD"/>
    <w:rsid w:val="004E4311"/>
    <w:rsid w:val="004E5B81"/>
    <w:rsid w:val="004E639D"/>
    <w:rsid w:val="004E7547"/>
    <w:rsid w:val="004E7DAB"/>
    <w:rsid w:val="004E7FE1"/>
    <w:rsid w:val="004F1DCC"/>
    <w:rsid w:val="004F28A5"/>
    <w:rsid w:val="004F29D9"/>
    <w:rsid w:val="004F3339"/>
    <w:rsid w:val="004F3609"/>
    <w:rsid w:val="004F42A3"/>
    <w:rsid w:val="004F53A7"/>
    <w:rsid w:val="004F5B12"/>
    <w:rsid w:val="004F64AE"/>
    <w:rsid w:val="004F6DEF"/>
    <w:rsid w:val="004F7011"/>
    <w:rsid w:val="004F72A2"/>
    <w:rsid w:val="005004CD"/>
    <w:rsid w:val="005023F7"/>
    <w:rsid w:val="005026D4"/>
    <w:rsid w:val="00502C25"/>
    <w:rsid w:val="00503A51"/>
    <w:rsid w:val="00506774"/>
    <w:rsid w:val="00507D2F"/>
    <w:rsid w:val="005113A6"/>
    <w:rsid w:val="00511974"/>
    <w:rsid w:val="00511E74"/>
    <w:rsid w:val="00512309"/>
    <w:rsid w:val="00513E33"/>
    <w:rsid w:val="00515466"/>
    <w:rsid w:val="00515B31"/>
    <w:rsid w:val="0051799C"/>
    <w:rsid w:val="005202DB"/>
    <w:rsid w:val="0052036A"/>
    <w:rsid w:val="005203B8"/>
    <w:rsid w:val="00521357"/>
    <w:rsid w:val="00522385"/>
    <w:rsid w:val="00523CA8"/>
    <w:rsid w:val="00524000"/>
    <w:rsid w:val="005308FD"/>
    <w:rsid w:val="0053211F"/>
    <w:rsid w:val="005326BC"/>
    <w:rsid w:val="00532C93"/>
    <w:rsid w:val="005333B4"/>
    <w:rsid w:val="00535302"/>
    <w:rsid w:val="005362D0"/>
    <w:rsid w:val="005369F4"/>
    <w:rsid w:val="0054014C"/>
    <w:rsid w:val="0054082F"/>
    <w:rsid w:val="00540957"/>
    <w:rsid w:val="005413C3"/>
    <w:rsid w:val="00541708"/>
    <w:rsid w:val="00541D54"/>
    <w:rsid w:val="00542522"/>
    <w:rsid w:val="0054325E"/>
    <w:rsid w:val="005433EB"/>
    <w:rsid w:val="00543A3C"/>
    <w:rsid w:val="00543C34"/>
    <w:rsid w:val="00543EF7"/>
    <w:rsid w:val="005444FC"/>
    <w:rsid w:val="0054478B"/>
    <w:rsid w:val="00544DB1"/>
    <w:rsid w:val="0054526E"/>
    <w:rsid w:val="005453D2"/>
    <w:rsid w:val="0054596F"/>
    <w:rsid w:val="00545CE1"/>
    <w:rsid w:val="005462ED"/>
    <w:rsid w:val="00546F93"/>
    <w:rsid w:val="005476B5"/>
    <w:rsid w:val="00550087"/>
    <w:rsid w:val="005504B0"/>
    <w:rsid w:val="00550BF7"/>
    <w:rsid w:val="00550ED7"/>
    <w:rsid w:val="0055170A"/>
    <w:rsid w:val="005521B9"/>
    <w:rsid w:val="00552C64"/>
    <w:rsid w:val="00552DC9"/>
    <w:rsid w:val="005542C2"/>
    <w:rsid w:val="00554536"/>
    <w:rsid w:val="005549D7"/>
    <w:rsid w:val="005565E5"/>
    <w:rsid w:val="005602DA"/>
    <w:rsid w:val="00560B1F"/>
    <w:rsid w:val="0056158B"/>
    <w:rsid w:val="00562087"/>
    <w:rsid w:val="00564C22"/>
    <w:rsid w:val="00565037"/>
    <w:rsid w:val="0056557C"/>
    <w:rsid w:val="00565E41"/>
    <w:rsid w:val="005672C0"/>
    <w:rsid w:val="005674CD"/>
    <w:rsid w:val="005678FC"/>
    <w:rsid w:val="00570BA2"/>
    <w:rsid w:val="00570FBE"/>
    <w:rsid w:val="00571B4E"/>
    <w:rsid w:val="00571F92"/>
    <w:rsid w:val="0057269B"/>
    <w:rsid w:val="00572A0C"/>
    <w:rsid w:val="00572DC1"/>
    <w:rsid w:val="00573327"/>
    <w:rsid w:val="00573C30"/>
    <w:rsid w:val="00573C5F"/>
    <w:rsid w:val="005743D7"/>
    <w:rsid w:val="0057592B"/>
    <w:rsid w:val="00576A5A"/>
    <w:rsid w:val="00577BF0"/>
    <w:rsid w:val="0058026A"/>
    <w:rsid w:val="00580CEC"/>
    <w:rsid w:val="00580EC2"/>
    <w:rsid w:val="0058193B"/>
    <w:rsid w:val="005824D6"/>
    <w:rsid w:val="00583008"/>
    <w:rsid w:val="00586745"/>
    <w:rsid w:val="00586F66"/>
    <w:rsid w:val="00587972"/>
    <w:rsid w:val="005904CF"/>
    <w:rsid w:val="00592B49"/>
    <w:rsid w:val="00592F64"/>
    <w:rsid w:val="00593B29"/>
    <w:rsid w:val="00593BA1"/>
    <w:rsid w:val="00593C6A"/>
    <w:rsid w:val="00593E09"/>
    <w:rsid w:val="00594EB5"/>
    <w:rsid w:val="0059597B"/>
    <w:rsid w:val="00595D41"/>
    <w:rsid w:val="005961D8"/>
    <w:rsid w:val="00596301"/>
    <w:rsid w:val="00596321"/>
    <w:rsid w:val="005971F3"/>
    <w:rsid w:val="005A0554"/>
    <w:rsid w:val="005A1660"/>
    <w:rsid w:val="005A1905"/>
    <w:rsid w:val="005A2B71"/>
    <w:rsid w:val="005A3F63"/>
    <w:rsid w:val="005A54B0"/>
    <w:rsid w:val="005A553E"/>
    <w:rsid w:val="005A59D0"/>
    <w:rsid w:val="005A72C7"/>
    <w:rsid w:val="005B073E"/>
    <w:rsid w:val="005B148A"/>
    <w:rsid w:val="005B227F"/>
    <w:rsid w:val="005B280A"/>
    <w:rsid w:val="005B2AB8"/>
    <w:rsid w:val="005B352F"/>
    <w:rsid w:val="005B3A26"/>
    <w:rsid w:val="005B4692"/>
    <w:rsid w:val="005B5432"/>
    <w:rsid w:val="005B5CB7"/>
    <w:rsid w:val="005B5CE8"/>
    <w:rsid w:val="005B5FB8"/>
    <w:rsid w:val="005B5FF6"/>
    <w:rsid w:val="005B6927"/>
    <w:rsid w:val="005B7801"/>
    <w:rsid w:val="005C18A5"/>
    <w:rsid w:val="005C1CD9"/>
    <w:rsid w:val="005C2509"/>
    <w:rsid w:val="005C279E"/>
    <w:rsid w:val="005C333F"/>
    <w:rsid w:val="005C3B81"/>
    <w:rsid w:val="005C4509"/>
    <w:rsid w:val="005C5891"/>
    <w:rsid w:val="005C5B9D"/>
    <w:rsid w:val="005C7822"/>
    <w:rsid w:val="005D1DCB"/>
    <w:rsid w:val="005D2AC3"/>
    <w:rsid w:val="005D3A29"/>
    <w:rsid w:val="005D3F43"/>
    <w:rsid w:val="005D5FAE"/>
    <w:rsid w:val="005D6040"/>
    <w:rsid w:val="005D64D9"/>
    <w:rsid w:val="005D746D"/>
    <w:rsid w:val="005D7C47"/>
    <w:rsid w:val="005E0320"/>
    <w:rsid w:val="005E0C27"/>
    <w:rsid w:val="005E1A20"/>
    <w:rsid w:val="005E29B0"/>
    <w:rsid w:val="005E41AF"/>
    <w:rsid w:val="005E4276"/>
    <w:rsid w:val="005E42F9"/>
    <w:rsid w:val="005E4BC9"/>
    <w:rsid w:val="005E4D45"/>
    <w:rsid w:val="005E5267"/>
    <w:rsid w:val="005E60D0"/>
    <w:rsid w:val="005E6585"/>
    <w:rsid w:val="005E6B52"/>
    <w:rsid w:val="005F05AC"/>
    <w:rsid w:val="005F0916"/>
    <w:rsid w:val="005F29B7"/>
    <w:rsid w:val="005F478A"/>
    <w:rsid w:val="005F6783"/>
    <w:rsid w:val="006001D1"/>
    <w:rsid w:val="006006DB"/>
    <w:rsid w:val="00602D39"/>
    <w:rsid w:val="00603048"/>
    <w:rsid w:val="006039FA"/>
    <w:rsid w:val="00604585"/>
    <w:rsid w:val="00604C57"/>
    <w:rsid w:val="00605062"/>
    <w:rsid w:val="00605F73"/>
    <w:rsid w:val="00606EB5"/>
    <w:rsid w:val="00606FC8"/>
    <w:rsid w:val="0060745F"/>
    <w:rsid w:val="006106C3"/>
    <w:rsid w:val="00613727"/>
    <w:rsid w:val="006142D7"/>
    <w:rsid w:val="0061542B"/>
    <w:rsid w:val="00616C90"/>
    <w:rsid w:val="00616E07"/>
    <w:rsid w:val="00617182"/>
    <w:rsid w:val="00617492"/>
    <w:rsid w:val="00617F27"/>
    <w:rsid w:val="00617FDA"/>
    <w:rsid w:val="00620461"/>
    <w:rsid w:val="0062116F"/>
    <w:rsid w:val="00621D9B"/>
    <w:rsid w:val="006222B9"/>
    <w:rsid w:val="006225A3"/>
    <w:rsid w:val="00622AA9"/>
    <w:rsid w:val="00623C1D"/>
    <w:rsid w:val="00623FD7"/>
    <w:rsid w:val="00624EBD"/>
    <w:rsid w:val="00626087"/>
    <w:rsid w:val="0062642E"/>
    <w:rsid w:val="006267EE"/>
    <w:rsid w:val="00626B22"/>
    <w:rsid w:val="0063274F"/>
    <w:rsid w:val="006328A6"/>
    <w:rsid w:val="00634CC4"/>
    <w:rsid w:val="00634E4C"/>
    <w:rsid w:val="0063611B"/>
    <w:rsid w:val="00636B8B"/>
    <w:rsid w:val="006379B5"/>
    <w:rsid w:val="006416B5"/>
    <w:rsid w:val="00641EAA"/>
    <w:rsid w:val="00642437"/>
    <w:rsid w:val="00642512"/>
    <w:rsid w:val="006427FE"/>
    <w:rsid w:val="00642C18"/>
    <w:rsid w:val="00642CDE"/>
    <w:rsid w:val="0064327E"/>
    <w:rsid w:val="0064331D"/>
    <w:rsid w:val="0064456F"/>
    <w:rsid w:val="006452F7"/>
    <w:rsid w:val="00646343"/>
    <w:rsid w:val="00646695"/>
    <w:rsid w:val="00647DB2"/>
    <w:rsid w:val="00647F65"/>
    <w:rsid w:val="006506C1"/>
    <w:rsid w:val="00651840"/>
    <w:rsid w:val="00651E24"/>
    <w:rsid w:val="00652089"/>
    <w:rsid w:val="006534F3"/>
    <w:rsid w:val="006552F1"/>
    <w:rsid w:val="00655A87"/>
    <w:rsid w:val="0065689B"/>
    <w:rsid w:val="00656EDA"/>
    <w:rsid w:val="0065747A"/>
    <w:rsid w:val="0066184D"/>
    <w:rsid w:val="00662E28"/>
    <w:rsid w:val="006633B7"/>
    <w:rsid w:val="00663647"/>
    <w:rsid w:val="006644D4"/>
    <w:rsid w:val="006644EC"/>
    <w:rsid w:val="006647B3"/>
    <w:rsid w:val="0066640C"/>
    <w:rsid w:val="0066674D"/>
    <w:rsid w:val="00666A78"/>
    <w:rsid w:val="00667C9A"/>
    <w:rsid w:val="00670189"/>
    <w:rsid w:val="006707A5"/>
    <w:rsid w:val="00671F62"/>
    <w:rsid w:val="0067285D"/>
    <w:rsid w:val="006728DE"/>
    <w:rsid w:val="00673414"/>
    <w:rsid w:val="0067537D"/>
    <w:rsid w:val="00675818"/>
    <w:rsid w:val="006766F2"/>
    <w:rsid w:val="00676C12"/>
    <w:rsid w:val="00677FA8"/>
    <w:rsid w:val="00680932"/>
    <w:rsid w:val="006817BE"/>
    <w:rsid w:val="00681AC5"/>
    <w:rsid w:val="00681E2C"/>
    <w:rsid w:val="006820DF"/>
    <w:rsid w:val="006839E8"/>
    <w:rsid w:val="006858B7"/>
    <w:rsid w:val="00685AA8"/>
    <w:rsid w:val="00685D63"/>
    <w:rsid w:val="006871F7"/>
    <w:rsid w:val="0068754C"/>
    <w:rsid w:val="0069020F"/>
    <w:rsid w:val="0069084E"/>
    <w:rsid w:val="006910F5"/>
    <w:rsid w:val="00691276"/>
    <w:rsid w:val="00691B02"/>
    <w:rsid w:val="0069375D"/>
    <w:rsid w:val="006939B0"/>
    <w:rsid w:val="0069407C"/>
    <w:rsid w:val="00694094"/>
    <w:rsid w:val="0069480F"/>
    <w:rsid w:val="00694B3B"/>
    <w:rsid w:val="00694C76"/>
    <w:rsid w:val="00694FBE"/>
    <w:rsid w:val="006955CF"/>
    <w:rsid w:val="0069574E"/>
    <w:rsid w:val="006969C0"/>
    <w:rsid w:val="0069708E"/>
    <w:rsid w:val="006A0CD9"/>
    <w:rsid w:val="006A16E2"/>
    <w:rsid w:val="006A1921"/>
    <w:rsid w:val="006A2303"/>
    <w:rsid w:val="006A375C"/>
    <w:rsid w:val="006A4AB2"/>
    <w:rsid w:val="006A5511"/>
    <w:rsid w:val="006A66DB"/>
    <w:rsid w:val="006A68D0"/>
    <w:rsid w:val="006A694B"/>
    <w:rsid w:val="006A6CE6"/>
    <w:rsid w:val="006B0631"/>
    <w:rsid w:val="006B0D70"/>
    <w:rsid w:val="006B21F0"/>
    <w:rsid w:val="006B2AFD"/>
    <w:rsid w:val="006B3EC2"/>
    <w:rsid w:val="006B54E7"/>
    <w:rsid w:val="006B614D"/>
    <w:rsid w:val="006C13CA"/>
    <w:rsid w:val="006C1973"/>
    <w:rsid w:val="006C199B"/>
    <w:rsid w:val="006C1BA9"/>
    <w:rsid w:val="006C2EA7"/>
    <w:rsid w:val="006C4236"/>
    <w:rsid w:val="006C4D6E"/>
    <w:rsid w:val="006C5249"/>
    <w:rsid w:val="006C552A"/>
    <w:rsid w:val="006C59DD"/>
    <w:rsid w:val="006C5C26"/>
    <w:rsid w:val="006C5DC3"/>
    <w:rsid w:val="006C662C"/>
    <w:rsid w:val="006C6C47"/>
    <w:rsid w:val="006C6EE8"/>
    <w:rsid w:val="006C7337"/>
    <w:rsid w:val="006C7FB8"/>
    <w:rsid w:val="006D02CA"/>
    <w:rsid w:val="006D2004"/>
    <w:rsid w:val="006D2A45"/>
    <w:rsid w:val="006D4012"/>
    <w:rsid w:val="006D44FE"/>
    <w:rsid w:val="006D4BDC"/>
    <w:rsid w:val="006D607A"/>
    <w:rsid w:val="006D6E89"/>
    <w:rsid w:val="006D6FE9"/>
    <w:rsid w:val="006D71B8"/>
    <w:rsid w:val="006D750E"/>
    <w:rsid w:val="006D76F9"/>
    <w:rsid w:val="006E0167"/>
    <w:rsid w:val="006E033D"/>
    <w:rsid w:val="006E0D57"/>
    <w:rsid w:val="006E1C29"/>
    <w:rsid w:val="006E34F6"/>
    <w:rsid w:val="006E3560"/>
    <w:rsid w:val="006E377A"/>
    <w:rsid w:val="006E4272"/>
    <w:rsid w:val="006E472F"/>
    <w:rsid w:val="006E48C6"/>
    <w:rsid w:val="006E4BAA"/>
    <w:rsid w:val="006E4D0B"/>
    <w:rsid w:val="006E4DFA"/>
    <w:rsid w:val="006E5440"/>
    <w:rsid w:val="006E5AAB"/>
    <w:rsid w:val="006E65CF"/>
    <w:rsid w:val="006E759B"/>
    <w:rsid w:val="006F0196"/>
    <w:rsid w:val="006F145A"/>
    <w:rsid w:val="006F1A0C"/>
    <w:rsid w:val="006F1ECA"/>
    <w:rsid w:val="006F2737"/>
    <w:rsid w:val="006F27CB"/>
    <w:rsid w:val="006F3137"/>
    <w:rsid w:val="006F337D"/>
    <w:rsid w:val="006F359B"/>
    <w:rsid w:val="006F544E"/>
    <w:rsid w:val="006F5585"/>
    <w:rsid w:val="006F5865"/>
    <w:rsid w:val="006F58E8"/>
    <w:rsid w:val="006F5B3C"/>
    <w:rsid w:val="006F620F"/>
    <w:rsid w:val="006F72F5"/>
    <w:rsid w:val="00701B7D"/>
    <w:rsid w:val="00701EC6"/>
    <w:rsid w:val="00702392"/>
    <w:rsid w:val="00702452"/>
    <w:rsid w:val="00702483"/>
    <w:rsid w:val="007030A0"/>
    <w:rsid w:val="00703C5D"/>
    <w:rsid w:val="00704580"/>
    <w:rsid w:val="00705524"/>
    <w:rsid w:val="007059A7"/>
    <w:rsid w:val="00706179"/>
    <w:rsid w:val="00706528"/>
    <w:rsid w:val="00706749"/>
    <w:rsid w:val="0071103D"/>
    <w:rsid w:val="0071278D"/>
    <w:rsid w:val="007131D6"/>
    <w:rsid w:val="00713CFB"/>
    <w:rsid w:val="00714133"/>
    <w:rsid w:val="0071429F"/>
    <w:rsid w:val="00714A07"/>
    <w:rsid w:val="00714D4F"/>
    <w:rsid w:val="00714F78"/>
    <w:rsid w:val="00715266"/>
    <w:rsid w:val="007152B0"/>
    <w:rsid w:val="00715710"/>
    <w:rsid w:val="00715C91"/>
    <w:rsid w:val="007170F7"/>
    <w:rsid w:val="007179D0"/>
    <w:rsid w:val="007204F8"/>
    <w:rsid w:val="00720A77"/>
    <w:rsid w:val="00722F9F"/>
    <w:rsid w:val="0072311A"/>
    <w:rsid w:val="00723A83"/>
    <w:rsid w:val="00723D89"/>
    <w:rsid w:val="007253B8"/>
    <w:rsid w:val="007267B3"/>
    <w:rsid w:val="00726992"/>
    <w:rsid w:val="00731B20"/>
    <w:rsid w:val="00732FFD"/>
    <w:rsid w:val="0073352B"/>
    <w:rsid w:val="00733746"/>
    <w:rsid w:val="007338D7"/>
    <w:rsid w:val="0073418A"/>
    <w:rsid w:val="007368A5"/>
    <w:rsid w:val="00736E7D"/>
    <w:rsid w:val="00737FB6"/>
    <w:rsid w:val="00740773"/>
    <w:rsid w:val="00740A08"/>
    <w:rsid w:val="0074120B"/>
    <w:rsid w:val="0074135D"/>
    <w:rsid w:val="00741A32"/>
    <w:rsid w:val="00742E2D"/>
    <w:rsid w:val="00742EF0"/>
    <w:rsid w:val="00744329"/>
    <w:rsid w:val="00745B65"/>
    <w:rsid w:val="0074681D"/>
    <w:rsid w:val="00746A4C"/>
    <w:rsid w:val="007475AD"/>
    <w:rsid w:val="00747696"/>
    <w:rsid w:val="00747B7A"/>
    <w:rsid w:val="00750183"/>
    <w:rsid w:val="00750476"/>
    <w:rsid w:val="007509A6"/>
    <w:rsid w:val="00753138"/>
    <w:rsid w:val="00753640"/>
    <w:rsid w:val="00753EDF"/>
    <w:rsid w:val="00753F83"/>
    <w:rsid w:val="007541B0"/>
    <w:rsid w:val="0075469B"/>
    <w:rsid w:val="00754774"/>
    <w:rsid w:val="00755163"/>
    <w:rsid w:val="00755304"/>
    <w:rsid w:val="00755E65"/>
    <w:rsid w:val="007562FC"/>
    <w:rsid w:val="007568F8"/>
    <w:rsid w:val="00756AAB"/>
    <w:rsid w:val="00756E8B"/>
    <w:rsid w:val="00757F63"/>
    <w:rsid w:val="00760019"/>
    <w:rsid w:val="0076394B"/>
    <w:rsid w:val="007645AE"/>
    <w:rsid w:val="00764992"/>
    <w:rsid w:val="00764A5A"/>
    <w:rsid w:val="007654C9"/>
    <w:rsid w:val="00765C46"/>
    <w:rsid w:val="00766ADD"/>
    <w:rsid w:val="00770CF9"/>
    <w:rsid w:val="00771DBB"/>
    <w:rsid w:val="00772098"/>
    <w:rsid w:val="00772766"/>
    <w:rsid w:val="00772FD2"/>
    <w:rsid w:val="0077448E"/>
    <w:rsid w:val="00775AA0"/>
    <w:rsid w:val="0077691B"/>
    <w:rsid w:val="007770FA"/>
    <w:rsid w:val="00777456"/>
    <w:rsid w:val="007806EA"/>
    <w:rsid w:val="00781136"/>
    <w:rsid w:val="0078160E"/>
    <w:rsid w:val="00781C1E"/>
    <w:rsid w:val="007829FB"/>
    <w:rsid w:val="007833DD"/>
    <w:rsid w:val="00785AE8"/>
    <w:rsid w:val="00786184"/>
    <w:rsid w:val="007866B1"/>
    <w:rsid w:val="00787177"/>
    <w:rsid w:val="007874F1"/>
    <w:rsid w:val="007877D4"/>
    <w:rsid w:val="007907A9"/>
    <w:rsid w:val="00791738"/>
    <w:rsid w:val="00791780"/>
    <w:rsid w:val="00792D37"/>
    <w:rsid w:val="00793B7E"/>
    <w:rsid w:val="007943CB"/>
    <w:rsid w:val="00794443"/>
    <w:rsid w:val="007950D6"/>
    <w:rsid w:val="0079682A"/>
    <w:rsid w:val="0079699A"/>
    <w:rsid w:val="00797E3C"/>
    <w:rsid w:val="007A00AB"/>
    <w:rsid w:val="007A0EB7"/>
    <w:rsid w:val="007A2614"/>
    <w:rsid w:val="007A3A8E"/>
    <w:rsid w:val="007A41C9"/>
    <w:rsid w:val="007A4B61"/>
    <w:rsid w:val="007A5D34"/>
    <w:rsid w:val="007A703A"/>
    <w:rsid w:val="007A7598"/>
    <w:rsid w:val="007B0EA7"/>
    <w:rsid w:val="007B24F1"/>
    <w:rsid w:val="007B252B"/>
    <w:rsid w:val="007B286A"/>
    <w:rsid w:val="007B39C2"/>
    <w:rsid w:val="007B4120"/>
    <w:rsid w:val="007B4778"/>
    <w:rsid w:val="007B4C5E"/>
    <w:rsid w:val="007B6832"/>
    <w:rsid w:val="007B6871"/>
    <w:rsid w:val="007C02D1"/>
    <w:rsid w:val="007C08B1"/>
    <w:rsid w:val="007C0F0B"/>
    <w:rsid w:val="007C12EC"/>
    <w:rsid w:val="007C2CC2"/>
    <w:rsid w:val="007C38BD"/>
    <w:rsid w:val="007C421B"/>
    <w:rsid w:val="007C577F"/>
    <w:rsid w:val="007C625A"/>
    <w:rsid w:val="007C7566"/>
    <w:rsid w:val="007C79AA"/>
    <w:rsid w:val="007C7F91"/>
    <w:rsid w:val="007D090B"/>
    <w:rsid w:val="007D14C2"/>
    <w:rsid w:val="007D31DA"/>
    <w:rsid w:val="007D433F"/>
    <w:rsid w:val="007D72C5"/>
    <w:rsid w:val="007D77EB"/>
    <w:rsid w:val="007E07CB"/>
    <w:rsid w:val="007E0B96"/>
    <w:rsid w:val="007E0D92"/>
    <w:rsid w:val="007E0DCD"/>
    <w:rsid w:val="007E1C86"/>
    <w:rsid w:val="007E3D06"/>
    <w:rsid w:val="007E525D"/>
    <w:rsid w:val="007E5426"/>
    <w:rsid w:val="007E5741"/>
    <w:rsid w:val="007E5BC4"/>
    <w:rsid w:val="007E5D0C"/>
    <w:rsid w:val="007E6A94"/>
    <w:rsid w:val="007E7F27"/>
    <w:rsid w:val="007F0323"/>
    <w:rsid w:val="007F041C"/>
    <w:rsid w:val="007F0995"/>
    <w:rsid w:val="007F379E"/>
    <w:rsid w:val="007F3C44"/>
    <w:rsid w:val="007F424C"/>
    <w:rsid w:val="007F471C"/>
    <w:rsid w:val="00800C90"/>
    <w:rsid w:val="0080130E"/>
    <w:rsid w:val="0080211F"/>
    <w:rsid w:val="00802524"/>
    <w:rsid w:val="00802EEA"/>
    <w:rsid w:val="0080443D"/>
    <w:rsid w:val="00805160"/>
    <w:rsid w:val="008054B1"/>
    <w:rsid w:val="00807DF6"/>
    <w:rsid w:val="008103D3"/>
    <w:rsid w:val="008112EA"/>
    <w:rsid w:val="008125F8"/>
    <w:rsid w:val="0081653D"/>
    <w:rsid w:val="00820B48"/>
    <w:rsid w:val="008211D3"/>
    <w:rsid w:val="008217E9"/>
    <w:rsid w:val="00823B0C"/>
    <w:rsid w:val="008243B6"/>
    <w:rsid w:val="0082564F"/>
    <w:rsid w:val="00825930"/>
    <w:rsid w:val="00827917"/>
    <w:rsid w:val="00830DBD"/>
    <w:rsid w:val="00830E3A"/>
    <w:rsid w:val="00831097"/>
    <w:rsid w:val="00831A54"/>
    <w:rsid w:val="0083305B"/>
    <w:rsid w:val="008337C1"/>
    <w:rsid w:val="008341B3"/>
    <w:rsid w:val="00834CE0"/>
    <w:rsid w:val="008358EC"/>
    <w:rsid w:val="00836ECF"/>
    <w:rsid w:val="0083756D"/>
    <w:rsid w:val="0084110F"/>
    <w:rsid w:val="00841975"/>
    <w:rsid w:val="00842DAE"/>
    <w:rsid w:val="00842E13"/>
    <w:rsid w:val="00842F48"/>
    <w:rsid w:val="00844859"/>
    <w:rsid w:val="00844B1D"/>
    <w:rsid w:val="00844F5C"/>
    <w:rsid w:val="00845843"/>
    <w:rsid w:val="00846A25"/>
    <w:rsid w:val="00846D34"/>
    <w:rsid w:val="00847267"/>
    <w:rsid w:val="0084772F"/>
    <w:rsid w:val="00847733"/>
    <w:rsid w:val="0084774A"/>
    <w:rsid w:val="00851D62"/>
    <w:rsid w:val="00853774"/>
    <w:rsid w:val="00855DE6"/>
    <w:rsid w:val="00855FEC"/>
    <w:rsid w:val="00857430"/>
    <w:rsid w:val="00857B4B"/>
    <w:rsid w:val="00857C14"/>
    <w:rsid w:val="0086057A"/>
    <w:rsid w:val="00862B2F"/>
    <w:rsid w:val="00863020"/>
    <w:rsid w:val="00863564"/>
    <w:rsid w:val="008637EC"/>
    <w:rsid w:val="00863A52"/>
    <w:rsid w:val="00866621"/>
    <w:rsid w:val="00866C08"/>
    <w:rsid w:val="00867B8C"/>
    <w:rsid w:val="00870AE7"/>
    <w:rsid w:val="00870BC6"/>
    <w:rsid w:val="00871674"/>
    <w:rsid w:val="008718FA"/>
    <w:rsid w:val="00872B1C"/>
    <w:rsid w:val="00873567"/>
    <w:rsid w:val="00873F13"/>
    <w:rsid w:val="00874225"/>
    <w:rsid w:val="00875919"/>
    <w:rsid w:val="00875DAD"/>
    <w:rsid w:val="00876C67"/>
    <w:rsid w:val="00876F1C"/>
    <w:rsid w:val="00877B84"/>
    <w:rsid w:val="0088036D"/>
    <w:rsid w:val="00881155"/>
    <w:rsid w:val="008814B6"/>
    <w:rsid w:val="00881DFB"/>
    <w:rsid w:val="00881F97"/>
    <w:rsid w:val="0088251E"/>
    <w:rsid w:val="00882843"/>
    <w:rsid w:val="00882892"/>
    <w:rsid w:val="00882D88"/>
    <w:rsid w:val="00884038"/>
    <w:rsid w:val="00885154"/>
    <w:rsid w:val="008857D2"/>
    <w:rsid w:val="00885A14"/>
    <w:rsid w:val="00886091"/>
    <w:rsid w:val="0088689B"/>
    <w:rsid w:val="00886A0C"/>
    <w:rsid w:val="00886F34"/>
    <w:rsid w:val="00887AFC"/>
    <w:rsid w:val="00887F8E"/>
    <w:rsid w:val="00890FA0"/>
    <w:rsid w:val="00891751"/>
    <w:rsid w:val="0089180A"/>
    <w:rsid w:val="00892581"/>
    <w:rsid w:val="00892856"/>
    <w:rsid w:val="00892905"/>
    <w:rsid w:val="00893FB2"/>
    <w:rsid w:val="008945AE"/>
    <w:rsid w:val="008947BF"/>
    <w:rsid w:val="008948A3"/>
    <w:rsid w:val="00894B36"/>
    <w:rsid w:val="00894C1E"/>
    <w:rsid w:val="00896A28"/>
    <w:rsid w:val="00897A1C"/>
    <w:rsid w:val="008A0CBE"/>
    <w:rsid w:val="008A1CA8"/>
    <w:rsid w:val="008A1F65"/>
    <w:rsid w:val="008A2149"/>
    <w:rsid w:val="008A214D"/>
    <w:rsid w:val="008A3584"/>
    <w:rsid w:val="008A35DF"/>
    <w:rsid w:val="008A405A"/>
    <w:rsid w:val="008A40B2"/>
    <w:rsid w:val="008A4531"/>
    <w:rsid w:val="008A4575"/>
    <w:rsid w:val="008A4E30"/>
    <w:rsid w:val="008A4F0C"/>
    <w:rsid w:val="008A546F"/>
    <w:rsid w:val="008A5F0B"/>
    <w:rsid w:val="008A67BD"/>
    <w:rsid w:val="008A6C17"/>
    <w:rsid w:val="008A6D67"/>
    <w:rsid w:val="008A72D2"/>
    <w:rsid w:val="008A74A3"/>
    <w:rsid w:val="008B0AAF"/>
    <w:rsid w:val="008B1FFF"/>
    <w:rsid w:val="008B2BF9"/>
    <w:rsid w:val="008B3187"/>
    <w:rsid w:val="008B39AF"/>
    <w:rsid w:val="008B3B0F"/>
    <w:rsid w:val="008B54B2"/>
    <w:rsid w:val="008B5902"/>
    <w:rsid w:val="008B5C47"/>
    <w:rsid w:val="008B6868"/>
    <w:rsid w:val="008B6CAC"/>
    <w:rsid w:val="008B6D24"/>
    <w:rsid w:val="008B78D9"/>
    <w:rsid w:val="008C0430"/>
    <w:rsid w:val="008C1077"/>
    <w:rsid w:val="008C119E"/>
    <w:rsid w:val="008C1C2F"/>
    <w:rsid w:val="008C2D02"/>
    <w:rsid w:val="008C348F"/>
    <w:rsid w:val="008C34F7"/>
    <w:rsid w:val="008C4DCA"/>
    <w:rsid w:val="008C5C1E"/>
    <w:rsid w:val="008C5D20"/>
    <w:rsid w:val="008C6695"/>
    <w:rsid w:val="008C6928"/>
    <w:rsid w:val="008C6A43"/>
    <w:rsid w:val="008C7807"/>
    <w:rsid w:val="008D052E"/>
    <w:rsid w:val="008D080C"/>
    <w:rsid w:val="008D0E8D"/>
    <w:rsid w:val="008D15DE"/>
    <w:rsid w:val="008D33B0"/>
    <w:rsid w:val="008D3A0B"/>
    <w:rsid w:val="008D4C52"/>
    <w:rsid w:val="008D5CC5"/>
    <w:rsid w:val="008D6437"/>
    <w:rsid w:val="008D6EDF"/>
    <w:rsid w:val="008D71C0"/>
    <w:rsid w:val="008D7751"/>
    <w:rsid w:val="008E013C"/>
    <w:rsid w:val="008E035A"/>
    <w:rsid w:val="008E0471"/>
    <w:rsid w:val="008E0491"/>
    <w:rsid w:val="008E0C63"/>
    <w:rsid w:val="008E1DD3"/>
    <w:rsid w:val="008E3136"/>
    <w:rsid w:val="008E372C"/>
    <w:rsid w:val="008E3EF5"/>
    <w:rsid w:val="008E4377"/>
    <w:rsid w:val="008E4B65"/>
    <w:rsid w:val="008E5958"/>
    <w:rsid w:val="008E607B"/>
    <w:rsid w:val="008E62EB"/>
    <w:rsid w:val="008E70F3"/>
    <w:rsid w:val="008E7F88"/>
    <w:rsid w:val="008F2EA2"/>
    <w:rsid w:val="008F3284"/>
    <w:rsid w:val="008F33B5"/>
    <w:rsid w:val="008F38E2"/>
    <w:rsid w:val="008F3B15"/>
    <w:rsid w:val="008F3C4C"/>
    <w:rsid w:val="008F442D"/>
    <w:rsid w:val="008F5577"/>
    <w:rsid w:val="008F5B49"/>
    <w:rsid w:val="008F6336"/>
    <w:rsid w:val="008F693A"/>
    <w:rsid w:val="008F6CA3"/>
    <w:rsid w:val="008F7965"/>
    <w:rsid w:val="008F7D41"/>
    <w:rsid w:val="008F7DC4"/>
    <w:rsid w:val="009002B4"/>
    <w:rsid w:val="00900D5C"/>
    <w:rsid w:val="009013DE"/>
    <w:rsid w:val="00902219"/>
    <w:rsid w:val="00902603"/>
    <w:rsid w:val="009038F7"/>
    <w:rsid w:val="00904D57"/>
    <w:rsid w:val="00905A3B"/>
    <w:rsid w:val="009061B7"/>
    <w:rsid w:val="00906799"/>
    <w:rsid w:val="00906ED4"/>
    <w:rsid w:val="0090770C"/>
    <w:rsid w:val="0091098B"/>
    <w:rsid w:val="00911467"/>
    <w:rsid w:val="009121BC"/>
    <w:rsid w:val="00912DFF"/>
    <w:rsid w:val="00913404"/>
    <w:rsid w:val="009157A1"/>
    <w:rsid w:val="00916B8B"/>
    <w:rsid w:val="00920372"/>
    <w:rsid w:val="00922193"/>
    <w:rsid w:val="00922AEB"/>
    <w:rsid w:val="00923236"/>
    <w:rsid w:val="009235E0"/>
    <w:rsid w:val="00924152"/>
    <w:rsid w:val="009245F0"/>
    <w:rsid w:val="00925084"/>
    <w:rsid w:val="00925EEC"/>
    <w:rsid w:val="00926072"/>
    <w:rsid w:val="009279AF"/>
    <w:rsid w:val="00927A8C"/>
    <w:rsid w:val="0093020E"/>
    <w:rsid w:val="00930CE2"/>
    <w:rsid w:val="0093194D"/>
    <w:rsid w:val="00931BAB"/>
    <w:rsid w:val="00934521"/>
    <w:rsid w:val="0093459D"/>
    <w:rsid w:val="00934C3F"/>
    <w:rsid w:val="009368D0"/>
    <w:rsid w:val="009377CC"/>
    <w:rsid w:val="00937830"/>
    <w:rsid w:val="00937B9C"/>
    <w:rsid w:val="00937C55"/>
    <w:rsid w:val="009417AE"/>
    <w:rsid w:val="0094196D"/>
    <w:rsid w:val="00941C1F"/>
    <w:rsid w:val="00943311"/>
    <w:rsid w:val="00943CCC"/>
    <w:rsid w:val="00944099"/>
    <w:rsid w:val="00944839"/>
    <w:rsid w:val="0094489C"/>
    <w:rsid w:val="00945635"/>
    <w:rsid w:val="00945B3F"/>
    <w:rsid w:val="009474DF"/>
    <w:rsid w:val="009501BF"/>
    <w:rsid w:val="0095058A"/>
    <w:rsid w:val="00950671"/>
    <w:rsid w:val="009509BA"/>
    <w:rsid w:val="00950DCB"/>
    <w:rsid w:val="009519C6"/>
    <w:rsid w:val="009528C7"/>
    <w:rsid w:val="00952D47"/>
    <w:rsid w:val="00952D4C"/>
    <w:rsid w:val="00953192"/>
    <w:rsid w:val="00953ED1"/>
    <w:rsid w:val="00954D56"/>
    <w:rsid w:val="0095510F"/>
    <w:rsid w:val="00955B8A"/>
    <w:rsid w:val="00956A1B"/>
    <w:rsid w:val="00960246"/>
    <w:rsid w:val="00960A59"/>
    <w:rsid w:val="00961037"/>
    <w:rsid w:val="0096127A"/>
    <w:rsid w:val="00961752"/>
    <w:rsid w:val="00961763"/>
    <w:rsid w:val="009619CF"/>
    <w:rsid w:val="0096239D"/>
    <w:rsid w:val="009624FF"/>
    <w:rsid w:val="00962B23"/>
    <w:rsid w:val="00962C5E"/>
    <w:rsid w:val="00962FC8"/>
    <w:rsid w:val="0096314B"/>
    <w:rsid w:val="0096452E"/>
    <w:rsid w:val="00964AFA"/>
    <w:rsid w:val="00965960"/>
    <w:rsid w:val="00965A29"/>
    <w:rsid w:val="00966075"/>
    <w:rsid w:val="00966E76"/>
    <w:rsid w:val="00967470"/>
    <w:rsid w:val="0096772A"/>
    <w:rsid w:val="00967F4A"/>
    <w:rsid w:val="009720E1"/>
    <w:rsid w:val="00972A83"/>
    <w:rsid w:val="00972C3D"/>
    <w:rsid w:val="0097490A"/>
    <w:rsid w:val="00974CD2"/>
    <w:rsid w:val="00974EF3"/>
    <w:rsid w:val="00974F0E"/>
    <w:rsid w:val="00974F63"/>
    <w:rsid w:val="0097505A"/>
    <w:rsid w:val="0097514D"/>
    <w:rsid w:val="00975CD7"/>
    <w:rsid w:val="00975D21"/>
    <w:rsid w:val="009801BB"/>
    <w:rsid w:val="0098066A"/>
    <w:rsid w:val="00980793"/>
    <w:rsid w:val="0098126B"/>
    <w:rsid w:val="009818BF"/>
    <w:rsid w:val="00981D63"/>
    <w:rsid w:val="0098317E"/>
    <w:rsid w:val="00983589"/>
    <w:rsid w:val="009848FD"/>
    <w:rsid w:val="00984D7E"/>
    <w:rsid w:val="009857A6"/>
    <w:rsid w:val="009859EC"/>
    <w:rsid w:val="00985E70"/>
    <w:rsid w:val="0098671F"/>
    <w:rsid w:val="00986B37"/>
    <w:rsid w:val="0098783B"/>
    <w:rsid w:val="00990078"/>
    <w:rsid w:val="009903F6"/>
    <w:rsid w:val="009909DF"/>
    <w:rsid w:val="00990C81"/>
    <w:rsid w:val="00991393"/>
    <w:rsid w:val="00991AC2"/>
    <w:rsid w:val="00992732"/>
    <w:rsid w:val="009928D7"/>
    <w:rsid w:val="009934B4"/>
    <w:rsid w:val="00993C2B"/>
    <w:rsid w:val="009951BF"/>
    <w:rsid w:val="009959D9"/>
    <w:rsid w:val="00996DA5"/>
    <w:rsid w:val="00997454"/>
    <w:rsid w:val="009979F4"/>
    <w:rsid w:val="00997B76"/>
    <w:rsid w:val="009A07D4"/>
    <w:rsid w:val="009A1684"/>
    <w:rsid w:val="009A1DAD"/>
    <w:rsid w:val="009A2376"/>
    <w:rsid w:val="009A28D9"/>
    <w:rsid w:val="009A3629"/>
    <w:rsid w:val="009A4479"/>
    <w:rsid w:val="009A45B2"/>
    <w:rsid w:val="009A5585"/>
    <w:rsid w:val="009A59D5"/>
    <w:rsid w:val="009A6625"/>
    <w:rsid w:val="009A67A5"/>
    <w:rsid w:val="009B01EC"/>
    <w:rsid w:val="009B08E5"/>
    <w:rsid w:val="009B2371"/>
    <w:rsid w:val="009B29A7"/>
    <w:rsid w:val="009B2CB7"/>
    <w:rsid w:val="009B2F52"/>
    <w:rsid w:val="009B2F6A"/>
    <w:rsid w:val="009B3C9A"/>
    <w:rsid w:val="009B41EB"/>
    <w:rsid w:val="009B49D9"/>
    <w:rsid w:val="009B525A"/>
    <w:rsid w:val="009B6ADA"/>
    <w:rsid w:val="009B728B"/>
    <w:rsid w:val="009B759C"/>
    <w:rsid w:val="009C071E"/>
    <w:rsid w:val="009C3168"/>
    <w:rsid w:val="009C4D8F"/>
    <w:rsid w:val="009C4FC9"/>
    <w:rsid w:val="009C5281"/>
    <w:rsid w:val="009C52DC"/>
    <w:rsid w:val="009C6FA5"/>
    <w:rsid w:val="009C7118"/>
    <w:rsid w:val="009D07BD"/>
    <w:rsid w:val="009D12F0"/>
    <w:rsid w:val="009D204A"/>
    <w:rsid w:val="009D2796"/>
    <w:rsid w:val="009D2DDD"/>
    <w:rsid w:val="009D2F12"/>
    <w:rsid w:val="009D32D8"/>
    <w:rsid w:val="009D41AE"/>
    <w:rsid w:val="009D43CE"/>
    <w:rsid w:val="009D4BE2"/>
    <w:rsid w:val="009D4CC8"/>
    <w:rsid w:val="009D5952"/>
    <w:rsid w:val="009D62EF"/>
    <w:rsid w:val="009D63C2"/>
    <w:rsid w:val="009D6B80"/>
    <w:rsid w:val="009D759C"/>
    <w:rsid w:val="009E0529"/>
    <w:rsid w:val="009E0A45"/>
    <w:rsid w:val="009E0C10"/>
    <w:rsid w:val="009E1194"/>
    <w:rsid w:val="009E17BF"/>
    <w:rsid w:val="009E23D2"/>
    <w:rsid w:val="009E25D9"/>
    <w:rsid w:val="009E30D6"/>
    <w:rsid w:val="009E3679"/>
    <w:rsid w:val="009E4116"/>
    <w:rsid w:val="009E4E0C"/>
    <w:rsid w:val="009E6501"/>
    <w:rsid w:val="009E65EB"/>
    <w:rsid w:val="009F1131"/>
    <w:rsid w:val="009F1A23"/>
    <w:rsid w:val="009F2C09"/>
    <w:rsid w:val="009F41F7"/>
    <w:rsid w:val="009F4529"/>
    <w:rsid w:val="009F4FBD"/>
    <w:rsid w:val="009F5446"/>
    <w:rsid w:val="009F6377"/>
    <w:rsid w:val="009F6EF0"/>
    <w:rsid w:val="009F7B69"/>
    <w:rsid w:val="00A00EF9"/>
    <w:rsid w:val="00A013E0"/>
    <w:rsid w:val="00A0283C"/>
    <w:rsid w:val="00A031CF"/>
    <w:rsid w:val="00A034FA"/>
    <w:rsid w:val="00A03D2F"/>
    <w:rsid w:val="00A04030"/>
    <w:rsid w:val="00A05130"/>
    <w:rsid w:val="00A05386"/>
    <w:rsid w:val="00A0548D"/>
    <w:rsid w:val="00A0697A"/>
    <w:rsid w:val="00A06C03"/>
    <w:rsid w:val="00A0788C"/>
    <w:rsid w:val="00A10DA6"/>
    <w:rsid w:val="00A1108B"/>
    <w:rsid w:val="00A11871"/>
    <w:rsid w:val="00A120D6"/>
    <w:rsid w:val="00A1232F"/>
    <w:rsid w:val="00A12C3B"/>
    <w:rsid w:val="00A151E9"/>
    <w:rsid w:val="00A15DBB"/>
    <w:rsid w:val="00A16500"/>
    <w:rsid w:val="00A16E31"/>
    <w:rsid w:val="00A17397"/>
    <w:rsid w:val="00A17F1E"/>
    <w:rsid w:val="00A21CAA"/>
    <w:rsid w:val="00A22248"/>
    <w:rsid w:val="00A23F77"/>
    <w:rsid w:val="00A24C5D"/>
    <w:rsid w:val="00A2511B"/>
    <w:rsid w:val="00A2576D"/>
    <w:rsid w:val="00A2586C"/>
    <w:rsid w:val="00A259F2"/>
    <w:rsid w:val="00A260D8"/>
    <w:rsid w:val="00A26E19"/>
    <w:rsid w:val="00A2758A"/>
    <w:rsid w:val="00A303EA"/>
    <w:rsid w:val="00A3318D"/>
    <w:rsid w:val="00A33802"/>
    <w:rsid w:val="00A35384"/>
    <w:rsid w:val="00A3640A"/>
    <w:rsid w:val="00A3653A"/>
    <w:rsid w:val="00A368C6"/>
    <w:rsid w:val="00A37162"/>
    <w:rsid w:val="00A3759B"/>
    <w:rsid w:val="00A37E51"/>
    <w:rsid w:val="00A431B0"/>
    <w:rsid w:val="00A4516F"/>
    <w:rsid w:val="00A45E57"/>
    <w:rsid w:val="00A4635A"/>
    <w:rsid w:val="00A46FCE"/>
    <w:rsid w:val="00A519AE"/>
    <w:rsid w:val="00A51CEB"/>
    <w:rsid w:val="00A51D4A"/>
    <w:rsid w:val="00A51D65"/>
    <w:rsid w:val="00A51E2D"/>
    <w:rsid w:val="00A51E9E"/>
    <w:rsid w:val="00A51FEB"/>
    <w:rsid w:val="00A5319F"/>
    <w:rsid w:val="00A53690"/>
    <w:rsid w:val="00A53B9E"/>
    <w:rsid w:val="00A557E2"/>
    <w:rsid w:val="00A55FCB"/>
    <w:rsid w:val="00A61E75"/>
    <w:rsid w:val="00A62D31"/>
    <w:rsid w:val="00A63380"/>
    <w:rsid w:val="00A650D6"/>
    <w:rsid w:val="00A65E73"/>
    <w:rsid w:val="00A662ED"/>
    <w:rsid w:val="00A664CE"/>
    <w:rsid w:val="00A711E9"/>
    <w:rsid w:val="00A71C97"/>
    <w:rsid w:val="00A731B1"/>
    <w:rsid w:val="00A73238"/>
    <w:rsid w:val="00A773E5"/>
    <w:rsid w:val="00A80A71"/>
    <w:rsid w:val="00A8129D"/>
    <w:rsid w:val="00A81A1A"/>
    <w:rsid w:val="00A84885"/>
    <w:rsid w:val="00A84AF0"/>
    <w:rsid w:val="00A865C7"/>
    <w:rsid w:val="00A86A92"/>
    <w:rsid w:val="00A86CD3"/>
    <w:rsid w:val="00A87019"/>
    <w:rsid w:val="00A909CC"/>
    <w:rsid w:val="00A92A55"/>
    <w:rsid w:val="00A9376C"/>
    <w:rsid w:val="00A93DFB"/>
    <w:rsid w:val="00A94DA0"/>
    <w:rsid w:val="00A964A5"/>
    <w:rsid w:val="00A96F64"/>
    <w:rsid w:val="00A9701E"/>
    <w:rsid w:val="00A97E3B"/>
    <w:rsid w:val="00A97F8A"/>
    <w:rsid w:val="00AA00CB"/>
    <w:rsid w:val="00AA20A1"/>
    <w:rsid w:val="00AA27D1"/>
    <w:rsid w:val="00AA3D89"/>
    <w:rsid w:val="00AA41F2"/>
    <w:rsid w:val="00AA4AFC"/>
    <w:rsid w:val="00AA5835"/>
    <w:rsid w:val="00AA5895"/>
    <w:rsid w:val="00AA6BCA"/>
    <w:rsid w:val="00AA7470"/>
    <w:rsid w:val="00AB039E"/>
    <w:rsid w:val="00AB115D"/>
    <w:rsid w:val="00AB2006"/>
    <w:rsid w:val="00AB21B3"/>
    <w:rsid w:val="00AB2366"/>
    <w:rsid w:val="00AB329E"/>
    <w:rsid w:val="00AB4206"/>
    <w:rsid w:val="00AB4D22"/>
    <w:rsid w:val="00AB4E0E"/>
    <w:rsid w:val="00AC1B65"/>
    <w:rsid w:val="00AC1C12"/>
    <w:rsid w:val="00AC2CDC"/>
    <w:rsid w:val="00AC353D"/>
    <w:rsid w:val="00AC3E7D"/>
    <w:rsid w:val="00AC5287"/>
    <w:rsid w:val="00AC5444"/>
    <w:rsid w:val="00AC58AF"/>
    <w:rsid w:val="00AC5E75"/>
    <w:rsid w:val="00AC76DB"/>
    <w:rsid w:val="00AC7B13"/>
    <w:rsid w:val="00AC7E54"/>
    <w:rsid w:val="00AD0D7B"/>
    <w:rsid w:val="00AD17D3"/>
    <w:rsid w:val="00AD2CE6"/>
    <w:rsid w:val="00AD2D5D"/>
    <w:rsid w:val="00AD37E0"/>
    <w:rsid w:val="00AD393D"/>
    <w:rsid w:val="00AD3F29"/>
    <w:rsid w:val="00AD465C"/>
    <w:rsid w:val="00AD4D84"/>
    <w:rsid w:val="00AD5010"/>
    <w:rsid w:val="00AD5766"/>
    <w:rsid w:val="00AD7688"/>
    <w:rsid w:val="00AD76CE"/>
    <w:rsid w:val="00AD7CB0"/>
    <w:rsid w:val="00AE046E"/>
    <w:rsid w:val="00AE0AE5"/>
    <w:rsid w:val="00AE0D65"/>
    <w:rsid w:val="00AE0F17"/>
    <w:rsid w:val="00AE108E"/>
    <w:rsid w:val="00AE1717"/>
    <w:rsid w:val="00AE2209"/>
    <w:rsid w:val="00AE2623"/>
    <w:rsid w:val="00AE334A"/>
    <w:rsid w:val="00AE3373"/>
    <w:rsid w:val="00AE36F6"/>
    <w:rsid w:val="00AE3936"/>
    <w:rsid w:val="00AE4254"/>
    <w:rsid w:val="00AE4940"/>
    <w:rsid w:val="00AE50F6"/>
    <w:rsid w:val="00AE550D"/>
    <w:rsid w:val="00AE5A47"/>
    <w:rsid w:val="00AE5D26"/>
    <w:rsid w:val="00AE5D9D"/>
    <w:rsid w:val="00AE6A4E"/>
    <w:rsid w:val="00AE7A67"/>
    <w:rsid w:val="00AE7B98"/>
    <w:rsid w:val="00AE7D2C"/>
    <w:rsid w:val="00AF1068"/>
    <w:rsid w:val="00AF129F"/>
    <w:rsid w:val="00AF15EA"/>
    <w:rsid w:val="00AF1DD7"/>
    <w:rsid w:val="00AF2A76"/>
    <w:rsid w:val="00AF4CAC"/>
    <w:rsid w:val="00AF53EA"/>
    <w:rsid w:val="00AF6183"/>
    <w:rsid w:val="00AF7035"/>
    <w:rsid w:val="00AF7A69"/>
    <w:rsid w:val="00B00B26"/>
    <w:rsid w:val="00B06B9E"/>
    <w:rsid w:val="00B06BC7"/>
    <w:rsid w:val="00B10059"/>
    <w:rsid w:val="00B10402"/>
    <w:rsid w:val="00B10B65"/>
    <w:rsid w:val="00B11AED"/>
    <w:rsid w:val="00B1222B"/>
    <w:rsid w:val="00B122D1"/>
    <w:rsid w:val="00B12844"/>
    <w:rsid w:val="00B12A41"/>
    <w:rsid w:val="00B12DC9"/>
    <w:rsid w:val="00B1320A"/>
    <w:rsid w:val="00B1325E"/>
    <w:rsid w:val="00B13F84"/>
    <w:rsid w:val="00B14169"/>
    <w:rsid w:val="00B14604"/>
    <w:rsid w:val="00B1473B"/>
    <w:rsid w:val="00B15ABA"/>
    <w:rsid w:val="00B16BAA"/>
    <w:rsid w:val="00B16E98"/>
    <w:rsid w:val="00B175E5"/>
    <w:rsid w:val="00B17E11"/>
    <w:rsid w:val="00B20DFD"/>
    <w:rsid w:val="00B227D0"/>
    <w:rsid w:val="00B22C44"/>
    <w:rsid w:val="00B24AB0"/>
    <w:rsid w:val="00B24DD4"/>
    <w:rsid w:val="00B2646B"/>
    <w:rsid w:val="00B265EE"/>
    <w:rsid w:val="00B27E95"/>
    <w:rsid w:val="00B30926"/>
    <w:rsid w:val="00B30BE8"/>
    <w:rsid w:val="00B31225"/>
    <w:rsid w:val="00B31687"/>
    <w:rsid w:val="00B32013"/>
    <w:rsid w:val="00B323F2"/>
    <w:rsid w:val="00B3419C"/>
    <w:rsid w:val="00B34339"/>
    <w:rsid w:val="00B3465F"/>
    <w:rsid w:val="00B35BD3"/>
    <w:rsid w:val="00B35BE9"/>
    <w:rsid w:val="00B35CF5"/>
    <w:rsid w:val="00B367D4"/>
    <w:rsid w:val="00B40218"/>
    <w:rsid w:val="00B412FD"/>
    <w:rsid w:val="00B4165D"/>
    <w:rsid w:val="00B427E2"/>
    <w:rsid w:val="00B42B2F"/>
    <w:rsid w:val="00B43369"/>
    <w:rsid w:val="00B43B73"/>
    <w:rsid w:val="00B44900"/>
    <w:rsid w:val="00B456F3"/>
    <w:rsid w:val="00B45B1A"/>
    <w:rsid w:val="00B460A1"/>
    <w:rsid w:val="00B467F6"/>
    <w:rsid w:val="00B46F6F"/>
    <w:rsid w:val="00B472E1"/>
    <w:rsid w:val="00B50926"/>
    <w:rsid w:val="00B51CF9"/>
    <w:rsid w:val="00B52233"/>
    <w:rsid w:val="00B52821"/>
    <w:rsid w:val="00B53BBB"/>
    <w:rsid w:val="00B53D69"/>
    <w:rsid w:val="00B543CD"/>
    <w:rsid w:val="00B54D7E"/>
    <w:rsid w:val="00B54E06"/>
    <w:rsid w:val="00B551EB"/>
    <w:rsid w:val="00B5686B"/>
    <w:rsid w:val="00B56BBF"/>
    <w:rsid w:val="00B57010"/>
    <w:rsid w:val="00B601C5"/>
    <w:rsid w:val="00B613C4"/>
    <w:rsid w:val="00B6214D"/>
    <w:rsid w:val="00B6225E"/>
    <w:rsid w:val="00B649A7"/>
    <w:rsid w:val="00B6504C"/>
    <w:rsid w:val="00B653D3"/>
    <w:rsid w:val="00B66149"/>
    <w:rsid w:val="00B6763E"/>
    <w:rsid w:val="00B7017D"/>
    <w:rsid w:val="00B702D5"/>
    <w:rsid w:val="00B71170"/>
    <w:rsid w:val="00B71BE9"/>
    <w:rsid w:val="00B7477B"/>
    <w:rsid w:val="00B74E0F"/>
    <w:rsid w:val="00B754CB"/>
    <w:rsid w:val="00B75888"/>
    <w:rsid w:val="00B803D6"/>
    <w:rsid w:val="00B806DB"/>
    <w:rsid w:val="00B80BCB"/>
    <w:rsid w:val="00B80BCE"/>
    <w:rsid w:val="00B81524"/>
    <w:rsid w:val="00B81740"/>
    <w:rsid w:val="00B83542"/>
    <w:rsid w:val="00B84E4F"/>
    <w:rsid w:val="00B85D7B"/>
    <w:rsid w:val="00B86221"/>
    <w:rsid w:val="00B8644D"/>
    <w:rsid w:val="00B8719B"/>
    <w:rsid w:val="00B878F4"/>
    <w:rsid w:val="00B87A59"/>
    <w:rsid w:val="00B87B2A"/>
    <w:rsid w:val="00B87D3A"/>
    <w:rsid w:val="00B90034"/>
    <w:rsid w:val="00B900EA"/>
    <w:rsid w:val="00B9097F"/>
    <w:rsid w:val="00B90E2C"/>
    <w:rsid w:val="00B91069"/>
    <w:rsid w:val="00B910F9"/>
    <w:rsid w:val="00B912DC"/>
    <w:rsid w:val="00B91EE2"/>
    <w:rsid w:val="00B92842"/>
    <w:rsid w:val="00B935C1"/>
    <w:rsid w:val="00B9440C"/>
    <w:rsid w:val="00B949F6"/>
    <w:rsid w:val="00B94BF3"/>
    <w:rsid w:val="00B96558"/>
    <w:rsid w:val="00B967B6"/>
    <w:rsid w:val="00BA0330"/>
    <w:rsid w:val="00BA04A9"/>
    <w:rsid w:val="00BA05FB"/>
    <w:rsid w:val="00BA0995"/>
    <w:rsid w:val="00BA0B3E"/>
    <w:rsid w:val="00BA2713"/>
    <w:rsid w:val="00BA2744"/>
    <w:rsid w:val="00BA2941"/>
    <w:rsid w:val="00BA29EB"/>
    <w:rsid w:val="00BA31D9"/>
    <w:rsid w:val="00BA3927"/>
    <w:rsid w:val="00BA4C61"/>
    <w:rsid w:val="00BA4DEE"/>
    <w:rsid w:val="00BA627A"/>
    <w:rsid w:val="00BB1198"/>
    <w:rsid w:val="00BB22FA"/>
    <w:rsid w:val="00BB2437"/>
    <w:rsid w:val="00BB26A6"/>
    <w:rsid w:val="00BB2A6F"/>
    <w:rsid w:val="00BB5555"/>
    <w:rsid w:val="00BB68DD"/>
    <w:rsid w:val="00BB6983"/>
    <w:rsid w:val="00BB7A70"/>
    <w:rsid w:val="00BB7AD6"/>
    <w:rsid w:val="00BB7B93"/>
    <w:rsid w:val="00BB7EB9"/>
    <w:rsid w:val="00BC0FF0"/>
    <w:rsid w:val="00BC15D0"/>
    <w:rsid w:val="00BC1C07"/>
    <w:rsid w:val="00BC2460"/>
    <w:rsid w:val="00BC4AB7"/>
    <w:rsid w:val="00BC5215"/>
    <w:rsid w:val="00BC52E8"/>
    <w:rsid w:val="00BC6BEE"/>
    <w:rsid w:val="00BC7B81"/>
    <w:rsid w:val="00BC7E47"/>
    <w:rsid w:val="00BD007F"/>
    <w:rsid w:val="00BD12A1"/>
    <w:rsid w:val="00BD1D09"/>
    <w:rsid w:val="00BD1D44"/>
    <w:rsid w:val="00BD2175"/>
    <w:rsid w:val="00BD2213"/>
    <w:rsid w:val="00BD398F"/>
    <w:rsid w:val="00BD3CDF"/>
    <w:rsid w:val="00BD6807"/>
    <w:rsid w:val="00BD7B83"/>
    <w:rsid w:val="00BD7C8E"/>
    <w:rsid w:val="00BD7E68"/>
    <w:rsid w:val="00BE08E9"/>
    <w:rsid w:val="00BE0C4B"/>
    <w:rsid w:val="00BE1585"/>
    <w:rsid w:val="00BE1606"/>
    <w:rsid w:val="00BE1D26"/>
    <w:rsid w:val="00BE2874"/>
    <w:rsid w:val="00BE2AAC"/>
    <w:rsid w:val="00BE2D4C"/>
    <w:rsid w:val="00BE37B5"/>
    <w:rsid w:val="00BE3899"/>
    <w:rsid w:val="00BE442E"/>
    <w:rsid w:val="00BE49FB"/>
    <w:rsid w:val="00BE4CFC"/>
    <w:rsid w:val="00BE57A5"/>
    <w:rsid w:val="00BE5975"/>
    <w:rsid w:val="00BE5F65"/>
    <w:rsid w:val="00BE6BCE"/>
    <w:rsid w:val="00BE7071"/>
    <w:rsid w:val="00BF0824"/>
    <w:rsid w:val="00BF17C6"/>
    <w:rsid w:val="00BF2448"/>
    <w:rsid w:val="00BF3B9F"/>
    <w:rsid w:val="00BF55AA"/>
    <w:rsid w:val="00BF5F1D"/>
    <w:rsid w:val="00BF6544"/>
    <w:rsid w:val="00BF6E5F"/>
    <w:rsid w:val="00BF6F09"/>
    <w:rsid w:val="00C00FDA"/>
    <w:rsid w:val="00C01608"/>
    <w:rsid w:val="00C01C27"/>
    <w:rsid w:val="00C02EB9"/>
    <w:rsid w:val="00C036A7"/>
    <w:rsid w:val="00C0373C"/>
    <w:rsid w:val="00C04336"/>
    <w:rsid w:val="00C04E4B"/>
    <w:rsid w:val="00C04FCB"/>
    <w:rsid w:val="00C10003"/>
    <w:rsid w:val="00C10385"/>
    <w:rsid w:val="00C10A1A"/>
    <w:rsid w:val="00C11531"/>
    <w:rsid w:val="00C11B56"/>
    <w:rsid w:val="00C1296A"/>
    <w:rsid w:val="00C14C04"/>
    <w:rsid w:val="00C14D3F"/>
    <w:rsid w:val="00C1512F"/>
    <w:rsid w:val="00C15BB4"/>
    <w:rsid w:val="00C15BF1"/>
    <w:rsid w:val="00C16045"/>
    <w:rsid w:val="00C16A7D"/>
    <w:rsid w:val="00C178DC"/>
    <w:rsid w:val="00C17F8A"/>
    <w:rsid w:val="00C213F2"/>
    <w:rsid w:val="00C21E27"/>
    <w:rsid w:val="00C2332A"/>
    <w:rsid w:val="00C2490E"/>
    <w:rsid w:val="00C24B14"/>
    <w:rsid w:val="00C2523E"/>
    <w:rsid w:val="00C25861"/>
    <w:rsid w:val="00C2594C"/>
    <w:rsid w:val="00C259B4"/>
    <w:rsid w:val="00C26FAC"/>
    <w:rsid w:val="00C27230"/>
    <w:rsid w:val="00C27E7F"/>
    <w:rsid w:val="00C3094C"/>
    <w:rsid w:val="00C31558"/>
    <w:rsid w:val="00C31DAF"/>
    <w:rsid w:val="00C330E6"/>
    <w:rsid w:val="00C33113"/>
    <w:rsid w:val="00C333D6"/>
    <w:rsid w:val="00C3377D"/>
    <w:rsid w:val="00C339FE"/>
    <w:rsid w:val="00C34313"/>
    <w:rsid w:val="00C3516D"/>
    <w:rsid w:val="00C35279"/>
    <w:rsid w:val="00C36DF2"/>
    <w:rsid w:val="00C37B06"/>
    <w:rsid w:val="00C37D94"/>
    <w:rsid w:val="00C41A82"/>
    <w:rsid w:val="00C4256B"/>
    <w:rsid w:val="00C42BEF"/>
    <w:rsid w:val="00C42EA5"/>
    <w:rsid w:val="00C4339F"/>
    <w:rsid w:val="00C44B89"/>
    <w:rsid w:val="00C45290"/>
    <w:rsid w:val="00C45370"/>
    <w:rsid w:val="00C4644A"/>
    <w:rsid w:val="00C46E5B"/>
    <w:rsid w:val="00C47C54"/>
    <w:rsid w:val="00C500EC"/>
    <w:rsid w:val="00C50464"/>
    <w:rsid w:val="00C50772"/>
    <w:rsid w:val="00C50E7B"/>
    <w:rsid w:val="00C527E8"/>
    <w:rsid w:val="00C540B2"/>
    <w:rsid w:val="00C54448"/>
    <w:rsid w:val="00C5461D"/>
    <w:rsid w:val="00C5652A"/>
    <w:rsid w:val="00C56EF7"/>
    <w:rsid w:val="00C600DF"/>
    <w:rsid w:val="00C60420"/>
    <w:rsid w:val="00C60D35"/>
    <w:rsid w:val="00C61032"/>
    <w:rsid w:val="00C61E1B"/>
    <w:rsid w:val="00C629DD"/>
    <w:rsid w:val="00C62BF5"/>
    <w:rsid w:val="00C636DA"/>
    <w:rsid w:val="00C63B25"/>
    <w:rsid w:val="00C64A7F"/>
    <w:rsid w:val="00C64BDA"/>
    <w:rsid w:val="00C64F8B"/>
    <w:rsid w:val="00C65112"/>
    <w:rsid w:val="00C652C2"/>
    <w:rsid w:val="00C65D84"/>
    <w:rsid w:val="00C67C6E"/>
    <w:rsid w:val="00C67E22"/>
    <w:rsid w:val="00C708B6"/>
    <w:rsid w:val="00C72271"/>
    <w:rsid w:val="00C72A17"/>
    <w:rsid w:val="00C730D4"/>
    <w:rsid w:val="00C7426E"/>
    <w:rsid w:val="00C746C5"/>
    <w:rsid w:val="00C75C3D"/>
    <w:rsid w:val="00C76193"/>
    <w:rsid w:val="00C7666B"/>
    <w:rsid w:val="00C766BF"/>
    <w:rsid w:val="00C76716"/>
    <w:rsid w:val="00C76DAE"/>
    <w:rsid w:val="00C7715E"/>
    <w:rsid w:val="00C801CA"/>
    <w:rsid w:val="00C80406"/>
    <w:rsid w:val="00C807D2"/>
    <w:rsid w:val="00C80E26"/>
    <w:rsid w:val="00C81356"/>
    <w:rsid w:val="00C813CD"/>
    <w:rsid w:val="00C81B9A"/>
    <w:rsid w:val="00C828B7"/>
    <w:rsid w:val="00C8370F"/>
    <w:rsid w:val="00C8486C"/>
    <w:rsid w:val="00C848B3"/>
    <w:rsid w:val="00C850B0"/>
    <w:rsid w:val="00C8521B"/>
    <w:rsid w:val="00C858D9"/>
    <w:rsid w:val="00C86020"/>
    <w:rsid w:val="00C86EE6"/>
    <w:rsid w:val="00C873AD"/>
    <w:rsid w:val="00C87635"/>
    <w:rsid w:val="00C87654"/>
    <w:rsid w:val="00C87DA0"/>
    <w:rsid w:val="00C90F45"/>
    <w:rsid w:val="00C91E77"/>
    <w:rsid w:val="00C929EB"/>
    <w:rsid w:val="00C947D5"/>
    <w:rsid w:val="00C96D5D"/>
    <w:rsid w:val="00CA03B1"/>
    <w:rsid w:val="00CA0D58"/>
    <w:rsid w:val="00CA1583"/>
    <w:rsid w:val="00CA1A4B"/>
    <w:rsid w:val="00CA23CA"/>
    <w:rsid w:val="00CA23FF"/>
    <w:rsid w:val="00CA3591"/>
    <w:rsid w:val="00CA3DF8"/>
    <w:rsid w:val="00CA441D"/>
    <w:rsid w:val="00CA4811"/>
    <w:rsid w:val="00CA4E4D"/>
    <w:rsid w:val="00CA59DE"/>
    <w:rsid w:val="00CA5B64"/>
    <w:rsid w:val="00CA6097"/>
    <w:rsid w:val="00CA6FF9"/>
    <w:rsid w:val="00CB00CD"/>
    <w:rsid w:val="00CB2DA1"/>
    <w:rsid w:val="00CB34C6"/>
    <w:rsid w:val="00CB350B"/>
    <w:rsid w:val="00CB4238"/>
    <w:rsid w:val="00CB494C"/>
    <w:rsid w:val="00CB537E"/>
    <w:rsid w:val="00CB5397"/>
    <w:rsid w:val="00CB5579"/>
    <w:rsid w:val="00CB5938"/>
    <w:rsid w:val="00CB5B27"/>
    <w:rsid w:val="00CB663F"/>
    <w:rsid w:val="00CB66BF"/>
    <w:rsid w:val="00CB7C0E"/>
    <w:rsid w:val="00CC017F"/>
    <w:rsid w:val="00CC118B"/>
    <w:rsid w:val="00CC17FE"/>
    <w:rsid w:val="00CC1A64"/>
    <w:rsid w:val="00CC1B9F"/>
    <w:rsid w:val="00CC1CEC"/>
    <w:rsid w:val="00CC2A84"/>
    <w:rsid w:val="00CC31D1"/>
    <w:rsid w:val="00CC3290"/>
    <w:rsid w:val="00CC34EB"/>
    <w:rsid w:val="00CC3607"/>
    <w:rsid w:val="00CC401B"/>
    <w:rsid w:val="00CC501C"/>
    <w:rsid w:val="00CC524B"/>
    <w:rsid w:val="00CC66EA"/>
    <w:rsid w:val="00CC7276"/>
    <w:rsid w:val="00CC7FDE"/>
    <w:rsid w:val="00CD10B8"/>
    <w:rsid w:val="00CD263F"/>
    <w:rsid w:val="00CD2F70"/>
    <w:rsid w:val="00CD3C17"/>
    <w:rsid w:val="00CD4DEA"/>
    <w:rsid w:val="00CD4E01"/>
    <w:rsid w:val="00CD4E1F"/>
    <w:rsid w:val="00CD65CD"/>
    <w:rsid w:val="00CD6D1F"/>
    <w:rsid w:val="00CE0816"/>
    <w:rsid w:val="00CE0BE2"/>
    <w:rsid w:val="00CE0FE4"/>
    <w:rsid w:val="00CE1F9C"/>
    <w:rsid w:val="00CE2126"/>
    <w:rsid w:val="00CE2D14"/>
    <w:rsid w:val="00CE2E48"/>
    <w:rsid w:val="00CE2EF6"/>
    <w:rsid w:val="00CE49EF"/>
    <w:rsid w:val="00CE4E5B"/>
    <w:rsid w:val="00CE5CD8"/>
    <w:rsid w:val="00CF0184"/>
    <w:rsid w:val="00CF0F2E"/>
    <w:rsid w:val="00CF13FE"/>
    <w:rsid w:val="00CF2713"/>
    <w:rsid w:val="00CF4034"/>
    <w:rsid w:val="00CF4B08"/>
    <w:rsid w:val="00CF55F6"/>
    <w:rsid w:val="00CF59E0"/>
    <w:rsid w:val="00CF5F52"/>
    <w:rsid w:val="00CF623A"/>
    <w:rsid w:val="00CF6664"/>
    <w:rsid w:val="00CF6672"/>
    <w:rsid w:val="00CF67E0"/>
    <w:rsid w:val="00CF6FE6"/>
    <w:rsid w:val="00CF7595"/>
    <w:rsid w:val="00D01060"/>
    <w:rsid w:val="00D0174C"/>
    <w:rsid w:val="00D021F7"/>
    <w:rsid w:val="00D0230A"/>
    <w:rsid w:val="00D02C19"/>
    <w:rsid w:val="00D04A54"/>
    <w:rsid w:val="00D053A7"/>
    <w:rsid w:val="00D061F9"/>
    <w:rsid w:val="00D069C7"/>
    <w:rsid w:val="00D06AD6"/>
    <w:rsid w:val="00D078A2"/>
    <w:rsid w:val="00D07D88"/>
    <w:rsid w:val="00D103F9"/>
    <w:rsid w:val="00D107EB"/>
    <w:rsid w:val="00D1101F"/>
    <w:rsid w:val="00D1160D"/>
    <w:rsid w:val="00D1175F"/>
    <w:rsid w:val="00D12FDB"/>
    <w:rsid w:val="00D133D3"/>
    <w:rsid w:val="00D16049"/>
    <w:rsid w:val="00D16516"/>
    <w:rsid w:val="00D17743"/>
    <w:rsid w:val="00D20409"/>
    <w:rsid w:val="00D20683"/>
    <w:rsid w:val="00D21123"/>
    <w:rsid w:val="00D21612"/>
    <w:rsid w:val="00D2330A"/>
    <w:rsid w:val="00D23B6D"/>
    <w:rsid w:val="00D259DC"/>
    <w:rsid w:val="00D26BB7"/>
    <w:rsid w:val="00D31B05"/>
    <w:rsid w:val="00D34475"/>
    <w:rsid w:val="00D35752"/>
    <w:rsid w:val="00D36338"/>
    <w:rsid w:val="00D367EB"/>
    <w:rsid w:val="00D36C91"/>
    <w:rsid w:val="00D374FC"/>
    <w:rsid w:val="00D37693"/>
    <w:rsid w:val="00D410BC"/>
    <w:rsid w:val="00D41762"/>
    <w:rsid w:val="00D41871"/>
    <w:rsid w:val="00D424DD"/>
    <w:rsid w:val="00D4287C"/>
    <w:rsid w:val="00D42F26"/>
    <w:rsid w:val="00D4363E"/>
    <w:rsid w:val="00D43D51"/>
    <w:rsid w:val="00D4496C"/>
    <w:rsid w:val="00D45773"/>
    <w:rsid w:val="00D45954"/>
    <w:rsid w:val="00D461C2"/>
    <w:rsid w:val="00D478E9"/>
    <w:rsid w:val="00D50334"/>
    <w:rsid w:val="00D51756"/>
    <w:rsid w:val="00D52938"/>
    <w:rsid w:val="00D53E87"/>
    <w:rsid w:val="00D540A2"/>
    <w:rsid w:val="00D54545"/>
    <w:rsid w:val="00D54884"/>
    <w:rsid w:val="00D54B4B"/>
    <w:rsid w:val="00D54C70"/>
    <w:rsid w:val="00D55C0B"/>
    <w:rsid w:val="00D56511"/>
    <w:rsid w:val="00D56591"/>
    <w:rsid w:val="00D566D3"/>
    <w:rsid w:val="00D56B48"/>
    <w:rsid w:val="00D60946"/>
    <w:rsid w:val="00D60DA7"/>
    <w:rsid w:val="00D61394"/>
    <w:rsid w:val="00D61649"/>
    <w:rsid w:val="00D6198B"/>
    <w:rsid w:val="00D61AAE"/>
    <w:rsid w:val="00D6239D"/>
    <w:rsid w:val="00D62515"/>
    <w:rsid w:val="00D62811"/>
    <w:rsid w:val="00D63B44"/>
    <w:rsid w:val="00D63D41"/>
    <w:rsid w:val="00D63F87"/>
    <w:rsid w:val="00D645F5"/>
    <w:rsid w:val="00D647A6"/>
    <w:rsid w:val="00D64CB8"/>
    <w:rsid w:val="00D65140"/>
    <w:rsid w:val="00D65BEF"/>
    <w:rsid w:val="00D663E1"/>
    <w:rsid w:val="00D66BB2"/>
    <w:rsid w:val="00D66EE5"/>
    <w:rsid w:val="00D70435"/>
    <w:rsid w:val="00D70BB7"/>
    <w:rsid w:val="00D70CED"/>
    <w:rsid w:val="00D722AC"/>
    <w:rsid w:val="00D72A26"/>
    <w:rsid w:val="00D72D99"/>
    <w:rsid w:val="00D72FD8"/>
    <w:rsid w:val="00D7350F"/>
    <w:rsid w:val="00D7463E"/>
    <w:rsid w:val="00D75686"/>
    <w:rsid w:val="00D76D5A"/>
    <w:rsid w:val="00D772C9"/>
    <w:rsid w:val="00D809B5"/>
    <w:rsid w:val="00D80C95"/>
    <w:rsid w:val="00D81788"/>
    <w:rsid w:val="00D8386A"/>
    <w:rsid w:val="00D84462"/>
    <w:rsid w:val="00D858FF"/>
    <w:rsid w:val="00D85CA0"/>
    <w:rsid w:val="00D86296"/>
    <w:rsid w:val="00D862EE"/>
    <w:rsid w:val="00D91E15"/>
    <w:rsid w:val="00D92A45"/>
    <w:rsid w:val="00D93341"/>
    <w:rsid w:val="00D935F8"/>
    <w:rsid w:val="00D938A1"/>
    <w:rsid w:val="00D944CA"/>
    <w:rsid w:val="00D945F1"/>
    <w:rsid w:val="00D9614D"/>
    <w:rsid w:val="00D963CD"/>
    <w:rsid w:val="00D9697A"/>
    <w:rsid w:val="00D96DCB"/>
    <w:rsid w:val="00D975E7"/>
    <w:rsid w:val="00D97E0B"/>
    <w:rsid w:val="00DA0446"/>
    <w:rsid w:val="00DA0F91"/>
    <w:rsid w:val="00DA2804"/>
    <w:rsid w:val="00DA2FC4"/>
    <w:rsid w:val="00DA3293"/>
    <w:rsid w:val="00DA39D3"/>
    <w:rsid w:val="00DA4C48"/>
    <w:rsid w:val="00DA5170"/>
    <w:rsid w:val="00DA5F3A"/>
    <w:rsid w:val="00DA727D"/>
    <w:rsid w:val="00DA7A88"/>
    <w:rsid w:val="00DB0D33"/>
    <w:rsid w:val="00DB185B"/>
    <w:rsid w:val="00DB275C"/>
    <w:rsid w:val="00DB2CD6"/>
    <w:rsid w:val="00DB2D2E"/>
    <w:rsid w:val="00DB34F0"/>
    <w:rsid w:val="00DB53A7"/>
    <w:rsid w:val="00DB7441"/>
    <w:rsid w:val="00DB751C"/>
    <w:rsid w:val="00DB7789"/>
    <w:rsid w:val="00DB7E7A"/>
    <w:rsid w:val="00DC1D15"/>
    <w:rsid w:val="00DC212E"/>
    <w:rsid w:val="00DC2420"/>
    <w:rsid w:val="00DC2820"/>
    <w:rsid w:val="00DC45D4"/>
    <w:rsid w:val="00DC6319"/>
    <w:rsid w:val="00DC63FF"/>
    <w:rsid w:val="00DD008F"/>
    <w:rsid w:val="00DD170F"/>
    <w:rsid w:val="00DD2C61"/>
    <w:rsid w:val="00DD3064"/>
    <w:rsid w:val="00DD36C8"/>
    <w:rsid w:val="00DD3926"/>
    <w:rsid w:val="00DD4C5A"/>
    <w:rsid w:val="00DD5719"/>
    <w:rsid w:val="00DE0A8A"/>
    <w:rsid w:val="00DE0FD7"/>
    <w:rsid w:val="00DE1065"/>
    <w:rsid w:val="00DE2C18"/>
    <w:rsid w:val="00DE45F6"/>
    <w:rsid w:val="00DE48C3"/>
    <w:rsid w:val="00DE59AC"/>
    <w:rsid w:val="00DE5D4F"/>
    <w:rsid w:val="00DE6697"/>
    <w:rsid w:val="00DF014E"/>
    <w:rsid w:val="00DF05D1"/>
    <w:rsid w:val="00DF1578"/>
    <w:rsid w:val="00DF1F3B"/>
    <w:rsid w:val="00DF247F"/>
    <w:rsid w:val="00DF4E63"/>
    <w:rsid w:val="00DF68E4"/>
    <w:rsid w:val="00DF6E54"/>
    <w:rsid w:val="00DF6F51"/>
    <w:rsid w:val="00DF7182"/>
    <w:rsid w:val="00DF75E9"/>
    <w:rsid w:val="00E002B7"/>
    <w:rsid w:val="00E00EFA"/>
    <w:rsid w:val="00E00FCF"/>
    <w:rsid w:val="00E01EA2"/>
    <w:rsid w:val="00E037AC"/>
    <w:rsid w:val="00E04228"/>
    <w:rsid w:val="00E0441D"/>
    <w:rsid w:val="00E04457"/>
    <w:rsid w:val="00E048D6"/>
    <w:rsid w:val="00E04BBC"/>
    <w:rsid w:val="00E0638E"/>
    <w:rsid w:val="00E07916"/>
    <w:rsid w:val="00E10450"/>
    <w:rsid w:val="00E11BC6"/>
    <w:rsid w:val="00E11D92"/>
    <w:rsid w:val="00E1263F"/>
    <w:rsid w:val="00E12B9E"/>
    <w:rsid w:val="00E13B8D"/>
    <w:rsid w:val="00E13D36"/>
    <w:rsid w:val="00E1478E"/>
    <w:rsid w:val="00E14D16"/>
    <w:rsid w:val="00E157DD"/>
    <w:rsid w:val="00E159D7"/>
    <w:rsid w:val="00E15EE8"/>
    <w:rsid w:val="00E16D69"/>
    <w:rsid w:val="00E17027"/>
    <w:rsid w:val="00E20D57"/>
    <w:rsid w:val="00E213AB"/>
    <w:rsid w:val="00E21653"/>
    <w:rsid w:val="00E21C9B"/>
    <w:rsid w:val="00E22426"/>
    <w:rsid w:val="00E229CB"/>
    <w:rsid w:val="00E22FBF"/>
    <w:rsid w:val="00E235DD"/>
    <w:rsid w:val="00E23ADC"/>
    <w:rsid w:val="00E2405B"/>
    <w:rsid w:val="00E2414E"/>
    <w:rsid w:val="00E24B3F"/>
    <w:rsid w:val="00E24BDB"/>
    <w:rsid w:val="00E256FC"/>
    <w:rsid w:val="00E26830"/>
    <w:rsid w:val="00E26FAF"/>
    <w:rsid w:val="00E26FE1"/>
    <w:rsid w:val="00E271EB"/>
    <w:rsid w:val="00E31AE8"/>
    <w:rsid w:val="00E34E5A"/>
    <w:rsid w:val="00E359DB"/>
    <w:rsid w:val="00E35F8D"/>
    <w:rsid w:val="00E36E25"/>
    <w:rsid w:val="00E40B36"/>
    <w:rsid w:val="00E410CC"/>
    <w:rsid w:val="00E41479"/>
    <w:rsid w:val="00E41769"/>
    <w:rsid w:val="00E41E87"/>
    <w:rsid w:val="00E43A47"/>
    <w:rsid w:val="00E449F6"/>
    <w:rsid w:val="00E45A81"/>
    <w:rsid w:val="00E4663A"/>
    <w:rsid w:val="00E46E5E"/>
    <w:rsid w:val="00E471AD"/>
    <w:rsid w:val="00E47305"/>
    <w:rsid w:val="00E4757D"/>
    <w:rsid w:val="00E50543"/>
    <w:rsid w:val="00E50FEF"/>
    <w:rsid w:val="00E51672"/>
    <w:rsid w:val="00E522FC"/>
    <w:rsid w:val="00E5349B"/>
    <w:rsid w:val="00E53573"/>
    <w:rsid w:val="00E5401B"/>
    <w:rsid w:val="00E55EE5"/>
    <w:rsid w:val="00E566CC"/>
    <w:rsid w:val="00E567E0"/>
    <w:rsid w:val="00E60830"/>
    <w:rsid w:val="00E61273"/>
    <w:rsid w:val="00E613F0"/>
    <w:rsid w:val="00E61784"/>
    <w:rsid w:val="00E61B4D"/>
    <w:rsid w:val="00E625B3"/>
    <w:rsid w:val="00E629AD"/>
    <w:rsid w:val="00E63191"/>
    <w:rsid w:val="00E63A2B"/>
    <w:rsid w:val="00E6471E"/>
    <w:rsid w:val="00E64743"/>
    <w:rsid w:val="00E64A20"/>
    <w:rsid w:val="00E65A79"/>
    <w:rsid w:val="00E669F5"/>
    <w:rsid w:val="00E67F84"/>
    <w:rsid w:val="00E701B2"/>
    <w:rsid w:val="00E712AB"/>
    <w:rsid w:val="00E71478"/>
    <w:rsid w:val="00E71601"/>
    <w:rsid w:val="00E7257D"/>
    <w:rsid w:val="00E728CB"/>
    <w:rsid w:val="00E7336F"/>
    <w:rsid w:val="00E737D0"/>
    <w:rsid w:val="00E73BB9"/>
    <w:rsid w:val="00E741E2"/>
    <w:rsid w:val="00E74F3B"/>
    <w:rsid w:val="00E755C6"/>
    <w:rsid w:val="00E756E2"/>
    <w:rsid w:val="00E7593A"/>
    <w:rsid w:val="00E76262"/>
    <w:rsid w:val="00E76323"/>
    <w:rsid w:val="00E7783C"/>
    <w:rsid w:val="00E80AB3"/>
    <w:rsid w:val="00E80C15"/>
    <w:rsid w:val="00E80ED6"/>
    <w:rsid w:val="00E82A28"/>
    <w:rsid w:val="00E82E1C"/>
    <w:rsid w:val="00E830B3"/>
    <w:rsid w:val="00E841DB"/>
    <w:rsid w:val="00E84541"/>
    <w:rsid w:val="00E84A6B"/>
    <w:rsid w:val="00E85187"/>
    <w:rsid w:val="00E85E33"/>
    <w:rsid w:val="00E85FA8"/>
    <w:rsid w:val="00E86013"/>
    <w:rsid w:val="00E873E6"/>
    <w:rsid w:val="00E87C96"/>
    <w:rsid w:val="00E9027F"/>
    <w:rsid w:val="00E907C2"/>
    <w:rsid w:val="00E910A2"/>
    <w:rsid w:val="00E91578"/>
    <w:rsid w:val="00E920B0"/>
    <w:rsid w:val="00E92385"/>
    <w:rsid w:val="00E92CDA"/>
    <w:rsid w:val="00E92FC7"/>
    <w:rsid w:val="00E93E65"/>
    <w:rsid w:val="00E93F74"/>
    <w:rsid w:val="00E94A67"/>
    <w:rsid w:val="00E94C78"/>
    <w:rsid w:val="00E967BE"/>
    <w:rsid w:val="00E96DEA"/>
    <w:rsid w:val="00E96E7C"/>
    <w:rsid w:val="00E97C0D"/>
    <w:rsid w:val="00EA0963"/>
    <w:rsid w:val="00EA1467"/>
    <w:rsid w:val="00EA1585"/>
    <w:rsid w:val="00EA227D"/>
    <w:rsid w:val="00EA280A"/>
    <w:rsid w:val="00EA29CB"/>
    <w:rsid w:val="00EA471A"/>
    <w:rsid w:val="00EA48AE"/>
    <w:rsid w:val="00EA4C0C"/>
    <w:rsid w:val="00EA7AA1"/>
    <w:rsid w:val="00EB09E2"/>
    <w:rsid w:val="00EB121A"/>
    <w:rsid w:val="00EB2936"/>
    <w:rsid w:val="00EB32C3"/>
    <w:rsid w:val="00EB364C"/>
    <w:rsid w:val="00EB3D92"/>
    <w:rsid w:val="00EB4B49"/>
    <w:rsid w:val="00EB4B64"/>
    <w:rsid w:val="00EB4FD7"/>
    <w:rsid w:val="00EB60BC"/>
    <w:rsid w:val="00EB621C"/>
    <w:rsid w:val="00EB659F"/>
    <w:rsid w:val="00EB682C"/>
    <w:rsid w:val="00EB74A5"/>
    <w:rsid w:val="00EB74B3"/>
    <w:rsid w:val="00EB7759"/>
    <w:rsid w:val="00EC06D8"/>
    <w:rsid w:val="00EC2183"/>
    <w:rsid w:val="00EC2297"/>
    <w:rsid w:val="00EC23AF"/>
    <w:rsid w:val="00EC2817"/>
    <w:rsid w:val="00EC282F"/>
    <w:rsid w:val="00EC29F3"/>
    <w:rsid w:val="00EC2E92"/>
    <w:rsid w:val="00EC3595"/>
    <w:rsid w:val="00EC4983"/>
    <w:rsid w:val="00EC5FE0"/>
    <w:rsid w:val="00EC6935"/>
    <w:rsid w:val="00EC6ECC"/>
    <w:rsid w:val="00EC748F"/>
    <w:rsid w:val="00EC7A76"/>
    <w:rsid w:val="00ED1887"/>
    <w:rsid w:val="00ED2DB8"/>
    <w:rsid w:val="00ED3CD3"/>
    <w:rsid w:val="00ED4273"/>
    <w:rsid w:val="00ED4C3E"/>
    <w:rsid w:val="00ED50F9"/>
    <w:rsid w:val="00ED6025"/>
    <w:rsid w:val="00ED6646"/>
    <w:rsid w:val="00ED7EB5"/>
    <w:rsid w:val="00EE0126"/>
    <w:rsid w:val="00EE0A00"/>
    <w:rsid w:val="00EE1A36"/>
    <w:rsid w:val="00EE1A95"/>
    <w:rsid w:val="00EE29C4"/>
    <w:rsid w:val="00EE470E"/>
    <w:rsid w:val="00EE47FE"/>
    <w:rsid w:val="00EE4D16"/>
    <w:rsid w:val="00EE50C6"/>
    <w:rsid w:val="00EE5CA8"/>
    <w:rsid w:val="00EE608F"/>
    <w:rsid w:val="00EE70EE"/>
    <w:rsid w:val="00EE7150"/>
    <w:rsid w:val="00EE766D"/>
    <w:rsid w:val="00EF1043"/>
    <w:rsid w:val="00EF1129"/>
    <w:rsid w:val="00EF22F3"/>
    <w:rsid w:val="00EF2A15"/>
    <w:rsid w:val="00EF31CD"/>
    <w:rsid w:val="00EF43C7"/>
    <w:rsid w:val="00EF4AFB"/>
    <w:rsid w:val="00EF5BFD"/>
    <w:rsid w:val="00EF602B"/>
    <w:rsid w:val="00EF6E8B"/>
    <w:rsid w:val="00EF7E86"/>
    <w:rsid w:val="00F00196"/>
    <w:rsid w:val="00F00470"/>
    <w:rsid w:val="00F00C06"/>
    <w:rsid w:val="00F00DCD"/>
    <w:rsid w:val="00F014B2"/>
    <w:rsid w:val="00F01751"/>
    <w:rsid w:val="00F01C6F"/>
    <w:rsid w:val="00F02966"/>
    <w:rsid w:val="00F038B1"/>
    <w:rsid w:val="00F04718"/>
    <w:rsid w:val="00F0509B"/>
    <w:rsid w:val="00F05C57"/>
    <w:rsid w:val="00F06A15"/>
    <w:rsid w:val="00F06EE2"/>
    <w:rsid w:val="00F074DC"/>
    <w:rsid w:val="00F100AD"/>
    <w:rsid w:val="00F101B8"/>
    <w:rsid w:val="00F119FC"/>
    <w:rsid w:val="00F12041"/>
    <w:rsid w:val="00F12831"/>
    <w:rsid w:val="00F131E8"/>
    <w:rsid w:val="00F13469"/>
    <w:rsid w:val="00F15273"/>
    <w:rsid w:val="00F15632"/>
    <w:rsid w:val="00F164FA"/>
    <w:rsid w:val="00F16C0D"/>
    <w:rsid w:val="00F17535"/>
    <w:rsid w:val="00F175E9"/>
    <w:rsid w:val="00F2090D"/>
    <w:rsid w:val="00F21EAB"/>
    <w:rsid w:val="00F22722"/>
    <w:rsid w:val="00F22736"/>
    <w:rsid w:val="00F22855"/>
    <w:rsid w:val="00F22A21"/>
    <w:rsid w:val="00F22CBF"/>
    <w:rsid w:val="00F2322A"/>
    <w:rsid w:val="00F2359E"/>
    <w:rsid w:val="00F248BE"/>
    <w:rsid w:val="00F24F8F"/>
    <w:rsid w:val="00F2569E"/>
    <w:rsid w:val="00F25DAE"/>
    <w:rsid w:val="00F25E85"/>
    <w:rsid w:val="00F26B68"/>
    <w:rsid w:val="00F30097"/>
    <w:rsid w:val="00F302EB"/>
    <w:rsid w:val="00F303B2"/>
    <w:rsid w:val="00F307E0"/>
    <w:rsid w:val="00F31637"/>
    <w:rsid w:val="00F31DD5"/>
    <w:rsid w:val="00F32792"/>
    <w:rsid w:val="00F34547"/>
    <w:rsid w:val="00F34D63"/>
    <w:rsid w:val="00F34E37"/>
    <w:rsid w:val="00F35ECD"/>
    <w:rsid w:val="00F37056"/>
    <w:rsid w:val="00F37764"/>
    <w:rsid w:val="00F37F09"/>
    <w:rsid w:val="00F4105C"/>
    <w:rsid w:val="00F41320"/>
    <w:rsid w:val="00F41607"/>
    <w:rsid w:val="00F425BB"/>
    <w:rsid w:val="00F42991"/>
    <w:rsid w:val="00F42B14"/>
    <w:rsid w:val="00F42FE5"/>
    <w:rsid w:val="00F4311D"/>
    <w:rsid w:val="00F43378"/>
    <w:rsid w:val="00F43B75"/>
    <w:rsid w:val="00F43F42"/>
    <w:rsid w:val="00F442CF"/>
    <w:rsid w:val="00F45B11"/>
    <w:rsid w:val="00F5000C"/>
    <w:rsid w:val="00F50060"/>
    <w:rsid w:val="00F50729"/>
    <w:rsid w:val="00F50BE1"/>
    <w:rsid w:val="00F520C9"/>
    <w:rsid w:val="00F54D28"/>
    <w:rsid w:val="00F55216"/>
    <w:rsid w:val="00F55916"/>
    <w:rsid w:val="00F56BA7"/>
    <w:rsid w:val="00F57C28"/>
    <w:rsid w:val="00F57C39"/>
    <w:rsid w:val="00F57F7A"/>
    <w:rsid w:val="00F60A26"/>
    <w:rsid w:val="00F6109B"/>
    <w:rsid w:val="00F61362"/>
    <w:rsid w:val="00F6169D"/>
    <w:rsid w:val="00F62D33"/>
    <w:rsid w:val="00F64819"/>
    <w:rsid w:val="00F64FE7"/>
    <w:rsid w:val="00F6570B"/>
    <w:rsid w:val="00F666F1"/>
    <w:rsid w:val="00F67360"/>
    <w:rsid w:val="00F67615"/>
    <w:rsid w:val="00F70204"/>
    <w:rsid w:val="00F714E5"/>
    <w:rsid w:val="00F735B5"/>
    <w:rsid w:val="00F74729"/>
    <w:rsid w:val="00F7494F"/>
    <w:rsid w:val="00F74DF3"/>
    <w:rsid w:val="00F75FC3"/>
    <w:rsid w:val="00F76276"/>
    <w:rsid w:val="00F76783"/>
    <w:rsid w:val="00F76C98"/>
    <w:rsid w:val="00F77270"/>
    <w:rsid w:val="00F8002F"/>
    <w:rsid w:val="00F801EC"/>
    <w:rsid w:val="00F804CD"/>
    <w:rsid w:val="00F80750"/>
    <w:rsid w:val="00F8186C"/>
    <w:rsid w:val="00F823E0"/>
    <w:rsid w:val="00F82668"/>
    <w:rsid w:val="00F83595"/>
    <w:rsid w:val="00F83DAF"/>
    <w:rsid w:val="00F85F59"/>
    <w:rsid w:val="00F861C7"/>
    <w:rsid w:val="00F86538"/>
    <w:rsid w:val="00F86717"/>
    <w:rsid w:val="00F86DD4"/>
    <w:rsid w:val="00F87179"/>
    <w:rsid w:val="00F87544"/>
    <w:rsid w:val="00F87D0C"/>
    <w:rsid w:val="00F900A9"/>
    <w:rsid w:val="00F904B5"/>
    <w:rsid w:val="00F905CE"/>
    <w:rsid w:val="00F91F6B"/>
    <w:rsid w:val="00F933E6"/>
    <w:rsid w:val="00F94278"/>
    <w:rsid w:val="00F951A2"/>
    <w:rsid w:val="00F958C2"/>
    <w:rsid w:val="00F95A97"/>
    <w:rsid w:val="00F9600E"/>
    <w:rsid w:val="00F96671"/>
    <w:rsid w:val="00F977C7"/>
    <w:rsid w:val="00F9782E"/>
    <w:rsid w:val="00F97C7A"/>
    <w:rsid w:val="00FA11D6"/>
    <w:rsid w:val="00FA159D"/>
    <w:rsid w:val="00FA1A8F"/>
    <w:rsid w:val="00FA1AA7"/>
    <w:rsid w:val="00FA2909"/>
    <w:rsid w:val="00FA37D1"/>
    <w:rsid w:val="00FA390E"/>
    <w:rsid w:val="00FA3CEC"/>
    <w:rsid w:val="00FA49E5"/>
    <w:rsid w:val="00FA5F96"/>
    <w:rsid w:val="00FA706B"/>
    <w:rsid w:val="00FA718B"/>
    <w:rsid w:val="00FA741B"/>
    <w:rsid w:val="00FA7DB4"/>
    <w:rsid w:val="00FB007E"/>
    <w:rsid w:val="00FB007F"/>
    <w:rsid w:val="00FB1647"/>
    <w:rsid w:val="00FB1C47"/>
    <w:rsid w:val="00FB2F9D"/>
    <w:rsid w:val="00FB3834"/>
    <w:rsid w:val="00FB4200"/>
    <w:rsid w:val="00FB4CF2"/>
    <w:rsid w:val="00FB59FE"/>
    <w:rsid w:val="00FB5F02"/>
    <w:rsid w:val="00FB6FEE"/>
    <w:rsid w:val="00FC1878"/>
    <w:rsid w:val="00FC398C"/>
    <w:rsid w:val="00FC3EF5"/>
    <w:rsid w:val="00FC4845"/>
    <w:rsid w:val="00FC4CE7"/>
    <w:rsid w:val="00FC500A"/>
    <w:rsid w:val="00FC6B03"/>
    <w:rsid w:val="00FC6EEA"/>
    <w:rsid w:val="00FC7634"/>
    <w:rsid w:val="00FD05C9"/>
    <w:rsid w:val="00FD06D5"/>
    <w:rsid w:val="00FD0814"/>
    <w:rsid w:val="00FD19CE"/>
    <w:rsid w:val="00FD1EC6"/>
    <w:rsid w:val="00FD28BA"/>
    <w:rsid w:val="00FD28FF"/>
    <w:rsid w:val="00FD33E3"/>
    <w:rsid w:val="00FD3B52"/>
    <w:rsid w:val="00FD516A"/>
    <w:rsid w:val="00FD51A6"/>
    <w:rsid w:val="00FD5834"/>
    <w:rsid w:val="00FD68A1"/>
    <w:rsid w:val="00FD71E5"/>
    <w:rsid w:val="00FD7B88"/>
    <w:rsid w:val="00FE04BF"/>
    <w:rsid w:val="00FE110C"/>
    <w:rsid w:val="00FE1BFE"/>
    <w:rsid w:val="00FE20E6"/>
    <w:rsid w:val="00FE2B3E"/>
    <w:rsid w:val="00FE3465"/>
    <w:rsid w:val="00FE4092"/>
    <w:rsid w:val="00FE419E"/>
    <w:rsid w:val="00FE4DB5"/>
    <w:rsid w:val="00FE50FC"/>
    <w:rsid w:val="00FE749B"/>
    <w:rsid w:val="00FF072C"/>
    <w:rsid w:val="00FF1FFC"/>
    <w:rsid w:val="00FF2484"/>
    <w:rsid w:val="00FF25A2"/>
    <w:rsid w:val="00FF40A1"/>
    <w:rsid w:val="00FF4201"/>
    <w:rsid w:val="00FF46F1"/>
    <w:rsid w:val="00FF5887"/>
    <w:rsid w:val="00FF71F0"/>
    <w:rsid w:val="00FF77AA"/>
    <w:rsid w:val="00FF7A7D"/>
    <w:rsid w:val="00FF7CC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96961"/>
    <o:shapelayout v:ext="edit">
      <o:idmap v:ext="edit" data="1"/>
    </o:shapelayout>
  </w:shapeDefaults>
  <w:decimalSymbol w:val="."/>
  <w:listSeparator w:val=","/>
  <w14:docId w14:val="504809E5"/>
  <w15:docId w15:val="{00D0BFAE-F0A0-46E6-ACB3-78DB98A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641EAA"/>
    <w:pPr>
      <w:numPr>
        <w:numId w:val="8"/>
      </w:numPr>
    </w:pPr>
  </w:style>
  <w:style w:type="paragraph" w:styleId="ListBullet2">
    <w:name w:val="List Bullet 2"/>
    <w:basedOn w:val="ListBullet"/>
    <w:uiPriority w:val="12"/>
    <w:qFormat/>
    <w:rsid w:val="00641EAA"/>
    <w:pPr>
      <w:numPr>
        <w:ilvl w:val="1"/>
      </w:numPr>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16"/>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BB2437"/>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16272E"/>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16272E"/>
    <w:rPr>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pPr>
  </w:style>
  <w:style w:type="paragraph" w:customStyle="1" w:styleId="Heading2Numbers">
    <w:name w:val="Heading 2 Numbers"/>
    <w:basedOn w:val="Heading2"/>
    <w:next w:val="Normal"/>
    <w:uiPriority w:val="9"/>
    <w:qFormat/>
    <w:rsid w:val="00AD393D"/>
    <w:pPr>
      <w:numPr>
        <w:ilvl w:val="1"/>
        <w:numId w:val="6"/>
      </w:numPr>
      <w:ind w:left="851"/>
    </w:pPr>
    <w:rPr>
      <w:bCs w:val="0"/>
    </w:rPr>
  </w:style>
  <w:style w:type="paragraph" w:customStyle="1" w:styleId="Heading3Numbers">
    <w:name w:val="Heading 3 Numbers"/>
    <w:basedOn w:val="Heading3"/>
    <w:next w:val="Normal"/>
    <w:uiPriority w:val="9"/>
    <w:qFormat/>
    <w:rsid w:val="009C4FC9"/>
    <w:pPr>
      <w:numPr>
        <w:ilvl w:val="2"/>
        <w:numId w:val="6"/>
      </w:numPr>
      <w:ind w:left="851"/>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paragraph" w:styleId="Revision">
    <w:name w:val="Revision"/>
    <w:hidden/>
    <w:uiPriority w:val="99"/>
    <w:semiHidden/>
    <w:rsid w:val="0097490A"/>
    <w:pPr>
      <w:spacing w:after="0"/>
    </w:pPr>
    <w:rPr>
      <w:rFonts w:ascii="DIN OT Light" w:hAnsi="DIN OT Light"/>
    </w:rPr>
  </w:style>
  <w:style w:type="table" w:customStyle="1" w:styleId="TableGrid10">
    <w:name w:val="Table Grid1"/>
    <w:basedOn w:val="TableNormal"/>
    <w:next w:val="TableGrid"/>
    <w:uiPriority w:val="59"/>
    <w:rsid w:val="00E11D92"/>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Normaltext">
    <w:name w:val="Normal text"/>
    <w:basedOn w:val="BodyText"/>
    <w:rsid w:val="00EF22F3"/>
    <w:pPr>
      <w:numPr>
        <w:numId w:val="32"/>
      </w:numPr>
      <w:jc w:val="both"/>
    </w:pPr>
    <w:rPr>
      <w:rFonts w:ascii="Times New Roman" w:eastAsia="Times New Roman" w:hAnsi="Times New Roman" w:cs="Times New Roman"/>
      <w:color w:val="auto"/>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85077687">
      <w:bodyDiv w:val="1"/>
      <w:marLeft w:val="0"/>
      <w:marRight w:val="0"/>
      <w:marTop w:val="0"/>
      <w:marBottom w:val="0"/>
      <w:divBdr>
        <w:top w:val="none" w:sz="0" w:space="0" w:color="auto"/>
        <w:left w:val="none" w:sz="0" w:space="0" w:color="auto"/>
        <w:bottom w:val="none" w:sz="0" w:space="0" w:color="auto"/>
        <w:right w:val="none" w:sz="0" w:space="0" w:color="auto"/>
      </w:divBdr>
    </w:div>
    <w:div w:id="198314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https://creativecommons.org/licenses/by/3.0/au/"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sites/default/files/letter_offshore_reinsurers_and_the_review_of_prudential_standard_lps_117_capital_adequacy_asset_concentration_risk_charge_v1.pdf" TargetMode="External"/><Relationship Id="rId1" Type="http://schemas.openxmlformats.org/officeDocument/2006/relationships/hyperlink" Target="https://www.apra.gov.au/sites/default/files/review-of-lps-117-15-dec-2017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11E8B0B27F469FB9ED2ECA5A0322C7"/>
        <w:category>
          <w:name w:val="General"/>
          <w:gallery w:val="placeholder"/>
        </w:category>
        <w:types>
          <w:type w:val="bbPlcHdr"/>
        </w:types>
        <w:behaviors>
          <w:behavior w:val="content"/>
        </w:behaviors>
        <w:guid w:val="{7D874A1E-53FF-4E51-ABA2-521BEA23CE47}"/>
      </w:docPartPr>
      <w:docPartBody>
        <w:p w:rsidR="00D62CC5" w:rsidRDefault="00D62CC5">
          <w:pPr>
            <w:pStyle w:val="6911E8B0B27F469FB9ED2ECA5A0322C7"/>
          </w:pPr>
          <w:r w:rsidRPr="00B6214D">
            <w:t>[Abstract]</w:t>
          </w:r>
        </w:p>
      </w:docPartBody>
    </w:docPart>
    <w:docPart>
      <w:docPartPr>
        <w:name w:val="7D26CEE9C42541529DE1DFF8FAF2C47B"/>
        <w:category>
          <w:name w:val="General"/>
          <w:gallery w:val="placeholder"/>
        </w:category>
        <w:types>
          <w:type w:val="bbPlcHdr"/>
        </w:types>
        <w:behaviors>
          <w:behavior w:val="content"/>
        </w:behaviors>
        <w:guid w:val="{35EEA80C-7904-446C-B507-14EAD683FB4F}"/>
      </w:docPartPr>
      <w:docPartBody>
        <w:p w:rsidR="00D62CC5" w:rsidRDefault="00D62CC5">
          <w:pPr>
            <w:pStyle w:val="7D26CEE9C42541529DE1DFF8FAF2C47B"/>
          </w:pPr>
          <w: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Cordia New">
    <w:panose1 w:val="020B0304020202020204"/>
    <w:charset w:val="DE"/>
    <w:family w:val="swiss"/>
    <w:pitch w:val="variable"/>
    <w:sig w:usb0="81000003" w:usb1="00000000" w:usb2="00000000" w:usb3="00000000" w:csb0="00010001" w:csb1="00000000"/>
  </w:font>
  <w:font w:name="DIN O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DIN Offc Medium">
    <w:altName w:val="Calibri"/>
    <w:charset w:val="00"/>
    <w:family w:val="swiss"/>
    <w:pitch w:val="variable"/>
    <w:sig w:usb0="800000EF"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CC5"/>
    <w:rsid w:val="00001186"/>
    <w:rsid w:val="00021566"/>
    <w:rsid w:val="00043E76"/>
    <w:rsid w:val="000B7929"/>
    <w:rsid w:val="000D5178"/>
    <w:rsid w:val="0013549E"/>
    <w:rsid w:val="001748F2"/>
    <w:rsid w:val="001A2C27"/>
    <w:rsid w:val="002210F2"/>
    <w:rsid w:val="00253969"/>
    <w:rsid w:val="00263C3D"/>
    <w:rsid w:val="00276877"/>
    <w:rsid w:val="00285519"/>
    <w:rsid w:val="002D3D0F"/>
    <w:rsid w:val="00301B9E"/>
    <w:rsid w:val="003D0FAF"/>
    <w:rsid w:val="00443143"/>
    <w:rsid w:val="00466DE2"/>
    <w:rsid w:val="00474C74"/>
    <w:rsid w:val="005311E0"/>
    <w:rsid w:val="0056440F"/>
    <w:rsid w:val="00577A0A"/>
    <w:rsid w:val="00663F8E"/>
    <w:rsid w:val="00697AE1"/>
    <w:rsid w:val="006A6F8E"/>
    <w:rsid w:val="006C2491"/>
    <w:rsid w:val="006C55E1"/>
    <w:rsid w:val="006D536E"/>
    <w:rsid w:val="007A77A3"/>
    <w:rsid w:val="007B36FB"/>
    <w:rsid w:val="007C45F9"/>
    <w:rsid w:val="007E4682"/>
    <w:rsid w:val="0082791F"/>
    <w:rsid w:val="00836B6E"/>
    <w:rsid w:val="00877A89"/>
    <w:rsid w:val="00890092"/>
    <w:rsid w:val="008A7786"/>
    <w:rsid w:val="0093701F"/>
    <w:rsid w:val="009830D1"/>
    <w:rsid w:val="009831C0"/>
    <w:rsid w:val="00A83243"/>
    <w:rsid w:val="00A904CA"/>
    <w:rsid w:val="00AA30C0"/>
    <w:rsid w:val="00AC4C6A"/>
    <w:rsid w:val="00AE37AB"/>
    <w:rsid w:val="00B13857"/>
    <w:rsid w:val="00B367FC"/>
    <w:rsid w:val="00B55E1D"/>
    <w:rsid w:val="00B666D1"/>
    <w:rsid w:val="00B76E27"/>
    <w:rsid w:val="00BA4BD0"/>
    <w:rsid w:val="00BA5EB0"/>
    <w:rsid w:val="00BE2335"/>
    <w:rsid w:val="00BE6032"/>
    <w:rsid w:val="00BF3554"/>
    <w:rsid w:val="00D02CF8"/>
    <w:rsid w:val="00D1596D"/>
    <w:rsid w:val="00D3212D"/>
    <w:rsid w:val="00D503D2"/>
    <w:rsid w:val="00D537FA"/>
    <w:rsid w:val="00D62CC5"/>
    <w:rsid w:val="00DB27D3"/>
    <w:rsid w:val="00DD1FD7"/>
    <w:rsid w:val="00EB3AB6"/>
    <w:rsid w:val="00F0562A"/>
    <w:rsid w:val="00F15208"/>
    <w:rsid w:val="00F553D6"/>
    <w:rsid w:val="00FC1C02"/>
    <w:rsid w:val="00FD6EE9"/>
    <w:rsid w:val="00FF3C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11E8B0B27F469FB9ED2ECA5A0322C7">
    <w:name w:val="6911E8B0B27F469FB9ED2ECA5A0322C7"/>
  </w:style>
  <w:style w:type="paragraph" w:customStyle="1" w:styleId="7D26CEE9C42541529DE1DFF8FAF2C47B">
    <w:name w:val="7D26CEE9C42541529DE1DFF8FAF2C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Response Paper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DOCID-322795542-10725</_dlc_DocId>
    <_dlc_DocIdUrl xmlns="4195ad5f-cdf2-4c4a-8d9b-b7944a108e98">
      <Url>https://pmc01.sharepoint.com/sites/CRMOBPR/_layouts/15/DocIdRedir.aspx?ID=DOCID-322795542-10725</Url>
      <Description>DOCID-322795542-10725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aef97a4-ded2-4e4a-9fbc-e666dae3ecd2" ContentTypeId="0x0101008CA7A4F8331B45C7B0D3158B4994D0CA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83D1B0-DF34-4010-835D-D3895FE6191C}">
  <ds:schemaRefs>
    <ds:schemaRef ds:uri="http://schemas.microsoft.com/office/2006/documentManagement/type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814d62cb-2db6-4c25-ab62-b9075facbc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4A3E4E0-6C6C-4BCD-A461-6AEBA4439B56}"/>
</file>

<file path=customXml/itemProps4.xml><?xml version="1.0" encoding="utf-8"?>
<ds:datastoreItem xmlns:ds="http://schemas.openxmlformats.org/officeDocument/2006/customXml" ds:itemID="{5786DFD8-D1F6-445D-B108-7AB542C35D97}">
  <ds:schemaRefs>
    <ds:schemaRef ds:uri="http://schemas.microsoft.com/sharepoint/v3/contenttype/forms"/>
  </ds:schemaRefs>
</ds:datastoreItem>
</file>

<file path=customXml/itemProps5.xml><?xml version="1.0" encoding="utf-8"?>
<ds:datastoreItem xmlns:ds="http://schemas.openxmlformats.org/officeDocument/2006/customXml" ds:itemID="{F6F7DF98-D69A-4EFB-B323-06BBE2A692CD}">
  <ds:schemaRefs>
    <ds:schemaRef ds:uri="Microsoft.SharePoint.Taxonomy.ContentTypeSync"/>
  </ds:schemaRefs>
</ds:datastoreItem>
</file>

<file path=customXml/itemProps6.xml><?xml version="1.0" encoding="utf-8"?>
<ds:datastoreItem xmlns:ds="http://schemas.openxmlformats.org/officeDocument/2006/customXml" ds:itemID="{A1ADBA08-49E7-40AC-8AF2-F12DFD9FFBA6}"/>
</file>

<file path=customXml/itemProps7.xml><?xml version="1.0" encoding="utf-8"?>
<ds:datastoreItem xmlns:ds="http://schemas.openxmlformats.org/officeDocument/2006/customXml" ds:itemID="{5E29EA68-2C1A-4141-BEF6-08622030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7889</Words>
  <Characters>44258</Characters>
  <Application>Microsoft Office Word</Application>
  <DocSecurity>0</DocSecurity>
  <Lines>790</Lines>
  <Paragraphs>330</Paragraphs>
  <ScaleCrop>false</ScaleCrop>
  <HeadingPairs>
    <vt:vector size="2" baseType="variant">
      <vt:variant>
        <vt:lpstr>Title</vt:lpstr>
      </vt:variant>
      <vt:variant>
        <vt:i4>1</vt:i4>
      </vt:variant>
    </vt:vector>
  </HeadingPairs>
  <TitlesOfParts>
    <vt:vector size="1" baseType="lpstr">
      <vt:lpstr>Response paper - Revisions to LPS 117</vt:lpstr>
    </vt:vector>
  </TitlesOfParts>
  <Company/>
  <LinksUpToDate>false</LinksUpToDate>
  <CharactersWithSpaces>51817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paper - Revisions to LPS 117</dc:title>
  <dc:creator>Kara Hooper</dc:creator>
  <cp:keywords>[SEC=OFFICIAL]</cp:keywords>
  <cp:lastModifiedBy>Emma Nicholson</cp:lastModifiedBy>
  <cp:revision>2</cp:revision>
  <cp:lastPrinted>2021-04-06T00:44:00Z</cp:lastPrinted>
  <dcterms:created xsi:type="dcterms:W3CDTF">2022-02-23T00:33:00Z</dcterms:created>
  <dcterms:modified xsi:type="dcterms:W3CDTF">2022-02-23T00:33:00Z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Global">
    <vt:bool>true</vt:bool>
  </property>
  <property fmtid="{D5CDD505-2E9C-101B-9397-08002B2CF9AE}" pid="3" name="KeepMarginsTheSame">
    <vt:bool>true</vt:bool>
  </property>
  <property fmtid="{D5CDD505-2E9C-101B-9397-08002B2CF9AE}" pid="4" name="ContentTypeId">
    <vt:lpwstr>0x0101009CA239676470E04B809DDC4E24CF2322</vt:lpwstr>
  </property>
  <property fmtid="{D5CDD505-2E9C-101B-9397-08002B2CF9AE}" pid="5" name="_dlc_DocIdItemGuid">
    <vt:lpwstr>413a90f5-dbdc-47f9-adb5-fbe481dc1f6d</vt:lpwstr>
  </property>
  <property fmtid="{D5CDD505-2E9C-101B-9397-08002B2CF9AE}" pid="6" name="APRAExternalOrganisation">
    <vt:lpwstr/>
  </property>
  <property fmtid="{D5CDD505-2E9C-101B-9397-08002B2CF9AE}" pid="7" name="APRAIRTR">
    <vt:lpwstr/>
  </property>
  <property fmtid="{D5CDD505-2E9C-101B-9397-08002B2CF9AE}" pid="8" name="APRAPeriod">
    <vt:lpwstr/>
  </property>
  <property fmtid="{D5CDD505-2E9C-101B-9397-08002B2CF9AE}" pid="9" name="APRACostCentre">
    <vt:lpwstr/>
  </property>
  <property fmtid="{D5CDD505-2E9C-101B-9397-08002B2CF9AE}" pid="10" name="IT system type0">
    <vt:lpwstr/>
  </property>
  <property fmtid="{D5CDD505-2E9C-101B-9397-08002B2CF9AE}" pid="11" name="APRACategory">
    <vt:lpwstr/>
  </property>
  <property fmtid="{D5CDD505-2E9C-101B-9397-08002B2CF9AE}" pid="12" name="APRAStatus">
    <vt:lpwstr>1;#Draft|0e1556d2-3fe8-443a-ada7-3620563b46b3</vt:lpwstr>
  </property>
  <property fmtid="{D5CDD505-2E9C-101B-9397-08002B2CF9AE}" pid="13" name="APRAPRSG">
    <vt:lpwstr>228;#LPS 117 Capital Adequacy: Asset Concentration Risk Charge|77a11ff1-c0fc-43bc-a349-b672fef8bd4b</vt:lpwstr>
  </property>
  <property fmtid="{D5CDD505-2E9C-101B-9397-08002B2CF9AE}" pid="14" name="APRADocumentType">
    <vt:lpwstr>13;#Response paper|62e4ec30-0990-4543-8d24-b298dde09b4c</vt:lpwstr>
  </property>
  <property fmtid="{D5CDD505-2E9C-101B-9397-08002B2CF9AE}" pid="15" name="APRAActivity">
    <vt:lpwstr>8;#Prudential policy development|4cf81ba0-32a2-4f8f-8216-9e632903331b</vt:lpwstr>
  </property>
  <property fmtid="{D5CDD505-2E9C-101B-9397-08002B2CF9AE}" pid="16" name="APRAEntityAdviceSupport">
    <vt:lpwstr/>
  </property>
  <property fmtid="{D5CDD505-2E9C-101B-9397-08002B2CF9AE}" pid="17" name="APRATemplateType">
    <vt:lpwstr>29;#Common|703e3ac8-187f-4be8-b76b-c31851088b56</vt:lpwstr>
  </property>
  <property fmtid="{D5CDD505-2E9C-101B-9397-08002B2CF9AE}" pid="18" name="APRALegislation">
    <vt:lpwstr/>
  </property>
  <property fmtid="{D5CDD505-2E9C-101B-9397-08002B2CF9AE}" pid="19" name="APRAYear">
    <vt:lpwstr>381;#2021|0e1e43df-81ea-47af-89d8-970d5d5956ff</vt:lpwstr>
  </property>
  <property fmtid="{D5CDD505-2E9C-101B-9397-08002B2CF9AE}" pid="20" name="APRAIndustry">
    <vt:lpwstr/>
  </property>
  <property fmtid="{D5CDD505-2E9C-101B-9397-08002B2CF9AE}" pid="21" name="PM_Caveats_Count">
    <vt:lpwstr>0</vt:lpwstr>
  </property>
  <property fmtid="{D5CDD505-2E9C-101B-9397-08002B2CF9AE}" pid="22" name="PM_Qualifier">
    <vt:lpwstr/>
  </property>
  <property fmtid="{D5CDD505-2E9C-101B-9397-08002B2CF9AE}" pid="23" name="PM_Namespace">
    <vt:lpwstr>gov.au</vt:lpwstr>
  </property>
  <property fmtid="{D5CDD505-2E9C-101B-9397-08002B2CF9AE}" pid="24" name="PM_Originating_FileId">
    <vt:lpwstr>F9B981E8734C44168D1D031DD5D08A61</vt:lpwstr>
  </property>
  <property fmtid="{D5CDD505-2E9C-101B-9397-08002B2CF9AE}" pid="25" name="PM_Hash_Version">
    <vt:lpwstr>2018.0</vt:lpwstr>
  </property>
  <property fmtid="{D5CDD505-2E9C-101B-9397-08002B2CF9AE}" pid="26" name="PM_Qualifier_Prev">
    <vt:lpwstr/>
  </property>
  <property fmtid="{D5CDD505-2E9C-101B-9397-08002B2CF9AE}" pid="27" name="IsLocked">
    <vt:lpwstr>Yes</vt:lpwstr>
  </property>
  <property fmtid="{D5CDD505-2E9C-101B-9397-08002B2CF9AE}" pid="28" name="RecordPoint_WorkflowType">
    <vt:lpwstr>ActiveSubmitStub</vt:lpwstr>
  </property>
  <property fmtid="{D5CDD505-2E9C-101B-9397-08002B2CF9AE}" pid="29" name="IT system type">
    <vt:lpwstr/>
  </property>
  <property fmtid="{D5CDD505-2E9C-101B-9397-08002B2CF9AE}" pid="30" name="RecordPoint_ActiveItemUniqueId">
    <vt:lpwstr>{c0452b07-4481-456e-99fe-72ffa3ceb4a8}</vt:lpwstr>
  </property>
  <property fmtid="{D5CDD505-2E9C-101B-9397-08002B2CF9AE}" pid="31" name="RecordPoint_ActiveItemSiteId">
    <vt:lpwstr>{0108aca2-193a-480a-9365-26eca985c6f0}</vt:lpwstr>
  </property>
  <property fmtid="{D5CDD505-2E9C-101B-9397-08002B2CF9AE}" pid="32" name="RecordPoint_ActiveItemListId">
    <vt:lpwstr>{8524f2be-f3e8-4e4e-b114-b0bf6497a529}</vt:lpwstr>
  </property>
  <property fmtid="{D5CDD505-2E9C-101B-9397-08002B2CF9AE}" pid="33" name="RecordPoint_ActiveItemWebId">
    <vt:lpwstr>{b7c132af-ef8f-43c8-b784-c343c8358833}</vt:lpwstr>
  </property>
  <property fmtid="{D5CDD505-2E9C-101B-9397-08002B2CF9AE}" pid="34" name="RecordPoint_SubmissionDate">
    <vt:lpwstr/>
  </property>
  <property fmtid="{D5CDD505-2E9C-101B-9397-08002B2CF9AE}" pid="35" name="RecordPoint_RecordNumberSubmitted">
    <vt:lpwstr>R0001316528</vt:lpwstr>
  </property>
  <property fmtid="{D5CDD505-2E9C-101B-9397-08002B2CF9AE}" pid="36" name="RecordPoint_ActiveItemMoved">
    <vt:lpwstr/>
  </property>
  <property fmtid="{D5CDD505-2E9C-101B-9397-08002B2CF9AE}" pid="37" name="RecordPoint_RecordFormat">
    <vt:lpwstr/>
  </property>
  <property fmtid="{D5CDD505-2E9C-101B-9397-08002B2CF9AE}" pid="38" name="PM_Note">
    <vt:lpwstr/>
  </property>
  <property fmtid="{D5CDD505-2E9C-101B-9397-08002B2CF9AE}" pid="39" name="PM_Markers">
    <vt:lpwstr/>
  </property>
  <property fmtid="{D5CDD505-2E9C-101B-9397-08002B2CF9AE}" pid="40" name="PM_ProtectiveMarkingValue_Footer">
    <vt:lpwstr>OFFICIAL</vt:lpwstr>
  </property>
  <property fmtid="{D5CDD505-2E9C-101B-9397-08002B2CF9AE}" pid="41" name="PM_SecurityClassification">
    <vt:lpwstr>OFFICIAL</vt:lpwstr>
  </property>
  <property fmtid="{D5CDD505-2E9C-101B-9397-08002B2CF9AE}" pid="42" name="PM_DisplayValueSecClassificationWithQualifier">
    <vt:lpwstr>OFFICIAL</vt:lpwstr>
  </property>
  <property fmtid="{D5CDD505-2E9C-101B-9397-08002B2CF9AE}" pid="43" name="PM_InsertionValue">
    <vt:lpwstr>OFFICIAL</vt:lpwstr>
  </property>
  <property fmtid="{D5CDD505-2E9C-101B-9397-08002B2CF9AE}" pid="44" name="PM_ProtectiveMarkingValue_Header">
    <vt:lpwstr>OFFICIAL</vt:lpwstr>
  </property>
  <property fmtid="{D5CDD505-2E9C-101B-9397-08002B2CF9AE}" pid="45" name="PM_Version">
    <vt:lpwstr>2018.3</vt:lpwstr>
  </property>
  <property fmtid="{D5CDD505-2E9C-101B-9397-08002B2CF9AE}" pid="46" name="PM_SecurityClassification_Prev">
    <vt:lpwstr>OFFICIAL</vt:lpwstr>
  </property>
  <property fmtid="{D5CDD505-2E9C-101B-9397-08002B2CF9AE}" pid="47" name="PM_Hash_SHA1">
    <vt:lpwstr>D0D610BE3AB5B7016EB01A136434584BD357AD70</vt:lpwstr>
  </property>
  <property fmtid="{D5CDD505-2E9C-101B-9397-08002B2CF9AE}" pid="48" name="PM_OriginationTimeStamp">
    <vt:lpwstr>2022-02-23T00:33:25Z</vt:lpwstr>
  </property>
  <property fmtid="{D5CDD505-2E9C-101B-9397-08002B2CF9AE}" pid="49" name="PM_Hash_Salt_Prev">
    <vt:lpwstr>C8FE360F4034686F8EB4639966739630</vt:lpwstr>
  </property>
  <property fmtid="{D5CDD505-2E9C-101B-9397-08002B2CF9AE}" pid="50" name="PM_Hash_Salt">
    <vt:lpwstr>84DBB88C879359AE45569BA255A1FA13</vt:lpwstr>
  </property>
  <property fmtid="{D5CDD505-2E9C-101B-9397-08002B2CF9AE}" pid="51" name="_docset_NoMedatataSyncRequired">
    <vt:lpwstr>False</vt:lpwstr>
  </property>
  <property fmtid="{D5CDD505-2E9C-101B-9397-08002B2CF9AE}" pid="52" name="PM_ProtectiveMarkingImage_Header">
    <vt:lpwstr>C:\Program Files\Common Files\janusNET Shared\janusSEAL\Images\DocumentSlashBlue.png</vt:lpwstr>
  </property>
  <property fmtid="{D5CDD505-2E9C-101B-9397-08002B2CF9AE}" pid="53" name="PM_ProtectiveMarkingImage_Footer">
    <vt:lpwstr>C:\Program Files\Common Files\janusNET Shared\janusSEAL\Images\DocumentSlashBlue.png</vt:lpwstr>
  </property>
  <property fmtid="{D5CDD505-2E9C-101B-9397-08002B2CF9AE}" pid="54" name="PM_Originator_Hash_SHA1">
    <vt:lpwstr>FD601EB9279B81D19174D871B12407322185A007</vt:lpwstr>
  </property>
  <property fmtid="{D5CDD505-2E9C-101B-9397-08002B2CF9AE}" pid="55" name="RecordPoint_SubmissionCompleted">
    <vt:lpwstr>2021-04-06T13:20:30.8220363+10:00</vt:lpwstr>
  </property>
  <property fmtid="{D5CDD505-2E9C-101B-9397-08002B2CF9AE}" pid="56" name="PM_Display">
    <vt:lpwstr>OFFICIAL</vt:lpwstr>
  </property>
  <property fmtid="{D5CDD505-2E9C-101B-9397-08002B2CF9AE}" pid="57" name="PMUuid">
    <vt:lpwstr>2A74E7A6-2821-5142-8C4A-BF7684DF216B</vt:lpwstr>
  </property>
  <property fmtid="{D5CDD505-2E9C-101B-9397-08002B2CF9AE}" pid="58" name="PMUuidVer">
    <vt:lpwstr>2022.1</vt:lpwstr>
  </property>
  <property fmtid="{D5CDD505-2E9C-101B-9397-08002B2CF9AE}" pid="59" name="PM_OriginatorUserAccountName_SHA256">
    <vt:lpwstr>52CA578D49D47181320D733DE315BF8BF71643387A629D3D6BA2BF9260CD3A97</vt:lpwstr>
  </property>
  <property fmtid="{D5CDD505-2E9C-101B-9397-08002B2CF9AE}" pid="60" name="PM_OriginatorDomainName_SHA256">
    <vt:lpwstr>ECBDE2B44A971754412B3FB70606937A119CC0D4B6C1B658A40FBD41C30BE3EC</vt:lpwstr>
  </property>
  <property fmtid="{D5CDD505-2E9C-101B-9397-08002B2CF9AE}" pid="61" name="PM_MinimumSecurityClassification">
    <vt:lpwstr/>
  </property>
</Properties>
</file>