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2D1E" w14:textId="069EC3D4" w:rsidR="00F012EA" w:rsidRPr="00B12319" w:rsidRDefault="00F012EA" w:rsidP="00F012EA">
      <w:pPr>
        <w:pStyle w:val="Title"/>
        <w:rPr>
          <w:rFonts w:ascii="Open Sans" w:hAnsi="Open Sans" w:cs="Open Sans"/>
        </w:rPr>
      </w:pPr>
    </w:p>
    <w:p w14:paraId="3E8F9A2F" w14:textId="77777777" w:rsidR="00B350F7" w:rsidRDefault="00B350F7" w:rsidP="00B350F7">
      <w:pPr>
        <w:spacing w:after="300" w:line="240" w:lineRule="auto"/>
        <w:contextualSpacing/>
        <w:rPr>
          <w:rFonts w:ascii="Calibri" w:eastAsiaTheme="majorEastAsia" w:hAnsi="Calibri" w:cstheme="majorBidi"/>
          <w:b/>
          <w:color w:val="002C47" w:themeColor="accent1"/>
          <w:spacing w:val="5"/>
          <w:kern w:val="28"/>
          <w:sz w:val="72"/>
          <w:szCs w:val="52"/>
          <w:lang w:eastAsia="en-AU"/>
        </w:rPr>
      </w:pPr>
    </w:p>
    <w:p w14:paraId="6F34FADC" w14:textId="77777777" w:rsidR="00B350F7" w:rsidRDefault="00B350F7" w:rsidP="00B350F7">
      <w:pPr>
        <w:spacing w:after="300" w:line="240" w:lineRule="auto"/>
        <w:contextualSpacing/>
        <w:rPr>
          <w:rFonts w:ascii="Calibri" w:eastAsiaTheme="majorEastAsia" w:hAnsi="Calibri" w:cstheme="majorBidi"/>
          <w:b/>
          <w:color w:val="002C47" w:themeColor="accent1"/>
          <w:spacing w:val="5"/>
          <w:kern w:val="28"/>
          <w:sz w:val="72"/>
          <w:szCs w:val="52"/>
          <w:lang w:eastAsia="en-AU"/>
        </w:rPr>
      </w:pPr>
    </w:p>
    <w:p w14:paraId="0E683B61" w14:textId="7C4CFB51" w:rsidR="00B350F7" w:rsidRPr="00336342" w:rsidRDefault="008427D0" w:rsidP="00B350F7">
      <w:pPr>
        <w:spacing w:after="300" w:line="240" w:lineRule="auto"/>
        <w:contextualSpacing/>
        <w:rPr>
          <w:rFonts w:ascii="Open Sans" w:eastAsiaTheme="majorEastAsia" w:hAnsi="Open Sans" w:cs="Open Sans"/>
          <w:b/>
          <w:color w:val="002C47" w:themeColor="accent1"/>
          <w:spacing w:val="5"/>
          <w:kern w:val="28"/>
          <w:sz w:val="56"/>
          <w:szCs w:val="56"/>
          <w:lang w:eastAsia="en-AU"/>
        </w:rPr>
      </w:pPr>
      <w:r w:rsidRPr="00336342">
        <w:rPr>
          <w:rFonts w:ascii="Open Sans" w:eastAsiaTheme="majorEastAsia" w:hAnsi="Open Sans" w:cs="Open Sans"/>
          <w:b/>
          <w:color w:val="002C47" w:themeColor="accent1"/>
          <w:spacing w:val="5"/>
          <w:kern w:val="28"/>
          <w:sz w:val="56"/>
          <w:szCs w:val="56"/>
          <w:lang w:eastAsia="en-AU"/>
        </w:rPr>
        <w:t>Regulation Impact Statement</w:t>
      </w:r>
    </w:p>
    <w:p w14:paraId="020D880B" w14:textId="2F20EEDE" w:rsidR="00E107D6" w:rsidRPr="00B350F7" w:rsidRDefault="00E107D6" w:rsidP="00E107D6">
      <w:pPr>
        <w:numPr>
          <w:ilvl w:val="1"/>
          <w:numId w:val="0"/>
        </w:numPr>
        <w:spacing w:before="120" w:after="120" w:line="240" w:lineRule="auto"/>
        <w:rPr>
          <w:rFonts w:ascii="Open Sans" w:eastAsiaTheme="majorEastAsia" w:hAnsi="Open Sans" w:cs="Open Sans"/>
          <w:iCs/>
          <w:color w:val="002C4A"/>
          <w:sz w:val="44"/>
          <w:szCs w:val="44"/>
          <w:lang w:eastAsia="en-AU"/>
        </w:rPr>
      </w:pPr>
      <w:r w:rsidRPr="00F772C2">
        <w:rPr>
          <w:rFonts w:ascii="Open Sans" w:eastAsiaTheme="majorEastAsia" w:hAnsi="Open Sans" w:cs="Open Sans"/>
          <w:iCs/>
          <w:color w:val="002C4A"/>
          <w:sz w:val="44"/>
          <w:szCs w:val="44"/>
          <w:lang w:eastAsia="en-AU"/>
        </w:rPr>
        <w:t xml:space="preserve">Patent Box Concessional Tax </w:t>
      </w:r>
      <w:r w:rsidR="009C1C9D">
        <w:rPr>
          <w:rFonts w:ascii="Open Sans" w:eastAsiaTheme="majorEastAsia" w:hAnsi="Open Sans" w:cs="Open Sans"/>
          <w:iCs/>
          <w:color w:val="002C4A"/>
          <w:sz w:val="44"/>
          <w:szCs w:val="44"/>
          <w:lang w:eastAsia="en-AU"/>
        </w:rPr>
        <w:t>Regime</w:t>
      </w:r>
    </w:p>
    <w:p w14:paraId="0617E1EB" w14:textId="4851B57F" w:rsidR="00E107D6" w:rsidRDefault="00895F15" w:rsidP="00E107D6">
      <w:pPr>
        <w:keepNext/>
        <w:spacing w:after="360" w:line="240" w:lineRule="auto"/>
        <w:rPr>
          <w:rFonts w:ascii="Open Sans" w:eastAsia="Times New Roman" w:hAnsi="Open Sans" w:cs="Open Sans"/>
          <w:color w:val="00818F" w:themeColor="accent5"/>
          <w:sz w:val="44"/>
          <w:szCs w:val="20"/>
          <w:lang w:eastAsia="en-AU"/>
        </w:rPr>
      </w:pPr>
      <w:bookmarkStart w:id="0" w:name="_Toc81382240"/>
      <w:bookmarkStart w:id="1" w:name="_Toc81413077"/>
      <w:r>
        <w:rPr>
          <w:rFonts w:ascii="Open Sans" w:eastAsia="Times New Roman" w:hAnsi="Open Sans" w:cs="Open Sans"/>
          <w:color w:val="00818F" w:themeColor="accent5"/>
          <w:sz w:val="44"/>
          <w:szCs w:val="20"/>
          <w:lang w:eastAsia="en-AU"/>
        </w:rPr>
        <w:t>February 2022</w:t>
      </w:r>
    </w:p>
    <w:p w14:paraId="606682F0" w14:textId="353919FA" w:rsidR="00F22064" w:rsidRDefault="00F22064" w:rsidP="0024247E">
      <w:pPr>
        <w:pStyle w:val="TextOpensans"/>
        <w:rPr>
          <w:lang w:eastAsia="en-AU"/>
        </w:rPr>
      </w:pPr>
      <w:r>
        <w:rPr>
          <w:lang w:eastAsia="en-AU"/>
        </w:rPr>
        <w:t>The Treasury</w:t>
      </w:r>
      <w:bookmarkEnd w:id="0"/>
      <w:bookmarkEnd w:id="1"/>
      <w:r>
        <w:rPr>
          <w:lang w:eastAsia="en-AU"/>
        </w:rPr>
        <w:t xml:space="preserve"> </w:t>
      </w:r>
    </w:p>
    <w:p w14:paraId="6AA6522D" w14:textId="50E6EB05" w:rsidR="00A27368" w:rsidRPr="00B350F7" w:rsidRDefault="00A27368" w:rsidP="0024247E">
      <w:pPr>
        <w:pStyle w:val="TextOpensans"/>
        <w:rPr>
          <w:sz w:val="24"/>
          <w:lang w:eastAsia="en-AU"/>
        </w:rPr>
      </w:pPr>
      <w:bookmarkStart w:id="2" w:name="_Toc81382241"/>
      <w:bookmarkStart w:id="3" w:name="_Toc81413078"/>
      <w:r>
        <w:rPr>
          <w:lang w:eastAsia="en-AU"/>
        </w:rPr>
        <w:t xml:space="preserve">Office of Best Practice Regulation Reference: </w:t>
      </w:r>
      <w:bookmarkEnd w:id="2"/>
      <w:bookmarkEnd w:id="3"/>
      <w:r w:rsidR="00775E2C">
        <w:rPr>
          <w:lang w:eastAsia="en-AU"/>
        </w:rPr>
        <w:t>OBPR21-0</w:t>
      </w:r>
      <w:r w:rsidR="00153CD4">
        <w:rPr>
          <w:lang w:eastAsia="en-AU"/>
        </w:rPr>
        <w:t>1</w:t>
      </w:r>
      <w:r w:rsidR="00775E2C">
        <w:rPr>
          <w:lang w:eastAsia="en-AU"/>
        </w:rPr>
        <w:t>137</w:t>
      </w:r>
    </w:p>
    <w:p w14:paraId="03C8F5B4" w14:textId="77777777" w:rsidR="00E829F9" w:rsidRDefault="00E829F9" w:rsidP="00E829F9">
      <w:pPr>
        <w:pStyle w:val="SeriesNumber"/>
        <w:spacing w:before="120" w:after="120"/>
        <w:rPr>
          <w:rFonts w:ascii="Open Sans" w:hAnsi="Open Sans" w:cs="Open Sans"/>
          <w:sz w:val="24"/>
          <w:szCs w:val="24"/>
        </w:rPr>
      </w:pPr>
    </w:p>
    <w:p w14:paraId="4E2B25ED" w14:textId="77777777" w:rsidR="000E5241" w:rsidRDefault="000E5241" w:rsidP="00E829F9">
      <w:pPr>
        <w:pStyle w:val="SeriesNumber"/>
        <w:spacing w:before="120" w:after="120"/>
        <w:rPr>
          <w:rFonts w:ascii="Open Sans" w:hAnsi="Open Sans" w:cs="Open Sans"/>
          <w:sz w:val="24"/>
          <w:szCs w:val="24"/>
        </w:rPr>
      </w:pPr>
    </w:p>
    <w:p w14:paraId="689064D3" w14:textId="56DB7E7F" w:rsidR="000464B6" w:rsidRPr="00B12319" w:rsidRDefault="000464B6" w:rsidP="00F012EA">
      <w:pPr>
        <w:pStyle w:val="AuthorName"/>
        <w:rPr>
          <w:rFonts w:ascii="Open Sans" w:hAnsi="Open Sans" w:cs="Open Sans"/>
          <w:szCs w:val="24"/>
        </w:rPr>
      </w:pPr>
    </w:p>
    <w:p w14:paraId="0678D9FB" w14:textId="77777777" w:rsidR="006C066C" w:rsidRPr="00B12319" w:rsidRDefault="006C066C" w:rsidP="00F012EA">
      <w:pPr>
        <w:pStyle w:val="AuthorName"/>
        <w:rPr>
          <w:rFonts w:ascii="Open Sans" w:hAnsi="Open Sans" w:cs="Open Sans"/>
          <w:szCs w:val="24"/>
        </w:rPr>
        <w:sectPr w:rsidR="006C066C" w:rsidRPr="00B12319" w:rsidSect="008C0793">
          <w:footerReference w:type="even" r:id="rId7"/>
          <w:footerReference w:type="default" r:id="rId8"/>
          <w:headerReference w:type="first" r:id="rId9"/>
          <w:pgSz w:w="11906" w:h="16838" w:code="9"/>
          <w:pgMar w:top="1418" w:right="1304" w:bottom="1418" w:left="1304" w:header="567" w:footer="567" w:gutter="0"/>
          <w:cols w:space="708"/>
          <w:titlePg/>
          <w:docGrid w:linePitch="360"/>
        </w:sectPr>
      </w:pPr>
    </w:p>
    <w:p w14:paraId="654F382A" w14:textId="06659F41" w:rsidR="000464B6" w:rsidRPr="00D976EF" w:rsidRDefault="000464B6" w:rsidP="000464B6">
      <w:pPr>
        <w:rPr>
          <w:rFonts w:ascii="Open Sans" w:hAnsi="Open Sans" w:cs="Open Sans"/>
          <w:color w:val="FF0000"/>
        </w:rPr>
      </w:pPr>
      <w:r w:rsidRPr="00B12319">
        <w:rPr>
          <w:rFonts w:ascii="Open Sans" w:hAnsi="Open Sans" w:cs="Open Sans"/>
        </w:rPr>
        <w:lastRenderedPageBreak/>
        <w:t xml:space="preserve">© Commonwealth of </w:t>
      </w:r>
      <w:r w:rsidRPr="00195D80">
        <w:rPr>
          <w:rFonts w:ascii="Open Sans" w:hAnsi="Open Sans" w:cs="Open Sans"/>
        </w:rPr>
        <w:t>Australia 20</w:t>
      </w:r>
      <w:r w:rsidR="00B12319" w:rsidRPr="00195D80">
        <w:rPr>
          <w:rFonts w:ascii="Open Sans" w:hAnsi="Open Sans" w:cs="Open Sans"/>
        </w:rPr>
        <w:t>2</w:t>
      </w:r>
      <w:r w:rsidR="00660BEC">
        <w:rPr>
          <w:rFonts w:ascii="Open Sans" w:hAnsi="Open Sans" w:cs="Open Sans"/>
        </w:rPr>
        <w:t>2</w:t>
      </w:r>
      <w:r w:rsidR="00D976EF">
        <w:rPr>
          <w:rFonts w:ascii="Open Sans" w:hAnsi="Open Sans" w:cs="Open Sans"/>
        </w:rPr>
        <w:t xml:space="preserve"> </w:t>
      </w:r>
    </w:p>
    <w:p w14:paraId="2B2A9620" w14:textId="77777777" w:rsidR="000464B6" w:rsidRPr="00B12319" w:rsidRDefault="000464B6" w:rsidP="000464B6">
      <w:pPr>
        <w:tabs>
          <w:tab w:val="left" w:pos="1650"/>
        </w:tabs>
        <w:rPr>
          <w:rStyle w:val="A5"/>
          <w:rFonts w:ascii="Open Sans" w:hAnsi="Open Sans" w:cs="Open Sans"/>
          <w:sz w:val="24"/>
          <w:szCs w:val="24"/>
        </w:rPr>
      </w:pPr>
      <w:r w:rsidRPr="00B12319">
        <w:rPr>
          <w:rFonts w:ascii="Open Sans" w:hAnsi="Open Sans" w:cs="Open Sans"/>
        </w:rPr>
        <w:t>This publication is available for your use under a</w:t>
      </w:r>
      <w:r w:rsidRPr="00B12319">
        <w:rPr>
          <w:rStyle w:val="A5"/>
          <w:rFonts w:ascii="Open Sans" w:hAnsi="Open Sans" w:cs="Open Sans"/>
          <w:sz w:val="24"/>
          <w:szCs w:val="24"/>
        </w:rPr>
        <w:t xml:space="preserve"> </w:t>
      </w:r>
      <w:hyperlink r:id="rId10" w:history="1">
        <w:r w:rsidRPr="00B12319">
          <w:rPr>
            <w:rStyle w:val="Hyperlink"/>
            <w:rFonts w:ascii="Open Sans" w:hAnsi="Open Sans" w:cs="Open Sans"/>
          </w:rPr>
          <w:t>Creative Commons BY Attribution 3.0 Australia</w:t>
        </w:r>
      </w:hyperlink>
      <w:r w:rsidRPr="00B12319">
        <w:rPr>
          <w:rStyle w:val="A5"/>
          <w:rFonts w:ascii="Open Sans" w:hAnsi="Open Sans" w:cs="Open Sans"/>
          <w:sz w:val="24"/>
          <w:szCs w:val="24"/>
        </w:rPr>
        <w:t xml:space="preserve"> </w:t>
      </w:r>
      <w:r w:rsidRPr="00B12319">
        <w:rPr>
          <w:rFonts w:ascii="Open Sans" w:hAnsi="Open Sans" w:cs="Open Sans"/>
        </w:rPr>
        <w:t>licence, with the exception of the Commonwealth Coat of Arms, the Treasury logo, photographs, images, signatures and where otherwise stated. The full licence terms are available from</w:t>
      </w:r>
      <w:r w:rsidRPr="00B12319">
        <w:rPr>
          <w:rStyle w:val="A5"/>
          <w:rFonts w:ascii="Open Sans" w:hAnsi="Open Sans" w:cs="Open Sans"/>
          <w:sz w:val="24"/>
          <w:szCs w:val="24"/>
        </w:rPr>
        <w:t xml:space="preserve"> </w:t>
      </w:r>
      <w:hyperlink r:id="rId11" w:history="1">
        <w:r w:rsidRPr="00B12319">
          <w:rPr>
            <w:rStyle w:val="Hyperlink"/>
            <w:rFonts w:ascii="Open Sans" w:hAnsi="Open Sans" w:cs="Open Sans"/>
          </w:rPr>
          <w:t>http://creativecommons.org/licenses/by/3.0/au/legalcode</w:t>
        </w:r>
      </w:hyperlink>
      <w:r w:rsidRPr="00B12319">
        <w:rPr>
          <w:rStyle w:val="Hyperlink"/>
          <w:rFonts w:ascii="Open Sans" w:hAnsi="Open Sans" w:cs="Open Sans"/>
        </w:rPr>
        <w:t>.</w:t>
      </w:r>
      <w:r w:rsidRPr="00B12319">
        <w:rPr>
          <w:rFonts w:ascii="Open Sans" w:hAnsi="Open Sans" w:cs="Open Sans"/>
          <w:sz w:val="24"/>
          <w:szCs w:val="24"/>
        </w:rPr>
        <w:t xml:space="preserve"> </w:t>
      </w:r>
    </w:p>
    <w:p w14:paraId="1BCE0E90" w14:textId="77777777" w:rsidR="000464B6" w:rsidRPr="00B12319" w:rsidRDefault="000464B6" w:rsidP="000464B6">
      <w:pPr>
        <w:tabs>
          <w:tab w:val="left" w:pos="1650"/>
        </w:tabs>
        <w:spacing w:before="100" w:beforeAutospacing="1" w:after="100" w:afterAutospacing="1"/>
        <w:rPr>
          <w:rFonts w:ascii="Open Sans" w:hAnsi="Open Sans" w:cs="Open Sans"/>
          <w:sz w:val="24"/>
          <w:szCs w:val="24"/>
        </w:rPr>
      </w:pPr>
      <w:r w:rsidRPr="00B12319">
        <w:rPr>
          <w:rFonts w:ascii="Open Sans" w:hAnsi="Open Sans" w:cs="Open Sans"/>
          <w:noProof/>
          <w:sz w:val="24"/>
          <w:szCs w:val="24"/>
          <w:lang w:eastAsia="en-AU"/>
        </w:rPr>
        <w:drawing>
          <wp:inline distT="0" distB="0" distL="0" distR="0" wp14:anchorId="16940D12" wp14:editId="48C63B1D">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2"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B1161FC" w14:textId="77777777" w:rsidR="000464B6" w:rsidRPr="00B12319" w:rsidRDefault="000464B6" w:rsidP="000464B6">
      <w:pPr>
        <w:tabs>
          <w:tab w:val="left" w:pos="1650"/>
        </w:tabs>
        <w:rPr>
          <w:rFonts w:ascii="Open Sans" w:hAnsi="Open Sans" w:cs="Open Sans"/>
        </w:rPr>
      </w:pPr>
      <w:r w:rsidRPr="00B12319">
        <w:rPr>
          <w:rFonts w:ascii="Open Sans" w:hAnsi="Open Sans" w:cs="Open Sans"/>
        </w:rPr>
        <w:t>Use of Treasury material under a</w:t>
      </w:r>
      <w:r w:rsidRPr="00B12319">
        <w:rPr>
          <w:rFonts w:ascii="Open Sans" w:hAnsi="Open Sans" w:cs="Open Sans"/>
          <w:sz w:val="24"/>
          <w:szCs w:val="24"/>
        </w:rPr>
        <w:t xml:space="preserve"> </w:t>
      </w:r>
      <w:hyperlink r:id="rId13" w:history="1">
        <w:r w:rsidRPr="00B12319">
          <w:rPr>
            <w:rStyle w:val="Hyperlink"/>
            <w:rFonts w:ascii="Open Sans" w:hAnsi="Open Sans" w:cs="Open Sans"/>
          </w:rPr>
          <w:t>Creative Commons BY Attribution 3.0 Australia</w:t>
        </w:r>
      </w:hyperlink>
      <w:r w:rsidRPr="00B12319">
        <w:rPr>
          <w:rStyle w:val="Hyperlink"/>
          <w:rFonts w:ascii="Open Sans" w:hAnsi="Open Sans" w:cs="Open Sans"/>
        </w:rPr>
        <w:t xml:space="preserve"> </w:t>
      </w:r>
      <w:r w:rsidRPr="00B12319">
        <w:rPr>
          <w:rFonts w:ascii="Open Sans" w:hAnsi="Open Sans" w:cs="Open Sans"/>
        </w:rPr>
        <w:t xml:space="preserve">licence requires you to attribute the work (but not in any way that suggests that the Treasury endorses you or your use of the work). </w:t>
      </w:r>
    </w:p>
    <w:p w14:paraId="74E8D8CF" w14:textId="77777777" w:rsidR="000464B6" w:rsidRPr="00B12319" w:rsidRDefault="000464B6" w:rsidP="000464B6">
      <w:pPr>
        <w:rPr>
          <w:rFonts w:ascii="Open Sans" w:hAnsi="Open Sans" w:cs="Open Sans"/>
          <w:i/>
        </w:rPr>
      </w:pPr>
      <w:r w:rsidRPr="00B12319">
        <w:rPr>
          <w:rFonts w:ascii="Open Sans" w:hAnsi="Open Sans" w:cs="Open Sans"/>
          <w:i/>
        </w:rPr>
        <w:t>Treasury material used 'as supplied'</w:t>
      </w:r>
    </w:p>
    <w:p w14:paraId="23D27C5B" w14:textId="77777777" w:rsidR="000464B6" w:rsidRPr="00B12319" w:rsidRDefault="000464B6" w:rsidP="000464B6">
      <w:pPr>
        <w:rPr>
          <w:rFonts w:ascii="Open Sans" w:hAnsi="Open Sans" w:cs="Open Sans"/>
        </w:rPr>
      </w:pPr>
      <w:r w:rsidRPr="00B12319">
        <w:rPr>
          <w:rFonts w:ascii="Open Sans" w:hAnsi="Open Sans" w:cs="Open Sans"/>
        </w:rPr>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5CF96BF9" w14:textId="77777777" w:rsidR="000464B6" w:rsidRPr="00B12319" w:rsidRDefault="000464B6" w:rsidP="000464B6">
      <w:pPr>
        <w:ind w:firstLine="720"/>
        <w:rPr>
          <w:rFonts w:ascii="Open Sans" w:hAnsi="Open Sans" w:cs="Open Sans"/>
        </w:rPr>
      </w:pPr>
      <w:r w:rsidRPr="00B12319">
        <w:rPr>
          <w:rFonts w:ascii="Open Sans" w:hAnsi="Open Sans" w:cs="Open Sans"/>
          <w:i/>
        </w:rPr>
        <w:t xml:space="preserve">Source: The </w:t>
      </w:r>
      <w:r w:rsidRPr="00B12319">
        <w:rPr>
          <w:rFonts w:ascii="Open Sans" w:hAnsi="Open Sans" w:cs="Open Sans"/>
          <w:i/>
          <w:iCs/>
        </w:rPr>
        <w:t>Australian Government the Treasury</w:t>
      </w:r>
    </w:p>
    <w:p w14:paraId="67B02325" w14:textId="77777777" w:rsidR="000464B6" w:rsidRPr="00B12319" w:rsidRDefault="000464B6" w:rsidP="000464B6">
      <w:pPr>
        <w:rPr>
          <w:rFonts w:ascii="Open Sans" w:hAnsi="Open Sans" w:cs="Open Sans"/>
        </w:rPr>
      </w:pPr>
      <w:r w:rsidRPr="00B12319">
        <w:rPr>
          <w:rFonts w:ascii="Open Sans" w:hAnsi="Open Sans" w:cs="Open Sans"/>
        </w:rPr>
        <w:t>Derivative material</w:t>
      </w:r>
    </w:p>
    <w:p w14:paraId="6B412DA9" w14:textId="77777777" w:rsidR="000464B6" w:rsidRPr="00B12319" w:rsidRDefault="000464B6" w:rsidP="000464B6">
      <w:pPr>
        <w:rPr>
          <w:rFonts w:ascii="Open Sans" w:hAnsi="Open Sans" w:cs="Open Sans"/>
        </w:rPr>
      </w:pPr>
      <w:r w:rsidRPr="00B12319">
        <w:rPr>
          <w:rFonts w:ascii="Open Sans" w:hAnsi="Open Sans" w:cs="Open Sans"/>
        </w:rPr>
        <w:t xml:space="preserve">If you have modified or transformed Treasury material, or derived new material from those of the Treasury in any way, then Treasury prefers the following attribution: </w:t>
      </w:r>
    </w:p>
    <w:p w14:paraId="3E81A9D3" w14:textId="77777777" w:rsidR="000464B6" w:rsidRPr="00B12319" w:rsidRDefault="000464B6" w:rsidP="000464B6">
      <w:pPr>
        <w:ind w:firstLine="720"/>
        <w:rPr>
          <w:rFonts w:ascii="Open Sans" w:hAnsi="Open Sans" w:cs="Open Sans"/>
        </w:rPr>
      </w:pPr>
      <w:r w:rsidRPr="00B12319">
        <w:rPr>
          <w:rFonts w:ascii="Open Sans" w:hAnsi="Open Sans" w:cs="Open Sans"/>
          <w:i/>
        </w:rPr>
        <w:t>Based on The Australian Government the Treasury data</w:t>
      </w:r>
    </w:p>
    <w:p w14:paraId="0F5CE031" w14:textId="77777777" w:rsidR="000464B6" w:rsidRPr="00B12319" w:rsidRDefault="000464B6" w:rsidP="000464B6">
      <w:pPr>
        <w:spacing w:after="40"/>
        <w:rPr>
          <w:rFonts w:ascii="Open Sans" w:hAnsi="Open Sans" w:cs="Open Sans"/>
          <w:b/>
        </w:rPr>
      </w:pPr>
      <w:r w:rsidRPr="00B12319">
        <w:rPr>
          <w:rFonts w:ascii="Open Sans" w:hAnsi="Open Sans" w:cs="Open Sans"/>
          <w:b/>
        </w:rPr>
        <w:t>Use of the Coat of Arms</w:t>
      </w:r>
    </w:p>
    <w:p w14:paraId="791177C9" w14:textId="77777777" w:rsidR="000464B6" w:rsidRPr="00B12319" w:rsidRDefault="000A12BC" w:rsidP="000464B6">
      <w:pPr>
        <w:rPr>
          <w:rFonts w:ascii="Open Sans" w:hAnsi="Open Sans" w:cs="Open Sans"/>
        </w:rPr>
      </w:pPr>
      <w:r w:rsidRPr="00B12319">
        <w:rPr>
          <w:rFonts w:ascii="Open Sans" w:hAnsi="Open Sans" w:cs="Open Sans"/>
        </w:rPr>
        <w:t xml:space="preserve">The terms under which the Coat of Arms can be used are set out on the Department of the Prime Minister and Cabinet website (see </w:t>
      </w:r>
      <w:hyperlink r:id="rId14" w:history="1">
        <w:r w:rsidRPr="00B12319">
          <w:rPr>
            <w:rStyle w:val="Hyperlink"/>
            <w:rFonts w:ascii="Open Sans" w:hAnsi="Open Sans" w:cs="Open Sans"/>
          </w:rPr>
          <w:t>www.pmc.gov.au/government/commonwealth-coat-arms</w:t>
        </w:r>
      </w:hyperlink>
      <w:r w:rsidRPr="00B12319">
        <w:rPr>
          <w:rFonts w:ascii="Open Sans" w:hAnsi="Open Sans" w:cs="Open Sans"/>
        </w:rPr>
        <w:t>).</w:t>
      </w:r>
    </w:p>
    <w:p w14:paraId="2E2D5EDE" w14:textId="77777777" w:rsidR="000464B6" w:rsidRPr="00B12319" w:rsidRDefault="00A57848" w:rsidP="000464B6">
      <w:pPr>
        <w:spacing w:after="40"/>
        <w:rPr>
          <w:rFonts w:ascii="Open Sans" w:hAnsi="Open Sans" w:cs="Open Sans"/>
          <w:b/>
        </w:rPr>
      </w:pPr>
      <w:r w:rsidRPr="00B12319">
        <w:rPr>
          <w:rFonts w:ascii="Open Sans" w:hAnsi="Open Sans" w:cs="Open Sans"/>
          <w:b/>
        </w:rPr>
        <w:t>Other u</w:t>
      </w:r>
      <w:r w:rsidR="000464B6" w:rsidRPr="00B12319">
        <w:rPr>
          <w:rFonts w:ascii="Open Sans" w:hAnsi="Open Sans" w:cs="Open Sans"/>
          <w:b/>
        </w:rPr>
        <w:t>ses</w:t>
      </w:r>
    </w:p>
    <w:p w14:paraId="1D9D4670" w14:textId="77777777" w:rsidR="000464B6" w:rsidRPr="00B12319" w:rsidRDefault="00A57848" w:rsidP="00A57848">
      <w:pPr>
        <w:spacing w:after="120"/>
        <w:rPr>
          <w:rFonts w:ascii="Open Sans" w:hAnsi="Open Sans" w:cs="Open Sans"/>
        </w:rPr>
      </w:pPr>
      <w:r w:rsidRPr="00B12319">
        <w:rPr>
          <w:rFonts w:ascii="Open Sans" w:hAnsi="Open Sans" w:cs="Open Sans"/>
        </w:rPr>
        <w:t>E</w:t>
      </w:r>
      <w:r w:rsidR="000464B6" w:rsidRPr="00B12319">
        <w:rPr>
          <w:rFonts w:ascii="Open Sans" w:hAnsi="Open Sans" w:cs="Open Sans"/>
        </w:rPr>
        <w:t>nquiries regarding this licence and any other use of this document are welcome at:</w:t>
      </w:r>
    </w:p>
    <w:p w14:paraId="35A3FDB8" w14:textId="77777777" w:rsidR="000464B6" w:rsidRPr="00B12319" w:rsidRDefault="000464B6" w:rsidP="000464B6">
      <w:pPr>
        <w:spacing w:after="0"/>
        <w:ind w:left="720"/>
        <w:rPr>
          <w:rFonts w:ascii="Open Sans" w:hAnsi="Open Sans" w:cs="Open Sans"/>
        </w:rPr>
      </w:pPr>
      <w:r w:rsidRPr="00B12319">
        <w:rPr>
          <w:rFonts w:ascii="Open Sans" w:hAnsi="Open Sans" w:cs="Open Sans"/>
        </w:rPr>
        <w:t>Manager</w:t>
      </w:r>
    </w:p>
    <w:p w14:paraId="6F495D2C" w14:textId="77777777" w:rsidR="000464B6" w:rsidRPr="00B12319" w:rsidRDefault="00A57848" w:rsidP="000464B6">
      <w:pPr>
        <w:spacing w:after="0"/>
        <w:ind w:left="720"/>
        <w:rPr>
          <w:rFonts w:ascii="Open Sans" w:hAnsi="Open Sans" w:cs="Open Sans"/>
        </w:rPr>
      </w:pPr>
      <w:r w:rsidRPr="00B12319">
        <w:rPr>
          <w:rFonts w:ascii="Open Sans" w:hAnsi="Open Sans" w:cs="Open Sans"/>
        </w:rPr>
        <w:t>Media Unit</w:t>
      </w:r>
    </w:p>
    <w:p w14:paraId="6C885F50" w14:textId="77777777" w:rsidR="000464B6" w:rsidRPr="00B12319" w:rsidRDefault="000464B6" w:rsidP="000464B6">
      <w:pPr>
        <w:spacing w:after="0"/>
        <w:ind w:left="720"/>
        <w:rPr>
          <w:rFonts w:ascii="Open Sans" w:hAnsi="Open Sans" w:cs="Open Sans"/>
        </w:rPr>
      </w:pPr>
      <w:r w:rsidRPr="00B12319">
        <w:rPr>
          <w:rFonts w:ascii="Open Sans" w:hAnsi="Open Sans" w:cs="Open Sans"/>
        </w:rPr>
        <w:t>The Treasury</w:t>
      </w:r>
    </w:p>
    <w:p w14:paraId="46BD637E" w14:textId="77777777" w:rsidR="000464B6" w:rsidRPr="00B12319" w:rsidRDefault="000464B6" w:rsidP="000464B6">
      <w:pPr>
        <w:spacing w:after="0"/>
        <w:ind w:left="720"/>
        <w:rPr>
          <w:rFonts w:ascii="Open Sans" w:hAnsi="Open Sans" w:cs="Open Sans"/>
        </w:rPr>
      </w:pPr>
      <w:r w:rsidRPr="00B12319">
        <w:rPr>
          <w:rFonts w:ascii="Open Sans" w:hAnsi="Open Sans" w:cs="Open Sans"/>
        </w:rPr>
        <w:t xml:space="preserve">Langton Crescent </w:t>
      </w:r>
      <w:r w:rsidR="00A57848" w:rsidRPr="00B12319">
        <w:rPr>
          <w:rFonts w:ascii="Open Sans" w:hAnsi="Open Sans" w:cs="Open Sans"/>
        </w:rPr>
        <w:br/>
      </w:r>
      <w:r w:rsidRPr="00B12319">
        <w:rPr>
          <w:rFonts w:ascii="Open Sans" w:hAnsi="Open Sans" w:cs="Open Sans"/>
        </w:rPr>
        <w:t>Parkes ACT 2600</w:t>
      </w:r>
    </w:p>
    <w:p w14:paraId="6A9EB41C" w14:textId="77777777" w:rsidR="000464B6" w:rsidRPr="00B12319" w:rsidRDefault="000464B6" w:rsidP="000464B6">
      <w:pPr>
        <w:spacing w:after="0"/>
        <w:ind w:left="720"/>
        <w:rPr>
          <w:rStyle w:val="Hyperlink"/>
          <w:rFonts w:ascii="Open Sans" w:hAnsi="Open Sans" w:cs="Open Sans"/>
        </w:rPr>
      </w:pPr>
      <w:r w:rsidRPr="00B12319">
        <w:rPr>
          <w:rFonts w:ascii="Open Sans" w:hAnsi="Open Sans" w:cs="Open Sans"/>
        </w:rPr>
        <w:t xml:space="preserve">Email: </w:t>
      </w:r>
      <w:hyperlink r:id="rId15" w:history="1">
        <w:r w:rsidR="0099283B" w:rsidRPr="00B12319">
          <w:rPr>
            <w:rStyle w:val="Hyperlink"/>
            <w:rFonts w:ascii="Open Sans" w:hAnsi="Open Sans" w:cs="Open Sans"/>
          </w:rPr>
          <w:t>media@treasury.gov.au</w:t>
        </w:r>
      </w:hyperlink>
      <w:r w:rsidRPr="00B12319">
        <w:rPr>
          <w:rStyle w:val="Hyperlink"/>
          <w:rFonts w:ascii="Open Sans" w:hAnsi="Open Sans" w:cs="Open Sans"/>
        </w:rPr>
        <w:t xml:space="preserve"> </w:t>
      </w:r>
      <w:r w:rsidR="0099283B" w:rsidRPr="00B12319">
        <w:rPr>
          <w:rStyle w:val="Hyperlink"/>
          <w:rFonts w:ascii="Open Sans" w:hAnsi="Open Sans" w:cs="Open Sans"/>
        </w:rPr>
        <w:t xml:space="preserve"> </w:t>
      </w:r>
    </w:p>
    <w:p w14:paraId="6570801E" w14:textId="77777777" w:rsidR="000464B6" w:rsidRPr="00B12319" w:rsidRDefault="000464B6" w:rsidP="000464B6">
      <w:pPr>
        <w:rPr>
          <w:rFonts w:ascii="Open Sans" w:hAnsi="Open Sans" w:cs="Open Sans"/>
        </w:rPr>
      </w:pPr>
    </w:p>
    <w:p w14:paraId="27EFF8F5" w14:textId="087F7091" w:rsidR="000B72CE" w:rsidRDefault="000B72CE">
      <w:pPr>
        <w:rPr>
          <w:rStyle w:val="Hyperlink"/>
          <w:rFonts w:ascii="Open Sans" w:hAnsi="Open Sans" w:cs="Open Sans"/>
        </w:rPr>
      </w:pPr>
      <w:r>
        <w:rPr>
          <w:rStyle w:val="Hyperlink"/>
          <w:rFonts w:ascii="Open Sans" w:hAnsi="Open Sans" w:cs="Open Sans"/>
        </w:rPr>
        <w:br w:type="page"/>
      </w:r>
    </w:p>
    <w:p w14:paraId="60374805" w14:textId="6522D816" w:rsidR="000464B6" w:rsidRDefault="00000872" w:rsidP="004D2B37">
      <w:pPr>
        <w:rPr>
          <w:rStyle w:val="Hyperlink"/>
          <w:rFonts w:ascii="Open Sans" w:hAnsi="Open Sans" w:cs="Open Sans"/>
          <w:color w:val="00818F" w:themeColor="accent5"/>
          <w:sz w:val="48"/>
          <w:szCs w:val="48"/>
          <w:u w:val="none"/>
        </w:rPr>
      </w:pPr>
      <w:r w:rsidRPr="00000872">
        <w:rPr>
          <w:rStyle w:val="Hyperlink"/>
          <w:rFonts w:ascii="Open Sans" w:hAnsi="Open Sans" w:cs="Open Sans"/>
          <w:color w:val="00818F" w:themeColor="accent5"/>
          <w:sz w:val="48"/>
          <w:szCs w:val="48"/>
          <w:u w:val="none"/>
        </w:rPr>
        <w:lastRenderedPageBreak/>
        <w:t>Contents Page</w:t>
      </w:r>
    </w:p>
    <w:p w14:paraId="271FF8B6" w14:textId="34102186" w:rsidR="002D257B" w:rsidRDefault="008150F1">
      <w:pPr>
        <w:pStyle w:val="TOC1"/>
        <w:rPr>
          <w:rFonts w:asciiTheme="minorHAnsi" w:hAnsiTheme="minorHAnsi"/>
          <w:smallCaps w:val="0"/>
          <w:noProof/>
          <w:color w:val="auto"/>
          <w:lang w:eastAsia="en-AU"/>
        </w:rPr>
      </w:pPr>
      <w:r>
        <w:rPr>
          <w:rStyle w:val="Hyperlink"/>
          <w:rFonts w:ascii="Open Sans" w:hAnsi="Open Sans" w:cs="Open Sans"/>
        </w:rPr>
        <w:fldChar w:fldCharType="begin"/>
      </w:r>
      <w:r>
        <w:rPr>
          <w:rStyle w:val="Hyperlink"/>
          <w:rFonts w:ascii="Open Sans" w:hAnsi="Open Sans" w:cs="Open Sans"/>
        </w:rPr>
        <w:instrText xml:space="preserve"> TOC \o "1-2" \h \z \u </w:instrText>
      </w:r>
      <w:r>
        <w:rPr>
          <w:rStyle w:val="Hyperlink"/>
          <w:rFonts w:ascii="Open Sans" w:hAnsi="Open Sans" w:cs="Open Sans"/>
        </w:rPr>
        <w:fldChar w:fldCharType="separate"/>
      </w:r>
      <w:hyperlink w:anchor="_Toc93487766" w:history="1">
        <w:r w:rsidR="002D257B" w:rsidRPr="006A3D72">
          <w:rPr>
            <w:rStyle w:val="Hyperlink"/>
            <w:noProof/>
          </w:rPr>
          <w:t>1</w:t>
        </w:r>
        <w:r w:rsidR="002D257B">
          <w:rPr>
            <w:rFonts w:asciiTheme="minorHAnsi" w:hAnsiTheme="minorHAnsi"/>
            <w:smallCaps w:val="0"/>
            <w:noProof/>
            <w:color w:val="auto"/>
            <w:lang w:eastAsia="en-AU"/>
          </w:rPr>
          <w:tab/>
        </w:r>
        <w:r w:rsidR="002D257B" w:rsidRPr="006A3D72">
          <w:rPr>
            <w:rStyle w:val="Hyperlink"/>
            <w:noProof/>
          </w:rPr>
          <w:t>Executive Summary</w:t>
        </w:r>
        <w:r w:rsidR="002D257B">
          <w:rPr>
            <w:noProof/>
            <w:webHidden/>
          </w:rPr>
          <w:tab/>
        </w:r>
        <w:r w:rsidR="002D257B">
          <w:rPr>
            <w:noProof/>
            <w:webHidden/>
          </w:rPr>
          <w:fldChar w:fldCharType="begin"/>
        </w:r>
        <w:r w:rsidR="002D257B">
          <w:rPr>
            <w:noProof/>
            <w:webHidden/>
          </w:rPr>
          <w:instrText xml:space="preserve"> PAGEREF _Toc93487766 \h </w:instrText>
        </w:r>
        <w:r w:rsidR="002D257B">
          <w:rPr>
            <w:noProof/>
            <w:webHidden/>
          </w:rPr>
        </w:r>
        <w:r w:rsidR="002D257B">
          <w:rPr>
            <w:noProof/>
            <w:webHidden/>
          </w:rPr>
          <w:fldChar w:fldCharType="separate"/>
        </w:r>
        <w:r w:rsidR="002D257B">
          <w:rPr>
            <w:noProof/>
            <w:webHidden/>
          </w:rPr>
          <w:t>4</w:t>
        </w:r>
        <w:r w:rsidR="002D257B">
          <w:rPr>
            <w:noProof/>
            <w:webHidden/>
          </w:rPr>
          <w:fldChar w:fldCharType="end"/>
        </w:r>
      </w:hyperlink>
    </w:p>
    <w:p w14:paraId="10953291" w14:textId="445D7DFE" w:rsidR="002D257B" w:rsidRDefault="00004BC1">
      <w:pPr>
        <w:pStyle w:val="TOC2"/>
        <w:tabs>
          <w:tab w:val="left" w:pos="1418"/>
        </w:tabs>
        <w:rPr>
          <w:noProof/>
          <w:sz w:val="22"/>
          <w:lang w:eastAsia="en-AU"/>
        </w:rPr>
      </w:pPr>
      <w:hyperlink w:anchor="_Toc93487767" w:history="1">
        <w:r w:rsidR="002D257B" w:rsidRPr="006A3D72">
          <w:rPr>
            <w:rStyle w:val="Hyperlink"/>
            <w:noProof/>
          </w:rPr>
          <w:t>1.1</w:t>
        </w:r>
        <w:r w:rsidR="002D257B">
          <w:rPr>
            <w:noProof/>
            <w:sz w:val="22"/>
            <w:lang w:eastAsia="en-AU"/>
          </w:rPr>
          <w:tab/>
        </w:r>
        <w:r w:rsidR="002D257B" w:rsidRPr="006A3D72">
          <w:rPr>
            <w:rStyle w:val="Hyperlink"/>
            <w:noProof/>
          </w:rPr>
          <w:t>Problem</w:t>
        </w:r>
        <w:r w:rsidR="002D257B">
          <w:rPr>
            <w:noProof/>
            <w:webHidden/>
          </w:rPr>
          <w:tab/>
        </w:r>
        <w:r w:rsidR="002D257B">
          <w:rPr>
            <w:noProof/>
            <w:webHidden/>
          </w:rPr>
          <w:fldChar w:fldCharType="begin"/>
        </w:r>
        <w:r w:rsidR="002D257B">
          <w:rPr>
            <w:noProof/>
            <w:webHidden/>
          </w:rPr>
          <w:instrText xml:space="preserve"> PAGEREF _Toc93487767 \h </w:instrText>
        </w:r>
        <w:r w:rsidR="002D257B">
          <w:rPr>
            <w:noProof/>
            <w:webHidden/>
          </w:rPr>
        </w:r>
        <w:r w:rsidR="002D257B">
          <w:rPr>
            <w:noProof/>
            <w:webHidden/>
          </w:rPr>
          <w:fldChar w:fldCharType="separate"/>
        </w:r>
        <w:r w:rsidR="002D257B">
          <w:rPr>
            <w:noProof/>
            <w:webHidden/>
          </w:rPr>
          <w:t>4</w:t>
        </w:r>
        <w:r w:rsidR="002D257B">
          <w:rPr>
            <w:noProof/>
            <w:webHidden/>
          </w:rPr>
          <w:fldChar w:fldCharType="end"/>
        </w:r>
      </w:hyperlink>
    </w:p>
    <w:p w14:paraId="46C18CFD" w14:textId="40C22E9A" w:rsidR="002D257B" w:rsidRDefault="00004BC1">
      <w:pPr>
        <w:pStyle w:val="TOC2"/>
        <w:tabs>
          <w:tab w:val="left" w:pos="1418"/>
        </w:tabs>
        <w:rPr>
          <w:noProof/>
          <w:sz w:val="22"/>
          <w:lang w:eastAsia="en-AU"/>
        </w:rPr>
      </w:pPr>
      <w:hyperlink w:anchor="_Toc93487768" w:history="1">
        <w:r w:rsidR="002D257B" w:rsidRPr="006A3D72">
          <w:rPr>
            <w:rStyle w:val="Hyperlink"/>
            <w:noProof/>
          </w:rPr>
          <w:t>1.2</w:t>
        </w:r>
        <w:r w:rsidR="002D257B">
          <w:rPr>
            <w:noProof/>
            <w:sz w:val="22"/>
            <w:lang w:eastAsia="en-AU"/>
          </w:rPr>
          <w:tab/>
        </w:r>
        <w:r w:rsidR="002D257B" w:rsidRPr="006A3D72">
          <w:rPr>
            <w:rStyle w:val="Hyperlink"/>
            <w:noProof/>
          </w:rPr>
          <w:t>Options and impacts</w:t>
        </w:r>
        <w:r w:rsidR="002D257B">
          <w:rPr>
            <w:noProof/>
            <w:webHidden/>
          </w:rPr>
          <w:tab/>
        </w:r>
        <w:r w:rsidR="002D257B">
          <w:rPr>
            <w:noProof/>
            <w:webHidden/>
          </w:rPr>
          <w:fldChar w:fldCharType="begin"/>
        </w:r>
        <w:r w:rsidR="002D257B">
          <w:rPr>
            <w:noProof/>
            <w:webHidden/>
          </w:rPr>
          <w:instrText xml:space="preserve"> PAGEREF _Toc93487768 \h </w:instrText>
        </w:r>
        <w:r w:rsidR="002D257B">
          <w:rPr>
            <w:noProof/>
            <w:webHidden/>
          </w:rPr>
        </w:r>
        <w:r w:rsidR="002D257B">
          <w:rPr>
            <w:noProof/>
            <w:webHidden/>
          </w:rPr>
          <w:fldChar w:fldCharType="separate"/>
        </w:r>
        <w:r w:rsidR="002D257B">
          <w:rPr>
            <w:noProof/>
            <w:webHidden/>
          </w:rPr>
          <w:t>4</w:t>
        </w:r>
        <w:r w:rsidR="002D257B">
          <w:rPr>
            <w:noProof/>
            <w:webHidden/>
          </w:rPr>
          <w:fldChar w:fldCharType="end"/>
        </w:r>
      </w:hyperlink>
    </w:p>
    <w:p w14:paraId="0A4A951D" w14:textId="6B45E083" w:rsidR="002D257B" w:rsidRDefault="00004BC1">
      <w:pPr>
        <w:pStyle w:val="TOC2"/>
        <w:tabs>
          <w:tab w:val="left" w:pos="1418"/>
        </w:tabs>
        <w:rPr>
          <w:noProof/>
          <w:sz w:val="22"/>
          <w:lang w:eastAsia="en-AU"/>
        </w:rPr>
      </w:pPr>
      <w:hyperlink w:anchor="_Toc93487769" w:history="1">
        <w:r w:rsidR="002D257B" w:rsidRPr="006A3D72">
          <w:rPr>
            <w:rStyle w:val="Hyperlink"/>
            <w:noProof/>
          </w:rPr>
          <w:t>1.3</w:t>
        </w:r>
        <w:r w:rsidR="002D257B">
          <w:rPr>
            <w:noProof/>
            <w:sz w:val="22"/>
            <w:lang w:eastAsia="en-AU"/>
          </w:rPr>
          <w:tab/>
        </w:r>
        <w:r w:rsidR="002D257B" w:rsidRPr="006A3D72">
          <w:rPr>
            <w:rStyle w:val="Hyperlink"/>
            <w:noProof/>
          </w:rPr>
          <w:t>Recommendation</w:t>
        </w:r>
        <w:r w:rsidR="002D257B">
          <w:rPr>
            <w:noProof/>
            <w:webHidden/>
          </w:rPr>
          <w:tab/>
        </w:r>
        <w:r w:rsidR="002D257B">
          <w:rPr>
            <w:noProof/>
            <w:webHidden/>
          </w:rPr>
          <w:fldChar w:fldCharType="begin"/>
        </w:r>
        <w:r w:rsidR="002D257B">
          <w:rPr>
            <w:noProof/>
            <w:webHidden/>
          </w:rPr>
          <w:instrText xml:space="preserve"> PAGEREF _Toc93487769 \h </w:instrText>
        </w:r>
        <w:r w:rsidR="002D257B">
          <w:rPr>
            <w:noProof/>
            <w:webHidden/>
          </w:rPr>
        </w:r>
        <w:r w:rsidR="002D257B">
          <w:rPr>
            <w:noProof/>
            <w:webHidden/>
          </w:rPr>
          <w:fldChar w:fldCharType="separate"/>
        </w:r>
        <w:r w:rsidR="002D257B">
          <w:rPr>
            <w:noProof/>
            <w:webHidden/>
          </w:rPr>
          <w:t>8</w:t>
        </w:r>
        <w:r w:rsidR="002D257B">
          <w:rPr>
            <w:noProof/>
            <w:webHidden/>
          </w:rPr>
          <w:fldChar w:fldCharType="end"/>
        </w:r>
      </w:hyperlink>
    </w:p>
    <w:p w14:paraId="6A472CC9" w14:textId="2104E96B" w:rsidR="002D257B" w:rsidRDefault="00004BC1">
      <w:pPr>
        <w:pStyle w:val="TOC2"/>
        <w:tabs>
          <w:tab w:val="left" w:pos="1418"/>
        </w:tabs>
        <w:rPr>
          <w:noProof/>
          <w:sz w:val="22"/>
          <w:lang w:eastAsia="en-AU"/>
        </w:rPr>
      </w:pPr>
      <w:hyperlink w:anchor="_Toc93487770" w:history="1">
        <w:r w:rsidR="002D257B" w:rsidRPr="006A3D72">
          <w:rPr>
            <w:rStyle w:val="Hyperlink"/>
            <w:noProof/>
          </w:rPr>
          <w:t>1.4</w:t>
        </w:r>
        <w:r w:rsidR="002D257B">
          <w:rPr>
            <w:noProof/>
            <w:sz w:val="22"/>
            <w:lang w:eastAsia="en-AU"/>
          </w:rPr>
          <w:tab/>
        </w:r>
        <w:r w:rsidR="002D257B" w:rsidRPr="006A3D72">
          <w:rPr>
            <w:rStyle w:val="Hyperlink"/>
            <w:noProof/>
          </w:rPr>
          <w:t>Consultation, implementation and evaluation</w:t>
        </w:r>
        <w:r w:rsidR="002D257B">
          <w:rPr>
            <w:noProof/>
            <w:webHidden/>
          </w:rPr>
          <w:tab/>
        </w:r>
        <w:r w:rsidR="002D257B">
          <w:rPr>
            <w:noProof/>
            <w:webHidden/>
          </w:rPr>
          <w:fldChar w:fldCharType="begin"/>
        </w:r>
        <w:r w:rsidR="002D257B">
          <w:rPr>
            <w:noProof/>
            <w:webHidden/>
          </w:rPr>
          <w:instrText xml:space="preserve"> PAGEREF _Toc93487770 \h </w:instrText>
        </w:r>
        <w:r w:rsidR="002D257B">
          <w:rPr>
            <w:noProof/>
            <w:webHidden/>
          </w:rPr>
        </w:r>
        <w:r w:rsidR="002D257B">
          <w:rPr>
            <w:noProof/>
            <w:webHidden/>
          </w:rPr>
          <w:fldChar w:fldCharType="separate"/>
        </w:r>
        <w:r w:rsidR="002D257B">
          <w:rPr>
            <w:noProof/>
            <w:webHidden/>
          </w:rPr>
          <w:t>9</w:t>
        </w:r>
        <w:r w:rsidR="002D257B">
          <w:rPr>
            <w:noProof/>
            <w:webHidden/>
          </w:rPr>
          <w:fldChar w:fldCharType="end"/>
        </w:r>
      </w:hyperlink>
    </w:p>
    <w:p w14:paraId="478DFE26" w14:textId="12B294C1" w:rsidR="002D257B" w:rsidRDefault="00004BC1">
      <w:pPr>
        <w:pStyle w:val="TOC1"/>
        <w:rPr>
          <w:rFonts w:asciiTheme="minorHAnsi" w:hAnsiTheme="minorHAnsi"/>
          <w:smallCaps w:val="0"/>
          <w:noProof/>
          <w:color w:val="auto"/>
          <w:lang w:eastAsia="en-AU"/>
        </w:rPr>
      </w:pPr>
      <w:hyperlink w:anchor="_Toc93487771" w:history="1">
        <w:r w:rsidR="002D257B" w:rsidRPr="006A3D72">
          <w:rPr>
            <w:rStyle w:val="Hyperlink"/>
            <w:noProof/>
          </w:rPr>
          <w:t>2</w:t>
        </w:r>
        <w:r w:rsidR="002D257B">
          <w:rPr>
            <w:rFonts w:asciiTheme="minorHAnsi" w:hAnsiTheme="minorHAnsi"/>
            <w:smallCaps w:val="0"/>
            <w:noProof/>
            <w:color w:val="auto"/>
            <w:lang w:eastAsia="en-AU"/>
          </w:rPr>
          <w:tab/>
        </w:r>
        <w:r w:rsidR="002D257B" w:rsidRPr="006A3D72">
          <w:rPr>
            <w:rStyle w:val="Hyperlink"/>
            <w:noProof/>
          </w:rPr>
          <w:t>Problem</w:t>
        </w:r>
        <w:r w:rsidR="002D257B">
          <w:rPr>
            <w:noProof/>
            <w:webHidden/>
          </w:rPr>
          <w:tab/>
        </w:r>
        <w:r w:rsidR="002D257B">
          <w:rPr>
            <w:noProof/>
            <w:webHidden/>
          </w:rPr>
          <w:fldChar w:fldCharType="begin"/>
        </w:r>
        <w:r w:rsidR="002D257B">
          <w:rPr>
            <w:noProof/>
            <w:webHidden/>
          </w:rPr>
          <w:instrText xml:space="preserve"> PAGEREF _Toc93487771 \h </w:instrText>
        </w:r>
        <w:r w:rsidR="002D257B">
          <w:rPr>
            <w:noProof/>
            <w:webHidden/>
          </w:rPr>
        </w:r>
        <w:r w:rsidR="002D257B">
          <w:rPr>
            <w:noProof/>
            <w:webHidden/>
          </w:rPr>
          <w:fldChar w:fldCharType="separate"/>
        </w:r>
        <w:r w:rsidR="002D257B">
          <w:rPr>
            <w:noProof/>
            <w:webHidden/>
          </w:rPr>
          <w:t>11</w:t>
        </w:r>
        <w:r w:rsidR="002D257B">
          <w:rPr>
            <w:noProof/>
            <w:webHidden/>
          </w:rPr>
          <w:fldChar w:fldCharType="end"/>
        </w:r>
      </w:hyperlink>
    </w:p>
    <w:p w14:paraId="2D5BDD8F" w14:textId="0C4E01BC" w:rsidR="002D257B" w:rsidRDefault="00004BC1">
      <w:pPr>
        <w:pStyle w:val="TOC2"/>
        <w:tabs>
          <w:tab w:val="left" w:pos="1418"/>
        </w:tabs>
        <w:rPr>
          <w:noProof/>
          <w:sz w:val="22"/>
          <w:lang w:eastAsia="en-AU"/>
        </w:rPr>
      </w:pPr>
      <w:hyperlink w:anchor="_Toc93487772" w:history="1">
        <w:r w:rsidR="002D257B" w:rsidRPr="006A3D72">
          <w:rPr>
            <w:rStyle w:val="Hyperlink"/>
            <w:noProof/>
          </w:rPr>
          <w:t>2.1</w:t>
        </w:r>
        <w:r w:rsidR="002D257B">
          <w:rPr>
            <w:noProof/>
            <w:sz w:val="22"/>
            <w:lang w:eastAsia="en-AU"/>
          </w:rPr>
          <w:tab/>
        </w:r>
        <w:r w:rsidR="002D257B" w:rsidRPr="006A3D72">
          <w:rPr>
            <w:rStyle w:val="Hyperlink"/>
            <w:noProof/>
          </w:rPr>
          <w:t>Multinational tax minimisation</w:t>
        </w:r>
        <w:r w:rsidR="002D257B">
          <w:rPr>
            <w:noProof/>
            <w:webHidden/>
          </w:rPr>
          <w:tab/>
        </w:r>
        <w:r w:rsidR="002D257B">
          <w:rPr>
            <w:noProof/>
            <w:webHidden/>
          </w:rPr>
          <w:fldChar w:fldCharType="begin"/>
        </w:r>
        <w:r w:rsidR="002D257B">
          <w:rPr>
            <w:noProof/>
            <w:webHidden/>
          </w:rPr>
          <w:instrText xml:space="preserve"> PAGEREF _Toc93487772 \h </w:instrText>
        </w:r>
        <w:r w:rsidR="002D257B">
          <w:rPr>
            <w:noProof/>
            <w:webHidden/>
          </w:rPr>
        </w:r>
        <w:r w:rsidR="002D257B">
          <w:rPr>
            <w:noProof/>
            <w:webHidden/>
          </w:rPr>
          <w:fldChar w:fldCharType="separate"/>
        </w:r>
        <w:r w:rsidR="002D257B">
          <w:rPr>
            <w:noProof/>
            <w:webHidden/>
          </w:rPr>
          <w:t>11</w:t>
        </w:r>
        <w:r w:rsidR="002D257B">
          <w:rPr>
            <w:noProof/>
            <w:webHidden/>
          </w:rPr>
          <w:fldChar w:fldCharType="end"/>
        </w:r>
      </w:hyperlink>
    </w:p>
    <w:p w14:paraId="384F840D" w14:textId="71B00568" w:rsidR="002D257B" w:rsidRDefault="00004BC1">
      <w:pPr>
        <w:pStyle w:val="TOC2"/>
        <w:tabs>
          <w:tab w:val="left" w:pos="1418"/>
        </w:tabs>
        <w:rPr>
          <w:noProof/>
          <w:sz w:val="22"/>
          <w:lang w:eastAsia="en-AU"/>
        </w:rPr>
      </w:pPr>
      <w:hyperlink w:anchor="_Toc93487773" w:history="1">
        <w:r w:rsidR="002D257B" w:rsidRPr="006A3D72">
          <w:rPr>
            <w:rStyle w:val="Hyperlink"/>
            <w:noProof/>
          </w:rPr>
          <w:t>2.2</w:t>
        </w:r>
        <w:r w:rsidR="002D257B">
          <w:rPr>
            <w:noProof/>
            <w:sz w:val="22"/>
            <w:lang w:eastAsia="en-AU"/>
          </w:rPr>
          <w:tab/>
        </w:r>
        <w:r w:rsidR="002D257B" w:rsidRPr="006A3D72">
          <w:rPr>
            <w:rStyle w:val="Hyperlink"/>
            <w:noProof/>
          </w:rPr>
          <w:t>Onset of foreign patent boxes</w:t>
        </w:r>
        <w:r w:rsidR="002D257B">
          <w:rPr>
            <w:noProof/>
            <w:webHidden/>
          </w:rPr>
          <w:tab/>
        </w:r>
        <w:r w:rsidR="002D257B">
          <w:rPr>
            <w:noProof/>
            <w:webHidden/>
          </w:rPr>
          <w:fldChar w:fldCharType="begin"/>
        </w:r>
        <w:r w:rsidR="002D257B">
          <w:rPr>
            <w:noProof/>
            <w:webHidden/>
          </w:rPr>
          <w:instrText xml:space="preserve"> PAGEREF _Toc93487773 \h </w:instrText>
        </w:r>
        <w:r w:rsidR="002D257B">
          <w:rPr>
            <w:noProof/>
            <w:webHidden/>
          </w:rPr>
        </w:r>
        <w:r w:rsidR="002D257B">
          <w:rPr>
            <w:noProof/>
            <w:webHidden/>
          </w:rPr>
          <w:fldChar w:fldCharType="separate"/>
        </w:r>
        <w:r w:rsidR="002D257B">
          <w:rPr>
            <w:noProof/>
            <w:webHidden/>
          </w:rPr>
          <w:t>11</w:t>
        </w:r>
        <w:r w:rsidR="002D257B">
          <w:rPr>
            <w:noProof/>
            <w:webHidden/>
          </w:rPr>
          <w:fldChar w:fldCharType="end"/>
        </w:r>
      </w:hyperlink>
    </w:p>
    <w:p w14:paraId="5D89BD0A" w14:textId="6104211F" w:rsidR="002D257B" w:rsidRDefault="00004BC1">
      <w:pPr>
        <w:pStyle w:val="TOC2"/>
        <w:tabs>
          <w:tab w:val="left" w:pos="1418"/>
        </w:tabs>
        <w:rPr>
          <w:noProof/>
          <w:sz w:val="22"/>
          <w:lang w:eastAsia="en-AU"/>
        </w:rPr>
      </w:pPr>
      <w:hyperlink w:anchor="_Toc93487774" w:history="1">
        <w:r w:rsidR="002D257B" w:rsidRPr="006A3D72">
          <w:rPr>
            <w:rStyle w:val="Hyperlink"/>
            <w:noProof/>
          </w:rPr>
          <w:t>2.3</w:t>
        </w:r>
        <w:r w:rsidR="002D257B">
          <w:rPr>
            <w:noProof/>
            <w:sz w:val="22"/>
            <w:lang w:eastAsia="en-AU"/>
          </w:rPr>
          <w:tab/>
        </w:r>
        <w:r w:rsidR="002D257B" w:rsidRPr="006A3D72">
          <w:rPr>
            <w:rStyle w:val="Hyperlink"/>
            <w:noProof/>
          </w:rPr>
          <w:t>Australia’s IP tax competitiveness is not favourable</w:t>
        </w:r>
        <w:r w:rsidR="002D257B">
          <w:rPr>
            <w:noProof/>
            <w:webHidden/>
          </w:rPr>
          <w:tab/>
        </w:r>
        <w:r w:rsidR="002D257B">
          <w:rPr>
            <w:noProof/>
            <w:webHidden/>
          </w:rPr>
          <w:fldChar w:fldCharType="begin"/>
        </w:r>
        <w:r w:rsidR="002D257B">
          <w:rPr>
            <w:noProof/>
            <w:webHidden/>
          </w:rPr>
          <w:instrText xml:space="preserve"> PAGEREF _Toc93487774 \h </w:instrText>
        </w:r>
        <w:r w:rsidR="002D257B">
          <w:rPr>
            <w:noProof/>
            <w:webHidden/>
          </w:rPr>
        </w:r>
        <w:r w:rsidR="002D257B">
          <w:rPr>
            <w:noProof/>
            <w:webHidden/>
          </w:rPr>
          <w:fldChar w:fldCharType="separate"/>
        </w:r>
        <w:r w:rsidR="002D257B">
          <w:rPr>
            <w:noProof/>
            <w:webHidden/>
          </w:rPr>
          <w:t>12</w:t>
        </w:r>
        <w:r w:rsidR="002D257B">
          <w:rPr>
            <w:noProof/>
            <w:webHidden/>
          </w:rPr>
          <w:fldChar w:fldCharType="end"/>
        </w:r>
      </w:hyperlink>
    </w:p>
    <w:p w14:paraId="08260C11" w14:textId="423F918B" w:rsidR="002D257B" w:rsidRDefault="00004BC1">
      <w:pPr>
        <w:pStyle w:val="TOC2"/>
        <w:tabs>
          <w:tab w:val="left" w:pos="1418"/>
        </w:tabs>
        <w:rPr>
          <w:noProof/>
          <w:sz w:val="22"/>
          <w:lang w:eastAsia="en-AU"/>
        </w:rPr>
      </w:pPr>
      <w:hyperlink w:anchor="_Toc93487775" w:history="1">
        <w:r w:rsidR="002D257B" w:rsidRPr="006A3D72">
          <w:rPr>
            <w:rStyle w:val="Hyperlink"/>
            <w:noProof/>
          </w:rPr>
          <w:t>2.4</w:t>
        </w:r>
        <w:r w:rsidR="002D257B">
          <w:rPr>
            <w:noProof/>
            <w:sz w:val="22"/>
            <w:lang w:eastAsia="en-AU"/>
          </w:rPr>
          <w:tab/>
        </w:r>
        <w:r w:rsidR="002D257B" w:rsidRPr="006A3D72">
          <w:rPr>
            <w:rStyle w:val="Hyperlink"/>
            <w:noProof/>
          </w:rPr>
          <w:t>Impact on medical and biotechnology R&amp;D</w:t>
        </w:r>
        <w:r w:rsidR="002D257B">
          <w:rPr>
            <w:noProof/>
            <w:webHidden/>
          </w:rPr>
          <w:tab/>
        </w:r>
        <w:r w:rsidR="002D257B">
          <w:rPr>
            <w:noProof/>
            <w:webHidden/>
          </w:rPr>
          <w:fldChar w:fldCharType="begin"/>
        </w:r>
        <w:r w:rsidR="002D257B">
          <w:rPr>
            <w:noProof/>
            <w:webHidden/>
          </w:rPr>
          <w:instrText xml:space="preserve"> PAGEREF _Toc93487775 \h </w:instrText>
        </w:r>
        <w:r w:rsidR="002D257B">
          <w:rPr>
            <w:noProof/>
            <w:webHidden/>
          </w:rPr>
        </w:r>
        <w:r w:rsidR="002D257B">
          <w:rPr>
            <w:noProof/>
            <w:webHidden/>
          </w:rPr>
          <w:fldChar w:fldCharType="separate"/>
        </w:r>
        <w:r w:rsidR="002D257B">
          <w:rPr>
            <w:noProof/>
            <w:webHidden/>
          </w:rPr>
          <w:t>13</w:t>
        </w:r>
        <w:r w:rsidR="002D257B">
          <w:rPr>
            <w:noProof/>
            <w:webHidden/>
          </w:rPr>
          <w:fldChar w:fldCharType="end"/>
        </w:r>
      </w:hyperlink>
    </w:p>
    <w:p w14:paraId="36A99D13" w14:textId="04D3359B" w:rsidR="002D257B" w:rsidRDefault="00004BC1">
      <w:pPr>
        <w:pStyle w:val="TOC2"/>
        <w:tabs>
          <w:tab w:val="left" w:pos="1418"/>
        </w:tabs>
        <w:rPr>
          <w:noProof/>
          <w:sz w:val="22"/>
          <w:lang w:eastAsia="en-AU"/>
        </w:rPr>
      </w:pPr>
      <w:hyperlink w:anchor="_Toc93487776" w:history="1">
        <w:r w:rsidR="002D257B" w:rsidRPr="006A3D72">
          <w:rPr>
            <w:rStyle w:val="Hyperlink"/>
            <w:noProof/>
          </w:rPr>
          <w:t>2.5</w:t>
        </w:r>
        <w:r w:rsidR="002D257B">
          <w:rPr>
            <w:noProof/>
            <w:sz w:val="22"/>
            <w:lang w:eastAsia="en-AU"/>
          </w:rPr>
          <w:tab/>
        </w:r>
        <w:r w:rsidR="002D257B" w:rsidRPr="006A3D72">
          <w:rPr>
            <w:rStyle w:val="Hyperlink"/>
            <w:noProof/>
          </w:rPr>
          <w:t>Impact on medical and biotechnology commercialisation</w:t>
        </w:r>
        <w:r w:rsidR="002D257B">
          <w:rPr>
            <w:noProof/>
            <w:webHidden/>
          </w:rPr>
          <w:tab/>
        </w:r>
        <w:r w:rsidR="002D257B">
          <w:rPr>
            <w:noProof/>
            <w:webHidden/>
          </w:rPr>
          <w:fldChar w:fldCharType="begin"/>
        </w:r>
        <w:r w:rsidR="002D257B">
          <w:rPr>
            <w:noProof/>
            <w:webHidden/>
          </w:rPr>
          <w:instrText xml:space="preserve"> PAGEREF _Toc93487776 \h </w:instrText>
        </w:r>
        <w:r w:rsidR="002D257B">
          <w:rPr>
            <w:noProof/>
            <w:webHidden/>
          </w:rPr>
        </w:r>
        <w:r w:rsidR="002D257B">
          <w:rPr>
            <w:noProof/>
            <w:webHidden/>
          </w:rPr>
          <w:fldChar w:fldCharType="separate"/>
        </w:r>
        <w:r w:rsidR="002D257B">
          <w:rPr>
            <w:noProof/>
            <w:webHidden/>
          </w:rPr>
          <w:t>14</w:t>
        </w:r>
        <w:r w:rsidR="002D257B">
          <w:rPr>
            <w:noProof/>
            <w:webHidden/>
          </w:rPr>
          <w:fldChar w:fldCharType="end"/>
        </w:r>
      </w:hyperlink>
    </w:p>
    <w:p w14:paraId="23FBC4E2" w14:textId="041F5754" w:rsidR="002D257B" w:rsidRDefault="00004BC1">
      <w:pPr>
        <w:pStyle w:val="TOC2"/>
        <w:tabs>
          <w:tab w:val="left" w:pos="1418"/>
        </w:tabs>
        <w:rPr>
          <w:noProof/>
          <w:sz w:val="22"/>
          <w:lang w:eastAsia="en-AU"/>
        </w:rPr>
      </w:pPr>
      <w:hyperlink w:anchor="_Toc93487777" w:history="1">
        <w:r w:rsidR="002D257B" w:rsidRPr="006A3D72">
          <w:rPr>
            <w:rStyle w:val="Hyperlink"/>
            <w:noProof/>
          </w:rPr>
          <w:t>2.6</w:t>
        </w:r>
        <w:r w:rsidR="002D257B">
          <w:rPr>
            <w:noProof/>
            <w:sz w:val="22"/>
            <w:lang w:eastAsia="en-AU"/>
          </w:rPr>
          <w:tab/>
        </w:r>
        <w:r w:rsidR="002D257B" w:rsidRPr="006A3D72">
          <w:rPr>
            <w:rStyle w:val="Hyperlink"/>
            <w:noProof/>
          </w:rPr>
          <w:t>The OECD global minimum tax will limit the problem, but not eliminate the problem</w:t>
        </w:r>
        <w:r w:rsidR="002D257B">
          <w:rPr>
            <w:noProof/>
            <w:webHidden/>
          </w:rPr>
          <w:tab/>
        </w:r>
        <w:r w:rsidR="002D257B">
          <w:rPr>
            <w:noProof/>
            <w:webHidden/>
          </w:rPr>
          <w:fldChar w:fldCharType="begin"/>
        </w:r>
        <w:r w:rsidR="002D257B">
          <w:rPr>
            <w:noProof/>
            <w:webHidden/>
          </w:rPr>
          <w:instrText xml:space="preserve"> PAGEREF _Toc93487777 \h </w:instrText>
        </w:r>
        <w:r w:rsidR="002D257B">
          <w:rPr>
            <w:noProof/>
            <w:webHidden/>
          </w:rPr>
        </w:r>
        <w:r w:rsidR="002D257B">
          <w:rPr>
            <w:noProof/>
            <w:webHidden/>
          </w:rPr>
          <w:fldChar w:fldCharType="separate"/>
        </w:r>
        <w:r w:rsidR="002D257B">
          <w:rPr>
            <w:noProof/>
            <w:webHidden/>
          </w:rPr>
          <w:t>15</w:t>
        </w:r>
        <w:r w:rsidR="002D257B">
          <w:rPr>
            <w:noProof/>
            <w:webHidden/>
          </w:rPr>
          <w:fldChar w:fldCharType="end"/>
        </w:r>
      </w:hyperlink>
    </w:p>
    <w:p w14:paraId="0CBCE9EC" w14:textId="2D9D3AFC" w:rsidR="002D257B" w:rsidRDefault="00004BC1">
      <w:pPr>
        <w:pStyle w:val="TOC2"/>
        <w:tabs>
          <w:tab w:val="left" w:pos="1418"/>
        </w:tabs>
        <w:rPr>
          <w:noProof/>
          <w:sz w:val="22"/>
          <w:lang w:eastAsia="en-AU"/>
        </w:rPr>
      </w:pPr>
      <w:hyperlink w:anchor="_Toc93487778" w:history="1">
        <w:r w:rsidR="002D257B" w:rsidRPr="006A3D72">
          <w:rPr>
            <w:rStyle w:val="Hyperlink"/>
            <w:noProof/>
          </w:rPr>
          <w:t>2.7</w:t>
        </w:r>
        <w:r w:rsidR="002D257B">
          <w:rPr>
            <w:noProof/>
            <w:sz w:val="22"/>
            <w:lang w:eastAsia="en-AU"/>
          </w:rPr>
          <w:tab/>
        </w:r>
        <w:r w:rsidR="002D257B" w:rsidRPr="006A3D72">
          <w:rPr>
            <w:rStyle w:val="Hyperlink"/>
            <w:noProof/>
          </w:rPr>
          <w:t>Patents are closely linked to innovation</w:t>
        </w:r>
        <w:r w:rsidR="002D257B">
          <w:rPr>
            <w:noProof/>
            <w:webHidden/>
          </w:rPr>
          <w:tab/>
        </w:r>
        <w:r w:rsidR="002D257B">
          <w:rPr>
            <w:noProof/>
            <w:webHidden/>
          </w:rPr>
          <w:fldChar w:fldCharType="begin"/>
        </w:r>
        <w:r w:rsidR="002D257B">
          <w:rPr>
            <w:noProof/>
            <w:webHidden/>
          </w:rPr>
          <w:instrText xml:space="preserve"> PAGEREF _Toc93487778 \h </w:instrText>
        </w:r>
        <w:r w:rsidR="002D257B">
          <w:rPr>
            <w:noProof/>
            <w:webHidden/>
          </w:rPr>
        </w:r>
        <w:r w:rsidR="002D257B">
          <w:rPr>
            <w:noProof/>
            <w:webHidden/>
          </w:rPr>
          <w:fldChar w:fldCharType="separate"/>
        </w:r>
        <w:r w:rsidR="002D257B">
          <w:rPr>
            <w:noProof/>
            <w:webHidden/>
          </w:rPr>
          <w:t>16</w:t>
        </w:r>
        <w:r w:rsidR="002D257B">
          <w:rPr>
            <w:noProof/>
            <w:webHidden/>
          </w:rPr>
          <w:fldChar w:fldCharType="end"/>
        </w:r>
      </w:hyperlink>
    </w:p>
    <w:p w14:paraId="4666B1B7" w14:textId="632DD18D" w:rsidR="002D257B" w:rsidRDefault="00004BC1">
      <w:pPr>
        <w:pStyle w:val="TOC2"/>
        <w:tabs>
          <w:tab w:val="left" w:pos="1418"/>
        </w:tabs>
        <w:rPr>
          <w:noProof/>
          <w:sz w:val="22"/>
          <w:lang w:eastAsia="en-AU"/>
        </w:rPr>
      </w:pPr>
      <w:hyperlink w:anchor="_Toc93487779" w:history="1">
        <w:r w:rsidR="002D257B" w:rsidRPr="006A3D72">
          <w:rPr>
            <w:rStyle w:val="Hyperlink"/>
            <w:noProof/>
          </w:rPr>
          <w:t>2.8</w:t>
        </w:r>
        <w:r w:rsidR="002D257B">
          <w:rPr>
            <w:noProof/>
            <w:sz w:val="22"/>
            <w:lang w:eastAsia="en-AU"/>
          </w:rPr>
          <w:tab/>
        </w:r>
        <w:r w:rsidR="002D257B" w:rsidRPr="006A3D72">
          <w:rPr>
            <w:rStyle w:val="Hyperlink"/>
            <w:noProof/>
          </w:rPr>
          <w:t>Overall Problem</w:t>
        </w:r>
        <w:r w:rsidR="002D257B">
          <w:rPr>
            <w:noProof/>
            <w:webHidden/>
          </w:rPr>
          <w:tab/>
        </w:r>
        <w:r w:rsidR="002D257B">
          <w:rPr>
            <w:noProof/>
            <w:webHidden/>
          </w:rPr>
          <w:fldChar w:fldCharType="begin"/>
        </w:r>
        <w:r w:rsidR="002D257B">
          <w:rPr>
            <w:noProof/>
            <w:webHidden/>
          </w:rPr>
          <w:instrText xml:space="preserve"> PAGEREF _Toc93487779 \h </w:instrText>
        </w:r>
        <w:r w:rsidR="002D257B">
          <w:rPr>
            <w:noProof/>
            <w:webHidden/>
          </w:rPr>
        </w:r>
        <w:r w:rsidR="002D257B">
          <w:rPr>
            <w:noProof/>
            <w:webHidden/>
          </w:rPr>
          <w:fldChar w:fldCharType="separate"/>
        </w:r>
        <w:r w:rsidR="002D257B">
          <w:rPr>
            <w:noProof/>
            <w:webHidden/>
          </w:rPr>
          <w:t>17</w:t>
        </w:r>
        <w:r w:rsidR="002D257B">
          <w:rPr>
            <w:noProof/>
            <w:webHidden/>
          </w:rPr>
          <w:fldChar w:fldCharType="end"/>
        </w:r>
      </w:hyperlink>
    </w:p>
    <w:p w14:paraId="6CBC8F0C" w14:textId="29831D43" w:rsidR="002D257B" w:rsidRDefault="00004BC1">
      <w:pPr>
        <w:pStyle w:val="TOC1"/>
        <w:rPr>
          <w:rFonts w:asciiTheme="minorHAnsi" w:hAnsiTheme="minorHAnsi"/>
          <w:smallCaps w:val="0"/>
          <w:noProof/>
          <w:color w:val="auto"/>
          <w:lang w:eastAsia="en-AU"/>
        </w:rPr>
      </w:pPr>
      <w:hyperlink w:anchor="_Toc93487780" w:history="1">
        <w:r w:rsidR="002D257B" w:rsidRPr="006A3D72">
          <w:rPr>
            <w:rStyle w:val="Hyperlink"/>
            <w:noProof/>
          </w:rPr>
          <w:t>3</w:t>
        </w:r>
        <w:r w:rsidR="002D257B">
          <w:rPr>
            <w:rFonts w:asciiTheme="minorHAnsi" w:hAnsiTheme="minorHAnsi"/>
            <w:smallCaps w:val="0"/>
            <w:noProof/>
            <w:color w:val="auto"/>
            <w:lang w:eastAsia="en-AU"/>
          </w:rPr>
          <w:tab/>
        </w:r>
        <w:r w:rsidR="002D257B" w:rsidRPr="006A3D72">
          <w:rPr>
            <w:rStyle w:val="Hyperlink"/>
            <w:noProof/>
          </w:rPr>
          <w:t>Options and Impacts</w:t>
        </w:r>
        <w:r w:rsidR="002D257B">
          <w:rPr>
            <w:noProof/>
            <w:webHidden/>
          </w:rPr>
          <w:tab/>
        </w:r>
        <w:r w:rsidR="002D257B">
          <w:rPr>
            <w:noProof/>
            <w:webHidden/>
          </w:rPr>
          <w:fldChar w:fldCharType="begin"/>
        </w:r>
        <w:r w:rsidR="002D257B">
          <w:rPr>
            <w:noProof/>
            <w:webHidden/>
          </w:rPr>
          <w:instrText xml:space="preserve"> PAGEREF _Toc93487780 \h </w:instrText>
        </w:r>
        <w:r w:rsidR="002D257B">
          <w:rPr>
            <w:noProof/>
            <w:webHidden/>
          </w:rPr>
        </w:r>
        <w:r w:rsidR="002D257B">
          <w:rPr>
            <w:noProof/>
            <w:webHidden/>
          </w:rPr>
          <w:fldChar w:fldCharType="separate"/>
        </w:r>
        <w:r w:rsidR="002D257B">
          <w:rPr>
            <w:noProof/>
            <w:webHidden/>
          </w:rPr>
          <w:t>18</w:t>
        </w:r>
        <w:r w:rsidR="002D257B">
          <w:rPr>
            <w:noProof/>
            <w:webHidden/>
          </w:rPr>
          <w:fldChar w:fldCharType="end"/>
        </w:r>
      </w:hyperlink>
    </w:p>
    <w:p w14:paraId="18C8A9D6" w14:textId="7F747CAE" w:rsidR="002D257B" w:rsidRDefault="00004BC1">
      <w:pPr>
        <w:pStyle w:val="TOC2"/>
        <w:tabs>
          <w:tab w:val="left" w:pos="1418"/>
        </w:tabs>
        <w:rPr>
          <w:noProof/>
          <w:sz w:val="22"/>
          <w:lang w:eastAsia="en-AU"/>
        </w:rPr>
      </w:pPr>
      <w:hyperlink w:anchor="_Toc93487781" w:history="1">
        <w:r w:rsidR="002D257B" w:rsidRPr="006A3D72">
          <w:rPr>
            <w:rStyle w:val="Hyperlink"/>
            <w:noProof/>
          </w:rPr>
          <w:t>3.1</w:t>
        </w:r>
        <w:r w:rsidR="002D257B">
          <w:rPr>
            <w:noProof/>
            <w:sz w:val="22"/>
            <w:lang w:eastAsia="en-AU"/>
          </w:rPr>
          <w:tab/>
        </w:r>
        <w:r w:rsidR="002D257B" w:rsidRPr="006A3D72">
          <w:rPr>
            <w:rStyle w:val="Hyperlink"/>
            <w:noProof/>
          </w:rPr>
          <w:t>Retain the status quo – no patent box (Option 1)</w:t>
        </w:r>
        <w:r w:rsidR="002D257B">
          <w:rPr>
            <w:noProof/>
            <w:webHidden/>
          </w:rPr>
          <w:tab/>
        </w:r>
        <w:r w:rsidR="002D257B">
          <w:rPr>
            <w:noProof/>
            <w:webHidden/>
          </w:rPr>
          <w:fldChar w:fldCharType="begin"/>
        </w:r>
        <w:r w:rsidR="002D257B">
          <w:rPr>
            <w:noProof/>
            <w:webHidden/>
          </w:rPr>
          <w:instrText xml:space="preserve"> PAGEREF _Toc93487781 \h </w:instrText>
        </w:r>
        <w:r w:rsidR="002D257B">
          <w:rPr>
            <w:noProof/>
            <w:webHidden/>
          </w:rPr>
        </w:r>
        <w:r w:rsidR="002D257B">
          <w:rPr>
            <w:noProof/>
            <w:webHidden/>
          </w:rPr>
          <w:fldChar w:fldCharType="separate"/>
        </w:r>
        <w:r w:rsidR="002D257B">
          <w:rPr>
            <w:noProof/>
            <w:webHidden/>
          </w:rPr>
          <w:t>18</w:t>
        </w:r>
        <w:r w:rsidR="002D257B">
          <w:rPr>
            <w:noProof/>
            <w:webHidden/>
          </w:rPr>
          <w:fldChar w:fldCharType="end"/>
        </w:r>
      </w:hyperlink>
    </w:p>
    <w:p w14:paraId="65282E90" w14:textId="798B19FD" w:rsidR="002D257B" w:rsidRDefault="00004BC1">
      <w:pPr>
        <w:pStyle w:val="TOC2"/>
        <w:tabs>
          <w:tab w:val="left" w:pos="1418"/>
        </w:tabs>
        <w:rPr>
          <w:noProof/>
          <w:sz w:val="22"/>
          <w:lang w:eastAsia="en-AU"/>
        </w:rPr>
      </w:pPr>
      <w:hyperlink w:anchor="_Toc93487782" w:history="1">
        <w:r w:rsidR="002D257B" w:rsidRPr="006A3D72">
          <w:rPr>
            <w:rStyle w:val="Hyperlink"/>
            <w:noProof/>
          </w:rPr>
          <w:t>3.2</w:t>
        </w:r>
        <w:r w:rsidR="002D257B">
          <w:rPr>
            <w:noProof/>
            <w:sz w:val="22"/>
            <w:lang w:eastAsia="en-AU"/>
          </w:rPr>
          <w:tab/>
        </w:r>
        <w:r w:rsidR="002D257B" w:rsidRPr="006A3D72">
          <w:rPr>
            <w:rStyle w:val="Hyperlink"/>
            <w:noProof/>
          </w:rPr>
          <w:t>Implement announced budget proposal (Option 2)</w:t>
        </w:r>
        <w:r w:rsidR="002D257B">
          <w:rPr>
            <w:noProof/>
            <w:webHidden/>
          </w:rPr>
          <w:tab/>
        </w:r>
        <w:r w:rsidR="002D257B">
          <w:rPr>
            <w:noProof/>
            <w:webHidden/>
          </w:rPr>
          <w:fldChar w:fldCharType="begin"/>
        </w:r>
        <w:r w:rsidR="002D257B">
          <w:rPr>
            <w:noProof/>
            <w:webHidden/>
          </w:rPr>
          <w:instrText xml:space="preserve"> PAGEREF _Toc93487782 \h </w:instrText>
        </w:r>
        <w:r w:rsidR="002D257B">
          <w:rPr>
            <w:noProof/>
            <w:webHidden/>
          </w:rPr>
        </w:r>
        <w:r w:rsidR="002D257B">
          <w:rPr>
            <w:noProof/>
            <w:webHidden/>
          </w:rPr>
          <w:fldChar w:fldCharType="separate"/>
        </w:r>
        <w:r w:rsidR="002D257B">
          <w:rPr>
            <w:noProof/>
            <w:webHidden/>
          </w:rPr>
          <w:t>19</w:t>
        </w:r>
        <w:r w:rsidR="002D257B">
          <w:rPr>
            <w:noProof/>
            <w:webHidden/>
          </w:rPr>
          <w:fldChar w:fldCharType="end"/>
        </w:r>
      </w:hyperlink>
    </w:p>
    <w:p w14:paraId="518F3084" w14:textId="208429B8" w:rsidR="002D257B" w:rsidRDefault="00004BC1">
      <w:pPr>
        <w:pStyle w:val="TOC2"/>
        <w:tabs>
          <w:tab w:val="left" w:pos="1418"/>
        </w:tabs>
        <w:rPr>
          <w:noProof/>
          <w:sz w:val="22"/>
          <w:lang w:eastAsia="en-AU"/>
        </w:rPr>
      </w:pPr>
      <w:hyperlink w:anchor="_Toc93487783" w:history="1">
        <w:r w:rsidR="002D257B" w:rsidRPr="006A3D72">
          <w:rPr>
            <w:rStyle w:val="Hyperlink"/>
            <w:noProof/>
          </w:rPr>
          <w:t>3.3</w:t>
        </w:r>
        <w:r w:rsidR="002D257B">
          <w:rPr>
            <w:noProof/>
            <w:sz w:val="22"/>
            <w:lang w:eastAsia="en-AU"/>
          </w:rPr>
          <w:tab/>
        </w:r>
        <w:r w:rsidR="002D257B" w:rsidRPr="006A3D72">
          <w:rPr>
            <w:rStyle w:val="Hyperlink"/>
            <w:noProof/>
          </w:rPr>
          <w:t>Further design options for Option 2</w:t>
        </w:r>
        <w:r w:rsidR="002D257B">
          <w:rPr>
            <w:noProof/>
            <w:webHidden/>
          </w:rPr>
          <w:tab/>
        </w:r>
        <w:r w:rsidR="002D257B">
          <w:rPr>
            <w:noProof/>
            <w:webHidden/>
          </w:rPr>
          <w:fldChar w:fldCharType="begin"/>
        </w:r>
        <w:r w:rsidR="002D257B">
          <w:rPr>
            <w:noProof/>
            <w:webHidden/>
          </w:rPr>
          <w:instrText xml:space="preserve"> PAGEREF _Toc93487783 \h </w:instrText>
        </w:r>
        <w:r w:rsidR="002D257B">
          <w:rPr>
            <w:noProof/>
            <w:webHidden/>
          </w:rPr>
        </w:r>
        <w:r w:rsidR="002D257B">
          <w:rPr>
            <w:noProof/>
            <w:webHidden/>
          </w:rPr>
          <w:fldChar w:fldCharType="separate"/>
        </w:r>
        <w:r w:rsidR="002D257B">
          <w:rPr>
            <w:noProof/>
            <w:webHidden/>
          </w:rPr>
          <w:t>20</w:t>
        </w:r>
        <w:r w:rsidR="002D257B">
          <w:rPr>
            <w:noProof/>
            <w:webHidden/>
          </w:rPr>
          <w:fldChar w:fldCharType="end"/>
        </w:r>
      </w:hyperlink>
    </w:p>
    <w:p w14:paraId="7D45087F" w14:textId="372B8300" w:rsidR="002D257B" w:rsidRDefault="00004BC1">
      <w:pPr>
        <w:pStyle w:val="TOC2"/>
        <w:tabs>
          <w:tab w:val="left" w:pos="1418"/>
        </w:tabs>
        <w:rPr>
          <w:noProof/>
          <w:sz w:val="22"/>
          <w:lang w:eastAsia="en-AU"/>
        </w:rPr>
      </w:pPr>
      <w:hyperlink w:anchor="_Toc93487784" w:history="1">
        <w:r w:rsidR="002D257B" w:rsidRPr="006A3D72">
          <w:rPr>
            <w:rStyle w:val="Hyperlink"/>
            <w:noProof/>
            <w:lang w:eastAsia="en-AU"/>
          </w:rPr>
          <w:t>3.4</w:t>
        </w:r>
        <w:r w:rsidR="002D257B">
          <w:rPr>
            <w:noProof/>
            <w:sz w:val="22"/>
            <w:lang w:eastAsia="en-AU"/>
          </w:rPr>
          <w:tab/>
        </w:r>
        <w:r w:rsidR="002D257B" w:rsidRPr="006A3D72">
          <w:rPr>
            <w:rStyle w:val="Hyperlink"/>
            <w:noProof/>
            <w:lang w:eastAsia="en-AU"/>
          </w:rPr>
          <w:t>Implement modified version of announced proposal (Option 3)</w:t>
        </w:r>
        <w:r w:rsidR="002D257B">
          <w:rPr>
            <w:noProof/>
            <w:webHidden/>
          </w:rPr>
          <w:tab/>
        </w:r>
        <w:r w:rsidR="002D257B">
          <w:rPr>
            <w:noProof/>
            <w:webHidden/>
          </w:rPr>
          <w:fldChar w:fldCharType="begin"/>
        </w:r>
        <w:r w:rsidR="002D257B">
          <w:rPr>
            <w:noProof/>
            <w:webHidden/>
          </w:rPr>
          <w:instrText xml:space="preserve"> PAGEREF _Toc93487784 \h </w:instrText>
        </w:r>
        <w:r w:rsidR="002D257B">
          <w:rPr>
            <w:noProof/>
            <w:webHidden/>
          </w:rPr>
        </w:r>
        <w:r w:rsidR="002D257B">
          <w:rPr>
            <w:noProof/>
            <w:webHidden/>
          </w:rPr>
          <w:fldChar w:fldCharType="separate"/>
        </w:r>
        <w:r w:rsidR="002D257B">
          <w:rPr>
            <w:noProof/>
            <w:webHidden/>
          </w:rPr>
          <w:t>28</w:t>
        </w:r>
        <w:r w:rsidR="002D257B">
          <w:rPr>
            <w:noProof/>
            <w:webHidden/>
          </w:rPr>
          <w:fldChar w:fldCharType="end"/>
        </w:r>
      </w:hyperlink>
    </w:p>
    <w:p w14:paraId="5C63FA74" w14:textId="70E83FFE" w:rsidR="002D257B" w:rsidRDefault="00004BC1">
      <w:pPr>
        <w:pStyle w:val="TOC1"/>
        <w:rPr>
          <w:rFonts w:asciiTheme="minorHAnsi" w:hAnsiTheme="minorHAnsi"/>
          <w:smallCaps w:val="0"/>
          <w:noProof/>
          <w:color w:val="auto"/>
          <w:lang w:eastAsia="en-AU"/>
        </w:rPr>
      </w:pPr>
      <w:hyperlink w:anchor="_Toc93487785" w:history="1">
        <w:r w:rsidR="002D257B" w:rsidRPr="006A3D72">
          <w:rPr>
            <w:rStyle w:val="Hyperlink"/>
            <w:noProof/>
          </w:rPr>
          <w:t>4</w:t>
        </w:r>
        <w:r w:rsidR="002D257B">
          <w:rPr>
            <w:rFonts w:asciiTheme="minorHAnsi" w:hAnsiTheme="minorHAnsi"/>
            <w:smallCaps w:val="0"/>
            <w:noProof/>
            <w:color w:val="auto"/>
            <w:lang w:eastAsia="en-AU"/>
          </w:rPr>
          <w:tab/>
        </w:r>
        <w:r w:rsidR="002D257B" w:rsidRPr="006A3D72">
          <w:rPr>
            <w:rStyle w:val="Hyperlink"/>
            <w:noProof/>
          </w:rPr>
          <w:t>Recommendation</w:t>
        </w:r>
        <w:r w:rsidR="002D257B">
          <w:rPr>
            <w:noProof/>
            <w:webHidden/>
          </w:rPr>
          <w:tab/>
        </w:r>
        <w:r w:rsidR="002D257B">
          <w:rPr>
            <w:noProof/>
            <w:webHidden/>
          </w:rPr>
          <w:fldChar w:fldCharType="begin"/>
        </w:r>
        <w:r w:rsidR="002D257B">
          <w:rPr>
            <w:noProof/>
            <w:webHidden/>
          </w:rPr>
          <w:instrText xml:space="preserve"> PAGEREF _Toc93487785 \h </w:instrText>
        </w:r>
        <w:r w:rsidR="002D257B">
          <w:rPr>
            <w:noProof/>
            <w:webHidden/>
          </w:rPr>
        </w:r>
        <w:r w:rsidR="002D257B">
          <w:rPr>
            <w:noProof/>
            <w:webHidden/>
          </w:rPr>
          <w:fldChar w:fldCharType="separate"/>
        </w:r>
        <w:r w:rsidR="002D257B">
          <w:rPr>
            <w:noProof/>
            <w:webHidden/>
          </w:rPr>
          <w:t>31</w:t>
        </w:r>
        <w:r w:rsidR="002D257B">
          <w:rPr>
            <w:noProof/>
            <w:webHidden/>
          </w:rPr>
          <w:fldChar w:fldCharType="end"/>
        </w:r>
      </w:hyperlink>
    </w:p>
    <w:p w14:paraId="028C19F9" w14:textId="701D7935" w:rsidR="002D257B" w:rsidRDefault="00004BC1">
      <w:pPr>
        <w:pStyle w:val="TOC2"/>
        <w:tabs>
          <w:tab w:val="left" w:pos="1418"/>
        </w:tabs>
        <w:rPr>
          <w:noProof/>
          <w:sz w:val="22"/>
          <w:lang w:eastAsia="en-AU"/>
        </w:rPr>
      </w:pPr>
      <w:hyperlink w:anchor="_Toc93487786" w:history="1">
        <w:r w:rsidR="002D257B" w:rsidRPr="006A3D72">
          <w:rPr>
            <w:rStyle w:val="Hyperlink"/>
            <w:noProof/>
          </w:rPr>
          <w:t>4.1</w:t>
        </w:r>
        <w:r w:rsidR="002D257B">
          <w:rPr>
            <w:noProof/>
            <w:sz w:val="22"/>
            <w:lang w:eastAsia="en-AU"/>
          </w:rPr>
          <w:tab/>
        </w:r>
        <w:r w:rsidR="002D257B" w:rsidRPr="006A3D72">
          <w:rPr>
            <w:rStyle w:val="Hyperlink"/>
            <w:noProof/>
          </w:rPr>
          <w:t>Overall impact</w:t>
        </w:r>
        <w:r w:rsidR="002D257B">
          <w:rPr>
            <w:noProof/>
            <w:webHidden/>
          </w:rPr>
          <w:tab/>
        </w:r>
        <w:r w:rsidR="002D257B">
          <w:rPr>
            <w:noProof/>
            <w:webHidden/>
          </w:rPr>
          <w:fldChar w:fldCharType="begin"/>
        </w:r>
        <w:r w:rsidR="002D257B">
          <w:rPr>
            <w:noProof/>
            <w:webHidden/>
          </w:rPr>
          <w:instrText xml:space="preserve"> PAGEREF _Toc93487786 \h </w:instrText>
        </w:r>
        <w:r w:rsidR="002D257B">
          <w:rPr>
            <w:noProof/>
            <w:webHidden/>
          </w:rPr>
        </w:r>
        <w:r w:rsidR="002D257B">
          <w:rPr>
            <w:noProof/>
            <w:webHidden/>
          </w:rPr>
          <w:fldChar w:fldCharType="separate"/>
        </w:r>
        <w:r w:rsidR="002D257B">
          <w:rPr>
            <w:noProof/>
            <w:webHidden/>
          </w:rPr>
          <w:t>31</w:t>
        </w:r>
        <w:r w:rsidR="002D257B">
          <w:rPr>
            <w:noProof/>
            <w:webHidden/>
          </w:rPr>
          <w:fldChar w:fldCharType="end"/>
        </w:r>
      </w:hyperlink>
    </w:p>
    <w:p w14:paraId="53CD132A" w14:textId="09EBC23F" w:rsidR="002D257B" w:rsidRDefault="00004BC1">
      <w:pPr>
        <w:pStyle w:val="TOC2"/>
        <w:tabs>
          <w:tab w:val="left" w:pos="1418"/>
        </w:tabs>
        <w:rPr>
          <w:noProof/>
          <w:sz w:val="22"/>
          <w:lang w:eastAsia="en-AU"/>
        </w:rPr>
      </w:pPr>
      <w:hyperlink w:anchor="_Toc93487787" w:history="1">
        <w:r w:rsidR="002D257B" w:rsidRPr="006A3D72">
          <w:rPr>
            <w:rStyle w:val="Hyperlink"/>
            <w:noProof/>
          </w:rPr>
          <w:t>4.2</w:t>
        </w:r>
        <w:r w:rsidR="002D257B">
          <w:rPr>
            <w:noProof/>
            <w:sz w:val="22"/>
            <w:lang w:eastAsia="en-AU"/>
          </w:rPr>
          <w:tab/>
        </w:r>
        <w:r w:rsidR="002D257B" w:rsidRPr="006A3D72">
          <w:rPr>
            <w:rStyle w:val="Hyperlink"/>
            <w:noProof/>
          </w:rPr>
          <w:t>Overall Recommendation</w:t>
        </w:r>
        <w:r w:rsidR="002D257B">
          <w:rPr>
            <w:noProof/>
            <w:webHidden/>
          </w:rPr>
          <w:tab/>
        </w:r>
        <w:r w:rsidR="002D257B">
          <w:rPr>
            <w:noProof/>
            <w:webHidden/>
          </w:rPr>
          <w:fldChar w:fldCharType="begin"/>
        </w:r>
        <w:r w:rsidR="002D257B">
          <w:rPr>
            <w:noProof/>
            <w:webHidden/>
          </w:rPr>
          <w:instrText xml:space="preserve"> PAGEREF _Toc93487787 \h </w:instrText>
        </w:r>
        <w:r w:rsidR="002D257B">
          <w:rPr>
            <w:noProof/>
            <w:webHidden/>
          </w:rPr>
        </w:r>
        <w:r w:rsidR="002D257B">
          <w:rPr>
            <w:noProof/>
            <w:webHidden/>
          </w:rPr>
          <w:fldChar w:fldCharType="separate"/>
        </w:r>
        <w:r w:rsidR="002D257B">
          <w:rPr>
            <w:noProof/>
            <w:webHidden/>
          </w:rPr>
          <w:t>33</w:t>
        </w:r>
        <w:r w:rsidR="002D257B">
          <w:rPr>
            <w:noProof/>
            <w:webHidden/>
          </w:rPr>
          <w:fldChar w:fldCharType="end"/>
        </w:r>
      </w:hyperlink>
    </w:p>
    <w:p w14:paraId="7D650474" w14:textId="70E78102" w:rsidR="002D257B" w:rsidRDefault="00004BC1">
      <w:pPr>
        <w:pStyle w:val="TOC1"/>
        <w:rPr>
          <w:rFonts w:asciiTheme="minorHAnsi" w:hAnsiTheme="minorHAnsi"/>
          <w:smallCaps w:val="0"/>
          <w:noProof/>
          <w:color w:val="auto"/>
          <w:lang w:eastAsia="en-AU"/>
        </w:rPr>
      </w:pPr>
      <w:hyperlink w:anchor="_Toc93487788" w:history="1">
        <w:r w:rsidR="002D257B" w:rsidRPr="006A3D72">
          <w:rPr>
            <w:rStyle w:val="Hyperlink"/>
            <w:noProof/>
          </w:rPr>
          <w:t>5</w:t>
        </w:r>
        <w:r w:rsidR="002D257B">
          <w:rPr>
            <w:rFonts w:asciiTheme="minorHAnsi" w:hAnsiTheme="minorHAnsi"/>
            <w:smallCaps w:val="0"/>
            <w:noProof/>
            <w:color w:val="auto"/>
            <w:lang w:eastAsia="en-AU"/>
          </w:rPr>
          <w:tab/>
        </w:r>
        <w:r w:rsidR="002D257B" w:rsidRPr="006A3D72">
          <w:rPr>
            <w:rStyle w:val="Hyperlink"/>
            <w:noProof/>
          </w:rPr>
          <w:t>Consultation</w:t>
        </w:r>
        <w:r w:rsidR="002D257B">
          <w:rPr>
            <w:noProof/>
            <w:webHidden/>
          </w:rPr>
          <w:tab/>
        </w:r>
        <w:r w:rsidR="002D257B">
          <w:rPr>
            <w:noProof/>
            <w:webHidden/>
          </w:rPr>
          <w:fldChar w:fldCharType="begin"/>
        </w:r>
        <w:r w:rsidR="002D257B">
          <w:rPr>
            <w:noProof/>
            <w:webHidden/>
          </w:rPr>
          <w:instrText xml:space="preserve"> PAGEREF _Toc93487788 \h </w:instrText>
        </w:r>
        <w:r w:rsidR="002D257B">
          <w:rPr>
            <w:noProof/>
            <w:webHidden/>
          </w:rPr>
        </w:r>
        <w:r w:rsidR="002D257B">
          <w:rPr>
            <w:noProof/>
            <w:webHidden/>
          </w:rPr>
          <w:fldChar w:fldCharType="separate"/>
        </w:r>
        <w:r w:rsidR="002D257B">
          <w:rPr>
            <w:noProof/>
            <w:webHidden/>
          </w:rPr>
          <w:t>35</w:t>
        </w:r>
        <w:r w:rsidR="002D257B">
          <w:rPr>
            <w:noProof/>
            <w:webHidden/>
          </w:rPr>
          <w:fldChar w:fldCharType="end"/>
        </w:r>
      </w:hyperlink>
    </w:p>
    <w:p w14:paraId="2768D0F3" w14:textId="5CE9B405" w:rsidR="002D257B" w:rsidRDefault="00004BC1">
      <w:pPr>
        <w:pStyle w:val="TOC2"/>
        <w:tabs>
          <w:tab w:val="left" w:pos="1418"/>
        </w:tabs>
        <w:rPr>
          <w:noProof/>
          <w:sz w:val="22"/>
          <w:lang w:eastAsia="en-AU"/>
        </w:rPr>
      </w:pPr>
      <w:hyperlink w:anchor="_Toc93487789" w:history="1">
        <w:r w:rsidR="002D257B" w:rsidRPr="006A3D72">
          <w:rPr>
            <w:rStyle w:val="Hyperlink"/>
            <w:noProof/>
          </w:rPr>
          <w:t>5.1</w:t>
        </w:r>
        <w:r w:rsidR="002D257B">
          <w:rPr>
            <w:noProof/>
            <w:sz w:val="22"/>
            <w:lang w:eastAsia="en-AU"/>
          </w:rPr>
          <w:tab/>
        </w:r>
        <w:r w:rsidR="002D257B" w:rsidRPr="006A3D72">
          <w:rPr>
            <w:rStyle w:val="Hyperlink"/>
            <w:noProof/>
          </w:rPr>
          <w:t>Six-week public consultation on patent box for medical and biotech sector</w:t>
        </w:r>
        <w:r w:rsidR="002D257B">
          <w:rPr>
            <w:noProof/>
            <w:webHidden/>
          </w:rPr>
          <w:tab/>
        </w:r>
        <w:r w:rsidR="002D257B">
          <w:rPr>
            <w:noProof/>
            <w:webHidden/>
          </w:rPr>
          <w:fldChar w:fldCharType="begin"/>
        </w:r>
        <w:r w:rsidR="002D257B">
          <w:rPr>
            <w:noProof/>
            <w:webHidden/>
          </w:rPr>
          <w:instrText xml:space="preserve"> PAGEREF _Toc93487789 \h </w:instrText>
        </w:r>
        <w:r w:rsidR="002D257B">
          <w:rPr>
            <w:noProof/>
            <w:webHidden/>
          </w:rPr>
        </w:r>
        <w:r w:rsidR="002D257B">
          <w:rPr>
            <w:noProof/>
            <w:webHidden/>
          </w:rPr>
          <w:fldChar w:fldCharType="separate"/>
        </w:r>
        <w:r w:rsidR="002D257B">
          <w:rPr>
            <w:noProof/>
            <w:webHidden/>
          </w:rPr>
          <w:t>35</w:t>
        </w:r>
        <w:r w:rsidR="002D257B">
          <w:rPr>
            <w:noProof/>
            <w:webHidden/>
          </w:rPr>
          <w:fldChar w:fldCharType="end"/>
        </w:r>
      </w:hyperlink>
    </w:p>
    <w:p w14:paraId="7B24C906" w14:textId="535BF1A0" w:rsidR="002D257B" w:rsidRDefault="00004BC1">
      <w:pPr>
        <w:pStyle w:val="TOC2"/>
        <w:tabs>
          <w:tab w:val="left" w:pos="1418"/>
        </w:tabs>
        <w:rPr>
          <w:noProof/>
          <w:sz w:val="22"/>
          <w:lang w:eastAsia="en-AU"/>
        </w:rPr>
      </w:pPr>
      <w:hyperlink w:anchor="_Toc93487790" w:history="1">
        <w:r w:rsidR="002D257B" w:rsidRPr="006A3D72">
          <w:rPr>
            <w:rStyle w:val="Hyperlink"/>
            <w:noProof/>
          </w:rPr>
          <w:t>5.2</w:t>
        </w:r>
        <w:r w:rsidR="002D257B">
          <w:rPr>
            <w:noProof/>
            <w:sz w:val="22"/>
            <w:lang w:eastAsia="en-AU"/>
          </w:rPr>
          <w:tab/>
        </w:r>
        <w:r w:rsidR="002D257B" w:rsidRPr="006A3D72">
          <w:rPr>
            <w:rStyle w:val="Hyperlink"/>
            <w:noProof/>
          </w:rPr>
          <w:t>Outcomes of targeted consultation on exposure draft legislation</w:t>
        </w:r>
        <w:r w:rsidR="002D257B">
          <w:rPr>
            <w:noProof/>
            <w:webHidden/>
          </w:rPr>
          <w:tab/>
        </w:r>
        <w:r w:rsidR="002D257B">
          <w:rPr>
            <w:noProof/>
            <w:webHidden/>
          </w:rPr>
          <w:fldChar w:fldCharType="begin"/>
        </w:r>
        <w:r w:rsidR="002D257B">
          <w:rPr>
            <w:noProof/>
            <w:webHidden/>
          </w:rPr>
          <w:instrText xml:space="preserve"> PAGEREF _Toc93487790 \h </w:instrText>
        </w:r>
        <w:r w:rsidR="002D257B">
          <w:rPr>
            <w:noProof/>
            <w:webHidden/>
          </w:rPr>
        </w:r>
        <w:r w:rsidR="002D257B">
          <w:rPr>
            <w:noProof/>
            <w:webHidden/>
          </w:rPr>
          <w:fldChar w:fldCharType="separate"/>
        </w:r>
        <w:r w:rsidR="002D257B">
          <w:rPr>
            <w:noProof/>
            <w:webHidden/>
          </w:rPr>
          <w:t>39</w:t>
        </w:r>
        <w:r w:rsidR="002D257B">
          <w:rPr>
            <w:noProof/>
            <w:webHidden/>
          </w:rPr>
          <w:fldChar w:fldCharType="end"/>
        </w:r>
      </w:hyperlink>
    </w:p>
    <w:p w14:paraId="4D40E7B6" w14:textId="7E236CA8" w:rsidR="002D257B" w:rsidRDefault="00004BC1">
      <w:pPr>
        <w:pStyle w:val="TOC1"/>
        <w:rPr>
          <w:rFonts w:asciiTheme="minorHAnsi" w:hAnsiTheme="minorHAnsi"/>
          <w:smallCaps w:val="0"/>
          <w:noProof/>
          <w:color w:val="auto"/>
          <w:lang w:eastAsia="en-AU"/>
        </w:rPr>
      </w:pPr>
      <w:hyperlink w:anchor="_Toc93487791" w:history="1">
        <w:r w:rsidR="002D257B" w:rsidRPr="006A3D72">
          <w:rPr>
            <w:rStyle w:val="Hyperlink"/>
            <w:noProof/>
          </w:rPr>
          <w:t>6</w:t>
        </w:r>
        <w:r w:rsidR="002D257B">
          <w:rPr>
            <w:rFonts w:asciiTheme="minorHAnsi" w:hAnsiTheme="minorHAnsi"/>
            <w:smallCaps w:val="0"/>
            <w:noProof/>
            <w:color w:val="auto"/>
            <w:lang w:eastAsia="en-AU"/>
          </w:rPr>
          <w:tab/>
        </w:r>
        <w:r w:rsidR="002D257B" w:rsidRPr="006A3D72">
          <w:rPr>
            <w:rStyle w:val="Hyperlink"/>
            <w:noProof/>
          </w:rPr>
          <w:t>Implementation and evaluation</w:t>
        </w:r>
        <w:r w:rsidR="002D257B">
          <w:rPr>
            <w:noProof/>
            <w:webHidden/>
          </w:rPr>
          <w:tab/>
        </w:r>
        <w:r w:rsidR="002D257B">
          <w:rPr>
            <w:noProof/>
            <w:webHidden/>
          </w:rPr>
          <w:fldChar w:fldCharType="begin"/>
        </w:r>
        <w:r w:rsidR="002D257B">
          <w:rPr>
            <w:noProof/>
            <w:webHidden/>
          </w:rPr>
          <w:instrText xml:space="preserve"> PAGEREF _Toc93487791 \h </w:instrText>
        </w:r>
        <w:r w:rsidR="002D257B">
          <w:rPr>
            <w:noProof/>
            <w:webHidden/>
          </w:rPr>
        </w:r>
        <w:r w:rsidR="002D257B">
          <w:rPr>
            <w:noProof/>
            <w:webHidden/>
          </w:rPr>
          <w:fldChar w:fldCharType="separate"/>
        </w:r>
        <w:r w:rsidR="002D257B">
          <w:rPr>
            <w:noProof/>
            <w:webHidden/>
          </w:rPr>
          <w:t>41</w:t>
        </w:r>
        <w:r w:rsidR="002D257B">
          <w:rPr>
            <w:noProof/>
            <w:webHidden/>
          </w:rPr>
          <w:fldChar w:fldCharType="end"/>
        </w:r>
      </w:hyperlink>
    </w:p>
    <w:p w14:paraId="4E0606C2" w14:textId="01AE1D92" w:rsidR="002D257B" w:rsidRDefault="00004BC1">
      <w:pPr>
        <w:pStyle w:val="TOC1"/>
        <w:rPr>
          <w:rFonts w:asciiTheme="minorHAnsi" w:hAnsiTheme="minorHAnsi"/>
          <w:smallCaps w:val="0"/>
          <w:noProof/>
          <w:color w:val="auto"/>
          <w:lang w:eastAsia="en-AU"/>
        </w:rPr>
      </w:pPr>
      <w:hyperlink w:anchor="_Toc93487792" w:history="1">
        <w:r w:rsidR="002D257B" w:rsidRPr="006A3D72">
          <w:rPr>
            <w:rStyle w:val="Hyperlink"/>
            <w:noProof/>
          </w:rPr>
          <w:t>7</w:t>
        </w:r>
        <w:r w:rsidR="002D257B">
          <w:rPr>
            <w:rFonts w:asciiTheme="minorHAnsi" w:hAnsiTheme="minorHAnsi"/>
            <w:smallCaps w:val="0"/>
            <w:noProof/>
            <w:color w:val="auto"/>
            <w:lang w:eastAsia="en-AU"/>
          </w:rPr>
          <w:tab/>
        </w:r>
        <w:r w:rsidR="002D257B" w:rsidRPr="006A3D72">
          <w:rPr>
            <w:rStyle w:val="Hyperlink"/>
            <w:noProof/>
          </w:rPr>
          <w:t>References</w:t>
        </w:r>
        <w:r w:rsidR="002D257B">
          <w:rPr>
            <w:noProof/>
            <w:webHidden/>
          </w:rPr>
          <w:tab/>
        </w:r>
        <w:r w:rsidR="002D257B">
          <w:rPr>
            <w:noProof/>
            <w:webHidden/>
          </w:rPr>
          <w:fldChar w:fldCharType="begin"/>
        </w:r>
        <w:r w:rsidR="002D257B">
          <w:rPr>
            <w:noProof/>
            <w:webHidden/>
          </w:rPr>
          <w:instrText xml:space="preserve"> PAGEREF _Toc93487792 \h </w:instrText>
        </w:r>
        <w:r w:rsidR="002D257B">
          <w:rPr>
            <w:noProof/>
            <w:webHidden/>
          </w:rPr>
        </w:r>
        <w:r w:rsidR="002D257B">
          <w:rPr>
            <w:noProof/>
            <w:webHidden/>
          </w:rPr>
          <w:fldChar w:fldCharType="separate"/>
        </w:r>
        <w:r w:rsidR="002D257B">
          <w:rPr>
            <w:noProof/>
            <w:webHidden/>
          </w:rPr>
          <w:t>42</w:t>
        </w:r>
        <w:r w:rsidR="002D257B">
          <w:rPr>
            <w:noProof/>
            <w:webHidden/>
          </w:rPr>
          <w:fldChar w:fldCharType="end"/>
        </w:r>
      </w:hyperlink>
    </w:p>
    <w:p w14:paraId="59150AAF" w14:textId="6A365422" w:rsidR="007E3A22" w:rsidRDefault="008150F1" w:rsidP="008150F1">
      <w:pPr>
        <w:spacing w:after="0"/>
        <w:rPr>
          <w:rStyle w:val="Hyperlink"/>
          <w:rFonts w:ascii="Open Sans" w:hAnsi="Open Sans" w:cs="Open Sans"/>
        </w:rPr>
      </w:pPr>
      <w:r>
        <w:rPr>
          <w:rStyle w:val="Hyperlink"/>
          <w:rFonts w:ascii="Open Sans" w:hAnsi="Open Sans" w:cs="Open Sans"/>
        </w:rPr>
        <w:fldChar w:fldCharType="end"/>
      </w:r>
      <w:r w:rsidR="00DA42C1">
        <w:rPr>
          <w:rStyle w:val="Hyperlink"/>
          <w:rFonts w:ascii="Open Sans" w:hAnsi="Open Sans" w:cs="Open Sans"/>
        </w:rPr>
        <w:br w:type="page"/>
      </w:r>
    </w:p>
    <w:p w14:paraId="3C2EA4B9" w14:textId="4E434C37" w:rsidR="00F012EA" w:rsidRPr="00B12319" w:rsidRDefault="006C066C" w:rsidP="005862BA">
      <w:pPr>
        <w:pStyle w:val="H1Opensans"/>
      </w:pPr>
      <w:bookmarkStart w:id="4" w:name="_Toc81382242"/>
      <w:bookmarkStart w:id="5" w:name="_Toc81413079"/>
      <w:bookmarkStart w:id="6" w:name="_Toc81932663"/>
      <w:bookmarkStart w:id="7" w:name="_Toc82428752"/>
      <w:bookmarkStart w:id="8" w:name="_Toc91078444"/>
      <w:bookmarkStart w:id="9" w:name="_Toc93487766"/>
      <w:bookmarkStart w:id="10" w:name="_Hlk80895314"/>
      <w:r w:rsidRPr="00B12319">
        <w:lastRenderedPageBreak/>
        <w:t>Executive Summary</w:t>
      </w:r>
      <w:bookmarkEnd w:id="4"/>
      <w:bookmarkEnd w:id="5"/>
      <w:bookmarkEnd w:id="6"/>
      <w:bookmarkEnd w:id="7"/>
      <w:bookmarkEnd w:id="8"/>
      <w:bookmarkEnd w:id="9"/>
    </w:p>
    <w:bookmarkEnd w:id="10"/>
    <w:p w14:paraId="08BD5F39" w14:textId="75FE71DE" w:rsidR="00F3702E" w:rsidRPr="00937E40" w:rsidRDefault="00CD476B" w:rsidP="00F3702E">
      <w:pPr>
        <w:rPr>
          <w:rFonts w:ascii="Open Sans" w:hAnsi="Open Sans" w:cs="Open Sans"/>
        </w:rPr>
      </w:pPr>
      <w:r w:rsidRPr="00FE6AE7">
        <w:rPr>
          <w:rFonts w:ascii="Open Sans" w:hAnsi="Open Sans" w:cs="Open Sans"/>
        </w:rPr>
        <w:t>The purpose of this Regulation Impact Statement</w:t>
      </w:r>
      <w:r w:rsidR="00E15E90" w:rsidRPr="00FE6AE7">
        <w:rPr>
          <w:rFonts w:ascii="Open Sans" w:hAnsi="Open Sans" w:cs="Open Sans"/>
          <w:vertAlign w:val="superscript"/>
        </w:rPr>
        <w:t>1</w:t>
      </w:r>
      <w:r w:rsidRPr="00FE6AE7">
        <w:rPr>
          <w:rFonts w:ascii="Open Sans" w:hAnsi="Open Sans" w:cs="Open Sans"/>
        </w:rPr>
        <w:t xml:space="preserve"> is </w:t>
      </w:r>
      <w:r w:rsidR="00C64D27" w:rsidRPr="00FE6AE7">
        <w:rPr>
          <w:rFonts w:ascii="Open Sans" w:hAnsi="Open Sans" w:cs="Open Sans"/>
        </w:rPr>
        <w:t xml:space="preserve">to </w:t>
      </w:r>
      <w:r w:rsidR="008C28A9" w:rsidRPr="00FE6AE7">
        <w:rPr>
          <w:rFonts w:ascii="Open Sans" w:hAnsi="Open Sans" w:cs="Open Sans"/>
        </w:rPr>
        <w:t xml:space="preserve">provide an </w:t>
      </w:r>
      <w:r w:rsidR="00C64D27" w:rsidRPr="00FE6AE7">
        <w:rPr>
          <w:rFonts w:ascii="Open Sans" w:hAnsi="Open Sans" w:cs="Open Sans"/>
        </w:rPr>
        <w:t xml:space="preserve">estimate </w:t>
      </w:r>
      <w:r w:rsidR="008C28A9" w:rsidRPr="00FE6AE7">
        <w:rPr>
          <w:rFonts w:ascii="Open Sans" w:hAnsi="Open Sans" w:cs="Open Sans"/>
        </w:rPr>
        <w:t>of the</w:t>
      </w:r>
      <w:r w:rsidR="00C64D27" w:rsidRPr="00FE6AE7">
        <w:rPr>
          <w:rFonts w:ascii="Open Sans" w:hAnsi="Open Sans" w:cs="Open Sans"/>
        </w:rPr>
        <w:t xml:space="preserve"> </w:t>
      </w:r>
      <w:r w:rsidR="00C57CBC" w:rsidRPr="00FE6AE7">
        <w:rPr>
          <w:rFonts w:ascii="Open Sans" w:hAnsi="Open Sans" w:cs="Open Sans"/>
        </w:rPr>
        <w:t xml:space="preserve">policy and regulatory </w:t>
      </w:r>
      <w:r w:rsidR="00C64D27" w:rsidRPr="00FE6AE7">
        <w:rPr>
          <w:rFonts w:ascii="Open Sans" w:hAnsi="Open Sans" w:cs="Open Sans"/>
        </w:rPr>
        <w:t xml:space="preserve">impacts </w:t>
      </w:r>
      <w:r w:rsidR="00FB4E72" w:rsidRPr="00FE6AE7">
        <w:rPr>
          <w:rFonts w:ascii="Open Sans" w:hAnsi="Open Sans" w:cs="Open Sans"/>
        </w:rPr>
        <w:t>of</w:t>
      </w:r>
      <w:r w:rsidRPr="00FE6AE7">
        <w:rPr>
          <w:rFonts w:ascii="Open Sans" w:hAnsi="Open Sans" w:cs="Open Sans"/>
        </w:rPr>
        <w:t xml:space="preserve"> Australia </w:t>
      </w:r>
      <w:r w:rsidR="002964E0" w:rsidRPr="00FE6AE7">
        <w:rPr>
          <w:rFonts w:ascii="Open Sans" w:hAnsi="Open Sans" w:cs="Open Sans"/>
        </w:rPr>
        <w:t xml:space="preserve">adopting a </w:t>
      </w:r>
      <w:r w:rsidR="002D53AC" w:rsidRPr="00FE6AE7">
        <w:rPr>
          <w:rFonts w:ascii="Open Sans" w:hAnsi="Open Sans" w:cs="Open Sans"/>
        </w:rPr>
        <w:t>‘patent box’</w:t>
      </w:r>
      <w:r w:rsidR="002A4A40" w:rsidRPr="00FE6AE7">
        <w:rPr>
          <w:rFonts w:ascii="Open Sans" w:hAnsi="Open Sans" w:cs="Open Sans"/>
        </w:rPr>
        <w:t xml:space="preserve"> in the medical and biotechnology sectors</w:t>
      </w:r>
      <w:r w:rsidR="0040669A" w:rsidRPr="00FE6AE7">
        <w:rPr>
          <w:rFonts w:ascii="Open Sans" w:hAnsi="Open Sans" w:cs="Open Sans"/>
        </w:rPr>
        <w:t xml:space="preserve">. A patent box is a policy tool that provides a reduced corporate tax rate on income generated from particular types of qualifying intellectual property (IP), particularly patents. </w:t>
      </w:r>
      <w:r w:rsidR="002A4A40" w:rsidRPr="00FE6AE7">
        <w:rPr>
          <w:rFonts w:ascii="Open Sans" w:hAnsi="Open Sans" w:cs="Open Sans"/>
        </w:rPr>
        <w:t>Under the</w:t>
      </w:r>
      <w:r w:rsidR="0040669A" w:rsidRPr="00FE6AE7" w:rsidDel="00FE6AE7">
        <w:rPr>
          <w:rFonts w:ascii="Open Sans" w:hAnsi="Open Sans" w:cs="Open Sans"/>
        </w:rPr>
        <w:t xml:space="preserve"> </w:t>
      </w:r>
      <w:r w:rsidR="0040669A" w:rsidRPr="00FE6AE7">
        <w:rPr>
          <w:rFonts w:ascii="Open Sans" w:hAnsi="Open Sans" w:cs="Open Sans"/>
        </w:rPr>
        <w:t>proposed patent box</w:t>
      </w:r>
      <w:r w:rsidR="002A4A40" w:rsidRPr="00FE6AE7">
        <w:rPr>
          <w:rFonts w:ascii="Open Sans" w:hAnsi="Open Sans" w:cs="Open Sans"/>
        </w:rPr>
        <w:t>, the intention would be to</w:t>
      </w:r>
      <w:r w:rsidR="00E1360E" w:rsidRPr="00FE6AE7">
        <w:rPr>
          <w:rFonts w:ascii="Open Sans" w:hAnsi="Open Sans" w:cs="Open Sans"/>
        </w:rPr>
        <w:t xml:space="preserve"> </w:t>
      </w:r>
      <w:r w:rsidR="00F3702E" w:rsidRPr="00FE6AE7">
        <w:rPr>
          <w:rFonts w:ascii="Open Sans" w:hAnsi="Open Sans" w:cs="Open Sans"/>
        </w:rPr>
        <w:t>tax corporate income derived from eligible Australian patents in the medical and biotechnology sectors at a concessional rate effective from 1 July 2022.</w:t>
      </w:r>
    </w:p>
    <w:p w14:paraId="6227D5E3" w14:textId="1657396F" w:rsidR="003D68B0" w:rsidRDefault="003D68B0" w:rsidP="00A83BC8">
      <w:pPr>
        <w:pStyle w:val="H2Opensans"/>
      </w:pPr>
      <w:bookmarkStart w:id="11" w:name="_Toc81382243"/>
      <w:bookmarkStart w:id="12" w:name="_Toc81413080"/>
      <w:bookmarkStart w:id="13" w:name="_Toc82428753"/>
      <w:bookmarkStart w:id="14" w:name="_Toc91078445"/>
      <w:bookmarkStart w:id="15" w:name="_Toc93487767"/>
      <w:r w:rsidRPr="003D68B0">
        <w:t>Problem</w:t>
      </w:r>
      <w:bookmarkEnd w:id="11"/>
      <w:bookmarkEnd w:id="12"/>
      <w:bookmarkEnd w:id="13"/>
      <w:bookmarkEnd w:id="14"/>
      <w:bookmarkEnd w:id="15"/>
    </w:p>
    <w:p w14:paraId="61076442" w14:textId="3D633800" w:rsidR="008F520C" w:rsidRDefault="008F520C" w:rsidP="008F520C">
      <w:pPr>
        <w:pStyle w:val="TextOpensans"/>
      </w:pPr>
      <w:r w:rsidRPr="00FE6AE7">
        <w:t xml:space="preserve">Over the last 20 years, </w:t>
      </w:r>
      <w:r w:rsidR="002A4A40" w:rsidRPr="00FE6AE7">
        <w:t xml:space="preserve">a number of factors </w:t>
      </w:r>
      <w:r w:rsidRPr="00FE6AE7">
        <w:t xml:space="preserve">have emerged </w:t>
      </w:r>
      <w:r w:rsidR="00DB77CC" w:rsidRPr="00FE6AE7">
        <w:t>that</w:t>
      </w:r>
      <w:r w:rsidRPr="00FE6AE7">
        <w:t xml:space="preserve"> </w:t>
      </w:r>
      <w:r w:rsidR="002A4A40" w:rsidRPr="009578E0">
        <w:t>have worked to disincentivise</w:t>
      </w:r>
      <w:r w:rsidR="002A4A40" w:rsidRPr="00FE6AE7">
        <w:t xml:space="preserve"> </w:t>
      </w:r>
      <w:r w:rsidRPr="00FE6AE7">
        <w:t xml:space="preserve">the </w:t>
      </w:r>
      <w:r w:rsidR="00E80023" w:rsidRPr="00FE6AE7">
        <w:t xml:space="preserve">development and </w:t>
      </w:r>
      <w:r w:rsidRPr="00937E40">
        <w:t xml:space="preserve">retention of IP assets in Australia’s tax </w:t>
      </w:r>
      <w:r w:rsidR="00D92159" w:rsidRPr="00937E40">
        <w:t>jurisdiction</w:t>
      </w:r>
      <w:r w:rsidRPr="00937E40">
        <w:t xml:space="preserve">, along with the R&amp;D operations that underpin </w:t>
      </w:r>
      <w:r>
        <w:t>them</w:t>
      </w:r>
      <w:r w:rsidR="008D13BE">
        <w:t>. Two key factors are</w:t>
      </w:r>
      <w:r w:rsidR="00E80023">
        <w:t>:</w:t>
      </w:r>
    </w:p>
    <w:p w14:paraId="739E14CF" w14:textId="646F39C6" w:rsidR="008F520C" w:rsidRPr="00DB7454" w:rsidRDefault="002A50FA" w:rsidP="008F520C">
      <w:pPr>
        <w:pStyle w:val="Bullet"/>
        <w:rPr>
          <w:rFonts w:ascii="Open Sans" w:hAnsi="Open Sans" w:cs="Open Sans"/>
        </w:rPr>
      </w:pPr>
      <w:r>
        <w:rPr>
          <w:rFonts w:ascii="Open Sans" w:hAnsi="Open Sans" w:cs="Open Sans"/>
        </w:rPr>
        <w:t>Q</w:t>
      </w:r>
      <w:r w:rsidR="008D13BE">
        <w:rPr>
          <w:rFonts w:ascii="Open Sans" w:hAnsi="Open Sans" w:cs="Open Sans"/>
        </w:rPr>
        <w:t>uite</w:t>
      </w:r>
      <w:r w:rsidR="002A4A40" w:rsidRPr="002A4A40">
        <w:rPr>
          <w:rFonts w:ascii="Open Sans" w:hAnsi="Open Sans" w:cs="Open Sans"/>
        </w:rPr>
        <w:t xml:space="preserve"> significant</w:t>
      </w:r>
      <w:r w:rsidR="00D92159">
        <w:rPr>
          <w:rFonts w:ascii="Open Sans" w:hAnsi="Open Sans" w:cs="Open Sans"/>
        </w:rPr>
        <w:t xml:space="preserve"> reductions in corporate tax rates overseas</w:t>
      </w:r>
      <w:r w:rsidR="008D13BE">
        <w:rPr>
          <w:rFonts w:ascii="Open Sans" w:hAnsi="Open Sans" w:cs="Open Sans"/>
        </w:rPr>
        <w:t>.</w:t>
      </w:r>
      <w:r w:rsidR="00D92159">
        <w:rPr>
          <w:rFonts w:ascii="Open Sans" w:hAnsi="Open Sans" w:cs="Open Sans"/>
        </w:rPr>
        <w:t xml:space="preserve"> </w:t>
      </w:r>
      <w:r w:rsidR="008F520C" w:rsidRPr="00DB7454">
        <w:rPr>
          <w:rFonts w:ascii="Open Sans" w:hAnsi="Open Sans" w:cs="Open Sans"/>
        </w:rPr>
        <w:t>Australia</w:t>
      </w:r>
      <w:r w:rsidR="008F520C">
        <w:rPr>
          <w:rFonts w:ascii="Open Sans" w:hAnsi="Open Sans" w:cs="Open Sans"/>
        </w:rPr>
        <w:t>’s</w:t>
      </w:r>
      <w:r w:rsidR="008F520C" w:rsidRPr="00DB7454">
        <w:rPr>
          <w:rFonts w:ascii="Open Sans" w:hAnsi="Open Sans" w:cs="Open Sans"/>
        </w:rPr>
        <w:t xml:space="preserve"> corporate tax rate </w:t>
      </w:r>
      <w:r w:rsidR="00D92159">
        <w:rPr>
          <w:rFonts w:ascii="Open Sans" w:hAnsi="Open Sans" w:cs="Open Sans"/>
        </w:rPr>
        <w:t xml:space="preserve">has moved </w:t>
      </w:r>
      <w:r w:rsidR="008F520C" w:rsidRPr="00DB7454">
        <w:rPr>
          <w:rFonts w:ascii="Open Sans" w:hAnsi="Open Sans" w:cs="Open Sans"/>
        </w:rPr>
        <w:t xml:space="preserve">from below the </w:t>
      </w:r>
      <w:r w:rsidR="002F58A1">
        <w:rPr>
          <w:rFonts w:ascii="Open Sans" w:hAnsi="Open Sans" w:cs="Open Sans"/>
        </w:rPr>
        <w:t>Organisation for Economic Co-</w:t>
      </w:r>
      <w:r w:rsidR="002F58A1" w:rsidRPr="00FE6AE7">
        <w:rPr>
          <w:rFonts w:ascii="Open Sans" w:hAnsi="Open Sans" w:cs="Open Sans"/>
        </w:rPr>
        <w:t>operation and Development (</w:t>
      </w:r>
      <w:r w:rsidR="008F520C" w:rsidRPr="00FE6AE7">
        <w:rPr>
          <w:rFonts w:ascii="Open Sans" w:hAnsi="Open Sans" w:cs="Open Sans"/>
        </w:rPr>
        <w:t>OECD</w:t>
      </w:r>
      <w:r w:rsidR="002F58A1" w:rsidRPr="00FE6AE7">
        <w:rPr>
          <w:rFonts w:ascii="Open Sans" w:hAnsi="Open Sans" w:cs="Open Sans"/>
        </w:rPr>
        <w:t>)</w:t>
      </w:r>
      <w:r w:rsidR="008F520C" w:rsidRPr="00FE6AE7">
        <w:rPr>
          <w:rFonts w:ascii="Open Sans" w:hAnsi="Open Sans" w:cs="Open Sans"/>
        </w:rPr>
        <w:t xml:space="preserve"> average to be </w:t>
      </w:r>
      <w:r w:rsidR="00C05901" w:rsidRPr="00FE6AE7">
        <w:rPr>
          <w:rFonts w:ascii="Open Sans" w:hAnsi="Open Sans" w:cs="Open Sans"/>
        </w:rPr>
        <w:t>3</w:t>
      </w:r>
      <w:r w:rsidR="00C05901" w:rsidRPr="00FE6AE7">
        <w:rPr>
          <w:rFonts w:ascii="Open Sans" w:hAnsi="Open Sans" w:cs="Open Sans"/>
          <w:vertAlign w:val="superscript"/>
        </w:rPr>
        <w:t>rd</w:t>
      </w:r>
      <w:r w:rsidR="00C05901" w:rsidRPr="00FE6AE7">
        <w:rPr>
          <w:rFonts w:ascii="Open Sans" w:hAnsi="Open Sans" w:cs="Open Sans"/>
        </w:rPr>
        <w:t xml:space="preserve"> equal</w:t>
      </w:r>
      <w:r w:rsidR="008F520C" w:rsidRPr="00937E40">
        <w:rPr>
          <w:rFonts w:ascii="Open Sans" w:hAnsi="Open Sans" w:cs="Open Sans"/>
        </w:rPr>
        <w:t xml:space="preserve"> highest in the OECD</w:t>
      </w:r>
      <w:r w:rsidR="002A4A40" w:rsidRPr="00937E40">
        <w:rPr>
          <w:rFonts w:ascii="Open Sans" w:hAnsi="Open Sans" w:cs="Open Sans"/>
        </w:rPr>
        <w:t xml:space="preserve"> </w:t>
      </w:r>
      <w:r w:rsidR="002A4A40" w:rsidRPr="00FE6AE7">
        <w:rPr>
          <w:rFonts w:ascii="Open Sans" w:hAnsi="Open Sans" w:cs="Open Sans"/>
        </w:rPr>
        <w:t>– and well above the OECD average</w:t>
      </w:r>
      <w:r w:rsidR="008D13BE">
        <w:rPr>
          <w:rFonts w:ascii="Open Sans" w:hAnsi="Open Sans" w:cs="Open Sans"/>
        </w:rPr>
        <w:t>.</w:t>
      </w:r>
    </w:p>
    <w:p w14:paraId="12914B6D" w14:textId="2E61A021" w:rsidR="008F520C" w:rsidRPr="00937E40" w:rsidRDefault="002A50FA" w:rsidP="008F520C">
      <w:pPr>
        <w:pStyle w:val="Bullet"/>
        <w:rPr>
          <w:rFonts w:ascii="Open Sans" w:hAnsi="Open Sans" w:cs="Open Sans"/>
        </w:rPr>
      </w:pPr>
      <w:r>
        <w:rPr>
          <w:rFonts w:ascii="Open Sans" w:hAnsi="Open Sans" w:cs="Open Sans"/>
        </w:rPr>
        <w:t>I</w:t>
      </w:r>
      <w:r w:rsidR="002A4A40" w:rsidRPr="00FE6AE7">
        <w:rPr>
          <w:rFonts w:ascii="Open Sans" w:hAnsi="Open Sans" w:cs="Open Sans"/>
        </w:rPr>
        <w:t xml:space="preserve">n addition to this, </w:t>
      </w:r>
      <w:r w:rsidR="008F520C" w:rsidRPr="00FE6AE7">
        <w:rPr>
          <w:rFonts w:ascii="Open Sans" w:hAnsi="Open Sans" w:cs="Open Sans"/>
        </w:rPr>
        <w:t xml:space="preserve">patent box regimes with very low effective tax rates are becoming more common amongst </w:t>
      </w:r>
      <w:r w:rsidR="008F520C" w:rsidRPr="00937E40">
        <w:rPr>
          <w:rFonts w:ascii="Open Sans" w:hAnsi="Open Sans" w:cs="Open Sans"/>
        </w:rPr>
        <w:t>comparable developed economies.</w:t>
      </w:r>
    </w:p>
    <w:p w14:paraId="27551BF2" w14:textId="34067129" w:rsidR="00ED2C09" w:rsidRDefault="002A4A40" w:rsidP="00ED2C09">
      <w:pPr>
        <w:pStyle w:val="TextOpensans"/>
      </w:pPr>
      <w:r w:rsidRPr="009B5A19">
        <w:t xml:space="preserve">While </w:t>
      </w:r>
      <w:r w:rsidRPr="001C47FA">
        <w:t>t</w:t>
      </w:r>
      <w:r w:rsidR="00792AA9" w:rsidRPr="00E042E7">
        <w:t>he</w:t>
      </w:r>
      <w:r w:rsidR="00ED2C09" w:rsidRPr="00E042E7">
        <w:t>se issues are not unique to the medical</w:t>
      </w:r>
      <w:r w:rsidR="00C4662B" w:rsidRPr="00E042E7">
        <w:t xml:space="preserve"> and biotechnology</w:t>
      </w:r>
      <w:r w:rsidR="00ED2C09" w:rsidRPr="00E042E7">
        <w:t xml:space="preserve"> sector, </w:t>
      </w:r>
      <w:r w:rsidR="00AD5A00" w:rsidRPr="00FE6AE7">
        <w:t xml:space="preserve">they appear to have </w:t>
      </w:r>
      <w:r w:rsidR="00E93666" w:rsidRPr="00FE6AE7">
        <w:t>a significant impact in this sector</w:t>
      </w:r>
      <w:r w:rsidR="00C140E0" w:rsidRPr="00FE6AE7">
        <w:t>.</w:t>
      </w:r>
      <w:r w:rsidR="00E93666" w:rsidRPr="00FE6AE7">
        <w:t xml:space="preserve"> </w:t>
      </w:r>
      <w:r w:rsidR="00AD5A00" w:rsidRPr="00FE6AE7">
        <w:t xml:space="preserve">Certainly, this </w:t>
      </w:r>
      <w:r w:rsidR="00ED2C09" w:rsidRPr="00FE6AE7">
        <w:t xml:space="preserve">industry has been the most active in </w:t>
      </w:r>
      <w:r w:rsidR="00ED2C09" w:rsidRPr="00937E40">
        <w:t>advocating for a patent box</w:t>
      </w:r>
      <w:r w:rsidR="00AD5A00" w:rsidRPr="00937E40">
        <w:t xml:space="preserve"> with a competitive concessional rate on eligible patents</w:t>
      </w:r>
      <w:r w:rsidR="00ED2C09" w:rsidRPr="00AF5688">
        <w:t xml:space="preserve">. </w:t>
      </w:r>
      <w:r w:rsidR="00BC7B59" w:rsidRPr="00A66226">
        <w:t xml:space="preserve">This industry </w:t>
      </w:r>
      <w:r w:rsidR="00870751" w:rsidRPr="009B5A19">
        <w:t>also</w:t>
      </w:r>
      <w:r w:rsidR="00870751">
        <w:t xml:space="preserve"> </w:t>
      </w:r>
      <w:r w:rsidR="00BC7B59">
        <w:t xml:space="preserve">has </w:t>
      </w:r>
      <w:r w:rsidR="00870751">
        <w:t xml:space="preserve">experience with patent box regimes in other jurisdictions and has </w:t>
      </w:r>
      <w:r w:rsidR="00BC7B59">
        <w:t xml:space="preserve">indicated </w:t>
      </w:r>
      <w:r w:rsidR="00D43F3D">
        <w:t>it</w:t>
      </w:r>
      <w:r w:rsidR="00BC7B59">
        <w:t xml:space="preserve"> </w:t>
      </w:r>
      <w:r w:rsidR="00D43F3D">
        <w:t>can comply</w:t>
      </w:r>
      <w:r w:rsidR="00BC7B59">
        <w:t xml:space="preserve"> with the regulatory burden consistent with other foreign patent box regimes. </w:t>
      </w:r>
    </w:p>
    <w:p w14:paraId="371B72AF" w14:textId="762FF15B" w:rsidR="00E32EC6" w:rsidRDefault="00B7769F" w:rsidP="006239C2">
      <w:pPr>
        <w:pStyle w:val="TextOpensans"/>
      </w:pPr>
      <w:r>
        <w:t>For th</w:t>
      </w:r>
      <w:r w:rsidR="00D04918">
        <w:t>e above</w:t>
      </w:r>
      <w:r>
        <w:t xml:space="preserve"> reason</w:t>
      </w:r>
      <w:r w:rsidR="00D04918">
        <w:t>s</w:t>
      </w:r>
      <w:r>
        <w:t>, i</w:t>
      </w:r>
      <w:r w:rsidR="00253F48">
        <w:t xml:space="preserve">n the 2021-22 Budget the Australian Government announced </w:t>
      </w:r>
      <w:r w:rsidR="002F58A1">
        <w:t xml:space="preserve">its intention to </w:t>
      </w:r>
      <w:r w:rsidR="008479B0">
        <w:t xml:space="preserve">introduce </w:t>
      </w:r>
      <w:r w:rsidR="00253F48">
        <w:t xml:space="preserve">a patent box regime </w:t>
      </w:r>
      <w:r w:rsidR="002F58A1">
        <w:t>for the medical and biotechnology sector</w:t>
      </w:r>
      <w:r w:rsidR="008479B0">
        <w:t xml:space="preserve">, </w:t>
      </w:r>
      <w:r w:rsidR="00395FCF">
        <w:t xml:space="preserve">and that it would consult with industry </w:t>
      </w:r>
      <w:r w:rsidR="000363F4">
        <w:t>on the</w:t>
      </w:r>
      <w:r w:rsidR="00395FCF">
        <w:t xml:space="preserve"> design of the patent box</w:t>
      </w:r>
      <w:r w:rsidR="000363F4">
        <w:t xml:space="preserve"> prior to making a final decision on the regime</w:t>
      </w:r>
      <w:r w:rsidR="00395FCF">
        <w:t xml:space="preserve">.  </w:t>
      </w:r>
    </w:p>
    <w:p w14:paraId="6547499B" w14:textId="284B2A7E" w:rsidR="00227F98" w:rsidRDefault="001F121E" w:rsidP="006239C2">
      <w:pPr>
        <w:pStyle w:val="TextOpensans"/>
      </w:pPr>
      <w:r w:rsidRPr="001F121E">
        <w:t>The Government also announce</w:t>
      </w:r>
      <w:r w:rsidR="00D04918">
        <w:t>d</w:t>
      </w:r>
      <w:r w:rsidRPr="001F121E">
        <w:t xml:space="preserve"> it would consult on whether to expand the announced patent box proposal to the clean energy (or low emissions) sector. Views from stakeholders on the inclusion of low emissions and clean energy technologies are not in scope for this RIS as the Government has not </w:t>
      </w:r>
      <w:r w:rsidR="000E71C1">
        <w:t>made</w:t>
      </w:r>
      <w:r w:rsidRPr="001F121E">
        <w:t xml:space="preserve"> any policy decision</w:t>
      </w:r>
      <w:r w:rsidR="00D04918">
        <w:t xml:space="preserve"> on their inclusion</w:t>
      </w:r>
      <w:r w:rsidRPr="001F121E">
        <w:t>.</w:t>
      </w:r>
    </w:p>
    <w:p w14:paraId="3ABA0ACD" w14:textId="66CE57E5" w:rsidR="003D68B0" w:rsidRDefault="003D68B0" w:rsidP="00A83BC8">
      <w:pPr>
        <w:pStyle w:val="H2Opensans"/>
      </w:pPr>
      <w:bookmarkStart w:id="16" w:name="_Toc93322059"/>
      <w:bookmarkStart w:id="17" w:name="_Toc81382244"/>
      <w:bookmarkStart w:id="18" w:name="_Toc81413081"/>
      <w:bookmarkStart w:id="19" w:name="_Toc82428754"/>
      <w:bookmarkStart w:id="20" w:name="_Toc91078446"/>
      <w:bookmarkStart w:id="21" w:name="_Toc93487768"/>
      <w:bookmarkEnd w:id="16"/>
      <w:r w:rsidRPr="003D68B0">
        <w:t>Options</w:t>
      </w:r>
      <w:bookmarkEnd w:id="17"/>
      <w:bookmarkEnd w:id="18"/>
      <w:bookmarkEnd w:id="19"/>
      <w:bookmarkEnd w:id="20"/>
      <w:r w:rsidRPr="003D68B0">
        <w:t xml:space="preserve"> </w:t>
      </w:r>
      <w:r w:rsidR="00DF1A69">
        <w:t>and impacts</w:t>
      </w:r>
      <w:bookmarkEnd w:id="21"/>
    </w:p>
    <w:p w14:paraId="419BDB72" w14:textId="1B796F35" w:rsidR="00BC7B59" w:rsidRDefault="006246DB" w:rsidP="00376BE9">
      <w:pPr>
        <w:pStyle w:val="TextOpensans"/>
      </w:pPr>
      <w:r>
        <w:t xml:space="preserve">There are </w:t>
      </w:r>
      <w:r w:rsidR="002F58A1">
        <w:t xml:space="preserve">three </w:t>
      </w:r>
      <w:r w:rsidR="005529E5">
        <w:t xml:space="preserve">broad </w:t>
      </w:r>
      <w:r>
        <w:t>options available to the Government in responding to the problem</w:t>
      </w:r>
      <w:r w:rsidR="00004060">
        <w:t>:</w:t>
      </w:r>
    </w:p>
    <w:p w14:paraId="72F36E49" w14:textId="55C567B1" w:rsidR="006246DB" w:rsidRPr="00004060" w:rsidRDefault="00004060" w:rsidP="00004060">
      <w:pPr>
        <w:pStyle w:val="Bullet"/>
        <w:rPr>
          <w:rFonts w:ascii="Open Sans" w:hAnsi="Open Sans" w:cs="Open Sans"/>
        </w:rPr>
      </w:pPr>
      <w:r w:rsidRPr="00004060">
        <w:rPr>
          <w:rFonts w:ascii="Open Sans" w:hAnsi="Open Sans" w:cs="Open Sans"/>
        </w:rPr>
        <w:lastRenderedPageBreak/>
        <w:t xml:space="preserve">Option 1: </w:t>
      </w:r>
      <w:r w:rsidR="006246DB" w:rsidRPr="00004060">
        <w:rPr>
          <w:rFonts w:ascii="Open Sans" w:hAnsi="Open Sans" w:cs="Open Sans"/>
        </w:rPr>
        <w:t>Do not implement a patent box regime</w:t>
      </w:r>
      <w:r w:rsidR="005568DD">
        <w:rPr>
          <w:rFonts w:ascii="Open Sans" w:hAnsi="Open Sans" w:cs="Open Sans"/>
        </w:rPr>
        <w:t xml:space="preserve"> – </w:t>
      </w:r>
      <w:r w:rsidR="00D04918">
        <w:rPr>
          <w:rFonts w:ascii="Open Sans" w:hAnsi="Open Sans" w:cs="Open Sans"/>
        </w:rPr>
        <w:t>retain the</w:t>
      </w:r>
      <w:r w:rsidR="005568DD">
        <w:rPr>
          <w:rFonts w:ascii="Open Sans" w:hAnsi="Open Sans" w:cs="Open Sans"/>
        </w:rPr>
        <w:t xml:space="preserve"> status quo</w:t>
      </w:r>
      <w:r w:rsidR="008E1148">
        <w:rPr>
          <w:rFonts w:ascii="Open Sans" w:hAnsi="Open Sans" w:cs="Open Sans"/>
        </w:rPr>
        <w:t>.</w:t>
      </w:r>
    </w:p>
    <w:p w14:paraId="50BDFEA1" w14:textId="108D0198" w:rsidR="006246DB" w:rsidRDefault="00004060" w:rsidP="00004060">
      <w:pPr>
        <w:pStyle w:val="Bullet"/>
        <w:rPr>
          <w:rFonts w:ascii="Open Sans" w:hAnsi="Open Sans" w:cs="Open Sans"/>
        </w:rPr>
      </w:pPr>
      <w:r w:rsidRPr="00004060">
        <w:rPr>
          <w:rFonts w:ascii="Open Sans" w:hAnsi="Open Sans" w:cs="Open Sans"/>
        </w:rPr>
        <w:t xml:space="preserve">Option 2: </w:t>
      </w:r>
      <w:r w:rsidR="006246DB" w:rsidRPr="00004060">
        <w:rPr>
          <w:rFonts w:ascii="Open Sans" w:hAnsi="Open Sans" w:cs="Open Sans"/>
        </w:rPr>
        <w:t xml:space="preserve">Implement </w:t>
      </w:r>
      <w:r w:rsidR="00FB6141">
        <w:rPr>
          <w:rFonts w:ascii="Open Sans" w:hAnsi="Open Sans" w:cs="Open Sans"/>
        </w:rPr>
        <w:t>the announced</w:t>
      </w:r>
      <w:r w:rsidR="006246DB" w:rsidRPr="00004060">
        <w:rPr>
          <w:rFonts w:ascii="Open Sans" w:hAnsi="Open Sans" w:cs="Open Sans"/>
        </w:rPr>
        <w:t xml:space="preserve"> patent box regime. </w:t>
      </w:r>
    </w:p>
    <w:p w14:paraId="1C94C143" w14:textId="66A9F61E" w:rsidR="00FB6141" w:rsidRPr="00004060" w:rsidRDefault="00FB6141" w:rsidP="00004060">
      <w:pPr>
        <w:pStyle w:val="Bullet"/>
        <w:rPr>
          <w:rFonts w:ascii="Open Sans" w:hAnsi="Open Sans" w:cs="Open Sans"/>
        </w:rPr>
      </w:pPr>
      <w:r>
        <w:rPr>
          <w:rFonts w:ascii="Open Sans" w:hAnsi="Open Sans" w:cs="Open Sans"/>
        </w:rPr>
        <w:t xml:space="preserve">Option 3: Implement </w:t>
      </w:r>
      <w:r w:rsidR="00F1711B">
        <w:rPr>
          <w:rFonts w:ascii="Open Sans" w:hAnsi="Open Sans" w:cs="Open Sans"/>
        </w:rPr>
        <w:t xml:space="preserve">a modified version of the announced patent box regime, </w:t>
      </w:r>
      <w:r w:rsidR="008E1148">
        <w:rPr>
          <w:rFonts w:ascii="Open Sans" w:hAnsi="Open Sans" w:cs="Open Sans"/>
        </w:rPr>
        <w:t xml:space="preserve">whose design takes into account </w:t>
      </w:r>
      <w:r w:rsidR="00D04918">
        <w:rPr>
          <w:rFonts w:ascii="Open Sans" w:hAnsi="Open Sans" w:cs="Open Sans"/>
        </w:rPr>
        <w:t>feedback from</w:t>
      </w:r>
      <w:r w:rsidR="008E1148">
        <w:rPr>
          <w:rFonts w:ascii="Open Sans" w:hAnsi="Open Sans" w:cs="Open Sans"/>
        </w:rPr>
        <w:t xml:space="preserve"> consultation with industry on the announced regime. </w:t>
      </w:r>
    </w:p>
    <w:p w14:paraId="17E781D8" w14:textId="56EE28FE" w:rsidR="00173D4F" w:rsidRDefault="00792AA9" w:rsidP="00173D4F">
      <w:pPr>
        <w:pStyle w:val="TextOpensans"/>
      </w:pPr>
      <w:r>
        <w:t xml:space="preserve">The </w:t>
      </w:r>
      <w:r w:rsidR="004759F8">
        <w:t>Government’s approach</w:t>
      </w:r>
      <w:r w:rsidR="00250C6B">
        <w:t xml:space="preserve"> was to</w:t>
      </w:r>
      <w:r w:rsidR="004759F8">
        <w:t xml:space="preserve"> announce a high-level patent box </w:t>
      </w:r>
      <w:r w:rsidR="00B30977">
        <w:t>(Option 2)</w:t>
      </w:r>
      <w:r w:rsidR="004759F8">
        <w:t xml:space="preserve"> in the </w:t>
      </w:r>
      <w:r w:rsidR="003D17E5">
        <w:t>2021</w:t>
      </w:r>
      <w:r w:rsidR="004759F8">
        <w:noBreakHyphen/>
      </w:r>
      <w:r w:rsidR="003D17E5">
        <w:t>22 Budget</w:t>
      </w:r>
      <w:r w:rsidR="00C8554A">
        <w:t xml:space="preserve">, with the following proposed design elements to determine </w:t>
      </w:r>
      <w:r w:rsidR="004759F8">
        <w:t>which investments can access the concessional tax regime</w:t>
      </w:r>
      <w:r w:rsidR="001B57AC">
        <w:t>:</w:t>
      </w:r>
      <w:r>
        <w:t xml:space="preserve"> </w:t>
      </w:r>
    </w:p>
    <w:p w14:paraId="6055905F" w14:textId="49CB0E95" w:rsidR="00ED2AA6" w:rsidRDefault="00250C6B" w:rsidP="00766C44">
      <w:pPr>
        <w:pStyle w:val="TextOpensans"/>
        <w:numPr>
          <w:ilvl w:val="0"/>
          <w:numId w:val="23"/>
        </w:numPr>
      </w:pPr>
      <w:r>
        <w:t>t</w:t>
      </w:r>
      <w:r w:rsidR="00792AA9">
        <w:t xml:space="preserve">he </w:t>
      </w:r>
      <w:r w:rsidR="00ED2AA6">
        <w:t xml:space="preserve">patent box regime </w:t>
      </w:r>
      <w:r w:rsidR="00792AA9">
        <w:t xml:space="preserve">will be ringfenced to the medical and biotechnology </w:t>
      </w:r>
      <w:proofErr w:type="gramStart"/>
      <w:r w:rsidR="00792AA9">
        <w:t>sector</w:t>
      </w:r>
      <w:r w:rsidR="00F47FB0">
        <w:t>;</w:t>
      </w:r>
      <w:proofErr w:type="gramEnd"/>
    </w:p>
    <w:p w14:paraId="276CE774" w14:textId="01CFEEE0" w:rsidR="00173D4F" w:rsidRDefault="00BF17F1" w:rsidP="00766C44">
      <w:pPr>
        <w:pStyle w:val="TextOpensans"/>
        <w:numPr>
          <w:ilvl w:val="0"/>
          <w:numId w:val="23"/>
        </w:numPr>
      </w:pPr>
      <w:r>
        <w:t>a</w:t>
      </w:r>
      <w:r w:rsidR="00173D4F">
        <w:t xml:space="preserve">n effective concessional tax rate of 17 per cent for companies on eligible profits from eligible patented </w:t>
      </w:r>
      <w:proofErr w:type="gramStart"/>
      <w:r w:rsidR="00173D4F">
        <w:t>inventions;</w:t>
      </w:r>
      <w:proofErr w:type="gramEnd"/>
      <w:r w:rsidR="00173D4F">
        <w:t xml:space="preserve"> </w:t>
      </w:r>
    </w:p>
    <w:p w14:paraId="14E8FFAA" w14:textId="77777777" w:rsidR="00B932AB" w:rsidRDefault="00173D4F" w:rsidP="00766C44">
      <w:pPr>
        <w:pStyle w:val="TextOpensans"/>
        <w:numPr>
          <w:ilvl w:val="0"/>
          <w:numId w:val="23"/>
        </w:numPr>
      </w:pPr>
      <w:r>
        <w:t>only inventions claimed in standard patents granted by IP Australia, which were applied for after the Budget announcement (that is, have a priority date after 11</w:t>
      </w:r>
      <w:r w:rsidR="00740D60">
        <w:t> </w:t>
      </w:r>
      <w:r>
        <w:t xml:space="preserve">May 2021), will be </w:t>
      </w:r>
      <w:proofErr w:type="gramStart"/>
      <w:r>
        <w:t>eligible;</w:t>
      </w:r>
      <w:proofErr w:type="gramEnd"/>
      <w:r>
        <w:t xml:space="preserve"> </w:t>
      </w:r>
    </w:p>
    <w:p w14:paraId="17F81885" w14:textId="47C60CCA" w:rsidR="00173D4F" w:rsidRDefault="00B932AB" w:rsidP="00766C44">
      <w:pPr>
        <w:pStyle w:val="TextOpensans"/>
        <w:numPr>
          <w:ilvl w:val="0"/>
          <w:numId w:val="23"/>
        </w:numPr>
      </w:pPr>
      <w:r>
        <w:t xml:space="preserve">only eligible income from 1 July 2022 would be in scope; </w:t>
      </w:r>
      <w:r w:rsidR="00173D4F">
        <w:t xml:space="preserve">and </w:t>
      </w:r>
    </w:p>
    <w:p w14:paraId="23D175D1" w14:textId="39F9F245" w:rsidR="00173D4F" w:rsidRDefault="00173D4F" w:rsidP="00766C44">
      <w:pPr>
        <w:pStyle w:val="TextOpensans"/>
        <w:numPr>
          <w:ilvl w:val="0"/>
          <w:numId w:val="23"/>
        </w:numPr>
      </w:pPr>
      <w:r>
        <w:t>the patent box will be designed to be consistent with the OECD/G20 Forum on Harmful Tax Practice (FHTP) framework governing IP regimes, including the OECD’s Base Erosion and Profit Sharing (BEPS) Action 5 minimum standard</w:t>
      </w:r>
      <w:r w:rsidR="00506961">
        <w:t xml:space="preserve"> </w:t>
      </w:r>
      <w:r w:rsidR="00506961" w:rsidRPr="00634A3C">
        <w:t>(</w:t>
      </w:r>
      <w:r w:rsidR="00506961">
        <w:t xml:space="preserve">specified in </w:t>
      </w:r>
      <w:r w:rsidR="00506961" w:rsidRPr="00634A3C">
        <w:t>the BEPS Action 5 Report)</w:t>
      </w:r>
      <w:r>
        <w:t xml:space="preserve">. </w:t>
      </w:r>
    </w:p>
    <w:p w14:paraId="6812B2D2" w14:textId="40398364" w:rsidR="00236318" w:rsidRDefault="009A27E3" w:rsidP="00877333">
      <w:pPr>
        <w:pStyle w:val="TextOpensans"/>
      </w:pPr>
      <w:r>
        <w:t xml:space="preserve">As part </w:t>
      </w:r>
      <w:r w:rsidR="00AF784C">
        <w:t xml:space="preserve">of </w:t>
      </w:r>
      <w:r w:rsidR="00B30977">
        <w:t>the announcement</w:t>
      </w:r>
      <w:r>
        <w:t xml:space="preserve">, </w:t>
      </w:r>
      <w:r w:rsidR="00FF61C3">
        <w:t xml:space="preserve">the Government </w:t>
      </w:r>
      <w:r w:rsidR="00B30977">
        <w:t xml:space="preserve">indicated it </w:t>
      </w:r>
      <w:r w:rsidR="00F3544B">
        <w:t>would consult closely with industry on the design of the patent box</w:t>
      </w:r>
      <w:r w:rsidR="00FF61C3">
        <w:t xml:space="preserve">. </w:t>
      </w:r>
      <w:r w:rsidR="006B50DA">
        <w:t xml:space="preserve">This led to the development of Option 3, which </w:t>
      </w:r>
      <w:r w:rsidR="007F749A">
        <w:t xml:space="preserve">is a </w:t>
      </w:r>
      <w:r w:rsidR="00556D7B">
        <w:t>modified</w:t>
      </w:r>
      <w:r w:rsidR="006B50DA">
        <w:t xml:space="preserve"> </w:t>
      </w:r>
      <w:r w:rsidR="007F749A">
        <w:t xml:space="preserve">version of </w:t>
      </w:r>
      <w:r w:rsidR="006B50DA">
        <w:t>Option 2</w:t>
      </w:r>
      <w:r w:rsidR="00FC0C06">
        <w:t xml:space="preserve"> in </w:t>
      </w:r>
      <w:proofErr w:type="gramStart"/>
      <w:r w:rsidR="007F749A">
        <w:t>key ways</w:t>
      </w:r>
      <w:proofErr w:type="gramEnd"/>
      <w:r w:rsidR="007F749A">
        <w:t xml:space="preserve"> </w:t>
      </w:r>
      <w:r w:rsidR="00556D7B">
        <w:t>to reflect the outcomes of consultation with industry</w:t>
      </w:r>
      <w:r w:rsidR="00F274DB">
        <w:t>.</w:t>
      </w:r>
      <w:r w:rsidR="00372D18">
        <w:t xml:space="preserve"> </w:t>
      </w:r>
      <w:r w:rsidR="006B50DA">
        <w:t xml:space="preserve"> </w:t>
      </w:r>
    </w:p>
    <w:p w14:paraId="7D483A74" w14:textId="6A3C7AFF" w:rsidR="00236318" w:rsidRPr="00236318" w:rsidRDefault="00236318" w:rsidP="009578E0">
      <w:pPr>
        <w:pStyle w:val="TextOpensans"/>
        <w:numPr>
          <w:ilvl w:val="6"/>
          <w:numId w:val="18"/>
        </w:numPr>
        <w:spacing w:after="0"/>
        <w:ind w:left="426"/>
        <w:rPr>
          <w:b/>
          <w:bCs/>
        </w:rPr>
      </w:pPr>
      <w:r w:rsidRPr="00236318">
        <w:rPr>
          <w:b/>
          <w:bCs/>
        </w:rPr>
        <w:t xml:space="preserve">Eligibility </w:t>
      </w:r>
      <w:r w:rsidR="00AC13C8" w:rsidRPr="00AC13C8">
        <w:rPr>
          <w:b/>
          <w:bCs/>
        </w:rPr>
        <w:t>start</w:t>
      </w:r>
      <w:r w:rsidR="00AC13C8" w:rsidRPr="00AC13C8" w:rsidDel="00AC13C8">
        <w:rPr>
          <w:b/>
          <w:bCs/>
        </w:rPr>
        <w:t xml:space="preserve"> </w:t>
      </w:r>
      <w:r w:rsidRPr="00236318">
        <w:rPr>
          <w:b/>
          <w:bCs/>
        </w:rPr>
        <w:t>date</w:t>
      </w:r>
      <w:r>
        <w:rPr>
          <w:b/>
          <w:bCs/>
        </w:rPr>
        <w:t xml:space="preserve"> </w:t>
      </w:r>
    </w:p>
    <w:p w14:paraId="4BEE28CC" w14:textId="5BCDB723" w:rsidR="005A5C5E" w:rsidRDefault="005A5C5E" w:rsidP="00877333">
      <w:pPr>
        <w:pStyle w:val="TextOpensans"/>
      </w:pPr>
      <w:r>
        <w:t xml:space="preserve">Following the Budget announcement, </w:t>
      </w:r>
      <w:r w:rsidR="007F749A">
        <w:t xml:space="preserve">feedback from consultation </w:t>
      </w:r>
      <w:r>
        <w:t xml:space="preserve">and further </w:t>
      </w:r>
      <w:r w:rsidR="00236318">
        <w:t>analysis into the lifecycle of patents reveal</w:t>
      </w:r>
      <w:r w:rsidR="00556D7B">
        <w:t>ed</w:t>
      </w:r>
      <w:r w:rsidR="00236318">
        <w:t xml:space="preserve"> long lead times to developing and commercialising patents in the medical and biotechnology sectors. </w:t>
      </w:r>
      <w:r w:rsidR="00556D7B">
        <w:t xml:space="preserve">Reflecting this, Option 3 proposes </w:t>
      </w:r>
      <w:r w:rsidR="00502D04">
        <w:t>to</w:t>
      </w:r>
      <w:r w:rsidR="00236318">
        <w:t xml:space="preserve"> expand the </w:t>
      </w:r>
      <w:r w:rsidR="00236318" w:rsidRPr="003C357B">
        <w:t xml:space="preserve">eligibility criteria to patents </w:t>
      </w:r>
      <w:proofErr w:type="gramStart"/>
      <w:r w:rsidR="00236318" w:rsidRPr="003C357B">
        <w:rPr>
          <w:i/>
          <w:iCs/>
        </w:rPr>
        <w:t xml:space="preserve">granted </w:t>
      </w:r>
      <w:r w:rsidR="007F749A">
        <w:rPr>
          <w:i/>
          <w:iCs/>
        </w:rPr>
        <w:t xml:space="preserve"> </w:t>
      </w:r>
      <w:r w:rsidR="007F749A">
        <w:t>after</w:t>
      </w:r>
      <w:proofErr w:type="gramEnd"/>
      <w:r w:rsidR="007F749A">
        <w:t xml:space="preserve"> 11 May 2021 </w:t>
      </w:r>
      <w:r w:rsidR="00236318" w:rsidRPr="003C357B">
        <w:t>(and therefore, some patents which may have been applied for before).</w:t>
      </w:r>
      <w:r w:rsidR="00236318">
        <w:t xml:space="preserve"> </w:t>
      </w:r>
    </w:p>
    <w:p w14:paraId="5BA5549E" w14:textId="32C22E01" w:rsidR="00FC0C06" w:rsidRPr="00236318" w:rsidRDefault="00FC0C06" w:rsidP="009578E0">
      <w:pPr>
        <w:pStyle w:val="TextOpensans"/>
        <w:numPr>
          <w:ilvl w:val="6"/>
          <w:numId w:val="18"/>
        </w:numPr>
        <w:spacing w:after="0"/>
        <w:ind w:left="426"/>
        <w:rPr>
          <w:b/>
          <w:bCs/>
        </w:rPr>
      </w:pPr>
      <w:r>
        <w:rPr>
          <w:b/>
          <w:bCs/>
        </w:rPr>
        <w:t>Patent filing location flexibility</w:t>
      </w:r>
    </w:p>
    <w:p w14:paraId="245871CC" w14:textId="20544432" w:rsidR="00FC0C06" w:rsidRDefault="00236318" w:rsidP="00877333">
      <w:pPr>
        <w:pStyle w:val="TextOpensans"/>
      </w:pPr>
      <w:r>
        <w:t>S</w:t>
      </w:r>
      <w:r w:rsidRPr="00741865">
        <w:t>takeholders</w:t>
      </w:r>
      <w:r>
        <w:t xml:space="preserve"> also</w:t>
      </w:r>
      <w:r w:rsidRPr="00741865">
        <w:t xml:space="preserve"> </w:t>
      </w:r>
      <w:r w:rsidR="007F749A">
        <w:t>noted</w:t>
      </w:r>
      <w:r w:rsidRPr="00741865">
        <w:t xml:space="preserve"> that a significant number of their Australian designed medical patents are filed overseas, and not with IP Australia. This is due to the relatively smaller market size of the Australian consumer base in contrast to larger jurisdictions such as the US and EU.</w:t>
      </w:r>
      <w:r w:rsidR="00FC0C06">
        <w:t xml:space="preserve"> </w:t>
      </w:r>
    </w:p>
    <w:p w14:paraId="244B4F48" w14:textId="5BC8FFB7" w:rsidR="00236318" w:rsidRDefault="00FC0C06" w:rsidP="00877333">
      <w:pPr>
        <w:pStyle w:val="TextOpensans"/>
      </w:pPr>
      <w:r>
        <w:t xml:space="preserve">Limiting the patent box to just Australian patents would make income for some Australian-designed innovations </w:t>
      </w:r>
      <w:proofErr w:type="gramStart"/>
      <w:r>
        <w:t>ineligible, or</w:t>
      </w:r>
      <w:proofErr w:type="gramEnd"/>
      <w:r>
        <w:t xml:space="preserve"> require businesses to go through the extra compliance burden and expense of filing a patent in Australia in order to gain eligibility</w:t>
      </w:r>
      <w:r w:rsidR="00E32EC6">
        <w:t>.</w:t>
      </w:r>
      <w:r w:rsidR="0082412E">
        <w:t xml:space="preserve"> </w:t>
      </w:r>
      <w:r w:rsidR="00E32EC6">
        <w:t xml:space="preserve">Therefore, </w:t>
      </w:r>
      <w:r w:rsidR="0082412E">
        <w:lastRenderedPageBreak/>
        <w:t xml:space="preserve">Option 3 proposes to extend eligibility to the regime to patents filed under </w:t>
      </w:r>
      <w:r w:rsidR="00F91D98">
        <w:t xml:space="preserve">two </w:t>
      </w:r>
      <w:r w:rsidR="0082412E">
        <w:t>equivalent IP frameworks overseas</w:t>
      </w:r>
      <w:r w:rsidR="00791B6B">
        <w:t>, wh</w:t>
      </w:r>
      <w:r w:rsidR="00F91D98">
        <w:t>ile maintaining the requirement that</w:t>
      </w:r>
      <w:r w:rsidR="00791B6B">
        <w:t xml:space="preserve"> underlying R&amp;D expenditure occurred in Australia</w:t>
      </w:r>
      <w:r w:rsidR="0082412E">
        <w:t xml:space="preserve">. </w:t>
      </w:r>
    </w:p>
    <w:p w14:paraId="668A7E5D" w14:textId="3153E17D" w:rsidR="0082412E" w:rsidRPr="009976BF" w:rsidRDefault="0082412E" w:rsidP="009976BF">
      <w:pPr>
        <w:pStyle w:val="TextOpensans"/>
        <w:spacing w:after="0"/>
        <w:rPr>
          <w:b/>
          <w:bCs/>
        </w:rPr>
      </w:pPr>
      <w:r>
        <w:rPr>
          <w:b/>
          <w:bCs/>
        </w:rPr>
        <w:t>Other high-level design elements</w:t>
      </w:r>
    </w:p>
    <w:p w14:paraId="0B1A05A0" w14:textId="4906E93F" w:rsidR="00710AE0" w:rsidRDefault="00766161" w:rsidP="00877333">
      <w:pPr>
        <w:pStyle w:val="TextOpensans"/>
      </w:pPr>
      <w:r>
        <w:t>C</w:t>
      </w:r>
      <w:r w:rsidR="00192EB6">
        <w:t xml:space="preserve">onsultation with industry and further analysis following the budget announcement did not identify </w:t>
      </w:r>
      <w:r w:rsidR="007F106E">
        <w:t xml:space="preserve">practical proposals </w:t>
      </w:r>
      <w:r w:rsidR="00192EB6">
        <w:t>to modify the proposed</w:t>
      </w:r>
      <w:r w:rsidR="00710AE0">
        <w:t xml:space="preserve"> rate, start</w:t>
      </w:r>
      <w:r w:rsidR="00F57A80">
        <w:t>ing</w:t>
      </w:r>
      <w:r w:rsidR="00710AE0">
        <w:t xml:space="preserve"> </w:t>
      </w:r>
      <w:r w:rsidR="00F57A80">
        <w:t>income year</w:t>
      </w:r>
      <w:r w:rsidR="00710AE0">
        <w:t xml:space="preserve">, industry boundary </w:t>
      </w:r>
      <w:r w:rsidR="00192EB6">
        <w:t xml:space="preserve">or </w:t>
      </w:r>
      <w:r w:rsidR="00710AE0">
        <w:t>the decision to comply with BEPS Action 5</w:t>
      </w:r>
      <w:r w:rsidR="00192EB6">
        <w:t>. As such, these design specifications are identical under Options 2 and 3</w:t>
      </w:r>
      <w:r w:rsidR="00710AE0">
        <w:t xml:space="preserve">. </w:t>
      </w:r>
    </w:p>
    <w:p w14:paraId="3EE18FDB" w14:textId="77777777" w:rsidR="005E57A9" w:rsidRDefault="005E57A9" w:rsidP="005E57A9">
      <w:pPr>
        <w:pStyle w:val="H3Opensans"/>
      </w:pPr>
      <w:r>
        <w:t>Design options to consider for Option 2</w:t>
      </w:r>
    </w:p>
    <w:p w14:paraId="644BE3A3" w14:textId="292EE098" w:rsidR="00105C3D" w:rsidRDefault="00DE3450" w:rsidP="00877333">
      <w:pPr>
        <w:pStyle w:val="TextOpensans"/>
      </w:pPr>
      <w:r>
        <w:t xml:space="preserve">This RIS considers </w:t>
      </w:r>
      <w:r w:rsidR="00F937DE">
        <w:t xml:space="preserve">three </w:t>
      </w:r>
      <w:r>
        <w:t>broad options</w:t>
      </w:r>
      <w:r w:rsidR="00F937DE">
        <w:t xml:space="preserve">. </w:t>
      </w:r>
      <w:r>
        <w:t xml:space="preserve">However, a patent box is a generic term for any tax regime that is concessional for income derived from IP. There are significant </w:t>
      </w:r>
      <w:r w:rsidR="00766161">
        <w:t xml:space="preserve">and </w:t>
      </w:r>
      <w:r>
        <w:t xml:space="preserve">discrete but not mutually exclusive options for </w:t>
      </w:r>
      <w:r w:rsidR="00F64272">
        <w:t xml:space="preserve">the </w:t>
      </w:r>
      <w:r>
        <w:t xml:space="preserve">design of the patent box that </w:t>
      </w:r>
      <w:r w:rsidR="00DC639A">
        <w:t>will affect its regulatory and compliance impact. T</w:t>
      </w:r>
      <w:r w:rsidR="003B2D00">
        <w:t xml:space="preserve">hese </w:t>
      </w:r>
      <w:r w:rsidR="006834C7">
        <w:t>options</w:t>
      </w:r>
      <w:r w:rsidR="003B2D00">
        <w:t xml:space="preserve"> were influenced by consultation</w:t>
      </w:r>
      <w:r w:rsidR="00570174">
        <w:t xml:space="preserve"> and</w:t>
      </w:r>
      <w:r w:rsidR="006834C7">
        <w:t xml:space="preserve"> are </w:t>
      </w:r>
      <w:r w:rsidR="00357CEE">
        <w:t>summarised</w:t>
      </w:r>
      <w:r w:rsidR="006834C7">
        <w:t xml:space="preserve"> below</w:t>
      </w:r>
      <w:r w:rsidR="00357CEE">
        <w:t xml:space="preserve"> (evaluated in body of report)</w:t>
      </w:r>
      <w:r w:rsidR="003B2D00">
        <w:t xml:space="preserve">. </w:t>
      </w:r>
    </w:p>
    <w:p w14:paraId="10F717AC" w14:textId="0477C10F" w:rsidR="00DB2759" w:rsidRPr="00420C86" w:rsidRDefault="00DB2759" w:rsidP="00420C86">
      <w:pPr>
        <w:pStyle w:val="TextOpensans"/>
        <w:spacing w:after="0"/>
        <w:rPr>
          <w:b/>
          <w:bCs/>
        </w:rPr>
      </w:pPr>
      <w:r w:rsidRPr="00420C86">
        <w:rPr>
          <w:b/>
          <w:bCs/>
        </w:rPr>
        <w:t>Rate</w:t>
      </w:r>
    </w:p>
    <w:p w14:paraId="67244106" w14:textId="44A63D3B" w:rsidR="00DB2759" w:rsidRDefault="00DB2759" w:rsidP="00877333">
      <w:pPr>
        <w:pStyle w:val="TextOpensans"/>
      </w:pPr>
      <w:r>
        <w:t xml:space="preserve">The 17 per cent rate was chosen </w:t>
      </w:r>
      <w:r w:rsidR="008431C1">
        <w:t xml:space="preserve">for the initial announcement </w:t>
      </w:r>
      <w:r>
        <w:t xml:space="preserve">because it provides a </w:t>
      </w:r>
      <w:proofErr w:type="gramStart"/>
      <w:r>
        <w:t>1</w:t>
      </w:r>
      <w:r w:rsidR="00F50FEE">
        <w:t>3</w:t>
      </w:r>
      <w:r w:rsidR="008431C1">
        <w:t> </w:t>
      </w:r>
      <w:r w:rsidR="008A47E8">
        <w:t>percentage</w:t>
      </w:r>
      <w:proofErr w:type="gramEnd"/>
      <w:r w:rsidR="008A47E8">
        <w:t xml:space="preserve"> point</w:t>
      </w:r>
      <w:r>
        <w:t xml:space="preserve"> discount </w:t>
      </w:r>
      <w:r w:rsidR="008A47E8">
        <w:t>on Australia’s headline rate</w:t>
      </w:r>
      <w:r w:rsidR="00F50FEE">
        <w:t xml:space="preserve"> of 30 per cent</w:t>
      </w:r>
      <w:r w:rsidR="008A47E8">
        <w:t xml:space="preserve">, which is </w:t>
      </w:r>
      <w:r w:rsidR="00F50FEE">
        <w:t xml:space="preserve">a </w:t>
      </w:r>
      <w:r w:rsidR="008A47E8">
        <w:t xml:space="preserve">similar </w:t>
      </w:r>
      <w:r w:rsidR="00F50FEE">
        <w:t xml:space="preserve">discount </w:t>
      </w:r>
      <w:r w:rsidR="00C539FF">
        <w:t>provided by other</w:t>
      </w:r>
      <w:r w:rsidR="00F50FEE">
        <w:t xml:space="preserve"> patent box regimes</w:t>
      </w:r>
      <w:r>
        <w:t xml:space="preserve">. The Government </w:t>
      </w:r>
      <w:r w:rsidR="000D3FA3">
        <w:t>was also mindful of the OECD’s</w:t>
      </w:r>
      <w:r>
        <w:t xml:space="preserve"> </w:t>
      </w:r>
      <w:r w:rsidR="000D3FA3">
        <w:t xml:space="preserve">intention </w:t>
      </w:r>
      <w:r w:rsidR="00BC75FA">
        <w:t xml:space="preserve">to </w:t>
      </w:r>
      <w:r w:rsidR="00BC75FA" w:rsidRPr="00BC75FA">
        <w:t xml:space="preserve">ensure Multinational Enterprises (MNEs) will be subject to a minimum tax rate </w:t>
      </w:r>
      <w:r w:rsidR="00D734F7">
        <w:t>(</w:t>
      </w:r>
      <w:r w:rsidR="008F031D">
        <w:t>which has now been announced</w:t>
      </w:r>
      <w:r w:rsidR="00D734F7">
        <w:t xml:space="preserve"> at 15 per cent</w:t>
      </w:r>
      <w:r w:rsidR="00BC75FA" w:rsidRPr="00BC75FA">
        <w:t xml:space="preserve"> </w:t>
      </w:r>
      <w:r w:rsidR="00766161">
        <w:t>which will be imposed</w:t>
      </w:r>
      <w:r w:rsidR="00BC75FA" w:rsidRPr="00BC75FA">
        <w:t xml:space="preserve"> from 2023</w:t>
      </w:r>
      <w:r w:rsidR="00D734F7">
        <w:t>)</w:t>
      </w:r>
      <w:r w:rsidR="00BC75FA" w:rsidRPr="00BC75FA">
        <w:t>.</w:t>
      </w:r>
      <w:r w:rsidR="005E0425">
        <w:t xml:space="preserve"> </w:t>
      </w:r>
      <w:r w:rsidR="00343357">
        <w:t>Stakeholders did not identify a compelling case to adopt a different tax rate, hence the original 17 per cent rate has been incorporated into both Options 2 and 3</w:t>
      </w:r>
      <w:r w:rsidR="005E0425">
        <w:t xml:space="preserve">. </w:t>
      </w:r>
    </w:p>
    <w:p w14:paraId="06DDFAC0" w14:textId="61C59EF9" w:rsidR="0032124D" w:rsidRPr="00756A13" w:rsidRDefault="00756A13" w:rsidP="00DB2E48">
      <w:pPr>
        <w:pStyle w:val="TextOpensans"/>
        <w:spacing w:after="0"/>
        <w:rPr>
          <w:b/>
          <w:bCs/>
        </w:rPr>
      </w:pPr>
      <w:r w:rsidRPr="00756A13">
        <w:rPr>
          <w:b/>
          <w:bCs/>
        </w:rPr>
        <w:t>Industry ringfence</w:t>
      </w:r>
    </w:p>
    <w:p w14:paraId="5F7F9098" w14:textId="3887CA3D" w:rsidR="00B92D69" w:rsidRPr="002A18BC" w:rsidRDefault="0001354D" w:rsidP="00877333">
      <w:pPr>
        <w:pStyle w:val="TextOpensans"/>
      </w:pPr>
      <w:r>
        <w:t xml:space="preserve">Consultation revealed a </w:t>
      </w:r>
      <w:r w:rsidR="002A6902">
        <w:t xml:space="preserve">preference among taxpayers to </w:t>
      </w:r>
      <w:r w:rsidR="002A18BC">
        <w:t>leverag</w:t>
      </w:r>
      <w:r w:rsidR="002A6902">
        <w:t>e</w:t>
      </w:r>
      <w:r w:rsidR="002A18BC">
        <w:t xml:space="preserve"> existing</w:t>
      </w:r>
      <w:r w:rsidR="00625C3C">
        <w:t xml:space="preserve"> </w:t>
      </w:r>
      <w:r>
        <w:t>legislation</w:t>
      </w:r>
      <w:r w:rsidR="00E80318">
        <w:t xml:space="preserve"> to define the sector</w:t>
      </w:r>
      <w:r>
        <w:t xml:space="preserve">. Stakeholders </w:t>
      </w:r>
      <w:r w:rsidR="00EC246A">
        <w:t>suggested and</w:t>
      </w:r>
      <w:r>
        <w:t xml:space="preserve"> preferred using the </w:t>
      </w:r>
      <w:r w:rsidR="003A56D3">
        <w:t>Thera</w:t>
      </w:r>
      <w:r w:rsidR="004D6274">
        <w:t>peutic Goods Administration’s (</w:t>
      </w:r>
      <w:r>
        <w:t>TGA</w:t>
      </w:r>
      <w:r w:rsidR="004D6274">
        <w:t>)</w:t>
      </w:r>
      <w:r>
        <w:t xml:space="preserve"> Register of Therapeutic Goods as the vast majority of medical and biotechnology patents are embedded in goods on that register. </w:t>
      </w:r>
      <w:r w:rsidR="00DB2FAC">
        <w:t xml:space="preserve">This approach provides certainty to stakeholders and </w:t>
      </w:r>
      <w:r w:rsidR="00A70BC4">
        <w:t xml:space="preserve">the </w:t>
      </w:r>
      <w:proofErr w:type="gramStart"/>
      <w:r w:rsidR="00A70BC4">
        <w:t>Government</w:t>
      </w:r>
      <w:r w:rsidR="00766161">
        <w:t>,</w:t>
      </w:r>
      <w:r w:rsidR="002A6902">
        <w:t xml:space="preserve"> and</w:t>
      </w:r>
      <w:proofErr w:type="gramEnd"/>
      <w:r w:rsidR="002A6902">
        <w:t xml:space="preserve"> avoids the need to create a new bespoke definition of ‘medical’ in the tax legislation</w:t>
      </w:r>
      <w:r w:rsidR="00177983">
        <w:t xml:space="preserve"> that both the ATO and taxpayers would be unfamiliar with</w:t>
      </w:r>
      <w:r w:rsidR="002A6902">
        <w:t>. B</w:t>
      </w:r>
      <w:r w:rsidR="008431C1">
        <w:t>oth Option 2 and Option 3 require that</w:t>
      </w:r>
      <w:r w:rsidR="007F106E">
        <w:t xml:space="preserve"> </w:t>
      </w:r>
      <w:r w:rsidR="008431C1">
        <w:t xml:space="preserve">for income to be eligible, it must be income from a patent for a good on the TGA Register of Therapeutic Goods. </w:t>
      </w:r>
    </w:p>
    <w:p w14:paraId="2B7988D0" w14:textId="36651912" w:rsidR="00B92D69" w:rsidRPr="00B92D69" w:rsidRDefault="00B92D69" w:rsidP="00DB2E48">
      <w:pPr>
        <w:pStyle w:val="TextOpensans"/>
        <w:spacing w:after="0"/>
        <w:rPr>
          <w:b/>
          <w:bCs/>
        </w:rPr>
      </w:pPr>
      <w:r w:rsidRPr="00B92D69">
        <w:rPr>
          <w:b/>
          <w:bCs/>
        </w:rPr>
        <w:t>IP Development conditions</w:t>
      </w:r>
    </w:p>
    <w:p w14:paraId="0B24D418" w14:textId="2129CB36" w:rsidR="00543AE8" w:rsidRPr="00E90A3C" w:rsidRDefault="005C27A4" w:rsidP="00E90A3C">
      <w:pPr>
        <w:pStyle w:val="TextOpensans"/>
      </w:pPr>
      <w:r>
        <w:t>Th</w:t>
      </w:r>
      <w:r w:rsidR="00277CCA">
        <w:t>e</w:t>
      </w:r>
      <w:r>
        <w:t xml:space="preserve"> OECD </w:t>
      </w:r>
      <w:r w:rsidR="002255EF">
        <w:t xml:space="preserve">BEPS </w:t>
      </w:r>
      <w:r w:rsidRPr="00634A3C">
        <w:t>Action 5 Report</w:t>
      </w:r>
      <w:r>
        <w:t xml:space="preserve"> requires </w:t>
      </w:r>
      <w:r w:rsidR="00C73CB5">
        <w:t>‘</w:t>
      </w:r>
      <w:r>
        <w:t>substantial activity</w:t>
      </w:r>
      <w:r w:rsidR="00C73CB5">
        <w:t>’</w:t>
      </w:r>
      <w:r>
        <w:t xml:space="preserve"> to be undertaken by a taxpayer </w:t>
      </w:r>
      <w:r w:rsidR="003B7951">
        <w:t xml:space="preserve">within the tax jurisdiction offering the </w:t>
      </w:r>
      <w:r>
        <w:t>preferential tax regime.</w:t>
      </w:r>
      <w:r w:rsidR="00506961" w:rsidRPr="001B0929">
        <w:t xml:space="preserve"> </w:t>
      </w:r>
      <w:r w:rsidR="00E80318">
        <w:t>The patent box design will comply with the OECD guidelines to ensure the regime is not deemed a harmful tax practice by the OECD</w:t>
      </w:r>
      <w:r w:rsidR="00560053">
        <w:t>. If the patent box was to be deemed harmful</w:t>
      </w:r>
      <w:r w:rsidR="00381F6F">
        <w:t xml:space="preserve">, </w:t>
      </w:r>
      <w:r w:rsidR="007D32F2">
        <w:t xml:space="preserve">other </w:t>
      </w:r>
      <w:r w:rsidR="00C73CB5">
        <w:t>jurisdictions</w:t>
      </w:r>
      <w:r w:rsidR="00560053">
        <w:t xml:space="preserve"> may implement measures to deter their nationals from investing in Australia</w:t>
      </w:r>
      <w:r w:rsidR="00381F6F">
        <w:t>. Consultation involved collaboration with the OECD FHTP Secretariat</w:t>
      </w:r>
      <w:r w:rsidR="00217064">
        <w:t>. This significantly reduces the risk that the FHTP member jurisdictions</w:t>
      </w:r>
      <w:r w:rsidR="0020477B">
        <w:t>,</w:t>
      </w:r>
      <w:r w:rsidR="0020477B" w:rsidRPr="0020477B">
        <w:t xml:space="preserve"> which are advised by the Secretariat on whether </w:t>
      </w:r>
      <w:r w:rsidR="0020477B" w:rsidRPr="0020477B">
        <w:lastRenderedPageBreak/>
        <w:t>regimes are harmful tax practi</w:t>
      </w:r>
      <w:r w:rsidR="00E748E4">
        <w:t>ces</w:t>
      </w:r>
      <w:r w:rsidR="0020477B">
        <w:t>,</w:t>
      </w:r>
      <w:r w:rsidR="00217064">
        <w:t xml:space="preserve"> will raise concerns with the regime</w:t>
      </w:r>
      <w:r w:rsidR="00563ADB">
        <w:t xml:space="preserve"> at a later date</w:t>
      </w:r>
      <w:r w:rsidR="00217064">
        <w:t>.</w:t>
      </w:r>
      <w:r w:rsidR="00F67D3F">
        <w:t xml:space="preserve"> The FHTP will not formally consider Australian patent box legislation until it is adopted as Australian Government policy in its final form. </w:t>
      </w:r>
    </w:p>
    <w:p w14:paraId="694CEECB" w14:textId="1CC6A140" w:rsidR="00756A13" w:rsidRPr="00756A13" w:rsidRDefault="00B92D69" w:rsidP="00DB2E48">
      <w:pPr>
        <w:pStyle w:val="TextOpensans"/>
        <w:spacing w:after="0"/>
        <w:rPr>
          <w:b/>
          <w:bCs/>
        </w:rPr>
      </w:pPr>
      <w:r>
        <w:rPr>
          <w:b/>
          <w:bCs/>
        </w:rPr>
        <w:t xml:space="preserve">Form of </w:t>
      </w:r>
      <w:r w:rsidRPr="00B92D69">
        <w:rPr>
          <w:b/>
          <w:bCs/>
        </w:rPr>
        <w:t xml:space="preserve">Tax Relief </w:t>
      </w:r>
    </w:p>
    <w:p w14:paraId="28DE6611" w14:textId="50CF5448" w:rsidR="00DF1A69" w:rsidRDefault="005613A4" w:rsidP="00DF1A69">
      <w:pPr>
        <w:pStyle w:val="TextOpensans"/>
      </w:pPr>
      <w:r>
        <w:t xml:space="preserve">Some countries provide patent box tax relief through a lower bespoke rate targeted to eligible patent box income. Others apply their normal headline rate to </w:t>
      </w:r>
      <w:r w:rsidR="00EC246A">
        <w:t>eligible</w:t>
      </w:r>
      <w:r>
        <w:t xml:space="preserve"> </w:t>
      </w:r>
      <w:proofErr w:type="gramStart"/>
      <w:r>
        <w:t>income, but</w:t>
      </w:r>
      <w:proofErr w:type="gramEnd"/>
      <w:r>
        <w:t xml:space="preserve"> reduce the final tax that would otherwise be payable</w:t>
      </w:r>
      <w:r w:rsidR="00EC246A">
        <w:t xml:space="preserve"> </w:t>
      </w:r>
      <w:r w:rsidR="007C33F9">
        <w:t xml:space="preserve">by </w:t>
      </w:r>
      <w:r w:rsidR="00EC246A">
        <w:t>wa</w:t>
      </w:r>
      <w:r w:rsidR="00324DEF">
        <w:t>i</w:t>
      </w:r>
      <w:r w:rsidR="00EC246A">
        <w:t>ving a portion of the final tax bill or through inflated expense deductions</w:t>
      </w:r>
      <w:r>
        <w:t xml:space="preserve">. </w:t>
      </w:r>
      <w:r w:rsidR="0012311D">
        <w:t>In the Australian context, the Offshore Banking Unit previously provided a 10 per cent effective concessional rate on certain banking activities through what is known as an apportionment approach or Non-Assessable Non-</w:t>
      </w:r>
      <w:r w:rsidR="00CD5A25">
        <w:t xml:space="preserve">Exempt </w:t>
      </w:r>
      <w:r w:rsidR="0012311D">
        <w:t xml:space="preserve">Income (NANEI) approach. </w:t>
      </w:r>
      <w:r w:rsidR="00AC13C8">
        <w:t>In the patent box context, t</w:t>
      </w:r>
      <w:r w:rsidR="00DF1A69">
        <w:t xml:space="preserve">his approach makes part of the income NANEI to achieve the effective tax rate of </w:t>
      </w:r>
      <w:r w:rsidR="00AA652B">
        <w:t>17 per cent</w:t>
      </w:r>
      <w:r w:rsidR="00DF1A69">
        <w:t>. To comply with the OECD’s rules on deductions being claimed at the same rate as income, the NANEI approach must also be applied to expenses incurred in produc</w:t>
      </w:r>
      <w:r w:rsidR="007C33F9">
        <w:t>ing</w:t>
      </w:r>
      <w:r w:rsidR="00DF1A69">
        <w:t xml:space="preserve"> the eligible patent. </w:t>
      </w:r>
      <w:r w:rsidR="007C33F9">
        <w:t>This approach</w:t>
      </w:r>
      <w:r w:rsidR="00DC639A">
        <w:t xml:space="preserve"> is likely to</w:t>
      </w:r>
      <w:r w:rsidR="007C33F9">
        <w:t xml:space="preserve"> satisf</w:t>
      </w:r>
      <w:r w:rsidR="00DC639A">
        <w:t>y</w:t>
      </w:r>
      <w:r w:rsidR="007C33F9">
        <w:t xml:space="preserve"> the </w:t>
      </w:r>
      <w:r w:rsidR="00D5673A">
        <w:t xml:space="preserve">OECD FHTP members </w:t>
      </w:r>
      <w:r w:rsidR="007C33F9">
        <w:t>and was share</w:t>
      </w:r>
      <w:r w:rsidR="00DC639A">
        <w:t>d</w:t>
      </w:r>
      <w:r w:rsidR="007C33F9">
        <w:t xml:space="preserve"> with stakeholders during targeted consultation</w:t>
      </w:r>
      <w:r w:rsidR="004E2F1E">
        <w:t xml:space="preserve">. It has therefore been included under both </w:t>
      </w:r>
      <w:r w:rsidR="00624F06">
        <w:t xml:space="preserve">Option 2 and 3. </w:t>
      </w:r>
    </w:p>
    <w:p w14:paraId="15ED2F98" w14:textId="6D1EAB75" w:rsidR="00B92D69" w:rsidRPr="00B92D69" w:rsidRDefault="00B92D69" w:rsidP="00DB2E48">
      <w:pPr>
        <w:pStyle w:val="TextOpensans"/>
        <w:spacing w:after="0"/>
        <w:rPr>
          <w:b/>
          <w:bCs/>
        </w:rPr>
      </w:pPr>
      <w:r w:rsidRPr="00B92D69">
        <w:rPr>
          <w:b/>
          <w:bCs/>
        </w:rPr>
        <w:t>Qualifying IP income</w:t>
      </w:r>
    </w:p>
    <w:p w14:paraId="7279D1D4" w14:textId="2B6FEB04" w:rsidR="00F95F6C" w:rsidRDefault="00F95F6C" w:rsidP="00F95F6C">
      <w:pPr>
        <w:pStyle w:val="TextOpensans"/>
      </w:pPr>
      <w:r>
        <w:t>The OECD requires eligible income to be streamed so that only income attributable to the eligible patent is treated concessionally. The common types of income associated with patent</w:t>
      </w:r>
      <w:r w:rsidR="000B0CC0">
        <w:t>s</w:t>
      </w:r>
      <w:r>
        <w:t xml:space="preserve"> reflect both </w:t>
      </w:r>
      <w:proofErr w:type="gramStart"/>
      <w:r w:rsidR="000B0CC0">
        <w:t>revenue</w:t>
      </w:r>
      <w:proofErr w:type="gramEnd"/>
      <w:r>
        <w:t xml:space="preserve"> earned</w:t>
      </w:r>
      <w:r w:rsidR="000B0CC0">
        <w:t xml:space="preserve"> from licensing the patent</w:t>
      </w:r>
      <w:r>
        <w:t xml:space="preserve"> or</w:t>
      </w:r>
      <w:r w:rsidR="000B0CC0">
        <w:t xml:space="preserve"> capital gains</w:t>
      </w:r>
      <w:r>
        <w:t xml:space="preserve"> proceeds from the sale of the patent (along with damages from infringement). </w:t>
      </w:r>
      <w:r w:rsidR="0055012F">
        <w:t>In c</w:t>
      </w:r>
      <w:r w:rsidR="00DD5543">
        <w:t xml:space="preserve">onsultation </w:t>
      </w:r>
      <w:r w:rsidR="0055012F">
        <w:t xml:space="preserve">it was </w:t>
      </w:r>
      <w:r w:rsidR="00DD5543">
        <w:t xml:space="preserve">proposed </w:t>
      </w:r>
      <w:r w:rsidR="0055012F">
        <w:t xml:space="preserve">that </w:t>
      </w:r>
      <w:r w:rsidR="007C7C64">
        <w:t>these</w:t>
      </w:r>
      <w:r w:rsidR="00DD5543">
        <w:t xml:space="preserve"> forms of income </w:t>
      </w:r>
      <w:r w:rsidR="0055012F">
        <w:t>be include</w:t>
      </w:r>
      <w:r w:rsidR="00DF7F88">
        <w:t>d</w:t>
      </w:r>
      <w:r w:rsidR="0055012F">
        <w:t xml:space="preserve"> in </w:t>
      </w:r>
      <w:r w:rsidR="007C7C64">
        <w:t>the scope of eligible income, which was supported by stakeholders.</w:t>
      </w:r>
      <w:r w:rsidR="00B249CE">
        <w:t xml:space="preserve"> </w:t>
      </w:r>
    </w:p>
    <w:p w14:paraId="0BD450AD" w14:textId="0E14F8D8" w:rsidR="007540E5" w:rsidRPr="00146691" w:rsidRDefault="007540E5" w:rsidP="00397966">
      <w:pPr>
        <w:pStyle w:val="TextOpensans"/>
        <w:keepNext/>
        <w:spacing w:after="0"/>
        <w:rPr>
          <w:b/>
          <w:bCs/>
        </w:rPr>
      </w:pPr>
      <w:r>
        <w:rPr>
          <w:b/>
          <w:bCs/>
        </w:rPr>
        <w:t>Apportioning eligible income</w:t>
      </w:r>
    </w:p>
    <w:p w14:paraId="15209464" w14:textId="09CF5405" w:rsidR="00A31E5C" w:rsidRDefault="00146691" w:rsidP="00146691">
      <w:pPr>
        <w:pStyle w:val="TextOpensans"/>
      </w:pPr>
      <w:r>
        <w:t xml:space="preserve">Firms often do not sell their patent or license it directly, instead they often embed their patent into a product. </w:t>
      </w:r>
      <w:r w:rsidR="00615D15">
        <w:t>The OECD BEPS Action 5 guidelines require that l</w:t>
      </w:r>
      <w:r w:rsidR="007540E5">
        <w:t>egislation must outline a method for entities to determine the income attributable</w:t>
      </w:r>
      <w:r>
        <w:t xml:space="preserve"> to</w:t>
      </w:r>
      <w:r w:rsidR="007540E5">
        <w:t xml:space="preserve"> the eligible patent</w:t>
      </w:r>
      <w:r>
        <w:t>, separating that stream of income from other income streams derived from the final embedded product (</w:t>
      </w:r>
      <w:proofErr w:type="gramStart"/>
      <w:r>
        <w:t>e.g.</w:t>
      </w:r>
      <w:proofErr w:type="gramEnd"/>
      <w:r>
        <w:t xml:space="preserve"> income attributable to marketing)</w:t>
      </w:r>
      <w:r w:rsidR="007540E5">
        <w:t xml:space="preserve">. </w:t>
      </w:r>
    </w:p>
    <w:p w14:paraId="46970AF7" w14:textId="65E38D7F" w:rsidR="00D4509B" w:rsidRDefault="00146691" w:rsidP="00A31E5C">
      <w:pPr>
        <w:pStyle w:val="TextOpensans"/>
      </w:pPr>
      <w:r>
        <w:t>There is the option to use</w:t>
      </w:r>
      <w:r w:rsidR="007540E5">
        <w:t xml:space="preserve"> transfer pricing principles </w:t>
      </w:r>
      <w:r w:rsidR="00EA4C11">
        <w:t xml:space="preserve">to </w:t>
      </w:r>
      <w:r>
        <w:t xml:space="preserve">attribute the income. </w:t>
      </w:r>
      <w:r w:rsidR="00A31E5C">
        <w:t xml:space="preserve">These </w:t>
      </w:r>
      <w:r w:rsidR="00D4509B" w:rsidRPr="00EC0BA8">
        <w:t xml:space="preserve">determine </w:t>
      </w:r>
      <w:r w:rsidR="00856FCC">
        <w:t>an ’</w:t>
      </w:r>
      <w:r w:rsidR="00D4509B" w:rsidRPr="00EC0BA8">
        <w:t>arm’s length return</w:t>
      </w:r>
      <w:r w:rsidR="00856FCC">
        <w:t>’</w:t>
      </w:r>
      <w:r w:rsidR="00A31E5C">
        <w:t xml:space="preserve"> </w:t>
      </w:r>
      <w:r w:rsidR="00A31E5C" w:rsidRPr="00146691">
        <w:t>for pricing transactions within and between enterprises under common ownership or control</w:t>
      </w:r>
      <w:r w:rsidR="00856FCC">
        <w:t xml:space="preserve">. In the context of the patent box, this allows for the value </w:t>
      </w:r>
      <w:r w:rsidR="0076478B">
        <w:t>attributable</w:t>
      </w:r>
      <w:r w:rsidR="00856FCC">
        <w:t xml:space="preserve"> to the </w:t>
      </w:r>
      <w:r w:rsidR="0076478B">
        <w:t>eligible</w:t>
      </w:r>
      <w:r w:rsidR="00856FCC">
        <w:t xml:space="preserve"> IP to be determined via sel</w:t>
      </w:r>
      <w:r w:rsidR="0076478B">
        <w:t>f</w:t>
      </w:r>
      <w:r w:rsidR="00856FCC">
        <w:t xml:space="preserve">-assessment by the taxpayer, which </w:t>
      </w:r>
      <w:r w:rsidR="0076478B">
        <w:t>is then submitted to the ATO via a tax return.</w:t>
      </w:r>
    </w:p>
    <w:p w14:paraId="6DEF9783" w14:textId="7B05D395" w:rsidR="005A6B4E" w:rsidRPr="00C02687" w:rsidRDefault="005A6B4E" w:rsidP="005A6B4E">
      <w:pPr>
        <w:pStyle w:val="TextOpensans"/>
      </w:pPr>
      <w:r w:rsidRPr="00C02687">
        <w:t xml:space="preserve">There </w:t>
      </w:r>
      <w:r>
        <w:t>is</w:t>
      </w:r>
      <w:r w:rsidR="00A31E5C">
        <w:t xml:space="preserve"> also</w:t>
      </w:r>
      <w:r w:rsidRPr="00C02687">
        <w:t xml:space="preserve"> the option to use simplified transfer pricing mechanisms that provide formulaic assumptions. For instance, the UK Patent Box assumes a 10 per cent return on certain specified </w:t>
      </w:r>
      <w:r w:rsidR="00A31E5C">
        <w:t xml:space="preserve">non-IP </w:t>
      </w:r>
      <w:proofErr w:type="gramStart"/>
      <w:r w:rsidRPr="00C02687">
        <w:t>costs</w:t>
      </w:r>
      <w:r w:rsidR="00A31E5C">
        <w:t>, and</w:t>
      </w:r>
      <w:proofErr w:type="gramEnd"/>
      <w:r w:rsidR="00A31E5C">
        <w:t xml:space="preserve"> </w:t>
      </w:r>
      <w:r w:rsidR="00CD54E2">
        <w:t xml:space="preserve">excludes this amount from the concessional treatment. </w:t>
      </w:r>
      <w:r w:rsidRPr="00C02687">
        <w:t xml:space="preserve">This approach </w:t>
      </w:r>
      <w:r>
        <w:t>is</w:t>
      </w:r>
      <w:r w:rsidRPr="00C02687">
        <w:t xml:space="preserve"> </w:t>
      </w:r>
      <w:r w:rsidR="00D5673A">
        <w:t xml:space="preserve">also </w:t>
      </w:r>
      <w:r w:rsidRPr="00C02687">
        <w:t xml:space="preserve">used </w:t>
      </w:r>
      <w:r w:rsidR="00D5673A">
        <w:t>albeit</w:t>
      </w:r>
      <w:r w:rsidRPr="00C02687">
        <w:t xml:space="preserve"> via a different mechanism in Switzerland (see </w:t>
      </w:r>
      <w:r w:rsidRPr="00C02687">
        <w:rPr>
          <w:u w:val="single"/>
        </w:rPr>
        <w:t>Attachment A</w:t>
      </w:r>
      <w:r w:rsidRPr="00C02687">
        <w:t xml:space="preserve">). </w:t>
      </w:r>
    </w:p>
    <w:p w14:paraId="281E470E" w14:textId="7971F235" w:rsidR="00D4509B" w:rsidRDefault="00D4509B" w:rsidP="00D4509B">
      <w:pPr>
        <w:pStyle w:val="TextOpensans"/>
      </w:pPr>
      <w:r>
        <w:lastRenderedPageBreak/>
        <w:t>Stakeholder feedback indicated a preference for</w:t>
      </w:r>
      <w:r w:rsidR="005E6445">
        <w:t xml:space="preserve"> a</w:t>
      </w:r>
      <w:r>
        <w:t xml:space="preserve"> simplified transfer pricing </w:t>
      </w:r>
      <w:r w:rsidR="00104168">
        <w:t>approach as it provides more certainty</w:t>
      </w:r>
      <w:r w:rsidR="000F6F3C">
        <w:t xml:space="preserve"> and lower compliance burdens by avoiding the need for detailed analysis of the economic substance of each stage in the development, manufacturing and marketing of multiple product lines</w:t>
      </w:r>
      <w:r w:rsidR="00AF3572">
        <w:t xml:space="preserve">. However, the full transfer pricing approach is </w:t>
      </w:r>
      <w:r w:rsidR="005E6445">
        <w:t>recommended</w:t>
      </w:r>
      <w:r w:rsidR="00AF3572">
        <w:t xml:space="preserve"> by the OECD </w:t>
      </w:r>
      <w:r w:rsidR="00890378">
        <w:t xml:space="preserve">(albeit </w:t>
      </w:r>
      <w:proofErr w:type="gramStart"/>
      <w:r w:rsidR="00890378">
        <w:t>that other approaches</w:t>
      </w:r>
      <w:proofErr w:type="gramEnd"/>
      <w:r w:rsidR="00890378">
        <w:t xml:space="preserve"> are acceptable)</w:t>
      </w:r>
      <w:r w:rsidR="00AF3572">
        <w:t xml:space="preserve"> and would deliver outcomes commensurate with the facts and circumstances of each transaction, more closely targeting the benefits from the patent box towards the commercialisation of research and development performed in Australia.</w:t>
      </w:r>
      <w:r>
        <w:t xml:space="preserve"> </w:t>
      </w:r>
      <w:r w:rsidR="00AF3572">
        <w:t xml:space="preserve">As such, both </w:t>
      </w:r>
      <w:r w:rsidR="002573D8">
        <w:t>O</w:t>
      </w:r>
      <w:r w:rsidR="00AF3572">
        <w:t xml:space="preserve">ptions 2 and 3 propose </w:t>
      </w:r>
      <w:r w:rsidR="007F7DE2">
        <w:t xml:space="preserve">the </w:t>
      </w:r>
      <w:r>
        <w:t>full transfer pricing approach</w:t>
      </w:r>
      <w:r w:rsidR="00104168">
        <w:t>.</w:t>
      </w:r>
    </w:p>
    <w:p w14:paraId="233E275C" w14:textId="5C30CE2B" w:rsidR="00B92D69" w:rsidRDefault="00B92D69" w:rsidP="00DB2E48">
      <w:pPr>
        <w:pStyle w:val="TextOpensans"/>
        <w:spacing w:after="0"/>
        <w:rPr>
          <w:b/>
          <w:bCs/>
        </w:rPr>
      </w:pPr>
      <w:r w:rsidRPr="00B92D69">
        <w:rPr>
          <w:b/>
          <w:bCs/>
        </w:rPr>
        <w:t xml:space="preserve">Qualifying </w:t>
      </w:r>
      <w:r w:rsidR="00B949BD">
        <w:rPr>
          <w:b/>
          <w:bCs/>
        </w:rPr>
        <w:t>(</w:t>
      </w:r>
      <w:r w:rsidRPr="00B92D69">
        <w:rPr>
          <w:b/>
          <w:bCs/>
        </w:rPr>
        <w:t>Eligible) Taxpayer</w:t>
      </w:r>
    </w:p>
    <w:p w14:paraId="24383870" w14:textId="029A30E0" w:rsidR="005613A4" w:rsidRDefault="005613A4" w:rsidP="005613A4">
      <w:pPr>
        <w:pStyle w:val="TextOpensans"/>
      </w:pPr>
      <w:r>
        <w:t>The</w:t>
      </w:r>
      <w:r w:rsidRPr="00745FD1">
        <w:t xml:space="preserve"> BEPS Action 5 minimum standard</w:t>
      </w:r>
      <w:r>
        <w:t xml:space="preserve"> </w:t>
      </w:r>
      <w:r w:rsidR="00E32EC6">
        <w:t xml:space="preserve">reduces </w:t>
      </w:r>
      <w:r w:rsidRPr="00745FD1">
        <w:t xml:space="preserve">the scope of qualifying taxpayers </w:t>
      </w:r>
      <w:r>
        <w:t xml:space="preserve">to </w:t>
      </w:r>
      <w:r w:rsidRPr="00745FD1">
        <w:t xml:space="preserve">resident companies, domestic permanent establishments (PEs) of foreign companies and foreign PEs of resident companies subject to tax in the jurisdiction that provides the benefits. </w:t>
      </w:r>
      <w:r w:rsidR="00E32EC6">
        <w:t xml:space="preserve">Consultation with stakeholders supports the use of </w:t>
      </w:r>
      <w:r w:rsidR="00AF1E55">
        <w:t xml:space="preserve">the R&amp;D Tax Incentive’s (R&amp;DTI) definition of an eligible R&amp;D </w:t>
      </w:r>
      <w:r w:rsidR="003569B6">
        <w:t>E</w:t>
      </w:r>
      <w:r w:rsidR="00AF1E55">
        <w:t>ntity</w:t>
      </w:r>
      <w:r w:rsidR="002573D8">
        <w:t xml:space="preserve"> to determine who is eligible for the patent box</w:t>
      </w:r>
      <w:r w:rsidR="00F8311B">
        <w:t xml:space="preserve"> as it is well understood by stakeholders.</w:t>
      </w:r>
      <w:r w:rsidR="002573D8">
        <w:t xml:space="preserve"> Both Options 2 and 3 reflect this approach.</w:t>
      </w:r>
    </w:p>
    <w:p w14:paraId="6A375199" w14:textId="4CEE8E06" w:rsidR="00F44F86" w:rsidRPr="00134DCE" w:rsidRDefault="00C85C19" w:rsidP="00323B6C">
      <w:pPr>
        <w:pStyle w:val="H2Opensans"/>
      </w:pPr>
      <w:bookmarkStart w:id="22" w:name="_Toc81382247"/>
      <w:bookmarkStart w:id="23" w:name="_Toc81413084"/>
      <w:bookmarkStart w:id="24" w:name="_Toc82428757"/>
      <w:bookmarkStart w:id="25" w:name="_Toc91078449"/>
      <w:bookmarkStart w:id="26" w:name="_Toc93487769"/>
      <w:r>
        <w:t>Recommendation</w:t>
      </w:r>
      <w:bookmarkEnd w:id="22"/>
      <w:bookmarkEnd w:id="23"/>
      <w:bookmarkEnd w:id="24"/>
      <w:bookmarkEnd w:id="25"/>
      <w:bookmarkEnd w:id="26"/>
    </w:p>
    <w:p w14:paraId="2A52DA5B" w14:textId="7BB77B0F" w:rsidR="002573D8" w:rsidRDefault="002573D8" w:rsidP="002A6B39">
      <w:pPr>
        <w:pStyle w:val="TextOpensans"/>
      </w:pPr>
      <w:r>
        <w:t xml:space="preserve">Option 3 is the preferred option as it </w:t>
      </w:r>
      <w:r w:rsidR="0089004C">
        <w:t xml:space="preserve">improves Australia’s tax competitiveness for medical commercialisation decisions in relation to patents granted after Budget night 2021-22. In contrast Option 2 would not be relevant to patents for another 4 to 6 years based on the average lead time between patent application and grant. Option 3 </w:t>
      </w:r>
      <w:r>
        <w:t>wi</w:t>
      </w:r>
      <w:r w:rsidR="0089004C">
        <w:t>ll impose a</w:t>
      </w:r>
      <w:r>
        <w:t xml:space="preserve"> lower regulatory burden</w:t>
      </w:r>
      <w:r w:rsidR="00757463" w:rsidRPr="00757463">
        <w:t xml:space="preserve"> </w:t>
      </w:r>
      <w:r w:rsidR="005A13C5">
        <w:t xml:space="preserve">due to its recognition of patents </w:t>
      </w:r>
      <w:r w:rsidR="00994815" w:rsidRPr="00994815">
        <w:t>registered</w:t>
      </w:r>
      <w:r w:rsidR="005A13C5" w:rsidDel="00430236">
        <w:t xml:space="preserve"> </w:t>
      </w:r>
      <w:r w:rsidR="00430236">
        <w:t xml:space="preserve">in </w:t>
      </w:r>
      <w:r w:rsidR="005A13C5">
        <w:t>some</w:t>
      </w:r>
      <w:r w:rsidR="00430236">
        <w:t xml:space="preserve"> </w:t>
      </w:r>
      <w:r w:rsidR="005A13C5">
        <w:t>foreign jurisdictions, reducing the potential for Australian patent applications</w:t>
      </w:r>
      <w:r w:rsidR="00744474">
        <w:t xml:space="preserve"> being made</w:t>
      </w:r>
      <w:r w:rsidR="005A13C5">
        <w:t xml:space="preserve"> for tax purposes only.</w:t>
      </w:r>
      <w:r>
        <w:t xml:space="preserve">  </w:t>
      </w:r>
    </w:p>
    <w:p w14:paraId="431BF59B" w14:textId="4D5F21C4" w:rsidR="0000490D" w:rsidRDefault="00247741" w:rsidP="002A6B39">
      <w:pPr>
        <w:pStyle w:val="TextOpensans"/>
      </w:pPr>
      <w:r>
        <w:t xml:space="preserve">Both Options 2 and 3 </w:t>
      </w:r>
      <w:r w:rsidR="0000490D">
        <w:t>help to mitigate</w:t>
      </w:r>
      <w:r>
        <w:t xml:space="preserve"> the effect of Australia’s high corporate tax </w:t>
      </w:r>
      <w:proofErr w:type="gramStart"/>
      <w:r>
        <w:t>rate</w:t>
      </w:r>
      <w:r w:rsidR="0000490D">
        <w:t>, and</w:t>
      </w:r>
      <w:proofErr w:type="gramEnd"/>
      <w:r w:rsidR="0000490D">
        <w:t xml:space="preserve"> incentivise</w:t>
      </w:r>
      <w:r>
        <w:t xml:space="preserve"> Australia’s medical and biotechnology businesses to develop and </w:t>
      </w:r>
      <w:r w:rsidR="00CD54E2">
        <w:t>c</w:t>
      </w:r>
      <w:r>
        <w:t xml:space="preserve">ommercialise their innovations </w:t>
      </w:r>
      <w:r w:rsidR="0000490D">
        <w:t xml:space="preserve">in Australia instead of overseas. </w:t>
      </w:r>
      <w:r w:rsidR="00340F07">
        <w:t xml:space="preserve">At its maturity, </w:t>
      </w:r>
      <w:r w:rsidR="00F07DF7">
        <w:t xml:space="preserve">an estimated </w:t>
      </w:r>
      <w:r w:rsidR="00340F07">
        <w:t xml:space="preserve">816 medical and biotechnology firms would be able to access </w:t>
      </w:r>
      <w:r w:rsidR="00F07DF7">
        <w:t>the</w:t>
      </w:r>
      <w:r w:rsidR="00340F07">
        <w:t xml:space="preserve"> patent box under either option, </w:t>
      </w:r>
      <w:r w:rsidR="00BD6B49">
        <w:t>generat</w:t>
      </w:r>
      <w:r w:rsidR="00340F07">
        <w:t>ing</w:t>
      </w:r>
      <w:r w:rsidR="00E50428">
        <w:t xml:space="preserve"> </w:t>
      </w:r>
      <w:r w:rsidR="00BD6B49">
        <w:t xml:space="preserve">additional </w:t>
      </w:r>
      <w:r w:rsidR="00E50428">
        <w:t xml:space="preserve">economic activity and high-skilled jobs </w:t>
      </w:r>
      <w:r w:rsidR="00BD6B49">
        <w:t>in Australia, with</w:t>
      </w:r>
      <w:r w:rsidR="00340F07">
        <w:t xml:space="preserve"> flow-on benefits across the economy</w:t>
      </w:r>
      <w:r w:rsidR="00E66D27">
        <w:t>.</w:t>
      </w:r>
      <w:r w:rsidR="00E50428" w:rsidDel="00361B1E">
        <w:t xml:space="preserve"> </w:t>
      </w:r>
      <w:r w:rsidR="0000490D">
        <w:t xml:space="preserve">Option 3 has a stronger </w:t>
      </w:r>
      <w:r w:rsidR="00340F07">
        <w:t xml:space="preserve">economic </w:t>
      </w:r>
      <w:r w:rsidR="00944B15">
        <w:t>benefit</w:t>
      </w:r>
      <w:r w:rsidR="0000490D">
        <w:t xml:space="preserve"> than Option 2</w:t>
      </w:r>
      <w:r w:rsidR="00340F07">
        <w:t xml:space="preserve">, </w:t>
      </w:r>
      <w:r w:rsidR="0000490D">
        <w:t xml:space="preserve">as it applies to patents </w:t>
      </w:r>
      <w:r w:rsidR="001E2A05">
        <w:t>granted</w:t>
      </w:r>
      <w:r w:rsidR="0000490D">
        <w:t xml:space="preserve">, not just patents </w:t>
      </w:r>
      <w:r w:rsidR="001E2A05">
        <w:t>applied for</w:t>
      </w:r>
      <w:r w:rsidR="0000490D">
        <w:t>, after announcement date</w:t>
      </w:r>
      <w:r w:rsidR="00E50428">
        <w:t xml:space="preserve">, and to patents granted </w:t>
      </w:r>
      <w:r w:rsidR="00F07DF7">
        <w:t xml:space="preserve">in certain jurisdictions </w:t>
      </w:r>
      <w:r w:rsidR="00E50428">
        <w:t>overseas</w:t>
      </w:r>
      <w:r>
        <w:t xml:space="preserve">. </w:t>
      </w:r>
    </w:p>
    <w:p w14:paraId="7B18314C" w14:textId="6D488A43" w:rsidR="0040704E" w:rsidRPr="009976BF" w:rsidRDefault="0096361C" w:rsidP="002A6B39">
      <w:pPr>
        <w:pStyle w:val="TextOpensans"/>
      </w:pPr>
      <w:r>
        <w:t>There are two types of benefits from implementation of a patent box</w:t>
      </w:r>
      <w:r w:rsidR="0040704E" w:rsidRPr="009976BF">
        <w:t>:</w:t>
      </w:r>
      <w:r w:rsidR="00E50428" w:rsidRPr="001E4F69">
        <w:t xml:space="preserve">      </w:t>
      </w:r>
    </w:p>
    <w:p w14:paraId="6E723DDE" w14:textId="2FB023CC" w:rsidR="00E259A8" w:rsidRDefault="0040704E" w:rsidP="0040704E">
      <w:pPr>
        <w:pStyle w:val="Bullet"/>
        <w:rPr>
          <w:rFonts w:ascii="Open Sans" w:hAnsi="Open Sans" w:cs="Open Sans"/>
        </w:rPr>
      </w:pPr>
      <w:r w:rsidRPr="009976BF">
        <w:rPr>
          <w:rFonts w:ascii="Open Sans" w:hAnsi="Open Sans" w:cs="Open Sans"/>
        </w:rPr>
        <w:t>the first i</w:t>
      </w:r>
      <w:r w:rsidR="00A562F0" w:rsidRPr="009976BF">
        <w:rPr>
          <w:rFonts w:ascii="Open Sans" w:hAnsi="Open Sans" w:cs="Open Sans"/>
        </w:rPr>
        <w:t xml:space="preserve">s </w:t>
      </w:r>
      <w:r w:rsidRPr="009976BF">
        <w:rPr>
          <w:rFonts w:ascii="Open Sans" w:hAnsi="Open Sans" w:cs="Open Sans"/>
        </w:rPr>
        <w:t xml:space="preserve">the increase in R&amp;D activity </w:t>
      </w:r>
      <w:r w:rsidR="000A39B9" w:rsidRPr="009976BF">
        <w:rPr>
          <w:rFonts w:ascii="Open Sans" w:hAnsi="Open Sans" w:cs="Open Sans"/>
        </w:rPr>
        <w:t xml:space="preserve">arising from the greater </w:t>
      </w:r>
      <w:r w:rsidR="00BF351F" w:rsidRPr="009976BF">
        <w:rPr>
          <w:rFonts w:ascii="Open Sans" w:hAnsi="Open Sans" w:cs="Open Sans"/>
        </w:rPr>
        <w:t>incentive</w:t>
      </w:r>
      <w:r w:rsidR="000A39B9" w:rsidRPr="009976BF">
        <w:rPr>
          <w:rFonts w:ascii="Open Sans" w:hAnsi="Open Sans" w:cs="Open Sans"/>
        </w:rPr>
        <w:t xml:space="preserve"> t</w:t>
      </w:r>
      <w:r w:rsidR="00BF351F" w:rsidRPr="009976BF">
        <w:rPr>
          <w:rFonts w:ascii="Open Sans" w:hAnsi="Open Sans" w:cs="Open Sans"/>
        </w:rPr>
        <w:t>o</w:t>
      </w:r>
      <w:r w:rsidR="000A39B9" w:rsidRPr="009976BF">
        <w:rPr>
          <w:rFonts w:ascii="Open Sans" w:hAnsi="Open Sans" w:cs="Open Sans"/>
        </w:rPr>
        <w:t xml:space="preserve"> </w:t>
      </w:r>
      <w:r w:rsidR="00BF351F" w:rsidRPr="009976BF">
        <w:rPr>
          <w:rFonts w:ascii="Open Sans" w:hAnsi="Open Sans" w:cs="Open Sans"/>
        </w:rPr>
        <w:t>produce</w:t>
      </w:r>
      <w:r w:rsidR="000A39B9" w:rsidRPr="009976BF">
        <w:rPr>
          <w:rFonts w:ascii="Open Sans" w:hAnsi="Open Sans" w:cs="Open Sans"/>
        </w:rPr>
        <w:t xml:space="preserve"> </w:t>
      </w:r>
      <w:r w:rsidR="00E47ECC" w:rsidRPr="009976BF">
        <w:rPr>
          <w:rFonts w:ascii="Open Sans" w:hAnsi="Open Sans" w:cs="Open Sans"/>
        </w:rPr>
        <w:t>eligible</w:t>
      </w:r>
      <w:r w:rsidR="000A39B9" w:rsidRPr="009976BF">
        <w:rPr>
          <w:rFonts w:ascii="Open Sans" w:hAnsi="Open Sans" w:cs="Open Sans"/>
        </w:rPr>
        <w:t xml:space="preserve"> patents</w:t>
      </w:r>
      <w:r w:rsidR="00AB4C5C" w:rsidRPr="009976BF">
        <w:rPr>
          <w:rFonts w:ascii="Open Sans" w:hAnsi="Open Sans" w:cs="Open Sans"/>
        </w:rPr>
        <w:t xml:space="preserve"> for patent box purposes</w:t>
      </w:r>
      <w:r w:rsidR="000A39B9" w:rsidRPr="009976BF">
        <w:rPr>
          <w:rFonts w:ascii="Open Sans" w:hAnsi="Open Sans" w:cs="Open Sans"/>
        </w:rPr>
        <w:t>. This has flow on</w:t>
      </w:r>
      <w:r w:rsidRPr="001E4F69">
        <w:rPr>
          <w:rFonts w:ascii="Open Sans" w:hAnsi="Open Sans" w:cs="Open Sans"/>
        </w:rPr>
        <w:t xml:space="preserve"> benefits</w:t>
      </w:r>
      <w:r w:rsidR="000A39B9" w:rsidRPr="009976BF">
        <w:rPr>
          <w:rFonts w:ascii="Open Sans" w:hAnsi="Open Sans" w:cs="Open Sans"/>
        </w:rPr>
        <w:t>, for instance a</w:t>
      </w:r>
      <w:r w:rsidRPr="001E4F69">
        <w:rPr>
          <w:rFonts w:ascii="Open Sans" w:hAnsi="Open Sans" w:cs="Open Sans"/>
        </w:rPr>
        <w:t xml:space="preserve"> </w:t>
      </w:r>
      <w:r w:rsidRPr="00870812">
        <w:rPr>
          <w:rFonts w:ascii="Open Sans" w:hAnsi="Open Sans" w:cs="Open Sans"/>
        </w:rPr>
        <w:t>November 2021 CSIRO working paper</w:t>
      </w:r>
      <w:r w:rsidR="00D856B1">
        <w:rPr>
          <w:rFonts w:ascii="Open Sans" w:hAnsi="Open Sans" w:cs="Open Sans"/>
          <w:vertAlign w:val="superscript"/>
        </w:rPr>
        <w:t>13</w:t>
      </w:r>
      <w:r w:rsidRPr="00870812">
        <w:rPr>
          <w:rFonts w:ascii="Open Sans" w:hAnsi="Open Sans" w:cs="Open Sans"/>
        </w:rPr>
        <w:t xml:space="preserve"> </w:t>
      </w:r>
      <w:r w:rsidR="00361B1E">
        <w:rPr>
          <w:rFonts w:ascii="Open Sans" w:hAnsi="Open Sans" w:cs="Open Sans"/>
        </w:rPr>
        <w:t>notes</w:t>
      </w:r>
      <w:r w:rsidR="00361B1E" w:rsidRPr="00870812">
        <w:rPr>
          <w:rFonts w:ascii="Open Sans" w:hAnsi="Open Sans" w:cs="Open Sans"/>
        </w:rPr>
        <w:t xml:space="preserve"> </w:t>
      </w:r>
      <w:r w:rsidRPr="00870812">
        <w:rPr>
          <w:rFonts w:ascii="Open Sans" w:hAnsi="Open Sans" w:cs="Open Sans"/>
        </w:rPr>
        <w:t>that for every $1 increase in R&amp;D</w:t>
      </w:r>
      <w:r w:rsidR="00DA4F6E" w:rsidRPr="00870812">
        <w:rPr>
          <w:rFonts w:ascii="Open Sans" w:hAnsi="Open Sans" w:cs="Open Sans"/>
        </w:rPr>
        <w:t xml:space="preserve"> </w:t>
      </w:r>
      <w:r w:rsidR="00C60AE8" w:rsidRPr="009976BF">
        <w:rPr>
          <w:rFonts w:ascii="Open Sans" w:hAnsi="Open Sans" w:cs="Open Sans"/>
        </w:rPr>
        <w:t>investment</w:t>
      </w:r>
      <w:r w:rsidR="00F07DF7">
        <w:rPr>
          <w:rFonts w:ascii="Open Sans" w:hAnsi="Open Sans" w:cs="Open Sans"/>
        </w:rPr>
        <w:t>,</w:t>
      </w:r>
      <w:r w:rsidR="00C60AE8" w:rsidRPr="009976BF">
        <w:rPr>
          <w:rFonts w:ascii="Open Sans" w:hAnsi="Open Sans" w:cs="Open Sans"/>
        </w:rPr>
        <w:t xml:space="preserve"> </w:t>
      </w:r>
      <w:r w:rsidR="00DA4F6E" w:rsidRPr="001E4F69">
        <w:rPr>
          <w:rFonts w:ascii="Open Sans" w:hAnsi="Open Sans" w:cs="Open Sans"/>
        </w:rPr>
        <w:t>a $3.5</w:t>
      </w:r>
      <w:r w:rsidR="00DA4F6E" w:rsidRPr="00D91E11">
        <w:rPr>
          <w:rFonts w:ascii="Open Sans" w:hAnsi="Open Sans" w:cs="Open Sans"/>
        </w:rPr>
        <w:t xml:space="preserve">0 return </w:t>
      </w:r>
      <w:r w:rsidR="00F07DF7">
        <w:rPr>
          <w:rFonts w:ascii="Open Sans" w:hAnsi="Open Sans" w:cs="Open Sans"/>
        </w:rPr>
        <w:t>can be expected</w:t>
      </w:r>
      <w:r w:rsidR="00DA4F6E" w:rsidRPr="00D91E11">
        <w:rPr>
          <w:rFonts w:ascii="Open Sans" w:hAnsi="Open Sans" w:cs="Open Sans"/>
        </w:rPr>
        <w:t xml:space="preserve"> (before consider</w:t>
      </w:r>
      <w:r w:rsidR="0018106A">
        <w:rPr>
          <w:rFonts w:ascii="Open Sans" w:hAnsi="Open Sans" w:cs="Open Sans"/>
        </w:rPr>
        <w:t>ation of</w:t>
      </w:r>
      <w:r w:rsidR="00DA4F6E" w:rsidRPr="00D91E11">
        <w:rPr>
          <w:rFonts w:ascii="Open Sans" w:hAnsi="Open Sans" w:cs="Open Sans"/>
        </w:rPr>
        <w:t xml:space="preserve"> social benefits). </w:t>
      </w:r>
    </w:p>
    <w:p w14:paraId="482C9D8D" w14:textId="18B59B00" w:rsidR="004B00BC" w:rsidRDefault="00916058" w:rsidP="009578E0">
      <w:pPr>
        <w:pStyle w:val="Bullet"/>
      </w:pPr>
      <w:r>
        <w:rPr>
          <w:rFonts w:ascii="Open Sans" w:hAnsi="Open Sans" w:cs="Open Sans"/>
        </w:rPr>
        <w:t xml:space="preserve">In terms of </w:t>
      </w:r>
      <w:proofErr w:type="spellStart"/>
      <w:r>
        <w:rPr>
          <w:rFonts w:ascii="Open Sans" w:hAnsi="Open Sans" w:cs="Open Sans"/>
        </w:rPr>
        <w:t>spillovers</w:t>
      </w:r>
      <w:proofErr w:type="spellEnd"/>
      <w:r>
        <w:rPr>
          <w:rFonts w:ascii="Open Sans" w:hAnsi="Open Sans" w:cs="Open Sans"/>
        </w:rPr>
        <w:t>, a</w:t>
      </w:r>
      <w:r w:rsidR="00E259A8" w:rsidRPr="00E259A8">
        <w:rPr>
          <w:rFonts w:ascii="Open Sans" w:hAnsi="Open Sans" w:cs="Open Sans"/>
        </w:rPr>
        <w:t xml:space="preserve"> 2006 Productivity Commission study</w:t>
      </w:r>
      <w:r w:rsidR="00E259A8" w:rsidRPr="009976BF">
        <w:rPr>
          <w:rFonts w:ascii="Open Sans" w:hAnsi="Open Sans" w:cs="Open Sans"/>
          <w:vertAlign w:val="superscript"/>
        </w:rPr>
        <w:t>7</w:t>
      </w:r>
      <w:r w:rsidR="00F07DF7">
        <w:rPr>
          <w:rFonts w:ascii="Open Sans" w:hAnsi="Open Sans" w:cs="Open Sans"/>
        </w:rPr>
        <w:t xml:space="preserve"> </w:t>
      </w:r>
      <w:r w:rsidR="00E259A8" w:rsidRPr="00E259A8">
        <w:rPr>
          <w:rFonts w:ascii="Open Sans" w:hAnsi="Open Sans" w:cs="Open Sans"/>
        </w:rPr>
        <w:t xml:space="preserve">found that R&amp;D investment results in roughly a 25 per cent </w:t>
      </w:r>
      <w:proofErr w:type="spellStart"/>
      <w:r w:rsidR="00E259A8" w:rsidRPr="00E259A8">
        <w:rPr>
          <w:rFonts w:ascii="Open Sans" w:hAnsi="Open Sans" w:cs="Open Sans"/>
        </w:rPr>
        <w:t>spillover</w:t>
      </w:r>
      <w:proofErr w:type="spellEnd"/>
      <w:r w:rsidR="00E259A8" w:rsidRPr="00E259A8">
        <w:rPr>
          <w:rFonts w:ascii="Open Sans" w:hAnsi="Open Sans" w:cs="Open Sans"/>
        </w:rPr>
        <w:t xml:space="preserve"> benefit outside of the sector of </w:t>
      </w:r>
      <w:r w:rsidR="00E259A8" w:rsidRPr="00E259A8">
        <w:rPr>
          <w:rFonts w:ascii="Open Sans" w:hAnsi="Open Sans" w:cs="Open Sans"/>
        </w:rPr>
        <w:lastRenderedPageBreak/>
        <w:t>investment. Not having a patent box, therefore, means Australia is also missing out on the positive externalit</w:t>
      </w:r>
      <w:r w:rsidR="002F5E36">
        <w:rPr>
          <w:rFonts w:ascii="Open Sans" w:hAnsi="Open Sans" w:cs="Open Sans"/>
        </w:rPr>
        <w:t>y</w:t>
      </w:r>
      <w:r w:rsidR="00E259A8" w:rsidRPr="00E259A8">
        <w:rPr>
          <w:rFonts w:ascii="Open Sans" w:hAnsi="Open Sans" w:cs="Open Sans"/>
        </w:rPr>
        <w:t xml:space="preserve"> benefits associated with any potential forgone R&amp;D investment.</w:t>
      </w:r>
    </w:p>
    <w:p w14:paraId="1D10CF0F" w14:textId="77777777" w:rsidR="004B00BC" w:rsidRDefault="004B00BC" w:rsidP="004B00BC">
      <w:pPr>
        <w:pStyle w:val="TextOpensans"/>
      </w:pPr>
      <w:r>
        <w:t xml:space="preserve">While the compliance burden under both Options 2 and 3 is significant (see Table 1), the patent box regime is optional and benefits participating businesses. Its proposed design has been developed in consultation with industry, and the compliance burden is broadly in line with other patent box regimes.  </w:t>
      </w:r>
    </w:p>
    <w:p w14:paraId="035064B7" w14:textId="7D0D020B" w:rsidR="00CC6EFB" w:rsidRDefault="00CC6EFB" w:rsidP="009976BF">
      <w:pPr>
        <w:pStyle w:val="TextOpensans"/>
      </w:pPr>
      <w:r w:rsidRPr="001E3157">
        <w:t xml:space="preserve">The ATO has provided an estimate of compliance costs as </w:t>
      </w:r>
      <w:r>
        <w:t xml:space="preserve">set out in Table </w:t>
      </w:r>
      <w:r w:rsidRPr="00397966">
        <w:t>3.</w:t>
      </w:r>
      <w:r>
        <w:t xml:space="preserve"> The regulatory cost borne by individuals (including consumers) and community organisations is estimated to be $0. </w:t>
      </w:r>
    </w:p>
    <w:p w14:paraId="231CACB9" w14:textId="43C1E86C" w:rsidR="00A54A5D" w:rsidRPr="001E3157" w:rsidRDefault="00835046" w:rsidP="00A54A5D">
      <w:pPr>
        <w:pStyle w:val="TextOpensans"/>
      </w:pPr>
      <w:r>
        <w:t>Moreover,</w:t>
      </w:r>
      <w:r w:rsidR="00A54A5D">
        <w:t xml:space="preserve"> the ATO has advised that Option 3 would have lower non-tax compliance costs than Option 2 as businesses would not </w:t>
      </w:r>
      <w:r w:rsidR="00A54A5D" w:rsidRPr="004846F8">
        <w:t>be required to maintain a patent in Australia in order to access the concession</w:t>
      </w:r>
      <w:r w:rsidR="00F960CE">
        <w:t xml:space="preserve"> (if they already have a patent in the EU or US)</w:t>
      </w:r>
      <w:r w:rsidR="00A54A5D" w:rsidRPr="004846F8">
        <w:t xml:space="preserve">. Note however that non-tax costs are </w:t>
      </w:r>
      <w:r w:rsidR="00A54A5D" w:rsidRPr="004846F8">
        <w:rPr>
          <w:u w:val="single"/>
        </w:rPr>
        <w:t>not</w:t>
      </w:r>
      <w:r w:rsidR="00A54A5D" w:rsidRPr="004846F8">
        <w:t xml:space="preserve"> captured in the quantified assessment</w:t>
      </w:r>
      <w:r w:rsidR="00A73409">
        <w:t xml:space="preserve"> </w:t>
      </w:r>
      <w:r w:rsidR="009E6F7D">
        <w:t xml:space="preserve">as the ATO has not </w:t>
      </w:r>
      <w:r w:rsidR="00A73409">
        <w:t>been able to quantify them</w:t>
      </w:r>
      <w:r w:rsidR="00A73409">
        <w:rPr>
          <w:rStyle w:val="FootnoteReference"/>
        </w:rPr>
        <w:footnoteReference w:id="2"/>
      </w:r>
      <w:r w:rsidR="00A54A5D" w:rsidRPr="004846F8">
        <w:t>.</w:t>
      </w:r>
      <w:r w:rsidR="00A54A5D">
        <w:t xml:space="preserve"> Option 3 therefore offers an advantage of lower </w:t>
      </w:r>
      <w:r w:rsidR="00517C74">
        <w:t xml:space="preserve">non-tax </w:t>
      </w:r>
      <w:r w:rsidR="00A42367">
        <w:t xml:space="preserve">compliance </w:t>
      </w:r>
      <w:r w:rsidR="00517C74">
        <w:t xml:space="preserve">costs than </w:t>
      </w:r>
      <w:r w:rsidR="00A54A5D">
        <w:t xml:space="preserve">Option 2 </w:t>
      </w:r>
      <w:r w:rsidR="00AC24BC">
        <w:t>without compromising the integrity of patents allowed into the regime since</w:t>
      </w:r>
      <w:r w:rsidR="00A54A5D">
        <w:t xml:space="preserve"> the EU and the US respective patent offices have </w:t>
      </w:r>
      <w:r w:rsidR="00006358">
        <w:t xml:space="preserve">comparable </w:t>
      </w:r>
      <w:r w:rsidR="00A54A5D">
        <w:t>patent examination standards</w:t>
      </w:r>
      <w:r w:rsidR="00AC24BC">
        <w:t xml:space="preserve"> to IP Australia</w:t>
      </w:r>
      <w:r w:rsidR="00A54A5D">
        <w:t xml:space="preserve">. </w:t>
      </w:r>
    </w:p>
    <w:p w14:paraId="08DFE109" w14:textId="3AE7E66F" w:rsidR="00ED2C9F" w:rsidRDefault="00ED2C9F" w:rsidP="0012311D">
      <w:pPr>
        <w:pStyle w:val="TextOpensans"/>
      </w:pPr>
    </w:p>
    <w:tbl>
      <w:tblPr>
        <w:tblStyle w:val="PlainTable5"/>
        <w:tblW w:w="0" w:type="auto"/>
        <w:tblLook w:val="04A0" w:firstRow="1" w:lastRow="0" w:firstColumn="1" w:lastColumn="0" w:noHBand="0" w:noVBand="1"/>
        <w:tblCaption w:val="Table 1: Estimated compliance costs (Option 2 and 3)"/>
        <w:tblDescription w:val="Table outlining the estimated compliance costs for Option 2 and 3.&#10;&#10;Per year compliance costs forthe first 10 years of operation is $2,204,773."/>
      </w:tblPr>
      <w:tblGrid>
        <w:gridCol w:w="3823"/>
        <w:gridCol w:w="5386"/>
      </w:tblGrid>
      <w:tr w:rsidR="00ED2C9F" w:rsidRPr="00E8365F" w14:paraId="74E0B8D3" w14:textId="77777777" w:rsidTr="005A42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9" w:type="dxa"/>
            <w:gridSpan w:val="2"/>
          </w:tcPr>
          <w:p w14:paraId="12B996F4" w14:textId="730DA05B" w:rsidR="00ED2C9F" w:rsidRPr="00E8365F" w:rsidRDefault="000207A0" w:rsidP="002373AA">
            <w:pPr>
              <w:pStyle w:val="TextOpensans"/>
              <w:jc w:val="left"/>
              <w:rPr>
                <w:b/>
                <w:bCs/>
                <w:i w:val="0"/>
                <w:iCs w:val="0"/>
                <w:sz w:val="22"/>
              </w:rPr>
            </w:pPr>
            <w:r>
              <w:rPr>
                <w:b/>
                <w:i w:val="0"/>
                <w:sz w:val="22"/>
              </w:rPr>
              <w:t xml:space="preserve">Table 1: </w:t>
            </w:r>
            <w:r w:rsidR="007C1412">
              <w:rPr>
                <w:b/>
                <w:i w:val="0"/>
                <w:sz w:val="22"/>
              </w:rPr>
              <w:t>Estimated</w:t>
            </w:r>
            <w:r w:rsidR="00ED2C9F" w:rsidRPr="0019087B">
              <w:rPr>
                <w:b/>
                <w:i w:val="0"/>
                <w:sz w:val="22"/>
              </w:rPr>
              <w:t xml:space="preserve"> compliance costs </w:t>
            </w:r>
            <w:r w:rsidR="00A74893">
              <w:rPr>
                <w:b/>
                <w:i w:val="0"/>
                <w:sz w:val="22"/>
              </w:rPr>
              <w:t>(Option 2 and 3)</w:t>
            </w:r>
          </w:p>
        </w:tc>
      </w:tr>
      <w:tr w:rsidR="00ED2C9F" w:rsidRPr="00E8365F" w14:paraId="04015CDD" w14:textId="77777777" w:rsidTr="005A4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C1F5A9B" w14:textId="77777777" w:rsidR="00ED2C9F" w:rsidRPr="00E8365F" w:rsidRDefault="00ED2C9F" w:rsidP="005A42F5">
            <w:pPr>
              <w:pStyle w:val="TextOpensans"/>
              <w:rPr>
                <w:sz w:val="22"/>
              </w:rPr>
            </w:pPr>
            <w:r w:rsidRPr="00E8365F">
              <w:rPr>
                <w:sz w:val="22"/>
              </w:rPr>
              <w:t>Implementation</w:t>
            </w:r>
          </w:p>
        </w:tc>
        <w:tc>
          <w:tcPr>
            <w:tcW w:w="5386" w:type="dxa"/>
          </w:tcPr>
          <w:p w14:paraId="09E3D224" w14:textId="2EF43F16" w:rsidR="00ED2C9F" w:rsidRPr="00E8365F" w:rsidRDefault="00ED2C9F" w:rsidP="005A42F5">
            <w:pPr>
              <w:pStyle w:val="TextOpensans"/>
              <w:cnfStyle w:val="000000100000" w:firstRow="0" w:lastRow="0" w:firstColumn="0" w:lastColumn="0" w:oddVBand="0" w:evenVBand="0" w:oddHBand="1" w:evenHBand="0" w:firstRowFirstColumn="0" w:firstRowLastColumn="0" w:lastRowFirstColumn="0" w:lastRowLastColumn="0"/>
            </w:pPr>
            <w:r w:rsidRPr="00AC1E47">
              <w:rPr>
                <w:rFonts w:eastAsia="Times New Roman"/>
                <w:color w:val="000000"/>
                <w:lang w:eastAsia="en-AU"/>
              </w:rPr>
              <w:t>$5,077,131</w:t>
            </w:r>
          </w:p>
        </w:tc>
      </w:tr>
      <w:tr w:rsidR="00ED2C9F" w:rsidRPr="00E8365F" w14:paraId="679548F6" w14:textId="77777777" w:rsidTr="005A42F5">
        <w:tc>
          <w:tcPr>
            <w:cnfStyle w:val="001000000000" w:firstRow="0" w:lastRow="0" w:firstColumn="1" w:lastColumn="0" w:oddVBand="0" w:evenVBand="0" w:oddHBand="0" w:evenHBand="0" w:firstRowFirstColumn="0" w:firstRowLastColumn="0" w:lastRowFirstColumn="0" w:lastRowLastColumn="0"/>
            <w:tcW w:w="3823" w:type="dxa"/>
          </w:tcPr>
          <w:p w14:paraId="43543D16" w14:textId="77777777" w:rsidR="00ED2C9F" w:rsidRPr="00E8365F" w:rsidRDefault="00ED2C9F" w:rsidP="005A42F5">
            <w:pPr>
              <w:pStyle w:val="TextOpensans"/>
              <w:rPr>
                <w:sz w:val="22"/>
              </w:rPr>
            </w:pPr>
            <w:r w:rsidRPr="00E8365F">
              <w:rPr>
                <w:sz w:val="22"/>
              </w:rPr>
              <w:t>Ongoing (per annum)</w:t>
            </w:r>
          </w:p>
        </w:tc>
        <w:tc>
          <w:tcPr>
            <w:tcW w:w="5386" w:type="dxa"/>
          </w:tcPr>
          <w:p w14:paraId="11B854AE" w14:textId="0D24BAF1" w:rsidR="00ED2C9F" w:rsidRPr="00E8365F" w:rsidRDefault="00ED2C9F" w:rsidP="005A42F5">
            <w:pPr>
              <w:pStyle w:val="TextOpensans"/>
              <w:cnfStyle w:val="000000000000" w:firstRow="0" w:lastRow="0" w:firstColumn="0" w:lastColumn="0" w:oddVBand="0" w:evenVBand="0" w:oddHBand="0" w:evenHBand="0" w:firstRowFirstColumn="0" w:firstRowLastColumn="0" w:lastRowFirstColumn="0" w:lastRowLastColumn="0"/>
            </w:pPr>
            <w:r w:rsidRPr="00AC1E47">
              <w:rPr>
                <w:rFonts w:eastAsia="Times New Roman"/>
                <w:color w:val="000000"/>
                <w:lang w:eastAsia="en-AU"/>
              </w:rPr>
              <w:t>$1,697,060</w:t>
            </w:r>
          </w:p>
        </w:tc>
      </w:tr>
      <w:tr w:rsidR="00ED2C9F" w:rsidRPr="00E8365F" w14:paraId="01A5FC61" w14:textId="77777777" w:rsidTr="005A4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51CF695" w14:textId="77777777" w:rsidR="00ED2C9F" w:rsidRPr="00E8365F" w:rsidRDefault="00ED2C9F" w:rsidP="005A42F5">
            <w:pPr>
              <w:pStyle w:val="TextOpensans"/>
              <w:rPr>
                <w:sz w:val="22"/>
              </w:rPr>
            </w:pPr>
            <w:r w:rsidRPr="00E8365F">
              <w:rPr>
                <w:sz w:val="22"/>
              </w:rPr>
              <w:t>Aggregate impact over 10-year duration</w:t>
            </w:r>
          </w:p>
        </w:tc>
        <w:tc>
          <w:tcPr>
            <w:tcW w:w="5386" w:type="dxa"/>
          </w:tcPr>
          <w:p w14:paraId="232C9D94" w14:textId="55247070" w:rsidR="00ED2C9F" w:rsidRPr="00E8365F" w:rsidRDefault="00ED2C9F" w:rsidP="005A42F5">
            <w:pPr>
              <w:pStyle w:val="TextOpensans"/>
              <w:cnfStyle w:val="000000100000" w:firstRow="0" w:lastRow="0" w:firstColumn="0" w:lastColumn="0" w:oddVBand="0" w:evenVBand="0" w:oddHBand="1" w:evenHBand="0" w:firstRowFirstColumn="0" w:firstRowLastColumn="0" w:lastRowFirstColumn="0" w:lastRowLastColumn="0"/>
            </w:pPr>
            <w:r w:rsidRPr="00AC1E47">
              <w:rPr>
                <w:rFonts w:eastAsia="Times New Roman"/>
                <w:color w:val="000000"/>
                <w:lang w:eastAsia="en-AU"/>
              </w:rPr>
              <w:t>$22,047,728</w:t>
            </w:r>
          </w:p>
        </w:tc>
      </w:tr>
      <w:tr w:rsidR="00ED2C9F" w:rsidRPr="00E8365F" w14:paraId="14A91B59" w14:textId="77777777" w:rsidTr="005A42F5">
        <w:trPr>
          <w:trHeight w:val="77"/>
        </w:trPr>
        <w:tc>
          <w:tcPr>
            <w:cnfStyle w:val="001000000000" w:firstRow="0" w:lastRow="0" w:firstColumn="1" w:lastColumn="0" w:oddVBand="0" w:evenVBand="0" w:oddHBand="0" w:evenHBand="0" w:firstRowFirstColumn="0" w:firstRowLastColumn="0" w:lastRowFirstColumn="0" w:lastRowLastColumn="0"/>
            <w:tcW w:w="3823" w:type="dxa"/>
          </w:tcPr>
          <w:p w14:paraId="57CFBEE6" w14:textId="77777777" w:rsidR="00ED2C9F" w:rsidRPr="00E8365F" w:rsidRDefault="00ED2C9F" w:rsidP="005A42F5">
            <w:pPr>
              <w:pStyle w:val="TextOpensans"/>
              <w:rPr>
                <w:sz w:val="22"/>
              </w:rPr>
            </w:pPr>
            <w:r w:rsidRPr="00E8365F">
              <w:rPr>
                <w:sz w:val="22"/>
              </w:rPr>
              <w:t>Per year (10 years)</w:t>
            </w:r>
          </w:p>
        </w:tc>
        <w:tc>
          <w:tcPr>
            <w:tcW w:w="5386" w:type="dxa"/>
          </w:tcPr>
          <w:p w14:paraId="57DB5718" w14:textId="71FA5E10" w:rsidR="00ED2C9F" w:rsidRPr="00E8365F" w:rsidRDefault="00ED2C9F" w:rsidP="005A42F5">
            <w:pPr>
              <w:pStyle w:val="TextOpensans"/>
              <w:cnfStyle w:val="000000000000" w:firstRow="0" w:lastRow="0" w:firstColumn="0" w:lastColumn="0" w:oddVBand="0" w:evenVBand="0" w:oddHBand="0" w:evenHBand="0" w:firstRowFirstColumn="0" w:firstRowLastColumn="0" w:lastRowFirstColumn="0" w:lastRowLastColumn="0"/>
            </w:pPr>
            <w:r w:rsidRPr="00AC1E47">
              <w:rPr>
                <w:rFonts w:eastAsia="Times New Roman"/>
                <w:color w:val="000000"/>
                <w:lang w:eastAsia="en-AU"/>
              </w:rPr>
              <w:t>$2,204,773</w:t>
            </w:r>
          </w:p>
        </w:tc>
      </w:tr>
    </w:tbl>
    <w:p w14:paraId="2A485120" w14:textId="77777777" w:rsidR="00C05177" w:rsidRDefault="00C05177" w:rsidP="00A54A5D">
      <w:pPr>
        <w:pStyle w:val="TextOpensans"/>
      </w:pPr>
      <w:bookmarkStart w:id="27" w:name="_Toc81382246"/>
      <w:bookmarkStart w:id="28" w:name="_Toc81413083"/>
      <w:bookmarkStart w:id="29" w:name="_Toc82428756"/>
      <w:bookmarkStart w:id="30" w:name="_Toc91078448"/>
    </w:p>
    <w:p w14:paraId="169F8B9F" w14:textId="0AB2876B" w:rsidR="00E05448" w:rsidRDefault="00E05448" w:rsidP="00A54A5D">
      <w:pPr>
        <w:pStyle w:val="TextOpensans"/>
      </w:pPr>
      <w:r>
        <w:t>This preferred option put forward for Government decision is estimated to decrease the underlying cash balance by $120 million over the forward estimates period. This policy costing only takes into account the direct effects of a policy change and do</w:t>
      </w:r>
      <w:r w:rsidR="00361B1E">
        <w:t>es</w:t>
      </w:r>
      <w:r>
        <w:t xml:space="preserve"> not include broader economic or ‘second-round’ effects as detailed in the Charter of Budget Honesty Policy Costing Guidelines.</w:t>
      </w:r>
    </w:p>
    <w:p w14:paraId="3F648356" w14:textId="411D9BD7" w:rsidR="00155361" w:rsidRPr="00C31F98" w:rsidRDefault="00155361" w:rsidP="00C05D54">
      <w:pPr>
        <w:pStyle w:val="H2Opensans"/>
      </w:pPr>
      <w:bookmarkStart w:id="31" w:name="_Toc93487770"/>
      <w:r w:rsidRPr="00C31F98">
        <w:t>Consultation</w:t>
      </w:r>
      <w:bookmarkEnd w:id="27"/>
      <w:bookmarkEnd w:id="28"/>
      <w:bookmarkEnd w:id="29"/>
      <w:bookmarkEnd w:id="30"/>
      <w:r w:rsidR="004971E6">
        <w:t>, implementation and evaluation</w:t>
      </w:r>
      <w:bookmarkEnd w:id="31"/>
    </w:p>
    <w:p w14:paraId="2893D0AF" w14:textId="265B760D" w:rsidR="007C55CF" w:rsidRDefault="00155361" w:rsidP="00016F05">
      <w:pPr>
        <w:pStyle w:val="TextOpensans"/>
      </w:pPr>
      <w:r>
        <w:t xml:space="preserve">Treasury released a discussion paper on the design of the patent box on 5 July 2021 as part of its six-week public consultation process. </w:t>
      </w:r>
      <w:r w:rsidR="007C55CF" w:rsidRPr="004E050E">
        <w:t>In its consultation paper, Treasury put forward 29 discussion questions</w:t>
      </w:r>
      <w:r w:rsidR="007C55CF" w:rsidRPr="007C55CF">
        <w:t xml:space="preserve"> </w:t>
      </w:r>
      <w:r w:rsidR="007C55CF">
        <w:t>to inform the design of the patent box and the Government’s understanding of its impact</w:t>
      </w:r>
      <w:r w:rsidR="007C55CF" w:rsidRPr="004E050E">
        <w:t xml:space="preserve">. </w:t>
      </w:r>
      <w:r w:rsidR="007C55CF">
        <w:t xml:space="preserve">Treasury approached selected stakeholders </w:t>
      </w:r>
      <w:r w:rsidR="007C55CF">
        <w:lastRenderedPageBreak/>
        <w:t>ahead of the release of the discussion paper to ensure the questions were informed and covered the key design issues.</w:t>
      </w:r>
    </w:p>
    <w:p w14:paraId="48AA6A4F" w14:textId="77777777" w:rsidR="007C55CF" w:rsidRDefault="00155361" w:rsidP="00016F05">
      <w:pPr>
        <w:pStyle w:val="TextOpensans"/>
      </w:pPr>
      <w:r>
        <w:t>Approximately 48 written submissions were received from a range of stakeholders, including in the medical and biotechnology industries, low emissions sector, tax advisory firms, Commonwealth agencies and universities. The variety and volume of submissions</w:t>
      </w:r>
      <w:r w:rsidRPr="004E050E">
        <w:t xml:space="preserve"> </w:t>
      </w:r>
      <w:r>
        <w:t xml:space="preserve">received </w:t>
      </w:r>
      <w:r w:rsidRPr="004E050E">
        <w:t>indicat</w:t>
      </w:r>
      <w:r>
        <w:t xml:space="preserve">ed </w:t>
      </w:r>
      <w:r w:rsidR="00F476AD">
        <w:t xml:space="preserve">a </w:t>
      </w:r>
      <w:r>
        <w:t xml:space="preserve">high level of interest in the policy. </w:t>
      </w:r>
    </w:p>
    <w:p w14:paraId="510BB8F9" w14:textId="08594A00" w:rsidR="007C55CF" w:rsidRPr="003D68B0" w:rsidRDefault="00BD6B49" w:rsidP="007C55CF">
      <w:pPr>
        <w:pStyle w:val="TextOpensans"/>
      </w:pPr>
      <w:r>
        <w:t>In December 2021</w:t>
      </w:r>
      <w:r w:rsidR="00155361">
        <w:t xml:space="preserve">, Treasury conducted targeted consultation </w:t>
      </w:r>
      <w:bookmarkStart w:id="32" w:name="_Toc81382248"/>
      <w:bookmarkStart w:id="33" w:name="_Toc81413085"/>
      <w:bookmarkStart w:id="34" w:name="_Toc271526783"/>
      <w:bookmarkStart w:id="35" w:name="_Toc320810314"/>
      <w:r w:rsidR="007C55CF">
        <w:t xml:space="preserve">on draft legislation to further inform the proposed specifications and seek feedback on the </w:t>
      </w:r>
      <w:r w:rsidR="00924B30">
        <w:t xml:space="preserve">practical operation </w:t>
      </w:r>
      <w:r w:rsidR="007C55CF">
        <w:t xml:space="preserve">of the proposed regime prior to the Government making a final decision.  </w:t>
      </w:r>
    </w:p>
    <w:p w14:paraId="05897133" w14:textId="7169E82E" w:rsidR="00D729B7" w:rsidRPr="00016F05" w:rsidRDefault="009F4317" w:rsidP="00016F05">
      <w:pPr>
        <w:pStyle w:val="TextOpensans"/>
      </w:pPr>
      <w:r>
        <w:t xml:space="preserve">The ATO will be responsible for administering the regime. </w:t>
      </w:r>
      <w:r w:rsidR="00FB5CB7">
        <w:t>ATO Taxation Statistics d</w:t>
      </w:r>
      <w:r w:rsidR="00924B30">
        <w:t>at</w:t>
      </w:r>
      <w:r w:rsidR="00FB5CB7">
        <w:t xml:space="preserve">a will be provided to Treasury so that the take up of the regime can be understood over time. </w:t>
      </w:r>
      <w:r w:rsidR="00D729B7">
        <w:br w:type="page"/>
      </w:r>
    </w:p>
    <w:p w14:paraId="25E821B2" w14:textId="4D425A27" w:rsidR="00E829F9" w:rsidRPr="005862BA" w:rsidRDefault="00FA0B26" w:rsidP="005862BA">
      <w:pPr>
        <w:pStyle w:val="H1Opensans"/>
      </w:pPr>
      <w:bookmarkStart w:id="36" w:name="_Toc81932664"/>
      <w:bookmarkStart w:id="37" w:name="_Toc82428758"/>
      <w:bookmarkStart w:id="38" w:name="_Toc91078450"/>
      <w:bookmarkStart w:id="39" w:name="_Toc93487771"/>
      <w:r>
        <w:lastRenderedPageBreak/>
        <w:t>Problem</w:t>
      </w:r>
      <w:bookmarkEnd w:id="32"/>
      <w:bookmarkEnd w:id="33"/>
      <w:bookmarkEnd w:id="36"/>
      <w:bookmarkEnd w:id="37"/>
      <w:bookmarkEnd w:id="38"/>
      <w:bookmarkEnd w:id="39"/>
    </w:p>
    <w:p w14:paraId="54C1CEB8" w14:textId="523BDF09" w:rsidR="007E471D" w:rsidRPr="00655974" w:rsidRDefault="00297063" w:rsidP="009976BF">
      <w:pPr>
        <w:pStyle w:val="H2Opensans"/>
      </w:pPr>
      <w:bookmarkStart w:id="40" w:name="_Toc93174505"/>
      <w:bookmarkStart w:id="41" w:name="_Toc93221781"/>
      <w:bookmarkStart w:id="42" w:name="_Toc93221833"/>
      <w:bookmarkStart w:id="43" w:name="_Toc93225993"/>
      <w:bookmarkStart w:id="44" w:name="_Toc93322064"/>
      <w:bookmarkStart w:id="45" w:name="_Toc93174507"/>
      <w:bookmarkStart w:id="46" w:name="_Toc93221783"/>
      <w:bookmarkStart w:id="47" w:name="_Toc93221835"/>
      <w:bookmarkStart w:id="48" w:name="_Toc93225995"/>
      <w:bookmarkStart w:id="49" w:name="_Toc93322066"/>
      <w:bookmarkStart w:id="50" w:name="_Toc93174508"/>
      <w:bookmarkStart w:id="51" w:name="_Toc93221784"/>
      <w:bookmarkStart w:id="52" w:name="_Toc93221836"/>
      <w:bookmarkStart w:id="53" w:name="_Toc93225996"/>
      <w:bookmarkStart w:id="54" w:name="_Toc93322067"/>
      <w:bookmarkStart w:id="55" w:name="_Toc93174509"/>
      <w:bookmarkStart w:id="56" w:name="_Toc93221785"/>
      <w:bookmarkStart w:id="57" w:name="_Toc93221837"/>
      <w:bookmarkStart w:id="58" w:name="_Toc93225997"/>
      <w:bookmarkStart w:id="59" w:name="_Toc93322068"/>
      <w:bookmarkStart w:id="60" w:name="_Toc93174510"/>
      <w:bookmarkStart w:id="61" w:name="_Toc93221786"/>
      <w:bookmarkStart w:id="62" w:name="_Toc93221838"/>
      <w:bookmarkStart w:id="63" w:name="_Toc93225998"/>
      <w:bookmarkStart w:id="64" w:name="_Toc93322069"/>
      <w:bookmarkStart w:id="65" w:name="_Toc93174511"/>
      <w:bookmarkStart w:id="66" w:name="_Toc93221787"/>
      <w:bookmarkStart w:id="67" w:name="_Toc93221839"/>
      <w:bookmarkStart w:id="68" w:name="_Toc93225999"/>
      <w:bookmarkStart w:id="69" w:name="_Toc93322070"/>
      <w:bookmarkStart w:id="70" w:name="_Toc93174512"/>
      <w:bookmarkStart w:id="71" w:name="_Toc93221788"/>
      <w:bookmarkStart w:id="72" w:name="_Toc93221840"/>
      <w:bookmarkStart w:id="73" w:name="_Toc93226000"/>
      <w:bookmarkStart w:id="74" w:name="_Toc93322071"/>
      <w:bookmarkStart w:id="75" w:name="_Toc93174513"/>
      <w:bookmarkStart w:id="76" w:name="_Toc93221789"/>
      <w:bookmarkStart w:id="77" w:name="_Toc93221841"/>
      <w:bookmarkStart w:id="78" w:name="_Toc93226001"/>
      <w:bookmarkStart w:id="79" w:name="_Toc93322072"/>
      <w:bookmarkStart w:id="80" w:name="_Toc93174514"/>
      <w:bookmarkStart w:id="81" w:name="_Toc93221790"/>
      <w:bookmarkStart w:id="82" w:name="_Toc93221842"/>
      <w:bookmarkStart w:id="83" w:name="_Toc93226002"/>
      <w:bookmarkStart w:id="84" w:name="_Toc93322073"/>
      <w:bookmarkStart w:id="85" w:name="_Toc93174515"/>
      <w:bookmarkStart w:id="86" w:name="_Toc93221791"/>
      <w:bookmarkStart w:id="87" w:name="_Toc93221843"/>
      <w:bookmarkStart w:id="88" w:name="_Toc93226003"/>
      <w:bookmarkStart w:id="89" w:name="_Toc93322074"/>
      <w:bookmarkStart w:id="90" w:name="_Toc93174516"/>
      <w:bookmarkStart w:id="91" w:name="_Toc93221792"/>
      <w:bookmarkStart w:id="92" w:name="_Toc93221844"/>
      <w:bookmarkStart w:id="93" w:name="_Toc93226004"/>
      <w:bookmarkStart w:id="94" w:name="_Toc93322075"/>
      <w:bookmarkStart w:id="95" w:name="_Toc93174517"/>
      <w:bookmarkStart w:id="96" w:name="_Toc93221793"/>
      <w:bookmarkStart w:id="97" w:name="_Toc93221845"/>
      <w:bookmarkStart w:id="98" w:name="_Toc93226005"/>
      <w:bookmarkStart w:id="99" w:name="_Toc93322076"/>
      <w:bookmarkStart w:id="100" w:name="_Toc82428763"/>
      <w:bookmarkStart w:id="101" w:name="_Toc91078453"/>
      <w:bookmarkStart w:id="102" w:name="_Toc9348777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M</w:t>
      </w:r>
      <w:r w:rsidR="00BD6048" w:rsidRPr="00655974">
        <w:t>ultinational</w:t>
      </w:r>
      <w:r w:rsidR="007E471D" w:rsidRPr="00655974">
        <w:t xml:space="preserve"> </w:t>
      </w:r>
      <w:bookmarkEnd w:id="100"/>
      <w:r w:rsidR="007E471D" w:rsidRPr="00655974">
        <w:t>tax minimisation</w:t>
      </w:r>
      <w:bookmarkEnd w:id="101"/>
      <w:bookmarkEnd w:id="102"/>
      <w:r w:rsidR="007E471D" w:rsidRPr="00655974">
        <w:t xml:space="preserve"> </w:t>
      </w:r>
    </w:p>
    <w:p w14:paraId="50096BD8" w14:textId="6EE958F4" w:rsidR="00721079" w:rsidRDefault="00922DFF" w:rsidP="00BD6048">
      <w:pPr>
        <w:pStyle w:val="TextOpensans"/>
      </w:pPr>
      <w:r>
        <w:t>Co</w:t>
      </w:r>
      <w:r w:rsidR="00BD6048">
        <w:t xml:space="preserve">mmercial businesses generally exist to maximise </w:t>
      </w:r>
      <w:r w:rsidR="0009083E">
        <w:t>after-tax returns to shareholders</w:t>
      </w:r>
      <w:r w:rsidR="00BD6048">
        <w:t xml:space="preserve">. </w:t>
      </w:r>
      <w:r w:rsidR="0009083E">
        <w:t xml:space="preserve">Consideration of the tax implications of where and in what form business investments </w:t>
      </w:r>
      <w:r w:rsidR="003A755A">
        <w:t>should be made</w:t>
      </w:r>
      <w:r w:rsidR="0009083E">
        <w:t xml:space="preserve"> is a normal business consideration alongside non-tax factors that will affect expected returns</w:t>
      </w:r>
      <w:r w:rsidR="00BD6048">
        <w:t xml:space="preserve">. </w:t>
      </w:r>
    </w:p>
    <w:p w14:paraId="249CA7C3" w14:textId="451AC0FB" w:rsidR="006801EF" w:rsidRDefault="006801EF" w:rsidP="006801EF">
      <w:pPr>
        <w:pStyle w:val="TextOpensans"/>
      </w:pPr>
      <w:r>
        <w:t xml:space="preserve">Shifting operations offshore to take advantage of improved business conditions (tax or otherwise) </w:t>
      </w:r>
      <w:r w:rsidR="00B53466">
        <w:t>is not straightforward</w:t>
      </w:r>
      <w:r w:rsidR="00DB371A">
        <w:t xml:space="preserve"> and</w:t>
      </w:r>
      <w:r w:rsidR="00B53466">
        <w:t xml:space="preserve"> </w:t>
      </w:r>
      <w:r>
        <w:t xml:space="preserve">usually entails increased </w:t>
      </w:r>
      <w:r w:rsidR="00DB371A">
        <w:t xml:space="preserve">short term </w:t>
      </w:r>
      <w:r>
        <w:t>capital investment, investment risk and disruption for the entity</w:t>
      </w:r>
      <w:r w:rsidR="007C6A75">
        <w:t>. But it</w:t>
      </w:r>
      <w:r>
        <w:t xml:space="preserve"> also allows the entity to realise more of a tax saving</w:t>
      </w:r>
      <w:r w:rsidR="00DB371A">
        <w:t xml:space="preserve"> in the long term</w:t>
      </w:r>
      <w:r>
        <w:t xml:space="preserve"> (and potentially other benefits) relative to keeping operations in</w:t>
      </w:r>
      <w:r w:rsidR="00996277">
        <w:t xml:space="preserve"> the original,</w:t>
      </w:r>
      <w:r>
        <w:t xml:space="preserve"> </w:t>
      </w:r>
      <w:r w:rsidR="00996277">
        <w:t>but</w:t>
      </w:r>
      <w:r>
        <w:t xml:space="preserve"> higher tax</w:t>
      </w:r>
      <w:r w:rsidR="00996277">
        <w:t>,</w:t>
      </w:r>
      <w:r>
        <w:t xml:space="preserve"> jurisdiction. </w:t>
      </w:r>
      <w:r w:rsidR="007C6A75">
        <w:t xml:space="preserve">This benefit may outweigh the costs depending on how the risks eventuate. </w:t>
      </w:r>
    </w:p>
    <w:p w14:paraId="656FF7B1" w14:textId="5DE84086" w:rsidR="00A647C0" w:rsidRDefault="00A647C0" w:rsidP="00A647C0">
      <w:pPr>
        <w:pStyle w:val="TextOpensans"/>
      </w:pPr>
      <w:r>
        <w:t xml:space="preserve">There are number of factors that influence these decisions, including </w:t>
      </w:r>
      <w:r w:rsidR="00AF3E77">
        <w:t>each jurisdiction’s</w:t>
      </w:r>
      <w:r>
        <w:t xml:space="preserve"> overall tax burden (rate and other aspects), access to relevant infrastructure, </w:t>
      </w:r>
      <w:r w:rsidR="00CE7673">
        <w:t xml:space="preserve">the ability to protect IP, </w:t>
      </w:r>
      <w:r>
        <w:t>availability of relevant skills, distance to market</w:t>
      </w:r>
      <w:r w:rsidR="00BB18C3">
        <w:t xml:space="preserve">, </w:t>
      </w:r>
      <w:r>
        <w:t>policy risk from a jurisdiction’s</w:t>
      </w:r>
      <w:r w:rsidR="007C6A75">
        <w:t xml:space="preserve"> levels of</w:t>
      </w:r>
      <w:r>
        <w:t xml:space="preserve"> Government</w:t>
      </w:r>
      <w:r w:rsidR="00BB18C3">
        <w:t xml:space="preserve"> and other factors</w:t>
      </w:r>
      <w:r>
        <w:t xml:space="preserve">. </w:t>
      </w:r>
    </w:p>
    <w:p w14:paraId="647804EC" w14:textId="56A92716" w:rsidR="005F2E08" w:rsidRDefault="00721079" w:rsidP="006801EF">
      <w:pPr>
        <w:pStyle w:val="TextOpensans"/>
      </w:pPr>
      <w:r>
        <w:t>Th</w:t>
      </w:r>
      <w:r w:rsidR="00A647C0">
        <w:t xml:space="preserve">e </w:t>
      </w:r>
      <w:r w:rsidR="00310DFA">
        <w:t>lawful</w:t>
      </w:r>
      <w:r w:rsidR="00A647C0">
        <w:t xml:space="preserve"> shifting of economic activity </w:t>
      </w:r>
      <w:r w:rsidR="002F1A33">
        <w:t xml:space="preserve">for tax benefits </w:t>
      </w:r>
      <w:r>
        <w:t>is not to be confused with</w:t>
      </w:r>
      <w:r w:rsidR="00A647C0">
        <w:t xml:space="preserve"> the problem of</w:t>
      </w:r>
      <w:r>
        <w:t xml:space="preserve"> ‘profit shi</w:t>
      </w:r>
      <w:r w:rsidR="00484066">
        <w:t>f</w:t>
      </w:r>
      <w:r>
        <w:t xml:space="preserve">ting’ </w:t>
      </w:r>
      <w:r w:rsidRPr="00721079">
        <w:t>where firms enter into arrangements with related parties in another jurisdiction to shift profits to low or no tax jurisdictions</w:t>
      </w:r>
      <w:r>
        <w:t xml:space="preserve"> artificially</w:t>
      </w:r>
      <w:r w:rsidR="00A647C0">
        <w:t xml:space="preserve"> (</w:t>
      </w:r>
      <w:r w:rsidR="00600BA0">
        <w:t>that is,</w:t>
      </w:r>
      <w:r w:rsidR="00A647C0">
        <w:t xml:space="preserve"> </w:t>
      </w:r>
      <w:r w:rsidR="00F76D49">
        <w:t>irrespective of their economic activities)</w:t>
      </w:r>
      <w:r w:rsidRPr="00721079">
        <w:t>.</w:t>
      </w:r>
      <w:r w:rsidR="003D1D00">
        <w:t xml:space="preserve"> </w:t>
      </w:r>
      <w:r w:rsidR="006801EF" w:rsidRPr="00F76D49">
        <w:t xml:space="preserve">That said, a lower tax rate </w:t>
      </w:r>
      <w:r w:rsidR="004A783F">
        <w:t>does</w:t>
      </w:r>
      <w:r w:rsidR="006801EF" w:rsidRPr="00F76D49">
        <w:t xml:space="preserve"> reduce </w:t>
      </w:r>
      <w:r w:rsidR="008021E4">
        <w:t>the attractiveness</w:t>
      </w:r>
      <w:r w:rsidR="006801EF" w:rsidRPr="00F76D49">
        <w:t xml:space="preserve"> </w:t>
      </w:r>
      <w:r w:rsidR="008021E4">
        <w:t>of</w:t>
      </w:r>
      <w:r w:rsidR="008021E4" w:rsidRPr="00F76D49">
        <w:t xml:space="preserve"> </w:t>
      </w:r>
      <w:r w:rsidR="006801EF" w:rsidRPr="00F76D49">
        <w:t>profit shifting</w:t>
      </w:r>
      <w:r w:rsidR="00600BA0">
        <w:t>.</w:t>
      </w:r>
    </w:p>
    <w:p w14:paraId="338DBBD4" w14:textId="74A00441" w:rsidR="00E958E8" w:rsidRPr="00655974" w:rsidRDefault="00E958E8" w:rsidP="00E958E8">
      <w:pPr>
        <w:pStyle w:val="H2Opensans"/>
      </w:pPr>
      <w:bookmarkStart w:id="103" w:name="_Toc93487773"/>
      <w:r>
        <w:t>Onset of foreign patent boxes</w:t>
      </w:r>
      <w:bookmarkEnd w:id="103"/>
    </w:p>
    <w:p w14:paraId="7D2FF43F" w14:textId="58E931EE" w:rsidR="000B2215" w:rsidRDefault="000B2215" w:rsidP="000B2215">
      <w:pPr>
        <w:pStyle w:val="TextOpensans"/>
      </w:pPr>
      <w:r w:rsidRPr="00A406A3">
        <w:t xml:space="preserve">A patent box is a tax regime that provides a lower tax rate for </w:t>
      </w:r>
      <w:r>
        <w:t>certain</w:t>
      </w:r>
      <w:r w:rsidRPr="00A406A3">
        <w:t xml:space="preserve"> kinds of income derived from certain forms of intellectual property (IP)</w:t>
      </w:r>
      <w:r>
        <w:t xml:space="preserve">. Patent boxes </w:t>
      </w:r>
      <w:r w:rsidRPr="00A406A3">
        <w:t xml:space="preserve">typically </w:t>
      </w:r>
      <w:r>
        <w:t>apply only to</w:t>
      </w:r>
      <w:r w:rsidRPr="00A406A3">
        <w:t xml:space="preserve"> patents</w:t>
      </w:r>
      <w:r>
        <w:t>,</w:t>
      </w:r>
      <w:r w:rsidRPr="00A406A3">
        <w:t xml:space="preserve"> but sometimes </w:t>
      </w:r>
      <w:r>
        <w:t xml:space="preserve">includes </w:t>
      </w:r>
      <w:r w:rsidRPr="00A406A3">
        <w:t>other forms of IP such as designs and copyright material.</w:t>
      </w:r>
      <w:r>
        <w:t xml:space="preserve"> </w:t>
      </w:r>
      <w:r w:rsidR="00E21693">
        <w:t>An increasing number of foreign jurisdictions have introduced patent boxes to increase their tax competitiveness specifically for IP</w:t>
      </w:r>
      <w:r w:rsidR="00A01ADC">
        <w:t>, some of which are called</w:t>
      </w:r>
      <w:r w:rsidR="00A01ADC" w:rsidRPr="00A01ADC">
        <w:t xml:space="preserve"> intellectual property box</w:t>
      </w:r>
      <w:r w:rsidR="00A01ADC">
        <w:t>es</w:t>
      </w:r>
      <w:r w:rsidR="00A01ADC" w:rsidRPr="00A01ADC">
        <w:t>, innovation box</w:t>
      </w:r>
      <w:r w:rsidR="00A01ADC">
        <w:t>es</w:t>
      </w:r>
      <w:r w:rsidR="00A01ADC" w:rsidRPr="00A01ADC">
        <w:t xml:space="preserve"> or IP box</w:t>
      </w:r>
      <w:r w:rsidR="00A01ADC">
        <w:t>es</w:t>
      </w:r>
      <w:r w:rsidR="00A01ADC" w:rsidRPr="00A01ADC">
        <w:t>.</w:t>
      </w:r>
    </w:p>
    <w:p w14:paraId="0D4216DF" w14:textId="5B08EE37" w:rsidR="00E958E8" w:rsidRDefault="00A01ADC" w:rsidP="006801EF">
      <w:pPr>
        <w:pStyle w:val="TextOpensans"/>
      </w:pPr>
      <w:r>
        <w:t>The first patent box was introduced by Ireland in 1973</w:t>
      </w:r>
      <w:r w:rsidR="00454FC6">
        <w:t xml:space="preserve">. In the 1990s and 2000s a </w:t>
      </w:r>
      <w:r w:rsidR="00350BA3">
        <w:t>succession</w:t>
      </w:r>
      <w:r w:rsidR="00454FC6">
        <w:t xml:space="preserve"> of countries introduced patent boxes, includ</w:t>
      </w:r>
      <w:r w:rsidR="00350BA3">
        <w:t xml:space="preserve">ing </w:t>
      </w:r>
      <w:r w:rsidR="00454FC6">
        <w:t xml:space="preserve">France, Belgium, the Netherlands, Luxembourg and Hungry. </w:t>
      </w:r>
      <w:r w:rsidR="00350BA3">
        <w:t xml:space="preserve">The concept soon spread beyond Europe, with Israel and Korea becoming the first to introduce patent boxes outside </w:t>
      </w:r>
      <w:r w:rsidR="00600BA0">
        <w:t>Europe.</w:t>
      </w:r>
    </w:p>
    <w:p w14:paraId="5AC76427" w14:textId="0E716D47" w:rsidR="00C22C06" w:rsidRDefault="00F1578D" w:rsidP="006801EF">
      <w:pPr>
        <w:pStyle w:val="TextOpensans"/>
      </w:pPr>
      <w:r>
        <w:t xml:space="preserve">The United Kingdom introduced its patent box in 2012, and shortly thereafter the OECD began negotiations </w:t>
      </w:r>
      <w:r w:rsidR="00AF7ED0">
        <w:t xml:space="preserve">on guidelines that would remove harmful aspects of existing regimes, as part of its broader Base Erosion and Profit Shifting programme. This resulted </w:t>
      </w:r>
      <w:r w:rsidR="007E0530">
        <w:t xml:space="preserve">in the </w:t>
      </w:r>
      <w:r w:rsidR="007E0530">
        <w:lastRenderedPageBreak/>
        <w:t>Action 5 report, which included</w:t>
      </w:r>
      <w:r w:rsidR="006A1F9E">
        <w:t xml:space="preserve"> amongst other things</w:t>
      </w:r>
      <w:r w:rsidR="007E0530">
        <w:t xml:space="preserve"> a substantial activity requirement</w:t>
      </w:r>
      <w:r w:rsidR="00350BA3">
        <w:t xml:space="preserve">, to minimise the </w:t>
      </w:r>
      <w:r w:rsidR="00014615">
        <w:t>‘</w:t>
      </w:r>
      <w:r w:rsidR="00350BA3">
        <w:t>poaching</w:t>
      </w:r>
      <w:r w:rsidR="00014615">
        <w:t>’</w:t>
      </w:r>
      <w:r w:rsidR="00350BA3">
        <w:t xml:space="preserve"> of IP</w:t>
      </w:r>
      <w:r w:rsidR="00014615">
        <w:t xml:space="preserve"> </w:t>
      </w:r>
      <w:r w:rsidR="009A1D9C">
        <w:t>(</w:t>
      </w:r>
      <w:r w:rsidR="00E5008A">
        <w:t xml:space="preserve">the offshoring of IP </w:t>
      </w:r>
      <w:r w:rsidR="00014615">
        <w:t>that was developed in another jurisdiction</w:t>
      </w:r>
      <w:r w:rsidR="009A1D9C">
        <w:t xml:space="preserve"> at significant cost and risk)</w:t>
      </w:r>
      <w:r w:rsidR="007E0530">
        <w:t xml:space="preserve">. </w:t>
      </w:r>
      <w:r w:rsidR="00350BA3">
        <w:t xml:space="preserve">The </w:t>
      </w:r>
      <w:r w:rsidR="00A703E3">
        <w:t>requirement</w:t>
      </w:r>
      <w:r w:rsidR="007E0530">
        <w:t xml:space="preserve"> applied to new entrants from 1</w:t>
      </w:r>
      <w:r w:rsidR="00A62072">
        <w:t> </w:t>
      </w:r>
      <w:r w:rsidR="007E0530">
        <w:t xml:space="preserve">July 2016 and all claimants from 1 July 2021. </w:t>
      </w:r>
    </w:p>
    <w:p w14:paraId="4DB6B722" w14:textId="4FB307DE" w:rsidR="00C22C06" w:rsidRDefault="00C22C06" w:rsidP="006801EF">
      <w:pPr>
        <w:pStyle w:val="TextOpensans"/>
      </w:pPr>
      <w:r>
        <w:t xml:space="preserve">While removing harmful aspects of patent boxes, </w:t>
      </w:r>
      <w:r w:rsidR="00C6294E" w:rsidRPr="00C6294E">
        <w:t xml:space="preserve">thereby making IP less mobile in the short term, </w:t>
      </w:r>
      <w:r>
        <w:t>the Action 5 report has not slowed the growth of IP tax competition, with Switzerland, Singapore</w:t>
      </w:r>
      <w:r w:rsidR="003E61DF">
        <w:t>, Poland</w:t>
      </w:r>
      <w:r>
        <w:t xml:space="preserve"> and China among</w:t>
      </w:r>
      <w:r w:rsidR="00A703E3">
        <w:t>st</w:t>
      </w:r>
      <w:r>
        <w:t xml:space="preserve"> the countries that have since introduced patent boxes. </w:t>
      </w:r>
      <w:r w:rsidR="003E61DF">
        <w:t>Currently</w:t>
      </w:r>
      <w:r w:rsidR="00E5008A">
        <w:t>,</w:t>
      </w:r>
      <w:r w:rsidR="003E61DF">
        <w:t xml:space="preserve"> over twenty jurisdictions have patent boxes, including eighteen OECD member states.</w:t>
      </w:r>
    </w:p>
    <w:p w14:paraId="222CCABE" w14:textId="53435872" w:rsidR="008A6D91" w:rsidRDefault="003A4361" w:rsidP="009976BF">
      <w:pPr>
        <w:pStyle w:val="H2Opensans"/>
      </w:pPr>
      <w:bookmarkStart w:id="104" w:name="_Toc91078454"/>
      <w:bookmarkStart w:id="105" w:name="_Toc93487774"/>
      <w:r>
        <w:t xml:space="preserve">Australia’s </w:t>
      </w:r>
      <w:r w:rsidR="000B2215">
        <w:t>IP t</w:t>
      </w:r>
      <w:r w:rsidR="008105F9">
        <w:t xml:space="preserve">ax </w:t>
      </w:r>
      <w:r w:rsidR="000B2215">
        <w:t>c</w:t>
      </w:r>
      <w:r w:rsidR="008105F9">
        <w:t xml:space="preserve">ompetitiveness </w:t>
      </w:r>
      <w:bookmarkEnd w:id="104"/>
      <w:r w:rsidR="00DE75BE">
        <w:t xml:space="preserve">is </w:t>
      </w:r>
      <w:r w:rsidR="000B2215">
        <w:t>n</w:t>
      </w:r>
      <w:r w:rsidR="00DE75BE">
        <w:t xml:space="preserve">ot </w:t>
      </w:r>
      <w:r w:rsidR="000B2215">
        <w:t>f</w:t>
      </w:r>
      <w:r w:rsidR="00DE75BE">
        <w:t>avourable</w:t>
      </w:r>
      <w:bookmarkEnd w:id="105"/>
    </w:p>
    <w:p w14:paraId="142DD8C2" w14:textId="59A500E1" w:rsidR="004318B5" w:rsidRDefault="004318B5" w:rsidP="00625EE4">
      <w:pPr>
        <w:pStyle w:val="TextOpensans"/>
      </w:pPr>
      <w:r>
        <w:t>Much of Australia’s innovation is embedded in IP assets because they provide both</w:t>
      </w:r>
      <w:r w:rsidR="00A379BD">
        <w:t xml:space="preserve"> a</w:t>
      </w:r>
      <w:r>
        <w:t xml:space="preserve"> means for investor ownership </w:t>
      </w:r>
      <w:r w:rsidR="00633407">
        <w:t>to be legally understood</w:t>
      </w:r>
      <w:r w:rsidR="00A379BD">
        <w:t xml:space="preserve"> </w:t>
      </w:r>
      <w:r>
        <w:t>and</w:t>
      </w:r>
      <w:r w:rsidR="00D04FCD">
        <w:t xml:space="preserve"> provide those investors competitive </w:t>
      </w:r>
      <w:r w:rsidR="00A379BD">
        <w:t>protection</w:t>
      </w:r>
      <w:r w:rsidR="00D04FCD">
        <w:t xml:space="preserve"> by assigning monopoly rights to the holders </w:t>
      </w:r>
      <w:r w:rsidR="00017CB4">
        <w:t>of the IP assets</w:t>
      </w:r>
      <w:r w:rsidR="00D04FCD">
        <w:t xml:space="preserve"> for a period of time. </w:t>
      </w:r>
      <w:r w:rsidR="00F707A1">
        <w:t>The offshoring of these assets is a loss of innovation to another jurisdiction</w:t>
      </w:r>
      <w:r w:rsidR="009D3896">
        <w:t xml:space="preserve"> as well as</w:t>
      </w:r>
      <w:r w:rsidR="000338D1">
        <w:t xml:space="preserve"> a loss of</w:t>
      </w:r>
      <w:r w:rsidR="009D3896">
        <w:t xml:space="preserve"> </w:t>
      </w:r>
      <w:r w:rsidR="00691312">
        <w:t xml:space="preserve">these </w:t>
      </w:r>
      <w:r w:rsidR="009D3896">
        <w:t>monopoly profits</w:t>
      </w:r>
      <w:r w:rsidR="000338D1">
        <w:t xml:space="preserve"> from Australia’s tax </w:t>
      </w:r>
      <w:r w:rsidR="00BD1566">
        <w:t>jurisdiction</w:t>
      </w:r>
      <w:r w:rsidR="00F707A1">
        <w:t xml:space="preserve">. </w:t>
      </w:r>
    </w:p>
    <w:p w14:paraId="5C06FB3F" w14:textId="4F432D39" w:rsidR="00625EE4" w:rsidRDefault="00625EE4" w:rsidP="00625EE4">
      <w:pPr>
        <w:pStyle w:val="TextOpensans"/>
      </w:pPr>
      <w:r>
        <w:t>The comparatively high Australian headline corporate income tax rate</w:t>
      </w:r>
      <w:r w:rsidR="00713E60">
        <w:t>,</w:t>
      </w:r>
      <w:r>
        <w:t xml:space="preserve"> relative to other OECD countries</w:t>
      </w:r>
      <w:r w:rsidR="00D22910">
        <w:t>,</w:t>
      </w:r>
      <w:r>
        <w:t xml:space="preserve"> and </w:t>
      </w:r>
      <w:r w:rsidR="001A0AF5">
        <w:t xml:space="preserve">the </w:t>
      </w:r>
      <w:r w:rsidR="00D22910">
        <w:t>numerous</w:t>
      </w:r>
      <w:r>
        <w:t xml:space="preserve"> </w:t>
      </w:r>
      <w:r w:rsidR="00176C54">
        <w:t>low-rate</w:t>
      </w:r>
      <w:r w:rsidR="009D3896">
        <w:t xml:space="preserve"> </w:t>
      </w:r>
      <w:r>
        <w:t>patent box</w:t>
      </w:r>
      <w:r w:rsidR="009D3896">
        <w:t xml:space="preserve"> regimes</w:t>
      </w:r>
      <w:r>
        <w:t xml:space="preserve"> in other jurisdictions</w:t>
      </w:r>
      <w:r w:rsidR="00D22910">
        <w:t>,</w:t>
      </w:r>
      <w:r>
        <w:t xml:space="preserve"> </w:t>
      </w:r>
      <w:r w:rsidR="00173300">
        <w:t>means there is a</w:t>
      </w:r>
      <w:r w:rsidR="001A0AF5">
        <w:t xml:space="preserve">n </w:t>
      </w:r>
      <w:r w:rsidR="00173300">
        <w:t xml:space="preserve">incentive </w:t>
      </w:r>
      <w:r w:rsidR="001A0AF5">
        <w:t xml:space="preserve">for IP that would otherwise be developed in Australia to be developed and retained offshore. </w:t>
      </w:r>
      <w:r w:rsidR="00D04FCD">
        <w:t>This risk</w:t>
      </w:r>
      <w:r w:rsidR="00750E0F">
        <w:t xml:space="preserve"> has already grown - and</w:t>
      </w:r>
      <w:r w:rsidR="00D04FCD">
        <w:t xml:space="preserve"> is growing </w:t>
      </w:r>
      <w:r w:rsidR="00706BCC">
        <w:t xml:space="preserve">- </w:t>
      </w:r>
      <w:r w:rsidR="00D04FCD">
        <w:t xml:space="preserve">because Australia’s general company rate </w:t>
      </w:r>
      <w:r w:rsidR="00706BCC">
        <w:t xml:space="preserve">has not fallen </w:t>
      </w:r>
      <w:r w:rsidR="00D04FCD">
        <w:t xml:space="preserve">with </w:t>
      </w:r>
      <w:r w:rsidR="00017CB4">
        <w:t>its</w:t>
      </w:r>
      <w:r w:rsidR="00D04FCD">
        <w:t xml:space="preserve"> peer nations (see </w:t>
      </w:r>
      <w:r w:rsidR="00B27008" w:rsidRPr="00B27008">
        <w:rPr>
          <w:b/>
          <w:bCs/>
        </w:rPr>
        <w:t>Figure 1</w:t>
      </w:r>
      <w:r w:rsidR="00B27008">
        <w:t>,</w:t>
      </w:r>
      <w:r w:rsidR="00D04FCD">
        <w:t xml:space="preserve"> 200</w:t>
      </w:r>
      <w:r w:rsidR="00E348D7">
        <w:t>0</w:t>
      </w:r>
      <w:r w:rsidR="00D04FCD">
        <w:t xml:space="preserve"> </w:t>
      </w:r>
      <w:r w:rsidR="00706BCC">
        <w:t>v</w:t>
      </w:r>
      <w:r w:rsidR="00D04FCD">
        <w:t>s current)</w:t>
      </w:r>
      <w:r w:rsidR="00706BCC">
        <w:t>,</w:t>
      </w:r>
      <w:r w:rsidR="00D04FCD">
        <w:t xml:space="preserve"> and </w:t>
      </w:r>
      <w:r w:rsidR="00173300">
        <w:t xml:space="preserve">concessional </w:t>
      </w:r>
      <w:r w:rsidR="00D04FCD">
        <w:t>patent box regimes are becom</w:t>
      </w:r>
      <w:r w:rsidR="00173300">
        <w:t>ing</w:t>
      </w:r>
      <w:r w:rsidR="00D04FCD">
        <w:t xml:space="preserve"> more common</w:t>
      </w:r>
      <w:r w:rsidR="00B27008">
        <w:t xml:space="preserve"> (</w:t>
      </w:r>
      <w:r w:rsidR="001A0AF5">
        <w:t xml:space="preserve">see </w:t>
      </w:r>
      <w:r w:rsidR="009F6FDB" w:rsidRPr="009F6FDB">
        <w:rPr>
          <w:u w:val="single"/>
        </w:rPr>
        <w:t>Attachment B</w:t>
      </w:r>
      <w:r w:rsidR="00B27008">
        <w:t>)</w:t>
      </w:r>
      <w:r w:rsidR="00D04FCD">
        <w:t xml:space="preserve">. </w:t>
      </w:r>
    </w:p>
    <w:p w14:paraId="74C19AEB" w14:textId="55BAF256" w:rsidR="00893820" w:rsidRPr="002D6127" w:rsidRDefault="00AE4251" w:rsidP="00625EE4">
      <w:pPr>
        <w:pStyle w:val="TextOpensans"/>
      </w:pPr>
      <w:r>
        <w:rPr>
          <w:b/>
          <w:bCs/>
        </w:rPr>
        <w:t>Figure</w:t>
      </w:r>
      <w:r w:rsidR="002D6127" w:rsidRPr="002D6127">
        <w:rPr>
          <w:b/>
          <w:bCs/>
        </w:rPr>
        <w:t xml:space="preserve"> 1: OECD corporate tax rates </w:t>
      </w:r>
      <w:r w:rsidR="000C381A">
        <w:rPr>
          <w:b/>
          <w:bCs/>
        </w:rPr>
        <w:t>(</w:t>
      </w:r>
      <w:r w:rsidR="002D6127" w:rsidRPr="002D6127">
        <w:rPr>
          <w:b/>
          <w:bCs/>
        </w:rPr>
        <w:t>200</w:t>
      </w:r>
      <w:r w:rsidR="003F43D8">
        <w:rPr>
          <w:b/>
          <w:bCs/>
        </w:rPr>
        <w:t>0</w:t>
      </w:r>
      <w:r w:rsidR="002D6127" w:rsidRPr="002D6127">
        <w:rPr>
          <w:b/>
          <w:bCs/>
        </w:rPr>
        <w:t xml:space="preserve"> and </w:t>
      </w:r>
      <w:r w:rsidR="00003A5C">
        <w:rPr>
          <w:b/>
          <w:bCs/>
        </w:rPr>
        <w:t>current rates</w:t>
      </w:r>
      <w:r w:rsidR="000C381A">
        <w:rPr>
          <w:b/>
          <w:bCs/>
        </w:rPr>
        <w:t>)</w:t>
      </w:r>
      <w:r w:rsidR="002D6127">
        <w:t xml:space="preserve"> </w:t>
      </w:r>
    </w:p>
    <w:p w14:paraId="61ED545C" w14:textId="32A162BF" w:rsidR="002D6127" w:rsidRDefault="002C4A24" w:rsidP="00E72ADA">
      <w:pPr>
        <w:pStyle w:val="TextOpensans"/>
        <w:spacing w:after="0"/>
      </w:pPr>
      <w:r>
        <w:rPr>
          <w:noProof/>
          <w:lang w:eastAsia="en-AU"/>
        </w:rPr>
        <w:drawing>
          <wp:inline distT="0" distB="0" distL="0" distR="0" wp14:anchorId="74561240" wp14:editId="043D77B8">
            <wp:extent cx="5075735" cy="2521412"/>
            <wp:effectExtent l="0" t="0" r="0" b="0"/>
            <wp:docPr id="1" name="Chart 1" descr="Chart showing Australia's corporate tax rate relative to OECD member jurisdictions in the year 2000 Vs 2021. &#10;&#10;Australia's corporate rate has climbed from the OECD average to equal 3rd highest between the year 2000 and 2021. ">
              <a:extLst xmlns:a="http://schemas.openxmlformats.org/drawingml/2006/main">
                <a:ext uri="{FF2B5EF4-FFF2-40B4-BE49-F238E27FC236}">
                  <a16:creationId xmlns:a16="http://schemas.microsoft.com/office/drawing/2014/main" id="{032E36F0-77E0-4436-9B8A-BCCCAD4651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2B7EC3" w14:textId="6D758DA2" w:rsidR="00E72ADA" w:rsidRPr="00E72ADA" w:rsidRDefault="00E72ADA" w:rsidP="00895240">
      <w:pPr>
        <w:pStyle w:val="TextOpensans"/>
        <w:rPr>
          <w:i/>
          <w:iCs/>
          <w:sz w:val="20"/>
          <w:szCs w:val="20"/>
        </w:rPr>
      </w:pPr>
      <w:r w:rsidRPr="00E72ADA">
        <w:rPr>
          <w:i/>
          <w:iCs/>
          <w:sz w:val="20"/>
          <w:szCs w:val="20"/>
        </w:rPr>
        <w:t>Source: OECD Revenue Statistics</w:t>
      </w:r>
      <w:r w:rsidR="00C14853">
        <w:rPr>
          <w:i/>
          <w:iCs/>
          <w:sz w:val="20"/>
          <w:szCs w:val="20"/>
        </w:rPr>
        <w:t xml:space="preserve"> 2021</w:t>
      </w:r>
      <w:r w:rsidRPr="00E72ADA">
        <w:rPr>
          <w:i/>
          <w:iCs/>
          <w:sz w:val="20"/>
          <w:szCs w:val="20"/>
        </w:rPr>
        <w:t>. Note: All listed rates are combined central and provincial government company tax rates.</w:t>
      </w:r>
    </w:p>
    <w:p w14:paraId="30D61B8B" w14:textId="06BA9D39" w:rsidR="00D22910" w:rsidRPr="00895240" w:rsidRDefault="00D22910" w:rsidP="00895240">
      <w:pPr>
        <w:pStyle w:val="TextOpensans"/>
      </w:pPr>
      <w:r>
        <w:t>In the context of taxation of IP, b</w:t>
      </w:r>
      <w:r w:rsidRPr="008105F9">
        <w:t xml:space="preserve">oth the general corporate tax rate and (if applicable) the patent box rate matters to a country’s tax competitiveness </w:t>
      </w:r>
      <w:r>
        <w:t>for IP investments</w:t>
      </w:r>
      <w:r w:rsidR="000A3489">
        <w:t>,</w:t>
      </w:r>
      <w:r>
        <w:t xml:space="preserve"> </w:t>
      </w:r>
      <w:r w:rsidRPr="008105F9">
        <w:t xml:space="preserve">because </w:t>
      </w:r>
      <w:r w:rsidRPr="008105F9">
        <w:lastRenderedPageBreak/>
        <w:t>patent box</w:t>
      </w:r>
      <w:r>
        <w:t xml:space="preserve"> regimes </w:t>
      </w:r>
      <w:r w:rsidR="00637693">
        <w:t>d</w:t>
      </w:r>
      <w:r w:rsidR="000A3489">
        <w:t>o not</w:t>
      </w:r>
      <w:r>
        <w:t xml:space="preserve"> cover all income associated with a patented product (this is explained in the discussion of OECD rules in Section 3 </w:t>
      </w:r>
      <w:r w:rsidRPr="00581FD9">
        <w:t xml:space="preserve">Options </w:t>
      </w:r>
      <w:r>
        <w:t xml:space="preserve">and Impact). </w:t>
      </w:r>
    </w:p>
    <w:p w14:paraId="01091AA8" w14:textId="0A50BCEA" w:rsidR="006F5D14" w:rsidRDefault="006F5D14" w:rsidP="006F5D14">
      <w:pPr>
        <w:pStyle w:val="TextOpensans"/>
      </w:pPr>
      <w:r>
        <w:t xml:space="preserve">On average, </w:t>
      </w:r>
      <w:r w:rsidR="00750E0F">
        <w:t>OECD</w:t>
      </w:r>
      <w:r>
        <w:t xml:space="preserve"> countries with a patent box regime have headline corporate tax rates of 22</w:t>
      </w:r>
      <w:r w:rsidR="00BE628F">
        <w:t> </w:t>
      </w:r>
      <w:r>
        <w:t xml:space="preserve">per cent and provide effective concessional rates of 8 per cent for IP income – a difference of 14 </w:t>
      </w:r>
      <w:r w:rsidR="00C635B0">
        <w:t>percentage points</w:t>
      </w:r>
      <w:r>
        <w:t xml:space="preserve"> (see </w:t>
      </w:r>
      <w:r w:rsidR="0087753F">
        <w:rPr>
          <w:b/>
          <w:bCs/>
        </w:rPr>
        <w:t>Table</w:t>
      </w:r>
      <w:r w:rsidRPr="006F5D14">
        <w:rPr>
          <w:b/>
          <w:bCs/>
        </w:rPr>
        <w:t xml:space="preserve"> </w:t>
      </w:r>
      <w:r w:rsidRPr="002F190A">
        <w:rPr>
          <w:b/>
          <w:bCs/>
        </w:rPr>
        <w:t>2</w:t>
      </w:r>
      <w:r>
        <w:t>).</w:t>
      </w:r>
      <w:r w:rsidR="00E343EF">
        <w:t xml:space="preserve"> </w:t>
      </w:r>
      <w:r w:rsidR="00E343EF" w:rsidRPr="00E343EF">
        <w:rPr>
          <w:u w:val="single"/>
        </w:rPr>
        <w:t>Attachment B</w:t>
      </w:r>
      <w:r w:rsidR="00E343EF">
        <w:t xml:space="preserve"> has more details. </w:t>
      </w:r>
      <w:r w:rsidR="00C6103D">
        <w:t>As the</w:t>
      </w:r>
      <w:r w:rsidR="00153A6C">
        <w:t xml:space="preserve"> concessional rates are on average 22 </w:t>
      </w:r>
      <w:r w:rsidR="00CD53F1">
        <w:t>percentage points</w:t>
      </w:r>
      <w:r w:rsidR="00153A6C">
        <w:t xml:space="preserve"> lower than Australia’s headline corporate tax rate, </w:t>
      </w:r>
      <w:r w:rsidR="00F50284">
        <w:t xml:space="preserve">some taxpayers argue </w:t>
      </w:r>
      <w:r w:rsidR="00153A6C">
        <w:t xml:space="preserve">Australia’s taxation of IP income is </w:t>
      </w:r>
      <w:r w:rsidR="00706BCC">
        <w:t xml:space="preserve">not </w:t>
      </w:r>
      <w:r w:rsidR="00153A6C">
        <w:t>competitive</w:t>
      </w:r>
      <w:r w:rsidR="00C6103D">
        <w:t xml:space="preserve"> without a patent box</w:t>
      </w:r>
      <w:r w:rsidR="00153A6C">
        <w:t xml:space="preserve">. </w:t>
      </w:r>
    </w:p>
    <w:p w14:paraId="13136FF5" w14:textId="65A56D27" w:rsidR="008105F9" w:rsidRPr="00895240" w:rsidRDefault="00895240" w:rsidP="00895240">
      <w:pPr>
        <w:pStyle w:val="TextOpensans"/>
        <w:rPr>
          <w:b/>
          <w:bCs/>
        </w:rPr>
      </w:pPr>
      <w:r w:rsidRPr="00895240">
        <w:rPr>
          <w:b/>
          <w:bCs/>
        </w:rPr>
        <w:t xml:space="preserve">Table </w:t>
      </w:r>
      <w:r w:rsidR="00A90B48">
        <w:rPr>
          <w:b/>
          <w:bCs/>
        </w:rPr>
        <w:t>2</w:t>
      </w:r>
      <w:r w:rsidRPr="00895240">
        <w:t xml:space="preserve">: </w:t>
      </w:r>
      <w:r w:rsidRPr="00895240">
        <w:rPr>
          <w:b/>
          <w:bCs/>
        </w:rPr>
        <w:t>Average IP regime rates and corporate rates</w:t>
      </w:r>
    </w:p>
    <w:tbl>
      <w:tblPr>
        <w:tblStyle w:val="TableGrid"/>
        <w:tblW w:w="778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Average IP regime rates and corporate rates"/>
        <w:tblDescription w:val="Table showing average corporate tax rates for OECD members and all regimes. &#10;&#10;For OECD jurisidctions, the average corporate tax rate is 8 per cent, which is 14 percentage points below the average OECD juridiction's corproate tax rate of 22 per cent. "/>
      </w:tblPr>
      <w:tblGrid>
        <w:gridCol w:w="3859"/>
        <w:gridCol w:w="2286"/>
        <w:gridCol w:w="1641"/>
      </w:tblGrid>
      <w:tr w:rsidR="00895240" w14:paraId="0CDFE12F" w14:textId="77777777" w:rsidTr="00895240">
        <w:trPr>
          <w:trHeight w:val="314"/>
          <w:jc w:val="center"/>
        </w:trPr>
        <w:tc>
          <w:tcPr>
            <w:tcW w:w="0" w:type="auto"/>
            <w:tcBorders>
              <w:top w:val="single" w:sz="4" w:space="0" w:color="auto"/>
              <w:left w:val="nil"/>
              <w:bottom w:val="single" w:sz="4" w:space="0" w:color="auto"/>
              <w:right w:val="nil"/>
            </w:tcBorders>
          </w:tcPr>
          <w:p w14:paraId="71498F57" w14:textId="77777777" w:rsidR="00895240" w:rsidRDefault="00895240">
            <w:pPr>
              <w:rPr>
                <w:rFonts w:asciiTheme="minorHAnsi" w:hAnsiTheme="minorHAnsi" w:cstheme="minorHAnsi"/>
              </w:rPr>
            </w:pPr>
          </w:p>
        </w:tc>
        <w:tc>
          <w:tcPr>
            <w:tcW w:w="0" w:type="auto"/>
            <w:tcBorders>
              <w:top w:val="single" w:sz="4" w:space="0" w:color="auto"/>
              <w:left w:val="nil"/>
              <w:bottom w:val="single" w:sz="4" w:space="0" w:color="auto"/>
              <w:right w:val="nil"/>
            </w:tcBorders>
            <w:hideMark/>
          </w:tcPr>
          <w:p w14:paraId="2E0CFD8F" w14:textId="77777777" w:rsidR="00895240" w:rsidRDefault="00895240">
            <w:pPr>
              <w:rPr>
                <w:rFonts w:asciiTheme="minorHAnsi" w:hAnsiTheme="minorHAnsi" w:cstheme="minorHAnsi"/>
                <w:b/>
              </w:rPr>
            </w:pPr>
            <w:r>
              <w:rPr>
                <w:rFonts w:cstheme="minorHAnsi"/>
                <w:b/>
              </w:rPr>
              <w:t>OECD Members</w:t>
            </w:r>
          </w:p>
        </w:tc>
        <w:tc>
          <w:tcPr>
            <w:tcW w:w="0" w:type="auto"/>
            <w:tcBorders>
              <w:top w:val="single" w:sz="4" w:space="0" w:color="auto"/>
              <w:left w:val="nil"/>
              <w:bottom w:val="single" w:sz="4" w:space="0" w:color="auto"/>
              <w:right w:val="nil"/>
            </w:tcBorders>
            <w:hideMark/>
          </w:tcPr>
          <w:p w14:paraId="436821A7" w14:textId="77777777" w:rsidR="00895240" w:rsidRDefault="00895240">
            <w:pPr>
              <w:rPr>
                <w:rFonts w:asciiTheme="minorHAnsi" w:hAnsiTheme="minorHAnsi" w:cstheme="minorHAnsi"/>
                <w:b/>
              </w:rPr>
            </w:pPr>
            <w:r>
              <w:rPr>
                <w:rFonts w:cstheme="minorHAnsi"/>
                <w:b/>
              </w:rPr>
              <w:t>All regimes</w:t>
            </w:r>
          </w:p>
        </w:tc>
      </w:tr>
      <w:tr w:rsidR="00895240" w14:paraId="1B40ACEA" w14:textId="77777777" w:rsidTr="00895240">
        <w:trPr>
          <w:trHeight w:val="314"/>
          <w:jc w:val="center"/>
        </w:trPr>
        <w:tc>
          <w:tcPr>
            <w:tcW w:w="0" w:type="auto"/>
            <w:tcBorders>
              <w:top w:val="single" w:sz="4" w:space="0" w:color="auto"/>
              <w:left w:val="nil"/>
              <w:bottom w:val="nil"/>
              <w:right w:val="nil"/>
            </w:tcBorders>
            <w:hideMark/>
          </w:tcPr>
          <w:p w14:paraId="03CE6F91" w14:textId="77777777" w:rsidR="00895240" w:rsidRDefault="00895240">
            <w:pPr>
              <w:rPr>
                <w:rFonts w:asciiTheme="minorHAnsi" w:hAnsiTheme="minorHAnsi" w:cstheme="minorHAnsi"/>
                <w:b/>
              </w:rPr>
            </w:pPr>
            <w:r>
              <w:rPr>
                <w:rFonts w:cstheme="minorHAnsi"/>
                <w:b/>
              </w:rPr>
              <w:t>IP Rate (per cent)</w:t>
            </w:r>
          </w:p>
        </w:tc>
        <w:tc>
          <w:tcPr>
            <w:tcW w:w="0" w:type="auto"/>
            <w:tcBorders>
              <w:top w:val="single" w:sz="4" w:space="0" w:color="auto"/>
              <w:left w:val="nil"/>
              <w:bottom w:val="nil"/>
              <w:right w:val="nil"/>
            </w:tcBorders>
            <w:hideMark/>
          </w:tcPr>
          <w:p w14:paraId="219AB697" w14:textId="77777777" w:rsidR="00895240" w:rsidRDefault="00895240">
            <w:pPr>
              <w:rPr>
                <w:rFonts w:asciiTheme="minorHAnsi" w:hAnsiTheme="minorHAnsi" w:cstheme="minorHAnsi"/>
              </w:rPr>
            </w:pPr>
            <w:r>
              <w:rPr>
                <w:rFonts w:cstheme="minorHAnsi"/>
              </w:rPr>
              <w:t>8</w:t>
            </w:r>
          </w:p>
        </w:tc>
        <w:tc>
          <w:tcPr>
            <w:tcW w:w="0" w:type="auto"/>
            <w:tcBorders>
              <w:top w:val="single" w:sz="4" w:space="0" w:color="auto"/>
              <w:left w:val="nil"/>
              <w:bottom w:val="nil"/>
              <w:right w:val="nil"/>
            </w:tcBorders>
            <w:hideMark/>
          </w:tcPr>
          <w:p w14:paraId="475B7913" w14:textId="77777777" w:rsidR="00895240" w:rsidRDefault="00895240">
            <w:pPr>
              <w:rPr>
                <w:rFonts w:asciiTheme="minorHAnsi" w:hAnsiTheme="minorHAnsi" w:cstheme="minorHAnsi"/>
              </w:rPr>
            </w:pPr>
            <w:r>
              <w:rPr>
                <w:rFonts w:cstheme="minorHAnsi"/>
              </w:rPr>
              <w:t>6</w:t>
            </w:r>
          </w:p>
        </w:tc>
      </w:tr>
      <w:tr w:rsidR="00895240" w14:paraId="53B4BF46" w14:textId="77777777" w:rsidTr="00895240">
        <w:trPr>
          <w:trHeight w:val="287"/>
          <w:jc w:val="center"/>
        </w:trPr>
        <w:tc>
          <w:tcPr>
            <w:tcW w:w="0" w:type="auto"/>
            <w:tcBorders>
              <w:top w:val="nil"/>
              <w:left w:val="nil"/>
              <w:bottom w:val="nil"/>
              <w:right w:val="nil"/>
            </w:tcBorders>
            <w:hideMark/>
          </w:tcPr>
          <w:p w14:paraId="1B364CC6" w14:textId="77777777" w:rsidR="00895240" w:rsidRDefault="00895240">
            <w:pPr>
              <w:rPr>
                <w:rFonts w:asciiTheme="minorHAnsi" w:hAnsiTheme="minorHAnsi" w:cstheme="minorHAnsi"/>
                <w:b/>
              </w:rPr>
            </w:pPr>
            <w:r>
              <w:rPr>
                <w:rFonts w:cstheme="minorHAnsi"/>
                <w:b/>
              </w:rPr>
              <w:t>Corporate Rate (per cent)</w:t>
            </w:r>
          </w:p>
        </w:tc>
        <w:tc>
          <w:tcPr>
            <w:tcW w:w="0" w:type="auto"/>
            <w:tcBorders>
              <w:top w:val="nil"/>
              <w:left w:val="nil"/>
              <w:bottom w:val="nil"/>
              <w:right w:val="nil"/>
            </w:tcBorders>
            <w:hideMark/>
          </w:tcPr>
          <w:p w14:paraId="0D2C1183" w14:textId="77777777" w:rsidR="00895240" w:rsidRDefault="00895240">
            <w:pPr>
              <w:rPr>
                <w:rFonts w:asciiTheme="minorHAnsi" w:hAnsiTheme="minorHAnsi" w:cstheme="minorHAnsi"/>
              </w:rPr>
            </w:pPr>
            <w:r>
              <w:rPr>
                <w:rFonts w:cstheme="minorHAnsi"/>
              </w:rPr>
              <w:t>22</w:t>
            </w:r>
          </w:p>
        </w:tc>
        <w:tc>
          <w:tcPr>
            <w:tcW w:w="0" w:type="auto"/>
            <w:tcBorders>
              <w:top w:val="nil"/>
              <w:left w:val="nil"/>
              <w:bottom w:val="nil"/>
              <w:right w:val="nil"/>
            </w:tcBorders>
            <w:hideMark/>
          </w:tcPr>
          <w:p w14:paraId="6EA8904D" w14:textId="77777777" w:rsidR="00895240" w:rsidRDefault="00895240">
            <w:pPr>
              <w:rPr>
                <w:rFonts w:asciiTheme="minorHAnsi" w:hAnsiTheme="minorHAnsi" w:cstheme="minorHAnsi"/>
              </w:rPr>
            </w:pPr>
            <w:r>
              <w:rPr>
                <w:rFonts w:cstheme="minorHAnsi"/>
              </w:rPr>
              <w:t>22</w:t>
            </w:r>
          </w:p>
        </w:tc>
      </w:tr>
      <w:tr w:rsidR="00895240" w14:paraId="035482F8" w14:textId="77777777" w:rsidTr="00895240">
        <w:trPr>
          <w:trHeight w:val="183"/>
          <w:jc w:val="center"/>
        </w:trPr>
        <w:tc>
          <w:tcPr>
            <w:tcW w:w="0" w:type="auto"/>
            <w:tcBorders>
              <w:top w:val="single" w:sz="4" w:space="0" w:color="auto"/>
              <w:left w:val="nil"/>
              <w:bottom w:val="single" w:sz="4" w:space="0" w:color="auto"/>
              <w:right w:val="nil"/>
            </w:tcBorders>
            <w:hideMark/>
          </w:tcPr>
          <w:p w14:paraId="581AD072" w14:textId="77777777" w:rsidR="00895240" w:rsidRDefault="00895240">
            <w:pPr>
              <w:rPr>
                <w:rFonts w:asciiTheme="minorHAnsi" w:hAnsiTheme="minorHAnsi" w:cstheme="minorHAnsi"/>
                <w:b/>
              </w:rPr>
            </w:pPr>
            <w:r>
              <w:rPr>
                <w:rFonts w:cstheme="minorHAnsi"/>
                <w:b/>
              </w:rPr>
              <w:t>Difference (percentage points)</w:t>
            </w:r>
          </w:p>
        </w:tc>
        <w:tc>
          <w:tcPr>
            <w:tcW w:w="0" w:type="auto"/>
            <w:tcBorders>
              <w:top w:val="single" w:sz="4" w:space="0" w:color="auto"/>
              <w:left w:val="nil"/>
              <w:bottom w:val="single" w:sz="4" w:space="0" w:color="auto"/>
              <w:right w:val="nil"/>
            </w:tcBorders>
            <w:hideMark/>
          </w:tcPr>
          <w:p w14:paraId="17BB9476" w14:textId="77777777" w:rsidR="00895240" w:rsidRDefault="00895240">
            <w:pPr>
              <w:rPr>
                <w:rFonts w:asciiTheme="minorHAnsi" w:hAnsiTheme="minorHAnsi" w:cstheme="minorHAnsi"/>
              </w:rPr>
            </w:pPr>
            <w:r>
              <w:rPr>
                <w:rFonts w:cstheme="minorHAnsi"/>
              </w:rPr>
              <w:t>14</w:t>
            </w:r>
          </w:p>
        </w:tc>
        <w:tc>
          <w:tcPr>
            <w:tcW w:w="0" w:type="auto"/>
            <w:tcBorders>
              <w:top w:val="single" w:sz="4" w:space="0" w:color="auto"/>
              <w:left w:val="nil"/>
              <w:bottom w:val="single" w:sz="4" w:space="0" w:color="auto"/>
              <w:right w:val="nil"/>
            </w:tcBorders>
            <w:hideMark/>
          </w:tcPr>
          <w:p w14:paraId="123B2DB0" w14:textId="77777777" w:rsidR="00895240" w:rsidRDefault="00895240">
            <w:pPr>
              <w:rPr>
                <w:rFonts w:asciiTheme="minorHAnsi" w:hAnsiTheme="minorHAnsi" w:cstheme="minorHAnsi"/>
              </w:rPr>
            </w:pPr>
            <w:r>
              <w:rPr>
                <w:rFonts w:cstheme="minorHAnsi"/>
              </w:rPr>
              <w:t>16</w:t>
            </w:r>
          </w:p>
        </w:tc>
      </w:tr>
    </w:tbl>
    <w:p w14:paraId="5C312940" w14:textId="77777777" w:rsidR="00895240" w:rsidRDefault="00895240" w:rsidP="00895240">
      <w:pPr>
        <w:ind w:left="720"/>
        <w:rPr>
          <w:rFonts w:cstheme="minorHAnsi"/>
          <w:sz w:val="18"/>
        </w:rPr>
      </w:pPr>
      <w:r>
        <w:rPr>
          <w:rFonts w:cstheme="minorHAnsi"/>
          <w:sz w:val="18"/>
        </w:rPr>
        <w:t xml:space="preserve">Notes: The above table has been updated for changes to the headline corporate tax rate in France (27.5 in 2021) and the ‘Innovation Box’ rate in Netherlands (9 per cent). It excludes the United States FDII regime, which is not considered a patent box, and Switzerland, as the effective rates differ substantially between </w:t>
      </w:r>
      <w:proofErr w:type="gramStart"/>
      <w:r>
        <w:rPr>
          <w:rFonts w:cstheme="minorHAnsi"/>
          <w:sz w:val="18"/>
        </w:rPr>
        <w:t>Cantons</w:t>
      </w:r>
      <w:proofErr w:type="gramEnd"/>
      <w:r>
        <w:rPr>
          <w:rFonts w:cstheme="minorHAnsi"/>
          <w:sz w:val="18"/>
        </w:rPr>
        <w:t xml:space="preserve"> and we do not have this information. It also excludes regimes that have recently been abolished. The OECD data covers IP regimes reviewed by the Forum on Harmful Tax Practices (FHTP). </w:t>
      </w:r>
      <w:r>
        <w:rPr>
          <w:rFonts w:cstheme="minorHAnsi"/>
          <w:sz w:val="18"/>
        </w:rPr>
        <w:br/>
        <w:t>Source: OECD Intellectual Property Regimes, Treasury</w:t>
      </w:r>
    </w:p>
    <w:p w14:paraId="3C5002F8" w14:textId="7B8C4671" w:rsidR="008D0DFD" w:rsidRDefault="008D0DFD" w:rsidP="009976BF">
      <w:pPr>
        <w:pStyle w:val="H2Opensans"/>
      </w:pPr>
      <w:bookmarkStart w:id="106" w:name="_Toc93174521"/>
      <w:bookmarkStart w:id="107" w:name="_Toc93221797"/>
      <w:bookmarkStart w:id="108" w:name="_Toc93221849"/>
      <w:bookmarkStart w:id="109" w:name="_Toc93226009"/>
      <w:bookmarkStart w:id="110" w:name="_Toc93322080"/>
      <w:bookmarkStart w:id="111" w:name="_Toc93487775"/>
      <w:bookmarkStart w:id="112" w:name="_Toc91078456"/>
      <w:bookmarkEnd w:id="106"/>
      <w:bookmarkEnd w:id="107"/>
      <w:bookmarkEnd w:id="108"/>
      <w:bookmarkEnd w:id="109"/>
      <w:bookmarkEnd w:id="110"/>
      <w:r>
        <w:t xml:space="preserve">Impact on medical and biotechnology </w:t>
      </w:r>
      <w:r w:rsidR="00C6103D">
        <w:t>R&amp;D</w:t>
      </w:r>
      <w:bookmarkEnd w:id="111"/>
    </w:p>
    <w:p w14:paraId="37876ADF" w14:textId="28DA684A" w:rsidR="008D0DFD" w:rsidRDefault="00C6103D" w:rsidP="008D0DFD">
      <w:pPr>
        <w:pStyle w:val="TextOpensans"/>
      </w:pPr>
      <w:r>
        <w:t>Australia already has substantial and well</w:t>
      </w:r>
      <w:r w:rsidR="00407743">
        <w:t>-</w:t>
      </w:r>
      <w:r>
        <w:t>establish</w:t>
      </w:r>
      <w:r w:rsidR="000704ED">
        <w:t>ed</w:t>
      </w:r>
      <w:r>
        <w:t xml:space="preserve"> programs to support R&amp;D, including the Research and Development Tax Incentive (R&amp;DTI). </w:t>
      </w:r>
      <w:r w:rsidR="00F70305">
        <w:t>Nevertheless,</w:t>
      </w:r>
      <w:r w:rsidR="000704ED">
        <w:t xml:space="preserve"> </w:t>
      </w:r>
      <w:r w:rsidR="000704ED" w:rsidRPr="00335E86">
        <w:t>Australia place</w:t>
      </w:r>
      <w:r w:rsidR="00D440DE">
        <w:t>s</w:t>
      </w:r>
      <w:r w:rsidR="000704ED" w:rsidRPr="00335E86">
        <w:t xml:space="preserve"> below the OECD average in terms of total government support to business R&amp;D as a percentage of GDP</w:t>
      </w:r>
      <w:r w:rsidR="00263E8B">
        <w:rPr>
          <w:vertAlign w:val="superscript"/>
        </w:rPr>
        <w:t>2</w:t>
      </w:r>
      <w:r w:rsidR="000704ED">
        <w:t>. M</w:t>
      </w:r>
      <w:r w:rsidR="00012C76">
        <w:t xml:space="preserve">edical and biotechnology firms have </w:t>
      </w:r>
      <w:r>
        <w:t>stressed</w:t>
      </w:r>
      <w:r w:rsidR="00012C76">
        <w:t xml:space="preserve"> that Australia’s lack of tax competitiveness for IP assets, </w:t>
      </w:r>
      <w:r w:rsidR="00D1611B">
        <w:t xml:space="preserve">resulting </w:t>
      </w:r>
      <w:r w:rsidR="00012C76">
        <w:t xml:space="preserve">from </w:t>
      </w:r>
      <w:r w:rsidR="00EF1D6E">
        <w:t xml:space="preserve">its high corporate tax rate and </w:t>
      </w:r>
      <w:r w:rsidR="00012C76">
        <w:t xml:space="preserve">not having a patent box, is </w:t>
      </w:r>
      <w:r w:rsidR="00D1611B">
        <w:t>an important factor that limits</w:t>
      </w:r>
      <w:r w:rsidR="00012C76">
        <w:t xml:space="preserve"> their ability to further </w:t>
      </w:r>
      <w:r w:rsidR="00D1611B">
        <w:t xml:space="preserve">expand </w:t>
      </w:r>
      <w:r w:rsidR="00012C76">
        <w:t>their Australian R&amp;D capabilities.</w:t>
      </w:r>
    </w:p>
    <w:p w14:paraId="3ABC9455" w14:textId="5DDF955B" w:rsidR="00012C76" w:rsidRDefault="00012C76" w:rsidP="008D0DFD">
      <w:pPr>
        <w:pStyle w:val="TextOpensans"/>
      </w:pPr>
      <w:r>
        <w:t xml:space="preserve">ResMed, for example, </w:t>
      </w:r>
      <w:r w:rsidR="00D1611B">
        <w:t>stated</w:t>
      </w:r>
      <w:r>
        <w:t xml:space="preserve"> the following </w:t>
      </w:r>
      <w:r w:rsidR="00D1611B">
        <w:t xml:space="preserve">in </w:t>
      </w:r>
      <w:r w:rsidR="00EF1D6E">
        <w:t>its</w:t>
      </w:r>
      <w:r w:rsidR="00D1611B">
        <w:t xml:space="preserve"> submission on the patent box:</w:t>
      </w:r>
    </w:p>
    <w:p w14:paraId="4C4B0F86" w14:textId="5310EEBC" w:rsidR="00012C76" w:rsidRDefault="00012C76" w:rsidP="00012C76">
      <w:pPr>
        <w:pStyle w:val="TextOpensans"/>
        <w:ind w:left="720"/>
      </w:pPr>
      <w:r w:rsidRPr="00012C76">
        <w:t xml:space="preserve">ResMed grows its research and development (R&amp;D) expenditure globally by 7 to 8%. </w:t>
      </w:r>
      <w:r w:rsidR="00EF1D6E">
        <w:t>…</w:t>
      </w:r>
      <w:r w:rsidRPr="00012C76">
        <w:t xml:space="preserve"> However, without a patent box, it has been increasingly difficult for ResMed to choose Australia for new, incremental innovation investment over other jurisdictions.</w:t>
      </w:r>
    </w:p>
    <w:p w14:paraId="0C8284EF" w14:textId="4BA37F82" w:rsidR="00D1611B" w:rsidRDefault="00D1611B" w:rsidP="00D1611B">
      <w:pPr>
        <w:pStyle w:val="TextOpensans"/>
      </w:pPr>
      <w:r>
        <w:t xml:space="preserve">Cochlear, likewise, stated the following in </w:t>
      </w:r>
      <w:r w:rsidR="00EF1D6E">
        <w:t>its</w:t>
      </w:r>
      <w:r>
        <w:t xml:space="preserve"> submission on the patent box:</w:t>
      </w:r>
    </w:p>
    <w:p w14:paraId="1670BBC4" w14:textId="1B547870" w:rsidR="00D1611B" w:rsidRDefault="00D1611B">
      <w:pPr>
        <w:pStyle w:val="TextOpensans"/>
        <w:ind w:left="720"/>
      </w:pPr>
      <w:r>
        <w:t xml:space="preserve">As </w:t>
      </w:r>
      <w:proofErr w:type="spellStart"/>
      <w:r>
        <w:t>Cochlear’s</w:t>
      </w:r>
      <w:proofErr w:type="spellEnd"/>
      <w:r>
        <w:t xml:space="preserve"> business and global footprint continues to grow we have greater flexibility in where we conduct R&amp;D whether alongside current R&amp;D capacity in Belgium, Sweden or the United States or co-located with new manufacturing facilities in Malaysia and China. These countries, and many others, actively and aggressively compete for our R&amp;D and manufacturing investment by offering a suite of investment incentives including, in more than 20 other countries, patent </w:t>
      </w:r>
      <w:r>
        <w:lastRenderedPageBreak/>
        <w:t xml:space="preserve">boxes. </w:t>
      </w:r>
      <w:r w:rsidR="00861FA8">
        <w:t>…</w:t>
      </w:r>
      <w:r>
        <w:t xml:space="preserve"> The design of the new Australian patent box will be an important factor in making these </w:t>
      </w:r>
      <w:r w:rsidR="00861FA8">
        <w:t xml:space="preserve">[investment location] </w:t>
      </w:r>
      <w:r>
        <w:t>decisions.</w:t>
      </w:r>
    </w:p>
    <w:p w14:paraId="2F01A145" w14:textId="1D884830" w:rsidR="00651B18" w:rsidRPr="00EC1206" w:rsidRDefault="008D0FC2" w:rsidP="00651B18">
      <w:pPr>
        <w:pStyle w:val="TextOpensans"/>
      </w:pPr>
      <w:r>
        <w:t xml:space="preserve">These </w:t>
      </w:r>
      <w:r w:rsidR="00144DCF">
        <w:t>themes</w:t>
      </w:r>
      <w:r>
        <w:t xml:space="preserve"> were repeated </w:t>
      </w:r>
      <w:r w:rsidR="00144DCF">
        <w:t>throughout the</w:t>
      </w:r>
      <w:r>
        <w:t xml:space="preserve"> patent box submissions </w:t>
      </w:r>
      <w:r w:rsidR="00731915">
        <w:t xml:space="preserve">that </w:t>
      </w:r>
      <w:r>
        <w:t xml:space="preserve">Treasury received from medical and biotechnology firms. </w:t>
      </w:r>
      <w:r w:rsidR="007464A4">
        <w:t>Firms argued</w:t>
      </w:r>
      <w:r w:rsidR="00731915">
        <w:t xml:space="preserve"> that </w:t>
      </w:r>
      <w:r w:rsidR="00961C5E">
        <w:t xml:space="preserve">tax competition </w:t>
      </w:r>
      <w:r w:rsidR="0009412A">
        <w:t xml:space="preserve">particularly </w:t>
      </w:r>
      <w:r w:rsidR="00961C5E">
        <w:t xml:space="preserve">impacts their marginal decision making </w:t>
      </w:r>
      <w:r w:rsidR="0057307D">
        <w:t xml:space="preserve">on R&amp;D operations </w:t>
      </w:r>
      <w:r w:rsidR="00961C5E">
        <w:t xml:space="preserve">– while the lack of a patent box will not lead to the immediate deterioration of the sector, </w:t>
      </w:r>
      <w:r w:rsidR="0009412A">
        <w:t xml:space="preserve">they argue that </w:t>
      </w:r>
      <w:r w:rsidR="00961C5E">
        <w:t>it inhibit</w:t>
      </w:r>
      <w:r w:rsidR="007464A4">
        <w:t>s</w:t>
      </w:r>
      <w:r w:rsidR="00961C5E">
        <w:t xml:space="preserve"> </w:t>
      </w:r>
      <w:r w:rsidR="0009412A">
        <w:t>the sector’s</w:t>
      </w:r>
      <w:r w:rsidR="00961C5E">
        <w:t xml:space="preserve"> growth and potential.</w:t>
      </w:r>
    </w:p>
    <w:p w14:paraId="6CBE8254" w14:textId="2052B2C8" w:rsidR="00A3220D" w:rsidRDefault="00A3220D" w:rsidP="00B46ACF">
      <w:pPr>
        <w:pStyle w:val="TextOpensans"/>
      </w:pPr>
      <w:r w:rsidRPr="00094761">
        <w:t xml:space="preserve">There have been no academic studies analysing the impact of patent boxes on R&amp;D investment following the introduction of the OECD substantial activity requirement, </w:t>
      </w:r>
      <w:r w:rsidR="00EF1D6E" w:rsidRPr="00094761">
        <w:t>likely reflecting that the transition to the new regime has only just been finalised, and relevant data is not yet available.</w:t>
      </w:r>
      <w:r w:rsidR="00EF1D6E">
        <w:t xml:space="preserve">  </w:t>
      </w:r>
      <w:r w:rsidR="00861FA8">
        <w:t>However, a</w:t>
      </w:r>
      <w:r>
        <w:t xml:space="preserve"> 2019 UK government report</w:t>
      </w:r>
      <w:r w:rsidR="00263E8B">
        <w:rPr>
          <w:vertAlign w:val="superscript"/>
        </w:rPr>
        <w:t>3</w:t>
      </w:r>
      <w:r w:rsidR="0099057E" w:rsidRPr="0099057E">
        <w:t>, which</w:t>
      </w:r>
      <w:r>
        <w:t xml:space="preserve"> </w:t>
      </w:r>
      <w:r w:rsidR="00FC33F5">
        <w:t xml:space="preserve">includes </w:t>
      </w:r>
      <w:r>
        <w:t xml:space="preserve">data </w:t>
      </w:r>
      <w:r w:rsidR="0099057E" w:rsidRPr="0099057E">
        <w:t>for the period</w:t>
      </w:r>
      <w:r>
        <w:t xml:space="preserve"> after the introduction of</w:t>
      </w:r>
      <w:r w:rsidR="00B46ACF">
        <w:t xml:space="preserve"> the substantial activity requirement</w:t>
      </w:r>
      <w:r w:rsidR="0099057E" w:rsidRPr="0099057E">
        <w:t>,</w:t>
      </w:r>
      <w:r w:rsidR="00B46ACF">
        <w:t xml:space="preserve"> </w:t>
      </w:r>
      <w:r w:rsidR="00861FA8">
        <w:t xml:space="preserve">found </w:t>
      </w:r>
      <w:r w:rsidR="00B46ACF">
        <w:t xml:space="preserve">that </w:t>
      </w:r>
      <w:r w:rsidR="007F315E">
        <w:t>‘</w:t>
      </w:r>
      <w:r w:rsidR="00B46ACF">
        <w:t>firms using the patent box display an approximate 10</w:t>
      </w:r>
      <w:r w:rsidR="00ED1A45">
        <w:t xml:space="preserve"> per cent</w:t>
      </w:r>
      <w:r w:rsidR="00B46ACF">
        <w:t xml:space="preserve"> increase in investment</w:t>
      </w:r>
      <w:r w:rsidR="007F315E">
        <w:t xml:space="preserve">’. </w:t>
      </w:r>
      <w:r w:rsidR="001F42A7">
        <w:t xml:space="preserve">While the report highlights the limitations of the early data, </w:t>
      </w:r>
      <w:r w:rsidR="002B3359">
        <w:t>this</w:t>
      </w:r>
      <w:r w:rsidR="001F42A7">
        <w:t xml:space="preserve"> initial finding broadly supports the submissions of Australian medical and biotechnology firms.</w:t>
      </w:r>
    </w:p>
    <w:p w14:paraId="5350315E" w14:textId="626DE631" w:rsidR="00C52A0A" w:rsidRPr="00EC1206" w:rsidRDefault="0009412A" w:rsidP="00651B18">
      <w:pPr>
        <w:pStyle w:val="TextOpensans"/>
      </w:pPr>
      <w:r>
        <w:t>In terms of marginal decision making,</w:t>
      </w:r>
      <w:r w:rsidR="00004FCE">
        <w:t xml:space="preserve"> this evidence suggests that</w:t>
      </w:r>
      <w:r>
        <w:t xml:space="preserve"> </w:t>
      </w:r>
      <w:r w:rsidR="00AD4EDB">
        <w:t>if the Government does not establish a patent box to compete with foreign equivalents</w:t>
      </w:r>
      <w:r w:rsidR="00144DCF">
        <w:t>,</w:t>
      </w:r>
      <w:r>
        <w:t xml:space="preserve"> Australian multinationals </w:t>
      </w:r>
      <w:r w:rsidR="00AD4EDB">
        <w:t>will be less likely to</w:t>
      </w:r>
      <w:r>
        <w:t xml:space="preserve"> focus their growth domestically, foreign multinationals </w:t>
      </w:r>
      <w:r w:rsidR="00AD4EDB">
        <w:t>will ha</w:t>
      </w:r>
      <w:r w:rsidR="00CD60FD">
        <w:t xml:space="preserve">ve less reason </w:t>
      </w:r>
      <w:r w:rsidR="00DB4F45">
        <w:t xml:space="preserve">to establish research centres in Australia, and </w:t>
      </w:r>
      <w:r w:rsidR="00CD60FD">
        <w:t>it will be more difficult for</w:t>
      </w:r>
      <w:r w:rsidR="00DB4F45">
        <w:t xml:space="preserve"> domestic start-ups </w:t>
      </w:r>
      <w:r w:rsidR="00CD60FD">
        <w:t xml:space="preserve">to secure </w:t>
      </w:r>
      <w:r w:rsidR="00DB4F45">
        <w:t>investment.</w:t>
      </w:r>
    </w:p>
    <w:p w14:paraId="3B569B10" w14:textId="73C3D6A6" w:rsidR="0007762A" w:rsidRPr="00EC1206" w:rsidRDefault="0007762A" w:rsidP="00651B18">
      <w:pPr>
        <w:pStyle w:val="TextOpensans"/>
      </w:pPr>
      <w:bookmarkStart w:id="113" w:name="_Toc93174523"/>
      <w:bookmarkStart w:id="114" w:name="_Toc93221799"/>
      <w:bookmarkStart w:id="115" w:name="_Toc93221851"/>
      <w:bookmarkStart w:id="116" w:name="_Toc93226011"/>
      <w:bookmarkEnd w:id="113"/>
      <w:bookmarkEnd w:id="114"/>
      <w:bookmarkEnd w:id="115"/>
      <w:bookmarkEnd w:id="116"/>
      <w:r>
        <w:t xml:space="preserve">As well as directly growing </w:t>
      </w:r>
      <w:r w:rsidR="0026246E">
        <w:t xml:space="preserve">the economy </w:t>
      </w:r>
      <w:r w:rsidR="00037AAC">
        <w:t>and creating jobs</w:t>
      </w:r>
      <w:r w:rsidR="001E2041">
        <w:t xml:space="preserve">, it has long been recognised that R&amp;D investment has significant positive externalities for broader society. </w:t>
      </w:r>
      <w:r w:rsidR="00796350">
        <w:t>For example,</w:t>
      </w:r>
      <w:r w:rsidR="001E2041" w:rsidDel="00E454A0">
        <w:t xml:space="preserve"> </w:t>
      </w:r>
      <w:r w:rsidR="00E454A0">
        <w:t xml:space="preserve">a </w:t>
      </w:r>
      <w:r w:rsidR="001E2041">
        <w:t>2006 Productivity Commission study</w:t>
      </w:r>
      <w:r w:rsidR="001E2041">
        <w:rPr>
          <w:vertAlign w:val="superscript"/>
        </w:rPr>
        <w:t>7</w:t>
      </w:r>
      <w:r w:rsidR="008F530A">
        <w:rPr>
          <w:vertAlign w:val="superscript"/>
        </w:rPr>
        <w:t xml:space="preserve"> </w:t>
      </w:r>
      <w:r w:rsidR="00A1062F">
        <w:t>found that R&amp;D investment results in roughly a 25</w:t>
      </w:r>
      <w:r w:rsidR="007F5B21">
        <w:t xml:space="preserve"> per cent</w:t>
      </w:r>
      <w:r w:rsidR="00A1062F">
        <w:t xml:space="preserve"> spill-over benefit outside of the sector</w:t>
      </w:r>
      <w:r w:rsidR="00037AAC">
        <w:t xml:space="preserve"> of investment</w:t>
      </w:r>
      <w:r w:rsidR="00A1062F">
        <w:t>. Not having a patent box, therefore, mean</w:t>
      </w:r>
      <w:r w:rsidR="00A67785">
        <w:t>s</w:t>
      </w:r>
      <w:r w:rsidR="00A1062F">
        <w:t xml:space="preserve"> Australia </w:t>
      </w:r>
      <w:r w:rsidR="00A67785">
        <w:t xml:space="preserve">is </w:t>
      </w:r>
      <w:r w:rsidR="00A1062F">
        <w:t>also miss</w:t>
      </w:r>
      <w:r w:rsidR="00A67785">
        <w:t>ing</w:t>
      </w:r>
      <w:r w:rsidR="00A1062F">
        <w:t xml:space="preserve"> out on the </w:t>
      </w:r>
      <w:r w:rsidR="00544D2D">
        <w:t xml:space="preserve">significant </w:t>
      </w:r>
      <w:r w:rsidR="00A1062F">
        <w:t>positive externalit</w:t>
      </w:r>
      <w:r w:rsidR="00D772AB">
        <w:t>y</w:t>
      </w:r>
      <w:r w:rsidR="00A1062F">
        <w:t xml:space="preserve"> benefits associated with </w:t>
      </w:r>
      <w:r w:rsidR="00C0688A">
        <w:t>any potential forgone R&amp;D investment.</w:t>
      </w:r>
      <w:r w:rsidR="00F65667">
        <w:t xml:space="preserve"> </w:t>
      </w:r>
      <w:r w:rsidR="00530821">
        <w:t xml:space="preserve"> </w:t>
      </w:r>
    </w:p>
    <w:p w14:paraId="07059D6E" w14:textId="05CDA52F" w:rsidR="00685DF7" w:rsidRDefault="00685DF7" w:rsidP="00685DF7">
      <w:pPr>
        <w:pStyle w:val="H2Opensans"/>
      </w:pPr>
      <w:bookmarkStart w:id="117" w:name="_Toc93322082"/>
      <w:bookmarkStart w:id="118" w:name="_Toc93487776"/>
      <w:bookmarkEnd w:id="117"/>
      <w:r>
        <w:t xml:space="preserve">Impact on medical and biotechnology </w:t>
      </w:r>
      <w:r w:rsidR="00D52B74">
        <w:t>commercialisation</w:t>
      </w:r>
      <w:bookmarkEnd w:id="118"/>
    </w:p>
    <w:p w14:paraId="5F9C7E2D" w14:textId="6811398A" w:rsidR="00A60286" w:rsidRDefault="00A60286" w:rsidP="00685DF7">
      <w:pPr>
        <w:pStyle w:val="TextOpensans"/>
      </w:pPr>
      <w:r>
        <w:t xml:space="preserve">Once initial R&amp;D has been completed and IP protection has been granted, firms have the option to offshore their IP before </w:t>
      </w:r>
      <w:r w:rsidR="00664554">
        <w:t>further developing the product for commercialisation</w:t>
      </w:r>
      <w:r>
        <w:t xml:space="preserve">. This is particularly relevant in the medical </w:t>
      </w:r>
      <w:r w:rsidR="00664554">
        <w:t>and biotechnology sector, where significant further development is required after a product is patented. For example, products</w:t>
      </w:r>
      <w:r w:rsidR="00DA658B">
        <w:t xml:space="preserve"> </w:t>
      </w:r>
      <w:r w:rsidR="00CA6BE2">
        <w:t>such as</w:t>
      </w:r>
      <w:r w:rsidR="00DA658B">
        <w:t xml:space="preserve"> the chemical composition of a vaccine</w:t>
      </w:r>
      <w:r w:rsidR="00664554">
        <w:t xml:space="preserve"> are often patented </w:t>
      </w:r>
      <w:r w:rsidR="00DA658B">
        <w:t>before safety and efficacy are demonstrated (</w:t>
      </w:r>
      <w:proofErr w:type="gramStart"/>
      <w:r w:rsidR="00DA658B">
        <w:t>e.g.</w:t>
      </w:r>
      <w:proofErr w:type="gramEnd"/>
      <w:r w:rsidR="00DA658B">
        <w:t xml:space="preserve"> stage I, II, III &amp; IV clinical trials), regulatory approval is sought (e.g. from the TGA) or complex manufacturing processes are devised (e.g. disposable mixing paths and fluid systems).</w:t>
      </w:r>
    </w:p>
    <w:p w14:paraId="2BC572D8" w14:textId="298EAEAD" w:rsidR="00A60286" w:rsidRDefault="00D52B74" w:rsidP="00685DF7">
      <w:pPr>
        <w:pStyle w:val="TextOpensans"/>
      </w:pPr>
      <w:r>
        <w:t>Australia currently has</w:t>
      </w:r>
      <w:r w:rsidR="006479A7">
        <w:t xml:space="preserve"> no specific incentives or regulations from federal, state or local governments </w:t>
      </w:r>
      <w:r>
        <w:t>to encourage the retention of</w:t>
      </w:r>
      <w:r w:rsidR="006479A7">
        <w:t xml:space="preserve"> Australian-designed IP ownership in Australia during commercialisatio</w:t>
      </w:r>
      <w:r>
        <w:t xml:space="preserve">n. </w:t>
      </w:r>
      <w:r w:rsidR="007B38C4">
        <w:t xml:space="preserve">This means Australian medical and biotechnology innovations are at risk of being offshored and </w:t>
      </w:r>
      <w:r w:rsidR="00B765FE">
        <w:t>may be</w:t>
      </w:r>
      <w:r w:rsidR="00AD5525">
        <w:t xml:space="preserve"> </w:t>
      </w:r>
      <w:r w:rsidR="007B38C4">
        <w:t xml:space="preserve">sensitive to </w:t>
      </w:r>
      <w:r w:rsidR="00AD5525">
        <w:t xml:space="preserve">Australia’s uncompetitive taxation of </w:t>
      </w:r>
      <w:r w:rsidR="00AD5525">
        <w:lastRenderedPageBreak/>
        <w:t xml:space="preserve">IP income. Given that significant returns are not realised in the sector until after commercialisation is completed, </w:t>
      </w:r>
      <w:r w:rsidR="00455353">
        <w:t>offshoring results in</w:t>
      </w:r>
      <w:r w:rsidR="00340F07">
        <w:t xml:space="preserve"> </w:t>
      </w:r>
      <w:r w:rsidR="00455353">
        <w:t>loss of tax revenue</w:t>
      </w:r>
      <w:r w:rsidR="00340F07">
        <w:t xml:space="preserve"> for Australia</w:t>
      </w:r>
      <w:r w:rsidR="00455353">
        <w:t>.</w:t>
      </w:r>
      <w:r w:rsidR="00AD5525">
        <w:t xml:space="preserve"> </w:t>
      </w:r>
    </w:p>
    <w:p w14:paraId="5255390B" w14:textId="10C3B307" w:rsidR="00F03109" w:rsidRDefault="00455353" w:rsidP="00685DF7">
      <w:pPr>
        <w:pStyle w:val="TextOpensans"/>
      </w:pPr>
      <w:r>
        <w:t xml:space="preserve">Medical and biotechnology firms </w:t>
      </w:r>
      <w:r w:rsidR="00E731AE">
        <w:t>argue that</w:t>
      </w:r>
      <w:r w:rsidR="00F03109">
        <w:t xml:space="preserve"> the lack of a patent box is causing </w:t>
      </w:r>
      <w:r w:rsidR="00003ED2">
        <w:t xml:space="preserve">the ownership of </w:t>
      </w:r>
      <w:r w:rsidR="00F03109">
        <w:t>Australian</w:t>
      </w:r>
      <w:r w:rsidR="00003ED2">
        <w:t>-developed</w:t>
      </w:r>
      <w:r w:rsidR="00F03109">
        <w:t xml:space="preserve"> </w:t>
      </w:r>
      <w:r w:rsidR="00003ED2">
        <w:t>IP</w:t>
      </w:r>
      <w:r w:rsidR="00F03109">
        <w:t xml:space="preserve"> to be offshored during commercialisation. </w:t>
      </w:r>
      <w:proofErr w:type="spellStart"/>
      <w:r w:rsidR="00F03109">
        <w:t>AusBiotech</w:t>
      </w:r>
      <w:proofErr w:type="spellEnd"/>
      <w:r w:rsidR="00F03109">
        <w:t xml:space="preserve">, the peak body for many firms in the sector, stated the following in </w:t>
      </w:r>
      <w:r w:rsidR="00E731AE">
        <w:t>its</w:t>
      </w:r>
      <w:r w:rsidR="00F03109">
        <w:t xml:space="preserve"> submission on the patent box:</w:t>
      </w:r>
    </w:p>
    <w:p w14:paraId="61E04D35" w14:textId="3EB7BCC1" w:rsidR="00455353" w:rsidRDefault="00F03109" w:rsidP="00F03109">
      <w:pPr>
        <w:pStyle w:val="TextOpensans"/>
        <w:ind w:left="576"/>
      </w:pPr>
      <w:r>
        <w:t>The Patent Box is intended as an incentive for companies to make long-term decisions and create long term value for Australia…. For example, it is well accepted that as a product reaches commercialisation, the benefits of the much-valued R&amp;D Tax incentive (RDTI) diminish, the development of highly</w:t>
      </w:r>
      <w:r w:rsidR="00173E15">
        <w:t xml:space="preserve"> </w:t>
      </w:r>
      <w:r>
        <w:t>portable IP may (and does) move the associated benefits offshore, where other countries benefit. An Australian Patent Box incentive would work ‘hand in glove’ with the RDTI to keep more of the value creation and its benefits in Australia, for longer. This notion of ‘additionality’ is key to the Patent Box creating an incentive to change and improve the outcomes we might otherwise have.</w:t>
      </w:r>
    </w:p>
    <w:p w14:paraId="5835B0BA" w14:textId="2F531274" w:rsidR="00003ED2" w:rsidRDefault="0097512F">
      <w:pPr>
        <w:pStyle w:val="TextOpensans"/>
      </w:pPr>
      <w:r>
        <w:t xml:space="preserve">A number of studies have </w:t>
      </w:r>
      <w:r w:rsidR="00E731AE">
        <w:t xml:space="preserve">confirmed </w:t>
      </w:r>
      <w:r>
        <w:t xml:space="preserve">that patent boxes </w:t>
      </w:r>
      <w:r w:rsidR="004C0911">
        <w:t>affect</w:t>
      </w:r>
      <w:r>
        <w:t xml:space="preserve"> the location of IP </w:t>
      </w:r>
      <w:r w:rsidR="00C74BA8">
        <w:t>ownership</w:t>
      </w:r>
      <w:r w:rsidR="00263E8B">
        <w:rPr>
          <w:vertAlign w:val="superscript"/>
        </w:rPr>
        <w:t>4,5,6</w:t>
      </w:r>
      <w:r w:rsidR="00C74BA8">
        <w:t xml:space="preserve">. </w:t>
      </w:r>
      <w:r w:rsidR="00455060">
        <w:t xml:space="preserve">For example, the Institute for Fiscal Studies estimated that foreign patent boxes </w:t>
      </w:r>
      <w:r w:rsidR="0028045B">
        <w:t xml:space="preserve">had </w:t>
      </w:r>
      <w:r w:rsidR="00455060">
        <w:t>caused a 30 per cent decline in UK patent ownership before the UK patent box was introduced</w:t>
      </w:r>
      <w:r w:rsidR="00455060">
        <w:rPr>
          <w:vertAlign w:val="superscript"/>
        </w:rPr>
        <w:t>5</w:t>
      </w:r>
      <w:r w:rsidR="00455060">
        <w:t xml:space="preserve">. </w:t>
      </w:r>
      <w:r w:rsidR="00C74BA8">
        <w:t xml:space="preserve">While these </w:t>
      </w:r>
      <w:r w:rsidR="0011312B">
        <w:t xml:space="preserve">studies </w:t>
      </w:r>
      <w:r w:rsidR="00C74BA8">
        <w:t xml:space="preserve">all rely on data from before the introduction of the OECD’s substantial activity requirement, </w:t>
      </w:r>
      <w:r w:rsidR="00052C18">
        <w:t xml:space="preserve">the impact of patent boxes </w:t>
      </w:r>
      <w:r w:rsidR="00C704DC">
        <w:t>will continue</w:t>
      </w:r>
      <w:r w:rsidR="00956B29">
        <w:t xml:space="preserve"> </w:t>
      </w:r>
      <w:r w:rsidR="00C704DC">
        <w:t>to some extent</w:t>
      </w:r>
      <w:r w:rsidR="00956B29">
        <w:t xml:space="preserve"> - the substantial activity requirement minimises the ability of patent boxes to incentivise the onshoring of foreign IP, yet still allows patent boxes to </w:t>
      </w:r>
      <w:r w:rsidR="0011312B">
        <w:t>disincentivise the offshoring of domestic IP.</w:t>
      </w:r>
    </w:p>
    <w:p w14:paraId="1E969FA3" w14:textId="598A8159" w:rsidR="00D7203F" w:rsidRDefault="005522A7" w:rsidP="009976BF">
      <w:pPr>
        <w:pStyle w:val="H2Opensans"/>
      </w:pPr>
      <w:bookmarkStart w:id="119" w:name="_Toc93487777"/>
      <w:r>
        <w:t>The OECD</w:t>
      </w:r>
      <w:r w:rsidR="00685DF7">
        <w:t xml:space="preserve"> </w:t>
      </w:r>
      <w:r w:rsidR="00D7203F">
        <w:t>global minimum tax will limit the problem</w:t>
      </w:r>
      <w:r w:rsidR="00BC3D25">
        <w:t xml:space="preserve">, but not eliminate </w:t>
      </w:r>
      <w:r w:rsidR="00055697">
        <w:t>the problem</w:t>
      </w:r>
      <w:bookmarkEnd w:id="112"/>
      <w:bookmarkEnd w:id="119"/>
    </w:p>
    <w:p w14:paraId="63D977F5" w14:textId="366FF8F7" w:rsidR="00D7203F" w:rsidRDefault="003814BF" w:rsidP="00D7203F">
      <w:pPr>
        <w:pStyle w:val="TextOpensans"/>
      </w:pPr>
      <w:r>
        <w:t xml:space="preserve">In the context of competing taxation regimes and profit shifting, the OECD/G20 Inclusive Framework Pillar 2 project </w:t>
      </w:r>
      <w:r w:rsidR="00D7203F">
        <w:t>seeks to</w:t>
      </w:r>
      <w:r w:rsidR="00D7203F" w:rsidRPr="00F7391F">
        <w:t xml:space="preserve"> set an effective global minimum </w:t>
      </w:r>
      <w:r w:rsidR="00D7203F">
        <w:t>corporate tax rate at 15 per cent</w:t>
      </w:r>
      <w:r w:rsidR="00D7203F" w:rsidRPr="00F7391F">
        <w:t xml:space="preserve">. </w:t>
      </w:r>
      <w:r w:rsidR="00D7203F" w:rsidRPr="00F458D7">
        <w:t xml:space="preserve">The OECD’s stated objective for Pillar Two </w:t>
      </w:r>
      <w:r w:rsidR="00D7203F" w:rsidRPr="00D7203F">
        <w:t xml:space="preserve">is that it seeks to ensure that all large and </w:t>
      </w:r>
      <w:bookmarkStart w:id="120" w:name="_Hlk93070340"/>
      <w:r w:rsidR="00D7203F" w:rsidRPr="00D7203F">
        <w:t xml:space="preserve">internationally operating businesses pay at least a minimum level of tax globally. This will help address the problem of countries continuing to </w:t>
      </w:r>
      <w:r w:rsidR="004F0FF1">
        <w:t>lower tax rates in order</w:t>
      </w:r>
      <w:r w:rsidR="00D7203F" w:rsidRPr="00D7203F">
        <w:t xml:space="preserve"> </w:t>
      </w:r>
      <w:r w:rsidR="004F0FF1">
        <w:t xml:space="preserve">to compete for investment. </w:t>
      </w:r>
      <w:bookmarkEnd w:id="120"/>
    </w:p>
    <w:p w14:paraId="1A7087D5" w14:textId="61CFDC3E" w:rsidR="00345926" w:rsidRDefault="008F774A" w:rsidP="00D7203F">
      <w:pPr>
        <w:pStyle w:val="TextOpensans"/>
      </w:pPr>
      <w:r>
        <w:t>The Government</w:t>
      </w:r>
      <w:r w:rsidR="002D1D28">
        <w:t xml:space="preserve"> announced at </w:t>
      </w:r>
      <w:r>
        <w:t xml:space="preserve">the 2021-22 </w:t>
      </w:r>
      <w:r w:rsidR="002D1D28">
        <w:t xml:space="preserve">Budget that Australia’s patent box rate would be set at 17 per cent </w:t>
      </w:r>
      <w:r w:rsidR="00BD1566">
        <w:t xml:space="preserve">in anticipation of public discussion at the time of a </w:t>
      </w:r>
      <w:r w:rsidR="002D1D28">
        <w:t xml:space="preserve">global minimum rate. </w:t>
      </w:r>
      <w:r w:rsidR="00345926">
        <w:t xml:space="preserve">The global minimum rate </w:t>
      </w:r>
      <w:r w:rsidR="002763CC">
        <w:t>will likely be</w:t>
      </w:r>
      <w:r w:rsidR="00345926">
        <w:t xml:space="preserve"> calculated broadly, accounting for both income eligible for the patent box rate and the headline rate. Other tax measures which reduce the effective tax rate also can pull an entity’s rate to close or below the global minimum. If this </w:t>
      </w:r>
      <w:r w:rsidR="00F55D87">
        <w:t>were</w:t>
      </w:r>
      <w:r w:rsidR="00345926">
        <w:t xml:space="preserve"> to occur, the OECD’s mechanism to recapture the undertaxed revenue would likely lead to a </w:t>
      </w:r>
      <w:r w:rsidR="00BD1D4F">
        <w:t xml:space="preserve">tax revenue </w:t>
      </w:r>
      <w:r w:rsidR="00345926">
        <w:t>transfer to another country</w:t>
      </w:r>
      <w:r w:rsidR="006619C6">
        <w:t>. That is, i</w:t>
      </w:r>
      <w:r w:rsidR="00345926">
        <w:t xml:space="preserve">f </w:t>
      </w:r>
      <w:r w:rsidR="006619C6">
        <w:t>Australia</w:t>
      </w:r>
      <w:r w:rsidR="00345926">
        <w:t xml:space="preserve"> </w:t>
      </w:r>
      <w:r w:rsidR="006619C6">
        <w:t>does not</w:t>
      </w:r>
      <w:r w:rsidR="00345926">
        <w:t xml:space="preserve"> tax </w:t>
      </w:r>
      <w:r w:rsidR="006619C6">
        <w:t>the income</w:t>
      </w:r>
      <w:r w:rsidR="00345926">
        <w:t xml:space="preserve"> </w:t>
      </w:r>
      <w:r w:rsidR="00F55D87">
        <w:t>at 15 per cent</w:t>
      </w:r>
      <w:r w:rsidR="006619C6">
        <w:t>,</w:t>
      </w:r>
      <w:r w:rsidR="00F55D87">
        <w:t xml:space="preserve"> </w:t>
      </w:r>
      <w:r w:rsidR="00345926">
        <w:t>another nation will</w:t>
      </w:r>
      <w:r w:rsidR="006619C6">
        <w:t xml:space="preserve"> receive a taxing right for that untaxed </w:t>
      </w:r>
      <w:r w:rsidR="006619C6">
        <w:lastRenderedPageBreak/>
        <w:t xml:space="preserve">amount </w:t>
      </w:r>
      <w:r w:rsidR="00345926">
        <w:t>for no tax competitiveness advantage</w:t>
      </w:r>
      <w:r w:rsidR="006619C6">
        <w:t xml:space="preserve"> (as </w:t>
      </w:r>
      <w:r w:rsidR="004362D7">
        <w:t xml:space="preserve">the </w:t>
      </w:r>
      <w:r w:rsidR="006619C6">
        <w:t>entity still pays 15 per cent overall)</w:t>
      </w:r>
      <w:r w:rsidR="00345926">
        <w:t xml:space="preserve">. </w:t>
      </w:r>
      <w:r w:rsidR="00EB634B">
        <w:t>The Government</w:t>
      </w:r>
      <w:r w:rsidR="00345926">
        <w:t xml:space="preserve"> indicated to stakeholders that the </w:t>
      </w:r>
      <w:r w:rsidR="00345926" w:rsidRPr="00F7391F">
        <w:t>OECD/G20 Inclusive Framework</w:t>
      </w:r>
      <w:r w:rsidR="00345926">
        <w:t xml:space="preserve"> Pillar 2 would be </w:t>
      </w:r>
      <w:r w:rsidR="00F458D7">
        <w:t xml:space="preserve">a </w:t>
      </w:r>
      <w:r w:rsidR="000967E5">
        <w:t xml:space="preserve">key </w:t>
      </w:r>
      <w:r w:rsidR="00F458D7">
        <w:t>consideration</w:t>
      </w:r>
      <w:r w:rsidR="00345926">
        <w:t xml:space="preserve"> in the context of </w:t>
      </w:r>
      <w:r w:rsidR="00F458D7">
        <w:t>the design of</w:t>
      </w:r>
      <w:r w:rsidR="00345926">
        <w:t xml:space="preserve"> the patent box. </w:t>
      </w:r>
    </w:p>
    <w:p w14:paraId="2CE41C40" w14:textId="3588D822" w:rsidR="00FF4B06" w:rsidRPr="00FF4B06" w:rsidRDefault="00AD6DB1" w:rsidP="008770A0">
      <w:pPr>
        <w:pStyle w:val="H2Opensans"/>
      </w:pPr>
      <w:bookmarkStart w:id="121" w:name="_Toc93487778"/>
      <w:r>
        <w:t>Patents are closely linked to innovation</w:t>
      </w:r>
      <w:bookmarkEnd w:id="121"/>
    </w:p>
    <w:p w14:paraId="21974DF4" w14:textId="1992B69F" w:rsidR="006239C2" w:rsidRDefault="006239C2" w:rsidP="006239C2">
      <w:pPr>
        <w:pStyle w:val="TextOpensans"/>
      </w:pPr>
      <w:r>
        <w:t>IP is knowledge owned as an intangible asset. Australia has six different categories of legally enforceable IP:</w:t>
      </w:r>
    </w:p>
    <w:p w14:paraId="44965099" w14:textId="0D394EB2" w:rsidR="006239C2" w:rsidRDefault="006239C2" w:rsidP="00766C44">
      <w:pPr>
        <w:pStyle w:val="TextOpensans"/>
        <w:numPr>
          <w:ilvl w:val="0"/>
          <w:numId w:val="22"/>
        </w:numPr>
      </w:pPr>
      <w:r>
        <w:t>Patents: protection of inventions and processes. Patents are granted by IP Australia if there is evidence of the invention or process being new, inventive and useful. Standard patents provide protection for up to 20 years.</w:t>
      </w:r>
    </w:p>
    <w:p w14:paraId="559ED7F2" w14:textId="4BAE024F" w:rsidR="006239C2" w:rsidRDefault="006239C2" w:rsidP="00766C44">
      <w:pPr>
        <w:pStyle w:val="TextOpensans"/>
        <w:numPr>
          <w:ilvl w:val="0"/>
          <w:numId w:val="22"/>
        </w:numPr>
      </w:pPr>
      <w:r>
        <w:t>Trademarks: protection of packaging and branding. Trademarks are granted by IP Australia, but no evidence is required of it being unique or new. Trademarks provide indefinite protection.</w:t>
      </w:r>
    </w:p>
    <w:p w14:paraId="49CF3B00" w14:textId="343FA8B9" w:rsidR="006239C2" w:rsidRDefault="006239C2" w:rsidP="00766C44">
      <w:pPr>
        <w:pStyle w:val="TextOpensans"/>
        <w:numPr>
          <w:ilvl w:val="0"/>
          <w:numId w:val="22"/>
        </w:numPr>
      </w:pPr>
      <w:r>
        <w:t>Registered designs: protection of the visual appearance of products. Registered designs are granted by IP Australia if there is evidence of the appearance being new and distinctive. Registered designs provide protection for up to 5 years.</w:t>
      </w:r>
    </w:p>
    <w:p w14:paraId="2E1751E8" w14:textId="09389AFA" w:rsidR="006239C2" w:rsidRDefault="006239C2" w:rsidP="00766C44">
      <w:pPr>
        <w:pStyle w:val="TextOpensans"/>
        <w:numPr>
          <w:ilvl w:val="0"/>
          <w:numId w:val="22"/>
        </w:numPr>
      </w:pPr>
      <w:r>
        <w:t>Plant breeder’s rights: protection of new plant varieties. Plant breeder’s rights are granted by IP Australia if there is evidence of the variety being a new or recently exploited. Plant breeder’s rights provide protection for up to 20 or 25 years.</w:t>
      </w:r>
    </w:p>
    <w:p w14:paraId="23F03135" w14:textId="77777777" w:rsidR="00E2077B" w:rsidRDefault="006239C2" w:rsidP="00766C44">
      <w:pPr>
        <w:pStyle w:val="TextOpensans"/>
        <w:numPr>
          <w:ilvl w:val="0"/>
          <w:numId w:val="22"/>
        </w:numPr>
      </w:pPr>
      <w:r>
        <w:t>Copyright: protection for the owner’s expression of an idea, but not the idea itself. Copyright is claimed rather than granted. The Department for Industry, Transport, Regional Development and Communications has responsibility for copyright law. Generally, copyright provides protection for up to 70 years.</w:t>
      </w:r>
    </w:p>
    <w:p w14:paraId="67C8E5CE" w14:textId="36B154A4" w:rsidR="00E2077B" w:rsidRDefault="00E2077B" w:rsidP="00766C44">
      <w:pPr>
        <w:pStyle w:val="TextOpensans"/>
        <w:numPr>
          <w:ilvl w:val="0"/>
          <w:numId w:val="22"/>
        </w:numPr>
      </w:pPr>
      <w:r>
        <w:t>Circuit layout rights: protection for integrated circuits used in computer generated equipment. Circuit layout rights are claimed rather than granted. The Department for Industry, Transport, Regional Development and Communications has responsibility for circuit layout rights law. Circuit layout rights provide protection for up to 10 years after commercial exploitation.</w:t>
      </w:r>
    </w:p>
    <w:p w14:paraId="4C08E31B" w14:textId="68FBE7A7" w:rsidR="006B142A" w:rsidRPr="006B142A" w:rsidRDefault="006B142A" w:rsidP="006B142A">
      <w:pPr>
        <w:pStyle w:val="TextOpensans"/>
        <w:ind w:left="720"/>
        <w:rPr>
          <w:i/>
          <w:iCs/>
        </w:rPr>
      </w:pPr>
      <w:r w:rsidRPr="006B142A">
        <w:rPr>
          <w:i/>
          <w:iCs/>
        </w:rPr>
        <w:t>Source: IP Australia website</w:t>
      </w:r>
    </w:p>
    <w:p w14:paraId="4F8C0830" w14:textId="053626FD" w:rsidR="0038096F" w:rsidRDefault="00A9069E" w:rsidP="00E2077B">
      <w:pPr>
        <w:pStyle w:val="TextOpensans"/>
      </w:pPr>
      <w:r>
        <w:t>A patent is a right that is granted for any device, substance, method or process that is new, inventive and useful. To be granted a standard patent</w:t>
      </w:r>
      <w:r w:rsidR="000437FB">
        <w:t>,</w:t>
      </w:r>
      <w:r>
        <w:t xml:space="preserve"> the patent holder must satisfy </w:t>
      </w:r>
      <w:r w:rsidR="00FD1439">
        <w:t>an</w:t>
      </w:r>
      <w:r w:rsidR="0083188E">
        <w:t xml:space="preserve"> </w:t>
      </w:r>
      <w:r w:rsidR="002A3829">
        <w:t xml:space="preserve">inventive </w:t>
      </w:r>
      <w:r>
        <w:t xml:space="preserve">step. </w:t>
      </w:r>
    </w:p>
    <w:p w14:paraId="09825968" w14:textId="68ACA5AC" w:rsidR="00996C03" w:rsidRDefault="00996C03" w:rsidP="00E2077B">
      <w:pPr>
        <w:pStyle w:val="TextOpensans"/>
      </w:pPr>
    </w:p>
    <w:p w14:paraId="425CAED8" w14:textId="6597802A" w:rsidR="00996C03" w:rsidRDefault="00996C03" w:rsidP="00E2077B">
      <w:pPr>
        <w:pStyle w:val="TextOpensans"/>
      </w:pPr>
    </w:p>
    <w:p w14:paraId="001CAC26" w14:textId="6704CC99" w:rsidR="00C5027B" w:rsidRDefault="00C5027B" w:rsidP="00E2077B">
      <w:pPr>
        <w:pStyle w:val="TextOpensans"/>
      </w:pPr>
    </w:p>
    <w:p w14:paraId="3E29FC86" w14:textId="77777777" w:rsidR="00C5027B" w:rsidRDefault="00C5027B" w:rsidP="00E2077B">
      <w:pPr>
        <w:pStyle w:val="TextOpensans"/>
      </w:pPr>
    </w:p>
    <w:p w14:paraId="2866D03C" w14:textId="6CBD883A" w:rsidR="003B238C" w:rsidRPr="003B238C" w:rsidRDefault="00CE500D" w:rsidP="003B238C">
      <w:pPr>
        <w:pStyle w:val="TextOpensans"/>
        <w:spacing w:after="0"/>
        <w:rPr>
          <w:b/>
          <w:bCs/>
        </w:rPr>
      </w:pPr>
      <w:r>
        <w:rPr>
          <w:b/>
          <w:bCs/>
        </w:rPr>
        <w:lastRenderedPageBreak/>
        <w:t>Extract from IP Australia</w:t>
      </w:r>
      <w:r w:rsidR="003B238C" w:rsidRPr="003B238C">
        <w:rPr>
          <w:b/>
          <w:bCs/>
        </w:rPr>
        <w:t xml:space="preserve"> patent</w:t>
      </w:r>
      <w:r w:rsidR="003B238C">
        <w:rPr>
          <w:b/>
          <w:bCs/>
        </w:rPr>
        <w:t xml:space="preserve"> application process</w:t>
      </w:r>
    </w:p>
    <w:tbl>
      <w:tblPr>
        <w:tblStyle w:val="GridTable1Light"/>
        <w:tblW w:w="9855" w:type="dxa"/>
        <w:tblLook w:val="04A0" w:firstRow="1" w:lastRow="0" w:firstColumn="1" w:lastColumn="0" w:noHBand="0" w:noVBand="1"/>
      </w:tblPr>
      <w:tblGrid>
        <w:gridCol w:w="3319"/>
        <w:gridCol w:w="6536"/>
      </w:tblGrid>
      <w:tr w:rsidR="003B238C" w14:paraId="3D4F72A4" w14:textId="77777777" w:rsidTr="00143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4F507D" w14:textId="77777777" w:rsidR="003B238C" w:rsidRDefault="003B238C">
            <w:pPr>
              <w:pStyle w:val="NormalWeb"/>
              <w:spacing w:before="0" w:beforeAutospacing="0" w:after="0" w:afterAutospacing="0"/>
              <w:rPr>
                <w:rFonts w:ascii="Arial" w:hAnsi="Arial" w:cs="Arial"/>
                <w:color w:val="333333"/>
                <w:sz w:val="24"/>
              </w:rPr>
            </w:pPr>
            <w:r>
              <w:rPr>
                <w:rFonts w:ascii="Arial" w:hAnsi="Arial" w:cs="Arial"/>
                <w:color w:val="333333"/>
              </w:rPr>
              <w:t>Your invention must:</w:t>
            </w:r>
          </w:p>
        </w:tc>
        <w:tc>
          <w:tcPr>
            <w:tcW w:w="0" w:type="auto"/>
            <w:hideMark/>
          </w:tcPr>
          <w:p w14:paraId="7CCF71D8" w14:textId="77777777" w:rsidR="003B238C" w:rsidRDefault="003B238C">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color w:val="333333"/>
              </w:rPr>
            </w:pPr>
            <w:r>
              <w:rPr>
                <w:rFonts w:ascii="Arial" w:hAnsi="Arial" w:cs="Arial"/>
                <w:color w:val="333333"/>
              </w:rPr>
              <w:t>Be new, useful and involve an </w:t>
            </w:r>
            <w:r>
              <w:rPr>
                <w:rStyle w:val="Strong"/>
                <w:rFonts w:ascii="Arial" w:hAnsi="Arial" w:cs="Arial"/>
                <w:color w:val="333333"/>
              </w:rPr>
              <w:t>inventive</w:t>
            </w:r>
            <w:r>
              <w:rPr>
                <w:rFonts w:ascii="Arial" w:hAnsi="Arial" w:cs="Arial"/>
                <w:color w:val="333333"/>
              </w:rPr>
              <w:t> step.</w:t>
            </w:r>
          </w:p>
        </w:tc>
      </w:tr>
      <w:tr w:rsidR="003B238C" w14:paraId="1655D8D2" w14:textId="77777777" w:rsidTr="00143CFB">
        <w:tc>
          <w:tcPr>
            <w:cnfStyle w:val="001000000000" w:firstRow="0" w:lastRow="0" w:firstColumn="1" w:lastColumn="0" w:oddVBand="0" w:evenVBand="0" w:oddHBand="0" w:evenHBand="0" w:firstRowFirstColumn="0" w:firstRowLastColumn="0" w:lastRowFirstColumn="0" w:lastRowLastColumn="0"/>
            <w:tcW w:w="0" w:type="auto"/>
            <w:hideMark/>
          </w:tcPr>
          <w:p w14:paraId="2BEDCB21" w14:textId="77777777" w:rsidR="003B238C" w:rsidRDefault="003B238C">
            <w:pPr>
              <w:pStyle w:val="NormalWeb"/>
              <w:spacing w:before="0" w:beforeAutospacing="0" w:after="0" w:afterAutospacing="0"/>
              <w:rPr>
                <w:rFonts w:ascii="Arial" w:hAnsi="Arial" w:cs="Arial"/>
                <w:color w:val="333333"/>
              </w:rPr>
            </w:pPr>
            <w:r>
              <w:rPr>
                <w:rFonts w:ascii="Arial" w:hAnsi="Arial" w:cs="Arial"/>
                <w:color w:val="333333"/>
              </w:rPr>
              <w:t>The application should include:</w:t>
            </w:r>
          </w:p>
        </w:tc>
        <w:tc>
          <w:tcPr>
            <w:tcW w:w="0" w:type="auto"/>
            <w:hideMark/>
          </w:tcPr>
          <w:p w14:paraId="5C968AC0" w14:textId="77777777" w:rsidR="003B238C" w:rsidRDefault="003B238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333333"/>
              </w:rPr>
            </w:pPr>
            <w:r>
              <w:rPr>
                <w:rFonts w:ascii="Arial" w:hAnsi="Arial" w:cs="Arial"/>
                <w:color w:val="333333"/>
              </w:rPr>
              <w:t>A title, description, any number of claims, drawings (if applicable), an abstract and forms.</w:t>
            </w:r>
          </w:p>
        </w:tc>
      </w:tr>
      <w:tr w:rsidR="003B238C" w14:paraId="66F61A7B" w14:textId="77777777" w:rsidTr="00143CFB">
        <w:tc>
          <w:tcPr>
            <w:cnfStyle w:val="001000000000" w:firstRow="0" w:lastRow="0" w:firstColumn="1" w:lastColumn="0" w:oddVBand="0" w:evenVBand="0" w:oddHBand="0" w:evenHBand="0" w:firstRowFirstColumn="0" w:firstRowLastColumn="0" w:lastRowFirstColumn="0" w:lastRowLastColumn="0"/>
            <w:tcW w:w="0" w:type="auto"/>
            <w:hideMark/>
          </w:tcPr>
          <w:p w14:paraId="766BA76F" w14:textId="77777777" w:rsidR="003B238C" w:rsidRDefault="003B238C">
            <w:pPr>
              <w:pStyle w:val="NormalWeb"/>
              <w:spacing w:before="0" w:beforeAutospacing="0" w:after="0" w:afterAutospacing="0"/>
              <w:rPr>
                <w:rFonts w:ascii="Arial" w:hAnsi="Arial" w:cs="Arial"/>
                <w:color w:val="333333"/>
              </w:rPr>
            </w:pPr>
            <w:r>
              <w:rPr>
                <w:rFonts w:ascii="Arial" w:hAnsi="Arial" w:cs="Arial"/>
                <w:color w:val="333333"/>
              </w:rPr>
              <w:t>A patent is granted if:</w:t>
            </w:r>
          </w:p>
        </w:tc>
        <w:tc>
          <w:tcPr>
            <w:tcW w:w="0" w:type="auto"/>
            <w:hideMark/>
          </w:tcPr>
          <w:p w14:paraId="1B03418A" w14:textId="77777777" w:rsidR="003B238C" w:rsidRDefault="003B238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333333"/>
              </w:rPr>
            </w:pPr>
            <w:r>
              <w:rPr>
                <w:rFonts w:ascii="Arial" w:hAnsi="Arial" w:cs="Arial"/>
                <w:color w:val="333333"/>
              </w:rPr>
              <w:t>The application is examined and found to satisfy the relevant requirements of the </w:t>
            </w:r>
            <w:r>
              <w:rPr>
                <w:rStyle w:val="Emphasis"/>
                <w:rFonts w:ascii="Arial" w:hAnsi="Arial" w:cs="Arial"/>
                <w:color w:val="333333"/>
              </w:rPr>
              <w:t>Patents Act 1990</w:t>
            </w:r>
            <w:r>
              <w:rPr>
                <w:rFonts w:ascii="Arial" w:hAnsi="Arial" w:cs="Arial"/>
                <w:color w:val="333333"/>
              </w:rPr>
              <w:t>.</w:t>
            </w:r>
          </w:p>
        </w:tc>
      </w:tr>
      <w:tr w:rsidR="003B238C" w14:paraId="7D5DA013" w14:textId="77777777" w:rsidTr="00143CFB">
        <w:tc>
          <w:tcPr>
            <w:cnfStyle w:val="001000000000" w:firstRow="0" w:lastRow="0" w:firstColumn="1" w:lastColumn="0" w:oddVBand="0" w:evenVBand="0" w:oddHBand="0" w:evenHBand="0" w:firstRowFirstColumn="0" w:firstRowLastColumn="0" w:lastRowFirstColumn="0" w:lastRowLastColumn="0"/>
            <w:tcW w:w="0" w:type="auto"/>
            <w:hideMark/>
          </w:tcPr>
          <w:p w14:paraId="0A62C83D" w14:textId="77777777" w:rsidR="003B238C" w:rsidRDefault="003B238C">
            <w:pPr>
              <w:pStyle w:val="NormalWeb"/>
              <w:spacing w:before="0" w:beforeAutospacing="0" w:after="0" w:afterAutospacing="0"/>
              <w:rPr>
                <w:rFonts w:ascii="Arial" w:hAnsi="Arial" w:cs="Arial"/>
                <w:color w:val="333333"/>
              </w:rPr>
            </w:pPr>
            <w:r>
              <w:rPr>
                <w:rFonts w:ascii="Arial" w:hAnsi="Arial" w:cs="Arial"/>
                <w:color w:val="333333"/>
              </w:rPr>
              <w:t>Examination:</w:t>
            </w:r>
          </w:p>
        </w:tc>
        <w:tc>
          <w:tcPr>
            <w:tcW w:w="0" w:type="auto"/>
            <w:hideMark/>
          </w:tcPr>
          <w:p w14:paraId="0AA880B0" w14:textId="77777777" w:rsidR="003B238C" w:rsidRDefault="003B238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333333"/>
              </w:rPr>
            </w:pPr>
            <w:r>
              <w:rPr>
                <w:rFonts w:ascii="Arial" w:hAnsi="Arial" w:cs="Arial"/>
                <w:color w:val="333333"/>
              </w:rPr>
              <w:t>Mandatory. The relevant requirements of the </w:t>
            </w:r>
            <w:r>
              <w:rPr>
                <w:rStyle w:val="Emphasis"/>
                <w:rFonts w:ascii="Arial" w:hAnsi="Arial" w:cs="Arial"/>
                <w:color w:val="333333"/>
              </w:rPr>
              <w:t>Patents Act 1990</w:t>
            </w:r>
            <w:r>
              <w:rPr>
                <w:rFonts w:ascii="Arial" w:hAnsi="Arial" w:cs="Arial"/>
                <w:color w:val="333333"/>
              </w:rPr>
              <w:t> must be met before a patent is granted. Can only be requested by the applicant.</w:t>
            </w:r>
          </w:p>
        </w:tc>
      </w:tr>
      <w:tr w:rsidR="003B238C" w14:paraId="09EDBED0" w14:textId="77777777" w:rsidTr="00143CFB">
        <w:tc>
          <w:tcPr>
            <w:cnfStyle w:val="001000000000" w:firstRow="0" w:lastRow="0" w:firstColumn="1" w:lastColumn="0" w:oddVBand="0" w:evenVBand="0" w:oddHBand="0" w:evenHBand="0" w:firstRowFirstColumn="0" w:firstRowLastColumn="0" w:lastRowFirstColumn="0" w:lastRowLastColumn="0"/>
            <w:tcW w:w="0" w:type="auto"/>
            <w:hideMark/>
          </w:tcPr>
          <w:p w14:paraId="0BD2E554" w14:textId="77777777" w:rsidR="003B238C" w:rsidRDefault="003B238C">
            <w:pPr>
              <w:pStyle w:val="NormalWeb"/>
              <w:spacing w:before="0" w:beforeAutospacing="0" w:after="0" w:afterAutospacing="0"/>
              <w:rPr>
                <w:rFonts w:ascii="Arial" w:hAnsi="Arial" w:cs="Arial"/>
                <w:color w:val="333333"/>
              </w:rPr>
            </w:pPr>
            <w:r>
              <w:rPr>
                <w:rFonts w:ascii="Arial" w:hAnsi="Arial" w:cs="Arial"/>
                <w:color w:val="333333"/>
              </w:rPr>
              <w:t>Publication in the </w:t>
            </w:r>
            <w:r>
              <w:rPr>
                <w:rStyle w:val="Emphasis"/>
                <w:rFonts w:ascii="Arial" w:hAnsi="Arial" w:cs="Arial"/>
                <w:color w:val="333333"/>
              </w:rPr>
              <w:t>Australian Official Journal of Patents</w:t>
            </w:r>
            <w:r>
              <w:rPr>
                <w:rFonts w:ascii="Arial" w:hAnsi="Arial" w:cs="Arial"/>
                <w:color w:val="333333"/>
              </w:rPr>
              <w:t>:</w:t>
            </w:r>
          </w:p>
        </w:tc>
        <w:tc>
          <w:tcPr>
            <w:tcW w:w="0" w:type="auto"/>
            <w:hideMark/>
          </w:tcPr>
          <w:p w14:paraId="34B474B3" w14:textId="77777777" w:rsidR="003B238C" w:rsidRDefault="003B238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333333"/>
              </w:rPr>
            </w:pPr>
            <w:r>
              <w:rPr>
                <w:rFonts w:ascii="Arial" w:hAnsi="Arial" w:cs="Arial"/>
                <w:color w:val="333333"/>
              </w:rPr>
              <w:t>18 months from earliest priority date and again at acceptance.</w:t>
            </w:r>
          </w:p>
        </w:tc>
      </w:tr>
      <w:tr w:rsidR="003B238C" w14:paraId="47223F12" w14:textId="77777777" w:rsidTr="00143CFB">
        <w:tc>
          <w:tcPr>
            <w:cnfStyle w:val="001000000000" w:firstRow="0" w:lastRow="0" w:firstColumn="1" w:lastColumn="0" w:oddVBand="0" w:evenVBand="0" w:oddHBand="0" w:evenHBand="0" w:firstRowFirstColumn="0" w:firstRowLastColumn="0" w:lastRowFirstColumn="0" w:lastRowLastColumn="0"/>
            <w:tcW w:w="0" w:type="auto"/>
            <w:hideMark/>
          </w:tcPr>
          <w:p w14:paraId="00BDE57E" w14:textId="77777777" w:rsidR="003B238C" w:rsidRDefault="003B238C">
            <w:pPr>
              <w:pStyle w:val="NormalWeb"/>
              <w:spacing w:before="0" w:beforeAutospacing="0" w:after="0" w:afterAutospacing="0"/>
              <w:rPr>
                <w:rFonts w:ascii="Arial" w:hAnsi="Arial" w:cs="Arial"/>
                <w:color w:val="333333"/>
              </w:rPr>
            </w:pPr>
            <w:r>
              <w:rPr>
                <w:rFonts w:ascii="Arial" w:hAnsi="Arial" w:cs="Arial"/>
                <w:color w:val="333333"/>
              </w:rPr>
              <w:t>Protection period:</w:t>
            </w:r>
          </w:p>
        </w:tc>
        <w:tc>
          <w:tcPr>
            <w:tcW w:w="0" w:type="auto"/>
            <w:hideMark/>
          </w:tcPr>
          <w:p w14:paraId="1019C188" w14:textId="77777777" w:rsidR="003B238C" w:rsidRDefault="003B238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333333"/>
              </w:rPr>
            </w:pPr>
            <w:r>
              <w:rPr>
                <w:rFonts w:ascii="Arial" w:hAnsi="Arial" w:cs="Arial"/>
                <w:color w:val="333333"/>
              </w:rPr>
              <w:t>Up to 20 years if annual fees are paid (or up to 25 years for pharmaceuticals).</w:t>
            </w:r>
          </w:p>
        </w:tc>
      </w:tr>
      <w:tr w:rsidR="003B238C" w14:paraId="09C4F6FC" w14:textId="77777777" w:rsidTr="00143CFB">
        <w:tc>
          <w:tcPr>
            <w:cnfStyle w:val="001000000000" w:firstRow="0" w:lastRow="0" w:firstColumn="1" w:lastColumn="0" w:oddVBand="0" w:evenVBand="0" w:oddHBand="0" w:evenHBand="0" w:firstRowFirstColumn="0" w:firstRowLastColumn="0" w:lastRowFirstColumn="0" w:lastRowLastColumn="0"/>
            <w:tcW w:w="0" w:type="auto"/>
            <w:hideMark/>
          </w:tcPr>
          <w:p w14:paraId="07DA7184" w14:textId="77777777" w:rsidR="003B238C" w:rsidRDefault="003B238C">
            <w:pPr>
              <w:pStyle w:val="NormalWeb"/>
              <w:spacing w:before="0" w:beforeAutospacing="0" w:after="0" w:afterAutospacing="0"/>
              <w:rPr>
                <w:rFonts w:ascii="Arial" w:hAnsi="Arial" w:cs="Arial"/>
                <w:color w:val="333333"/>
              </w:rPr>
            </w:pPr>
            <w:r>
              <w:rPr>
                <w:rFonts w:ascii="Arial" w:hAnsi="Arial" w:cs="Arial"/>
                <w:color w:val="333333"/>
              </w:rPr>
              <w:t>How long does the process take?</w:t>
            </w:r>
          </w:p>
        </w:tc>
        <w:tc>
          <w:tcPr>
            <w:tcW w:w="0" w:type="auto"/>
            <w:hideMark/>
          </w:tcPr>
          <w:p w14:paraId="62419A2F" w14:textId="77777777" w:rsidR="003B238C" w:rsidRDefault="003B238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333333"/>
              </w:rPr>
            </w:pPr>
            <w:r>
              <w:rPr>
                <w:rFonts w:ascii="Arial" w:hAnsi="Arial" w:cs="Arial"/>
                <w:color w:val="333333"/>
              </w:rPr>
              <w:t>Six months to several years depending on circumstances.</w:t>
            </w:r>
          </w:p>
        </w:tc>
      </w:tr>
    </w:tbl>
    <w:p w14:paraId="1F4DA496" w14:textId="1C7FE737" w:rsidR="003B238C" w:rsidRPr="00E856CB" w:rsidRDefault="00E856CB" w:rsidP="00E2077B">
      <w:pPr>
        <w:pStyle w:val="TextOpensans"/>
        <w:rPr>
          <w:i/>
          <w:iCs/>
        </w:rPr>
      </w:pPr>
      <w:r>
        <w:rPr>
          <w:i/>
          <w:iCs/>
        </w:rPr>
        <w:t xml:space="preserve">Source: </w:t>
      </w:r>
      <w:r w:rsidRPr="00E856CB">
        <w:rPr>
          <w:i/>
          <w:iCs/>
        </w:rPr>
        <w:t>IP Australia website</w:t>
      </w:r>
    </w:p>
    <w:p w14:paraId="3B966924" w14:textId="7E41159B" w:rsidR="00E91BDB" w:rsidRDefault="00DF3FC2" w:rsidP="005C58D0">
      <w:pPr>
        <w:pStyle w:val="TextOpensans"/>
      </w:pPr>
      <w:r>
        <w:t xml:space="preserve">The other forms of IP do not require the applicant to demonstrate an inventive step, as is required for patents. </w:t>
      </w:r>
      <w:r w:rsidR="00821676">
        <w:t>Thus, while some of the previously discussed problems may apply to other forms of IP, the effect of not having a patent box on R&amp;D investment will most acutely be felt by patent</w:t>
      </w:r>
      <w:r w:rsidR="00550D73">
        <w:t xml:space="preserve"> holders</w:t>
      </w:r>
      <w:r w:rsidR="00821676">
        <w:t>.</w:t>
      </w:r>
    </w:p>
    <w:p w14:paraId="68BCF0C3" w14:textId="6BA3A653" w:rsidR="00DF3FC2" w:rsidRPr="00FF4B06" w:rsidRDefault="00DF3FC2" w:rsidP="00DF3FC2">
      <w:pPr>
        <w:pStyle w:val="H2Opensans"/>
      </w:pPr>
      <w:bookmarkStart w:id="122" w:name="_Toc93487779"/>
      <w:r>
        <w:t>Overall Problem</w:t>
      </w:r>
      <w:bookmarkEnd w:id="122"/>
    </w:p>
    <w:p w14:paraId="2008A006" w14:textId="21E6C868" w:rsidR="00C27459" w:rsidRPr="009976BF" w:rsidRDefault="005831A7" w:rsidP="005C58D0">
      <w:pPr>
        <w:pStyle w:val="TextOpensans"/>
      </w:pPr>
      <w:r>
        <w:t xml:space="preserve">Due to the proliferation of patent boxes in other jurisdictions, </w:t>
      </w:r>
      <w:r w:rsidR="00297063" w:rsidRPr="009976BF">
        <w:t>A</w:t>
      </w:r>
      <w:r w:rsidR="00297063">
        <w:t>ustralia’s high corporate tax rate has become a</w:t>
      </w:r>
      <w:r w:rsidR="00D43B02">
        <w:t xml:space="preserve"> particular</w:t>
      </w:r>
      <w:r w:rsidR="00297063">
        <w:t xml:space="preserve"> problem in relation to the taxation of IP income</w:t>
      </w:r>
      <w:r>
        <w:t xml:space="preserve">. Not introducing a patent box in Australia has </w:t>
      </w:r>
      <w:r w:rsidR="00A763BE">
        <w:t>impacted decisions</w:t>
      </w:r>
      <w:r>
        <w:t xml:space="preserve"> in the medical and biotechnology sector</w:t>
      </w:r>
      <w:r w:rsidR="005522A7">
        <w:t xml:space="preserve">, both in terms of reduced R&amp;D investment and the offshoring of Australian innovations before commercialisation. The introduction of a global minimum tax will reduce, but not </w:t>
      </w:r>
      <w:r w:rsidR="00023278">
        <w:t>eliminate</w:t>
      </w:r>
      <w:r w:rsidR="005522A7">
        <w:t xml:space="preserve">, </w:t>
      </w:r>
      <w:r w:rsidR="00475382">
        <w:t>this</w:t>
      </w:r>
      <w:r w:rsidR="005522A7">
        <w:t xml:space="preserve"> problem, which is </w:t>
      </w:r>
      <w:r w:rsidR="00475382">
        <w:t>most</w:t>
      </w:r>
      <w:r w:rsidR="005522A7">
        <w:t xml:space="preserve"> </w:t>
      </w:r>
      <w:r w:rsidR="003A0D17">
        <w:t xml:space="preserve">pertinent for patents </w:t>
      </w:r>
      <w:r w:rsidR="00475382">
        <w:t xml:space="preserve">rather </w:t>
      </w:r>
      <w:r w:rsidR="003A0D17">
        <w:t>than other forms of IP.</w:t>
      </w:r>
    </w:p>
    <w:p w14:paraId="0B05180E" w14:textId="5D7886BC" w:rsidR="00DF3FC2" w:rsidRDefault="00DF3FC2" w:rsidP="005C58D0">
      <w:pPr>
        <w:pStyle w:val="TextOpensans"/>
        <w:rPr>
          <w:b/>
          <w:bCs/>
        </w:rPr>
      </w:pPr>
    </w:p>
    <w:p w14:paraId="73D5B63B" w14:textId="77777777" w:rsidR="00DF3FC2" w:rsidRPr="00E91BDB" w:rsidRDefault="00DF3FC2" w:rsidP="005C58D0">
      <w:pPr>
        <w:pStyle w:val="TextOpensans"/>
        <w:rPr>
          <w:b/>
          <w:bCs/>
        </w:rPr>
      </w:pPr>
    </w:p>
    <w:p w14:paraId="0967810C" w14:textId="77777777" w:rsidR="001B17E8" w:rsidRDefault="001B17E8">
      <w:pPr>
        <w:rPr>
          <w:rFonts w:ascii="Open Sans" w:eastAsiaTheme="majorEastAsia" w:hAnsi="Open Sans" w:cs="Open Sans"/>
          <w:b/>
          <w:bCs/>
          <w:smallCaps/>
          <w:color w:val="00818F" w:themeColor="accent5"/>
          <w:sz w:val="32"/>
          <w:szCs w:val="28"/>
        </w:rPr>
      </w:pPr>
      <w:r>
        <w:br w:type="page"/>
      </w:r>
    </w:p>
    <w:p w14:paraId="32344F41" w14:textId="2DA3033E" w:rsidR="005917F0" w:rsidRPr="00D74952" w:rsidRDefault="005917F0" w:rsidP="005917F0">
      <w:pPr>
        <w:pStyle w:val="H1Opensans"/>
      </w:pPr>
      <w:bookmarkStart w:id="123" w:name="_Toc93487780"/>
      <w:bookmarkStart w:id="124" w:name="_Toc82428766"/>
      <w:bookmarkStart w:id="125" w:name="_Toc91078460"/>
      <w:r w:rsidRPr="00D74952">
        <w:lastRenderedPageBreak/>
        <w:t>Options and Impacts</w:t>
      </w:r>
      <w:bookmarkEnd w:id="123"/>
    </w:p>
    <w:tbl>
      <w:tblPr>
        <w:tblStyle w:val="TableGrid"/>
        <w:tblW w:w="0" w:type="auto"/>
        <w:tblLook w:val="04A0" w:firstRow="1" w:lastRow="0" w:firstColumn="1" w:lastColumn="0" w:noHBand="0" w:noVBand="1"/>
      </w:tblPr>
      <w:tblGrid>
        <w:gridCol w:w="9288"/>
      </w:tblGrid>
      <w:tr w:rsidR="005917F0" w:rsidRPr="00D74952" w14:paraId="454D8AE5" w14:textId="77777777" w:rsidTr="005A42F5">
        <w:tc>
          <w:tcPr>
            <w:tcW w:w="9288" w:type="dxa"/>
          </w:tcPr>
          <w:p w14:paraId="1BD13E3E" w14:textId="61C0239C" w:rsidR="005917F0" w:rsidRPr="00D74952" w:rsidRDefault="005917F0" w:rsidP="005A42F5">
            <w:pPr>
              <w:pStyle w:val="TextOpensans"/>
              <w:rPr>
                <w:sz w:val="22"/>
                <w:szCs w:val="22"/>
              </w:rPr>
            </w:pPr>
            <w:r w:rsidRPr="00D74952">
              <w:rPr>
                <w:sz w:val="22"/>
                <w:szCs w:val="22"/>
              </w:rPr>
              <w:t xml:space="preserve">Policy options and </w:t>
            </w:r>
            <w:r w:rsidR="00DB4BEE">
              <w:rPr>
                <w:sz w:val="22"/>
                <w:szCs w:val="22"/>
              </w:rPr>
              <w:t xml:space="preserve">their </w:t>
            </w:r>
            <w:r w:rsidRPr="00D74952">
              <w:rPr>
                <w:sz w:val="22"/>
                <w:szCs w:val="22"/>
              </w:rPr>
              <w:t xml:space="preserve">impacts have been included in this section. Following a description of each policy option, the </w:t>
            </w:r>
            <w:r w:rsidR="00DB4BEE">
              <w:rPr>
                <w:sz w:val="22"/>
                <w:szCs w:val="22"/>
              </w:rPr>
              <w:t>trade</w:t>
            </w:r>
            <w:r w:rsidR="00550D73">
              <w:rPr>
                <w:sz w:val="22"/>
                <w:szCs w:val="22"/>
              </w:rPr>
              <w:t>-</w:t>
            </w:r>
            <w:r w:rsidR="00DB4BEE">
              <w:rPr>
                <w:sz w:val="22"/>
                <w:szCs w:val="22"/>
              </w:rPr>
              <w:t>offs</w:t>
            </w:r>
            <w:r w:rsidRPr="00D74952">
              <w:rPr>
                <w:sz w:val="22"/>
                <w:szCs w:val="22"/>
              </w:rPr>
              <w:t xml:space="preserve"> of each option and an overall assessment of the net-benefit is included</w:t>
            </w:r>
            <w:r w:rsidR="006F444D">
              <w:rPr>
                <w:sz w:val="22"/>
                <w:szCs w:val="22"/>
              </w:rPr>
              <w:t xml:space="preserve"> the Recommendation section</w:t>
            </w:r>
            <w:r w:rsidRPr="00D74952">
              <w:rPr>
                <w:sz w:val="22"/>
                <w:szCs w:val="22"/>
              </w:rPr>
              <w:t xml:space="preserve">. </w:t>
            </w:r>
          </w:p>
        </w:tc>
      </w:tr>
    </w:tbl>
    <w:p w14:paraId="42B56F83" w14:textId="77777777" w:rsidR="00DF690D" w:rsidRDefault="00DF690D" w:rsidP="005917F0">
      <w:pPr>
        <w:pStyle w:val="TextOpensans"/>
      </w:pPr>
    </w:p>
    <w:p w14:paraId="17733ED1" w14:textId="0FC8B28E" w:rsidR="005917F0" w:rsidRDefault="005917F0" w:rsidP="009976BF">
      <w:pPr>
        <w:pStyle w:val="TextOpensans"/>
        <w:tabs>
          <w:tab w:val="left" w:pos="3686"/>
        </w:tabs>
      </w:pPr>
      <w:r w:rsidRPr="00D74952">
        <w:t xml:space="preserve">There are several options the Government </w:t>
      </w:r>
      <w:r w:rsidR="00A249AB">
        <w:t>could pursue to</w:t>
      </w:r>
      <w:r w:rsidRPr="00D74952">
        <w:t xml:space="preserve"> address the problems raised</w:t>
      </w:r>
      <w:r w:rsidR="00A249AB">
        <w:t xml:space="preserve">, within the context of the Government’s intention to consult on and design a </w:t>
      </w:r>
      <w:r w:rsidRPr="00D74952">
        <w:t>targeted patent box regime.</w:t>
      </w:r>
      <w:r w:rsidR="00CE1716">
        <w:t xml:space="preserve"> Option 1 is to </w:t>
      </w:r>
      <w:r w:rsidR="00CE1716">
        <w:rPr>
          <w:i/>
          <w:iCs/>
        </w:rPr>
        <w:t>not</w:t>
      </w:r>
      <w:r w:rsidR="00CE1716">
        <w:t xml:space="preserve"> introduce a patent box, </w:t>
      </w:r>
      <w:r w:rsidR="00550D73">
        <w:t xml:space="preserve">that is, retain </w:t>
      </w:r>
      <w:r w:rsidR="00CE1716">
        <w:t xml:space="preserve">the status quo. Option 2 is to introduce a patent box consistent with the Government’s proposed specifications as announced at the 2021-22 Budget and further details as informed by consultation. Option 3 is to introduce a modified patent box, reflecting feedback from stakeholders on the initial proposed design. </w:t>
      </w:r>
    </w:p>
    <w:p w14:paraId="5369492B" w14:textId="2176BC24" w:rsidR="00163314" w:rsidRPr="00D74952" w:rsidRDefault="00163314" w:rsidP="005917F0">
      <w:pPr>
        <w:pStyle w:val="TextOpensans"/>
      </w:pPr>
      <w:r>
        <w:t xml:space="preserve">Other non-tax options exist, such as </w:t>
      </w:r>
      <w:r w:rsidRPr="00D74952">
        <w:t xml:space="preserve">providing grants </w:t>
      </w:r>
      <w:r w:rsidR="00CE1716">
        <w:t xml:space="preserve">or </w:t>
      </w:r>
      <w:r>
        <w:t xml:space="preserve">other </w:t>
      </w:r>
      <w:r w:rsidRPr="00D74952">
        <w:t>direct forms of funding</w:t>
      </w:r>
      <w:r>
        <w:t xml:space="preserve"> to incentivise the retention and development of IP within Australia</w:t>
      </w:r>
      <w:r w:rsidRPr="00D74952">
        <w:t>.</w:t>
      </w:r>
      <w:r>
        <w:t xml:space="preserve"> These options would not address Australia’s tax competitiveness as outlined in the problem definition. </w:t>
      </w:r>
      <w:r w:rsidR="00B84EE8">
        <w:t>While there are advantages and disadvantages of using the tax system to incentivise innovation, t</w:t>
      </w:r>
      <w:r>
        <w:t xml:space="preserve">he tax system has an advantage over Government spending options in that </w:t>
      </w:r>
      <w:r w:rsidR="00FE4A51">
        <w:t>taxpayers</w:t>
      </w:r>
      <w:r>
        <w:t xml:space="preserve"> can self-assess </w:t>
      </w:r>
      <w:r w:rsidR="00F02077">
        <w:t xml:space="preserve">their eligibility (subject to the usual ATO audit process) and would not be subject to Government decisions on the eligibility of each unique investment. </w:t>
      </w:r>
    </w:p>
    <w:p w14:paraId="3B3DA241" w14:textId="631C80A6" w:rsidR="005917F0" w:rsidRPr="00D74952" w:rsidRDefault="005917F0" w:rsidP="005917F0">
      <w:pPr>
        <w:pStyle w:val="TextOpensans"/>
      </w:pPr>
      <w:r w:rsidRPr="00D74952">
        <w:t>To inform its policy design of the patent box, the Government carried out</w:t>
      </w:r>
      <w:r w:rsidR="00E11E01">
        <w:t xml:space="preserve"> a</w:t>
      </w:r>
      <w:r w:rsidRPr="00D74952">
        <w:t xml:space="preserve"> </w:t>
      </w:r>
      <w:proofErr w:type="gramStart"/>
      <w:r w:rsidR="00E11E01">
        <w:t>6 week</w:t>
      </w:r>
      <w:proofErr w:type="gramEnd"/>
      <w:r w:rsidRPr="00D74952">
        <w:t xml:space="preserve"> public consultation as well as </w:t>
      </w:r>
      <w:r w:rsidR="00A277A4">
        <w:t xml:space="preserve">two </w:t>
      </w:r>
      <w:r w:rsidRPr="00D74952">
        <w:t>targeted confidential consultations with stakeholders</w:t>
      </w:r>
      <w:r w:rsidR="005143DA">
        <w:t xml:space="preserve"> (see </w:t>
      </w:r>
      <w:r w:rsidR="00A277A4">
        <w:t xml:space="preserve">Section 4 </w:t>
      </w:r>
      <w:r w:rsidR="005143DA">
        <w:t>Consultation)</w:t>
      </w:r>
      <w:r w:rsidRPr="00D74952">
        <w:t xml:space="preserve">. </w:t>
      </w:r>
      <w:r w:rsidR="00E11E01">
        <w:t>This</w:t>
      </w:r>
      <w:r w:rsidRPr="00D74952">
        <w:t xml:space="preserve"> informed the different policy options described below. </w:t>
      </w:r>
    </w:p>
    <w:p w14:paraId="2FCF3466" w14:textId="057B9EE3" w:rsidR="005917F0" w:rsidRPr="00D74952" w:rsidRDefault="005917F0" w:rsidP="005917F0">
      <w:pPr>
        <w:pStyle w:val="H2Opensans"/>
      </w:pPr>
      <w:bookmarkStart w:id="126" w:name="_Toc93487781"/>
      <w:r w:rsidRPr="00D74952">
        <w:t>Retain the status quo</w:t>
      </w:r>
      <w:r w:rsidR="0043277C">
        <w:t xml:space="preserve"> – no patent box</w:t>
      </w:r>
      <w:r w:rsidRPr="00D74952">
        <w:t xml:space="preserve"> (Option 1)</w:t>
      </w:r>
      <w:bookmarkEnd w:id="126"/>
    </w:p>
    <w:p w14:paraId="3B19FA75" w14:textId="5442EE1B" w:rsidR="005917F0" w:rsidRPr="00D74952" w:rsidRDefault="005917F0" w:rsidP="005917F0">
      <w:pPr>
        <w:pStyle w:val="TextOpensans"/>
      </w:pPr>
      <w:r w:rsidRPr="00D74952">
        <w:t xml:space="preserve">The Government has the option of not introducing any new </w:t>
      </w:r>
      <w:r w:rsidR="00CE1716">
        <w:t xml:space="preserve">measures </w:t>
      </w:r>
      <w:r w:rsidRPr="00D74952">
        <w:t xml:space="preserve">to </w:t>
      </w:r>
      <w:r w:rsidR="00DD41A2">
        <w:t xml:space="preserve">make the taxation of IP income in the medical and biotechnology sector more competitive.  </w:t>
      </w:r>
    </w:p>
    <w:p w14:paraId="4341DF8C" w14:textId="0C8BF0A0" w:rsidR="00D62E92" w:rsidRPr="00D74952" w:rsidRDefault="00CE1716" w:rsidP="005917F0">
      <w:pPr>
        <w:pStyle w:val="TextOpensans"/>
      </w:pPr>
      <w:r>
        <w:t>As</w:t>
      </w:r>
      <w:r w:rsidR="0096737B">
        <w:t xml:space="preserve"> </w:t>
      </w:r>
      <w:r w:rsidR="00D62E92">
        <w:t>detailed</w:t>
      </w:r>
      <w:r w:rsidR="0096737B">
        <w:t xml:space="preserve"> in </w:t>
      </w:r>
      <w:r w:rsidR="00DD41A2">
        <w:t xml:space="preserve">the </w:t>
      </w:r>
      <w:r w:rsidR="00315D0E">
        <w:t xml:space="preserve">previous </w:t>
      </w:r>
      <w:r w:rsidR="0094564F">
        <w:t>section</w:t>
      </w:r>
      <w:r w:rsidR="0096737B">
        <w:t xml:space="preserve">, this </w:t>
      </w:r>
      <w:r w:rsidR="00315D0E">
        <w:t>would</w:t>
      </w:r>
      <w:r w:rsidR="00661E1B">
        <w:t xml:space="preserve"> continue to affect marginal decisions about the location of investment, contributing to </w:t>
      </w:r>
      <w:r w:rsidR="0094564F">
        <w:t xml:space="preserve">IP offshoring and diminished </w:t>
      </w:r>
      <w:r w:rsidR="00315D0E">
        <w:t>R&amp;D</w:t>
      </w:r>
      <w:r w:rsidR="00315D0E" w:rsidDel="00661E1B">
        <w:t xml:space="preserve"> </w:t>
      </w:r>
      <w:r w:rsidR="00B151CA">
        <w:t xml:space="preserve">in the </w:t>
      </w:r>
      <w:r w:rsidR="00D678E7">
        <w:t xml:space="preserve">Australian </w:t>
      </w:r>
      <w:r w:rsidR="00B151CA">
        <w:t>medical and biotechnology sector</w:t>
      </w:r>
      <w:r w:rsidR="00315D0E">
        <w:t xml:space="preserve">. </w:t>
      </w:r>
      <w:r w:rsidR="007174F7">
        <w:t>This</w:t>
      </w:r>
      <w:r w:rsidR="00661E1B">
        <w:t xml:space="preserve"> would</w:t>
      </w:r>
      <w:r w:rsidR="007174F7">
        <w:t xml:space="preserve"> </w:t>
      </w:r>
      <w:r w:rsidR="00E872C7">
        <w:t xml:space="preserve">impact </w:t>
      </w:r>
      <w:r w:rsidR="007174F7" w:rsidDel="007E2B63">
        <w:t>the effectiveness</w:t>
      </w:r>
      <w:r w:rsidR="007174F7" w:rsidDel="00432BF8">
        <w:t xml:space="preserve"> of</w:t>
      </w:r>
      <w:r w:rsidR="007174F7">
        <w:t xml:space="preserve"> existing government programmes supporting R&amp;D</w:t>
      </w:r>
      <w:r w:rsidR="00315D0E">
        <w:t xml:space="preserve">. </w:t>
      </w:r>
      <w:r w:rsidR="00B151CA">
        <w:t>In the long-term,</w:t>
      </w:r>
      <w:r w:rsidR="00B151CA" w:rsidDel="00661E1B">
        <w:t xml:space="preserve"> </w:t>
      </w:r>
      <w:r w:rsidR="00661E1B">
        <w:t xml:space="preserve">this </w:t>
      </w:r>
      <w:r w:rsidR="00B151CA">
        <w:t xml:space="preserve">could </w:t>
      </w:r>
      <w:r w:rsidR="00F375F3">
        <w:t xml:space="preserve">potentially </w:t>
      </w:r>
      <w:r w:rsidR="00B151CA">
        <w:t xml:space="preserve">lead </w:t>
      </w:r>
      <w:r w:rsidR="00F375F3">
        <w:t>to a reduction in the Australian</w:t>
      </w:r>
      <w:r w:rsidR="00B151CA">
        <w:t xml:space="preserve"> me</w:t>
      </w:r>
      <w:r w:rsidR="00F375F3">
        <w:t>dical and biotechnology sector’s global significance, and the sustained loss of tax revenue</w:t>
      </w:r>
      <w:r w:rsidR="00DD41A2">
        <w:t>, economic activity, and skilled jobs</w:t>
      </w:r>
      <w:r w:rsidR="00F375F3">
        <w:t xml:space="preserve">. </w:t>
      </w:r>
      <w:r w:rsidR="00925A5E">
        <w:t xml:space="preserve">There is no evidence, however, that this will </w:t>
      </w:r>
      <w:r w:rsidR="009A1E2B">
        <w:t>a</w:t>
      </w:r>
      <w:r w:rsidR="00925A5E">
        <w:t xml:space="preserve">ffect the </w:t>
      </w:r>
      <w:r w:rsidR="00D53856">
        <w:t>price or accessibility of</w:t>
      </w:r>
      <w:r w:rsidR="00925A5E">
        <w:t xml:space="preserve"> patented pharmaceuticals</w:t>
      </w:r>
      <w:r w:rsidR="00D53856">
        <w:t xml:space="preserve"> in Australia</w:t>
      </w:r>
      <w:r w:rsidR="00925A5E">
        <w:t xml:space="preserve">. </w:t>
      </w:r>
    </w:p>
    <w:p w14:paraId="7200A6EA" w14:textId="7A51B2EE" w:rsidR="00F66275" w:rsidRDefault="00F66275" w:rsidP="00F66275">
      <w:pPr>
        <w:pStyle w:val="TextOpensans"/>
        <w:rPr>
          <w:vertAlign w:val="superscript"/>
        </w:rPr>
      </w:pPr>
      <w:r>
        <w:t>There is</w:t>
      </w:r>
      <w:r w:rsidR="00913833">
        <w:t xml:space="preserve"> some</w:t>
      </w:r>
      <w:r>
        <w:t xml:space="preserve"> academic support for such an option. In November 2015</w:t>
      </w:r>
      <w:r w:rsidR="00550D73">
        <w:t>,</w:t>
      </w:r>
      <w:r>
        <w:t xml:space="preserve"> the Melbourne Institute and the then Department of Industry, Innovation and Science released a paper on patent box policies across the world</w:t>
      </w:r>
      <w:r w:rsidR="00096D40">
        <w:rPr>
          <w:vertAlign w:val="superscript"/>
        </w:rPr>
        <w:t>7</w:t>
      </w:r>
      <w:r>
        <w:t xml:space="preserve">. This paper suggested that there are ‘no solid theoretical or empirical grounds for claiming that patent box regimes induce more </w:t>
      </w:r>
      <w:r>
        <w:lastRenderedPageBreak/>
        <w:t>innovation.’ Further, ‘a policy aimed at attracting mobile IP income is a winner takes-all policy and therefore requires an aggressive lowering of the headline tax rate</w:t>
      </w:r>
      <w:r w:rsidR="00995AE6">
        <w:t>’</w:t>
      </w:r>
      <w:r>
        <w:t>.</w:t>
      </w:r>
      <w:r w:rsidR="00096D40">
        <w:rPr>
          <w:vertAlign w:val="superscript"/>
        </w:rPr>
        <w:t>7</w:t>
      </w:r>
    </w:p>
    <w:p w14:paraId="0C737C84" w14:textId="0B56C34E" w:rsidR="00913833" w:rsidRDefault="00550D73" w:rsidP="00F66275">
      <w:pPr>
        <w:pStyle w:val="TextOpensans"/>
      </w:pPr>
      <w:r>
        <w:t>However,</w:t>
      </w:r>
      <w:r w:rsidR="00913833">
        <w:t xml:space="preserve"> this analysis was completed before the OECD’s rules (described in Section 3 Option and Impact) were implemented. </w:t>
      </w:r>
      <w:r>
        <w:t>No</w:t>
      </w:r>
      <w:r w:rsidR="00913833">
        <w:t xml:space="preserve"> significant studies </w:t>
      </w:r>
      <w:r>
        <w:t>have been</w:t>
      </w:r>
      <w:r w:rsidR="00913833">
        <w:t xml:space="preserve"> completed since</w:t>
      </w:r>
      <w:r w:rsidR="00547461">
        <w:t>.</w:t>
      </w:r>
      <w:r w:rsidR="00913833">
        <w:t xml:space="preserve"> </w:t>
      </w:r>
    </w:p>
    <w:p w14:paraId="49B2D00B" w14:textId="26D7D5C0" w:rsidR="00315D0E" w:rsidRDefault="00315D0E" w:rsidP="009976BF">
      <w:pPr>
        <w:pStyle w:val="TextOpensans"/>
      </w:pPr>
      <w:bookmarkStart w:id="127" w:name="_Toc93174530"/>
      <w:bookmarkEnd w:id="127"/>
      <w:r>
        <w:t xml:space="preserve">Maintaining the status quo </w:t>
      </w:r>
      <w:r w:rsidRPr="00D74952">
        <w:t>would impose no compliance costs</w:t>
      </w:r>
      <w:r w:rsidR="00DD41A2">
        <w:t xml:space="preserve"> in Australia</w:t>
      </w:r>
      <w:r w:rsidRPr="00D74952">
        <w:t xml:space="preserve"> as it would not require changes to legislation and companies would not have to learn or implement a new regime</w:t>
      </w:r>
      <w:r w:rsidR="00DD41A2">
        <w:t xml:space="preserve">. However, companies choosing to relocate their IP to access patent boxes in other jurisdictions would be subject to the associated </w:t>
      </w:r>
      <w:r w:rsidR="007E2B63">
        <w:t xml:space="preserve">relocation and </w:t>
      </w:r>
      <w:r w:rsidR="00DD41A2">
        <w:t>compliance costs</w:t>
      </w:r>
      <w:r w:rsidRPr="00D74952">
        <w:t>.</w:t>
      </w:r>
    </w:p>
    <w:p w14:paraId="587E3A90" w14:textId="10F46136" w:rsidR="00FB1CE8" w:rsidRPr="00D74952" w:rsidRDefault="00F335DD" w:rsidP="00FB1CE8">
      <w:pPr>
        <w:pStyle w:val="H2Opensans"/>
      </w:pPr>
      <w:bookmarkStart w:id="128" w:name="_Toc93221806"/>
      <w:bookmarkStart w:id="129" w:name="_Toc93221858"/>
      <w:bookmarkStart w:id="130" w:name="_Toc93226018"/>
      <w:bookmarkStart w:id="131" w:name="_Toc93322089"/>
      <w:bookmarkStart w:id="132" w:name="_Toc93487782"/>
      <w:bookmarkEnd w:id="128"/>
      <w:bookmarkEnd w:id="129"/>
      <w:bookmarkEnd w:id="130"/>
      <w:bookmarkEnd w:id="131"/>
      <w:r>
        <w:t>Implement a</w:t>
      </w:r>
      <w:r w:rsidR="009B5CEE">
        <w:t xml:space="preserve">nnounced </w:t>
      </w:r>
      <w:r w:rsidR="00E92147">
        <w:t xml:space="preserve">budget </w:t>
      </w:r>
      <w:r w:rsidR="009B5CEE">
        <w:t xml:space="preserve">proposal </w:t>
      </w:r>
      <w:r w:rsidR="00FB1CE8" w:rsidRPr="00D74952">
        <w:t xml:space="preserve">(Option </w:t>
      </w:r>
      <w:r w:rsidR="001340EA" w:rsidRPr="00D74952">
        <w:t>2</w:t>
      </w:r>
      <w:r w:rsidR="00FB1CE8" w:rsidRPr="00D74952">
        <w:t>)</w:t>
      </w:r>
      <w:bookmarkEnd w:id="132"/>
    </w:p>
    <w:p w14:paraId="7BB51301" w14:textId="3B4D061C" w:rsidR="00E81509" w:rsidRDefault="006047F5" w:rsidP="00E81509">
      <w:pPr>
        <w:pStyle w:val="TextOpensans"/>
      </w:pPr>
      <w:r>
        <w:t xml:space="preserve">To seek to address the problems identified with the status quo, the Government announced it would consult on </w:t>
      </w:r>
      <w:r w:rsidR="00E81509">
        <w:t xml:space="preserve">a high-level patent box </w:t>
      </w:r>
      <w:r w:rsidR="005A432F">
        <w:t xml:space="preserve">proposal </w:t>
      </w:r>
      <w:r w:rsidR="00E81509">
        <w:t>in the 2021</w:t>
      </w:r>
      <w:r w:rsidR="00E81509">
        <w:noBreakHyphen/>
        <w:t xml:space="preserve">22 Budget. The </w:t>
      </w:r>
      <w:r>
        <w:t xml:space="preserve">announcement included a number of proposed design elements to determine </w:t>
      </w:r>
      <w:r w:rsidR="00E81509">
        <w:t xml:space="preserve">which investments </w:t>
      </w:r>
      <w:r>
        <w:t xml:space="preserve">could </w:t>
      </w:r>
      <w:r w:rsidR="00E81509">
        <w:t>access the concessional tax regime</w:t>
      </w:r>
      <w:r w:rsidR="008B14D4">
        <w:t xml:space="preserve"> and which industry sector</w:t>
      </w:r>
      <w:r w:rsidR="00F07DE0">
        <w:t>s</w:t>
      </w:r>
      <w:r w:rsidR="008B14D4">
        <w:t xml:space="preserve"> </w:t>
      </w:r>
      <w:r>
        <w:t>would be</w:t>
      </w:r>
      <w:r w:rsidR="00F07DE0">
        <w:t xml:space="preserve"> </w:t>
      </w:r>
      <w:r w:rsidR="008B14D4">
        <w:t>in scope</w:t>
      </w:r>
      <w:r w:rsidR="00E81509">
        <w:t xml:space="preserve">. </w:t>
      </w:r>
      <w:r>
        <w:t>These are:</w:t>
      </w:r>
    </w:p>
    <w:p w14:paraId="6CA6FD4E" w14:textId="193EED95" w:rsidR="00E81509" w:rsidRDefault="00E81509" w:rsidP="00766C44">
      <w:pPr>
        <w:pStyle w:val="TextOpensans"/>
        <w:numPr>
          <w:ilvl w:val="0"/>
          <w:numId w:val="23"/>
        </w:numPr>
      </w:pPr>
      <w:r>
        <w:t xml:space="preserve">the patent box regime will be ringfenced to the medical and biotechnology </w:t>
      </w:r>
      <w:proofErr w:type="gramStart"/>
      <w:r>
        <w:t>sector;</w:t>
      </w:r>
      <w:proofErr w:type="gramEnd"/>
    </w:p>
    <w:p w14:paraId="5D50818F" w14:textId="77777777" w:rsidR="00E81509" w:rsidRDefault="00E81509" w:rsidP="00766C44">
      <w:pPr>
        <w:pStyle w:val="TextOpensans"/>
        <w:numPr>
          <w:ilvl w:val="0"/>
          <w:numId w:val="23"/>
        </w:numPr>
      </w:pPr>
      <w:r>
        <w:t xml:space="preserve">an effective concessional tax rate of 17 per cent for companies on eligible profits from eligible patented </w:t>
      </w:r>
      <w:proofErr w:type="gramStart"/>
      <w:r>
        <w:t>inventions;</w:t>
      </w:r>
      <w:proofErr w:type="gramEnd"/>
      <w:r>
        <w:t xml:space="preserve"> </w:t>
      </w:r>
    </w:p>
    <w:p w14:paraId="74873E43" w14:textId="77777777" w:rsidR="00E81509" w:rsidRDefault="00E81509" w:rsidP="00766C44">
      <w:pPr>
        <w:pStyle w:val="TextOpensans"/>
        <w:numPr>
          <w:ilvl w:val="0"/>
          <w:numId w:val="23"/>
        </w:numPr>
      </w:pPr>
      <w:r>
        <w:t xml:space="preserve">only inventions claimed in standard patents granted by IP Australia, which were applied for after the Budget announcement (that is, have a priority date after 11 May 2021), will be eligible; and </w:t>
      </w:r>
    </w:p>
    <w:p w14:paraId="036C7F17" w14:textId="1453C5FC" w:rsidR="00E81509" w:rsidRDefault="00E81509" w:rsidP="00766C44">
      <w:pPr>
        <w:pStyle w:val="TextOpensans"/>
        <w:numPr>
          <w:ilvl w:val="0"/>
          <w:numId w:val="23"/>
        </w:numPr>
      </w:pPr>
      <w:r>
        <w:t xml:space="preserve">the patent box will be designed to be consistent with the OECD/G20 Forum on Harmful Tax Practice (FHTP) framework governing IP regimes, including the OECD’s Base Erosion and Profit Sharing (BEPS) Action 5 minimum standard </w:t>
      </w:r>
      <w:r w:rsidRPr="00634A3C">
        <w:t>(</w:t>
      </w:r>
      <w:r>
        <w:t xml:space="preserve">specified in </w:t>
      </w:r>
      <w:r w:rsidRPr="00634A3C">
        <w:t>the BEPS Action 5 Report)</w:t>
      </w:r>
      <w:r>
        <w:t xml:space="preserve">. </w:t>
      </w:r>
    </w:p>
    <w:p w14:paraId="38459BB6" w14:textId="57BEE2D6" w:rsidR="00233B45" w:rsidRDefault="00BC5040" w:rsidP="009976BF">
      <w:pPr>
        <w:pStyle w:val="TextOpensans"/>
      </w:pPr>
      <w:r w:rsidDel="00547461">
        <w:t xml:space="preserve">The BEPS Action 5 </w:t>
      </w:r>
      <w:r w:rsidR="00E758F2">
        <w:t>requires a nexus</w:t>
      </w:r>
      <w:r>
        <w:t xml:space="preserve"> between any eligible </w:t>
      </w:r>
      <w:r w:rsidR="00E758F2">
        <w:t>IP</w:t>
      </w:r>
      <w:r>
        <w:t xml:space="preserve"> and the R&amp;D </w:t>
      </w:r>
      <w:r w:rsidR="00233B45">
        <w:t>leading</w:t>
      </w:r>
      <w:r w:rsidR="00256819">
        <w:t xml:space="preserve"> to</w:t>
      </w:r>
      <w:r>
        <w:t xml:space="preserve"> that</w:t>
      </w:r>
      <w:r w:rsidR="00E758F2">
        <w:t xml:space="preserve"> IP’s</w:t>
      </w:r>
      <w:r>
        <w:t xml:space="preserve"> development. </w:t>
      </w:r>
      <w:r w:rsidR="00233B45">
        <w:t>Affected taxpayers</w:t>
      </w:r>
      <w:r>
        <w:t xml:space="preserve"> w</w:t>
      </w:r>
      <w:r w:rsidR="00233B45">
        <w:t>ould</w:t>
      </w:r>
      <w:r>
        <w:t xml:space="preserve"> be required by BEPS Action </w:t>
      </w:r>
      <w:r w:rsidR="00233B45">
        <w:t xml:space="preserve">5 </w:t>
      </w:r>
      <w:r w:rsidR="00E758F2">
        <w:t xml:space="preserve">to record R&amp;D activities to later prove where and by whom the R&amp;D activity was conducted. </w:t>
      </w:r>
    </w:p>
    <w:p w14:paraId="74571E02" w14:textId="51111997" w:rsidR="00E758F2" w:rsidRPr="00256819" w:rsidRDefault="00CA6B92" w:rsidP="009976BF">
      <w:pPr>
        <w:pStyle w:val="TextOpensans"/>
      </w:pPr>
      <w:r>
        <w:t>Th</w:t>
      </w:r>
      <w:r w:rsidR="00233B45">
        <w:t xml:space="preserve">erefore, an Australian patent box cannot be designed to </w:t>
      </w:r>
      <w:r>
        <w:t>incentivise existing offshore IP (where the R&amp;D underlying that R&amp;D was developed offshore)</w:t>
      </w:r>
      <w:r w:rsidR="00E758F2">
        <w:t xml:space="preserve"> </w:t>
      </w:r>
      <w:r>
        <w:t xml:space="preserve">to be moved to Australia. </w:t>
      </w:r>
      <w:r w:rsidR="00E758F2">
        <w:t xml:space="preserve"> </w:t>
      </w:r>
      <w:r w:rsidR="007A1BAE">
        <w:t>A regime with that intent would be deemed non-compliant by the OECD FHTP (further details in Section 3</w:t>
      </w:r>
      <w:r w:rsidR="00A86F88">
        <w:t>)</w:t>
      </w:r>
      <w:r w:rsidR="001C0C5C">
        <w:t>.</w:t>
      </w:r>
    </w:p>
    <w:p w14:paraId="210ED858" w14:textId="05F6BAD8" w:rsidR="00EC7323" w:rsidRDefault="00F07DE0" w:rsidP="00EC7323">
      <w:pPr>
        <w:pStyle w:val="TextOpensans"/>
      </w:pPr>
      <w:r>
        <w:t xml:space="preserve">Option 2 considers the merits of implementing the Government’s Budget announcement with no changes to </w:t>
      </w:r>
      <w:r w:rsidR="0048683D">
        <w:t xml:space="preserve">the announced </w:t>
      </w:r>
      <w:r>
        <w:t>specifications</w:t>
      </w:r>
      <w:r w:rsidR="00233B45">
        <w:t>, and with the additional required design elements not set out in the budget announcement to be informed by consultation with industry</w:t>
      </w:r>
      <w:r>
        <w:t xml:space="preserve">. </w:t>
      </w:r>
    </w:p>
    <w:p w14:paraId="45DF1D31" w14:textId="6FE6B6AE" w:rsidR="00402BC2" w:rsidRDefault="00402BC2" w:rsidP="00402BC2">
      <w:pPr>
        <w:pStyle w:val="TextOpensans"/>
      </w:pPr>
      <w:r w:rsidRPr="001F121E">
        <w:lastRenderedPageBreak/>
        <w:t>The Government also announce</w:t>
      </w:r>
      <w:r w:rsidR="007E2B63">
        <w:t>d</w:t>
      </w:r>
      <w:r w:rsidRPr="001F121E">
        <w:t xml:space="preserve"> it would consult on whether to expand the </w:t>
      </w:r>
      <w:r w:rsidR="007E2B63">
        <w:t xml:space="preserve">proposed </w:t>
      </w:r>
      <w:r w:rsidRPr="001F121E">
        <w:t xml:space="preserve">patent box to the clean energy (or low emissions) sector. Views from stakeholders on the inclusion of low emissions and clean energy technologies are not in scope for this RIS as the Government has not </w:t>
      </w:r>
      <w:r w:rsidR="00AB623E">
        <w:t>made</w:t>
      </w:r>
      <w:r w:rsidRPr="001F121E">
        <w:t xml:space="preserve"> any policy decision.</w:t>
      </w:r>
    </w:p>
    <w:p w14:paraId="28A7C1C3" w14:textId="30194942" w:rsidR="003E585B" w:rsidRDefault="003E585B" w:rsidP="00B3617E">
      <w:pPr>
        <w:pStyle w:val="H4Opensans"/>
      </w:pPr>
      <w:r>
        <w:t>Rate</w:t>
      </w:r>
    </w:p>
    <w:p w14:paraId="647AB657" w14:textId="7D27C1F2" w:rsidR="001E723E" w:rsidRDefault="001C0664" w:rsidP="00CF6B41">
      <w:pPr>
        <w:pStyle w:val="TextOpensans"/>
      </w:pPr>
      <w:r>
        <w:t>T</w:t>
      </w:r>
      <w:r w:rsidR="00233B45">
        <w:t xml:space="preserve">he tax rate is proposed to be set </w:t>
      </w:r>
      <w:r>
        <w:t>at 17</w:t>
      </w:r>
      <w:r w:rsidR="00233B45">
        <w:t xml:space="preserve"> per cent, which </w:t>
      </w:r>
      <w:r w:rsidR="00F02077">
        <w:t xml:space="preserve">provides a </w:t>
      </w:r>
      <w:r w:rsidR="001F5CC4">
        <w:t xml:space="preserve">broadly </w:t>
      </w:r>
      <w:r w:rsidR="00F02077">
        <w:t xml:space="preserve">similar discount to the headline corporate tax as other patent box jurisdictions. </w:t>
      </w:r>
      <w:r>
        <w:t>It also</w:t>
      </w:r>
      <w:r w:rsidR="00F02077">
        <w:t xml:space="preserve"> minimises the risk of tax shortfalls being imposed by other jurisdictions in future, depending on the outcome of the OECD/G20 global minimum tax</w:t>
      </w:r>
      <w:r w:rsidR="002E28B0">
        <w:t xml:space="preserve"> (see Section 2 Problem)</w:t>
      </w:r>
      <w:r w:rsidR="002630BE">
        <w:t>.</w:t>
      </w:r>
    </w:p>
    <w:p w14:paraId="7D61C50D" w14:textId="36283C8A" w:rsidR="00B3617E" w:rsidRDefault="00B3617E" w:rsidP="00B3617E">
      <w:pPr>
        <w:pStyle w:val="H4Opensans"/>
      </w:pPr>
      <w:r>
        <w:t xml:space="preserve">Eligibility </w:t>
      </w:r>
      <w:r w:rsidR="00F46112">
        <w:t>start</w:t>
      </w:r>
      <w:r w:rsidR="00F31A4C">
        <w:t xml:space="preserve"> </w:t>
      </w:r>
      <w:r>
        <w:t>date</w:t>
      </w:r>
    </w:p>
    <w:p w14:paraId="40A73A59" w14:textId="245ED3A0" w:rsidR="00526C29" w:rsidRDefault="00AD246D">
      <w:pPr>
        <w:pStyle w:val="TextOpensans"/>
      </w:pPr>
      <w:r w:rsidRPr="009976BF">
        <w:t>Th</w:t>
      </w:r>
      <w:r w:rsidR="006F7644" w:rsidRPr="006F7644">
        <w:t>e aim of the patent box is to incentivise new investment in the development of new patents.</w:t>
      </w:r>
      <w:r w:rsidR="006F7644">
        <w:t xml:space="preserve"> </w:t>
      </w:r>
    </w:p>
    <w:p w14:paraId="559F2A97" w14:textId="33230358" w:rsidR="002D6596" w:rsidRDefault="001C0664">
      <w:pPr>
        <w:pStyle w:val="TextOpensans"/>
      </w:pPr>
      <w:r>
        <w:t xml:space="preserve">Therefore, under this option, </w:t>
      </w:r>
      <w:r w:rsidR="0012609F">
        <w:t xml:space="preserve">eligible </w:t>
      </w:r>
      <w:r w:rsidR="0021312C" w:rsidRPr="003C357B">
        <w:t>patents</w:t>
      </w:r>
      <w:r w:rsidR="0012609F">
        <w:t xml:space="preserve"> </w:t>
      </w:r>
      <w:r>
        <w:t>a</w:t>
      </w:r>
      <w:r w:rsidR="0012609F">
        <w:t>re those</w:t>
      </w:r>
      <w:r w:rsidR="0021312C" w:rsidRPr="003C357B">
        <w:t xml:space="preserve"> </w:t>
      </w:r>
      <w:r w:rsidR="0021312C">
        <w:rPr>
          <w:i/>
          <w:iCs/>
        </w:rPr>
        <w:t xml:space="preserve">applied for </w:t>
      </w:r>
      <w:r w:rsidR="0021312C" w:rsidRPr="003C357B">
        <w:t>after 11 May 2021</w:t>
      </w:r>
      <w:r>
        <w:t>, and</w:t>
      </w:r>
      <w:r w:rsidR="0021312C">
        <w:t xml:space="preserve"> any patents in development that were applied for before 11 May 2021 would be ineligible. </w:t>
      </w:r>
      <w:r>
        <w:t>This would ensure</w:t>
      </w:r>
      <w:r w:rsidR="0021312C">
        <w:t xml:space="preserve"> that </w:t>
      </w:r>
      <w:r>
        <w:t xml:space="preserve">the </w:t>
      </w:r>
      <w:r w:rsidR="0021312C">
        <w:t xml:space="preserve">concessional rate </w:t>
      </w:r>
      <w:r>
        <w:t>would</w:t>
      </w:r>
      <w:r w:rsidR="0021312C">
        <w:t xml:space="preserve"> only apply to new patents</w:t>
      </w:r>
      <w:r w:rsidR="0012609F">
        <w:t xml:space="preserve"> and </w:t>
      </w:r>
      <w:r>
        <w:t>would not</w:t>
      </w:r>
      <w:r w:rsidR="0012609F">
        <w:t xml:space="preserve"> reward existing investment that has already occurred. </w:t>
      </w:r>
    </w:p>
    <w:p w14:paraId="06D5DA14" w14:textId="11BC40E8" w:rsidR="003C357B" w:rsidRDefault="00137BC7" w:rsidP="00137BC7">
      <w:pPr>
        <w:pStyle w:val="H4Opensans"/>
      </w:pPr>
      <w:r w:rsidRPr="00137BC7">
        <w:t>Patent filing locations</w:t>
      </w:r>
    </w:p>
    <w:p w14:paraId="34BE9C9C" w14:textId="27D18171" w:rsidR="0044051B" w:rsidRDefault="001C0664" w:rsidP="00AD246D">
      <w:pPr>
        <w:pStyle w:val="TextOpensans"/>
      </w:pPr>
      <w:r>
        <w:t>Under this option</w:t>
      </w:r>
      <w:r w:rsidR="00B45EB9">
        <w:t xml:space="preserve"> only patents filled through IP Australia </w:t>
      </w:r>
      <w:r>
        <w:t>would</w:t>
      </w:r>
      <w:r w:rsidR="00B45EB9">
        <w:t xml:space="preserve"> be eligible. IP Australia’s patent examination standards are well understood by stakeholders. An</w:t>
      </w:r>
      <w:r w:rsidR="0006661A">
        <w:t>y</w:t>
      </w:r>
      <w:r w:rsidR="00B45EB9">
        <w:t xml:space="preserve"> increas</w:t>
      </w:r>
      <w:r w:rsidR="0006661A">
        <w:t>e</w:t>
      </w:r>
      <w:r w:rsidR="00B45EB9">
        <w:t xml:space="preserve"> in </w:t>
      </w:r>
      <w:r w:rsidR="0006661A">
        <w:t>the filing of patents</w:t>
      </w:r>
      <w:r w:rsidR="00B45EB9">
        <w:t xml:space="preserve"> </w:t>
      </w:r>
      <w:r w:rsidR="0006661A">
        <w:t>through I</w:t>
      </w:r>
      <w:r w:rsidR="003C6D55">
        <w:t>P</w:t>
      </w:r>
      <w:r w:rsidR="0006661A">
        <w:t xml:space="preserve"> Australia owing to the </w:t>
      </w:r>
      <w:r w:rsidR="00B45EB9">
        <w:t xml:space="preserve">patent box would not require a funding increase for IP Australia as it is a cost recovery agency (applicants fees fund IP Australia’s output). </w:t>
      </w:r>
    </w:p>
    <w:p w14:paraId="4F48EA3B" w14:textId="45793712" w:rsidR="00443CFD" w:rsidRDefault="00795392" w:rsidP="004F6D17">
      <w:pPr>
        <w:pStyle w:val="H2Opensans"/>
      </w:pPr>
      <w:bookmarkStart w:id="133" w:name="_Toc93174532"/>
      <w:bookmarkStart w:id="134" w:name="_Toc93221808"/>
      <w:bookmarkStart w:id="135" w:name="_Toc93221860"/>
      <w:bookmarkStart w:id="136" w:name="_Toc93226020"/>
      <w:bookmarkStart w:id="137" w:name="_Toc93322091"/>
      <w:bookmarkStart w:id="138" w:name="_Toc93174533"/>
      <w:bookmarkStart w:id="139" w:name="_Toc93221809"/>
      <w:bookmarkStart w:id="140" w:name="_Toc93221861"/>
      <w:bookmarkStart w:id="141" w:name="_Toc93226021"/>
      <w:bookmarkStart w:id="142" w:name="_Toc93322092"/>
      <w:bookmarkStart w:id="143" w:name="_Toc93174534"/>
      <w:bookmarkStart w:id="144" w:name="_Toc93221810"/>
      <w:bookmarkStart w:id="145" w:name="_Toc93221862"/>
      <w:bookmarkStart w:id="146" w:name="_Toc93226022"/>
      <w:bookmarkStart w:id="147" w:name="_Toc93322093"/>
      <w:bookmarkStart w:id="148" w:name="_Toc93174535"/>
      <w:bookmarkStart w:id="149" w:name="_Toc93221811"/>
      <w:bookmarkStart w:id="150" w:name="_Toc93221863"/>
      <w:bookmarkStart w:id="151" w:name="_Toc93226023"/>
      <w:bookmarkStart w:id="152" w:name="_Toc93322094"/>
      <w:bookmarkStart w:id="153" w:name="_Toc93174536"/>
      <w:bookmarkStart w:id="154" w:name="_Toc93221812"/>
      <w:bookmarkStart w:id="155" w:name="_Toc93221864"/>
      <w:bookmarkStart w:id="156" w:name="_Toc93226024"/>
      <w:bookmarkStart w:id="157" w:name="_Toc93322095"/>
      <w:bookmarkStart w:id="158" w:name="_Toc93174537"/>
      <w:bookmarkStart w:id="159" w:name="_Toc93221813"/>
      <w:bookmarkStart w:id="160" w:name="_Toc93221865"/>
      <w:bookmarkStart w:id="161" w:name="_Toc93226025"/>
      <w:bookmarkStart w:id="162" w:name="_Toc93322096"/>
      <w:bookmarkStart w:id="163" w:name="_Toc93174538"/>
      <w:bookmarkStart w:id="164" w:name="_Toc93221814"/>
      <w:bookmarkStart w:id="165" w:name="_Toc93221866"/>
      <w:bookmarkStart w:id="166" w:name="_Toc93226026"/>
      <w:bookmarkStart w:id="167" w:name="_Toc93322097"/>
      <w:bookmarkStart w:id="168" w:name="_Toc93487783"/>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t>F</w:t>
      </w:r>
      <w:r w:rsidR="0035093D">
        <w:t xml:space="preserve">urther </w:t>
      </w:r>
      <w:r w:rsidR="00F20D75">
        <w:t xml:space="preserve">design </w:t>
      </w:r>
      <w:r w:rsidR="00507E45">
        <w:t>options</w:t>
      </w:r>
      <w:bookmarkEnd w:id="124"/>
      <w:bookmarkEnd w:id="125"/>
      <w:r w:rsidR="00D86643">
        <w:t xml:space="preserve"> for Option 2</w:t>
      </w:r>
      <w:bookmarkEnd w:id="168"/>
    </w:p>
    <w:p w14:paraId="344D0F4B" w14:textId="754698F4" w:rsidR="00CD7626" w:rsidRDefault="001A1078" w:rsidP="00C30656">
      <w:pPr>
        <w:pStyle w:val="TextOpensans"/>
      </w:pPr>
      <w:bookmarkStart w:id="169" w:name="_Toc91078461"/>
      <w:r>
        <w:t>‘</w:t>
      </w:r>
      <w:r w:rsidR="0034040A" w:rsidRPr="0034040A">
        <w:t>Patent box</w:t>
      </w:r>
      <w:r>
        <w:t xml:space="preserve">’ is a generic term for a tax regime that provides concessional treatment of income attributable to intellectual property. Different design choices will lead to significantly different regulatory and compliance impacts. </w:t>
      </w:r>
      <w:r w:rsidR="0034040A" w:rsidRPr="0034040A">
        <w:t>T</w:t>
      </w:r>
      <w:r w:rsidR="00525790" w:rsidRPr="0034040A">
        <w:t>o consider</w:t>
      </w:r>
      <w:r w:rsidR="00DA5CED">
        <w:t xml:space="preserve"> how to implement</w:t>
      </w:r>
      <w:r w:rsidR="00C30656" w:rsidRPr="0034040A">
        <w:t xml:space="preserve"> Option 2, there are many </w:t>
      </w:r>
      <w:r w:rsidR="00E42003">
        <w:t>design choices</w:t>
      </w:r>
      <w:r w:rsidR="00C30656" w:rsidRPr="0034040A">
        <w:t xml:space="preserve"> that </w:t>
      </w:r>
      <w:r w:rsidR="00E42003">
        <w:t>have</w:t>
      </w:r>
      <w:r w:rsidR="00C30656" w:rsidRPr="0034040A">
        <w:t xml:space="preserve"> a large bearing on the regulatory </w:t>
      </w:r>
      <w:r w:rsidR="0018393E" w:rsidRPr="0034040A">
        <w:t xml:space="preserve">and policy impact that were not </w:t>
      </w:r>
      <w:r w:rsidR="00E42003">
        <w:t>addressed</w:t>
      </w:r>
      <w:r w:rsidR="0018393E" w:rsidRPr="0034040A">
        <w:t xml:space="preserve"> in the 2021-22 Budget</w:t>
      </w:r>
      <w:r w:rsidR="00C30656" w:rsidRPr="0034040A">
        <w:t xml:space="preserve">. </w:t>
      </w:r>
    </w:p>
    <w:p w14:paraId="70309CF2" w14:textId="506A7041" w:rsidR="00C30656" w:rsidRDefault="00CD7626" w:rsidP="00C30656">
      <w:pPr>
        <w:pStyle w:val="TextOpensans"/>
      </w:pPr>
      <w:r>
        <w:t xml:space="preserve">These are the issues raised by the OECD as key design issues and by stakeholders </w:t>
      </w:r>
      <w:r w:rsidR="007C6018">
        <w:t>in the industry</w:t>
      </w:r>
      <w:r>
        <w:t>. The</w:t>
      </w:r>
      <w:r w:rsidR="002E5BE0">
        <w:t xml:space="preserve">re is a </w:t>
      </w:r>
      <w:r>
        <w:t xml:space="preserve">large overlap between the issues raised below and the issues raised by consultation. </w:t>
      </w:r>
      <w:r w:rsidR="00C30656" w:rsidRPr="0034040A">
        <w:t xml:space="preserve">All of these </w:t>
      </w:r>
      <w:r w:rsidR="007776B2">
        <w:t>design options</w:t>
      </w:r>
      <w:r w:rsidR="00C30656" w:rsidRPr="0034040A">
        <w:t xml:space="preserve"> were influenced by consultation </w:t>
      </w:r>
      <w:r w:rsidR="00841EE1" w:rsidRPr="0034040A">
        <w:t xml:space="preserve">and </w:t>
      </w:r>
      <w:r w:rsidR="00C30656" w:rsidRPr="0034040A">
        <w:t>are evaluated below.</w:t>
      </w:r>
      <w:r w:rsidR="00C30656">
        <w:t xml:space="preserve"> </w:t>
      </w:r>
      <w:r>
        <w:t xml:space="preserve">More details on </w:t>
      </w:r>
      <w:r w:rsidR="00D67FE8">
        <w:t xml:space="preserve">insights collected from </w:t>
      </w:r>
      <w:r>
        <w:t xml:space="preserve">consultation can be found at Section 5.0 Consultation. </w:t>
      </w:r>
    </w:p>
    <w:p w14:paraId="5017B56A" w14:textId="1D152CE9" w:rsidR="006666DB" w:rsidRDefault="00121B6F" w:rsidP="00161693">
      <w:pPr>
        <w:pStyle w:val="H3Opensans"/>
        <w:rPr>
          <w:lang w:eastAsia="en-AU"/>
        </w:rPr>
      </w:pPr>
      <w:r>
        <w:rPr>
          <w:lang w:eastAsia="en-AU"/>
        </w:rPr>
        <w:t xml:space="preserve">Codifying </w:t>
      </w:r>
      <w:r w:rsidR="006666DB" w:rsidRPr="00B77D42">
        <w:rPr>
          <w:lang w:eastAsia="en-AU"/>
        </w:rPr>
        <w:t xml:space="preserve">Industry </w:t>
      </w:r>
      <w:r w:rsidR="006666DB">
        <w:rPr>
          <w:lang w:eastAsia="en-AU"/>
        </w:rPr>
        <w:t>boundary</w:t>
      </w:r>
    </w:p>
    <w:p w14:paraId="57A93333" w14:textId="00079A54" w:rsidR="00562A0A" w:rsidRDefault="00841EE1" w:rsidP="00841EE1">
      <w:pPr>
        <w:pStyle w:val="TextOpensans"/>
      </w:pPr>
      <w:r>
        <w:t xml:space="preserve">Consultation revealed a </w:t>
      </w:r>
      <w:r w:rsidR="00720E01">
        <w:t>strong preference for using an existing definition of the medical and biotechnology sectors, rather than creating a bespoke definition</w:t>
      </w:r>
      <w:r>
        <w:t>. Stakeholders</w:t>
      </w:r>
      <w:r w:rsidR="00562A0A">
        <w:t xml:space="preserve"> </w:t>
      </w:r>
      <w:r w:rsidR="00562A0A">
        <w:lastRenderedPageBreak/>
        <w:t>overwhelmingly</w:t>
      </w:r>
      <w:r>
        <w:t xml:space="preserve"> suggested using the TGA’s Register of Therapeutic Goods</w:t>
      </w:r>
      <w:r w:rsidR="007C6018">
        <w:t xml:space="preserve"> to determine which patents would qualify for the patent box</w:t>
      </w:r>
      <w:r>
        <w:t xml:space="preserve"> as the vast majority of medical and biotechnology patents are embedded in goods on that register. </w:t>
      </w:r>
    </w:p>
    <w:p w14:paraId="2D6F2561" w14:textId="54C435FC" w:rsidR="00562A0A" w:rsidRDefault="00562A0A" w:rsidP="00841EE1">
      <w:pPr>
        <w:pStyle w:val="TextOpensans"/>
      </w:pPr>
      <w:r w:rsidRPr="00562A0A">
        <w:t xml:space="preserve">This definition is a widely used and understood definition that provides certainty to the vast majority of stakeholders. </w:t>
      </w:r>
      <w:r>
        <w:t>The Government</w:t>
      </w:r>
      <w:r w:rsidRPr="00562A0A">
        <w:t xml:space="preserve"> confirmed with TGA that this would be a workable definition.</w:t>
      </w:r>
    </w:p>
    <w:p w14:paraId="0657F039" w14:textId="7CD37C73" w:rsidR="00D82C65" w:rsidRDefault="00D82C65" w:rsidP="00841EE1">
      <w:pPr>
        <w:pStyle w:val="TextOpensans"/>
      </w:pPr>
      <w:r>
        <w:t xml:space="preserve">This has the additional benefit that tax legislation does not need to make distinctions about the efficacy and safety of medical products. The decision about whether a product is appropriate to be used in a medical setting </w:t>
      </w:r>
      <w:r w:rsidR="009E4405">
        <w:t xml:space="preserve">at any point in time </w:t>
      </w:r>
      <w:r>
        <w:t xml:space="preserve">will be solely based </w:t>
      </w:r>
      <w:r w:rsidR="00045E0E">
        <w:t>on assessments under the Therapeutic Goods Act.</w:t>
      </w:r>
    </w:p>
    <w:p w14:paraId="1147070E" w14:textId="7B537BC9" w:rsidR="007C4697" w:rsidRDefault="00F51B7F" w:rsidP="008B0A36">
      <w:pPr>
        <w:pStyle w:val="H3Opensans"/>
        <w:rPr>
          <w:lang w:eastAsia="en-AU"/>
        </w:rPr>
      </w:pPr>
      <w:r>
        <w:rPr>
          <w:lang w:eastAsia="en-AU"/>
        </w:rPr>
        <w:t>Design a regime compliant with OECD framework governing IP regimes</w:t>
      </w:r>
      <w:bookmarkEnd w:id="169"/>
    </w:p>
    <w:p w14:paraId="439E15CB" w14:textId="1CC0194B" w:rsidR="00B75415" w:rsidRDefault="00293070" w:rsidP="00F51B7F">
      <w:pPr>
        <w:pStyle w:val="TextOpensans"/>
      </w:pPr>
      <w:r>
        <w:t>Patent boxes regimes are known for being complex to design and administer</w:t>
      </w:r>
      <w:r w:rsidR="000437FB">
        <w:t xml:space="preserve"> as one part of an entity’s income (</w:t>
      </w:r>
      <w:r w:rsidR="00B75415">
        <w:t xml:space="preserve">the </w:t>
      </w:r>
      <w:r w:rsidR="000437FB">
        <w:t>income related</w:t>
      </w:r>
      <w:r w:rsidR="00B75415">
        <w:t xml:space="preserve"> to </w:t>
      </w:r>
      <w:r w:rsidR="000437FB">
        <w:t xml:space="preserve">the </w:t>
      </w:r>
      <w:r w:rsidR="00E8418C">
        <w:t xml:space="preserve">eligible </w:t>
      </w:r>
      <w:r w:rsidR="000437FB">
        <w:t>patent) needs to be isolated and identified to allow it to receive</w:t>
      </w:r>
      <w:r>
        <w:t xml:space="preserve"> concessional tax treatment</w:t>
      </w:r>
      <w:r w:rsidR="000437FB">
        <w:t>, while</w:t>
      </w:r>
      <w:r>
        <w:t xml:space="preserve"> normal tax treatment </w:t>
      </w:r>
      <w:r w:rsidR="000437FB">
        <w:t>applies to rest of the entity’s</w:t>
      </w:r>
      <w:r>
        <w:t xml:space="preserve"> income. </w:t>
      </w:r>
    </w:p>
    <w:p w14:paraId="71A11C75" w14:textId="73798E5E" w:rsidR="00293070" w:rsidRDefault="00B75415" w:rsidP="00F51B7F">
      <w:pPr>
        <w:pStyle w:val="TextOpensans"/>
      </w:pPr>
      <w:r>
        <w:t xml:space="preserve">Rules governing what can be exposed to the concessional tax treatment need to be clear to taxpayers and </w:t>
      </w:r>
      <w:r w:rsidR="0071516F">
        <w:t xml:space="preserve">be </w:t>
      </w:r>
      <w:r>
        <w:t xml:space="preserve">administrable for the ATO. </w:t>
      </w:r>
      <w:r w:rsidR="000437FB">
        <w:t>C</w:t>
      </w:r>
      <w:r w:rsidR="0000169C">
        <w:t>oncession</w:t>
      </w:r>
      <w:r w:rsidR="000437FB">
        <w:t>s</w:t>
      </w:r>
      <w:r w:rsidR="0000169C">
        <w:t xml:space="preserve"> also</w:t>
      </w:r>
      <w:r>
        <w:t xml:space="preserve"> create tax integrity issue</w:t>
      </w:r>
      <w:r w:rsidR="000437FB">
        <w:t>s</w:t>
      </w:r>
      <w:r w:rsidR="0000169C">
        <w:t xml:space="preserve"> because</w:t>
      </w:r>
      <w:r>
        <w:t xml:space="preserve"> the regime </w:t>
      </w:r>
      <w:r w:rsidR="00293070">
        <w:t>creates an incentive for taxpayers to inflate the income attributable to the patent box (</w:t>
      </w:r>
      <w:r w:rsidR="000437FB">
        <w:t>which is not</w:t>
      </w:r>
      <w:r w:rsidR="00293070">
        <w:t xml:space="preserve"> the intent</w:t>
      </w:r>
      <w:r w:rsidR="000437FB">
        <w:t xml:space="preserve"> of the policy</w:t>
      </w:r>
      <w:r w:rsidR="00293070">
        <w:t xml:space="preserve">) or underinflate expenses, both of which inflate profit attributable to the regime. </w:t>
      </w:r>
    </w:p>
    <w:p w14:paraId="606B2C87" w14:textId="513A0483" w:rsidR="00F51B7F" w:rsidRPr="00F51B7F" w:rsidRDefault="00627DE7" w:rsidP="00F51B7F">
      <w:pPr>
        <w:pStyle w:val="TextOpensans"/>
      </w:pPr>
      <w:r>
        <w:t xml:space="preserve">The Government’s Budget announcement </w:t>
      </w:r>
      <w:r w:rsidR="000C617D">
        <w:t xml:space="preserve">noted that the </w:t>
      </w:r>
      <w:r>
        <w:t>patent box will be designed to be consistent with the OECD/G20 Forum on Harmful Tax Practice (FHTP) framework governing IP regimes, including the OECD’s BEPS Action 5 minimum standard. This includes</w:t>
      </w:r>
      <w:r w:rsidR="000437FB">
        <w:t xml:space="preserve"> the requirement</w:t>
      </w:r>
      <w:r>
        <w:t xml:space="preserve"> that the concessional tax treatment will only apply to company profits from patented inventions in proportion to the amount of associated R&amp;D that was conducted in Australia by the </w:t>
      </w:r>
      <w:r w:rsidR="00510623">
        <w:t>entity</w:t>
      </w:r>
      <w:r>
        <w:t>.</w:t>
      </w:r>
      <w:r w:rsidR="00F51B7F">
        <w:t xml:space="preserve"> </w:t>
      </w:r>
      <w:r w:rsidR="00F51B7F" w:rsidRPr="002859EA">
        <w:rPr>
          <w:b/>
          <w:bCs/>
          <w:i/>
          <w:iCs/>
        </w:rPr>
        <w:t xml:space="preserve">Figure </w:t>
      </w:r>
      <w:r w:rsidR="008E1426" w:rsidRPr="00397966">
        <w:rPr>
          <w:b/>
          <w:bCs/>
          <w:i/>
          <w:iCs/>
        </w:rPr>
        <w:t>2</w:t>
      </w:r>
      <w:r w:rsidR="00F51B7F">
        <w:t xml:space="preserve"> outlines the topics where the OECD takes a view on design</w:t>
      </w:r>
      <w:r w:rsidR="00634A3C">
        <w:t xml:space="preserve"> in their report titled: ‘</w:t>
      </w:r>
      <w:r w:rsidR="00634A3C" w:rsidRPr="00634A3C">
        <w:rPr>
          <w:i/>
          <w:iCs/>
        </w:rPr>
        <w:t>OECD/G20 Base Erosion and Profit Shifting Project Action 5: 2015 Final Report: Countering Harmful Tax Practices More Effectively, Taking into Account Transparency and Substance’</w:t>
      </w:r>
      <w:r w:rsidR="00634A3C" w:rsidRPr="00634A3C">
        <w:t xml:space="preserve"> (the BEPS Action 5 Report)</w:t>
      </w:r>
      <w:r w:rsidR="00ED6BF5">
        <w:rPr>
          <w:vertAlign w:val="superscript"/>
        </w:rPr>
        <w:t>8</w:t>
      </w:r>
      <w:r w:rsidR="00F51B7F">
        <w:t xml:space="preserve">. </w:t>
      </w:r>
    </w:p>
    <w:p w14:paraId="356809FB" w14:textId="509D18A5" w:rsidR="00755454" w:rsidRPr="00755454" w:rsidRDefault="00755454" w:rsidP="00397966">
      <w:pPr>
        <w:pStyle w:val="TextOpensans"/>
        <w:keepNext/>
        <w:spacing w:after="0"/>
        <w:rPr>
          <w:b/>
          <w:bCs/>
        </w:rPr>
      </w:pPr>
      <w:r w:rsidRPr="00755454">
        <w:rPr>
          <w:b/>
          <w:bCs/>
        </w:rPr>
        <w:lastRenderedPageBreak/>
        <w:t xml:space="preserve">Figure </w:t>
      </w:r>
      <w:r w:rsidR="008E1426">
        <w:rPr>
          <w:b/>
          <w:bCs/>
        </w:rPr>
        <w:t>2</w:t>
      </w:r>
      <w:r w:rsidRPr="00755454">
        <w:rPr>
          <w:b/>
          <w:bCs/>
        </w:rPr>
        <w:t>: Key design dimensions of IP regimes</w:t>
      </w:r>
    </w:p>
    <w:p w14:paraId="33BE34E6" w14:textId="5AC1CE02" w:rsidR="00755454" w:rsidRDefault="00755454" w:rsidP="00755454">
      <w:pPr>
        <w:pStyle w:val="TextOpensans"/>
        <w:spacing w:after="0"/>
        <w:rPr>
          <w:highlight w:val="yellow"/>
        </w:rPr>
      </w:pPr>
      <w:r w:rsidRPr="00755454">
        <w:rPr>
          <w:noProof/>
          <w:lang w:eastAsia="en-AU"/>
        </w:rPr>
        <w:drawing>
          <wp:inline distT="0" distB="0" distL="0" distR="0" wp14:anchorId="2C3EBE57" wp14:editId="108550D3">
            <wp:extent cx="5904230" cy="2555875"/>
            <wp:effectExtent l="0" t="0" r="1270" b="0"/>
            <wp:docPr id="7" name="Picture 7" descr="Picture outlining different parts of a generic patent box regime:&#10;A: Qualifying IP&#10;B: IP Development Conditions&#10;C: Qualifying Income&#10;D: Qualifying Profits&#10;E: Tax Relief&#10;F: Qualifying Taxpayer&#10;G: Other design f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icture outlining different parts of a generic patent box regime:&#10;A: Qualifying IP&#10;B: IP Development Conditions&#10;C: Qualifying Income&#10;D: Qualifying Profits&#10;E: Tax Relief&#10;F: Qualifying Taxpayer&#10;G: Other design features"/>
                    <pic:cNvPicPr/>
                  </pic:nvPicPr>
                  <pic:blipFill>
                    <a:blip r:embed="rId17"/>
                    <a:stretch>
                      <a:fillRect/>
                    </a:stretch>
                  </pic:blipFill>
                  <pic:spPr>
                    <a:xfrm>
                      <a:off x="0" y="0"/>
                      <a:ext cx="5904230" cy="2555875"/>
                    </a:xfrm>
                    <a:prstGeom prst="rect">
                      <a:avLst/>
                    </a:prstGeom>
                  </pic:spPr>
                </pic:pic>
              </a:graphicData>
            </a:graphic>
          </wp:inline>
        </w:drawing>
      </w:r>
    </w:p>
    <w:p w14:paraId="5808FC57" w14:textId="17028A46" w:rsidR="00755454" w:rsidRDefault="00755454" w:rsidP="007C4697">
      <w:pPr>
        <w:pStyle w:val="TextOpensans"/>
        <w:rPr>
          <w:i/>
          <w:iCs/>
        </w:rPr>
      </w:pPr>
      <w:r w:rsidRPr="00755454">
        <w:rPr>
          <w:i/>
          <w:iCs/>
        </w:rPr>
        <w:t>Source: OECD</w:t>
      </w:r>
    </w:p>
    <w:p w14:paraId="424B9AED" w14:textId="3A13B147" w:rsidR="003D19BB" w:rsidRDefault="003D19BB" w:rsidP="003D19BB">
      <w:pPr>
        <w:pStyle w:val="TextOpensans"/>
      </w:pPr>
      <w:r w:rsidRPr="00793A10">
        <w:t xml:space="preserve">If the regime </w:t>
      </w:r>
      <w:r w:rsidR="00C35DB5">
        <w:t>w</w:t>
      </w:r>
      <w:r w:rsidR="004B6D9B">
        <w:t>as</w:t>
      </w:r>
      <w:r w:rsidR="00C35DB5" w:rsidRPr="00793A10">
        <w:t xml:space="preserve"> </w:t>
      </w:r>
      <w:r w:rsidRPr="00793A10">
        <w:t xml:space="preserve">found to be </w:t>
      </w:r>
      <w:r>
        <w:t xml:space="preserve">a </w:t>
      </w:r>
      <w:r w:rsidRPr="00793A10">
        <w:t xml:space="preserve">harmful tax practice by the </w:t>
      </w:r>
      <w:r w:rsidR="00E274D7">
        <w:t xml:space="preserve">OECD </w:t>
      </w:r>
      <w:r w:rsidRPr="00793A10">
        <w:t xml:space="preserve">FHTP, then it is likely </w:t>
      </w:r>
      <w:r w:rsidR="00C35DB5">
        <w:t xml:space="preserve">that </w:t>
      </w:r>
      <w:r w:rsidRPr="00793A10">
        <w:t xml:space="preserve">Australia </w:t>
      </w:r>
      <w:r w:rsidR="00C35DB5">
        <w:t>would also</w:t>
      </w:r>
      <w:r w:rsidR="00C35DB5" w:rsidRPr="00793A10">
        <w:t xml:space="preserve"> </w:t>
      </w:r>
      <w:r w:rsidRPr="00793A10">
        <w:t>be listed on the EU List of Non-Cooperative Tax Jurisdictions</w:t>
      </w:r>
      <w:r>
        <w:t xml:space="preserve"> for Tax Purposes. This listing </w:t>
      </w:r>
      <w:r w:rsidRPr="00793A10">
        <w:t>risk</w:t>
      </w:r>
      <w:r>
        <w:t>s</w:t>
      </w:r>
      <w:r w:rsidRPr="00793A10">
        <w:t xml:space="preserve"> sanctions from any EU member state</w:t>
      </w:r>
      <w:r w:rsidR="00C35DB5">
        <w:t xml:space="preserve">, including higher withholding taxes, denying deductions and double taxation for </w:t>
      </w:r>
      <w:r w:rsidR="00C914B0">
        <w:t>Australian persons and entities</w:t>
      </w:r>
      <w:r w:rsidRPr="00793A10">
        <w:t xml:space="preserve">. </w:t>
      </w:r>
      <w:r w:rsidR="005A2340">
        <w:t>The Government</w:t>
      </w:r>
      <w:r w:rsidRPr="00793A10">
        <w:t xml:space="preserve"> has reduced this risk as much as possible by engaging </w:t>
      </w:r>
      <w:r w:rsidRPr="00B51EEE">
        <w:t>extensively</w:t>
      </w:r>
      <w:r w:rsidRPr="00793A10">
        <w:t xml:space="preserve"> with the </w:t>
      </w:r>
      <w:r w:rsidRPr="00B51EEE">
        <w:t>FHTP</w:t>
      </w:r>
      <w:r w:rsidR="00206832">
        <w:t>’s</w:t>
      </w:r>
      <w:r>
        <w:t xml:space="preserve"> </w:t>
      </w:r>
      <w:r w:rsidR="00206832">
        <w:t>S</w:t>
      </w:r>
      <w:r w:rsidRPr="00793A10">
        <w:t>ecretariat</w:t>
      </w:r>
      <w:r w:rsidR="00206832">
        <w:t xml:space="preserve">, which advises the FHTP on whether regimes are harmful tax </w:t>
      </w:r>
      <w:r w:rsidR="00933B0B">
        <w:t>practices</w:t>
      </w:r>
      <w:r w:rsidRPr="00793A10">
        <w:t xml:space="preserve">. </w:t>
      </w:r>
    </w:p>
    <w:p w14:paraId="69C165F8" w14:textId="52198992" w:rsidR="00684C3A" w:rsidRDefault="00684C3A" w:rsidP="00161693">
      <w:pPr>
        <w:pStyle w:val="H3Opensans"/>
        <w:rPr>
          <w:lang w:eastAsia="en-AU"/>
        </w:rPr>
      </w:pPr>
      <w:r>
        <w:rPr>
          <w:lang w:eastAsia="en-AU"/>
        </w:rPr>
        <w:t xml:space="preserve">Eligible </w:t>
      </w:r>
      <w:r w:rsidR="005A42F5">
        <w:rPr>
          <w:lang w:eastAsia="en-AU"/>
        </w:rPr>
        <w:t>IP</w:t>
      </w:r>
    </w:p>
    <w:p w14:paraId="4B0617F8" w14:textId="0DF7CEE2" w:rsidR="00684C3A" w:rsidRDefault="007C6018" w:rsidP="00487EED">
      <w:pPr>
        <w:pStyle w:val="TextOpensans"/>
      </w:pPr>
      <w:r>
        <w:t>Some</w:t>
      </w:r>
      <w:r w:rsidR="00487EED">
        <w:t xml:space="preserve"> patent box regimes include wider type</w:t>
      </w:r>
      <w:r w:rsidR="00D76EEC">
        <w:t>s</w:t>
      </w:r>
      <w:r w:rsidR="00487EED">
        <w:t xml:space="preserve"> of IP (see </w:t>
      </w:r>
      <w:r w:rsidR="00487EED" w:rsidRPr="00487EED">
        <w:rPr>
          <w:u w:val="single"/>
        </w:rPr>
        <w:t>Attachment A</w:t>
      </w:r>
      <w:r w:rsidR="00487EED">
        <w:t xml:space="preserve">). </w:t>
      </w:r>
      <w:r>
        <w:t>This option prioritises</w:t>
      </w:r>
      <w:r w:rsidR="00487EED">
        <w:t xml:space="preserve"> legally defined IP that is confirmed to entail an inventive step</w:t>
      </w:r>
      <w:r w:rsidR="00D76EEC">
        <w:t xml:space="preserve">, namely, </w:t>
      </w:r>
      <w:r w:rsidR="00095671">
        <w:t>standard patents</w:t>
      </w:r>
      <w:r w:rsidR="00D76EEC">
        <w:t xml:space="preserve"> granted by IP Australia. </w:t>
      </w:r>
      <w:r w:rsidR="00095671">
        <w:t>This is because standard patents are</w:t>
      </w:r>
      <w:r w:rsidR="00EC3818" w:rsidRPr="00EC3818">
        <w:t xml:space="preserve"> the type of IP primarily used by firms in the medical and biotechnology sector to protect their innovations, and </w:t>
      </w:r>
      <w:r w:rsidR="00935BC3">
        <w:t>such innovations (involving an inventive step)</w:t>
      </w:r>
      <w:r w:rsidR="00EC3818" w:rsidRPr="00EC3818">
        <w:t xml:space="preserve"> are associated with genuine economic activity in the form of research and development and manufacturing</w:t>
      </w:r>
      <w:r w:rsidR="00EC3818">
        <w:t xml:space="preserve">. </w:t>
      </w:r>
    </w:p>
    <w:p w14:paraId="72300DA7" w14:textId="777F83C3" w:rsidR="008B0A36" w:rsidRDefault="00B77D42" w:rsidP="00161693">
      <w:pPr>
        <w:pStyle w:val="H3Opensans"/>
        <w:rPr>
          <w:lang w:eastAsia="en-AU"/>
        </w:rPr>
      </w:pPr>
      <w:r>
        <w:rPr>
          <w:lang w:eastAsia="en-AU"/>
        </w:rPr>
        <w:t>IP</w:t>
      </w:r>
      <w:r w:rsidRPr="00B77D42">
        <w:rPr>
          <w:lang w:eastAsia="en-AU"/>
        </w:rPr>
        <w:t xml:space="preserve"> Development conditions</w:t>
      </w:r>
    </w:p>
    <w:p w14:paraId="6B99887A" w14:textId="77777777" w:rsidR="00D60D71" w:rsidRDefault="00A012C8" w:rsidP="00D60D71">
      <w:pPr>
        <w:pStyle w:val="TextOpensans"/>
      </w:pPr>
      <w:r>
        <w:t>As part of the OECD’s substantial activity requirement, the nexus approach creates a link between the benefits of a patent box and the extent that the underlying R&amp;D that generated the intellectual property was undertaken by the taxpayer in the home jurisdiction. The BEPS Action 5 report specifies that the nexus approach, which is a combination of existing transfer pricing rules and an R&amp;D fraction, must be used to limit the amount of patent income which can receive concessional treatment in a patent box.</w:t>
      </w:r>
      <w:r w:rsidR="00D60D71">
        <w:t xml:space="preserve"> </w:t>
      </w:r>
    </w:p>
    <w:p w14:paraId="5039CC07" w14:textId="727F7483" w:rsidR="00A012C8" w:rsidRDefault="00D60D71" w:rsidP="006C267D">
      <w:pPr>
        <w:pStyle w:val="TextOpensans"/>
      </w:pPr>
      <w:r>
        <w:t xml:space="preserve">Each patent box income stream has its own R&amp;D fraction, and income is multiplied by the R&amp;D fraction before receiving concessional treatment. This means that benefits under a patent box must decrease where the taxpayer does not conduct the R&amp;D itself, but either outsources R&amp;D activities to a related party overseas or acquires intellectual property developed by another party. </w:t>
      </w:r>
      <w:r w:rsidR="00331DC4">
        <w:t xml:space="preserve">The mechanism to implement </w:t>
      </w:r>
      <w:r w:rsidR="0097523C">
        <w:t>the R&amp;D fraction, as</w:t>
      </w:r>
      <w:r w:rsidR="00331DC4">
        <w:t xml:space="preserve"> specified </w:t>
      </w:r>
      <w:r w:rsidR="0097523C">
        <w:lastRenderedPageBreak/>
        <w:t>in</w:t>
      </w:r>
      <w:r w:rsidR="00331DC4">
        <w:t xml:space="preserve"> the </w:t>
      </w:r>
      <w:r w:rsidR="00331DC4" w:rsidRPr="00634A3C">
        <w:t>BEPS Action 5 Report</w:t>
      </w:r>
      <w:r w:rsidR="0097523C">
        <w:t xml:space="preserve">, is in </w:t>
      </w:r>
      <w:r w:rsidR="00331DC4">
        <w:t xml:space="preserve">Figure </w:t>
      </w:r>
      <w:r w:rsidR="00331DC4" w:rsidRPr="00397966">
        <w:t>4</w:t>
      </w:r>
      <w:r w:rsidR="00331DC4">
        <w:t xml:space="preserve"> below.</w:t>
      </w:r>
      <w:r w:rsidR="0097523C">
        <w:t xml:space="preserve"> In conjunction with the R&amp;D fraction, </w:t>
      </w:r>
      <w:r w:rsidR="00AF3CA3">
        <w:t>transfer pricing prevents the taxpayer from benefiting from the patent box to the extent the R&amp;D was conducted overseas by one of its permanent establishments. This means that, i</w:t>
      </w:r>
      <w:r w:rsidRPr="001B0929">
        <w:t>n principle, a taxpayer can only benefit from the patent box to the extent the underlying R&amp;D was undertaken by the taxpayer</w:t>
      </w:r>
      <w:r>
        <w:t xml:space="preserve"> in Australia</w:t>
      </w:r>
      <w:r w:rsidR="00AF3CA3">
        <w:t xml:space="preserve">, which </w:t>
      </w:r>
      <w:r w:rsidRPr="001B0929">
        <w:t xml:space="preserve">protects profits from being shifted artificially </w:t>
      </w:r>
      <w:r w:rsidR="0097523C">
        <w:t>overseas</w:t>
      </w:r>
      <w:r w:rsidRPr="001B0929">
        <w:t xml:space="preserve"> where value is created</w:t>
      </w:r>
      <w:r w:rsidR="0097523C">
        <w:t xml:space="preserve"> in Australia</w:t>
      </w:r>
      <w:r w:rsidRPr="001B0929">
        <w:t>.</w:t>
      </w:r>
      <w:r>
        <w:t xml:space="preserve"> </w:t>
      </w:r>
    </w:p>
    <w:p w14:paraId="2A73DD6D" w14:textId="2B4B91A5" w:rsidR="00B5704B" w:rsidRPr="00B5704B" w:rsidRDefault="00B5704B" w:rsidP="00397966">
      <w:pPr>
        <w:pStyle w:val="TextOpensans"/>
        <w:keepNext/>
        <w:spacing w:after="0"/>
        <w:rPr>
          <w:b/>
          <w:bCs/>
        </w:rPr>
      </w:pPr>
      <w:r w:rsidRPr="00B5704B">
        <w:rPr>
          <w:b/>
          <w:bCs/>
        </w:rPr>
        <w:t>Figure 4: Nexus fraction as specified by the BEPS Action 5 Report</w:t>
      </w:r>
    </w:p>
    <w:p w14:paraId="66C7A9B2" w14:textId="77777777" w:rsidR="00A25585" w:rsidRDefault="00B5704B" w:rsidP="001B0929">
      <w:pPr>
        <w:pStyle w:val="TextOpensans"/>
      </w:pPr>
      <w:r>
        <w:rPr>
          <w:noProof/>
          <w:lang w:eastAsia="en-AU"/>
        </w:rPr>
        <w:drawing>
          <wp:inline distT="0" distB="0" distL="0" distR="0" wp14:anchorId="31AABAAB" wp14:editId="7ABED379">
            <wp:extent cx="5904230" cy="2806065"/>
            <wp:effectExtent l="19050" t="19050" r="20320" b="13335"/>
            <wp:docPr id="8" name="Picture 8" descr="This text box outlines the OECD nexus fraction requirements. The fraction measures has 'qualifying R&amp;D expenditures to develop IP asset' on the numerator and 'overall R&amp;D expenditures to develop the IP asse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text box outlines the OECD nexus fraction requirements. The fraction measures has 'qualifying R&amp;D expenditures to develop IP asset' on the numerator and 'overall R&amp;D expenditures to develop the IP asset&quot;"/>
                    <pic:cNvPicPr/>
                  </pic:nvPicPr>
                  <pic:blipFill>
                    <a:blip r:embed="rId18"/>
                    <a:stretch>
                      <a:fillRect/>
                    </a:stretch>
                  </pic:blipFill>
                  <pic:spPr>
                    <a:xfrm>
                      <a:off x="0" y="0"/>
                      <a:ext cx="5904230" cy="2806065"/>
                    </a:xfrm>
                    <a:prstGeom prst="rect">
                      <a:avLst/>
                    </a:prstGeom>
                    <a:ln>
                      <a:solidFill>
                        <a:schemeClr val="accent1"/>
                      </a:solidFill>
                    </a:ln>
                  </pic:spPr>
                </pic:pic>
              </a:graphicData>
            </a:graphic>
          </wp:inline>
        </w:drawing>
      </w:r>
    </w:p>
    <w:p w14:paraId="427891EC" w14:textId="2283AD56" w:rsidR="001B0929" w:rsidRDefault="001B0929" w:rsidP="001B0929">
      <w:pPr>
        <w:pStyle w:val="TextOpensans"/>
      </w:pPr>
      <w:r>
        <w:t xml:space="preserve">Countries are open to </w:t>
      </w:r>
      <w:r w:rsidR="00AF3CA3">
        <w:t>define R&amp;D expenditure for the purpose of the R&amp;D fraction</w:t>
      </w:r>
      <w:r>
        <w:t xml:space="preserve"> in a variety of ways. For instance, there is the option to leverage existing regimes that already administer R&amp;D activities. </w:t>
      </w:r>
      <w:r w:rsidR="0055164C">
        <w:t xml:space="preserve">Option 2 </w:t>
      </w:r>
      <w:r w:rsidRPr="003C0F8B">
        <w:t>leverage</w:t>
      </w:r>
      <w:r w:rsidR="0055164C">
        <w:t>s</w:t>
      </w:r>
      <w:r w:rsidRPr="003C0F8B">
        <w:t xml:space="preserve"> the R&amp;D</w:t>
      </w:r>
      <w:r w:rsidR="00365166">
        <w:t>TI</w:t>
      </w:r>
      <w:r w:rsidRPr="003C0F8B">
        <w:t xml:space="preserve"> as a basis for determining qualifying R&amp;D expenditure. This is intended to provide taxpayers with a means to apply the nexus fraction through the existing R&amp;D legislative framework. This approach limits the overall compliance burden and ensures the benefit provided by the patent box is proportional to the R&amp;D that the taxpayer has undertaken in Australia. Given the cumulative effect of the R&amp;D Tax Incentive and the patent box, similar to other patent box regimes, the benefit available under the patent box may be reduced where the outcome is misaligned with Australia’s commitment to the OECD’s two-pillar solution for addressing the tax challenges of the digital economy.  </w:t>
      </w:r>
    </w:p>
    <w:p w14:paraId="379635B1" w14:textId="714EEE44" w:rsidR="007D230C" w:rsidRPr="002019E3" w:rsidRDefault="001D5774" w:rsidP="007D230C">
      <w:pPr>
        <w:pStyle w:val="TextOpensans"/>
        <w:rPr>
          <w:rFonts w:eastAsia="Times New Roman"/>
          <w:lang w:eastAsia="en-AU"/>
        </w:rPr>
      </w:pPr>
      <w:r>
        <w:rPr>
          <w:lang w:eastAsia="en-AU"/>
        </w:rPr>
        <w:t xml:space="preserve">The OECD </w:t>
      </w:r>
      <w:r w:rsidR="007640A1">
        <w:rPr>
          <w:lang w:eastAsia="en-AU"/>
        </w:rPr>
        <w:t>FHTP</w:t>
      </w:r>
      <w:r>
        <w:rPr>
          <w:lang w:eastAsia="en-AU"/>
        </w:rPr>
        <w:t xml:space="preserve"> permit countries</w:t>
      </w:r>
      <w:r w:rsidR="0055164C">
        <w:rPr>
          <w:lang w:eastAsia="en-AU"/>
        </w:rPr>
        <w:t xml:space="preserve"> to take either an entity or jurisdictional approach for their R&amp;D fraction calculations, the difference being that </w:t>
      </w:r>
      <w:r>
        <w:rPr>
          <w:lang w:eastAsia="en-AU"/>
        </w:rPr>
        <w:t xml:space="preserve">a jurisdictional approach permits domestic related party costs to be included in the fraction’s numerator while the entity approach does not. Option 2 follows a jurisdictional approach. </w:t>
      </w:r>
      <w:r w:rsidR="001B2E7A">
        <w:rPr>
          <w:rFonts w:eastAsia="Times New Roman"/>
          <w:lang w:eastAsia="en-AU"/>
        </w:rPr>
        <w:t>The</w:t>
      </w:r>
      <w:r w:rsidR="001B2E7A" w:rsidRPr="0043119B">
        <w:rPr>
          <w:rFonts w:eastAsia="Times New Roman"/>
          <w:lang w:eastAsia="en-AU"/>
        </w:rPr>
        <w:t xml:space="preserve"> </w:t>
      </w:r>
      <w:r w:rsidR="007640A1">
        <w:rPr>
          <w:rFonts w:eastAsia="Times New Roman"/>
          <w:lang w:eastAsia="en-AU"/>
        </w:rPr>
        <w:t>FHTP</w:t>
      </w:r>
      <w:r w:rsidR="001B2E7A" w:rsidRPr="0043119B">
        <w:rPr>
          <w:rFonts w:eastAsia="Times New Roman"/>
          <w:lang w:eastAsia="en-AU"/>
        </w:rPr>
        <w:t xml:space="preserve"> Secretariat</w:t>
      </w:r>
      <w:r w:rsidR="001B2E7A" w:rsidDel="00E619E4">
        <w:rPr>
          <w:lang w:eastAsia="en-AU"/>
        </w:rPr>
        <w:t xml:space="preserve"> </w:t>
      </w:r>
      <w:r w:rsidR="001B2E7A">
        <w:rPr>
          <w:lang w:eastAsia="en-AU"/>
        </w:rPr>
        <w:t>has advised the numerator cannot</w:t>
      </w:r>
      <w:r w:rsidR="00E619E4">
        <w:rPr>
          <w:lang w:eastAsia="en-AU"/>
        </w:rPr>
        <w:t xml:space="preserve"> </w:t>
      </w:r>
      <w:r w:rsidR="007D230C" w:rsidRPr="0043119B">
        <w:rPr>
          <w:rFonts w:eastAsia="Times New Roman"/>
          <w:lang w:eastAsia="en-AU"/>
        </w:rPr>
        <w:t xml:space="preserve">include </w:t>
      </w:r>
      <w:r w:rsidR="007D230C">
        <w:rPr>
          <w:rFonts w:eastAsia="Times New Roman"/>
          <w:lang w:eastAsia="en-AU"/>
        </w:rPr>
        <w:t xml:space="preserve">costs attributable to </w:t>
      </w:r>
      <w:r w:rsidR="007D230C" w:rsidRPr="0043119B">
        <w:rPr>
          <w:rFonts w:eastAsia="Times New Roman"/>
          <w:lang w:eastAsia="en-AU"/>
        </w:rPr>
        <w:t>overseas clinical trials</w:t>
      </w:r>
      <w:r w:rsidR="007D230C">
        <w:rPr>
          <w:rFonts w:eastAsia="Times New Roman"/>
          <w:lang w:eastAsia="en-AU"/>
        </w:rPr>
        <w:t xml:space="preserve">, </w:t>
      </w:r>
      <w:r w:rsidR="001B2E7A">
        <w:rPr>
          <w:rFonts w:eastAsia="Times New Roman"/>
          <w:lang w:eastAsia="en-AU"/>
        </w:rPr>
        <w:t>regardless of whether an entity or jurisdictional approach</w:t>
      </w:r>
      <w:r w:rsidR="004F7E94">
        <w:rPr>
          <w:rFonts w:eastAsia="Times New Roman"/>
          <w:lang w:eastAsia="en-AU"/>
        </w:rPr>
        <w:t xml:space="preserve"> is used</w:t>
      </w:r>
      <w:r w:rsidR="001B2E7A">
        <w:rPr>
          <w:rFonts w:eastAsia="Times New Roman"/>
          <w:lang w:eastAsia="en-AU"/>
        </w:rPr>
        <w:t>, despite these being</w:t>
      </w:r>
      <w:r w:rsidR="007D230C">
        <w:rPr>
          <w:rFonts w:eastAsia="Times New Roman"/>
          <w:lang w:eastAsia="en-AU"/>
        </w:rPr>
        <w:t xml:space="preserve"> included as eligible expenditure under the R&amp;DTI under certain circumstances. </w:t>
      </w:r>
    </w:p>
    <w:p w14:paraId="2DE3C550" w14:textId="0692AA4A" w:rsidR="002019E3" w:rsidRPr="0043119B" w:rsidRDefault="002C42B8" w:rsidP="002019E3">
      <w:pPr>
        <w:pStyle w:val="TextOpensans"/>
        <w:rPr>
          <w:rFonts w:eastAsia="Times New Roman"/>
          <w:lang w:eastAsia="en-AU"/>
        </w:rPr>
      </w:pPr>
      <w:r>
        <w:t>The OECD all</w:t>
      </w:r>
      <w:r w:rsidR="009E4405">
        <w:t>ows</w:t>
      </w:r>
      <w:r>
        <w:t xml:space="preserve"> a 30 per cent uplift, which is implemented by </w:t>
      </w:r>
      <w:r w:rsidR="0008712A">
        <w:t xml:space="preserve">the </w:t>
      </w:r>
      <w:r>
        <w:t xml:space="preserve">1.3 factor placed in the numerator of the fraction (see </w:t>
      </w:r>
      <w:r w:rsidRPr="002C42B8">
        <w:rPr>
          <w:u w:val="single"/>
        </w:rPr>
        <w:t>Attachment A</w:t>
      </w:r>
      <w:r>
        <w:t xml:space="preserve">). </w:t>
      </w:r>
      <w:r w:rsidR="00833576">
        <w:t xml:space="preserve">Option 2 </w:t>
      </w:r>
      <w:r>
        <w:t>include</w:t>
      </w:r>
      <w:r w:rsidR="00833576">
        <w:t>s</w:t>
      </w:r>
      <w:r>
        <w:t xml:space="preserve"> this factor in the fraction </w:t>
      </w:r>
      <w:r w:rsidR="002019E3">
        <w:rPr>
          <w:rFonts w:eastAsia="Times New Roman"/>
          <w:lang w:eastAsia="en-AU"/>
        </w:rPr>
        <w:lastRenderedPageBreak/>
        <w:t>because</w:t>
      </w:r>
      <w:r w:rsidR="002019E3" w:rsidRPr="0043119B">
        <w:rPr>
          <w:rFonts w:eastAsia="Times New Roman"/>
          <w:lang w:eastAsia="en-AU"/>
        </w:rPr>
        <w:t xml:space="preserve"> </w:t>
      </w:r>
      <w:r w:rsidR="007B7291">
        <w:rPr>
          <w:rFonts w:eastAsia="Times New Roman"/>
          <w:lang w:eastAsia="en-AU"/>
        </w:rPr>
        <w:t>some</w:t>
      </w:r>
      <w:r w:rsidR="007B7291" w:rsidRPr="0043119B">
        <w:rPr>
          <w:rFonts w:eastAsia="Times New Roman"/>
          <w:lang w:eastAsia="en-AU"/>
        </w:rPr>
        <w:t xml:space="preserve"> </w:t>
      </w:r>
      <w:r w:rsidR="007D230C">
        <w:rPr>
          <w:rFonts w:eastAsia="Times New Roman"/>
          <w:lang w:eastAsia="en-AU"/>
        </w:rPr>
        <w:t xml:space="preserve">clinical </w:t>
      </w:r>
      <w:r w:rsidR="007B7291" w:rsidRPr="0043119B">
        <w:rPr>
          <w:rFonts w:eastAsia="Times New Roman"/>
          <w:lang w:eastAsia="en-AU"/>
        </w:rPr>
        <w:t xml:space="preserve">trials </w:t>
      </w:r>
      <w:r w:rsidR="007B7291">
        <w:rPr>
          <w:rFonts w:eastAsia="Times New Roman"/>
          <w:lang w:eastAsia="en-AU"/>
        </w:rPr>
        <w:t>can</w:t>
      </w:r>
      <w:r w:rsidR="007B7291" w:rsidRPr="0043119B">
        <w:rPr>
          <w:rFonts w:eastAsia="Times New Roman"/>
          <w:lang w:eastAsia="en-AU"/>
        </w:rPr>
        <w:t xml:space="preserve">not be conducted in Australia due to the lack of expertise, access to equipment, quarantine regulatory requirements, capacity constraints within the supply chain and low population size in Australia. </w:t>
      </w:r>
    </w:p>
    <w:p w14:paraId="5EA66F6B" w14:textId="408052D4" w:rsidR="001B17E8" w:rsidRPr="001B17E8" w:rsidRDefault="00B77D42" w:rsidP="00161693">
      <w:pPr>
        <w:pStyle w:val="H3Opensans"/>
        <w:rPr>
          <w:lang w:eastAsia="en-AU"/>
        </w:rPr>
      </w:pPr>
      <w:r w:rsidRPr="00B77D42">
        <w:rPr>
          <w:lang w:eastAsia="en-AU"/>
        </w:rPr>
        <w:t>Qualifying IP income</w:t>
      </w:r>
    </w:p>
    <w:p w14:paraId="038A0764" w14:textId="047E7422" w:rsidR="004D3736" w:rsidRDefault="00C273F0" w:rsidP="004D3736">
      <w:pPr>
        <w:pStyle w:val="TextOpensans"/>
      </w:pPr>
      <w:r>
        <w:t xml:space="preserve">The common types of income associated with patents reflect both </w:t>
      </w:r>
      <w:proofErr w:type="gramStart"/>
      <w:r>
        <w:t>revenue</w:t>
      </w:r>
      <w:proofErr w:type="gramEnd"/>
      <w:r w:rsidR="00D72C78">
        <w:t xml:space="preserve"> </w:t>
      </w:r>
      <w:r>
        <w:t>earned from licensing</w:t>
      </w:r>
      <w:r w:rsidR="00ED5891">
        <w:t xml:space="preserve"> </w:t>
      </w:r>
      <w:r w:rsidR="006C7C16">
        <w:t xml:space="preserve">of </w:t>
      </w:r>
      <w:r>
        <w:t xml:space="preserve">the patent or capital gains proceeds from the sale of the patent (along with damages from infringement). Consultation proposed these forms of income as the scope of eligible income, which was supported by stakeholders. </w:t>
      </w:r>
      <w:r w:rsidR="004276AA" w:rsidRPr="002518CC">
        <w:t>The Government</w:t>
      </w:r>
      <w:r w:rsidR="002518CC" w:rsidRPr="002518CC">
        <w:t xml:space="preserve">’s discussion paper </w:t>
      </w:r>
      <w:r w:rsidR="00605454">
        <w:t xml:space="preserve">specifically proposed </w:t>
      </w:r>
      <w:r w:rsidR="004276AA" w:rsidRPr="002518CC">
        <w:t xml:space="preserve">that </w:t>
      </w:r>
      <w:r w:rsidR="004D3736" w:rsidRPr="002518CC">
        <w:t xml:space="preserve">the following forms of IP income </w:t>
      </w:r>
      <w:r w:rsidR="001502CB" w:rsidRPr="002518CC">
        <w:t>will be</w:t>
      </w:r>
      <w:r w:rsidR="004D3736" w:rsidRPr="002518CC">
        <w:t xml:space="preserve"> eligible</w:t>
      </w:r>
      <w:r w:rsidR="001502CB" w:rsidRPr="002518CC">
        <w:t xml:space="preserve"> for the patent box</w:t>
      </w:r>
      <w:r w:rsidR="004D3736" w:rsidRPr="002518CC">
        <w:t>:</w:t>
      </w:r>
    </w:p>
    <w:p w14:paraId="614A4598" w14:textId="1C80200E" w:rsidR="004D3736" w:rsidRDefault="004D3736" w:rsidP="00766C44">
      <w:pPr>
        <w:pStyle w:val="TextOpensans"/>
        <w:numPr>
          <w:ilvl w:val="0"/>
          <w:numId w:val="28"/>
        </w:numPr>
      </w:pPr>
      <w:r>
        <w:t>Proceeds from the sale of the IP asset</w:t>
      </w:r>
    </w:p>
    <w:p w14:paraId="795CAFE2" w14:textId="0623A374" w:rsidR="004D3736" w:rsidRDefault="004D3736" w:rsidP="00766C44">
      <w:pPr>
        <w:pStyle w:val="TextOpensans"/>
        <w:numPr>
          <w:ilvl w:val="0"/>
          <w:numId w:val="28"/>
        </w:numPr>
      </w:pPr>
      <w:r>
        <w:t>License fees</w:t>
      </w:r>
    </w:p>
    <w:p w14:paraId="73D45EDE" w14:textId="20425D67" w:rsidR="004D3736" w:rsidRDefault="004D3736" w:rsidP="00766C44">
      <w:pPr>
        <w:pStyle w:val="TextOpensans"/>
        <w:numPr>
          <w:ilvl w:val="0"/>
          <w:numId w:val="28"/>
        </w:numPr>
      </w:pPr>
      <w:r>
        <w:t>Sale of products using the IP asset (embedded goods)</w:t>
      </w:r>
    </w:p>
    <w:p w14:paraId="35486EE6" w14:textId="2D05FE1A" w:rsidR="004D3736" w:rsidRDefault="004D3736" w:rsidP="00766C44">
      <w:pPr>
        <w:pStyle w:val="TextOpensans"/>
        <w:numPr>
          <w:ilvl w:val="0"/>
          <w:numId w:val="28"/>
        </w:numPr>
      </w:pPr>
      <w:r>
        <w:t>Damages for infringement</w:t>
      </w:r>
    </w:p>
    <w:p w14:paraId="58C3D1C5" w14:textId="395B85E3" w:rsidR="004F5C2A" w:rsidRDefault="004D3736" w:rsidP="00766C44">
      <w:pPr>
        <w:pStyle w:val="TextOpensans"/>
        <w:numPr>
          <w:ilvl w:val="0"/>
          <w:numId w:val="28"/>
        </w:numPr>
      </w:pPr>
      <w:r>
        <w:t>Other compensation (from infringement)</w:t>
      </w:r>
    </w:p>
    <w:p w14:paraId="43C0E4C9" w14:textId="7AFE05A0" w:rsidR="000A162A" w:rsidRDefault="000A162A" w:rsidP="000A162A">
      <w:pPr>
        <w:pStyle w:val="TextOpensans"/>
      </w:pPr>
      <w:r>
        <w:t xml:space="preserve">Stakeholders </w:t>
      </w:r>
      <w:r w:rsidR="00833576">
        <w:t>raised</w:t>
      </w:r>
      <w:r>
        <w:t xml:space="preserve"> that income attributable to patents is often earned before a patent product goes to market or even before a patent is granted. </w:t>
      </w:r>
      <w:r w:rsidR="00833576">
        <w:t xml:space="preserve">Option 2 therefore </w:t>
      </w:r>
      <w:r>
        <w:t>allow</w:t>
      </w:r>
      <w:r w:rsidR="00833576">
        <w:t>s</w:t>
      </w:r>
      <w:r>
        <w:t xml:space="preserve"> these payments (known as ‘milestone payments’) to be included in the patent box. </w:t>
      </w:r>
    </w:p>
    <w:p w14:paraId="41C77CD7" w14:textId="77777777" w:rsidR="00284735" w:rsidRPr="00146691" w:rsidRDefault="00284735" w:rsidP="00161693">
      <w:pPr>
        <w:pStyle w:val="H3Opensans"/>
        <w:rPr>
          <w:lang w:eastAsia="en-AU"/>
        </w:rPr>
      </w:pPr>
      <w:r w:rsidRPr="00284735">
        <w:rPr>
          <w:lang w:eastAsia="en-AU"/>
        </w:rPr>
        <w:t>Apportioning eligible income</w:t>
      </w:r>
    </w:p>
    <w:p w14:paraId="133FB7EC" w14:textId="0D0B52DF" w:rsidR="00605454" w:rsidRDefault="00605454" w:rsidP="00605454">
      <w:pPr>
        <w:pStyle w:val="TextOpensans"/>
      </w:pPr>
      <w:r>
        <w:t>The OECD requires eligible income to be streamed so that</w:t>
      </w:r>
      <w:r w:rsidR="00C635B3">
        <w:t xml:space="preserve"> income attributable to marketing is removed. The Government’s announcement </w:t>
      </w:r>
      <w:r w:rsidR="007819CD">
        <w:t>provides</w:t>
      </w:r>
      <w:r w:rsidR="00C635B3">
        <w:t xml:space="preserve"> for</w:t>
      </w:r>
      <w:r>
        <w:t xml:space="preserve"> income attributable to the eligible patent </w:t>
      </w:r>
      <w:r w:rsidR="00957085">
        <w:t>to be</w:t>
      </w:r>
      <w:r>
        <w:t xml:space="preserve"> treated concessionally. </w:t>
      </w:r>
    </w:p>
    <w:p w14:paraId="1D0D2CDC" w14:textId="7E2ABDD6" w:rsidR="00284735" w:rsidRDefault="00284735" w:rsidP="00284735">
      <w:pPr>
        <w:pStyle w:val="TextOpensans"/>
      </w:pPr>
      <w:r>
        <w:t xml:space="preserve">Firms often do not sell their patent or license it directly, instead they often embed their patent into a product. </w:t>
      </w:r>
      <w:r w:rsidR="002443D6">
        <w:t>Therefore, the patent box l</w:t>
      </w:r>
      <w:r>
        <w:t>egislation must outline a method for entities to determine the income attributable to the eligible patent, separating that stream of income from other income streams derived from the final embedded product (</w:t>
      </w:r>
      <w:proofErr w:type="gramStart"/>
      <w:r>
        <w:t>e.g.</w:t>
      </w:r>
      <w:proofErr w:type="gramEnd"/>
      <w:r>
        <w:t xml:space="preserve"> income attributable to marketing). </w:t>
      </w:r>
    </w:p>
    <w:p w14:paraId="1D7EA4DA" w14:textId="31F7E934" w:rsidR="00284735" w:rsidRDefault="00284735" w:rsidP="00284735">
      <w:pPr>
        <w:pStyle w:val="TextOpensans"/>
      </w:pPr>
      <w:r>
        <w:t xml:space="preserve">There is the option to use transfer pricing principles </w:t>
      </w:r>
      <w:r w:rsidR="000A162A">
        <w:t xml:space="preserve">to </w:t>
      </w:r>
      <w:r>
        <w:t>attribute the income. T</w:t>
      </w:r>
      <w:r w:rsidRPr="00146691">
        <w:t xml:space="preserve">ransfer </w:t>
      </w:r>
      <w:r w:rsidR="004F7E94">
        <w:t>p</w:t>
      </w:r>
      <w:r w:rsidRPr="00146691">
        <w:t xml:space="preserve">ricing refers to the rules and methods for pricing transactions within and between enterprises under common ownership or control. </w:t>
      </w:r>
      <w:r w:rsidR="004F7E94">
        <w:t>Due to</w:t>
      </w:r>
      <w:r w:rsidRPr="00146691">
        <w:t xml:space="preserve"> the potential for cross</w:t>
      </w:r>
      <w:r w:rsidR="000475AB">
        <w:noBreakHyphen/>
      </w:r>
      <w:proofErr w:type="gramStart"/>
      <w:r w:rsidRPr="00146691">
        <w:t>border controlled</w:t>
      </w:r>
      <w:proofErr w:type="gramEnd"/>
      <w:r w:rsidRPr="00146691">
        <w:t xml:space="preserve"> transactions to distort taxable income, tax authorities in many countries can adjust intragroup transfer prices that differ from what would have been charged by unrelated enterprises dealing at arm’s length (</w:t>
      </w:r>
      <w:r>
        <w:t xml:space="preserve">this is known as </w:t>
      </w:r>
      <w:r w:rsidRPr="00146691">
        <w:t>the arm’s-length principle).</w:t>
      </w:r>
      <w:r>
        <w:t xml:space="preserve"> </w:t>
      </w:r>
    </w:p>
    <w:p w14:paraId="2B8B7726" w14:textId="4BB7A174" w:rsidR="007F7DE2" w:rsidRDefault="007F7DE2" w:rsidP="007F7DE2">
      <w:pPr>
        <w:pStyle w:val="TextOpensans"/>
      </w:pPr>
      <w:r w:rsidRPr="003163B7">
        <w:t xml:space="preserve">There </w:t>
      </w:r>
      <w:r w:rsidR="0058298C">
        <w:t>is</w:t>
      </w:r>
      <w:r w:rsidRPr="003163B7">
        <w:t xml:space="preserve"> the option to use simplified transfer pricing mechanisms that provide formulaic assumptions. For instance, the UK uses a ‘cost plus methodology’ to determine the value attributable to eligible IP. The UK Patent Box assumes a 10 per cent return on certain specified costs as representative of the returns to non-IP. The ‘cost plus amount’ is </w:t>
      </w:r>
      <w:r w:rsidRPr="003163B7">
        <w:lastRenderedPageBreak/>
        <w:t xml:space="preserve">removed from the taxable income that </w:t>
      </w:r>
      <w:r w:rsidR="003E5C87">
        <w:t>benefits</w:t>
      </w:r>
      <w:r w:rsidRPr="003163B7">
        <w:t xml:space="preserve"> </w:t>
      </w:r>
      <w:r w:rsidR="003E5C87">
        <w:t>from</w:t>
      </w:r>
      <w:r w:rsidRPr="003163B7">
        <w:t xml:space="preserve"> the UK’s concessional rate and is instead exposed to the headline rate. This approach </w:t>
      </w:r>
      <w:r w:rsidR="00471E03">
        <w:t>is</w:t>
      </w:r>
      <w:r w:rsidRPr="003163B7">
        <w:t xml:space="preserve"> used </w:t>
      </w:r>
      <w:r w:rsidR="004853B7">
        <w:t xml:space="preserve">by </w:t>
      </w:r>
      <w:proofErr w:type="gramStart"/>
      <w:r w:rsidR="004853B7">
        <w:t>Switzerland, but</w:t>
      </w:r>
      <w:proofErr w:type="gramEnd"/>
      <w:r w:rsidR="004853B7">
        <w:t xml:space="preserve"> delivered</w:t>
      </w:r>
      <w:r w:rsidRPr="003163B7">
        <w:t xml:space="preserve"> via a different mechanism (see </w:t>
      </w:r>
      <w:r w:rsidRPr="003163B7">
        <w:rPr>
          <w:u w:val="single"/>
        </w:rPr>
        <w:t>Attachment A</w:t>
      </w:r>
      <w:r w:rsidRPr="003163B7">
        <w:t xml:space="preserve">). </w:t>
      </w:r>
    </w:p>
    <w:p w14:paraId="30D40781" w14:textId="1A7BAA8D" w:rsidR="00CD6E01" w:rsidRDefault="005E6445" w:rsidP="005E6445">
      <w:pPr>
        <w:pStyle w:val="TextOpensans"/>
      </w:pPr>
      <w:r>
        <w:t>Stakeholder feedback indicated a preference for a simplified transfer pricing approach. However, the full transfer pricing approach</w:t>
      </w:r>
      <w:r w:rsidR="004B2784">
        <w:t xml:space="preserve"> is recommended by the OECD FHTP Secretariat and provides the highest level of integrity. Formulaic approaches provide more certainty to taxpayers, but often rely</w:t>
      </w:r>
      <w:r w:rsidR="00356121">
        <w:t xml:space="preserve"> on</w:t>
      </w:r>
      <w:r w:rsidR="004B2784">
        <w:t xml:space="preserve"> a fixed assumption </w:t>
      </w:r>
      <w:r w:rsidR="00356121">
        <w:t>regarding the</w:t>
      </w:r>
      <w:r w:rsidR="004B2784">
        <w:t xml:space="preserve"> proportion of income attributable to patents</w:t>
      </w:r>
      <w:r w:rsidR="00BD465E">
        <w:t xml:space="preserve"> – </w:t>
      </w:r>
      <w:r w:rsidR="00A02F0F">
        <w:t>this may undervalue the IP of some taxpayers and overvalue the IP of others</w:t>
      </w:r>
      <w:r w:rsidR="004B2784">
        <w:t xml:space="preserve">. Transfer pricing mechanisms rely on the facts and circumstances of each </w:t>
      </w:r>
      <w:r w:rsidR="00356121">
        <w:t>transaction</w:t>
      </w:r>
      <w:r w:rsidR="004B2784">
        <w:t xml:space="preserve"> to determine </w:t>
      </w:r>
      <w:r w:rsidR="00356121">
        <w:t xml:space="preserve">to attribute the income. </w:t>
      </w:r>
    </w:p>
    <w:p w14:paraId="6122B81D" w14:textId="0EBA355A" w:rsidR="000A162A" w:rsidRDefault="00CD6E01" w:rsidP="00284735">
      <w:pPr>
        <w:pStyle w:val="TextOpensans"/>
      </w:pPr>
      <w:r>
        <w:t xml:space="preserve">There is </w:t>
      </w:r>
      <w:r w:rsidR="005E6445">
        <w:t>a</w:t>
      </w:r>
      <w:r w:rsidR="005E6445" w:rsidRPr="00CD6E01">
        <w:t xml:space="preserve"> </w:t>
      </w:r>
      <w:r w:rsidRPr="00CD6E01">
        <w:t>trade-off between</w:t>
      </w:r>
      <w:r w:rsidR="005E6445">
        <w:t>, on the one hand,</w:t>
      </w:r>
      <w:r>
        <w:t xml:space="preserve"> minimising uncertainty</w:t>
      </w:r>
      <w:r w:rsidR="005E6445">
        <w:t xml:space="preserve"> and compliance costs for taxpayers and administration costs for the ATO with, on the other hand</w:t>
      </w:r>
      <w:r w:rsidR="00620D56">
        <w:t>,</w:t>
      </w:r>
      <w:r>
        <w:t xml:space="preserve"> </w:t>
      </w:r>
      <w:r w:rsidR="005E6445">
        <w:t xml:space="preserve">ensuring that </w:t>
      </w:r>
      <w:r w:rsidR="00662BA4">
        <w:t xml:space="preserve">taxpayers can only claim access to this generous concession to the extent </w:t>
      </w:r>
      <w:r w:rsidR="00184C6E">
        <w:t>merited by their economic activities</w:t>
      </w:r>
      <w:r w:rsidR="005E6445">
        <w:t xml:space="preserve">. </w:t>
      </w:r>
      <w:r w:rsidR="00662BA4">
        <w:t>On balance, Option 2 proposes the full transfer pricing approach as it would ensure that the benefits from the patent box are more closely targeted towards the commercialisation of eligible research and development performed in Australia, consistent with the Government’s intended purpose for the regime.</w:t>
      </w:r>
    </w:p>
    <w:p w14:paraId="2231D94D" w14:textId="27EBB8BD" w:rsidR="00991D38" w:rsidRDefault="00B77D42" w:rsidP="00161693">
      <w:pPr>
        <w:pStyle w:val="H3Opensans"/>
        <w:rPr>
          <w:lang w:eastAsia="en-AU"/>
        </w:rPr>
      </w:pPr>
      <w:r w:rsidRPr="00B77D42">
        <w:rPr>
          <w:lang w:eastAsia="en-AU"/>
        </w:rPr>
        <w:t xml:space="preserve">IP tax base: </w:t>
      </w:r>
      <w:r w:rsidR="00F51B7F">
        <w:rPr>
          <w:lang w:eastAsia="en-AU"/>
        </w:rPr>
        <w:t>Expenses</w:t>
      </w:r>
      <w:r w:rsidR="004276AA">
        <w:rPr>
          <w:lang w:eastAsia="en-AU"/>
        </w:rPr>
        <w:t xml:space="preserve"> and losses</w:t>
      </w:r>
    </w:p>
    <w:p w14:paraId="3C9178F8" w14:textId="0676FF92" w:rsidR="004F5C2A" w:rsidRDefault="007A2A61" w:rsidP="004F5C2A">
      <w:pPr>
        <w:pStyle w:val="TextOpensans"/>
      </w:pPr>
      <w:bookmarkStart w:id="170" w:name="_Toc82428771"/>
      <w:r>
        <w:t xml:space="preserve">The </w:t>
      </w:r>
      <w:r w:rsidRPr="00634A3C">
        <w:t>BEPS Action 5 Report</w:t>
      </w:r>
      <w:r>
        <w:t xml:space="preserve"> </w:t>
      </w:r>
      <w:r w:rsidR="001502CB">
        <w:t>requires that</w:t>
      </w:r>
      <w:r w:rsidR="004276AA" w:rsidRPr="004276AA">
        <w:t xml:space="preserve"> the tax rate at which expenses and losses are deducted</w:t>
      </w:r>
      <w:r w:rsidR="004276AA">
        <w:t xml:space="preserve"> must</w:t>
      </w:r>
      <w:r w:rsidR="004276AA" w:rsidRPr="004276AA">
        <w:t xml:space="preserve"> align with the tax rate at which IP income is taxed.</w:t>
      </w:r>
      <w:r w:rsidR="004276AA">
        <w:t xml:space="preserve"> This is known a</w:t>
      </w:r>
      <w:r w:rsidR="00160435">
        <w:t>s</w:t>
      </w:r>
      <w:r w:rsidR="004276AA">
        <w:t xml:space="preserve"> the symmetrical treatment of income and expenses. </w:t>
      </w:r>
    </w:p>
    <w:bookmarkEnd w:id="170"/>
    <w:p w14:paraId="2B630888" w14:textId="189D7FC9" w:rsidR="00BD7673" w:rsidRDefault="001502CB" w:rsidP="007F6769">
      <w:pPr>
        <w:pStyle w:val="TextOpensans"/>
      </w:pPr>
      <w:r>
        <w:t>A</w:t>
      </w:r>
      <w:r w:rsidR="00160435">
        <w:t xml:space="preserve"> practical implication of this rule is that expenses associated with generating eligible patents would have to be recorded</w:t>
      </w:r>
      <w:r w:rsidR="00733A29">
        <w:t xml:space="preserve"> and </w:t>
      </w:r>
      <w:r w:rsidR="00160435">
        <w:t xml:space="preserve">then deducted at the effective 17 per cent rate. R&amp;D spending that underpins a patent </w:t>
      </w:r>
      <w:r w:rsidR="00535157">
        <w:t>sometimes</w:t>
      </w:r>
      <w:r w:rsidR="00160435">
        <w:t xml:space="preserve"> </w:t>
      </w:r>
      <w:r w:rsidR="00535157">
        <w:t>precedes</w:t>
      </w:r>
      <w:r w:rsidR="00160435">
        <w:t xml:space="preserve"> the patent</w:t>
      </w:r>
      <w:r w:rsidR="000E1688">
        <w:t xml:space="preserve"> income</w:t>
      </w:r>
      <w:r w:rsidR="00160435">
        <w:t xml:space="preserve"> by 10 years or more. This requirement reduces the </w:t>
      </w:r>
      <w:proofErr w:type="spellStart"/>
      <w:r w:rsidR="004B1340">
        <w:t>concessional</w:t>
      </w:r>
      <w:r w:rsidR="00620D56">
        <w:t>ity</w:t>
      </w:r>
      <w:proofErr w:type="spellEnd"/>
      <w:r w:rsidR="00160435">
        <w:t xml:space="preserve"> of the regime and makes </w:t>
      </w:r>
      <w:r w:rsidR="00F22125">
        <w:t>compliance complex for</w:t>
      </w:r>
      <w:r w:rsidR="00160435">
        <w:t xml:space="preserve"> taxpayers and </w:t>
      </w:r>
      <w:r w:rsidR="00F22125">
        <w:t xml:space="preserve">administration resource intensive </w:t>
      </w:r>
      <w:r w:rsidR="00160435">
        <w:t xml:space="preserve">for the ATO. </w:t>
      </w:r>
      <w:r w:rsidR="00184C6E">
        <w:t xml:space="preserve"> For this reason, Option 2 proposes to </w:t>
      </w:r>
      <w:r w:rsidR="003E3A8A">
        <w:t>leverage the R&amp;DTI regime for determining R&amp;D expenses.</w:t>
      </w:r>
      <w:r w:rsidR="00BD7673">
        <w:t xml:space="preserve"> Background on the R&amp;DTI</w:t>
      </w:r>
      <w:r w:rsidR="0037770A">
        <w:t xml:space="preserve"> regime</w:t>
      </w:r>
      <w:r w:rsidR="00BD7673">
        <w:t xml:space="preserve"> is</w:t>
      </w:r>
      <w:r w:rsidR="0037770A">
        <w:t xml:space="preserve"> </w:t>
      </w:r>
      <w:r w:rsidR="00BD7673">
        <w:t>below.</w:t>
      </w:r>
    </w:p>
    <w:p w14:paraId="5FBEB97C" w14:textId="2C3A1431" w:rsidR="00BD7673" w:rsidRPr="00397966" w:rsidRDefault="00BD7673" w:rsidP="00BD7673">
      <w:pPr>
        <w:pStyle w:val="TextOpensans"/>
        <w:pBdr>
          <w:top w:val="single" w:sz="4" w:space="1" w:color="auto"/>
          <w:left w:val="single" w:sz="4" w:space="4" w:color="auto"/>
          <w:bottom w:val="single" w:sz="4" w:space="1" w:color="auto"/>
          <w:right w:val="single" w:sz="4" w:space="4" w:color="auto"/>
        </w:pBdr>
        <w:rPr>
          <w:b/>
          <w:bCs/>
        </w:rPr>
      </w:pPr>
      <w:r w:rsidRPr="00397966">
        <w:rPr>
          <w:b/>
          <w:bCs/>
        </w:rPr>
        <w:t>Short Primer on the R&amp;DTI regime</w:t>
      </w:r>
    </w:p>
    <w:p w14:paraId="404A4099" w14:textId="77777777" w:rsidR="00BD7673" w:rsidRDefault="00BD7673" w:rsidP="00BD7673">
      <w:pPr>
        <w:pStyle w:val="TextOpensans"/>
        <w:pBdr>
          <w:top w:val="single" w:sz="4" w:space="1" w:color="auto"/>
          <w:left w:val="single" w:sz="4" w:space="4" w:color="auto"/>
          <w:bottom w:val="single" w:sz="4" w:space="1" w:color="auto"/>
          <w:right w:val="single" w:sz="4" w:space="4" w:color="auto"/>
        </w:pBdr>
      </w:pPr>
      <w:r>
        <w:t>The research and development (R&amp;D) tax incentive encourages companies to engage in R&amp;D benefiting Australia, by providing a tax offset for eligible R&amp;D activities. It has two core components:</w:t>
      </w:r>
    </w:p>
    <w:p w14:paraId="541E15CA" w14:textId="7CC9B392" w:rsidR="00BD7673" w:rsidRDefault="00BD7673" w:rsidP="00BD7673">
      <w:pPr>
        <w:pStyle w:val="TextOpensans"/>
        <w:pBdr>
          <w:top w:val="single" w:sz="4" w:space="1" w:color="auto"/>
          <w:left w:val="single" w:sz="4" w:space="4" w:color="auto"/>
          <w:bottom w:val="single" w:sz="4" w:space="1" w:color="auto"/>
          <w:right w:val="single" w:sz="4" w:space="4" w:color="auto"/>
        </w:pBdr>
      </w:pPr>
      <w:r>
        <w:t>- a refundable tax offset for certain eligible entities whose aggregated turnover is less than $20 million</w:t>
      </w:r>
    </w:p>
    <w:p w14:paraId="4B25702B" w14:textId="0E8E9CB0" w:rsidR="00BD7673" w:rsidRDefault="00BD7673" w:rsidP="00BD7673">
      <w:pPr>
        <w:pStyle w:val="TextOpensans"/>
        <w:pBdr>
          <w:top w:val="single" w:sz="4" w:space="1" w:color="auto"/>
          <w:left w:val="single" w:sz="4" w:space="4" w:color="auto"/>
          <w:bottom w:val="single" w:sz="4" w:space="1" w:color="auto"/>
          <w:right w:val="single" w:sz="4" w:space="4" w:color="auto"/>
        </w:pBdr>
      </w:pPr>
      <w:r>
        <w:t>- a non-refundable tax offset for all other eligible entities.</w:t>
      </w:r>
    </w:p>
    <w:p w14:paraId="2A5D989E" w14:textId="1E372D41" w:rsidR="00BD7673" w:rsidRDefault="00BD7673" w:rsidP="00BD7673">
      <w:pPr>
        <w:pStyle w:val="TextOpensans"/>
        <w:pBdr>
          <w:top w:val="single" w:sz="4" w:space="1" w:color="auto"/>
          <w:left w:val="single" w:sz="4" w:space="4" w:color="auto"/>
          <w:bottom w:val="single" w:sz="4" w:space="1" w:color="auto"/>
          <w:right w:val="single" w:sz="4" w:space="4" w:color="auto"/>
        </w:pBdr>
      </w:pPr>
      <w:r w:rsidRPr="00BD7673">
        <w:t xml:space="preserve">The ATO and the Department of Industry, Innovation and Science (on behalf of Innovation and Science Australia) jointly administer the R&amp;D tax incentive. Taxpayer R&amp;D activities must be registered with the Department of Industry, Innovation and Science before the tax </w:t>
      </w:r>
      <w:r w:rsidRPr="00BD7673">
        <w:lastRenderedPageBreak/>
        <w:t xml:space="preserve">offset is claimed, and the ATO determines if the expenditure claimed in the </w:t>
      </w:r>
      <w:proofErr w:type="gramStart"/>
      <w:r w:rsidRPr="00BD7673">
        <w:t>taxpayers</w:t>
      </w:r>
      <w:proofErr w:type="gramEnd"/>
      <w:r w:rsidRPr="00BD7673">
        <w:t xml:space="preserve"> tax return for their R&amp;D activities is eligible for the tax offset.</w:t>
      </w:r>
      <w:r w:rsidR="006250B2">
        <w:t xml:space="preserve"> For patent box purposes, both core and support R&amp;D activities (define</w:t>
      </w:r>
      <w:r w:rsidR="00DA3C18">
        <w:t>d</w:t>
      </w:r>
      <w:r w:rsidR="006250B2">
        <w:t xml:space="preserve"> below) that relate to the eligible paten</w:t>
      </w:r>
      <w:r w:rsidR="00BF6508">
        <w:t>t</w:t>
      </w:r>
      <w:r w:rsidR="006250B2">
        <w:t xml:space="preserve"> are included in the nexus fraction.</w:t>
      </w:r>
    </w:p>
    <w:p w14:paraId="512AFBD4" w14:textId="47A0D170" w:rsidR="00BD7673" w:rsidRDefault="00BD7673" w:rsidP="00BD7673">
      <w:pPr>
        <w:pStyle w:val="TextOpensans"/>
        <w:pBdr>
          <w:top w:val="single" w:sz="4" w:space="1" w:color="auto"/>
          <w:left w:val="single" w:sz="4" w:space="4" w:color="auto"/>
          <w:bottom w:val="single" w:sz="4" w:space="1" w:color="auto"/>
          <w:right w:val="single" w:sz="4" w:space="4" w:color="auto"/>
        </w:pBdr>
      </w:pPr>
      <w:r>
        <w:rPr>
          <w:b/>
          <w:bCs/>
        </w:rPr>
        <w:t>- Core R&amp;D activities</w:t>
      </w:r>
      <w:r>
        <w:t xml:space="preserve"> are experimental activities where it is not possible to know or determine the outcome in advance on the basis of current knowledge, information or experience. They involve a systematic progression of work, using principles of established science.</w:t>
      </w:r>
    </w:p>
    <w:p w14:paraId="08B93B5E" w14:textId="2C0FE900" w:rsidR="00BD7673" w:rsidRDefault="00BD7673" w:rsidP="00397966">
      <w:pPr>
        <w:pStyle w:val="TextOpensans"/>
        <w:pBdr>
          <w:top w:val="single" w:sz="4" w:space="1" w:color="auto"/>
          <w:left w:val="single" w:sz="4" w:space="4" w:color="auto"/>
          <w:bottom w:val="single" w:sz="4" w:space="1" w:color="auto"/>
          <w:right w:val="single" w:sz="4" w:space="4" w:color="auto"/>
        </w:pBdr>
        <w:spacing w:after="0"/>
      </w:pPr>
      <w:r>
        <w:rPr>
          <w:b/>
          <w:bCs/>
        </w:rPr>
        <w:t>- A supporting R&amp;D activity</w:t>
      </w:r>
      <w:r>
        <w:t xml:space="preserve"> is one that is directly related to core R&amp;D activities or, for certain activities, has been undertaken for the dominant purpose of supporting core R&amp;D activities. Activities that must satisfy the dominant purpose requirement are those that produce or are directly related to producing goods or services or are excluded from being core R&amp;D activities.</w:t>
      </w:r>
    </w:p>
    <w:p w14:paraId="15EC6B8D" w14:textId="3E958566" w:rsidR="00BD7673" w:rsidRDefault="006250B2" w:rsidP="004F5C2A">
      <w:pPr>
        <w:pStyle w:val="TextOpensans"/>
      </w:pPr>
      <w:r w:rsidRPr="00397966">
        <w:rPr>
          <w:i/>
          <w:iCs/>
          <w:sz w:val="20"/>
          <w:szCs w:val="20"/>
        </w:rPr>
        <w:t xml:space="preserve">Source: ATO and </w:t>
      </w:r>
      <w:proofErr w:type="spellStart"/>
      <w:r w:rsidRPr="00397966">
        <w:rPr>
          <w:i/>
          <w:iCs/>
          <w:sz w:val="20"/>
          <w:szCs w:val="20"/>
        </w:rPr>
        <w:t>AusIndustry</w:t>
      </w:r>
      <w:proofErr w:type="spellEnd"/>
      <w:r w:rsidRPr="00397966">
        <w:rPr>
          <w:i/>
          <w:iCs/>
          <w:sz w:val="20"/>
          <w:szCs w:val="20"/>
        </w:rPr>
        <w:t xml:space="preserve"> websites</w:t>
      </w:r>
    </w:p>
    <w:p w14:paraId="0FCDDB1B" w14:textId="796A7492" w:rsidR="00F1036A" w:rsidRDefault="00B77D42" w:rsidP="00161693">
      <w:pPr>
        <w:pStyle w:val="H3Opensans"/>
        <w:rPr>
          <w:lang w:eastAsia="en-AU"/>
        </w:rPr>
      </w:pPr>
      <w:r w:rsidRPr="00B77D42">
        <w:rPr>
          <w:lang w:eastAsia="en-AU"/>
        </w:rPr>
        <w:t xml:space="preserve">Tax </w:t>
      </w:r>
      <w:r w:rsidR="00620D56">
        <w:rPr>
          <w:lang w:eastAsia="en-AU"/>
        </w:rPr>
        <w:t>r</w:t>
      </w:r>
      <w:r w:rsidRPr="00B77D42">
        <w:rPr>
          <w:lang w:eastAsia="en-AU"/>
        </w:rPr>
        <w:t>elief (extent and form)</w:t>
      </w:r>
    </w:p>
    <w:p w14:paraId="28B6F507" w14:textId="646FF5BF" w:rsidR="004F5C2A" w:rsidRDefault="002443B0" w:rsidP="004F5C2A">
      <w:pPr>
        <w:pStyle w:val="TextOpensans"/>
      </w:pPr>
      <w:bookmarkStart w:id="171" w:name="_Toc82428774"/>
      <w:r>
        <w:t xml:space="preserve">Some countries provide </w:t>
      </w:r>
      <w:r w:rsidR="004F2B63">
        <w:t>patent</w:t>
      </w:r>
      <w:r>
        <w:t xml:space="preserve"> box tax relief through a </w:t>
      </w:r>
      <w:r w:rsidR="00A85F04">
        <w:t xml:space="preserve">lower </w:t>
      </w:r>
      <w:r>
        <w:t xml:space="preserve">bespoke rate targeted to </w:t>
      </w:r>
      <w:r w:rsidR="004F2B63">
        <w:t>eligible</w:t>
      </w:r>
      <w:r>
        <w:t xml:space="preserve"> </w:t>
      </w:r>
      <w:r w:rsidR="004F2B63">
        <w:t>patent</w:t>
      </w:r>
      <w:r>
        <w:t xml:space="preserve"> box income</w:t>
      </w:r>
      <w:r w:rsidR="00641932">
        <w:t xml:space="preserve"> (</w:t>
      </w:r>
      <w:proofErr w:type="gramStart"/>
      <w:r w:rsidR="00641932">
        <w:t>e.g.</w:t>
      </w:r>
      <w:proofErr w:type="gramEnd"/>
      <w:r w:rsidR="00641932">
        <w:t xml:space="preserve"> UK patent box rate is 10 per cent)</w:t>
      </w:r>
      <w:r>
        <w:t>. Others</w:t>
      </w:r>
      <w:r w:rsidR="00A85F04">
        <w:t xml:space="preserve"> apply their normal headline rate</w:t>
      </w:r>
      <w:r w:rsidR="002D3C54">
        <w:t xml:space="preserve"> to that income</w:t>
      </w:r>
      <w:r w:rsidR="00A85F04">
        <w:t>, but</w:t>
      </w:r>
      <w:r>
        <w:t xml:space="preserve"> reduce the</w:t>
      </w:r>
      <w:r w:rsidR="002D3C54">
        <w:t xml:space="preserve"> final</w:t>
      </w:r>
      <w:r>
        <w:t xml:space="preserve"> tax </w:t>
      </w:r>
      <w:r w:rsidR="002D3C54">
        <w:t xml:space="preserve">that would otherwise be </w:t>
      </w:r>
      <w:r>
        <w:t xml:space="preserve">payable </w:t>
      </w:r>
      <w:r w:rsidR="00A85F04">
        <w:t>(</w:t>
      </w:r>
      <w:proofErr w:type="gramStart"/>
      <w:r w:rsidR="00A85F04">
        <w:t>e.g.</w:t>
      </w:r>
      <w:proofErr w:type="gramEnd"/>
      <w:r w:rsidR="00A85F04">
        <w:t xml:space="preserve"> </w:t>
      </w:r>
      <w:r w:rsidR="00641932">
        <w:t>Switzerland reduces the tax that would otherwise be payable by 90 per cent</w:t>
      </w:r>
      <w:r w:rsidR="00D23B31">
        <w:t xml:space="preserve"> for one canton</w:t>
      </w:r>
      <w:r w:rsidR="00A85F04">
        <w:t>)</w:t>
      </w:r>
      <w:r>
        <w:t xml:space="preserve">. </w:t>
      </w:r>
    </w:p>
    <w:p w14:paraId="6487CC57" w14:textId="1BD133BD" w:rsidR="002443B0" w:rsidRDefault="00620D56" w:rsidP="004F5C2A">
      <w:pPr>
        <w:pStyle w:val="TextOpensans"/>
      </w:pPr>
      <w:r>
        <w:t>As described above in Section 1.2.1 (page 7), i</w:t>
      </w:r>
      <w:r w:rsidR="002443B0">
        <w:t xml:space="preserve">n the Australian context, the Offshore Banking Unit </w:t>
      </w:r>
      <w:r w:rsidR="004F2B63">
        <w:t xml:space="preserve">previously provided a 10 per cent effective concessional rate on certain banking activities through </w:t>
      </w:r>
      <w:r>
        <w:t>the NANEI</w:t>
      </w:r>
      <w:r w:rsidR="004F2B63">
        <w:t xml:space="preserve"> approach. </w:t>
      </w:r>
    </w:p>
    <w:p w14:paraId="3257FCDD" w14:textId="35BB0CF4" w:rsidR="004F2B63" w:rsidRDefault="004F2B63" w:rsidP="004F5C2A">
      <w:pPr>
        <w:pStyle w:val="TextOpensans"/>
      </w:pPr>
      <w:r>
        <w:t xml:space="preserve">This approach makes part of the income NANEI to achieve the effective tax rate. </w:t>
      </w:r>
      <w:r w:rsidR="00641932">
        <w:t xml:space="preserve">Using this approach would require Australia to </w:t>
      </w:r>
      <w:r>
        <w:t xml:space="preserve">comply with the OECD’s rules on deductions being claimed at the same rate as income, </w:t>
      </w:r>
      <w:r w:rsidR="00076179">
        <w:t xml:space="preserve">meaning </w:t>
      </w:r>
      <w:r>
        <w:t xml:space="preserve">the NANEI approach must also be applied to expenses incurred in </w:t>
      </w:r>
      <w:r w:rsidR="00393A94">
        <w:t xml:space="preserve">the development of </w:t>
      </w:r>
      <w:r>
        <w:t xml:space="preserve">the eligible patent. </w:t>
      </w:r>
    </w:p>
    <w:p w14:paraId="5471893E" w14:textId="69E18590" w:rsidR="00B673C4" w:rsidRDefault="00184C6E" w:rsidP="00B673C4">
      <w:pPr>
        <w:pStyle w:val="TextOpensans"/>
      </w:pPr>
      <w:r>
        <w:t>Option 2 proposes using</w:t>
      </w:r>
      <w:r w:rsidR="00641932">
        <w:t xml:space="preserve"> the NANEI approach as </w:t>
      </w:r>
      <w:r w:rsidR="00620D56">
        <w:t>it</w:t>
      </w:r>
      <w:r w:rsidR="00641932">
        <w:t xml:space="preserve"> has been previously </w:t>
      </w:r>
      <w:r w:rsidR="00620D56">
        <w:t xml:space="preserve">used effectively </w:t>
      </w:r>
      <w:r w:rsidR="00641932">
        <w:t>in</w:t>
      </w:r>
      <w:r w:rsidR="009171F5">
        <w:t xml:space="preserve"> concessional</w:t>
      </w:r>
      <w:r w:rsidR="00641932">
        <w:t xml:space="preserve"> tax regimes. </w:t>
      </w:r>
    </w:p>
    <w:p w14:paraId="304D7914" w14:textId="0BCDC812" w:rsidR="00572494" w:rsidRDefault="00572494" w:rsidP="00B673C4">
      <w:pPr>
        <w:pStyle w:val="TextOpensans"/>
      </w:pPr>
      <w:r w:rsidRPr="00535157">
        <w:t xml:space="preserve">The BEPS Action 5 report established that ongoing IP expenses </w:t>
      </w:r>
      <w:r>
        <w:t xml:space="preserve">also </w:t>
      </w:r>
      <w:r w:rsidRPr="00535157">
        <w:t xml:space="preserve">need to be deducted from IP income prior to the application </w:t>
      </w:r>
      <w:r w:rsidR="00E864DE">
        <w:t xml:space="preserve">of </w:t>
      </w:r>
      <w:r>
        <w:t>the concessional tax rate</w:t>
      </w:r>
      <w:r w:rsidRPr="00535157">
        <w:t xml:space="preserve">. </w:t>
      </w:r>
      <w:r>
        <w:t>The</w:t>
      </w:r>
      <w:r w:rsidRPr="00535157">
        <w:t xml:space="preserve"> rules ensure contemporaneous symmetry in the treatment of IP expenses and income, </w:t>
      </w:r>
      <w:r>
        <w:t>while achieving</w:t>
      </w:r>
      <w:r w:rsidRPr="00535157">
        <w:t xml:space="preserve"> symmetry between the treatment of income independent of whether it refers to a</w:t>
      </w:r>
      <w:r>
        <w:t>n ongoing</w:t>
      </w:r>
      <w:r w:rsidRPr="00535157">
        <w:t xml:space="preserve"> profit or a loss.</w:t>
      </w:r>
      <w:r>
        <w:t xml:space="preserve"> </w:t>
      </w:r>
    </w:p>
    <w:p w14:paraId="3326F902" w14:textId="669432BE" w:rsidR="00B673C4" w:rsidRDefault="00572494" w:rsidP="00B673C4">
      <w:pPr>
        <w:pStyle w:val="TextOpensans"/>
      </w:pPr>
      <w:r>
        <w:t xml:space="preserve">This </w:t>
      </w:r>
      <w:r w:rsidR="00D0596C">
        <w:t xml:space="preserve">symmetry </w:t>
      </w:r>
      <w:r w:rsidR="00626F5A">
        <w:t xml:space="preserve">would be achieved by </w:t>
      </w:r>
      <w:r w:rsidR="00184C6E">
        <w:t>Option 2</w:t>
      </w:r>
      <w:r w:rsidR="00626F5A">
        <w:t xml:space="preserve"> </w:t>
      </w:r>
      <w:r>
        <w:t xml:space="preserve">because </w:t>
      </w:r>
      <w:r w:rsidR="00B673C4" w:rsidRPr="00E864DE">
        <w:t>expenses incurred in developing and maintaining eligible patents undergo the same NANEI approach as income. Part of th</w:t>
      </w:r>
      <w:r w:rsidR="00D0596C">
        <w:t xml:space="preserve">e </w:t>
      </w:r>
      <w:r w:rsidR="00B673C4" w:rsidRPr="00E864DE">
        <w:t>expense</w:t>
      </w:r>
      <w:r w:rsidR="00D0596C">
        <w:t xml:space="preserve"> amount</w:t>
      </w:r>
      <w:r w:rsidR="00D0596C" w:rsidRPr="007C3595">
        <w:t xml:space="preserve"> </w:t>
      </w:r>
      <w:r w:rsidR="00D0596C">
        <w:t>(</w:t>
      </w:r>
      <w:proofErr w:type="gramStart"/>
      <w:r w:rsidR="00D0596C">
        <w:t>i.e.</w:t>
      </w:r>
      <w:proofErr w:type="gramEnd"/>
      <w:r w:rsidR="00D0596C">
        <w:t xml:space="preserve"> deductions) </w:t>
      </w:r>
      <w:r w:rsidR="00B673C4" w:rsidRPr="00E864DE">
        <w:t xml:space="preserve">is made </w:t>
      </w:r>
      <w:r w:rsidR="003F2074" w:rsidRPr="00E864DE">
        <w:t>NAN</w:t>
      </w:r>
      <w:r w:rsidR="003F2074">
        <w:t>EI</w:t>
      </w:r>
      <w:r w:rsidR="003F2074" w:rsidRPr="00E864DE">
        <w:t xml:space="preserve"> </w:t>
      </w:r>
      <w:r w:rsidR="00B673C4" w:rsidRPr="00E864DE">
        <w:t xml:space="preserve">which </w:t>
      </w:r>
      <w:r w:rsidR="00CB22C1" w:rsidRPr="00E864DE">
        <w:t xml:space="preserve">effectively </w:t>
      </w:r>
      <w:r w:rsidR="00B673C4" w:rsidRPr="00E864DE">
        <w:t>reduces the tax value of deductions</w:t>
      </w:r>
      <w:r w:rsidR="00CB22C1" w:rsidRPr="00E864DE">
        <w:t xml:space="preserve"> associated with the eligible patent </w:t>
      </w:r>
      <w:r w:rsidR="00B673C4" w:rsidRPr="00E864DE">
        <w:t>from 30 per cent to 17 per cent</w:t>
      </w:r>
      <w:r w:rsidR="00526BEF" w:rsidRPr="00E864DE">
        <w:t xml:space="preserve"> (i.e. taxpayers deductions </w:t>
      </w:r>
      <w:r w:rsidR="000D54F0">
        <w:t>are</w:t>
      </w:r>
      <w:r w:rsidR="00526BEF" w:rsidRPr="00E864DE">
        <w:t xml:space="preserve"> worth 17 cents in the dollar instead of 30 cents in the dollar).</w:t>
      </w:r>
    </w:p>
    <w:p w14:paraId="549983FB" w14:textId="569E5B06" w:rsidR="00F1036A" w:rsidRDefault="00B77D42" w:rsidP="00161693">
      <w:pPr>
        <w:pStyle w:val="H3Opensans"/>
        <w:rPr>
          <w:lang w:eastAsia="en-AU"/>
        </w:rPr>
      </w:pPr>
      <w:r w:rsidRPr="00B77D42">
        <w:rPr>
          <w:lang w:eastAsia="en-AU"/>
        </w:rPr>
        <w:lastRenderedPageBreak/>
        <w:t>Qualifying (Eligible) Taxpayer</w:t>
      </w:r>
    </w:p>
    <w:p w14:paraId="0844EF02" w14:textId="3FAFDFB1" w:rsidR="00745FD1" w:rsidRDefault="00745FD1" w:rsidP="004F5C2A">
      <w:pPr>
        <w:pStyle w:val="TextOpensans"/>
      </w:pPr>
      <w:bookmarkStart w:id="172" w:name="_Toc82428780"/>
      <w:bookmarkEnd w:id="171"/>
      <w:r w:rsidRPr="00745FD1">
        <w:t xml:space="preserve">After the introduction of the BEPS Action 5 minimum standard, the scope of qualifying taxpayers </w:t>
      </w:r>
      <w:r>
        <w:t>was</w:t>
      </w:r>
      <w:r w:rsidRPr="00745FD1">
        <w:t xml:space="preserve"> reduced to resident companies, domestic permanent establishments (PEs) of foreign companies and foreign PEs of resident companies subject to tax in the jurisdiction that provides the benefits. </w:t>
      </w:r>
      <w:r>
        <w:t xml:space="preserve">The OECD note that </w:t>
      </w:r>
      <w:r w:rsidRPr="00745FD1">
        <w:t xml:space="preserve">IP regimes may vary regarding the type of firms to which the regime applies. </w:t>
      </w:r>
    </w:p>
    <w:p w14:paraId="461EBDB1" w14:textId="4B153A0B" w:rsidR="00A958CA" w:rsidRDefault="00A958CA" w:rsidP="004F5C2A">
      <w:pPr>
        <w:pStyle w:val="TextOpensans"/>
      </w:pPr>
      <w:r>
        <w:t xml:space="preserve">The two most </w:t>
      </w:r>
      <w:r w:rsidR="00B51EEE">
        <w:t>common</w:t>
      </w:r>
      <w:r>
        <w:t xml:space="preserve"> company vehicles for storing patents </w:t>
      </w:r>
      <w:r w:rsidR="00745FD1">
        <w:t xml:space="preserve">in Australia </w:t>
      </w:r>
      <w:r>
        <w:t xml:space="preserve">are a company or a trust. Patents are sometimes not stored in the company </w:t>
      </w:r>
      <w:r w:rsidR="001044BF">
        <w:t xml:space="preserve">that has done </w:t>
      </w:r>
      <w:r w:rsidR="00745FD1">
        <w:t>(</w:t>
      </w:r>
      <w:r w:rsidR="001044BF">
        <w:t>or is doing</w:t>
      </w:r>
      <w:r w:rsidR="00745FD1">
        <w:t xml:space="preserve">) </w:t>
      </w:r>
      <w:r>
        <w:t xml:space="preserve">the </w:t>
      </w:r>
      <w:r w:rsidR="001044BF">
        <w:t xml:space="preserve">underlying R&amp;D that led to that patent. </w:t>
      </w:r>
    </w:p>
    <w:p w14:paraId="33350F3E" w14:textId="2453A67C" w:rsidR="00B00F83" w:rsidRDefault="00184C6E" w:rsidP="004F5C2A">
      <w:pPr>
        <w:pStyle w:val="TextOpensans"/>
      </w:pPr>
      <w:r>
        <w:t>Option 2</w:t>
      </w:r>
      <w:r w:rsidR="00B00F83">
        <w:t xml:space="preserve"> leverage</w:t>
      </w:r>
      <w:r>
        <w:t>s</w:t>
      </w:r>
      <w:r w:rsidR="00B00F83">
        <w:t xml:space="preserve"> the definition of an eligible entity available in the R&amp;DTI regime. To be an eligible patent box entity, the taxpayer must satisfy the requirements as defined in the R&amp;DTI regime. </w:t>
      </w:r>
      <w:r w:rsidR="001B6E5B">
        <w:t xml:space="preserve">The definition of an R&amp;D entity for R&amp;DTI purposes is described below. </w:t>
      </w:r>
    </w:p>
    <w:p w14:paraId="4C433230" w14:textId="77777777" w:rsidR="001B6E5B" w:rsidRPr="009578E0" w:rsidRDefault="001B6E5B" w:rsidP="001B6E5B">
      <w:pPr>
        <w:pStyle w:val="TextOpensans"/>
        <w:ind w:left="614"/>
        <w:rPr>
          <w:i/>
          <w:sz w:val="20"/>
          <w:szCs w:val="20"/>
        </w:rPr>
      </w:pPr>
      <w:r w:rsidRPr="009578E0">
        <w:rPr>
          <w:i/>
          <w:sz w:val="20"/>
          <w:szCs w:val="20"/>
        </w:rPr>
        <w:t>You are an R&amp;D entity if you are a corporation that is any of the following:</w:t>
      </w:r>
    </w:p>
    <w:p w14:paraId="347FE40C" w14:textId="77777777" w:rsidR="001B6E5B" w:rsidRPr="009578E0" w:rsidRDefault="001B6E5B" w:rsidP="001B6E5B">
      <w:pPr>
        <w:pStyle w:val="Bullet"/>
        <w:tabs>
          <w:tab w:val="clear" w:pos="614"/>
          <w:tab w:val="num" w:pos="1228"/>
        </w:tabs>
        <w:ind w:left="1228"/>
        <w:rPr>
          <w:rFonts w:ascii="Open Sans" w:hAnsi="Open Sans" w:cs="Open Sans"/>
          <w:i/>
          <w:sz w:val="20"/>
          <w:szCs w:val="20"/>
        </w:rPr>
      </w:pPr>
      <w:r w:rsidRPr="009578E0">
        <w:rPr>
          <w:rFonts w:ascii="Open Sans" w:hAnsi="Open Sans" w:cs="Open Sans"/>
          <w:i/>
          <w:sz w:val="20"/>
          <w:szCs w:val="20"/>
        </w:rPr>
        <w:t>incorporated under an Australian law</w:t>
      </w:r>
    </w:p>
    <w:p w14:paraId="295C5E1A" w14:textId="77777777" w:rsidR="001B6E5B" w:rsidRPr="009578E0" w:rsidRDefault="001B6E5B" w:rsidP="001B6E5B">
      <w:pPr>
        <w:pStyle w:val="Bullet"/>
        <w:tabs>
          <w:tab w:val="clear" w:pos="614"/>
          <w:tab w:val="num" w:pos="1228"/>
        </w:tabs>
        <w:ind w:left="1228"/>
        <w:rPr>
          <w:rFonts w:ascii="Open Sans" w:hAnsi="Open Sans" w:cs="Open Sans"/>
          <w:i/>
          <w:sz w:val="20"/>
          <w:szCs w:val="20"/>
        </w:rPr>
      </w:pPr>
      <w:r w:rsidRPr="009578E0">
        <w:rPr>
          <w:rFonts w:ascii="Open Sans" w:hAnsi="Open Sans" w:cs="Open Sans"/>
          <w:i/>
          <w:sz w:val="20"/>
          <w:szCs w:val="20"/>
        </w:rPr>
        <w:t>incorporated under a foreign law but an Australian resident for income tax purposes</w:t>
      </w:r>
    </w:p>
    <w:p w14:paraId="5792D8B2" w14:textId="77777777" w:rsidR="001B6E5B" w:rsidRPr="009578E0" w:rsidRDefault="001B6E5B" w:rsidP="001B6E5B">
      <w:pPr>
        <w:pStyle w:val="Bullet"/>
        <w:tabs>
          <w:tab w:val="clear" w:pos="614"/>
          <w:tab w:val="num" w:pos="1228"/>
        </w:tabs>
        <w:ind w:left="1228"/>
        <w:rPr>
          <w:rFonts w:ascii="Open Sans" w:hAnsi="Open Sans" w:cs="Open Sans"/>
          <w:i/>
          <w:sz w:val="20"/>
          <w:szCs w:val="20"/>
        </w:rPr>
      </w:pPr>
      <w:r w:rsidRPr="009578E0">
        <w:rPr>
          <w:rFonts w:ascii="Open Sans" w:hAnsi="Open Sans" w:cs="Open Sans"/>
          <w:i/>
          <w:sz w:val="20"/>
          <w:szCs w:val="20"/>
        </w:rPr>
        <w:t xml:space="preserve">incorporated under a foreign law and you are both  </w:t>
      </w:r>
    </w:p>
    <w:p w14:paraId="379008EB" w14:textId="77777777" w:rsidR="001B6E5B" w:rsidRPr="009578E0" w:rsidRDefault="001B6E5B" w:rsidP="001B6E5B">
      <w:pPr>
        <w:pStyle w:val="Bullet"/>
        <w:tabs>
          <w:tab w:val="clear" w:pos="614"/>
          <w:tab w:val="num" w:pos="1228"/>
        </w:tabs>
        <w:ind w:left="1228"/>
        <w:rPr>
          <w:rFonts w:ascii="Open Sans" w:hAnsi="Open Sans" w:cs="Open Sans"/>
          <w:i/>
          <w:sz w:val="20"/>
          <w:szCs w:val="20"/>
        </w:rPr>
      </w:pPr>
      <w:r w:rsidRPr="009578E0">
        <w:rPr>
          <w:rFonts w:ascii="Open Sans" w:hAnsi="Open Sans" w:cs="Open Sans"/>
          <w:i/>
          <w:sz w:val="20"/>
          <w:szCs w:val="20"/>
        </w:rPr>
        <w:t>a resident of a country with which Australia has a double tax agreement that includes a definition of 'permanent establishment'; and</w:t>
      </w:r>
    </w:p>
    <w:p w14:paraId="40F4DF94" w14:textId="2F685A5A" w:rsidR="001B6E5B" w:rsidRPr="009578E0" w:rsidRDefault="001B6E5B" w:rsidP="001B6E5B">
      <w:pPr>
        <w:pStyle w:val="Bullet"/>
        <w:tabs>
          <w:tab w:val="clear" w:pos="614"/>
          <w:tab w:val="num" w:pos="1228"/>
        </w:tabs>
        <w:ind w:left="1228"/>
        <w:rPr>
          <w:rFonts w:ascii="Open Sans" w:hAnsi="Open Sans" w:cs="Open Sans"/>
          <w:i/>
          <w:sz w:val="20"/>
          <w:szCs w:val="20"/>
        </w:rPr>
      </w:pPr>
      <w:r w:rsidRPr="009578E0">
        <w:rPr>
          <w:rFonts w:ascii="Open Sans" w:hAnsi="Open Sans" w:cs="Open Sans"/>
          <w:i/>
          <w:sz w:val="20"/>
          <w:szCs w:val="20"/>
        </w:rPr>
        <w:t>carrying on business in Australia through a permanent establishment as defined in the double tax agreement.</w:t>
      </w:r>
    </w:p>
    <w:p w14:paraId="515F0ADB" w14:textId="0DD6E8AC" w:rsidR="00B42095" w:rsidRPr="009578E0" w:rsidRDefault="00B42095" w:rsidP="009578E0">
      <w:pPr>
        <w:pStyle w:val="Bullet"/>
        <w:numPr>
          <w:ilvl w:val="0"/>
          <w:numId w:val="0"/>
        </w:numPr>
        <w:ind w:left="614"/>
        <w:rPr>
          <w:rFonts w:ascii="Open Sans" w:hAnsi="Open Sans" w:cs="Open Sans"/>
          <w:i/>
          <w:sz w:val="20"/>
          <w:szCs w:val="20"/>
        </w:rPr>
      </w:pPr>
      <w:r w:rsidRPr="009578E0">
        <w:rPr>
          <w:rFonts w:ascii="Open Sans" w:hAnsi="Open Sans" w:cs="Open Sans"/>
          <w:i/>
          <w:sz w:val="20"/>
          <w:szCs w:val="20"/>
        </w:rPr>
        <w:t>Source: ATO website</w:t>
      </w:r>
    </w:p>
    <w:p w14:paraId="35480D46" w14:textId="578C579E" w:rsidR="00490408" w:rsidRDefault="00B00F83" w:rsidP="001B6E5B">
      <w:pPr>
        <w:pStyle w:val="TextOpensans"/>
      </w:pPr>
      <w:r>
        <w:t xml:space="preserve">This provides synergies with the R&amp;DTI regime </w:t>
      </w:r>
      <w:r w:rsidR="007D53E1">
        <w:t xml:space="preserve">as stakeholders overwhelmingly reported that they already satisfy the requirements of the R&amp;DTI regime, including the entity definition. </w:t>
      </w:r>
      <w:bookmarkStart w:id="173" w:name="_Toc81382285"/>
      <w:bookmarkStart w:id="174" w:name="_Toc81413124"/>
      <w:bookmarkEnd w:id="34"/>
      <w:bookmarkEnd w:id="35"/>
      <w:bookmarkEnd w:id="172"/>
      <w:r w:rsidR="00CC3DEE">
        <w:t xml:space="preserve">It also </w:t>
      </w:r>
      <w:r w:rsidR="00833F3A">
        <w:t xml:space="preserve">allows </w:t>
      </w:r>
      <w:r w:rsidR="00CC3DEE">
        <w:t>foreign corporate</w:t>
      </w:r>
      <w:r w:rsidR="00DA5734">
        <w:t>s</w:t>
      </w:r>
      <w:r w:rsidR="00CC3DEE">
        <w:t xml:space="preserve"> who develop R&amp;D in Australia to qualify. This provides broad coverage of the entities current</w:t>
      </w:r>
      <w:r w:rsidR="001B6D93">
        <w:t>ly</w:t>
      </w:r>
      <w:r w:rsidR="00CC3DEE">
        <w:t xml:space="preserve"> engaged in R&amp;D operations in Australia. </w:t>
      </w:r>
    </w:p>
    <w:p w14:paraId="2C1DD696" w14:textId="10E937E7" w:rsidR="00965F26" w:rsidRDefault="00965F26" w:rsidP="009976BF">
      <w:pPr>
        <w:pStyle w:val="H3Opensans"/>
        <w:rPr>
          <w:lang w:eastAsia="en-AU"/>
        </w:rPr>
      </w:pPr>
      <w:r>
        <w:rPr>
          <w:lang w:eastAsia="en-AU"/>
        </w:rPr>
        <w:t xml:space="preserve">Electing </w:t>
      </w:r>
      <w:proofErr w:type="gramStart"/>
      <w:r>
        <w:rPr>
          <w:lang w:eastAsia="en-AU"/>
        </w:rPr>
        <w:t>into</w:t>
      </w:r>
      <w:proofErr w:type="gramEnd"/>
      <w:r>
        <w:rPr>
          <w:lang w:eastAsia="en-AU"/>
        </w:rPr>
        <w:t xml:space="preserve"> the patent box</w:t>
      </w:r>
    </w:p>
    <w:p w14:paraId="5E125190" w14:textId="16031599" w:rsidR="00965F26" w:rsidRDefault="00AA4D48" w:rsidP="001B6E5B">
      <w:pPr>
        <w:pStyle w:val="TextOpensans"/>
      </w:pPr>
      <w:r>
        <w:t>A design parameter giving consideration to the costs of compliance associated with the patent box is</w:t>
      </w:r>
      <w:r w:rsidR="00965F26">
        <w:t xml:space="preserve"> to allow entities to choose whether to opt into the patent box. This would allow an eligible entity</w:t>
      </w:r>
      <w:r w:rsidR="00965F26" w:rsidRPr="00965F26">
        <w:t xml:space="preserve"> </w:t>
      </w:r>
      <w:r w:rsidR="00BD1ECC">
        <w:t xml:space="preserve">to </w:t>
      </w:r>
      <w:r w:rsidR="00965F26" w:rsidRPr="00965F26">
        <w:t>determine its</w:t>
      </w:r>
      <w:r w:rsidR="00965F26">
        <w:t xml:space="preserve"> likely</w:t>
      </w:r>
      <w:r w:rsidR="00965F26" w:rsidRPr="00965F26">
        <w:t xml:space="preserve"> eligibility, analyse the costs and benefits of </w:t>
      </w:r>
      <w:r w:rsidR="00965F26">
        <w:t xml:space="preserve">electing </w:t>
      </w:r>
      <w:proofErr w:type="gramStart"/>
      <w:r w:rsidR="00965F26">
        <w:t>into</w:t>
      </w:r>
      <w:proofErr w:type="gramEnd"/>
      <w:r w:rsidR="00965F26">
        <w:t xml:space="preserve"> the patent box</w:t>
      </w:r>
      <w:r w:rsidR="00965F26" w:rsidRPr="00965F26">
        <w:t xml:space="preserve">, and choose whether and when to </w:t>
      </w:r>
      <w:r w:rsidR="00965F26">
        <w:t>elect into the patent box</w:t>
      </w:r>
      <w:r w:rsidR="00965F26" w:rsidRPr="00965F26">
        <w:t xml:space="preserve">. </w:t>
      </w:r>
    </w:p>
    <w:p w14:paraId="70FE6343" w14:textId="343045F8" w:rsidR="00965F26" w:rsidRDefault="00965F26" w:rsidP="001B6E5B">
      <w:pPr>
        <w:pStyle w:val="TextOpensans"/>
      </w:pPr>
      <w:r>
        <w:t>This is in</w:t>
      </w:r>
      <w:r w:rsidR="00CC0F28">
        <w:t xml:space="preserve"> </w:t>
      </w:r>
      <w:r>
        <w:t xml:space="preserve">line with other </w:t>
      </w:r>
      <w:r w:rsidR="008E7C15">
        <w:t xml:space="preserve">tax regimes, namely, the consolidation regime. </w:t>
      </w:r>
    </w:p>
    <w:p w14:paraId="0F08D6BE" w14:textId="3826B77E" w:rsidR="00526C29" w:rsidRDefault="00F0658B" w:rsidP="009976BF">
      <w:pPr>
        <w:pStyle w:val="H2Opensans"/>
        <w:rPr>
          <w:lang w:eastAsia="en-AU"/>
        </w:rPr>
      </w:pPr>
      <w:bookmarkStart w:id="175" w:name="_Toc93174540"/>
      <w:bookmarkStart w:id="176" w:name="_Toc93221816"/>
      <w:bookmarkStart w:id="177" w:name="_Toc93221868"/>
      <w:bookmarkStart w:id="178" w:name="_Toc93226028"/>
      <w:bookmarkStart w:id="179" w:name="_Toc93322099"/>
      <w:bookmarkStart w:id="180" w:name="_Toc93487784"/>
      <w:bookmarkEnd w:id="175"/>
      <w:bookmarkEnd w:id="176"/>
      <w:bookmarkEnd w:id="177"/>
      <w:bookmarkEnd w:id="178"/>
      <w:bookmarkEnd w:id="179"/>
      <w:r>
        <w:rPr>
          <w:lang w:eastAsia="en-AU"/>
        </w:rPr>
        <w:lastRenderedPageBreak/>
        <w:t>I</w:t>
      </w:r>
      <w:r w:rsidR="00526C29">
        <w:rPr>
          <w:lang w:eastAsia="en-AU"/>
        </w:rPr>
        <w:t xml:space="preserve">mplement </w:t>
      </w:r>
      <w:r w:rsidR="009F2CB3">
        <w:rPr>
          <w:lang w:eastAsia="en-AU"/>
        </w:rPr>
        <w:t>modified version</w:t>
      </w:r>
      <w:r w:rsidR="00526C29">
        <w:rPr>
          <w:lang w:eastAsia="en-AU"/>
        </w:rPr>
        <w:t xml:space="preserve"> of announced proposal</w:t>
      </w:r>
      <w:r w:rsidR="004251F7">
        <w:rPr>
          <w:lang w:eastAsia="en-AU"/>
        </w:rPr>
        <w:t xml:space="preserve"> (</w:t>
      </w:r>
      <w:r w:rsidR="004251F7" w:rsidDel="00B17244">
        <w:rPr>
          <w:lang w:eastAsia="en-AU"/>
        </w:rPr>
        <w:t>Option</w:t>
      </w:r>
      <w:r w:rsidR="00B17244">
        <w:rPr>
          <w:lang w:eastAsia="en-AU"/>
        </w:rPr>
        <w:t> </w:t>
      </w:r>
      <w:r w:rsidR="004251F7">
        <w:rPr>
          <w:lang w:eastAsia="en-AU"/>
        </w:rPr>
        <w:t>3)</w:t>
      </w:r>
      <w:bookmarkEnd w:id="180"/>
    </w:p>
    <w:p w14:paraId="05E14D6C" w14:textId="1505A1D7" w:rsidR="003732C0" w:rsidRDefault="00124F34">
      <w:pPr>
        <w:pStyle w:val="TextOpensans"/>
      </w:pPr>
      <w:r>
        <w:t>Option 3</w:t>
      </w:r>
      <w:r w:rsidR="00F60DCF">
        <w:t xml:space="preserve"> was developed after the </w:t>
      </w:r>
      <w:r w:rsidR="004B6DDD">
        <w:t>2021-22 Budget</w:t>
      </w:r>
      <w:r w:rsidR="00F60DCF">
        <w:t xml:space="preserve"> announcement</w:t>
      </w:r>
      <w:r w:rsidR="008D03D0">
        <w:t xml:space="preserve"> and following </w:t>
      </w:r>
      <w:r w:rsidR="00694249">
        <w:t xml:space="preserve">public </w:t>
      </w:r>
      <w:r w:rsidR="008D03D0">
        <w:t>consultation. It modifies Option 2 to take into account feedback from consultation on the proposed specifications that were part of the Government’s initial announcement.</w:t>
      </w:r>
      <w:r w:rsidR="004B6DDD">
        <w:t xml:space="preserve"> </w:t>
      </w:r>
    </w:p>
    <w:p w14:paraId="54DA4BD5" w14:textId="0BD1C9DD" w:rsidR="002A0A77" w:rsidRDefault="002A0A77">
      <w:pPr>
        <w:pStyle w:val="TextOpensans"/>
      </w:pPr>
      <w:r>
        <w:t xml:space="preserve">The </w:t>
      </w:r>
      <w:r w:rsidR="00720E63">
        <w:t>approach taken to consider</w:t>
      </w:r>
      <w:r>
        <w:t xml:space="preserve"> </w:t>
      </w:r>
      <w:r w:rsidR="00720E63">
        <w:t>modifications</w:t>
      </w:r>
      <w:r w:rsidR="00500E8A">
        <w:t xml:space="preserve"> inclu</w:t>
      </w:r>
      <w:r w:rsidR="00720E63">
        <w:t>d</w:t>
      </w:r>
      <w:r w:rsidR="00500E8A">
        <w:t>e</w:t>
      </w:r>
      <w:r w:rsidR="00720E63">
        <w:t>d</w:t>
      </w:r>
      <w:r w:rsidR="00543B74">
        <w:t>:</w:t>
      </w:r>
    </w:p>
    <w:p w14:paraId="426B12FA" w14:textId="5FAF442F" w:rsidR="00983D11" w:rsidRPr="0019231C" w:rsidRDefault="00983D11" w:rsidP="00983D11">
      <w:pPr>
        <w:pStyle w:val="Bullet"/>
        <w:rPr>
          <w:rFonts w:ascii="Open Sans" w:hAnsi="Open Sans" w:cs="Open Sans"/>
        </w:rPr>
      </w:pPr>
      <w:r>
        <w:rPr>
          <w:rFonts w:ascii="Open Sans" w:hAnsi="Open Sans" w:cs="Open Sans"/>
        </w:rPr>
        <w:t>e</w:t>
      </w:r>
      <w:r w:rsidRPr="0019231C">
        <w:rPr>
          <w:rFonts w:ascii="Open Sans" w:hAnsi="Open Sans" w:cs="Open Sans"/>
        </w:rPr>
        <w:t>nsur</w:t>
      </w:r>
      <w:r w:rsidR="00091BDB">
        <w:rPr>
          <w:rFonts w:ascii="Open Sans" w:hAnsi="Open Sans" w:cs="Open Sans"/>
        </w:rPr>
        <w:t>ing</w:t>
      </w:r>
      <w:r w:rsidRPr="0019231C">
        <w:rPr>
          <w:rFonts w:ascii="Open Sans" w:hAnsi="Open Sans" w:cs="Open Sans"/>
        </w:rPr>
        <w:t xml:space="preserve"> new investment</w:t>
      </w:r>
      <w:r>
        <w:rPr>
          <w:rFonts w:ascii="Open Sans" w:hAnsi="Open Sans" w:cs="Open Sans"/>
        </w:rPr>
        <w:t>s</w:t>
      </w:r>
      <w:r w:rsidRPr="0019231C">
        <w:rPr>
          <w:rFonts w:ascii="Open Sans" w:hAnsi="Open Sans" w:cs="Open Sans"/>
        </w:rPr>
        <w:t xml:space="preserve"> in commercialisation activities</w:t>
      </w:r>
      <w:r>
        <w:rPr>
          <w:rFonts w:ascii="Open Sans" w:hAnsi="Open Sans" w:cs="Open Sans"/>
        </w:rPr>
        <w:t xml:space="preserve"> </w:t>
      </w:r>
      <w:r w:rsidRPr="0019231C">
        <w:rPr>
          <w:rFonts w:ascii="Open Sans" w:hAnsi="Open Sans" w:cs="Open Sans"/>
        </w:rPr>
        <w:t xml:space="preserve">are adequately captured so that the policy intention of incentivising new commercialisation investment is </w:t>
      </w:r>
      <w:proofErr w:type="gramStart"/>
      <w:r w:rsidRPr="0019231C">
        <w:rPr>
          <w:rFonts w:ascii="Open Sans" w:hAnsi="Open Sans" w:cs="Open Sans"/>
        </w:rPr>
        <w:t>achieved</w:t>
      </w:r>
      <w:r>
        <w:rPr>
          <w:rFonts w:ascii="Open Sans" w:hAnsi="Open Sans" w:cs="Open Sans"/>
        </w:rPr>
        <w:t>;</w:t>
      </w:r>
      <w:proofErr w:type="gramEnd"/>
    </w:p>
    <w:p w14:paraId="20C3EA06" w14:textId="141E83B5" w:rsidR="00983D11" w:rsidRDefault="00983D11" w:rsidP="00983D11">
      <w:pPr>
        <w:pStyle w:val="Bullet"/>
        <w:rPr>
          <w:rFonts w:ascii="Open Sans" w:hAnsi="Open Sans" w:cs="Open Sans"/>
        </w:rPr>
      </w:pPr>
      <w:r>
        <w:rPr>
          <w:rFonts w:ascii="Open Sans" w:hAnsi="Open Sans" w:cs="Open Sans"/>
        </w:rPr>
        <w:t>r</w:t>
      </w:r>
      <w:r w:rsidRPr="0019231C">
        <w:rPr>
          <w:rFonts w:ascii="Open Sans" w:hAnsi="Open Sans" w:cs="Open Sans"/>
        </w:rPr>
        <w:t>educ</w:t>
      </w:r>
      <w:r w:rsidR="00694249">
        <w:rPr>
          <w:rFonts w:ascii="Open Sans" w:hAnsi="Open Sans" w:cs="Open Sans"/>
        </w:rPr>
        <w:t>ing</w:t>
      </w:r>
      <w:r w:rsidRPr="0019231C">
        <w:rPr>
          <w:rFonts w:ascii="Open Sans" w:hAnsi="Open Sans" w:cs="Open Sans"/>
        </w:rPr>
        <w:t xml:space="preserve"> compliance cost</w:t>
      </w:r>
      <w:r w:rsidR="00694249">
        <w:rPr>
          <w:rFonts w:ascii="Open Sans" w:hAnsi="Open Sans" w:cs="Open Sans"/>
        </w:rPr>
        <w:t>s</w:t>
      </w:r>
      <w:r w:rsidRPr="0019231C">
        <w:rPr>
          <w:rFonts w:ascii="Open Sans" w:hAnsi="Open Sans" w:cs="Open Sans"/>
        </w:rPr>
        <w:t xml:space="preserve"> </w:t>
      </w:r>
      <w:r>
        <w:rPr>
          <w:rFonts w:ascii="Open Sans" w:hAnsi="Open Sans" w:cs="Open Sans"/>
        </w:rPr>
        <w:t>to access the</w:t>
      </w:r>
      <w:r w:rsidRPr="0019231C">
        <w:rPr>
          <w:rFonts w:ascii="Open Sans" w:hAnsi="Open Sans" w:cs="Open Sans"/>
        </w:rPr>
        <w:t xml:space="preserve"> regime</w:t>
      </w:r>
      <w:r w:rsidR="00124F34">
        <w:rPr>
          <w:rFonts w:ascii="Open Sans" w:hAnsi="Open Sans" w:cs="Open Sans"/>
        </w:rPr>
        <w:t xml:space="preserve"> (where possible)</w:t>
      </w:r>
      <w:r>
        <w:rPr>
          <w:rFonts w:ascii="Open Sans" w:hAnsi="Open Sans" w:cs="Open Sans"/>
        </w:rPr>
        <w:t>;</w:t>
      </w:r>
      <w:r w:rsidR="00FA5447">
        <w:rPr>
          <w:rFonts w:ascii="Open Sans" w:hAnsi="Open Sans" w:cs="Open Sans"/>
        </w:rPr>
        <w:t xml:space="preserve"> and</w:t>
      </w:r>
    </w:p>
    <w:p w14:paraId="024E93A7" w14:textId="7C460C77" w:rsidR="00EE1B4F" w:rsidRDefault="00FA5447" w:rsidP="002A0A77">
      <w:pPr>
        <w:pStyle w:val="Bullet"/>
        <w:rPr>
          <w:rFonts w:ascii="Open Sans" w:hAnsi="Open Sans" w:cs="Open Sans"/>
        </w:rPr>
      </w:pPr>
      <w:r>
        <w:rPr>
          <w:rFonts w:ascii="Open Sans" w:hAnsi="Open Sans" w:cs="Open Sans"/>
        </w:rPr>
        <w:t>respond</w:t>
      </w:r>
      <w:r w:rsidR="00694249">
        <w:rPr>
          <w:rFonts w:ascii="Open Sans" w:hAnsi="Open Sans" w:cs="Open Sans"/>
        </w:rPr>
        <w:t>ing</w:t>
      </w:r>
      <w:r>
        <w:rPr>
          <w:rFonts w:ascii="Open Sans" w:hAnsi="Open Sans" w:cs="Open Sans"/>
        </w:rPr>
        <w:t xml:space="preserve"> to</w:t>
      </w:r>
      <w:r w:rsidR="00EE1B4F">
        <w:rPr>
          <w:rFonts w:ascii="Open Sans" w:hAnsi="Open Sans" w:cs="Open Sans"/>
        </w:rPr>
        <w:t xml:space="preserve"> design </w:t>
      </w:r>
      <w:r>
        <w:rPr>
          <w:rFonts w:ascii="Open Sans" w:hAnsi="Open Sans" w:cs="Open Sans"/>
        </w:rPr>
        <w:t>issues consider</w:t>
      </w:r>
      <w:r w:rsidR="00124F34">
        <w:rPr>
          <w:rFonts w:ascii="Open Sans" w:hAnsi="Open Sans" w:cs="Open Sans"/>
        </w:rPr>
        <w:t>ed</w:t>
      </w:r>
      <w:r>
        <w:rPr>
          <w:rFonts w:ascii="Open Sans" w:hAnsi="Open Sans" w:cs="Open Sans"/>
        </w:rPr>
        <w:t xml:space="preserve"> a priority</w:t>
      </w:r>
      <w:r w:rsidR="00EE1B4F">
        <w:rPr>
          <w:rFonts w:ascii="Open Sans" w:hAnsi="Open Sans" w:cs="Open Sans"/>
        </w:rPr>
        <w:t xml:space="preserve"> by </w:t>
      </w:r>
      <w:r w:rsidR="00983D11">
        <w:rPr>
          <w:rFonts w:ascii="Open Sans" w:hAnsi="Open Sans" w:cs="Open Sans"/>
        </w:rPr>
        <w:t>stakeholders</w:t>
      </w:r>
      <w:r w:rsidR="00EE1B4F">
        <w:rPr>
          <w:rFonts w:ascii="Open Sans" w:hAnsi="Open Sans" w:cs="Open Sans"/>
        </w:rPr>
        <w:t xml:space="preserve"> themselves</w:t>
      </w:r>
      <w:r>
        <w:rPr>
          <w:rFonts w:ascii="Open Sans" w:hAnsi="Open Sans" w:cs="Open Sans"/>
        </w:rPr>
        <w:t>.</w:t>
      </w:r>
    </w:p>
    <w:p w14:paraId="1DF5912F" w14:textId="10D48B74" w:rsidR="000E508D" w:rsidRDefault="003255DA">
      <w:pPr>
        <w:pStyle w:val="TextOpensans"/>
      </w:pPr>
      <w:r>
        <w:t xml:space="preserve">In line with this approach, the Government was presented with two key modifications from the Option 2 design basis (to form Option 3). </w:t>
      </w:r>
    </w:p>
    <w:p w14:paraId="473F8A8D" w14:textId="168C4311" w:rsidR="00690E3A" w:rsidRDefault="00690E3A" w:rsidP="00690E3A">
      <w:pPr>
        <w:pStyle w:val="H4Opensans"/>
      </w:pPr>
      <w:r>
        <w:t>Eligibility start date</w:t>
      </w:r>
    </w:p>
    <w:p w14:paraId="57D6ABAF" w14:textId="553217FC" w:rsidR="003E1DC3" w:rsidRDefault="00526C29" w:rsidP="00526C29">
      <w:pPr>
        <w:pStyle w:val="TextOpensans"/>
      </w:pPr>
      <w:r>
        <w:t xml:space="preserve">Further analysis into the lifecycle of patents </w:t>
      </w:r>
      <w:r w:rsidR="008D03D0">
        <w:t>following the Budget announcement</w:t>
      </w:r>
      <w:r>
        <w:t xml:space="preserve"> reveal</w:t>
      </w:r>
      <w:r w:rsidR="008D03D0">
        <w:t>ed</w:t>
      </w:r>
      <w:r>
        <w:t xml:space="preserve"> long lead times to developing and commercialising patents in the medical and biotechnology sectors. </w:t>
      </w:r>
      <w:r w:rsidR="003E1DC3">
        <w:t>This was supported by feedback from a significant number of stakeholders during consultation that the product development cycles are particularly long in the medical and biotechnology sector.</w:t>
      </w:r>
    </w:p>
    <w:p w14:paraId="3397ED39" w14:textId="197F16A4" w:rsidR="007E076A" w:rsidRDefault="007E076A" w:rsidP="00526C29">
      <w:pPr>
        <w:pStyle w:val="TextOpensans"/>
      </w:pPr>
      <w:r>
        <w:t>Reflecting these concerns</w:t>
      </w:r>
      <w:r w:rsidR="00FF6F00">
        <w:t>,</w:t>
      </w:r>
      <w:r>
        <w:t xml:space="preserve"> Option 3 proposes to</w:t>
      </w:r>
      <w:r w:rsidR="00526C29">
        <w:t xml:space="preserve"> expand the </w:t>
      </w:r>
      <w:r w:rsidR="00526C29" w:rsidRPr="003C357B">
        <w:t xml:space="preserve">eligibility criteria to patents </w:t>
      </w:r>
      <w:r w:rsidR="00526C29" w:rsidRPr="003C357B">
        <w:rPr>
          <w:i/>
          <w:iCs/>
        </w:rPr>
        <w:t xml:space="preserve">granted </w:t>
      </w:r>
      <w:r w:rsidR="00526C29" w:rsidRPr="003C357B">
        <w:t>(and therefore, some patents which may have been applied for before) after 11</w:t>
      </w:r>
      <w:r w:rsidR="00FF6F00">
        <w:t> </w:t>
      </w:r>
      <w:r w:rsidR="00526C29" w:rsidRPr="003C357B">
        <w:t xml:space="preserve">May 2021. </w:t>
      </w:r>
    </w:p>
    <w:p w14:paraId="194E0B49" w14:textId="77777777" w:rsidR="00526C29" w:rsidRPr="00396736" w:rsidRDefault="00526C29" w:rsidP="00526C29">
      <w:pPr>
        <w:pStyle w:val="TextOpensans"/>
        <w:rPr>
          <w:b/>
          <w:bCs/>
        </w:rPr>
      </w:pPr>
      <w:r w:rsidRPr="00396736">
        <w:rPr>
          <w:b/>
          <w:bCs/>
        </w:rPr>
        <w:t>Regulatory</w:t>
      </w:r>
      <w:r>
        <w:rPr>
          <w:b/>
          <w:bCs/>
        </w:rPr>
        <w:t xml:space="preserve"> and </w:t>
      </w:r>
      <w:r w:rsidRPr="00396736">
        <w:rPr>
          <w:b/>
          <w:bCs/>
        </w:rPr>
        <w:t xml:space="preserve">policy impact </w:t>
      </w:r>
      <w:r>
        <w:rPr>
          <w:b/>
          <w:bCs/>
        </w:rPr>
        <w:t>from policy modification</w:t>
      </w:r>
    </w:p>
    <w:p w14:paraId="6213B101" w14:textId="44A53F2D" w:rsidR="00526C29" w:rsidRPr="00026451" w:rsidRDefault="00526C29" w:rsidP="00526C29">
      <w:pPr>
        <w:pStyle w:val="TextOpensans"/>
      </w:pPr>
      <w:r w:rsidRPr="00026451">
        <w:t xml:space="preserve">The policy impacts will be greater </w:t>
      </w:r>
      <w:r w:rsidR="00FF6F00">
        <w:t xml:space="preserve">under option 3 than option 2 </w:t>
      </w:r>
      <w:r w:rsidRPr="00026451">
        <w:t>as this approach benefits more patents in development, with an increased cost to revenue.</w:t>
      </w:r>
    </w:p>
    <w:p w14:paraId="287A6A20" w14:textId="77777777" w:rsidR="00526C29" w:rsidRPr="00026451" w:rsidRDefault="00526C29" w:rsidP="00526C29">
      <w:pPr>
        <w:pStyle w:val="TextOpensans"/>
      </w:pPr>
      <w:r w:rsidRPr="00026451">
        <w:t xml:space="preserve">Public consultation revealed </w:t>
      </w:r>
      <w:r w:rsidRPr="00026451">
        <w:rPr>
          <w:color w:val="000000" w:themeColor="text1"/>
        </w:rPr>
        <w:t>that entities generally apply</w:t>
      </w:r>
      <w:r w:rsidRPr="00026451">
        <w:t xml:space="preserve"> for patent protection for new inventions early in the invention’s development. Consultation with IP Australia indicated there is a strong incentive to patent early in the R&amp;D cycle because failure to do so could result in someone else patenting the invention first. </w:t>
      </w:r>
    </w:p>
    <w:p w14:paraId="7B4623A4" w14:textId="5E8CBE26" w:rsidR="00526C29" w:rsidRPr="00026451" w:rsidRDefault="00526C29" w:rsidP="00526C29">
      <w:pPr>
        <w:pStyle w:val="TextOpensans"/>
      </w:pPr>
      <w:r w:rsidRPr="00026451">
        <w:t xml:space="preserve">There are long product development cycles in the medical and biotech sectors post patent application, with consultation with stakeholders and Treasury research suggesting that the average time from initial research and development to licensing and regulatory approval </w:t>
      </w:r>
      <w:r w:rsidR="0034768B">
        <w:t>is</w:t>
      </w:r>
      <w:r w:rsidRPr="00026451">
        <w:t xml:space="preserve"> on average 3</w:t>
      </w:r>
      <w:r w:rsidRPr="00026451">
        <w:noBreakHyphen/>
        <w:t xml:space="preserve">7 years for medical devices and 9-12 years for pharmaceutical </w:t>
      </w:r>
      <w:r w:rsidRPr="00397966">
        <w:t>products</w:t>
      </w:r>
      <w:r w:rsidR="00ED6BF5">
        <w:rPr>
          <w:vertAlign w:val="superscript"/>
        </w:rPr>
        <w:t>10</w:t>
      </w:r>
      <w:r w:rsidRPr="00397966">
        <w:t>.</w:t>
      </w:r>
      <w:r w:rsidRPr="00026451">
        <w:t xml:space="preserve"> IP Australia data indicates a </w:t>
      </w:r>
      <w:proofErr w:type="gramStart"/>
      <w:r w:rsidRPr="00026451">
        <w:t>4-6 year</w:t>
      </w:r>
      <w:proofErr w:type="gramEnd"/>
      <w:r w:rsidRPr="00026451">
        <w:t xml:space="preserve"> time period exists on average between </w:t>
      </w:r>
      <w:r>
        <w:t xml:space="preserve">filing </w:t>
      </w:r>
      <w:r w:rsidRPr="00026451">
        <w:t xml:space="preserve">patent applications and </w:t>
      </w:r>
      <w:r>
        <w:t xml:space="preserve">(if successful) </w:t>
      </w:r>
      <w:r w:rsidRPr="00026451">
        <w:t xml:space="preserve">their granting by IP Australia. </w:t>
      </w:r>
    </w:p>
    <w:p w14:paraId="4CD2387F" w14:textId="7EB7E36A" w:rsidR="00526C29" w:rsidRPr="00026451" w:rsidRDefault="00526C29" w:rsidP="00526C29">
      <w:pPr>
        <w:pStyle w:val="TextOpensans"/>
      </w:pPr>
      <w:r w:rsidRPr="00026451">
        <w:lastRenderedPageBreak/>
        <w:t>Stakeholders therefore noted that the patent box as announced in Budget would not impact their operations until many years after the start date because patents applied after 11 May 2021 would not be commercialised until the development cycles were completed. Allowing patents applied for up to 4-6 years ago essentially</w:t>
      </w:r>
      <w:r w:rsidR="0034768B">
        <w:t xml:space="preserve"> allows for the</w:t>
      </w:r>
      <w:r w:rsidRPr="00026451">
        <w:t xml:space="preserve"> capture</w:t>
      </w:r>
      <w:r w:rsidR="0034768B">
        <w:t xml:space="preserve"> of</w:t>
      </w:r>
      <w:r w:rsidRPr="00026451">
        <w:t xml:space="preserve"> more new patents currently in development into the patent box regime. By expanding the eligibility criteria to capture patents applied for prior to the </w:t>
      </w:r>
      <w:r w:rsidR="0034768B">
        <w:t>B</w:t>
      </w:r>
      <w:r w:rsidRPr="00026451">
        <w:t xml:space="preserve">udget announcement, but granted after the Budget announcement, more medical and biotechnology products in the earlier stages of development would be incentivised to commercialise in Australia. </w:t>
      </w:r>
    </w:p>
    <w:p w14:paraId="37CE4BF6" w14:textId="1C7211FA" w:rsidR="00526C29" w:rsidRPr="00026451" w:rsidRDefault="00526C29" w:rsidP="00526C29">
      <w:pPr>
        <w:pStyle w:val="TextOpensans"/>
      </w:pPr>
      <w:r w:rsidRPr="00026451">
        <w:t xml:space="preserve">Treasury research and consultations with IP Australia revealed that significant new investment is required between patent application and the granting of a patent (given patent application occurs early). This policy specification will incentivise </w:t>
      </w:r>
      <w:r w:rsidR="00120923">
        <w:t xml:space="preserve">the commercialisation of </w:t>
      </w:r>
      <w:r w:rsidRPr="00026451">
        <w:t>more early-stage patents</w:t>
      </w:r>
      <w:r w:rsidR="00AD7CE0">
        <w:t xml:space="preserve"> in Australia</w:t>
      </w:r>
      <w:r w:rsidRPr="00026451">
        <w:t xml:space="preserve"> but does run the risk of rewarding investment that would have occurred </w:t>
      </w:r>
      <w:r w:rsidR="00AD7CE0">
        <w:t xml:space="preserve">in Australia </w:t>
      </w:r>
      <w:r w:rsidRPr="00026451">
        <w:t>anyway</w:t>
      </w:r>
      <w:r w:rsidR="0031684F">
        <w:t>. Both Option 2 and Option 3 would incentivise locating in Australia the</w:t>
      </w:r>
      <w:r w:rsidR="00120923">
        <w:t xml:space="preserve"> investment</w:t>
      </w:r>
      <w:r w:rsidR="0031684F">
        <w:t xml:space="preserve"> that is</w:t>
      </w:r>
      <w:r w:rsidR="00120923">
        <w:t xml:space="preserve"> required</w:t>
      </w:r>
      <w:r w:rsidR="0031684F">
        <w:t xml:space="preserve"> after a patent is granted</w:t>
      </w:r>
      <w:r w:rsidR="00120923">
        <w:t xml:space="preserve"> to embed a granted patent into a product. </w:t>
      </w:r>
    </w:p>
    <w:p w14:paraId="02FF335B" w14:textId="77777777" w:rsidR="00690E3A" w:rsidRPr="00137BC7" w:rsidRDefault="00690E3A" w:rsidP="00690E3A">
      <w:pPr>
        <w:pStyle w:val="H4Opensans"/>
      </w:pPr>
      <w:r w:rsidRPr="00137BC7">
        <w:t>Patent filing locations</w:t>
      </w:r>
    </w:p>
    <w:p w14:paraId="423601B9" w14:textId="54519FF7" w:rsidR="00690E3A" w:rsidRDefault="00FF6F00" w:rsidP="00690E3A">
      <w:pPr>
        <w:rPr>
          <w:rFonts w:ascii="Open Sans" w:hAnsi="Open Sans" w:cs="Open Sans"/>
        </w:rPr>
      </w:pPr>
      <w:r>
        <w:rPr>
          <w:rFonts w:ascii="Open Sans" w:hAnsi="Open Sans" w:cs="Open Sans"/>
        </w:rPr>
        <w:t xml:space="preserve">Option 2 applies to patents filed in Australia. Option 3 </w:t>
      </w:r>
      <w:r w:rsidR="005C2B82">
        <w:rPr>
          <w:rFonts w:ascii="Open Sans" w:hAnsi="Open Sans" w:cs="Open Sans"/>
        </w:rPr>
        <w:t xml:space="preserve">instead </w:t>
      </w:r>
      <w:r>
        <w:rPr>
          <w:rFonts w:ascii="Open Sans" w:hAnsi="Open Sans" w:cs="Open Sans"/>
        </w:rPr>
        <w:t>proposes to expand</w:t>
      </w:r>
      <w:r w:rsidR="00690E3A" w:rsidRPr="00741865">
        <w:rPr>
          <w:rFonts w:ascii="Open Sans" w:hAnsi="Open Sans" w:cs="Open Sans"/>
        </w:rPr>
        <w:t xml:space="preserve"> patent registration criteria to include equivalent patents granted under the Convention on the Grant of European Patents or by the United States Patent and Trademark Office (USPTO).</w:t>
      </w:r>
      <w:r w:rsidR="00690E3A">
        <w:rPr>
          <w:rFonts w:ascii="Open Sans" w:hAnsi="Open Sans" w:cs="Open Sans"/>
        </w:rPr>
        <w:t xml:space="preserve"> </w:t>
      </w:r>
    </w:p>
    <w:p w14:paraId="2CECDC31" w14:textId="7B58A944" w:rsidR="00690E3A" w:rsidRDefault="00690E3A" w:rsidP="00690E3A">
      <w:pPr>
        <w:rPr>
          <w:rFonts w:ascii="Open Sans" w:hAnsi="Open Sans" w:cs="Open Sans"/>
        </w:rPr>
      </w:pPr>
      <w:r>
        <w:rPr>
          <w:rFonts w:ascii="Open Sans" w:hAnsi="Open Sans" w:cs="Open Sans"/>
        </w:rPr>
        <w:t xml:space="preserve">The patent filing location </w:t>
      </w:r>
      <w:r w:rsidR="00FF6F00">
        <w:rPr>
          <w:rFonts w:ascii="Open Sans" w:hAnsi="Open Sans" w:cs="Open Sans"/>
        </w:rPr>
        <w:t>can be separate to</w:t>
      </w:r>
      <w:r>
        <w:rPr>
          <w:rFonts w:ascii="Open Sans" w:hAnsi="Open Sans" w:cs="Open Sans"/>
        </w:rPr>
        <w:t xml:space="preserve"> where it is developed and where it is owned. </w:t>
      </w:r>
      <w:r w:rsidRPr="00426351">
        <w:rPr>
          <w:rFonts w:ascii="Open Sans" w:hAnsi="Open Sans" w:cs="Open Sans"/>
        </w:rPr>
        <w:t xml:space="preserve">There is often no commercial need to seek patent protection in Australia even where the patent was developed in Australia. A patent holder will seek patent protection in large markets because failure to do so allows a competitor to replicate the invention and compete in that jurisdiction. This would be very costly in large markets such as the EU and the US. Not </w:t>
      </w:r>
      <w:r w:rsidR="005C2B82">
        <w:rPr>
          <w:rFonts w:ascii="Open Sans" w:hAnsi="Open Sans" w:cs="Open Sans"/>
        </w:rPr>
        <w:t>filing</w:t>
      </w:r>
      <w:r w:rsidRPr="00426351">
        <w:rPr>
          <w:rFonts w:ascii="Open Sans" w:hAnsi="Open Sans" w:cs="Open Sans"/>
        </w:rPr>
        <w:t xml:space="preserve"> in Australia involves the same risk, but the Australian market is comparatively small </w:t>
      </w:r>
      <w:r>
        <w:rPr>
          <w:rFonts w:ascii="Open Sans" w:hAnsi="Open Sans" w:cs="Open Sans"/>
        </w:rPr>
        <w:t xml:space="preserve">such </w:t>
      </w:r>
      <w:r w:rsidRPr="00426351">
        <w:rPr>
          <w:rFonts w:ascii="Open Sans" w:hAnsi="Open Sans" w:cs="Open Sans"/>
        </w:rPr>
        <w:t>that some firms may not seek patent protection here, considering the time and costs involved</w:t>
      </w:r>
      <w:r>
        <w:rPr>
          <w:rFonts w:ascii="Open Sans" w:hAnsi="Open Sans" w:cs="Open Sans"/>
        </w:rPr>
        <w:t xml:space="preserve"> of earning and defending a patent if necessary</w:t>
      </w:r>
      <w:r w:rsidRPr="00426351">
        <w:rPr>
          <w:rFonts w:ascii="Open Sans" w:hAnsi="Open Sans" w:cs="Open Sans"/>
        </w:rPr>
        <w:t>.</w:t>
      </w:r>
    </w:p>
    <w:p w14:paraId="15C8104E" w14:textId="169B9DD7" w:rsidR="00690E3A" w:rsidRDefault="00690E3A" w:rsidP="00690E3A">
      <w:pPr>
        <w:rPr>
          <w:rFonts w:ascii="Open Sans" w:hAnsi="Open Sans" w:cs="Open Sans"/>
        </w:rPr>
      </w:pPr>
      <w:r w:rsidRPr="00741865">
        <w:rPr>
          <w:rFonts w:ascii="Open Sans" w:hAnsi="Open Sans" w:cs="Open Sans"/>
        </w:rPr>
        <w:t xml:space="preserve">In consultation, stakeholders </w:t>
      </w:r>
      <w:r>
        <w:rPr>
          <w:rFonts w:ascii="Open Sans" w:hAnsi="Open Sans" w:cs="Open Sans"/>
        </w:rPr>
        <w:t>confirmed</w:t>
      </w:r>
      <w:r w:rsidRPr="00741865">
        <w:rPr>
          <w:rFonts w:ascii="Open Sans" w:hAnsi="Open Sans" w:cs="Open Sans"/>
        </w:rPr>
        <w:t xml:space="preserve"> that a significant number of their Australian designed medical patents are filed overseas, and not with IP Australia. This is due to the relatively smaller market size of the Australian consumer base in contrast to larger jurisdictions such as the US and EU. </w:t>
      </w:r>
      <w:r w:rsidR="009370DC">
        <w:rPr>
          <w:rFonts w:ascii="Open Sans" w:hAnsi="Open Sans" w:cs="Open Sans"/>
        </w:rPr>
        <w:t>Further,</w:t>
      </w:r>
      <w:r w:rsidRPr="00741865">
        <w:rPr>
          <w:rFonts w:ascii="Open Sans" w:hAnsi="Open Sans" w:cs="Open Sans"/>
        </w:rPr>
        <w:t xml:space="preserve"> IP Australia advis</w:t>
      </w:r>
      <w:r w:rsidR="009370DC">
        <w:rPr>
          <w:rFonts w:ascii="Open Sans" w:hAnsi="Open Sans" w:cs="Open Sans"/>
        </w:rPr>
        <w:t xml:space="preserve">es that while 75 per cent of medical patents filed by Australian applicants were filed with IP Australia, this increases to 97 per cent once filings in the EPO </w:t>
      </w:r>
      <w:r w:rsidR="009370DC" w:rsidRPr="00C30656">
        <w:rPr>
          <w:rFonts w:ascii="Open Sans" w:hAnsi="Open Sans" w:cs="Open Sans"/>
        </w:rPr>
        <w:t>(known as patents granted under the Convention on the Grant of European Patents</w:t>
      </w:r>
      <w:r w:rsidR="009370DC">
        <w:rPr>
          <w:rFonts w:ascii="Open Sans" w:hAnsi="Open Sans" w:cs="Open Sans"/>
        </w:rPr>
        <w:t>) or USPTO are included.</w:t>
      </w:r>
      <w:r w:rsidRPr="00741865">
        <w:rPr>
          <w:rFonts w:ascii="Open Sans" w:hAnsi="Open Sans" w:cs="Open Sans"/>
        </w:rPr>
        <w:t xml:space="preserve"> IP Australia</w:t>
      </w:r>
      <w:r w:rsidR="009370DC">
        <w:rPr>
          <w:rFonts w:ascii="Open Sans" w:hAnsi="Open Sans" w:cs="Open Sans"/>
        </w:rPr>
        <w:t xml:space="preserve"> also</w:t>
      </w:r>
      <w:r w:rsidRPr="00741865">
        <w:rPr>
          <w:rFonts w:ascii="Open Sans" w:hAnsi="Open Sans" w:cs="Open Sans"/>
        </w:rPr>
        <w:t xml:space="preserve"> advises that the EPO and the USPTO have similar patent approval standards to IP Australia.</w:t>
      </w:r>
      <w:r>
        <w:rPr>
          <w:rFonts w:ascii="Open Sans" w:hAnsi="Open Sans" w:cs="Open Sans"/>
        </w:rPr>
        <w:t xml:space="preserve"> </w:t>
      </w:r>
    </w:p>
    <w:p w14:paraId="37264545" w14:textId="77777777" w:rsidR="00690E3A" w:rsidRPr="00396736" w:rsidRDefault="00690E3A" w:rsidP="009976BF">
      <w:pPr>
        <w:pStyle w:val="TextOpensans"/>
        <w:keepNext/>
        <w:rPr>
          <w:b/>
          <w:bCs/>
        </w:rPr>
      </w:pPr>
      <w:r w:rsidRPr="00396736">
        <w:rPr>
          <w:b/>
          <w:bCs/>
        </w:rPr>
        <w:t>Regulatory</w:t>
      </w:r>
      <w:r>
        <w:rPr>
          <w:b/>
          <w:bCs/>
        </w:rPr>
        <w:t xml:space="preserve"> / </w:t>
      </w:r>
      <w:r w:rsidRPr="00396736">
        <w:rPr>
          <w:b/>
          <w:bCs/>
        </w:rPr>
        <w:t xml:space="preserve">policy impact </w:t>
      </w:r>
      <w:r>
        <w:rPr>
          <w:b/>
          <w:bCs/>
        </w:rPr>
        <w:t>from modification</w:t>
      </w:r>
    </w:p>
    <w:p w14:paraId="523C461A" w14:textId="6B02FACC" w:rsidR="00690E3A" w:rsidRPr="00C30656" w:rsidRDefault="00690E3A" w:rsidP="00690E3A">
      <w:pPr>
        <w:rPr>
          <w:rFonts w:ascii="Open Sans" w:hAnsi="Open Sans" w:cs="Open Sans"/>
        </w:rPr>
      </w:pPr>
      <w:r w:rsidRPr="00C30656">
        <w:rPr>
          <w:rFonts w:ascii="Open Sans" w:hAnsi="Open Sans" w:cs="Open Sans"/>
        </w:rPr>
        <w:t>Including patents filed by Australians with the EPO and USPTO would provide comprehensive coverage of Australian patents in the sector while recognising that adding additional jurisdictions would increase the risk of including a jurisdiction that lowers its patenting standards in the future.</w:t>
      </w:r>
    </w:p>
    <w:p w14:paraId="6D5A2BB5" w14:textId="6C5C5F10" w:rsidR="00690E3A" w:rsidRDefault="00690E3A" w:rsidP="00690E3A">
      <w:pPr>
        <w:pStyle w:val="Bullet"/>
        <w:numPr>
          <w:ilvl w:val="0"/>
          <w:numId w:val="0"/>
        </w:numPr>
        <w:rPr>
          <w:rFonts w:ascii="Open Sans" w:hAnsi="Open Sans" w:cs="Open Sans"/>
        </w:rPr>
      </w:pPr>
      <w:r w:rsidRPr="00C30656">
        <w:rPr>
          <w:rFonts w:ascii="Open Sans" w:hAnsi="Open Sans" w:cs="Open Sans"/>
        </w:rPr>
        <w:lastRenderedPageBreak/>
        <w:t>In terms of compliance saving, this policy specification saves</w:t>
      </w:r>
      <w:r w:rsidR="009370DC">
        <w:rPr>
          <w:rFonts w:ascii="Open Sans" w:hAnsi="Open Sans" w:cs="Open Sans"/>
        </w:rPr>
        <w:t xml:space="preserve"> businesses</w:t>
      </w:r>
      <w:r w:rsidRPr="00C30656">
        <w:rPr>
          <w:rFonts w:ascii="Open Sans" w:hAnsi="Open Sans" w:cs="Open Sans"/>
        </w:rPr>
        <w:t xml:space="preserve"> </w:t>
      </w:r>
      <w:r>
        <w:rPr>
          <w:rFonts w:ascii="Open Sans" w:hAnsi="Open Sans" w:cs="Open Sans"/>
        </w:rPr>
        <w:t xml:space="preserve">who use the patent box </w:t>
      </w:r>
      <w:r w:rsidRPr="00C30656">
        <w:rPr>
          <w:rFonts w:ascii="Open Sans" w:hAnsi="Open Sans" w:cs="Open Sans"/>
        </w:rPr>
        <w:t>patent application and registration fees in Australia for patents already granted by the USPTO or under the Convention on the Grant of European Patents.</w:t>
      </w:r>
      <w:r w:rsidRPr="00D9221A">
        <w:rPr>
          <w:rFonts w:ascii="Open Sans" w:hAnsi="Open Sans" w:cs="Open Sans"/>
        </w:rPr>
        <w:t xml:space="preserve"> </w:t>
      </w:r>
      <w:r>
        <w:rPr>
          <w:rFonts w:ascii="Open Sans" w:hAnsi="Open Sans" w:cs="Open Sans"/>
        </w:rPr>
        <w:t xml:space="preserve">The IP Australia patent fee schedule is available at </w:t>
      </w:r>
      <w:r w:rsidRPr="00F97D29">
        <w:rPr>
          <w:rFonts w:ascii="Open Sans" w:hAnsi="Open Sans" w:cs="Open Sans"/>
          <w:u w:val="single"/>
        </w:rPr>
        <w:t>Attachment C</w:t>
      </w:r>
      <w:r>
        <w:rPr>
          <w:rFonts w:ascii="Open Sans" w:hAnsi="Open Sans" w:cs="Open Sans"/>
        </w:rPr>
        <w:t>.</w:t>
      </w:r>
    </w:p>
    <w:p w14:paraId="0336F80A" w14:textId="3D2BB3F8" w:rsidR="008A7EB4" w:rsidRPr="00D9221A" w:rsidRDefault="008A7EB4" w:rsidP="00690E3A">
      <w:pPr>
        <w:pStyle w:val="Bullet"/>
        <w:numPr>
          <w:ilvl w:val="0"/>
          <w:numId w:val="0"/>
        </w:numPr>
        <w:rPr>
          <w:rFonts w:ascii="Open Sans" w:hAnsi="Open Sans" w:cs="Open Sans"/>
        </w:rPr>
      </w:pPr>
      <w:r>
        <w:rPr>
          <w:rFonts w:ascii="Open Sans" w:hAnsi="Open Sans" w:cs="Open Sans"/>
        </w:rPr>
        <w:t xml:space="preserve">From a policy perspective, this option would maintain the objectives of the patent box in targeting patents developed in Australia, because the research and development activity underlying the patent would still need to be conducted in Australia – it is only the location of filing, not the location of patent development, that has been modified.  </w:t>
      </w:r>
    </w:p>
    <w:p w14:paraId="1B47B1FB" w14:textId="77777777" w:rsidR="00526C29" w:rsidRDefault="00526C29" w:rsidP="001B6E5B">
      <w:pPr>
        <w:pStyle w:val="TextOpensans"/>
      </w:pPr>
    </w:p>
    <w:p w14:paraId="13150A30" w14:textId="0EA7F040" w:rsidR="00187165" w:rsidRPr="00893188" w:rsidRDefault="00187165" w:rsidP="001B6E5B">
      <w:pPr>
        <w:pStyle w:val="TextOpensans"/>
        <w:rPr>
          <w:rFonts w:eastAsiaTheme="majorEastAsia"/>
          <w:b/>
          <w:bCs/>
          <w:smallCaps/>
          <w:color w:val="00818F" w:themeColor="accent5"/>
          <w:sz w:val="48"/>
          <w:szCs w:val="36"/>
          <w:highlight w:val="lightGray"/>
        </w:rPr>
      </w:pPr>
      <w:r>
        <w:br w:type="page"/>
      </w:r>
    </w:p>
    <w:p w14:paraId="4B6CD40B" w14:textId="77777777" w:rsidR="00F26B04" w:rsidRDefault="00F26B04" w:rsidP="00F26B04">
      <w:pPr>
        <w:pStyle w:val="H1Opensans"/>
      </w:pPr>
      <w:bookmarkStart w:id="181" w:name="_Toc81382309"/>
      <w:bookmarkStart w:id="182" w:name="_Toc81413160"/>
      <w:bookmarkStart w:id="183" w:name="_Toc81932668"/>
      <w:bookmarkStart w:id="184" w:name="_Toc82428826"/>
      <w:bookmarkStart w:id="185" w:name="_Toc91078492"/>
      <w:bookmarkStart w:id="186" w:name="_Toc93487785"/>
      <w:bookmarkStart w:id="187" w:name="_Toc81382305"/>
      <w:bookmarkStart w:id="188" w:name="_Toc81413156"/>
      <w:bookmarkStart w:id="189" w:name="_Toc81932667"/>
      <w:bookmarkStart w:id="190" w:name="_Toc82428822"/>
      <w:bookmarkStart w:id="191" w:name="_Toc91078473"/>
      <w:bookmarkEnd w:id="173"/>
      <w:bookmarkEnd w:id="174"/>
      <w:r>
        <w:lastRenderedPageBreak/>
        <w:t>Recommendation</w:t>
      </w:r>
      <w:bookmarkEnd w:id="181"/>
      <w:bookmarkEnd w:id="182"/>
      <w:bookmarkEnd w:id="183"/>
      <w:bookmarkEnd w:id="184"/>
      <w:bookmarkEnd w:id="185"/>
      <w:bookmarkEnd w:id="186"/>
    </w:p>
    <w:p w14:paraId="253550D0" w14:textId="2FD2ABC6" w:rsidR="00453930" w:rsidRPr="001E3157" w:rsidRDefault="00453930" w:rsidP="00453930">
      <w:pPr>
        <w:pStyle w:val="H2Opensans"/>
      </w:pPr>
      <w:bookmarkStart w:id="192" w:name="_Toc93487786"/>
      <w:r w:rsidRPr="001E3157">
        <w:t>Overall impact</w:t>
      </w:r>
      <w:bookmarkEnd w:id="192"/>
    </w:p>
    <w:p w14:paraId="125B3455" w14:textId="5A5701D1" w:rsidR="008A7EB4" w:rsidRPr="009976BF" w:rsidRDefault="008A7EB4" w:rsidP="009976BF">
      <w:pPr>
        <w:keepNext/>
        <w:keepLines/>
        <w:spacing w:before="200" w:after="0"/>
        <w:outlineLvl w:val="3"/>
        <w:rPr>
          <w:rFonts w:ascii="Open Sans" w:eastAsiaTheme="majorEastAsia" w:hAnsi="Open Sans" w:cs="Open Sans"/>
          <w:color w:val="000000" w:themeColor="text1"/>
        </w:rPr>
      </w:pPr>
      <w:r w:rsidRPr="009976BF">
        <w:rPr>
          <w:rFonts w:ascii="Open Sans" w:eastAsiaTheme="majorEastAsia" w:hAnsi="Open Sans" w:cs="Open Sans"/>
          <w:color w:val="000000" w:themeColor="text1"/>
        </w:rPr>
        <w:t>This section examines the impact of the three options through a number of lenses: regulatory impact; budget impact; policy impact and risks and disadvantages. Overall</w:t>
      </w:r>
      <w:r w:rsidR="004F112B">
        <w:rPr>
          <w:rFonts w:ascii="Open Sans" w:eastAsiaTheme="majorEastAsia" w:hAnsi="Open Sans" w:cs="Open Sans"/>
          <w:color w:val="000000" w:themeColor="text1"/>
        </w:rPr>
        <w:t>,</w:t>
      </w:r>
      <w:r w:rsidRPr="009976BF">
        <w:rPr>
          <w:rFonts w:ascii="Open Sans" w:eastAsiaTheme="majorEastAsia" w:hAnsi="Open Sans" w:cs="Open Sans"/>
          <w:color w:val="000000" w:themeColor="text1"/>
        </w:rPr>
        <w:t xml:space="preserve"> it finds Option 3 to be the preferred Option.</w:t>
      </w:r>
    </w:p>
    <w:p w14:paraId="290F93CC" w14:textId="6E2A696C" w:rsidR="00F26B04" w:rsidRPr="001E3157" w:rsidRDefault="00F26B04" w:rsidP="00F26B04">
      <w:pPr>
        <w:keepNext/>
        <w:keepLines/>
        <w:numPr>
          <w:ilvl w:val="3"/>
          <w:numId w:val="21"/>
        </w:numPr>
        <w:spacing w:before="200" w:after="0"/>
        <w:outlineLvl w:val="3"/>
        <w:rPr>
          <w:rFonts w:ascii="Open Sans" w:eastAsiaTheme="majorEastAsia" w:hAnsi="Open Sans" w:cs="Open Sans"/>
          <w:b/>
          <w:bCs/>
          <w:i/>
          <w:iCs/>
          <w:color w:val="00818F" w:themeColor="accent5"/>
        </w:rPr>
      </w:pPr>
      <w:r w:rsidRPr="001E3157">
        <w:rPr>
          <w:rFonts w:ascii="Open Sans" w:eastAsiaTheme="majorEastAsia" w:hAnsi="Open Sans" w:cs="Open Sans"/>
          <w:b/>
          <w:bCs/>
          <w:i/>
          <w:iCs/>
          <w:color w:val="00818F" w:themeColor="accent5"/>
        </w:rPr>
        <w:t>Regulatory Impact</w:t>
      </w:r>
      <w:r w:rsidR="00071028">
        <w:rPr>
          <w:rFonts w:ascii="Open Sans" w:eastAsiaTheme="majorEastAsia" w:hAnsi="Open Sans" w:cs="Open Sans"/>
          <w:b/>
          <w:bCs/>
          <w:i/>
          <w:iCs/>
          <w:color w:val="00818F" w:themeColor="accent5"/>
        </w:rPr>
        <w:t xml:space="preserve"> comparison</w:t>
      </w:r>
    </w:p>
    <w:p w14:paraId="4259B10E" w14:textId="76C87D87" w:rsidR="00B20A9E" w:rsidRDefault="00F26B04" w:rsidP="00F26B04">
      <w:pPr>
        <w:rPr>
          <w:rFonts w:ascii="Open Sans" w:hAnsi="Open Sans" w:cs="Open Sans"/>
        </w:rPr>
      </w:pPr>
      <w:r w:rsidRPr="001E3157">
        <w:rPr>
          <w:rFonts w:ascii="Open Sans" w:hAnsi="Open Sans" w:cs="Open Sans"/>
        </w:rPr>
        <w:t>A patent box has high compliance costs for companies wishing to access the lower</w:t>
      </w:r>
      <w:r w:rsidR="00B20A9E">
        <w:rPr>
          <w:rFonts w:ascii="Open Sans" w:hAnsi="Open Sans" w:cs="Open Sans"/>
        </w:rPr>
        <w:t xml:space="preserve"> tax</w:t>
      </w:r>
      <w:r w:rsidRPr="001E3157">
        <w:rPr>
          <w:rFonts w:ascii="Open Sans" w:hAnsi="Open Sans" w:cs="Open Sans"/>
        </w:rPr>
        <w:t xml:space="preserve"> rate</w:t>
      </w:r>
      <w:r w:rsidR="0055755B">
        <w:rPr>
          <w:rFonts w:ascii="Open Sans" w:hAnsi="Open Sans" w:cs="Open Sans"/>
        </w:rPr>
        <w:t xml:space="preserve">. However, these costs can </w:t>
      </w:r>
      <w:r w:rsidRPr="001E3157">
        <w:rPr>
          <w:rFonts w:ascii="Open Sans" w:hAnsi="Open Sans" w:cs="Open Sans"/>
        </w:rPr>
        <w:t>be significantly reduced by leveraging some of the compliance requirements businesses already incur to claim the R&amp;DTI</w:t>
      </w:r>
      <w:r w:rsidR="00D57415" w:rsidRPr="00D57415">
        <w:rPr>
          <w:rFonts w:ascii="Open Sans" w:hAnsi="Open Sans" w:cs="Open Sans"/>
          <w:color w:val="FF0000"/>
        </w:rPr>
        <w:t xml:space="preserve"> </w:t>
      </w:r>
      <w:r w:rsidR="00D57415" w:rsidRPr="009976BF">
        <w:rPr>
          <w:rFonts w:ascii="Open Sans" w:hAnsi="Open Sans" w:cs="Open Sans"/>
        </w:rPr>
        <w:t>or meet the TGA requirements</w:t>
      </w:r>
      <w:r w:rsidRPr="00EA5957">
        <w:rPr>
          <w:rFonts w:ascii="Open Sans" w:hAnsi="Open Sans" w:cs="Open Sans"/>
        </w:rPr>
        <w:t>.</w:t>
      </w:r>
      <w:r w:rsidRPr="001E3157">
        <w:rPr>
          <w:rFonts w:ascii="Open Sans" w:hAnsi="Open Sans" w:cs="Open Sans"/>
        </w:rPr>
        <w:t xml:space="preserve"> </w:t>
      </w:r>
      <w:r w:rsidR="0055755B">
        <w:rPr>
          <w:rFonts w:ascii="Open Sans" w:hAnsi="Open Sans" w:cs="Open Sans"/>
        </w:rPr>
        <w:t>Participation in the patent box regime is optional</w:t>
      </w:r>
      <w:r w:rsidR="00B73447">
        <w:rPr>
          <w:rFonts w:ascii="Open Sans" w:hAnsi="Open Sans" w:cs="Open Sans"/>
        </w:rPr>
        <w:t xml:space="preserve">, so firms </w:t>
      </w:r>
      <w:r w:rsidR="00973BCE">
        <w:rPr>
          <w:rFonts w:ascii="Open Sans" w:hAnsi="Open Sans" w:cs="Open Sans"/>
        </w:rPr>
        <w:t>whose</w:t>
      </w:r>
      <w:r w:rsidR="00B73447">
        <w:rPr>
          <w:rFonts w:ascii="Open Sans" w:hAnsi="Open Sans" w:cs="Open Sans"/>
        </w:rPr>
        <w:t xml:space="preserve"> costs </w:t>
      </w:r>
      <w:r w:rsidR="00973BCE">
        <w:rPr>
          <w:rFonts w:ascii="Open Sans" w:hAnsi="Open Sans" w:cs="Open Sans"/>
        </w:rPr>
        <w:t>are</w:t>
      </w:r>
      <w:r w:rsidR="00B73447">
        <w:rPr>
          <w:rFonts w:ascii="Open Sans" w:hAnsi="Open Sans" w:cs="Open Sans"/>
        </w:rPr>
        <w:t xml:space="preserve"> high relative to the benefits may elect not to take advantage of the concession</w:t>
      </w:r>
      <w:r w:rsidR="0055755B">
        <w:rPr>
          <w:rFonts w:ascii="Open Sans" w:hAnsi="Open Sans" w:cs="Open Sans"/>
        </w:rPr>
        <w:t>.</w:t>
      </w:r>
      <w:r w:rsidR="00B73447">
        <w:rPr>
          <w:rFonts w:ascii="Open Sans" w:hAnsi="Open Sans" w:cs="Open Sans"/>
        </w:rPr>
        <w:t xml:space="preserve"> It should also be noted that if Australia did not have a patent box (Option 1) and businesses chose to shift patents offshore to take advantage of patent boxes in other jurisdictions, they would be subject to the compliance costs of these jurisdictions’ regimes</w:t>
      </w:r>
      <w:r w:rsidR="0031684F">
        <w:rPr>
          <w:rFonts w:ascii="Open Sans" w:hAnsi="Open Sans" w:cs="Open Sans"/>
        </w:rPr>
        <w:t>, as well as the costs associated with the relocation</w:t>
      </w:r>
      <w:r w:rsidR="00B73447">
        <w:rPr>
          <w:rFonts w:ascii="Open Sans" w:hAnsi="Open Sans" w:cs="Open Sans"/>
        </w:rPr>
        <w:t>.</w:t>
      </w:r>
    </w:p>
    <w:p w14:paraId="55A5BEDE" w14:textId="4A770CAE" w:rsidR="00F26B04" w:rsidRPr="001E3157" w:rsidRDefault="00F26B04" w:rsidP="00F26B04">
      <w:pPr>
        <w:rPr>
          <w:rFonts w:ascii="Open Sans" w:hAnsi="Open Sans" w:cs="Open Sans"/>
        </w:rPr>
      </w:pPr>
      <w:r w:rsidRPr="001E3157">
        <w:rPr>
          <w:rFonts w:ascii="Open Sans" w:hAnsi="Open Sans" w:cs="Open Sans"/>
        </w:rPr>
        <w:t>The requirement for R&amp;D to occur within Australia requires companies to track R&amp;D expenditure and IP income to the IP asset. This requires detailed record keeping and will need to be scrutinised by the ATO. Further</w:t>
      </w:r>
      <w:r w:rsidR="00E0031E">
        <w:rPr>
          <w:rFonts w:ascii="Open Sans" w:hAnsi="Open Sans" w:cs="Open Sans"/>
        </w:rPr>
        <w:t>,</w:t>
      </w:r>
      <w:r w:rsidRPr="001E3157">
        <w:rPr>
          <w:rFonts w:ascii="Open Sans" w:hAnsi="Open Sans" w:cs="Open Sans"/>
        </w:rPr>
        <w:t xml:space="preserve"> the patent box will only apply to income earned from eligible IP and not income from marketing, manufacturing or other intangible assets (</w:t>
      </w:r>
      <w:proofErr w:type="gramStart"/>
      <w:r w:rsidRPr="001E3157">
        <w:rPr>
          <w:rFonts w:ascii="Open Sans" w:hAnsi="Open Sans" w:cs="Open Sans"/>
        </w:rPr>
        <w:t>e.g.</w:t>
      </w:r>
      <w:proofErr w:type="gramEnd"/>
      <w:r w:rsidRPr="001E3157">
        <w:rPr>
          <w:rFonts w:ascii="Open Sans" w:hAnsi="Open Sans" w:cs="Open Sans"/>
        </w:rPr>
        <w:t xml:space="preserve"> manufacturing know-how). It is anticipated that this will require complex transfer pricing or alternative calculation methods to be applied in most instances. Such rules, or any alternative calculation method, will also significantly increase compliance costs. </w:t>
      </w:r>
    </w:p>
    <w:p w14:paraId="6391DF48" w14:textId="3E9908C0" w:rsidR="006A680D" w:rsidRDefault="00F26B04" w:rsidP="00F26B04">
      <w:pPr>
        <w:pStyle w:val="TextOpensans"/>
      </w:pPr>
      <w:bookmarkStart w:id="193" w:name="_Hlk93304881"/>
      <w:r w:rsidRPr="001E3157">
        <w:t>The regulatory costs</w:t>
      </w:r>
      <w:r w:rsidR="00B20A9E">
        <w:t xml:space="preserve"> of</w:t>
      </w:r>
      <w:r w:rsidRPr="001E3157">
        <w:t xml:space="preserve"> </w:t>
      </w:r>
      <w:r w:rsidR="00D5721F">
        <w:t>Option 3</w:t>
      </w:r>
      <w:r w:rsidRPr="001E3157">
        <w:t xml:space="preserve"> are not expected to differ remarkably from the announced design </w:t>
      </w:r>
      <w:r w:rsidR="00B20A9E">
        <w:t xml:space="preserve">(Option 2) </w:t>
      </w:r>
      <w:r w:rsidRPr="001E3157">
        <w:t>as the</w:t>
      </w:r>
      <w:r w:rsidR="002036D2">
        <w:t xml:space="preserve"> tax component of the</w:t>
      </w:r>
      <w:r w:rsidRPr="001E3157">
        <w:t xml:space="preserve"> compliance mechanisms for each option </w:t>
      </w:r>
      <w:r w:rsidR="002036D2">
        <w:t>are the same</w:t>
      </w:r>
      <w:r w:rsidRPr="001E3157">
        <w:t xml:space="preserve">. The ATO has provided an estimate of compliance costs as </w:t>
      </w:r>
      <w:r w:rsidR="008E1426">
        <w:t xml:space="preserve">set out in Table </w:t>
      </w:r>
      <w:r w:rsidR="008E1426" w:rsidRPr="00397966">
        <w:t>3.</w:t>
      </w:r>
      <w:r w:rsidR="008E1426">
        <w:t xml:space="preserve"> </w:t>
      </w:r>
      <w:r w:rsidR="006A680D">
        <w:t>The regulatory cost borne by individuals (including consumers) and community organisation</w:t>
      </w:r>
      <w:r w:rsidR="00C957A6">
        <w:t>s</w:t>
      </w:r>
      <w:r w:rsidR="006A680D">
        <w:t xml:space="preserve"> is estimated to be $0. </w:t>
      </w:r>
    </w:p>
    <w:p w14:paraId="3ECA187C" w14:textId="21B221C2" w:rsidR="00FE2A4C" w:rsidRDefault="00B20A9E" w:rsidP="00F26B04">
      <w:pPr>
        <w:pStyle w:val="TextOpensans"/>
      </w:pPr>
      <w:r>
        <w:t>However</w:t>
      </w:r>
      <w:r w:rsidR="00C325C2">
        <w:t>,</w:t>
      </w:r>
      <w:r>
        <w:t xml:space="preserve"> the ATO has advised that Option 3 would have lower non-tax compliance costs than Option 2 as businesses would not </w:t>
      </w:r>
      <w:r w:rsidR="00D5721F" w:rsidRPr="009976BF">
        <w:t>be required to maintain a patent in Australia in order to access the concession.</w:t>
      </w:r>
      <w:r w:rsidR="00D57415" w:rsidRPr="003D6F25">
        <w:rPr>
          <w:color w:val="FF0000"/>
        </w:rPr>
        <w:t xml:space="preserve"> </w:t>
      </w:r>
      <w:r w:rsidR="00D57415" w:rsidRPr="009976BF">
        <w:t xml:space="preserve">That said, </w:t>
      </w:r>
      <w:r w:rsidR="00D5721F" w:rsidRPr="009976BF">
        <w:t xml:space="preserve">non-tax costs are </w:t>
      </w:r>
      <w:r w:rsidR="00D5721F" w:rsidRPr="009976BF">
        <w:rPr>
          <w:u w:val="single"/>
        </w:rPr>
        <w:t>not</w:t>
      </w:r>
      <w:r w:rsidR="00D5721F" w:rsidRPr="009976BF">
        <w:t xml:space="preserve"> captured in the quantified assessment.</w:t>
      </w:r>
      <w:r w:rsidR="00D5721F">
        <w:t xml:space="preserve"> </w:t>
      </w:r>
    </w:p>
    <w:p w14:paraId="5298289C" w14:textId="397D1F2D" w:rsidR="00F26B04" w:rsidRPr="001E3157" w:rsidRDefault="00323E23" w:rsidP="00F26B04">
      <w:pPr>
        <w:pStyle w:val="TextOpensans"/>
      </w:pPr>
      <w:r>
        <w:t xml:space="preserve">There would be little compliance saving gained by allowing medical products listed in foreign TGA equivalent registers to be included in the patent box. </w:t>
      </w:r>
      <w:r w:rsidR="003F20A5">
        <w:t>Stakeholders reported it is e</w:t>
      </w:r>
      <w:r w:rsidR="00FE2A4C" w:rsidRPr="00FE2A4C">
        <w:t>xceedingly uncommon for an Australian designed medical product to be registered overseas (</w:t>
      </w:r>
      <w:proofErr w:type="gramStart"/>
      <w:r w:rsidR="00FE2A4C" w:rsidRPr="00FE2A4C">
        <w:t>e.g.</w:t>
      </w:r>
      <w:proofErr w:type="gramEnd"/>
      <w:r w:rsidR="00FE2A4C" w:rsidRPr="00FE2A4C">
        <w:t xml:space="preserve"> by the FDA</w:t>
      </w:r>
      <w:r w:rsidR="003F20A5">
        <w:t xml:space="preserve"> in the US</w:t>
      </w:r>
      <w:r w:rsidR="00FE2A4C" w:rsidRPr="00FE2A4C">
        <w:t>) but not in Australia (i.e. by the TGA), unlike decisions around patent filing locations.</w:t>
      </w:r>
      <w:r w:rsidR="003F20A5">
        <w:t xml:space="preserve"> This is because to sell </w:t>
      </w:r>
      <w:r w:rsidR="00EC6E0D">
        <w:t>a</w:t>
      </w:r>
      <w:r w:rsidR="003F20A5">
        <w:t xml:space="preserve"> product in any</w:t>
      </w:r>
      <w:r w:rsidR="00F74E5E">
        <w:t xml:space="preserve"> given</w:t>
      </w:r>
      <w:r w:rsidR="003F20A5">
        <w:t xml:space="preserve"> jurisdiction</w:t>
      </w:r>
      <w:r w:rsidR="00F74E5E">
        <w:t xml:space="preserve">, </w:t>
      </w:r>
      <w:r w:rsidR="003F20A5">
        <w:t xml:space="preserve">the </w:t>
      </w:r>
      <w:r w:rsidR="003F20A5">
        <w:lastRenderedPageBreak/>
        <w:t>entity is required to have regulatory approval from that jurisdiction (</w:t>
      </w:r>
      <w:proofErr w:type="gramStart"/>
      <w:r w:rsidR="003F20A5">
        <w:t>i.e.</w:t>
      </w:r>
      <w:proofErr w:type="gramEnd"/>
      <w:r w:rsidR="003F20A5">
        <w:t xml:space="preserve"> </w:t>
      </w:r>
      <w:r w:rsidR="00EC6E0D">
        <w:t xml:space="preserve">from </w:t>
      </w:r>
      <w:r w:rsidR="00F74E5E">
        <w:t xml:space="preserve">a </w:t>
      </w:r>
      <w:r w:rsidR="003F20A5">
        <w:t xml:space="preserve">TGA equivalent), but the patents that underpin the products can be filed in any location. </w:t>
      </w:r>
      <w:r w:rsidR="00737A91">
        <w:t xml:space="preserve">This is why the Government was presented with the option </w:t>
      </w:r>
      <w:r w:rsidR="00D37810">
        <w:t xml:space="preserve">for the patent box to only apply to </w:t>
      </w:r>
      <w:r w:rsidR="00737A91">
        <w:t>medical products list</w:t>
      </w:r>
      <w:r w:rsidR="00D37810">
        <w:t>ed</w:t>
      </w:r>
      <w:r w:rsidR="00737A91">
        <w:t xml:space="preserve"> on the TGA List of Therapeutic Goods</w:t>
      </w:r>
      <w:r w:rsidR="00D37810">
        <w:t xml:space="preserve"> (no foreign registers)</w:t>
      </w:r>
      <w:r w:rsidR="00737A91">
        <w:t xml:space="preserve">. </w:t>
      </w:r>
    </w:p>
    <w:tbl>
      <w:tblPr>
        <w:tblStyle w:val="PlainTable5"/>
        <w:tblW w:w="0" w:type="auto"/>
        <w:tblLook w:val="04A0" w:firstRow="1" w:lastRow="0" w:firstColumn="1" w:lastColumn="0" w:noHBand="0" w:noVBand="1"/>
      </w:tblPr>
      <w:tblGrid>
        <w:gridCol w:w="3823"/>
        <w:gridCol w:w="5386"/>
      </w:tblGrid>
      <w:tr w:rsidR="00F26B04" w:rsidRPr="001E3157" w14:paraId="5D9D3C01" w14:textId="77777777" w:rsidTr="008A6C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9" w:type="dxa"/>
            <w:gridSpan w:val="2"/>
          </w:tcPr>
          <w:bookmarkEnd w:id="193"/>
          <w:p w14:paraId="325AB9F8" w14:textId="0FF17190" w:rsidR="00F26B04" w:rsidRPr="001E3157" w:rsidRDefault="008E1426" w:rsidP="008E1426">
            <w:pPr>
              <w:pStyle w:val="TextOpensans"/>
              <w:jc w:val="left"/>
              <w:rPr>
                <w:b/>
                <w:bCs/>
                <w:i w:val="0"/>
                <w:iCs w:val="0"/>
                <w:sz w:val="22"/>
              </w:rPr>
            </w:pPr>
            <w:r>
              <w:rPr>
                <w:b/>
                <w:i w:val="0"/>
                <w:sz w:val="22"/>
              </w:rPr>
              <w:t xml:space="preserve">Table </w:t>
            </w:r>
            <w:r w:rsidRPr="008E1426">
              <w:rPr>
                <w:b/>
                <w:i w:val="0"/>
                <w:sz w:val="22"/>
              </w:rPr>
              <w:t>3</w:t>
            </w:r>
            <w:r>
              <w:rPr>
                <w:b/>
                <w:i w:val="0"/>
                <w:sz w:val="22"/>
              </w:rPr>
              <w:t xml:space="preserve">: </w:t>
            </w:r>
            <w:r w:rsidR="008D5664">
              <w:rPr>
                <w:b/>
                <w:i w:val="0"/>
                <w:sz w:val="22"/>
              </w:rPr>
              <w:t>Estimated</w:t>
            </w:r>
            <w:r w:rsidR="00F26B04" w:rsidRPr="001E3157">
              <w:rPr>
                <w:b/>
                <w:i w:val="0"/>
                <w:sz w:val="22"/>
              </w:rPr>
              <w:t xml:space="preserve"> compliance costs </w:t>
            </w:r>
            <w:r w:rsidR="0021683D">
              <w:rPr>
                <w:b/>
                <w:i w:val="0"/>
                <w:sz w:val="22"/>
              </w:rPr>
              <w:t>(Option 2 and 3)</w:t>
            </w:r>
          </w:p>
        </w:tc>
      </w:tr>
      <w:tr w:rsidR="00F26B04" w:rsidRPr="001E3157" w14:paraId="26EFE8BC" w14:textId="77777777" w:rsidTr="008A6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413D531" w14:textId="77777777" w:rsidR="00F26B04" w:rsidRPr="001E3157" w:rsidRDefault="00F26B04" w:rsidP="008A6C69">
            <w:pPr>
              <w:pStyle w:val="TextOpensans"/>
              <w:rPr>
                <w:sz w:val="22"/>
              </w:rPr>
            </w:pPr>
            <w:r w:rsidRPr="001E3157">
              <w:rPr>
                <w:sz w:val="22"/>
              </w:rPr>
              <w:t>Implementation</w:t>
            </w:r>
          </w:p>
        </w:tc>
        <w:tc>
          <w:tcPr>
            <w:tcW w:w="5386" w:type="dxa"/>
          </w:tcPr>
          <w:p w14:paraId="37E6A90B" w14:textId="798C4D86" w:rsidR="00F26B04" w:rsidRPr="001E3157" w:rsidRDefault="00F26B04" w:rsidP="008A6C69">
            <w:pPr>
              <w:pStyle w:val="TextOpensans"/>
              <w:cnfStyle w:val="000000100000" w:firstRow="0" w:lastRow="0" w:firstColumn="0" w:lastColumn="0" w:oddVBand="0" w:evenVBand="0" w:oddHBand="1" w:evenHBand="0" w:firstRowFirstColumn="0" w:firstRowLastColumn="0" w:lastRowFirstColumn="0" w:lastRowLastColumn="0"/>
            </w:pPr>
            <w:r w:rsidRPr="001E3157">
              <w:rPr>
                <w:rFonts w:eastAsia="Times New Roman"/>
                <w:color w:val="000000"/>
                <w:lang w:eastAsia="en-AU"/>
              </w:rPr>
              <w:t>$5,077,131</w:t>
            </w:r>
          </w:p>
        </w:tc>
      </w:tr>
      <w:tr w:rsidR="00F26B04" w:rsidRPr="001E3157" w14:paraId="53862E53" w14:textId="77777777" w:rsidTr="008A6C69">
        <w:tc>
          <w:tcPr>
            <w:cnfStyle w:val="001000000000" w:firstRow="0" w:lastRow="0" w:firstColumn="1" w:lastColumn="0" w:oddVBand="0" w:evenVBand="0" w:oddHBand="0" w:evenHBand="0" w:firstRowFirstColumn="0" w:firstRowLastColumn="0" w:lastRowFirstColumn="0" w:lastRowLastColumn="0"/>
            <w:tcW w:w="3823" w:type="dxa"/>
          </w:tcPr>
          <w:p w14:paraId="5CC030B0" w14:textId="77777777" w:rsidR="00F26B04" w:rsidRPr="001E3157" w:rsidRDefault="00F26B04" w:rsidP="008A6C69">
            <w:pPr>
              <w:pStyle w:val="TextOpensans"/>
              <w:rPr>
                <w:sz w:val="22"/>
              </w:rPr>
            </w:pPr>
            <w:r w:rsidRPr="001E3157">
              <w:rPr>
                <w:sz w:val="22"/>
              </w:rPr>
              <w:t>Ongoing (per annum)</w:t>
            </w:r>
          </w:p>
        </w:tc>
        <w:tc>
          <w:tcPr>
            <w:tcW w:w="5386" w:type="dxa"/>
          </w:tcPr>
          <w:p w14:paraId="5418B936" w14:textId="1686F442" w:rsidR="00F26B04" w:rsidRPr="001E3157" w:rsidRDefault="00F26B04" w:rsidP="008A6C69">
            <w:pPr>
              <w:pStyle w:val="TextOpensans"/>
              <w:cnfStyle w:val="000000000000" w:firstRow="0" w:lastRow="0" w:firstColumn="0" w:lastColumn="0" w:oddVBand="0" w:evenVBand="0" w:oddHBand="0" w:evenHBand="0" w:firstRowFirstColumn="0" w:firstRowLastColumn="0" w:lastRowFirstColumn="0" w:lastRowLastColumn="0"/>
            </w:pPr>
            <w:r w:rsidRPr="001E3157">
              <w:rPr>
                <w:rFonts w:eastAsia="Times New Roman"/>
                <w:color w:val="000000"/>
                <w:lang w:eastAsia="en-AU"/>
              </w:rPr>
              <w:t>$1,697,060</w:t>
            </w:r>
          </w:p>
        </w:tc>
      </w:tr>
      <w:tr w:rsidR="00F26B04" w:rsidRPr="001E3157" w14:paraId="4E93492D" w14:textId="77777777" w:rsidTr="008A6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DABFA98" w14:textId="77777777" w:rsidR="00F26B04" w:rsidRPr="001E3157" w:rsidRDefault="00F26B04" w:rsidP="008A6C69">
            <w:pPr>
              <w:pStyle w:val="TextOpensans"/>
              <w:rPr>
                <w:sz w:val="22"/>
              </w:rPr>
            </w:pPr>
            <w:r w:rsidRPr="001E3157">
              <w:rPr>
                <w:sz w:val="22"/>
              </w:rPr>
              <w:t>Aggregate impact over 10-year duration</w:t>
            </w:r>
          </w:p>
        </w:tc>
        <w:tc>
          <w:tcPr>
            <w:tcW w:w="5386" w:type="dxa"/>
          </w:tcPr>
          <w:p w14:paraId="29B98E42" w14:textId="52555514" w:rsidR="00F26B04" w:rsidRPr="001E3157" w:rsidRDefault="00F26B04" w:rsidP="008A6C69">
            <w:pPr>
              <w:pStyle w:val="TextOpensans"/>
              <w:cnfStyle w:val="000000100000" w:firstRow="0" w:lastRow="0" w:firstColumn="0" w:lastColumn="0" w:oddVBand="0" w:evenVBand="0" w:oddHBand="1" w:evenHBand="0" w:firstRowFirstColumn="0" w:firstRowLastColumn="0" w:lastRowFirstColumn="0" w:lastRowLastColumn="0"/>
            </w:pPr>
            <w:r w:rsidRPr="001E3157">
              <w:rPr>
                <w:rFonts w:eastAsia="Times New Roman"/>
                <w:color w:val="000000"/>
                <w:lang w:eastAsia="en-AU"/>
              </w:rPr>
              <w:t>$22,047,728</w:t>
            </w:r>
          </w:p>
        </w:tc>
      </w:tr>
      <w:tr w:rsidR="00F26B04" w:rsidRPr="001E3157" w14:paraId="0577A9E5" w14:textId="77777777" w:rsidTr="008A6C69">
        <w:trPr>
          <w:trHeight w:val="77"/>
        </w:trPr>
        <w:tc>
          <w:tcPr>
            <w:cnfStyle w:val="001000000000" w:firstRow="0" w:lastRow="0" w:firstColumn="1" w:lastColumn="0" w:oddVBand="0" w:evenVBand="0" w:oddHBand="0" w:evenHBand="0" w:firstRowFirstColumn="0" w:firstRowLastColumn="0" w:lastRowFirstColumn="0" w:lastRowLastColumn="0"/>
            <w:tcW w:w="3823" w:type="dxa"/>
          </w:tcPr>
          <w:p w14:paraId="036B1CF7" w14:textId="77777777" w:rsidR="00F26B04" w:rsidRPr="001E3157" w:rsidRDefault="00F26B04" w:rsidP="008A6C69">
            <w:pPr>
              <w:pStyle w:val="TextOpensans"/>
              <w:rPr>
                <w:sz w:val="22"/>
              </w:rPr>
            </w:pPr>
            <w:r w:rsidRPr="001E3157">
              <w:rPr>
                <w:sz w:val="22"/>
              </w:rPr>
              <w:t>Per year (10 years)</w:t>
            </w:r>
          </w:p>
        </w:tc>
        <w:tc>
          <w:tcPr>
            <w:tcW w:w="5386" w:type="dxa"/>
          </w:tcPr>
          <w:p w14:paraId="3F42EC7F" w14:textId="2EADB696" w:rsidR="00F26B04" w:rsidRPr="001E3157" w:rsidRDefault="00F26B04" w:rsidP="008A6C69">
            <w:pPr>
              <w:pStyle w:val="TextOpensans"/>
              <w:cnfStyle w:val="000000000000" w:firstRow="0" w:lastRow="0" w:firstColumn="0" w:lastColumn="0" w:oddVBand="0" w:evenVBand="0" w:oddHBand="0" w:evenHBand="0" w:firstRowFirstColumn="0" w:firstRowLastColumn="0" w:lastRowFirstColumn="0" w:lastRowLastColumn="0"/>
            </w:pPr>
            <w:r w:rsidRPr="001E3157">
              <w:rPr>
                <w:rFonts w:eastAsia="Times New Roman"/>
                <w:color w:val="000000"/>
                <w:lang w:eastAsia="en-AU"/>
              </w:rPr>
              <w:t>$2,204,773</w:t>
            </w:r>
          </w:p>
        </w:tc>
      </w:tr>
    </w:tbl>
    <w:p w14:paraId="30D8EE14" w14:textId="77777777" w:rsidR="009C438B" w:rsidRDefault="009C438B" w:rsidP="009C438B">
      <w:pPr>
        <w:pStyle w:val="TextOpensans"/>
      </w:pPr>
    </w:p>
    <w:p w14:paraId="33224546" w14:textId="1BBA6B7E" w:rsidR="0021683D" w:rsidRPr="001E3157" w:rsidRDefault="009C438B" w:rsidP="0021683D">
      <w:pPr>
        <w:pStyle w:val="TextOpensans"/>
      </w:pPr>
      <w:r w:rsidRPr="00FC6D5D">
        <w:t xml:space="preserve">The impacted population estimates of small, medium and large companies were derived </w:t>
      </w:r>
      <w:r>
        <w:t xml:space="preserve">by the ATO’s Revenue Analysis Branch </w:t>
      </w:r>
      <w:r w:rsidRPr="00FC6D5D">
        <w:t xml:space="preserve">using the list of </w:t>
      </w:r>
      <w:r w:rsidR="002D324E">
        <w:t>Australian Business Numbers (</w:t>
      </w:r>
      <w:r w:rsidRPr="00FC6D5D">
        <w:t>ABN</w:t>
      </w:r>
      <w:r w:rsidR="002D324E">
        <w:t>)</w:t>
      </w:r>
      <w:r w:rsidRPr="00FC6D5D">
        <w:t xml:space="preserve"> holding relevant patents provided by </w:t>
      </w:r>
      <w:r>
        <w:t>Treasury</w:t>
      </w:r>
      <w:r w:rsidRPr="00FC6D5D">
        <w:t xml:space="preserve">. The number of hours required for each taxpayer to adapt to the proposal </w:t>
      </w:r>
      <w:r>
        <w:t>was</w:t>
      </w:r>
      <w:r w:rsidRPr="00FC6D5D">
        <w:t xml:space="preserve"> then estimated based on the qualitative assessment of the proposal’s impacts and a compliance cost survey conducted in 2015. The total number of hours are multiplied by an OBPR rate of $73.05 per hour to arrive at the compliance cost estimates.</w:t>
      </w:r>
    </w:p>
    <w:p w14:paraId="5ABD5CEE" w14:textId="751DE2D1" w:rsidR="00F26B04" w:rsidRPr="001E3157" w:rsidRDefault="00F26B04" w:rsidP="00F26B04">
      <w:pPr>
        <w:keepNext/>
        <w:keepLines/>
        <w:numPr>
          <w:ilvl w:val="3"/>
          <w:numId w:val="21"/>
        </w:numPr>
        <w:spacing w:before="200" w:after="0"/>
        <w:outlineLvl w:val="3"/>
        <w:rPr>
          <w:rFonts w:ascii="Open Sans" w:eastAsiaTheme="majorEastAsia" w:hAnsi="Open Sans" w:cs="Open Sans"/>
          <w:b/>
          <w:bCs/>
          <w:i/>
          <w:iCs/>
          <w:color w:val="00818F" w:themeColor="accent5"/>
        </w:rPr>
      </w:pPr>
      <w:r w:rsidRPr="001E3157">
        <w:rPr>
          <w:rFonts w:ascii="Open Sans" w:eastAsiaTheme="majorEastAsia" w:hAnsi="Open Sans" w:cs="Open Sans"/>
          <w:b/>
          <w:bCs/>
          <w:i/>
          <w:iCs/>
          <w:color w:val="00818F" w:themeColor="accent5"/>
        </w:rPr>
        <w:t>Policy Impact</w:t>
      </w:r>
      <w:r w:rsidR="009317BD">
        <w:rPr>
          <w:rFonts w:ascii="Open Sans" w:eastAsiaTheme="majorEastAsia" w:hAnsi="Open Sans" w:cs="Open Sans"/>
          <w:b/>
          <w:bCs/>
          <w:i/>
          <w:iCs/>
          <w:color w:val="00818F" w:themeColor="accent5"/>
        </w:rPr>
        <w:t xml:space="preserve"> Comparison</w:t>
      </w:r>
    </w:p>
    <w:p w14:paraId="2DA2ECC8" w14:textId="301C962E" w:rsidR="00F26B04" w:rsidRPr="001E3157" w:rsidRDefault="00F26B04" w:rsidP="00F26B04">
      <w:pPr>
        <w:rPr>
          <w:rFonts w:ascii="Open Sans" w:hAnsi="Open Sans" w:cs="Open Sans"/>
        </w:rPr>
      </w:pPr>
      <w:r w:rsidRPr="001E3157">
        <w:rPr>
          <w:rFonts w:ascii="Open Sans" w:hAnsi="Open Sans" w:cs="Open Sans"/>
        </w:rPr>
        <w:t>A patent box</w:t>
      </w:r>
      <w:r w:rsidR="009A6C4B">
        <w:rPr>
          <w:rFonts w:ascii="Open Sans" w:hAnsi="Open Sans" w:cs="Open Sans"/>
        </w:rPr>
        <w:t xml:space="preserve"> (Option 2 or 3)</w:t>
      </w:r>
      <w:r w:rsidRPr="001E3157">
        <w:rPr>
          <w:rFonts w:ascii="Open Sans" w:hAnsi="Open Sans" w:cs="Open Sans"/>
        </w:rPr>
        <w:t xml:space="preserve"> would help retain high value IP in Australia. The proposed patent box would make Australia’s tax settings more competitive and reduce the incentive for companies to offshore high value IP. Any offshoring that is prevented </w:t>
      </w:r>
      <w:r w:rsidR="00E03312" w:rsidRPr="001E3157" w:rsidDel="00201B50">
        <w:rPr>
          <w:rFonts w:ascii="Open Sans" w:hAnsi="Open Sans" w:cs="Open Sans"/>
        </w:rPr>
        <w:t>w</w:t>
      </w:r>
      <w:r w:rsidR="00E03312">
        <w:rPr>
          <w:rFonts w:ascii="Open Sans" w:hAnsi="Open Sans" w:cs="Open Sans"/>
        </w:rPr>
        <w:t>ould</w:t>
      </w:r>
      <w:r w:rsidR="00E03312" w:rsidRPr="001E3157" w:rsidDel="00201B50">
        <w:rPr>
          <w:rFonts w:ascii="Open Sans" w:hAnsi="Open Sans" w:cs="Open Sans"/>
        </w:rPr>
        <w:t xml:space="preserve"> </w:t>
      </w:r>
      <w:r w:rsidR="00C51582" w:rsidRPr="00C51582">
        <w:rPr>
          <w:rFonts w:ascii="Open Sans" w:hAnsi="Open Sans" w:cs="Open Sans"/>
        </w:rPr>
        <w:t>help to prevent the erosion of</w:t>
      </w:r>
      <w:r w:rsidRPr="001E3157">
        <w:rPr>
          <w:rFonts w:ascii="Open Sans" w:hAnsi="Open Sans" w:cs="Open Sans"/>
        </w:rPr>
        <w:t xml:space="preserve"> the corporate tax base. However, OECD requirements prevent patent boxes from encouraging foreign-designed IP to </w:t>
      </w:r>
      <w:r w:rsidR="00C325C2">
        <w:rPr>
          <w:rFonts w:ascii="Open Sans" w:hAnsi="Open Sans" w:cs="Open Sans"/>
        </w:rPr>
        <w:t>re</w:t>
      </w:r>
      <w:r w:rsidRPr="001E3157">
        <w:rPr>
          <w:rFonts w:ascii="Open Sans" w:hAnsi="Open Sans" w:cs="Open Sans"/>
        </w:rPr>
        <w:t xml:space="preserve">locate </w:t>
      </w:r>
      <w:r w:rsidR="00C325C2">
        <w:rPr>
          <w:rFonts w:ascii="Open Sans" w:hAnsi="Open Sans" w:cs="Open Sans"/>
        </w:rPr>
        <w:t>to</w:t>
      </w:r>
      <w:r w:rsidRPr="001E3157">
        <w:rPr>
          <w:rFonts w:ascii="Open Sans" w:hAnsi="Open Sans" w:cs="Open Sans"/>
        </w:rPr>
        <w:t xml:space="preserve"> Australia.</w:t>
      </w:r>
    </w:p>
    <w:p w14:paraId="5E6271B9" w14:textId="181AE4D7" w:rsidR="00F26B04" w:rsidRPr="001E3157" w:rsidRDefault="00F26B04" w:rsidP="00F26B04">
      <w:pPr>
        <w:rPr>
          <w:rFonts w:ascii="Open Sans" w:hAnsi="Open Sans" w:cs="Open Sans"/>
        </w:rPr>
      </w:pPr>
      <w:r w:rsidRPr="001E3157">
        <w:rPr>
          <w:rFonts w:ascii="Open Sans" w:hAnsi="Open Sans" w:cs="Open Sans"/>
        </w:rPr>
        <w:t>A patent box would also encourage further R&amp;D. Although currently a</w:t>
      </w:r>
      <w:r w:rsidR="0066142A">
        <w:rPr>
          <w:rFonts w:ascii="Open Sans" w:hAnsi="Open Sans" w:cs="Open Sans"/>
        </w:rPr>
        <w:t>n</w:t>
      </w:r>
      <w:r w:rsidRPr="001E3157">
        <w:rPr>
          <w:rFonts w:ascii="Open Sans" w:hAnsi="Open Sans" w:cs="Open Sans"/>
        </w:rPr>
        <w:t xml:space="preserve"> R&amp;D leader, Australia faces increasing global competition</w:t>
      </w:r>
      <w:r w:rsidR="003E181D">
        <w:rPr>
          <w:rFonts w:ascii="Open Sans" w:hAnsi="Open Sans" w:cs="Open Sans"/>
        </w:rPr>
        <w:t xml:space="preserve">. </w:t>
      </w:r>
      <w:r w:rsidRPr="001E3157">
        <w:rPr>
          <w:rFonts w:ascii="Open Sans" w:hAnsi="Open Sans" w:cs="Open Sans"/>
        </w:rPr>
        <w:t xml:space="preserve">By decreasing tax on IP-related income, the patent box would increase the return on R&amp;D investment. </w:t>
      </w:r>
      <w:r w:rsidR="003E181D">
        <w:rPr>
          <w:rFonts w:ascii="Open Sans" w:hAnsi="Open Sans" w:cs="Open Sans"/>
        </w:rPr>
        <w:t>This would</w:t>
      </w:r>
      <w:r w:rsidR="003E181D" w:rsidRPr="003E181D">
        <w:rPr>
          <w:rFonts w:ascii="Open Sans" w:hAnsi="Open Sans" w:cs="Open Sans"/>
        </w:rPr>
        <w:t xml:space="preserve"> ensure that over time Australia </w:t>
      </w:r>
      <w:r w:rsidR="003E181D">
        <w:rPr>
          <w:rFonts w:ascii="Open Sans" w:hAnsi="Open Sans" w:cs="Open Sans"/>
        </w:rPr>
        <w:t xml:space="preserve">lost </w:t>
      </w:r>
      <w:r w:rsidR="00D6179D" w:rsidRPr="00D6179D">
        <w:rPr>
          <w:rFonts w:ascii="Open Sans" w:hAnsi="Open Sans" w:cs="Open Sans"/>
        </w:rPr>
        <w:t>fewer</w:t>
      </w:r>
      <w:r w:rsidR="003E181D" w:rsidRPr="003E181D">
        <w:rPr>
          <w:rFonts w:ascii="Open Sans" w:hAnsi="Open Sans" w:cs="Open Sans"/>
        </w:rPr>
        <w:t xml:space="preserve"> </w:t>
      </w:r>
      <w:r w:rsidR="003E181D">
        <w:rPr>
          <w:rFonts w:ascii="Open Sans" w:hAnsi="Open Sans" w:cs="Open Sans"/>
        </w:rPr>
        <w:t>R&amp;D projects</w:t>
      </w:r>
      <w:r w:rsidR="003E181D" w:rsidRPr="003E181D">
        <w:rPr>
          <w:rFonts w:ascii="Open Sans" w:hAnsi="Open Sans" w:cs="Open Sans"/>
        </w:rPr>
        <w:t xml:space="preserve"> to other countries – and that where </w:t>
      </w:r>
      <w:r w:rsidR="003E181D">
        <w:rPr>
          <w:rFonts w:ascii="Open Sans" w:hAnsi="Open Sans" w:cs="Open Sans"/>
        </w:rPr>
        <w:t>R&amp;D</w:t>
      </w:r>
      <w:r w:rsidR="003E181D" w:rsidRPr="003E181D">
        <w:rPr>
          <w:rFonts w:ascii="Open Sans" w:hAnsi="Open Sans" w:cs="Open Sans"/>
        </w:rPr>
        <w:t xml:space="preserve"> is supported through </w:t>
      </w:r>
      <w:r w:rsidR="003E181D">
        <w:rPr>
          <w:rFonts w:ascii="Open Sans" w:hAnsi="Open Sans" w:cs="Open Sans"/>
        </w:rPr>
        <w:t xml:space="preserve">Australian </w:t>
      </w:r>
      <w:r w:rsidR="003E181D" w:rsidRPr="003E181D">
        <w:rPr>
          <w:rFonts w:ascii="Open Sans" w:hAnsi="Open Sans" w:cs="Open Sans"/>
        </w:rPr>
        <w:t>go</w:t>
      </w:r>
      <w:r w:rsidR="003E181D">
        <w:rPr>
          <w:rFonts w:ascii="Open Sans" w:hAnsi="Open Sans" w:cs="Open Sans"/>
        </w:rPr>
        <w:t>vernment</w:t>
      </w:r>
      <w:r w:rsidR="003E181D" w:rsidRPr="003E181D">
        <w:rPr>
          <w:rFonts w:ascii="Open Sans" w:hAnsi="Open Sans" w:cs="Open Sans"/>
        </w:rPr>
        <w:t xml:space="preserve"> </w:t>
      </w:r>
      <w:r w:rsidR="003E181D">
        <w:rPr>
          <w:rFonts w:ascii="Open Sans" w:hAnsi="Open Sans" w:cs="Open Sans"/>
        </w:rPr>
        <w:t>support</w:t>
      </w:r>
      <w:r w:rsidR="003E181D" w:rsidRPr="003E181D">
        <w:rPr>
          <w:rFonts w:ascii="Open Sans" w:hAnsi="Open Sans" w:cs="Open Sans"/>
        </w:rPr>
        <w:t xml:space="preserve">, the return on </w:t>
      </w:r>
      <w:r w:rsidR="003E181D">
        <w:rPr>
          <w:rFonts w:ascii="Open Sans" w:hAnsi="Open Sans" w:cs="Open Sans"/>
        </w:rPr>
        <w:t>government</w:t>
      </w:r>
      <w:r w:rsidR="003E181D" w:rsidRPr="003E181D">
        <w:rPr>
          <w:rFonts w:ascii="Open Sans" w:hAnsi="Open Sans" w:cs="Open Sans"/>
        </w:rPr>
        <w:t xml:space="preserve"> spending on </w:t>
      </w:r>
      <w:r w:rsidR="003E181D">
        <w:rPr>
          <w:rFonts w:ascii="Open Sans" w:hAnsi="Open Sans" w:cs="Open Sans"/>
        </w:rPr>
        <w:t>R&amp;D</w:t>
      </w:r>
      <w:r w:rsidR="003E181D" w:rsidRPr="003E181D">
        <w:rPr>
          <w:rFonts w:ascii="Open Sans" w:hAnsi="Open Sans" w:cs="Open Sans"/>
        </w:rPr>
        <w:t xml:space="preserve"> would be increased</w:t>
      </w:r>
      <w:r w:rsidR="003E181D">
        <w:rPr>
          <w:rFonts w:ascii="Open Sans" w:hAnsi="Open Sans" w:cs="Open Sans"/>
        </w:rPr>
        <w:t xml:space="preserve"> (</w:t>
      </w:r>
      <w:proofErr w:type="gramStart"/>
      <w:r w:rsidR="003E181D">
        <w:rPr>
          <w:rFonts w:ascii="Open Sans" w:hAnsi="Open Sans" w:cs="Open Sans"/>
        </w:rPr>
        <w:t>i.e.</w:t>
      </w:r>
      <w:proofErr w:type="gramEnd"/>
      <w:r w:rsidR="003E181D" w:rsidRPr="003E181D">
        <w:rPr>
          <w:rFonts w:ascii="Open Sans" w:hAnsi="Open Sans" w:cs="Open Sans"/>
        </w:rPr>
        <w:t xml:space="preserve"> </w:t>
      </w:r>
      <w:r w:rsidR="003E181D">
        <w:rPr>
          <w:rFonts w:ascii="Open Sans" w:hAnsi="Open Sans" w:cs="Open Sans"/>
        </w:rPr>
        <w:t xml:space="preserve">the patent box </w:t>
      </w:r>
      <w:r w:rsidR="003E181D" w:rsidRPr="003E181D">
        <w:rPr>
          <w:rFonts w:ascii="Open Sans" w:hAnsi="Open Sans" w:cs="Open Sans"/>
        </w:rPr>
        <w:t xml:space="preserve">improves the efficacy of </w:t>
      </w:r>
      <w:r w:rsidR="003E181D">
        <w:rPr>
          <w:rFonts w:ascii="Open Sans" w:hAnsi="Open Sans" w:cs="Open Sans"/>
        </w:rPr>
        <w:t>R&amp;DTI).</w:t>
      </w:r>
      <w:r w:rsidR="003E181D" w:rsidRPr="003E181D">
        <w:rPr>
          <w:rFonts w:ascii="Open Sans" w:hAnsi="Open Sans" w:cs="Open Sans"/>
        </w:rPr>
        <w:t xml:space="preserve"> </w:t>
      </w:r>
      <w:r w:rsidRPr="001E3157">
        <w:rPr>
          <w:rFonts w:ascii="Open Sans" w:hAnsi="Open Sans" w:cs="Open Sans"/>
        </w:rPr>
        <w:t xml:space="preserve">As the proposal only applies to new IP, the patent box specifically encourages R&amp;D. The concessional rate would also encourage the patenting of existing trade secrets, which would increase knowledge sharing. However, these proposals will not directly encourage onshore production, marketing or branding of Australian designed IP goods as the OECD rules mandate these income components be excluded. </w:t>
      </w:r>
    </w:p>
    <w:p w14:paraId="01B1A179" w14:textId="559B715C" w:rsidR="00F26B04" w:rsidRDefault="00F26B04" w:rsidP="00F26B04">
      <w:pPr>
        <w:rPr>
          <w:rFonts w:ascii="Open Sans" w:hAnsi="Open Sans" w:cs="Open Sans"/>
        </w:rPr>
      </w:pPr>
      <w:r w:rsidRPr="001E3157">
        <w:rPr>
          <w:rFonts w:ascii="Open Sans" w:hAnsi="Open Sans" w:cs="Open Sans"/>
        </w:rPr>
        <w:t xml:space="preserve">Patent boxes focus on the commercialisation rather than initial investment. As a result, they increase the </w:t>
      </w:r>
      <w:proofErr w:type="gramStart"/>
      <w:r w:rsidR="00311B04">
        <w:rPr>
          <w:rFonts w:ascii="Open Sans" w:hAnsi="Open Sans" w:cs="Open Sans"/>
        </w:rPr>
        <w:t>after tax</w:t>
      </w:r>
      <w:proofErr w:type="gramEnd"/>
      <w:r w:rsidR="00311B04">
        <w:rPr>
          <w:rFonts w:ascii="Open Sans" w:hAnsi="Open Sans" w:cs="Open Sans"/>
        </w:rPr>
        <w:t xml:space="preserve"> </w:t>
      </w:r>
      <w:r w:rsidRPr="001E3157">
        <w:rPr>
          <w:rFonts w:ascii="Open Sans" w:hAnsi="Open Sans" w:cs="Open Sans"/>
        </w:rPr>
        <w:t xml:space="preserve">returns to successful innovations </w:t>
      </w:r>
      <w:r w:rsidR="00311B04">
        <w:rPr>
          <w:rFonts w:ascii="Open Sans" w:hAnsi="Open Sans" w:cs="Open Sans"/>
        </w:rPr>
        <w:t>and hence make Australia a more attractive location for these investments</w:t>
      </w:r>
      <w:r w:rsidR="00EC3BE0">
        <w:rPr>
          <w:rFonts w:ascii="Open Sans" w:hAnsi="Open Sans" w:cs="Open Sans"/>
        </w:rPr>
        <w:t xml:space="preserve">. Patent boxes do not provide benefits to R&amp;D that is not commercially successful. </w:t>
      </w:r>
      <w:r w:rsidR="00311B04">
        <w:rPr>
          <w:rFonts w:ascii="Open Sans" w:hAnsi="Open Sans" w:cs="Open Sans"/>
        </w:rPr>
        <w:t xml:space="preserve">The R&amp;DTI is an existing </w:t>
      </w:r>
      <w:r w:rsidR="00EC3BE0">
        <w:rPr>
          <w:rFonts w:ascii="Open Sans" w:hAnsi="Open Sans" w:cs="Open Sans"/>
        </w:rPr>
        <w:t xml:space="preserve">Australian </w:t>
      </w:r>
      <w:r w:rsidR="00311B04">
        <w:rPr>
          <w:rFonts w:ascii="Open Sans" w:hAnsi="Open Sans" w:cs="Open Sans"/>
        </w:rPr>
        <w:t>tax measure that provides a benefit to firms that undertake R&amp;D in Australia</w:t>
      </w:r>
      <w:r w:rsidR="00EC3BE0">
        <w:rPr>
          <w:rFonts w:ascii="Open Sans" w:hAnsi="Open Sans" w:cs="Open Sans"/>
        </w:rPr>
        <w:t xml:space="preserve">, irrespective of the commercial success of that R&amp;D. </w:t>
      </w:r>
      <w:r w:rsidRPr="001E3157">
        <w:rPr>
          <w:rFonts w:ascii="Open Sans" w:hAnsi="Open Sans" w:cs="Open Sans"/>
        </w:rPr>
        <w:t xml:space="preserve"> </w:t>
      </w:r>
    </w:p>
    <w:p w14:paraId="1708F757" w14:textId="0DFA5F51" w:rsidR="0055755B" w:rsidRDefault="0055755B" w:rsidP="0055755B">
      <w:pPr>
        <w:rPr>
          <w:rFonts w:ascii="Open Sans" w:hAnsi="Open Sans" w:cs="Open Sans"/>
        </w:rPr>
      </w:pPr>
      <w:r>
        <w:rPr>
          <w:rFonts w:ascii="Open Sans" w:hAnsi="Open Sans" w:cs="Open Sans"/>
        </w:rPr>
        <w:lastRenderedPageBreak/>
        <w:t>Evidence presented in Section 3 determined that additional in-development patents captured in</w:t>
      </w:r>
      <w:r w:rsidRPr="00FF3A4D">
        <w:rPr>
          <w:rFonts w:ascii="Open Sans" w:hAnsi="Open Sans" w:cs="Open Sans"/>
        </w:rPr>
        <w:t xml:space="preserve"> Option 3</w:t>
      </w:r>
      <w:r>
        <w:rPr>
          <w:rFonts w:ascii="Open Sans" w:hAnsi="Open Sans" w:cs="Open Sans"/>
        </w:rPr>
        <w:t xml:space="preserve"> (beyond those captured in Option 2)</w:t>
      </w:r>
      <w:r w:rsidRPr="00FF3A4D">
        <w:rPr>
          <w:rFonts w:ascii="Open Sans" w:hAnsi="Open Sans" w:cs="Open Sans"/>
        </w:rPr>
        <w:t xml:space="preserve"> </w:t>
      </w:r>
      <w:r>
        <w:rPr>
          <w:rFonts w:ascii="Open Sans" w:hAnsi="Open Sans" w:cs="Open Sans"/>
        </w:rPr>
        <w:t>are</w:t>
      </w:r>
      <w:r w:rsidRPr="00FF3A4D">
        <w:rPr>
          <w:rFonts w:ascii="Open Sans" w:hAnsi="Open Sans" w:cs="Open Sans"/>
        </w:rPr>
        <w:t xml:space="preserve"> </w:t>
      </w:r>
      <w:r>
        <w:rPr>
          <w:rFonts w:ascii="Open Sans" w:hAnsi="Open Sans" w:cs="Open Sans"/>
        </w:rPr>
        <w:t>likely to benefit early</w:t>
      </w:r>
      <w:r w:rsidR="00207A61">
        <w:rPr>
          <w:rFonts w:ascii="Open Sans" w:hAnsi="Open Sans" w:cs="Open Sans"/>
        </w:rPr>
        <w:t>-</w:t>
      </w:r>
      <w:r>
        <w:rPr>
          <w:rFonts w:ascii="Open Sans" w:hAnsi="Open Sans" w:cs="Open Sans"/>
        </w:rPr>
        <w:t xml:space="preserve">stage patents that still have commercialisation investment decisions pending, where tax is a factor in determining whether the investment proceeds. </w:t>
      </w:r>
    </w:p>
    <w:p w14:paraId="168C5B94" w14:textId="77777777" w:rsidR="00F26B04" w:rsidRPr="001E3157" w:rsidRDefault="00F26B04" w:rsidP="00F26B04">
      <w:pPr>
        <w:pStyle w:val="H4Opensans"/>
      </w:pPr>
      <w:r w:rsidRPr="001E3157">
        <w:t>Risks and disadvantages</w:t>
      </w:r>
    </w:p>
    <w:p w14:paraId="21A1EE39" w14:textId="1CE5DA77" w:rsidR="00F26B04" w:rsidRPr="001E3157" w:rsidRDefault="00F26B04" w:rsidP="00F26B04">
      <w:pPr>
        <w:rPr>
          <w:rFonts w:ascii="Open Sans" w:hAnsi="Open Sans" w:cs="Open Sans"/>
        </w:rPr>
      </w:pPr>
      <w:r w:rsidRPr="001E3157">
        <w:rPr>
          <w:rFonts w:ascii="Open Sans" w:hAnsi="Open Sans" w:cs="Open Sans"/>
        </w:rPr>
        <w:t>The</w:t>
      </w:r>
      <w:r w:rsidRPr="001E3157" w:rsidDel="003C48DF">
        <w:rPr>
          <w:rFonts w:ascii="Open Sans" w:hAnsi="Open Sans" w:cs="Open Sans"/>
        </w:rPr>
        <w:t xml:space="preserve"> </w:t>
      </w:r>
      <w:r w:rsidRPr="001E3157">
        <w:rPr>
          <w:rFonts w:ascii="Open Sans" w:hAnsi="Open Sans" w:cs="Open Sans"/>
        </w:rPr>
        <w:t>patent box</w:t>
      </w:r>
      <w:r w:rsidR="00FD308B">
        <w:rPr>
          <w:rFonts w:ascii="Open Sans" w:hAnsi="Open Sans" w:cs="Open Sans"/>
        </w:rPr>
        <w:t xml:space="preserve"> (Option 2 or 3)</w:t>
      </w:r>
      <w:r w:rsidRPr="001E3157">
        <w:rPr>
          <w:rFonts w:ascii="Open Sans" w:hAnsi="Open Sans" w:cs="Open Sans"/>
        </w:rPr>
        <w:t xml:space="preserve"> is likely to increase tax planning opportunities for companies by providing a lower rate on certain income. Companies may attempt to patent marginal innovations in order to have more income taxed at the lower patent box effective rate rather than at the higher corporate tax rates</w:t>
      </w:r>
      <w:r w:rsidR="000207D0">
        <w:rPr>
          <w:rFonts w:ascii="Open Sans" w:hAnsi="Open Sans" w:cs="Open Sans"/>
        </w:rPr>
        <w:t xml:space="preserve"> (this income would have been taxed </w:t>
      </w:r>
      <w:r w:rsidR="00AC01EF">
        <w:rPr>
          <w:rFonts w:ascii="Open Sans" w:hAnsi="Open Sans" w:cs="Open Sans"/>
        </w:rPr>
        <w:t>at the relevant headline rate</w:t>
      </w:r>
      <w:r w:rsidR="000207D0">
        <w:rPr>
          <w:rFonts w:ascii="Open Sans" w:hAnsi="Open Sans" w:cs="Open Sans"/>
        </w:rPr>
        <w:t>)</w:t>
      </w:r>
      <w:r w:rsidRPr="001E3157">
        <w:rPr>
          <w:rFonts w:ascii="Open Sans" w:hAnsi="Open Sans" w:cs="Open Sans"/>
        </w:rPr>
        <w:t>. This may erode</w:t>
      </w:r>
      <w:r w:rsidRPr="001E3157" w:rsidDel="00D960D7">
        <w:rPr>
          <w:rFonts w:ascii="Open Sans" w:hAnsi="Open Sans" w:cs="Open Sans"/>
        </w:rPr>
        <w:t xml:space="preserve"> </w:t>
      </w:r>
      <w:r w:rsidRPr="001E3157">
        <w:rPr>
          <w:rFonts w:ascii="Open Sans" w:hAnsi="Open Sans" w:cs="Open Sans"/>
        </w:rPr>
        <w:t xml:space="preserve">corporate tax revenues and offset some of the tax revenue gains from retaining higher value patents that might have otherwise been offshored. </w:t>
      </w:r>
      <w:r w:rsidR="00E769DC">
        <w:rPr>
          <w:rFonts w:ascii="Open Sans" w:hAnsi="Open Sans" w:cs="Open Sans"/>
        </w:rPr>
        <w:t>That said, any marginal innovation would still need to satisfy</w:t>
      </w:r>
      <w:r w:rsidR="00EC09AF">
        <w:rPr>
          <w:rFonts w:ascii="Open Sans" w:hAnsi="Open Sans" w:cs="Open Sans"/>
        </w:rPr>
        <w:t xml:space="preserve"> examination by</w:t>
      </w:r>
      <w:r w:rsidR="00E769DC">
        <w:rPr>
          <w:rFonts w:ascii="Open Sans" w:hAnsi="Open Sans" w:cs="Open Sans"/>
        </w:rPr>
        <w:t xml:space="preserve"> IP Australia, which is an advantage o</w:t>
      </w:r>
      <w:r w:rsidR="00EC3BE0">
        <w:rPr>
          <w:rFonts w:ascii="Open Sans" w:hAnsi="Open Sans" w:cs="Open Sans"/>
        </w:rPr>
        <w:t>f</w:t>
      </w:r>
      <w:r w:rsidR="00E769DC">
        <w:rPr>
          <w:rFonts w:ascii="Open Sans" w:hAnsi="Open Sans" w:cs="Open Sans"/>
        </w:rPr>
        <w:t xml:space="preserve"> leveraging existing regulatory standards. </w:t>
      </w:r>
    </w:p>
    <w:p w14:paraId="121A4F9D" w14:textId="4E0B8F27" w:rsidR="00716CE5" w:rsidRDefault="00F26B04" w:rsidP="00F26B04">
      <w:pPr>
        <w:rPr>
          <w:rFonts w:ascii="Open Sans" w:hAnsi="Open Sans" w:cs="Open Sans"/>
        </w:rPr>
      </w:pPr>
      <w:r w:rsidRPr="001E3157">
        <w:rPr>
          <w:rFonts w:ascii="Open Sans" w:hAnsi="Open Sans" w:cs="Open Sans"/>
        </w:rPr>
        <w:t xml:space="preserve">Targeting the effective lower rate to </w:t>
      </w:r>
      <w:r w:rsidR="00716CE5">
        <w:rPr>
          <w:rFonts w:ascii="Open Sans" w:hAnsi="Open Sans" w:cs="Open Sans"/>
        </w:rPr>
        <w:t>income attributable to eligible</w:t>
      </w:r>
      <w:r w:rsidRPr="001E3157">
        <w:rPr>
          <w:rFonts w:ascii="Open Sans" w:hAnsi="Open Sans" w:cs="Open Sans"/>
        </w:rPr>
        <w:t xml:space="preserve"> IP will </w:t>
      </w:r>
      <w:r w:rsidR="00716CE5">
        <w:rPr>
          <w:rFonts w:ascii="Open Sans" w:hAnsi="Open Sans" w:cs="Open Sans"/>
        </w:rPr>
        <w:t xml:space="preserve">rely on </w:t>
      </w:r>
      <w:r w:rsidRPr="001E3157">
        <w:rPr>
          <w:rFonts w:ascii="Open Sans" w:hAnsi="Open Sans" w:cs="Open Sans"/>
        </w:rPr>
        <w:t>transfer pricing</w:t>
      </w:r>
      <w:r w:rsidR="00716CE5">
        <w:rPr>
          <w:rFonts w:ascii="Open Sans" w:hAnsi="Open Sans" w:cs="Open Sans"/>
        </w:rPr>
        <w:t xml:space="preserve"> mechanisms</w:t>
      </w:r>
      <w:r w:rsidRPr="001E3157">
        <w:rPr>
          <w:rFonts w:ascii="Open Sans" w:hAnsi="Open Sans" w:cs="Open Sans"/>
        </w:rPr>
        <w:t xml:space="preserve">. </w:t>
      </w:r>
      <w:r w:rsidR="00716CE5">
        <w:rPr>
          <w:rFonts w:ascii="Open Sans" w:hAnsi="Open Sans" w:cs="Open Sans"/>
        </w:rPr>
        <w:t>Taxpayers may end up in disputes with the ATO. That said, the ATO is well practiced at administering transfer pricing rules to ensure appropriate income attribution occurs. Most taxpayer</w:t>
      </w:r>
      <w:r w:rsidR="003210C0">
        <w:rPr>
          <w:rFonts w:ascii="Open Sans" w:hAnsi="Open Sans" w:cs="Open Sans"/>
        </w:rPr>
        <w:t>s</w:t>
      </w:r>
      <w:r w:rsidR="00716CE5">
        <w:rPr>
          <w:rFonts w:ascii="Open Sans" w:hAnsi="Open Sans" w:cs="Open Sans"/>
        </w:rPr>
        <w:t xml:space="preserve"> engaged in overseas related party dealings have experience dealing with the ATO on transfer pricing matters. </w:t>
      </w:r>
    </w:p>
    <w:p w14:paraId="42282A6B" w14:textId="77777777" w:rsidR="00201B50" w:rsidRDefault="00F26B04" w:rsidP="00F26B04">
      <w:pPr>
        <w:pStyle w:val="BodyText"/>
        <w:rPr>
          <w:rFonts w:ascii="Open Sans" w:hAnsi="Open Sans" w:cs="Open Sans"/>
        </w:rPr>
      </w:pPr>
      <w:r w:rsidRPr="0079488B">
        <w:rPr>
          <w:rFonts w:ascii="Open Sans" w:hAnsi="Open Sans" w:cs="Open Sans"/>
        </w:rPr>
        <w:t xml:space="preserve">The OECD </w:t>
      </w:r>
      <w:r w:rsidR="007E207A" w:rsidRPr="0079488B">
        <w:rPr>
          <w:rFonts w:ascii="Open Sans" w:hAnsi="Open Sans" w:cs="Open Sans"/>
        </w:rPr>
        <w:t xml:space="preserve">FHTP member jurisdictions </w:t>
      </w:r>
      <w:r w:rsidRPr="0079488B">
        <w:rPr>
          <w:rFonts w:ascii="Open Sans" w:hAnsi="Open Sans" w:cs="Open Sans"/>
        </w:rPr>
        <w:t>may</w:t>
      </w:r>
      <w:r w:rsidR="007E207A" w:rsidRPr="0079488B">
        <w:rPr>
          <w:rFonts w:ascii="Open Sans" w:hAnsi="Open Sans" w:cs="Open Sans"/>
        </w:rPr>
        <w:t xml:space="preserve"> (via consensus)</w:t>
      </w:r>
      <w:r w:rsidRPr="0079488B">
        <w:rPr>
          <w:rFonts w:ascii="Open Sans" w:hAnsi="Open Sans" w:cs="Open Sans"/>
        </w:rPr>
        <w:t xml:space="preserve"> declare </w:t>
      </w:r>
      <w:r w:rsidR="0055510C" w:rsidRPr="0079488B">
        <w:rPr>
          <w:rFonts w:ascii="Open Sans" w:hAnsi="Open Sans" w:cs="Open Sans"/>
        </w:rPr>
        <w:t>the</w:t>
      </w:r>
      <w:r w:rsidRPr="0079488B">
        <w:rPr>
          <w:rFonts w:ascii="Open Sans" w:hAnsi="Open Sans" w:cs="Open Sans"/>
        </w:rPr>
        <w:t xml:space="preserve"> patent box </w:t>
      </w:r>
      <w:r w:rsidR="0055510C" w:rsidRPr="0079488B">
        <w:rPr>
          <w:rFonts w:ascii="Open Sans" w:hAnsi="Open Sans" w:cs="Open Sans"/>
        </w:rPr>
        <w:t>to be</w:t>
      </w:r>
      <w:r w:rsidRPr="0079488B">
        <w:rPr>
          <w:rFonts w:ascii="Open Sans" w:hAnsi="Open Sans" w:cs="Open Sans"/>
        </w:rPr>
        <w:t xml:space="preserve"> not compliant with the Action 5 minimum standard</w:t>
      </w:r>
      <w:r w:rsidR="0055510C" w:rsidRPr="001C47FA">
        <w:rPr>
          <w:rFonts w:ascii="Open Sans" w:hAnsi="Open Sans" w:cs="Open Sans"/>
        </w:rPr>
        <w:t xml:space="preserve">, deeming it </w:t>
      </w:r>
      <w:r w:rsidRPr="001C47FA">
        <w:rPr>
          <w:rFonts w:ascii="Open Sans" w:hAnsi="Open Sans" w:cs="Open Sans"/>
        </w:rPr>
        <w:t>a ‘harmful tax practice’. This</w:t>
      </w:r>
      <w:r w:rsidR="00416643">
        <w:rPr>
          <w:rFonts w:ascii="Open Sans" w:hAnsi="Open Sans" w:cs="Open Sans"/>
        </w:rPr>
        <w:t xml:space="preserve"> risk</w:t>
      </w:r>
      <w:r w:rsidRPr="001E3157">
        <w:rPr>
          <w:rFonts w:ascii="Open Sans" w:hAnsi="Open Sans" w:cs="Open Sans"/>
        </w:rPr>
        <w:t xml:space="preserve">, however, is </w:t>
      </w:r>
      <w:r w:rsidR="003210C0" w:rsidRPr="0079488B">
        <w:rPr>
          <w:rFonts w:ascii="Open Sans" w:hAnsi="Open Sans" w:cs="Open Sans"/>
        </w:rPr>
        <w:t xml:space="preserve">regarded as very low </w:t>
      </w:r>
      <w:r w:rsidR="007677DC" w:rsidRPr="0079488B">
        <w:rPr>
          <w:rFonts w:ascii="Open Sans" w:hAnsi="Open Sans" w:cs="Open Sans"/>
        </w:rPr>
        <w:t>since the</w:t>
      </w:r>
      <w:r w:rsidRPr="0079488B">
        <w:rPr>
          <w:rFonts w:ascii="Open Sans" w:hAnsi="Open Sans" w:cs="Open Sans"/>
        </w:rPr>
        <w:t xml:space="preserve"> regime </w:t>
      </w:r>
      <w:r w:rsidR="003210C0" w:rsidRPr="0079488B">
        <w:rPr>
          <w:rFonts w:ascii="Open Sans" w:hAnsi="Open Sans" w:cs="Open Sans"/>
        </w:rPr>
        <w:t>was designed with the aim of following</w:t>
      </w:r>
      <w:r w:rsidR="003210C0" w:rsidRPr="0079488B" w:rsidDel="003210C0">
        <w:rPr>
          <w:rFonts w:ascii="Open Sans" w:hAnsi="Open Sans" w:cs="Open Sans"/>
        </w:rPr>
        <w:t xml:space="preserve"> </w:t>
      </w:r>
      <w:r w:rsidRPr="0079488B">
        <w:rPr>
          <w:rFonts w:ascii="Open Sans" w:hAnsi="Open Sans" w:cs="Open Sans"/>
        </w:rPr>
        <w:t xml:space="preserve">the OECD </w:t>
      </w:r>
      <w:r w:rsidR="003209BF" w:rsidRPr="0079488B">
        <w:rPr>
          <w:rFonts w:ascii="Open Sans" w:hAnsi="Open Sans" w:cs="Open Sans"/>
        </w:rPr>
        <w:t>guidelines specified in the BEPS Action 5 Report</w:t>
      </w:r>
      <w:r w:rsidR="0094770A" w:rsidRPr="0079488B">
        <w:rPr>
          <w:rFonts w:ascii="Open Sans" w:hAnsi="Open Sans" w:cs="Open Sans"/>
        </w:rPr>
        <w:t xml:space="preserve"> and </w:t>
      </w:r>
      <w:r w:rsidR="003210C0" w:rsidRPr="0079488B">
        <w:rPr>
          <w:rFonts w:ascii="Open Sans" w:hAnsi="Open Sans" w:cs="Open Sans"/>
        </w:rPr>
        <w:t xml:space="preserve">there has been significant </w:t>
      </w:r>
      <w:r w:rsidR="0094770A" w:rsidRPr="0079488B">
        <w:rPr>
          <w:rFonts w:ascii="Open Sans" w:hAnsi="Open Sans" w:cs="Open Sans"/>
        </w:rPr>
        <w:t xml:space="preserve">consultation with </w:t>
      </w:r>
      <w:r w:rsidR="003210C0" w:rsidRPr="0079488B">
        <w:rPr>
          <w:rFonts w:ascii="Open Sans" w:hAnsi="Open Sans" w:cs="Open Sans"/>
        </w:rPr>
        <w:t xml:space="preserve">the Secretariat of the </w:t>
      </w:r>
      <w:r w:rsidR="0094770A" w:rsidRPr="0079488B">
        <w:rPr>
          <w:rFonts w:ascii="Open Sans" w:hAnsi="Open Sans" w:cs="Open Sans"/>
        </w:rPr>
        <w:t>OECD FHTP</w:t>
      </w:r>
      <w:r w:rsidRPr="0079488B">
        <w:rPr>
          <w:rFonts w:ascii="Open Sans" w:hAnsi="Open Sans" w:cs="Open Sans"/>
        </w:rPr>
        <w:t xml:space="preserve">. </w:t>
      </w:r>
    </w:p>
    <w:p w14:paraId="229F40CE" w14:textId="5F6BB5BE" w:rsidR="00F26B04" w:rsidRPr="0079488B" w:rsidRDefault="00F26B04" w:rsidP="00F26B04">
      <w:pPr>
        <w:pStyle w:val="BodyText"/>
        <w:rPr>
          <w:rFonts w:ascii="Open Sans" w:hAnsi="Open Sans" w:cs="Open Sans"/>
        </w:rPr>
      </w:pPr>
      <w:r w:rsidRPr="0079488B">
        <w:rPr>
          <w:rFonts w:ascii="Open Sans" w:hAnsi="Open Sans" w:cs="Open Sans"/>
        </w:rPr>
        <w:t>For IP that would be commercialised in Australia regardless of the patent box, companies would receive a tax windfall gain due to their access to the concessional rate.</w:t>
      </w:r>
    </w:p>
    <w:p w14:paraId="26E38A71" w14:textId="046F97B0" w:rsidR="001E3157" w:rsidRPr="001E3157" w:rsidRDefault="00A614DB" w:rsidP="001E3157">
      <w:pPr>
        <w:pStyle w:val="H2Opensans"/>
      </w:pPr>
      <w:bookmarkStart w:id="194" w:name="_Toc93487787"/>
      <w:r>
        <w:t xml:space="preserve">Overall </w:t>
      </w:r>
      <w:r w:rsidR="001E3157" w:rsidRPr="001E3157">
        <w:t>Recommendation</w:t>
      </w:r>
      <w:bookmarkEnd w:id="194"/>
    </w:p>
    <w:p w14:paraId="4E4B7290" w14:textId="23D3409E" w:rsidR="00A5735A" w:rsidRDefault="006B26BF" w:rsidP="00A5735A">
      <w:pPr>
        <w:pStyle w:val="TextOpensans"/>
      </w:pPr>
      <w:r>
        <w:t xml:space="preserve">The </w:t>
      </w:r>
      <w:r w:rsidR="003A2864">
        <w:t>main benefits and costs</w:t>
      </w:r>
      <w:r>
        <w:t xml:space="preserve"> of each option are depicted in </w:t>
      </w:r>
      <w:r w:rsidR="00B30D40">
        <w:t>Figure 5</w:t>
      </w:r>
      <w:r>
        <w:t xml:space="preserve"> below.</w:t>
      </w:r>
      <w:r w:rsidR="003A2864">
        <w:t xml:space="preserve"> As this indicates, on</w:t>
      </w:r>
      <w:r>
        <w:t xml:space="preserve"> balance,</w:t>
      </w:r>
      <w:r w:rsidR="00A5735A">
        <w:t xml:space="preserve"> Option 3 is the preferred option</w:t>
      </w:r>
      <w:r>
        <w:t>.</w:t>
      </w:r>
      <w:r w:rsidR="00A5735A">
        <w:t xml:space="preserve"> </w:t>
      </w:r>
      <w:r>
        <w:t>I</w:t>
      </w:r>
      <w:r w:rsidR="00A5735A">
        <w:t xml:space="preserve">t addresses the identified problem more effectively than </w:t>
      </w:r>
      <w:r w:rsidR="00085B10">
        <w:t>O</w:t>
      </w:r>
      <w:r w:rsidR="00A5735A">
        <w:t xml:space="preserve">ption 2 </w:t>
      </w:r>
      <w:r w:rsidR="003D0442">
        <w:t>as it has a</w:t>
      </w:r>
      <w:r w:rsidR="00A5735A">
        <w:t xml:space="preserve"> lower regulatory burden</w:t>
      </w:r>
      <w:r w:rsidR="00415FE2">
        <w:t>. It also captures more new patents currently in development</w:t>
      </w:r>
      <w:r w:rsidR="00832F9F">
        <w:t>.</w:t>
      </w:r>
      <w:r w:rsidR="0008079F">
        <w:t xml:space="preserve"> </w:t>
      </w:r>
      <w:r w:rsidR="00832F9F">
        <w:t>B</w:t>
      </w:r>
      <w:r w:rsidR="00A664BE">
        <w:t xml:space="preserve">ased on the </w:t>
      </w:r>
      <w:r w:rsidR="00CA5EC3">
        <w:t xml:space="preserve">factors identified in the </w:t>
      </w:r>
      <w:r w:rsidR="00A664BE">
        <w:t>qualitative comparison in Figure 5</w:t>
      </w:r>
      <w:r w:rsidR="00832F9F">
        <w:t>, it</w:t>
      </w:r>
      <w:r w:rsidR="00A664BE">
        <w:t xml:space="preserve"> is likely to </w:t>
      </w:r>
      <w:r w:rsidR="00A5735A">
        <w:t>ha</w:t>
      </w:r>
      <w:r w:rsidR="00A664BE">
        <w:t>ve</w:t>
      </w:r>
      <w:r w:rsidR="00A5735A">
        <w:t xml:space="preserve"> the strongest net positive impact for Australia out of the three options.  </w:t>
      </w:r>
      <w:r w:rsidR="00085B10" w:rsidRPr="003D6F25">
        <w:rPr>
          <w:color w:val="FF0000"/>
        </w:rPr>
        <w:t xml:space="preserve">    </w:t>
      </w:r>
    </w:p>
    <w:p w14:paraId="7BD43327" w14:textId="564CF510" w:rsidR="005F5C90" w:rsidRDefault="00AC0CF2" w:rsidP="005F5C90">
      <w:pPr>
        <w:pStyle w:val="TextOpensans"/>
      </w:pPr>
      <w:r w:rsidRPr="0079488B">
        <w:t>Option 3 provides the highest likelihood that the patent box will achieve it</w:t>
      </w:r>
      <w:r w:rsidR="00A5735A" w:rsidRPr="0079488B">
        <w:t>s</w:t>
      </w:r>
      <w:r w:rsidRPr="0079488B">
        <w:t xml:space="preserve"> aim. </w:t>
      </w:r>
      <w:r w:rsidR="005F5C90" w:rsidRPr="0079488B">
        <w:t xml:space="preserve"> The </w:t>
      </w:r>
      <w:r w:rsidR="00085B10" w:rsidRPr="0079488B">
        <w:t xml:space="preserve">difference in the effective </w:t>
      </w:r>
      <w:r w:rsidR="005F5C90" w:rsidRPr="0079488B">
        <w:t xml:space="preserve">tax rate between Australia and other </w:t>
      </w:r>
      <w:r w:rsidR="00040B35" w:rsidRPr="0079488B">
        <w:t>jurisdictions</w:t>
      </w:r>
      <w:r w:rsidRPr="0079488B">
        <w:t xml:space="preserve"> </w:t>
      </w:r>
      <w:r w:rsidR="005F5C90" w:rsidRPr="0079488B">
        <w:t>will be reduced, as will the incentive to offshore valuable patents for a sector rich in patents</w:t>
      </w:r>
      <w:r w:rsidR="00085B10" w:rsidRPr="0079488B">
        <w:t>. This in turn should ensure that</w:t>
      </w:r>
      <w:r w:rsidR="005F5C90" w:rsidRPr="0079488B">
        <w:t xml:space="preserve"> tax </w:t>
      </w:r>
      <w:r w:rsidR="00085B10" w:rsidRPr="0079488B">
        <w:t xml:space="preserve">becomes </w:t>
      </w:r>
      <w:r w:rsidR="005F5C90" w:rsidRPr="0079488B">
        <w:t xml:space="preserve">less of a factor </w:t>
      </w:r>
      <w:r w:rsidR="00085B10" w:rsidRPr="0079488B">
        <w:t xml:space="preserve">in </w:t>
      </w:r>
      <w:r w:rsidR="005F5C90" w:rsidRPr="0079488B">
        <w:t xml:space="preserve">medical and biotechnology </w:t>
      </w:r>
      <w:r w:rsidR="005F5C90" w:rsidRPr="0012311D">
        <w:t xml:space="preserve">businesses </w:t>
      </w:r>
      <w:r w:rsidR="00EC3BE0">
        <w:t>mak</w:t>
      </w:r>
      <w:r w:rsidR="00085B10">
        <w:t>ing</w:t>
      </w:r>
      <w:r w:rsidR="00EC3BE0">
        <w:t xml:space="preserve"> decisions about where to conduct R&amp;D and commercialise successful patents</w:t>
      </w:r>
      <w:r w:rsidR="005F5C90" w:rsidRPr="0012311D">
        <w:t xml:space="preserve">.  </w:t>
      </w:r>
    </w:p>
    <w:tbl>
      <w:tblPr>
        <w:tblStyle w:val="TableGrid"/>
        <w:tblpPr w:leftFromText="180" w:rightFromText="180" w:vertAnchor="page" w:horzAnchor="margin" w:tblpY="1890"/>
        <w:tblW w:w="9160" w:type="dxa"/>
        <w:tblLook w:val="04A0" w:firstRow="1" w:lastRow="0" w:firstColumn="1" w:lastColumn="0" w:noHBand="0" w:noVBand="1"/>
        <w:tblCaption w:val="Figure 5: Heat Map summarising the net benefits of each option"/>
        <w:tblDescription w:val="Figure or table shows that Option 3 pruces the highest policy impact with the likely highest cost to revenue"/>
      </w:tblPr>
      <w:tblGrid>
        <w:gridCol w:w="2290"/>
        <w:gridCol w:w="2290"/>
        <w:gridCol w:w="2290"/>
        <w:gridCol w:w="2290"/>
      </w:tblGrid>
      <w:tr w:rsidR="00C66285" w:rsidRPr="00812538" w14:paraId="4F51B2C3" w14:textId="77777777" w:rsidTr="00C66285">
        <w:trPr>
          <w:trHeight w:val="1928"/>
        </w:trPr>
        <w:tc>
          <w:tcPr>
            <w:tcW w:w="2290" w:type="dxa"/>
            <w:vAlign w:val="center"/>
          </w:tcPr>
          <w:p w14:paraId="7D9F58D4" w14:textId="77777777" w:rsidR="00C66285" w:rsidRPr="001F7E07" w:rsidRDefault="00C66285" w:rsidP="00C66285">
            <w:pPr>
              <w:pStyle w:val="Bullet"/>
              <w:numPr>
                <w:ilvl w:val="0"/>
                <w:numId w:val="0"/>
              </w:numPr>
              <w:jc w:val="center"/>
              <w:rPr>
                <w:rFonts w:ascii="Open Sans" w:hAnsi="Open Sans" w:cs="Open Sans"/>
                <w:b/>
                <w:sz w:val="22"/>
                <w:szCs w:val="22"/>
              </w:rPr>
            </w:pPr>
            <w:r w:rsidRPr="001F7E07">
              <w:rPr>
                <w:rFonts w:ascii="Open Sans" w:hAnsi="Open Sans" w:cs="Open Sans"/>
                <w:b/>
                <w:sz w:val="22"/>
                <w:szCs w:val="22"/>
              </w:rPr>
              <w:lastRenderedPageBreak/>
              <w:t>RIS Heat Map</w:t>
            </w:r>
          </w:p>
        </w:tc>
        <w:tc>
          <w:tcPr>
            <w:tcW w:w="2290" w:type="dxa"/>
            <w:vAlign w:val="bottom"/>
          </w:tcPr>
          <w:p w14:paraId="651FC156" w14:textId="77777777" w:rsidR="00C66285" w:rsidRPr="00E53871" w:rsidRDefault="00C66285" w:rsidP="00C66285">
            <w:pPr>
              <w:pStyle w:val="Bullet"/>
              <w:numPr>
                <w:ilvl w:val="0"/>
                <w:numId w:val="0"/>
              </w:numPr>
              <w:rPr>
                <w:rFonts w:ascii="Open Sans" w:hAnsi="Open Sans" w:cs="Open Sans"/>
                <w:b/>
                <w:bCs/>
                <w:sz w:val="22"/>
                <w:szCs w:val="22"/>
              </w:rPr>
            </w:pPr>
            <w:r w:rsidRPr="00E53871">
              <w:rPr>
                <w:rFonts w:ascii="Open Sans" w:hAnsi="Open Sans" w:cs="Open Sans"/>
                <w:b/>
              </w:rPr>
              <w:t>Option 1</w:t>
            </w:r>
          </w:p>
          <w:p w14:paraId="0E48F80E" w14:textId="77777777" w:rsidR="00C66285" w:rsidRPr="00E53871" w:rsidRDefault="00C66285" w:rsidP="00C66285">
            <w:pPr>
              <w:pStyle w:val="Bullet"/>
              <w:numPr>
                <w:ilvl w:val="0"/>
                <w:numId w:val="0"/>
              </w:numPr>
              <w:jc w:val="center"/>
              <w:rPr>
                <w:rFonts w:ascii="Open Sans" w:hAnsi="Open Sans" w:cs="Open Sans"/>
                <w:b/>
                <w:bCs/>
                <w:sz w:val="22"/>
                <w:szCs w:val="22"/>
              </w:rPr>
            </w:pPr>
          </w:p>
          <w:p w14:paraId="2060F593" w14:textId="77777777" w:rsidR="00C66285" w:rsidRPr="00E53871" w:rsidRDefault="00C66285" w:rsidP="00C66285">
            <w:pPr>
              <w:pStyle w:val="Bullet"/>
              <w:numPr>
                <w:ilvl w:val="0"/>
                <w:numId w:val="0"/>
              </w:numPr>
              <w:rPr>
                <w:rFonts w:ascii="Open Sans" w:hAnsi="Open Sans" w:cs="Open Sans"/>
                <w:b/>
                <w:bCs/>
                <w:sz w:val="22"/>
                <w:szCs w:val="22"/>
              </w:rPr>
            </w:pPr>
            <w:r w:rsidRPr="00E53871">
              <w:rPr>
                <w:rFonts w:ascii="Open Sans" w:hAnsi="Open Sans" w:cs="Open Sans"/>
                <w:b/>
              </w:rPr>
              <w:t>Status quo (no concession)</w:t>
            </w:r>
          </w:p>
        </w:tc>
        <w:tc>
          <w:tcPr>
            <w:tcW w:w="2290" w:type="dxa"/>
            <w:vAlign w:val="bottom"/>
          </w:tcPr>
          <w:p w14:paraId="42B9BCA1" w14:textId="77777777" w:rsidR="00C66285" w:rsidRPr="00E53871" w:rsidRDefault="00C66285" w:rsidP="00C66285">
            <w:pPr>
              <w:pStyle w:val="Bullet"/>
              <w:numPr>
                <w:ilvl w:val="0"/>
                <w:numId w:val="0"/>
              </w:numPr>
              <w:rPr>
                <w:rFonts w:ascii="Open Sans" w:hAnsi="Open Sans" w:cs="Open Sans"/>
                <w:b/>
                <w:bCs/>
                <w:sz w:val="22"/>
                <w:szCs w:val="22"/>
              </w:rPr>
            </w:pPr>
            <w:r w:rsidRPr="00E53871">
              <w:rPr>
                <w:rFonts w:ascii="Open Sans" w:hAnsi="Open Sans" w:cs="Open Sans"/>
                <w:b/>
              </w:rPr>
              <w:t>Option 2</w:t>
            </w:r>
          </w:p>
          <w:p w14:paraId="6A86371D" w14:textId="77777777" w:rsidR="00C66285" w:rsidRPr="00E53871" w:rsidRDefault="00C66285" w:rsidP="00C66285">
            <w:pPr>
              <w:pStyle w:val="Bullet"/>
              <w:numPr>
                <w:ilvl w:val="0"/>
                <w:numId w:val="0"/>
              </w:numPr>
              <w:jc w:val="center"/>
              <w:rPr>
                <w:rFonts w:ascii="Open Sans" w:hAnsi="Open Sans" w:cs="Open Sans"/>
                <w:b/>
                <w:bCs/>
                <w:sz w:val="22"/>
                <w:szCs w:val="22"/>
              </w:rPr>
            </w:pPr>
          </w:p>
          <w:p w14:paraId="39FD5071" w14:textId="77777777" w:rsidR="00C66285" w:rsidRPr="00E53871" w:rsidRDefault="00C66285" w:rsidP="00C66285">
            <w:pPr>
              <w:pStyle w:val="Bullet"/>
              <w:numPr>
                <w:ilvl w:val="0"/>
                <w:numId w:val="0"/>
              </w:numPr>
              <w:rPr>
                <w:rFonts w:ascii="Open Sans" w:hAnsi="Open Sans" w:cs="Open Sans"/>
                <w:b/>
                <w:bCs/>
                <w:sz w:val="22"/>
                <w:szCs w:val="22"/>
              </w:rPr>
            </w:pPr>
            <w:r w:rsidRPr="00E53871">
              <w:rPr>
                <w:rFonts w:ascii="Open Sans" w:hAnsi="Open Sans" w:cs="Open Sans"/>
                <w:b/>
              </w:rPr>
              <w:t xml:space="preserve">Budget announcement proposal </w:t>
            </w:r>
          </w:p>
        </w:tc>
        <w:tc>
          <w:tcPr>
            <w:tcW w:w="2290" w:type="dxa"/>
            <w:vAlign w:val="bottom"/>
          </w:tcPr>
          <w:p w14:paraId="4603D106" w14:textId="77777777" w:rsidR="00C66285" w:rsidRPr="00E53871" w:rsidRDefault="00C66285" w:rsidP="00C66285">
            <w:pPr>
              <w:pStyle w:val="Bullet"/>
              <w:numPr>
                <w:ilvl w:val="0"/>
                <w:numId w:val="0"/>
              </w:numPr>
              <w:rPr>
                <w:rFonts w:ascii="Open Sans" w:hAnsi="Open Sans" w:cs="Open Sans"/>
                <w:b/>
                <w:bCs/>
                <w:sz w:val="22"/>
                <w:szCs w:val="22"/>
              </w:rPr>
            </w:pPr>
            <w:r w:rsidRPr="00E53871">
              <w:rPr>
                <w:rFonts w:ascii="Open Sans" w:hAnsi="Open Sans" w:cs="Open Sans"/>
                <w:b/>
              </w:rPr>
              <w:t>Option 3</w:t>
            </w:r>
          </w:p>
          <w:p w14:paraId="1B76A215" w14:textId="77777777" w:rsidR="00C66285" w:rsidRPr="00E53871" w:rsidRDefault="00C66285" w:rsidP="00C66285">
            <w:pPr>
              <w:pStyle w:val="Bullet"/>
              <w:numPr>
                <w:ilvl w:val="0"/>
                <w:numId w:val="0"/>
              </w:numPr>
              <w:jc w:val="center"/>
              <w:rPr>
                <w:rFonts w:ascii="Open Sans" w:hAnsi="Open Sans" w:cs="Open Sans"/>
                <w:b/>
                <w:bCs/>
                <w:sz w:val="22"/>
                <w:szCs w:val="22"/>
              </w:rPr>
            </w:pPr>
          </w:p>
          <w:p w14:paraId="3134BD5F" w14:textId="77777777" w:rsidR="00C66285" w:rsidRPr="00E53871" w:rsidRDefault="00C66285" w:rsidP="00C66285">
            <w:pPr>
              <w:pStyle w:val="Bullet"/>
              <w:numPr>
                <w:ilvl w:val="0"/>
                <w:numId w:val="0"/>
              </w:numPr>
              <w:rPr>
                <w:rFonts w:ascii="Open Sans" w:hAnsi="Open Sans" w:cs="Open Sans"/>
                <w:b/>
                <w:bCs/>
                <w:sz w:val="22"/>
                <w:szCs w:val="22"/>
              </w:rPr>
            </w:pPr>
            <w:r>
              <w:rPr>
                <w:rFonts w:ascii="Open Sans" w:hAnsi="Open Sans" w:cs="Open Sans"/>
                <w:b/>
              </w:rPr>
              <w:t>Modified</w:t>
            </w:r>
            <w:r w:rsidRPr="00E53871">
              <w:rPr>
                <w:rFonts w:ascii="Open Sans" w:hAnsi="Open Sans" w:cs="Open Sans"/>
                <w:b/>
              </w:rPr>
              <w:t xml:space="preserve"> proposal (design </w:t>
            </w:r>
            <w:r>
              <w:rPr>
                <w:rFonts w:ascii="Open Sans" w:hAnsi="Open Sans" w:cs="Open Sans"/>
                <w:b/>
              </w:rPr>
              <w:t>reflecting</w:t>
            </w:r>
            <w:r w:rsidRPr="00E53871">
              <w:rPr>
                <w:rFonts w:ascii="Open Sans" w:hAnsi="Open Sans" w:cs="Open Sans"/>
                <w:b/>
              </w:rPr>
              <w:t xml:space="preserve"> public consultation</w:t>
            </w:r>
            <w:r>
              <w:rPr>
                <w:rFonts w:ascii="Open Sans" w:hAnsi="Open Sans" w:cs="Open Sans"/>
                <w:b/>
              </w:rPr>
              <w:t xml:space="preserve"> on Budget announcement</w:t>
            </w:r>
            <w:r w:rsidRPr="00E53871">
              <w:rPr>
                <w:rFonts w:ascii="Open Sans" w:hAnsi="Open Sans" w:cs="Open Sans"/>
                <w:b/>
              </w:rPr>
              <w:t>)</w:t>
            </w:r>
          </w:p>
        </w:tc>
      </w:tr>
      <w:tr w:rsidR="00C66285" w:rsidRPr="00812538" w14:paraId="3AA04B0B" w14:textId="77777777" w:rsidTr="00C66285">
        <w:trPr>
          <w:trHeight w:val="1769"/>
        </w:trPr>
        <w:tc>
          <w:tcPr>
            <w:tcW w:w="2290" w:type="dxa"/>
            <w:vAlign w:val="center"/>
          </w:tcPr>
          <w:p w14:paraId="0C43C719" w14:textId="77777777" w:rsidR="00C66285" w:rsidRPr="00812538" w:rsidRDefault="00C66285" w:rsidP="00C66285">
            <w:pPr>
              <w:pStyle w:val="Bullet"/>
              <w:numPr>
                <w:ilvl w:val="0"/>
                <w:numId w:val="0"/>
              </w:numPr>
              <w:rPr>
                <w:rFonts w:ascii="Open Sans" w:hAnsi="Open Sans" w:cs="Open Sans"/>
                <w:sz w:val="22"/>
                <w:szCs w:val="22"/>
              </w:rPr>
            </w:pPr>
            <w:r w:rsidRPr="00812538">
              <w:rPr>
                <w:rFonts w:ascii="Open Sans" w:hAnsi="Open Sans" w:cs="Open Sans"/>
                <w:sz w:val="22"/>
                <w:szCs w:val="22"/>
              </w:rPr>
              <w:t>Improves Australia’s international tax competitiveness</w:t>
            </w:r>
          </w:p>
        </w:tc>
        <w:tc>
          <w:tcPr>
            <w:tcW w:w="2290" w:type="dxa"/>
            <w:shd w:val="clear" w:color="auto" w:fill="FF0000"/>
            <w:vAlign w:val="center"/>
          </w:tcPr>
          <w:p w14:paraId="1F39BEE9" w14:textId="77777777" w:rsidR="00C66285" w:rsidRPr="00812538" w:rsidRDefault="00C66285" w:rsidP="00C66285">
            <w:pPr>
              <w:pStyle w:val="Bullet"/>
              <w:numPr>
                <w:ilvl w:val="0"/>
                <w:numId w:val="0"/>
              </w:numPr>
              <w:rPr>
                <w:rFonts w:ascii="Open Sans" w:hAnsi="Open Sans" w:cs="Open Sans"/>
                <w:sz w:val="22"/>
                <w:szCs w:val="22"/>
              </w:rPr>
            </w:pPr>
          </w:p>
        </w:tc>
        <w:tc>
          <w:tcPr>
            <w:tcW w:w="2290" w:type="dxa"/>
            <w:shd w:val="clear" w:color="auto" w:fill="00B050"/>
            <w:vAlign w:val="center"/>
          </w:tcPr>
          <w:p w14:paraId="055DA64C" w14:textId="77777777" w:rsidR="00C66285" w:rsidRPr="00812538" w:rsidRDefault="00C66285" w:rsidP="00C66285">
            <w:pPr>
              <w:pStyle w:val="Bullet"/>
              <w:numPr>
                <w:ilvl w:val="0"/>
                <w:numId w:val="0"/>
              </w:numPr>
              <w:rPr>
                <w:rFonts w:ascii="Open Sans" w:hAnsi="Open Sans" w:cs="Open Sans"/>
                <w:sz w:val="22"/>
                <w:szCs w:val="22"/>
              </w:rPr>
            </w:pPr>
          </w:p>
        </w:tc>
        <w:tc>
          <w:tcPr>
            <w:tcW w:w="2290" w:type="dxa"/>
            <w:shd w:val="clear" w:color="auto" w:fill="00B050"/>
            <w:vAlign w:val="center"/>
          </w:tcPr>
          <w:p w14:paraId="74C1672E" w14:textId="77777777" w:rsidR="00C66285" w:rsidRPr="00812538" w:rsidRDefault="00C66285" w:rsidP="00C66285">
            <w:pPr>
              <w:pStyle w:val="Bullet"/>
              <w:numPr>
                <w:ilvl w:val="0"/>
                <w:numId w:val="0"/>
              </w:numPr>
              <w:rPr>
                <w:rFonts w:ascii="Open Sans" w:hAnsi="Open Sans" w:cs="Open Sans"/>
                <w:sz w:val="22"/>
                <w:szCs w:val="22"/>
              </w:rPr>
            </w:pPr>
          </w:p>
        </w:tc>
      </w:tr>
      <w:tr w:rsidR="00C66285" w:rsidRPr="00812538" w14:paraId="44CC7A75" w14:textId="77777777" w:rsidTr="00C66285">
        <w:trPr>
          <w:trHeight w:val="1769"/>
        </w:trPr>
        <w:tc>
          <w:tcPr>
            <w:tcW w:w="2290" w:type="dxa"/>
            <w:vAlign w:val="center"/>
          </w:tcPr>
          <w:p w14:paraId="326BBE3D" w14:textId="77777777" w:rsidR="00C66285" w:rsidRPr="00812538" w:rsidRDefault="00C66285" w:rsidP="00C66285">
            <w:pPr>
              <w:pStyle w:val="Bullet"/>
              <w:numPr>
                <w:ilvl w:val="0"/>
                <w:numId w:val="0"/>
              </w:numPr>
              <w:rPr>
                <w:rFonts w:ascii="Open Sans" w:hAnsi="Open Sans" w:cs="Open Sans"/>
                <w:sz w:val="22"/>
                <w:szCs w:val="22"/>
              </w:rPr>
            </w:pPr>
            <w:r w:rsidRPr="00812538">
              <w:rPr>
                <w:rFonts w:ascii="Open Sans" w:hAnsi="Open Sans" w:cs="Open Sans"/>
                <w:sz w:val="22"/>
                <w:szCs w:val="22"/>
              </w:rPr>
              <w:t>Incentivises research and development in Australia</w:t>
            </w:r>
          </w:p>
        </w:tc>
        <w:tc>
          <w:tcPr>
            <w:tcW w:w="2290" w:type="dxa"/>
            <w:shd w:val="clear" w:color="auto" w:fill="FF0000"/>
            <w:vAlign w:val="center"/>
          </w:tcPr>
          <w:p w14:paraId="6A6DEA72" w14:textId="77777777" w:rsidR="00C66285" w:rsidRPr="00812538" w:rsidRDefault="00C66285" w:rsidP="00C66285">
            <w:pPr>
              <w:pStyle w:val="Bullet"/>
              <w:numPr>
                <w:ilvl w:val="0"/>
                <w:numId w:val="0"/>
              </w:numPr>
              <w:rPr>
                <w:rFonts w:ascii="Open Sans" w:hAnsi="Open Sans" w:cs="Open Sans"/>
                <w:sz w:val="22"/>
                <w:szCs w:val="22"/>
              </w:rPr>
            </w:pPr>
          </w:p>
        </w:tc>
        <w:tc>
          <w:tcPr>
            <w:tcW w:w="2290" w:type="dxa"/>
            <w:shd w:val="clear" w:color="auto" w:fill="00B050"/>
            <w:vAlign w:val="center"/>
          </w:tcPr>
          <w:p w14:paraId="15C811C6" w14:textId="77777777" w:rsidR="00C66285" w:rsidRPr="00812538" w:rsidRDefault="00C66285" w:rsidP="00C66285">
            <w:pPr>
              <w:pStyle w:val="Bullet"/>
              <w:numPr>
                <w:ilvl w:val="0"/>
                <w:numId w:val="0"/>
              </w:numPr>
              <w:rPr>
                <w:rFonts w:ascii="Open Sans" w:hAnsi="Open Sans" w:cs="Open Sans"/>
                <w:sz w:val="22"/>
                <w:szCs w:val="22"/>
              </w:rPr>
            </w:pPr>
          </w:p>
        </w:tc>
        <w:tc>
          <w:tcPr>
            <w:tcW w:w="2290" w:type="dxa"/>
            <w:shd w:val="clear" w:color="auto" w:fill="00B050"/>
            <w:vAlign w:val="center"/>
          </w:tcPr>
          <w:p w14:paraId="375EA429" w14:textId="77777777" w:rsidR="00C66285" w:rsidRPr="00812538" w:rsidRDefault="00C66285" w:rsidP="00C66285">
            <w:pPr>
              <w:pStyle w:val="Bullet"/>
              <w:numPr>
                <w:ilvl w:val="0"/>
                <w:numId w:val="0"/>
              </w:numPr>
              <w:rPr>
                <w:rFonts w:ascii="Open Sans" w:hAnsi="Open Sans" w:cs="Open Sans"/>
                <w:sz w:val="22"/>
                <w:szCs w:val="22"/>
              </w:rPr>
            </w:pPr>
          </w:p>
        </w:tc>
      </w:tr>
      <w:tr w:rsidR="00C66285" w:rsidRPr="00812538" w14:paraId="0F267921" w14:textId="77777777" w:rsidTr="00C66285">
        <w:trPr>
          <w:trHeight w:val="1769"/>
        </w:trPr>
        <w:tc>
          <w:tcPr>
            <w:tcW w:w="2290" w:type="dxa"/>
            <w:vAlign w:val="center"/>
          </w:tcPr>
          <w:p w14:paraId="7382B1DE" w14:textId="77777777" w:rsidR="00C66285" w:rsidRPr="00812538" w:rsidRDefault="00C66285" w:rsidP="00C66285">
            <w:pPr>
              <w:pStyle w:val="Bullet"/>
              <w:numPr>
                <w:ilvl w:val="0"/>
                <w:numId w:val="0"/>
              </w:numPr>
              <w:rPr>
                <w:rFonts w:ascii="Open Sans" w:hAnsi="Open Sans" w:cs="Open Sans"/>
                <w:sz w:val="22"/>
                <w:szCs w:val="22"/>
              </w:rPr>
            </w:pPr>
            <w:r>
              <w:rPr>
                <w:rFonts w:ascii="Open Sans" w:hAnsi="Open Sans" w:cs="Open Sans"/>
                <w:sz w:val="22"/>
                <w:szCs w:val="22"/>
              </w:rPr>
              <w:t>Likely c</w:t>
            </w:r>
            <w:r w:rsidRPr="00812538">
              <w:rPr>
                <w:rFonts w:ascii="Open Sans" w:hAnsi="Open Sans" w:cs="Open Sans"/>
                <w:sz w:val="22"/>
                <w:szCs w:val="22"/>
              </w:rPr>
              <w:t>ost to revenue</w:t>
            </w:r>
            <w:r>
              <w:rPr>
                <w:rFonts w:ascii="Open Sans" w:hAnsi="Open Sans" w:cs="Open Sans"/>
                <w:sz w:val="22"/>
                <w:szCs w:val="22"/>
              </w:rPr>
              <w:t xml:space="preserve"> </w:t>
            </w:r>
          </w:p>
        </w:tc>
        <w:tc>
          <w:tcPr>
            <w:tcW w:w="2290" w:type="dxa"/>
            <w:shd w:val="clear" w:color="auto" w:fill="00B050"/>
            <w:vAlign w:val="center"/>
          </w:tcPr>
          <w:p w14:paraId="77EE89E8" w14:textId="77777777" w:rsidR="00C66285" w:rsidRPr="00812538" w:rsidRDefault="00C66285" w:rsidP="00C66285">
            <w:pPr>
              <w:pStyle w:val="Bullet"/>
              <w:numPr>
                <w:ilvl w:val="0"/>
                <w:numId w:val="0"/>
              </w:numPr>
              <w:rPr>
                <w:rFonts w:ascii="Open Sans" w:hAnsi="Open Sans" w:cs="Open Sans"/>
                <w:sz w:val="22"/>
                <w:szCs w:val="22"/>
              </w:rPr>
            </w:pPr>
          </w:p>
        </w:tc>
        <w:tc>
          <w:tcPr>
            <w:tcW w:w="2290" w:type="dxa"/>
            <w:shd w:val="clear" w:color="auto" w:fill="FFFF00"/>
            <w:vAlign w:val="center"/>
          </w:tcPr>
          <w:p w14:paraId="152D77A7" w14:textId="77777777" w:rsidR="00C66285" w:rsidRPr="00812538" w:rsidRDefault="00C66285" w:rsidP="00C66285">
            <w:pPr>
              <w:pStyle w:val="Bullet"/>
              <w:numPr>
                <w:ilvl w:val="0"/>
                <w:numId w:val="0"/>
              </w:numPr>
              <w:rPr>
                <w:rFonts w:ascii="Open Sans" w:hAnsi="Open Sans" w:cs="Open Sans"/>
                <w:sz w:val="22"/>
                <w:szCs w:val="22"/>
              </w:rPr>
            </w:pPr>
          </w:p>
        </w:tc>
        <w:tc>
          <w:tcPr>
            <w:tcW w:w="2290" w:type="dxa"/>
            <w:shd w:val="clear" w:color="auto" w:fill="FF0000"/>
            <w:vAlign w:val="center"/>
          </w:tcPr>
          <w:p w14:paraId="0C540A94" w14:textId="77777777" w:rsidR="00C66285" w:rsidRPr="00812538" w:rsidRDefault="00C66285" w:rsidP="00C66285">
            <w:pPr>
              <w:pStyle w:val="Bullet"/>
              <w:numPr>
                <w:ilvl w:val="0"/>
                <w:numId w:val="0"/>
              </w:numPr>
              <w:rPr>
                <w:rFonts w:ascii="Open Sans" w:hAnsi="Open Sans" w:cs="Open Sans"/>
                <w:sz w:val="22"/>
                <w:szCs w:val="22"/>
              </w:rPr>
            </w:pPr>
          </w:p>
        </w:tc>
      </w:tr>
      <w:tr w:rsidR="00C66285" w:rsidRPr="00812538" w14:paraId="709BB508" w14:textId="77777777" w:rsidTr="00C66285">
        <w:trPr>
          <w:trHeight w:val="1769"/>
        </w:trPr>
        <w:tc>
          <w:tcPr>
            <w:tcW w:w="2290" w:type="dxa"/>
            <w:vAlign w:val="center"/>
          </w:tcPr>
          <w:p w14:paraId="5201A4A7" w14:textId="77777777" w:rsidR="00C66285" w:rsidRPr="00812538" w:rsidRDefault="00C66285" w:rsidP="00C66285">
            <w:pPr>
              <w:pStyle w:val="Bullet"/>
              <w:numPr>
                <w:ilvl w:val="0"/>
                <w:numId w:val="0"/>
              </w:numPr>
              <w:rPr>
                <w:rFonts w:ascii="Open Sans" w:hAnsi="Open Sans" w:cs="Open Sans"/>
                <w:sz w:val="22"/>
                <w:szCs w:val="22"/>
              </w:rPr>
            </w:pPr>
            <w:r w:rsidRPr="00812538">
              <w:rPr>
                <w:rFonts w:ascii="Open Sans" w:hAnsi="Open Sans" w:cs="Open Sans"/>
                <w:sz w:val="22"/>
                <w:szCs w:val="22"/>
              </w:rPr>
              <w:t>Increases regulatory cost</w:t>
            </w:r>
            <w:r>
              <w:rPr>
                <w:rFonts w:ascii="Open Sans" w:hAnsi="Open Sans" w:cs="Open Sans"/>
                <w:sz w:val="22"/>
                <w:szCs w:val="22"/>
              </w:rPr>
              <w:t>/compliance burdens</w:t>
            </w:r>
          </w:p>
        </w:tc>
        <w:tc>
          <w:tcPr>
            <w:tcW w:w="2290" w:type="dxa"/>
            <w:shd w:val="clear" w:color="auto" w:fill="00B050"/>
            <w:vAlign w:val="center"/>
          </w:tcPr>
          <w:p w14:paraId="24168751" w14:textId="77777777" w:rsidR="00C66285" w:rsidRPr="00812538" w:rsidRDefault="00C66285" w:rsidP="00C66285">
            <w:pPr>
              <w:pStyle w:val="Bullet"/>
              <w:numPr>
                <w:ilvl w:val="0"/>
                <w:numId w:val="0"/>
              </w:numPr>
              <w:rPr>
                <w:rFonts w:ascii="Open Sans" w:hAnsi="Open Sans" w:cs="Open Sans"/>
                <w:sz w:val="22"/>
                <w:szCs w:val="22"/>
              </w:rPr>
            </w:pPr>
          </w:p>
        </w:tc>
        <w:tc>
          <w:tcPr>
            <w:tcW w:w="2290" w:type="dxa"/>
            <w:shd w:val="clear" w:color="auto" w:fill="FF0000"/>
            <w:vAlign w:val="center"/>
          </w:tcPr>
          <w:p w14:paraId="0F51F071" w14:textId="77777777" w:rsidR="00C66285" w:rsidRPr="00812538" w:rsidRDefault="00C66285" w:rsidP="00C66285">
            <w:pPr>
              <w:pStyle w:val="Bullet"/>
              <w:numPr>
                <w:ilvl w:val="0"/>
                <w:numId w:val="0"/>
              </w:numPr>
              <w:rPr>
                <w:rFonts w:ascii="Open Sans" w:hAnsi="Open Sans" w:cs="Open Sans"/>
                <w:sz w:val="22"/>
                <w:szCs w:val="22"/>
              </w:rPr>
            </w:pPr>
          </w:p>
        </w:tc>
        <w:tc>
          <w:tcPr>
            <w:tcW w:w="2290" w:type="dxa"/>
            <w:shd w:val="clear" w:color="auto" w:fill="FFFF00"/>
            <w:vAlign w:val="center"/>
          </w:tcPr>
          <w:p w14:paraId="5581D380" w14:textId="77777777" w:rsidR="00C66285" w:rsidRPr="00812538" w:rsidRDefault="00C66285" w:rsidP="00C66285">
            <w:pPr>
              <w:pStyle w:val="Bullet"/>
              <w:numPr>
                <w:ilvl w:val="0"/>
                <w:numId w:val="0"/>
              </w:numPr>
              <w:rPr>
                <w:rFonts w:ascii="Open Sans" w:hAnsi="Open Sans" w:cs="Open Sans"/>
                <w:sz w:val="22"/>
                <w:szCs w:val="22"/>
              </w:rPr>
            </w:pPr>
          </w:p>
        </w:tc>
      </w:tr>
      <w:tr w:rsidR="00C66285" w:rsidRPr="00812538" w14:paraId="3B5D6996" w14:textId="77777777" w:rsidTr="00C66285">
        <w:trPr>
          <w:trHeight w:val="1769"/>
        </w:trPr>
        <w:tc>
          <w:tcPr>
            <w:tcW w:w="2290" w:type="dxa"/>
            <w:vAlign w:val="center"/>
          </w:tcPr>
          <w:p w14:paraId="207CE473" w14:textId="77777777" w:rsidR="00C66285" w:rsidRPr="00812538" w:rsidRDefault="00C66285" w:rsidP="00C66285">
            <w:pPr>
              <w:pStyle w:val="Bullet"/>
              <w:numPr>
                <w:ilvl w:val="0"/>
                <w:numId w:val="0"/>
              </w:numPr>
              <w:rPr>
                <w:rFonts w:ascii="Open Sans" w:hAnsi="Open Sans" w:cs="Open Sans"/>
                <w:sz w:val="22"/>
                <w:szCs w:val="22"/>
              </w:rPr>
            </w:pPr>
            <w:r w:rsidRPr="00812538">
              <w:rPr>
                <w:rFonts w:ascii="Open Sans" w:hAnsi="Open Sans" w:cs="Open Sans"/>
                <w:sz w:val="22"/>
                <w:szCs w:val="22"/>
              </w:rPr>
              <w:t>Incentivises commercialisation in Australia</w:t>
            </w:r>
          </w:p>
        </w:tc>
        <w:tc>
          <w:tcPr>
            <w:tcW w:w="2290" w:type="dxa"/>
            <w:shd w:val="clear" w:color="auto" w:fill="FF0000"/>
            <w:vAlign w:val="center"/>
          </w:tcPr>
          <w:p w14:paraId="7254E305" w14:textId="77777777" w:rsidR="00C66285" w:rsidRPr="00812538" w:rsidRDefault="00C66285" w:rsidP="00C66285">
            <w:pPr>
              <w:pStyle w:val="Bullet"/>
              <w:numPr>
                <w:ilvl w:val="0"/>
                <w:numId w:val="0"/>
              </w:numPr>
              <w:rPr>
                <w:rFonts w:ascii="Open Sans" w:hAnsi="Open Sans" w:cs="Open Sans"/>
                <w:sz w:val="22"/>
                <w:szCs w:val="22"/>
              </w:rPr>
            </w:pPr>
          </w:p>
        </w:tc>
        <w:tc>
          <w:tcPr>
            <w:tcW w:w="2290" w:type="dxa"/>
            <w:shd w:val="clear" w:color="auto" w:fill="00B050"/>
            <w:vAlign w:val="center"/>
          </w:tcPr>
          <w:p w14:paraId="3D962F74" w14:textId="77777777" w:rsidR="00C66285" w:rsidRPr="00812538" w:rsidRDefault="00C66285" w:rsidP="00C66285">
            <w:pPr>
              <w:pStyle w:val="Bullet"/>
              <w:numPr>
                <w:ilvl w:val="0"/>
                <w:numId w:val="0"/>
              </w:numPr>
              <w:rPr>
                <w:rFonts w:ascii="Open Sans" w:hAnsi="Open Sans" w:cs="Open Sans"/>
                <w:sz w:val="22"/>
                <w:szCs w:val="22"/>
              </w:rPr>
            </w:pPr>
          </w:p>
        </w:tc>
        <w:tc>
          <w:tcPr>
            <w:tcW w:w="2290" w:type="dxa"/>
            <w:shd w:val="clear" w:color="auto" w:fill="00B050"/>
            <w:vAlign w:val="center"/>
          </w:tcPr>
          <w:p w14:paraId="45A739B3" w14:textId="77777777" w:rsidR="00C66285" w:rsidRPr="00812538" w:rsidRDefault="00C66285" w:rsidP="00C66285">
            <w:pPr>
              <w:pStyle w:val="Bullet"/>
              <w:numPr>
                <w:ilvl w:val="0"/>
                <w:numId w:val="0"/>
              </w:numPr>
              <w:rPr>
                <w:rFonts w:ascii="Open Sans" w:hAnsi="Open Sans" w:cs="Open Sans"/>
                <w:sz w:val="22"/>
                <w:szCs w:val="22"/>
              </w:rPr>
            </w:pPr>
          </w:p>
        </w:tc>
      </w:tr>
    </w:tbl>
    <w:p w14:paraId="49138E0A" w14:textId="0215E21E" w:rsidR="00557CF6" w:rsidRDefault="00AC2D8D" w:rsidP="00557CF6">
      <w:pPr>
        <w:pStyle w:val="TextOpensans"/>
      </w:pPr>
      <w:r>
        <w:rPr>
          <w:b/>
          <w:bCs/>
        </w:rPr>
        <w:t>Figure 5</w:t>
      </w:r>
      <w:r w:rsidRPr="009004A6">
        <w:rPr>
          <w:b/>
          <w:bCs/>
        </w:rPr>
        <w:t>: Heat Map summarising the net benefits of each option</w:t>
      </w:r>
    </w:p>
    <w:p w14:paraId="4435FA40" w14:textId="2D0EA14A" w:rsidR="00AA7F92" w:rsidRPr="00771A04" w:rsidRDefault="00771A04" w:rsidP="00771A04">
      <w:pPr>
        <w:pStyle w:val="H1Opensans"/>
      </w:pPr>
      <w:bookmarkStart w:id="195" w:name="_Toc93434207"/>
      <w:bookmarkStart w:id="196" w:name="_Toc93487788"/>
      <w:bookmarkEnd w:id="195"/>
      <w:r w:rsidRPr="00771A04">
        <w:lastRenderedPageBreak/>
        <w:t>Consultation</w:t>
      </w:r>
      <w:bookmarkEnd w:id="187"/>
      <w:bookmarkEnd w:id="188"/>
      <w:bookmarkEnd w:id="189"/>
      <w:bookmarkEnd w:id="190"/>
      <w:bookmarkEnd w:id="191"/>
      <w:bookmarkEnd w:id="196"/>
    </w:p>
    <w:p w14:paraId="506D8FBD" w14:textId="7CE34C34" w:rsidR="00887F5C" w:rsidRPr="00CF210E" w:rsidRDefault="00064BEC" w:rsidP="00C63AE8">
      <w:pPr>
        <w:pStyle w:val="H2Opensans"/>
      </w:pPr>
      <w:bookmarkStart w:id="197" w:name="_Toc91078475"/>
      <w:bookmarkStart w:id="198" w:name="_Toc93487789"/>
      <w:r>
        <w:t>S</w:t>
      </w:r>
      <w:r w:rsidR="00D9188D">
        <w:t>ix-week</w:t>
      </w:r>
      <w:r w:rsidR="005B3C67">
        <w:t xml:space="preserve"> public consultation on p</w:t>
      </w:r>
      <w:r w:rsidR="00172713">
        <w:t>atent box for medical and biotech sector</w:t>
      </w:r>
      <w:bookmarkEnd w:id="197"/>
      <w:bookmarkEnd w:id="198"/>
    </w:p>
    <w:p w14:paraId="7B189655" w14:textId="79608261" w:rsidR="00703DAC" w:rsidRDefault="003175A5" w:rsidP="00703DAC">
      <w:pPr>
        <w:pStyle w:val="TextOpensans"/>
      </w:pPr>
      <w:r>
        <w:t xml:space="preserve">Treasury released a </w:t>
      </w:r>
      <w:r w:rsidR="00C41648">
        <w:t>discussion</w:t>
      </w:r>
      <w:r>
        <w:t xml:space="preserve"> paper</w:t>
      </w:r>
      <w:r w:rsidR="00ED6BF5">
        <w:rPr>
          <w:vertAlign w:val="superscript"/>
        </w:rPr>
        <w:t>9</w:t>
      </w:r>
      <w:r>
        <w:t xml:space="preserve"> on the design of the </w:t>
      </w:r>
      <w:r w:rsidR="00C41648">
        <w:t xml:space="preserve">patent box on 5 July 2021 as part of its </w:t>
      </w:r>
      <w:r w:rsidR="00703DAC">
        <w:t xml:space="preserve">six-week </w:t>
      </w:r>
      <w:r>
        <w:t>public consultation process</w:t>
      </w:r>
      <w:r w:rsidR="00C41648">
        <w:t>.</w:t>
      </w:r>
      <w:r w:rsidR="00703DAC">
        <w:t xml:space="preserve"> </w:t>
      </w:r>
      <w:r w:rsidR="00693961">
        <w:t xml:space="preserve">Approximately </w:t>
      </w:r>
      <w:r w:rsidR="00703DAC">
        <w:t xml:space="preserve">48 </w:t>
      </w:r>
      <w:r w:rsidR="00C41648">
        <w:t>written submissions were received</w:t>
      </w:r>
      <w:r w:rsidR="00703DAC">
        <w:t xml:space="preserve"> from a range of stakeholders, including in the medical and biotechnology industries, low emissions sector, tax advisory firms, Commonwealth agencies and universities</w:t>
      </w:r>
      <w:r w:rsidR="00C41648">
        <w:t>. The variety and volume of submissions</w:t>
      </w:r>
      <w:r w:rsidR="00703DAC" w:rsidRPr="004E050E">
        <w:t xml:space="preserve"> </w:t>
      </w:r>
      <w:r w:rsidR="0072453D">
        <w:t xml:space="preserve">received </w:t>
      </w:r>
      <w:r w:rsidR="00703DAC" w:rsidRPr="004E050E">
        <w:t>indicat</w:t>
      </w:r>
      <w:r w:rsidR="00C41648">
        <w:t>ed</w:t>
      </w:r>
      <w:r w:rsidR="00703DAC">
        <w:t xml:space="preserve"> </w:t>
      </w:r>
      <w:r w:rsidR="00883EF1">
        <w:t xml:space="preserve">a </w:t>
      </w:r>
      <w:r w:rsidR="00703DAC">
        <w:t xml:space="preserve">high level of interest in the policy. </w:t>
      </w:r>
    </w:p>
    <w:p w14:paraId="4919DAFD" w14:textId="7D77929F" w:rsidR="004E050E" w:rsidRPr="004E050E" w:rsidRDefault="004E050E" w:rsidP="00703DAC">
      <w:pPr>
        <w:pStyle w:val="TextOpensans"/>
      </w:pPr>
      <w:r w:rsidRPr="004E050E">
        <w:t xml:space="preserve">In its consultation paper, Treasury put forward 29 discussion questions to the public. </w:t>
      </w:r>
      <w:r w:rsidR="003471F9">
        <w:t xml:space="preserve">Treasury reached out to 12 stakeholders before releasing the discussion paper to test if these questions were relevant for their sector and covered the key issues. </w:t>
      </w:r>
      <w:r w:rsidR="00A17A37">
        <w:t>The final</w:t>
      </w:r>
      <w:r w:rsidRPr="004E050E">
        <w:t xml:space="preserve"> </w:t>
      </w:r>
      <w:r w:rsidR="00C8172D">
        <w:t xml:space="preserve">published </w:t>
      </w:r>
      <w:r w:rsidRPr="004E050E">
        <w:t xml:space="preserve">questions </w:t>
      </w:r>
      <w:r w:rsidR="00C41648">
        <w:t>focused on the</w:t>
      </w:r>
      <w:r w:rsidRPr="004E050E">
        <w:t xml:space="preserve"> following topics:</w:t>
      </w:r>
    </w:p>
    <w:p w14:paraId="5094372E" w14:textId="6EDFC5D3" w:rsidR="004E050E" w:rsidRDefault="004E050E" w:rsidP="00C41648">
      <w:pPr>
        <w:pStyle w:val="OutlineNumbered1"/>
        <w:spacing w:after="0"/>
        <w:rPr>
          <w:rFonts w:ascii="Open Sans" w:hAnsi="Open Sans" w:cs="Open Sans"/>
        </w:rPr>
      </w:pPr>
      <w:r w:rsidRPr="004E050E">
        <w:rPr>
          <w:rFonts w:ascii="Open Sans" w:hAnsi="Open Sans" w:cs="Open Sans"/>
        </w:rPr>
        <w:t xml:space="preserve">Eligible IP to enter </w:t>
      </w:r>
      <w:r>
        <w:rPr>
          <w:rFonts w:ascii="Open Sans" w:hAnsi="Open Sans" w:cs="Open Sans"/>
        </w:rPr>
        <w:t>the patent box</w:t>
      </w:r>
    </w:p>
    <w:p w14:paraId="19B51FF9" w14:textId="29BEE811" w:rsidR="004E050E" w:rsidRDefault="004E050E" w:rsidP="00C41648">
      <w:pPr>
        <w:pStyle w:val="OutlineNumbered1"/>
        <w:spacing w:after="0"/>
        <w:rPr>
          <w:rFonts w:ascii="Open Sans" w:hAnsi="Open Sans" w:cs="Open Sans"/>
        </w:rPr>
      </w:pPr>
      <w:r>
        <w:rPr>
          <w:rFonts w:ascii="Open Sans" w:hAnsi="Open Sans" w:cs="Open Sans"/>
        </w:rPr>
        <w:t>Targeting medical and biotechnology</w:t>
      </w:r>
    </w:p>
    <w:p w14:paraId="1BD9ABFF" w14:textId="157127DB" w:rsidR="004E050E" w:rsidRDefault="004E050E" w:rsidP="00C41648">
      <w:pPr>
        <w:pStyle w:val="OutlineNumbered1"/>
        <w:spacing w:after="0"/>
        <w:rPr>
          <w:rFonts w:ascii="Open Sans" w:hAnsi="Open Sans" w:cs="Open Sans"/>
        </w:rPr>
      </w:pPr>
      <w:r>
        <w:rPr>
          <w:rFonts w:ascii="Open Sans" w:hAnsi="Open Sans" w:cs="Open Sans"/>
        </w:rPr>
        <w:t>Low emissions technologies</w:t>
      </w:r>
    </w:p>
    <w:p w14:paraId="3112B069" w14:textId="7A326148" w:rsidR="004E050E" w:rsidRDefault="004E050E" w:rsidP="00C41648">
      <w:pPr>
        <w:pStyle w:val="OutlineNumbered1"/>
        <w:spacing w:after="0"/>
        <w:rPr>
          <w:rFonts w:ascii="Open Sans" w:hAnsi="Open Sans" w:cs="Open Sans"/>
        </w:rPr>
      </w:pPr>
      <w:r>
        <w:rPr>
          <w:rFonts w:ascii="Open Sans" w:hAnsi="Open Sans" w:cs="Open Sans"/>
        </w:rPr>
        <w:t>Applying the substantial activity requirement</w:t>
      </w:r>
    </w:p>
    <w:p w14:paraId="79CB028F" w14:textId="44769B23" w:rsidR="004E050E" w:rsidRDefault="004E050E" w:rsidP="00C41648">
      <w:pPr>
        <w:pStyle w:val="OutlineNumbered1"/>
        <w:spacing w:after="0"/>
        <w:rPr>
          <w:rFonts w:ascii="Open Sans" w:hAnsi="Open Sans" w:cs="Open Sans"/>
        </w:rPr>
      </w:pPr>
      <w:r>
        <w:rPr>
          <w:rFonts w:ascii="Open Sans" w:hAnsi="Open Sans" w:cs="Open Sans"/>
        </w:rPr>
        <w:t>Definition of R&amp;D</w:t>
      </w:r>
    </w:p>
    <w:p w14:paraId="152A5B6B" w14:textId="54AA992C" w:rsidR="004E050E" w:rsidRDefault="004E050E" w:rsidP="00C41648">
      <w:pPr>
        <w:pStyle w:val="OutlineNumbered1"/>
        <w:spacing w:after="0"/>
        <w:rPr>
          <w:rFonts w:ascii="Open Sans" w:hAnsi="Open Sans" w:cs="Open Sans"/>
        </w:rPr>
      </w:pPr>
      <w:r>
        <w:rPr>
          <w:rFonts w:ascii="Open Sans" w:hAnsi="Open Sans" w:cs="Open Sans"/>
        </w:rPr>
        <w:t>Implementation and start date</w:t>
      </w:r>
    </w:p>
    <w:p w14:paraId="2FC3161C" w14:textId="1CCC3215" w:rsidR="004E050E" w:rsidRDefault="004E050E" w:rsidP="00C41648">
      <w:pPr>
        <w:pStyle w:val="OutlineNumbered1"/>
        <w:spacing w:after="0"/>
        <w:rPr>
          <w:rFonts w:ascii="Open Sans" w:hAnsi="Open Sans" w:cs="Open Sans"/>
        </w:rPr>
      </w:pPr>
      <w:r>
        <w:rPr>
          <w:rFonts w:ascii="Open Sans" w:hAnsi="Open Sans" w:cs="Open Sans"/>
        </w:rPr>
        <w:t>Eligible revenue to enter the patent box</w:t>
      </w:r>
    </w:p>
    <w:p w14:paraId="60AA239F" w14:textId="5CD17772" w:rsidR="004E050E" w:rsidRDefault="004E050E" w:rsidP="00C41648">
      <w:pPr>
        <w:pStyle w:val="OutlineNumbered1"/>
        <w:spacing w:after="0"/>
        <w:rPr>
          <w:rFonts w:ascii="Open Sans" w:hAnsi="Open Sans" w:cs="Open Sans"/>
        </w:rPr>
      </w:pPr>
      <w:r>
        <w:rPr>
          <w:rFonts w:ascii="Open Sans" w:hAnsi="Open Sans" w:cs="Open Sans"/>
        </w:rPr>
        <w:t>Subtraction of related patent expenses from eligible revenue</w:t>
      </w:r>
    </w:p>
    <w:p w14:paraId="6AE02D2C" w14:textId="10BCC8DF" w:rsidR="004E050E" w:rsidRDefault="004E050E" w:rsidP="00C41648">
      <w:pPr>
        <w:pStyle w:val="OutlineNumbered1"/>
        <w:spacing w:after="0"/>
        <w:rPr>
          <w:rFonts w:ascii="Open Sans" w:hAnsi="Open Sans" w:cs="Open Sans"/>
        </w:rPr>
      </w:pPr>
      <w:r>
        <w:rPr>
          <w:rFonts w:ascii="Open Sans" w:hAnsi="Open Sans" w:cs="Open Sans"/>
        </w:rPr>
        <w:t>Treatment of losses and related offsets with the patent box</w:t>
      </w:r>
    </w:p>
    <w:p w14:paraId="3572D600" w14:textId="1A00CA1B" w:rsidR="004E050E" w:rsidRDefault="004E050E" w:rsidP="00C41648">
      <w:pPr>
        <w:pStyle w:val="OutlineNumbered1"/>
        <w:spacing w:after="0"/>
        <w:rPr>
          <w:rFonts w:ascii="Open Sans" w:hAnsi="Open Sans" w:cs="Open Sans"/>
        </w:rPr>
      </w:pPr>
      <w:r>
        <w:rPr>
          <w:rFonts w:ascii="Open Sans" w:hAnsi="Open Sans" w:cs="Open Sans"/>
        </w:rPr>
        <w:t>Administration and compliance</w:t>
      </w:r>
    </w:p>
    <w:p w14:paraId="2B56222F" w14:textId="018D0202" w:rsidR="004E050E" w:rsidRDefault="004E050E" w:rsidP="00C41648">
      <w:pPr>
        <w:pStyle w:val="OutlineNumbered1"/>
        <w:spacing w:after="0"/>
        <w:rPr>
          <w:rFonts w:ascii="Open Sans" w:hAnsi="Open Sans" w:cs="Open Sans"/>
        </w:rPr>
      </w:pPr>
      <w:r>
        <w:rPr>
          <w:rFonts w:ascii="Open Sans" w:hAnsi="Open Sans" w:cs="Open Sans"/>
        </w:rPr>
        <w:t>Other considerations</w:t>
      </w:r>
    </w:p>
    <w:p w14:paraId="1992A74E" w14:textId="77777777" w:rsidR="00C41648" w:rsidRPr="004E050E" w:rsidRDefault="00C41648" w:rsidP="00C41648">
      <w:pPr>
        <w:pStyle w:val="OutlineNumbered1"/>
        <w:numPr>
          <w:ilvl w:val="0"/>
          <w:numId w:val="0"/>
        </w:numPr>
        <w:spacing w:after="0"/>
        <w:rPr>
          <w:rFonts w:ascii="Open Sans" w:hAnsi="Open Sans" w:cs="Open Sans"/>
        </w:rPr>
      </w:pPr>
    </w:p>
    <w:p w14:paraId="6E409344" w14:textId="47C4766A" w:rsidR="00E8789E" w:rsidRDefault="00E8789E" w:rsidP="00703DAC">
      <w:pPr>
        <w:pStyle w:val="TextOpensans"/>
      </w:pPr>
      <w:r>
        <w:t xml:space="preserve">The full discussion paper can be found here: </w:t>
      </w:r>
      <w:hyperlink r:id="rId19" w:history="1">
        <w:r w:rsidRPr="006A253C">
          <w:rPr>
            <w:rStyle w:val="Hyperlink"/>
          </w:rPr>
          <w:t>https://treasury.gov.au/sites/default/files/2021-07/c2021_177849.pdf</w:t>
        </w:r>
      </w:hyperlink>
    </w:p>
    <w:p w14:paraId="1278CCC6" w14:textId="6503BA7C" w:rsidR="00177AFB" w:rsidRDefault="00177AFB" w:rsidP="00703DAC">
      <w:pPr>
        <w:pStyle w:val="TextOpensans"/>
      </w:pPr>
      <w:r>
        <w:t>While some of the views put forward by stakeholders were considered in line with the policy intent and adopted</w:t>
      </w:r>
      <w:r w:rsidR="00C41648">
        <w:t xml:space="preserve"> into the</w:t>
      </w:r>
      <w:r w:rsidR="003A2864">
        <w:t xml:space="preserve"> proposed</w:t>
      </w:r>
      <w:r w:rsidR="00C41648">
        <w:t xml:space="preserve"> policy design for the patent box</w:t>
      </w:r>
      <w:r>
        <w:t>, several other</w:t>
      </w:r>
      <w:r w:rsidR="00C41648">
        <w:t xml:space="preserve"> proposals</w:t>
      </w:r>
      <w:r>
        <w:t xml:space="preserve"> were </w:t>
      </w:r>
      <w:r w:rsidR="003A2864">
        <w:t xml:space="preserve">not incorporated as they were </w:t>
      </w:r>
      <w:r w:rsidR="00C41648">
        <w:t>considered to bear</w:t>
      </w:r>
      <w:r>
        <w:t xml:space="preserve"> </w:t>
      </w:r>
      <w:r w:rsidR="003A2864">
        <w:t xml:space="preserve">disproportionate </w:t>
      </w:r>
      <w:r>
        <w:t>integrity risks</w:t>
      </w:r>
      <w:r w:rsidR="00C41648">
        <w:t xml:space="preserve"> and </w:t>
      </w:r>
      <w:r w:rsidR="00132983">
        <w:t>potential</w:t>
      </w:r>
      <w:r w:rsidR="00C41648">
        <w:t xml:space="preserve"> revenue costs. </w:t>
      </w:r>
      <w:r>
        <w:t xml:space="preserve"> </w:t>
      </w:r>
    </w:p>
    <w:p w14:paraId="056B584A" w14:textId="4953CC39" w:rsidR="00C41648" w:rsidRDefault="004E050E" w:rsidP="00F645E6">
      <w:pPr>
        <w:pStyle w:val="TextOpensans"/>
      </w:pPr>
      <w:r>
        <w:t>The key messages from stakeholders have be</w:t>
      </w:r>
      <w:r w:rsidR="00C41648">
        <w:t>en</w:t>
      </w:r>
      <w:r>
        <w:t xml:space="preserve"> summarised below (views from stakeholders on the inclusion of low emissions and clean energy technologies </w:t>
      </w:r>
      <w:r w:rsidR="00023EA0">
        <w:t xml:space="preserve">are not in scope for this RIS as the Government has not </w:t>
      </w:r>
      <w:r w:rsidR="000E71C1">
        <w:t xml:space="preserve">made </w:t>
      </w:r>
      <w:r w:rsidR="00023EA0">
        <w:t>any policy decision</w:t>
      </w:r>
      <w:r w:rsidR="00832F9F">
        <w:t xml:space="preserve"> on their inclusion</w:t>
      </w:r>
      <w:r w:rsidR="00023EA0">
        <w:t xml:space="preserve">). </w:t>
      </w:r>
      <w:r w:rsidR="00BA497A">
        <w:t>The issue</w:t>
      </w:r>
      <w:r w:rsidR="00195B3C">
        <w:t>s</w:t>
      </w:r>
      <w:r w:rsidR="00BA497A">
        <w:t xml:space="preserve"> raised overlap heavily with the key design options discussed in the Option section. </w:t>
      </w:r>
    </w:p>
    <w:p w14:paraId="0AE225F6" w14:textId="20D6F542" w:rsidR="00023EA0" w:rsidRDefault="00023EA0" w:rsidP="00F645E6">
      <w:pPr>
        <w:pStyle w:val="TextOpensans"/>
      </w:pPr>
    </w:p>
    <w:p w14:paraId="718BA2DD" w14:textId="77777777" w:rsidR="00023EA0" w:rsidRDefault="00023EA0" w:rsidP="00F645E6">
      <w:pPr>
        <w:pStyle w:val="TextOpensans"/>
      </w:pPr>
    </w:p>
    <w:tbl>
      <w:tblPr>
        <w:tblStyle w:val="TableGrid"/>
        <w:tblW w:w="0" w:type="auto"/>
        <w:tblLook w:val="04A0" w:firstRow="1" w:lastRow="0" w:firstColumn="1" w:lastColumn="0" w:noHBand="0" w:noVBand="1"/>
      </w:tblPr>
      <w:tblGrid>
        <w:gridCol w:w="9288"/>
      </w:tblGrid>
      <w:tr w:rsidR="00B95FC4" w14:paraId="2259CE39" w14:textId="77777777" w:rsidTr="00B95FC4">
        <w:tc>
          <w:tcPr>
            <w:tcW w:w="9288" w:type="dxa"/>
          </w:tcPr>
          <w:p w14:paraId="6E310564" w14:textId="5E312F23" w:rsidR="00B95FC4" w:rsidRPr="00B95FC4" w:rsidRDefault="00B95FC4" w:rsidP="00B95FC4">
            <w:pPr>
              <w:pStyle w:val="TextOpensans"/>
              <w:spacing w:before="240"/>
              <w:ind w:left="167" w:right="404"/>
              <w:jc w:val="center"/>
              <w:rPr>
                <w:b/>
                <w:bCs/>
                <w:sz w:val="22"/>
                <w:szCs w:val="22"/>
              </w:rPr>
            </w:pPr>
            <w:r w:rsidRPr="00B95FC4">
              <w:rPr>
                <w:b/>
                <w:bCs/>
                <w:sz w:val="22"/>
                <w:szCs w:val="22"/>
              </w:rPr>
              <w:t>Key themes from submissions</w:t>
            </w:r>
          </w:p>
          <w:p w14:paraId="0C2D5261" w14:textId="05BE2D55" w:rsidR="00B95FC4" w:rsidRPr="00B95FC4" w:rsidRDefault="00B95FC4" w:rsidP="00766C44">
            <w:pPr>
              <w:pStyle w:val="TextOpensans"/>
              <w:numPr>
                <w:ilvl w:val="0"/>
                <w:numId w:val="24"/>
              </w:numPr>
              <w:spacing w:before="240"/>
              <w:ind w:left="592" w:right="404"/>
              <w:rPr>
                <w:sz w:val="22"/>
                <w:szCs w:val="22"/>
              </w:rPr>
            </w:pPr>
            <w:r w:rsidRPr="00B95FC4">
              <w:rPr>
                <w:sz w:val="22"/>
                <w:szCs w:val="22"/>
              </w:rPr>
              <w:t>Expand eligibility to include at least some patents applied for before the Budget announcement.</w:t>
            </w:r>
          </w:p>
          <w:p w14:paraId="6BDDCF1F" w14:textId="0F32747F" w:rsidR="00B95FC4" w:rsidRPr="00195B3C" w:rsidRDefault="00B95FC4" w:rsidP="00766C44">
            <w:pPr>
              <w:pStyle w:val="TextOpensans"/>
              <w:numPr>
                <w:ilvl w:val="0"/>
                <w:numId w:val="24"/>
              </w:numPr>
              <w:spacing w:before="240"/>
              <w:ind w:left="592" w:right="404"/>
              <w:rPr>
                <w:sz w:val="22"/>
                <w:szCs w:val="22"/>
              </w:rPr>
            </w:pPr>
            <w:r w:rsidRPr="00195B3C">
              <w:rPr>
                <w:sz w:val="22"/>
                <w:szCs w:val="22"/>
              </w:rPr>
              <w:t xml:space="preserve">Expand eligibility to include patents filed outside of Australia in certain foreign </w:t>
            </w:r>
            <w:r w:rsidRPr="002A193D">
              <w:rPr>
                <w:sz w:val="22"/>
                <w:szCs w:val="22"/>
              </w:rPr>
              <w:t>jurisdictions</w:t>
            </w:r>
            <w:r w:rsidR="009E7D9C" w:rsidRPr="002A193D">
              <w:rPr>
                <w:sz w:val="22"/>
                <w:szCs w:val="22"/>
              </w:rPr>
              <w:t xml:space="preserve"> (</w:t>
            </w:r>
            <w:r w:rsidR="009E7D9C" w:rsidRPr="00195B3C">
              <w:t>on the basis of eligible R&amp;D having been undertaken in Australia before commercialisation)</w:t>
            </w:r>
            <w:r w:rsidRPr="002A193D">
              <w:rPr>
                <w:sz w:val="22"/>
                <w:szCs w:val="22"/>
              </w:rPr>
              <w:t>.</w:t>
            </w:r>
          </w:p>
          <w:p w14:paraId="1A2BEA9D" w14:textId="2FF7E1F9" w:rsidR="00B95FC4" w:rsidRPr="00B95FC4" w:rsidRDefault="00B95FC4" w:rsidP="00766C44">
            <w:pPr>
              <w:pStyle w:val="TextOpensans"/>
              <w:numPr>
                <w:ilvl w:val="0"/>
                <w:numId w:val="24"/>
              </w:numPr>
              <w:spacing w:before="240"/>
              <w:ind w:left="592" w:right="404"/>
              <w:rPr>
                <w:sz w:val="22"/>
                <w:szCs w:val="22"/>
              </w:rPr>
            </w:pPr>
            <w:r w:rsidRPr="00B95FC4">
              <w:rPr>
                <w:sz w:val="22"/>
                <w:szCs w:val="22"/>
              </w:rPr>
              <w:t>Expand eligibility criteria to include wider types of intellectual property.</w:t>
            </w:r>
          </w:p>
          <w:p w14:paraId="53A4EC77" w14:textId="4087C9BB" w:rsidR="00B95FC4" w:rsidRPr="00B95FC4" w:rsidRDefault="00B95FC4" w:rsidP="00766C44">
            <w:pPr>
              <w:pStyle w:val="TextOpensans"/>
              <w:numPr>
                <w:ilvl w:val="0"/>
                <w:numId w:val="24"/>
              </w:numPr>
              <w:spacing w:before="240"/>
              <w:ind w:left="592" w:right="404"/>
              <w:rPr>
                <w:sz w:val="22"/>
                <w:szCs w:val="22"/>
              </w:rPr>
            </w:pPr>
            <w:r w:rsidRPr="00B95FC4">
              <w:rPr>
                <w:sz w:val="22"/>
                <w:szCs w:val="22"/>
              </w:rPr>
              <w:t>Leverage the existing R&amp;DTI regime as a nexus for compliance purposes.</w:t>
            </w:r>
          </w:p>
          <w:p w14:paraId="08A80F03" w14:textId="7E4DC228" w:rsidR="00B95FC4" w:rsidRPr="0019349F" w:rsidRDefault="00B95FC4" w:rsidP="00766C44">
            <w:pPr>
              <w:pStyle w:val="TextOpensans"/>
              <w:numPr>
                <w:ilvl w:val="0"/>
                <w:numId w:val="24"/>
              </w:numPr>
              <w:spacing w:before="240"/>
              <w:ind w:left="592" w:right="404"/>
              <w:rPr>
                <w:sz w:val="22"/>
                <w:szCs w:val="22"/>
              </w:rPr>
            </w:pPr>
            <w:r w:rsidRPr="0019349F">
              <w:rPr>
                <w:sz w:val="22"/>
                <w:szCs w:val="22"/>
              </w:rPr>
              <w:t xml:space="preserve">Overseas clinical trials should be included in eligible R&amp;D </w:t>
            </w:r>
            <w:r w:rsidR="0019349F" w:rsidRPr="0019349F">
              <w:rPr>
                <w:sz w:val="22"/>
                <w:szCs w:val="22"/>
              </w:rPr>
              <w:t xml:space="preserve">with respect to </w:t>
            </w:r>
            <w:r w:rsidRPr="0019349F">
              <w:rPr>
                <w:sz w:val="22"/>
                <w:szCs w:val="22"/>
              </w:rPr>
              <w:t>the nexus fraction.</w:t>
            </w:r>
          </w:p>
          <w:p w14:paraId="4C1C93AD" w14:textId="6D6F21D8" w:rsidR="00B95FC4" w:rsidRPr="00B95FC4" w:rsidRDefault="00B95FC4" w:rsidP="00766C44">
            <w:pPr>
              <w:pStyle w:val="TextOpensans"/>
              <w:numPr>
                <w:ilvl w:val="0"/>
                <w:numId w:val="24"/>
              </w:numPr>
              <w:spacing w:before="240"/>
              <w:ind w:left="592" w:right="404"/>
              <w:rPr>
                <w:color w:val="0070C0"/>
                <w:sz w:val="22"/>
                <w:szCs w:val="22"/>
              </w:rPr>
            </w:pPr>
            <w:r w:rsidRPr="00B95FC4">
              <w:rPr>
                <w:sz w:val="22"/>
                <w:szCs w:val="22"/>
              </w:rPr>
              <w:t>Some form of manufacturing returns should be eligible for the patent box concessional rate.</w:t>
            </w:r>
          </w:p>
          <w:p w14:paraId="1FB07A40" w14:textId="77777777" w:rsidR="00B95FC4" w:rsidRPr="00B95FC4" w:rsidRDefault="00B95FC4" w:rsidP="00766C44">
            <w:pPr>
              <w:pStyle w:val="TextOpensans"/>
              <w:numPr>
                <w:ilvl w:val="0"/>
                <w:numId w:val="24"/>
              </w:numPr>
              <w:spacing w:before="240"/>
              <w:ind w:left="592" w:right="404"/>
              <w:rPr>
                <w:sz w:val="22"/>
                <w:szCs w:val="22"/>
              </w:rPr>
            </w:pPr>
            <w:r w:rsidRPr="00B95FC4">
              <w:rPr>
                <w:sz w:val="22"/>
                <w:szCs w:val="22"/>
              </w:rPr>
              <w:t>Patent income should be grouped by a whole-of-product approach.</w:t>
            </w:r>
          </w:p>
          <w:p w14:paraId="1232711C" w14:textId="77777777" w:rsidR="00B95FC4" w:rsidRPr="00B95FC4" w:rsidRDefault="00B95FC4" w:rsidP="00766C44">
            <w:pPr>
              <w:pStyle w:val="TextOpensans"/>
              <w:numPr>
                <w:ilvl w:val="0"/>
                <w:numId w:val="24"/>
              </w:numPr>
              <w:spacing w:before="240"/>
              <w:ind w:left="592" w:right="404"/>
            </w:pPr>
            <w:r w:rsidRPr="00B95FC4">
              <w:rPr>
                <w:sz w:val="22"/>
                <w:szCs w:val="22"/>
              </w:rPr>
              <w:t>Make the patent box concessional tax rate lower than 17 per cent.</w:t>
            </w:r>
          </w:p>
          <w:p w14:paraId="0FBB5FE0" w14:textId="4D7B6730" w:rsidR="00B95FC4" w:rsidRDefault="00B95FC4" w:rsidP="00B95FC4">
            <w:pPr>
              <w:pStyle w:val="TextOpensans"/>
              <w:spacing w:before="240"/>
            </w:pPr>
          </w:p>
        </w:tc>
      </w:tr>
    </w:tbl>
    <w:p w14:paraId="4350E3CD" w14:textId="144E722D" w:rsidR="00DA112F" w:rsidRDefault="00DA112F" w:rsidP="00DA112F">
      <w:pPr>
        <w:pStyle w:val="H3Opensans"/>
      </w:pPr>
      <w:bookmarkStart w:id="199" w:name="_Toc91078476"/>
      <w:r w:rsidRPr="00DA112F">
        <w:t>Expand eligibility to include some patents applied for before the Budget announcement.</w:t>
      </w:r>
      <w:bookmarkEnd w:id="199"/>
      <w:r w:rsidRPr="00DA112F">
        <w:t xml:space="preserve"> </w:t>
      </w:r>
    </w:p>
    <w:p w14:paraId="7705A2CB" w14:textId="595DE805" w:rsidR="00DA112F" w:rsidRPr="00FD2FD1" w:rsidRDefault="00DA112F" w:rsidP="008645ED">
      <w:pPr>
        <w:pStyle w:val="TextOpensans"/>
      </w:pPr>
      <w:r w:rsidRPr="00C41648">
        <w:t>Stakeholders conveyed that there are long product developm</w:t>
      </w:r>
      <w:r w:rsidRPr="00FD2FD1">
        <w:t>ent lifecycles in the medical and biotechnology sectors, with certain industry stakeholders claiming it takes on average up to 9 – 12 years to develop pharmaceutical products</w:t>
      </w:r>
      <w:r w:rsidR="008A1968" w:rsidRPr="003B10F9">
        <w:rPr>
          <w:vertAlign w:val="superscript"/>
        </w:rPr>
        <w:t>5</w:t>
      </w:r>
      <w:r w:rsidRPr="00FD2FD1">
        <w:t>. Consequently, there was strong support for expanding eligibility dates for the regime from patents applied for after 11</w:t>
      </w:r>
      <w:r w:rsidR="000B45D6">
        <w:t> </w:t>
      </w:r>
      <w:r w:rsidRPr="00FD2FD1">
        <w:t xml:space="preserve">May 2021 (as announced at Budget) to an earlier date, or to patents granted after 11 May 2021. Treasury considered this in designing the policy </w:t>
      </w:r>
      <w:r w:rsidRPr="001C47FA">
        <w:t xml:space="preserve">and </w:t>
      </w:r>
      <w:r w:rsidR="00195B3C" w:rsidRPr="001C47FA">
        <w:t xml:space="preserve">is now proposing that </w:t>
      </w:r>
      <w:r w:rsidRPr="001C47FA">
        <w:t xml:space="preserve">eligible patents </w:t>
      </w:r>
      <w:r w:rsidR="00195B3C" w:rsidRPr="001C47FA">
        <w:t xml:space="preserve">be those </w:t>
      </w:r>
      <w:r w:rsidRPr="001C47FA">
        <w:t>granted after 11 May 2021 (meaning, they were applied for prior to the date)</w:t>
      </w:r>
      <w:r w:rsidR="00195B3C">
        <w:t>.</w:t>
      </w:r>
    </w:p>
    <w:p w14:paraId="419CD4FB" w14:textId="7DC7CDF6" w:rsidR="00DA112F" w:rsidRDefault="00DA112F" w:rsidP="00DA112F">
      <w:pPr>
        <w:pStyle w:val="H3Opensans"/>
      </w:pPr>
      <w:bookmarkStart w:id="200" w:name="_Hlk90916790"/>
      <w:bookmarkStart w:id="201" w:name="_Toc91078477"/>
      <w:r w:rsidRPr="00DA112F">
        <w:t>Expand eligibility to include patents filed outside of Australia in certain foreign jurisdictions.</w:t>
      </w:r>
      <w:bookmarkEnd w:id="200"/>
      <w:bookmarkEnd w:id="201"/>
    </w:p>
    <w:p w14:paraId="1C56D872" w14:textId="0D28222D" w:rsidR="00722B95" w:rsidRPr="008645ED" w:rsidRDefault="00822DC1" w:rsidP="00DA112F">
      <w:pPr>
        <w:pStyle w:val="TextOpensans"/>
      </w:pPr>
      <w:r w:rsidRPr="008645ED">
        <w:t>Stakeholders in the industry argued that limiting the patent box to patents</w:t>
      </w:r>
      <w:r w:rsidR="00DC3619">
        <w:t xml:space="preserve"> filled in Australia</w:t>
      </w:r>
      <w:r w:rsidRPr="008645ED">
        <w:t xml:space="preserve"> would exclude a majority of the commercialisation </w:t>
      </w:r>
      <w:r w:rsidRPr="005B089F">
        <w:t>revenue of Australian-owned IP</w:t>
      </w:r>
      <w:r w:rsidR="005B089F" w:rsidRPr="005B089F">
        <w:t>.</w:t>
      </w:r>
      <w:r w:rsidRPr="008645ED">
        <w:t xml:space="preserve"> </w:t>
      </w:r>
    </w:p>
    <w:p w14:paraId="7FF8C489" w14:textId="762CC553" w:rsidR="00941034" w:rsidRDefault="00722B95" w:rsidP="00941034">
      <w:pPr>
        <w:pStyle w:val="TextOpensans"/>
      </w:pPr>
      <w:r>
        <w:t>Some stakeholders</w:t>
      </w:r>
      <w:r w:rsidR="00DA112F" w:rsidRPr="008645ED">
        <w:t xml:space="preserve"> suggested that eligibility be expanded to include patents filed in the IP5 jurisdictions (European Union, Japan, USA, South Korea, China), which together handle around 85 per cent of the world’s patent applications. </w:t>
      </w:r>
      <w:r w:rsidR="00AD6761">
        <w:t>However,</w:t>
      </w:r>
      <w:r w:rsidR="00941034">
        <w:t xml:space="preserve"> </w:t>
      </w:r>
      <w:r>
        <w:t xml:space="preserve">most </w:t>
      </w:r>
      <w:r w:rsidR="00941034">
        <w:t xml:space="preserve">stakeholders </w:t>
      </w:r>
      <w:r w:rsidR="00AD6761">
        <w:lastRenderedPageBreak/>
        <w:t>indicated</w:t>
      </w:r>
      <w:r w:rsidR="00941034">
        <w:t xml:space="preserve"> that </w:t>
      </w:r>
      <w:r>
        <w:t>just</w:t>
      </w:r>
      <w:r w:rsidR="00941034" w:rsidRPr="008645ED">
        <w:t xml:space="preserve"> </w:t>
      </w:r>
      <w:r w:rsidR="00DC3619">
        <w:t>expanding to the</w:t>
      </w:r>
      <w:r w:rsidR="00941034" w:rsidRPr="008645ED">
        <w:t xml:space="preserve"> United States and European Union as patent locations would capture most existing and emerging patents since they are the largest markets. </w:t>
      </w:r>
    </w:p>
    <w:p w14:paraId="001A8A3B" w14:textId="027839EA" w:rsidR="00822DC1" w:rsidRPr="00822DC1" w:rsidRDefault="00DA112F" w:rsidP="00822DC1">
      <w:pPr>
        <w:pStyle w:val="TextOpensans"/>
      </w:pPr>
      <w:r w:rsidRPr="008645ED">
        <w:t xml:space="preserve">IP Australia </w:t>
      </w:r>
      <w:r w:rsidR="001736D4">
        <w:t>advised</w:t>
      </w:r>
      <w:r w:rsidR="001736D4" w:rsidRPr="008645ED">
        <w:t xml:space="preserve"> </w:t>
      </w:r>
      <w:r w:rsidRPr="008645ED">
        <w:t xml:space="preserve">that patents filed </w:t>
      </w:r>
      <w:r w:rsidR="002167AB" w:rsidRPr="008645ED">
        <w:t>under the European Patent Convention</w:t>
      </w:r>
      <w:r w:rsidRPr="008645ED">
        <w:t xml:space="preserve"> </w:t>
      </w:r>
      <w:r w:rsidR="002167AB" w:rsidRPr="008645ED">
        <w:t xml:space="preserve">(UPC) </w:t>
      </w:r>
      <w:r w:rsidRPr="008645ED">
        <w:t>and</w:t>
      </w:r>
      <w:r w:rsidR="002167AB" w:rsidRPr="008645ED">
        <w:t xml:space="preserve"> with the</w:t>
      </w:r>
      <w:r w:rsidRPr="008645ED">
        <w:t xml:space="preserve"> United States Patent and Trademark Office (USPTO) </w:t>
      </w:r>
      <w:r w:rsidR="001736D4">
        <w:t xml:space="preserve">face </w:t>
      </w:r>
      <w:r w:rsidR="001736D4" w:rsidRPr="008645ED">
        <w:t>comparab</w:t>
      </w:r>
      <w:r w:rsidR="001736D4">
        <w:t>le examination standards to patents filed under IP</w:t>
      </w:r>
      <w:r w:rsidR="00822DC1" w:rsidRPr="008645ED">
        <w:t xml:space="preserve"> Australia. </w:t>
      </w:r>
      <w:r w:rsidR="0056753F">
        <w:t xml:space="preserve">Examination from a patent office ensures a potential patent contains the necessary inventive step to be granted as a patent. </w:t>
      </w:r>
    </w:p>
    <w:p w14:paraId="049B7C98" w14:textId="2B366A5C" w:rsidR="00DA112F" w:rsidRDefault="00DA112F" w:rsidP="00822DC1">
      <w:pPr>
        <w:pStyle w:val="H3Opensans"/>
      </w:pPr>
      <w:bookmarkStart w:id="202" w:name="_Toc91078478"/>
      <w:r w:rsidRPr="00DA112F">
        <w:t>Expand eligibility criteria to include wider types of intellectual property.</w:t>
      </w:r>
      <w:bookmarkEnd w:id="202"/>
      <w:r w:rsidRPr="00DA112F">
        <w:t xml:space="preserve"> </w:t>
      </w:r>
    </w:p>
    <w:p w14:paraId="579E32DB" w14:textId="59527271" w:rsidR="00DA112F" w:rsidRDefault="00DA112F" w:rsidP="00F645E6">
      <w:pPr>
        <w:pStyle w:val="TextOpensans"/>
      </w:pPr>
      <w:r>
        <w:t xml:space="preserve">The inclusion of wider types of intellectual property and qualifying assets was suggested by several stakeholders. Stakeholders pointed to foreign jurisdictions such as the </w:t>
      </w:r>
      <w:r w:rsidRPr="00EE206C">
        <w:t xml:space="preserve">Netherlands which allows ‘copyrighted software’ as a qualifying IP asset in its patent box regime. </w:t>
      </w:r>
      <w:r w:rsidR="00822DC1">
        <w:t>Other</w:t>
      </w:r>
      <w:r w:rsidR="00EE206C" w:rsidRPr="00EE206C">
        <w:t xml:space="preserve"> suggestions </w:t>
      </w:r>
      <w:r w:rsidR="00822DC1">
        <w:t>included expanding criteria to allow</w:t>
      </w:r>
      <w:r w:rsidR="00EE206C" w:rsidRPr="00EE206C">
        <w:t xml:space="preserve"> t</w:t>
      </w:r>
      <w:r w:rsidRPr="00EE206C">
        <w:t>rade secrets and plant breeders’ rights</w:t>
      </w:r>
      <w:r w:rsidR="00EE206C" w:rsidRPr="00EE206C">
        <w:t xml:space="preserve"> in the patent box</w:t>
      </w:r>
      <w:r w:rsidRPr="001C47FA">
        <w:t xml:space="preserve">. </w:t>
      </w:r>
      <w:r w:rsidR="00CF533A" w:rsidRPr="001C47FA">
        <w:t xml:space="preserve">The Government was presented with the option to target the regime to patents only. </w:t>
      </w:r>
    </w:p>
    <w:p w14:paraId="2422B69A" w14:textId="709F1CD4" w:rsidR="00DA112F" w:rsidRDefault="00DA112F" w:rsidP="00DA112F">
      <w:pPr>
        <w:pStyle w:val="H3Opensans"/>
      </w:pPr>
      <w:bookmarkStart w:id="203" w:name="_Toc91078479"/>
      <w:r w:rsidRPr="00DA112F">
        <w:t>Leverage the existing R&amp;DTI regime as a nexus for compliance purposes.</w:t>
      </w:r>
      <w:bookmarkEnd w:id="203"/>
    </w:p>
    <w:p w14:paraId="19C98B41" w14:textId="274030D5" w:rsidR="00DA112F" w:rsidRDefault="00DA112F" w:rsidP="008645ED">
      <w:pPr>
        <w:pStyle w:val="TextOpensans"/>
      </w:pPr>
      <w:r w:rsidRPr="00A53FE8">
        <w:t>Most stakeholders noted that the R</w:t>
      </w:r>
      <w:r w:rsidR="00CF533A">
        <w:t>&amp;</w:t>
      </w:r>
      <w:r w:rsidRPr="00A53FE8">
        <w:t>DTI framework is robust and appropriate for R&amp;D expensing purposes and that it would not be difficult to add another layer of analysis to confirm that the expenditure would relate to a future patent or product that is generating revenue. Some stakeholders simpl</w:t>
      </w:r>
      <w:r w:rsidR="00F4610D">
        <w:t>y</w:t>
      </w:r>
      <w:r w:rsidRPr="00A53FE8">
        <w:t xml:space="preserve"> noted that the R&amp;DTI is a good starting point for a compliance system.</w:t>
      </w:r>
    </w:p>
    <w:p w14:paraId="01CCAD58" w14:textId="5031F2E6" w:rsidR="00DA112F" w:rsidRDefault="00DA112F" w:rsidP="008645ED">
      <w:pPr>
        <w:pStyle w:val="TextOpensans"/>
      </w:pPr>
      <w:r>
        <w:t xml:space="preserve">However, there was also strong support for including overseas R&amp;D which is conducted either via an unrelated party or a ‘positive advance’ finding, and some support for using a definition broader than the R&amp;DTI to capture non-experimental R&amp;D. Stakeholders also provided insight into their record-keeping processes, noting that large company processes </w:t>
      </w:r>
      <w:r w:rsidRPr="00DA112F">
        <w:t>can capture offshore R&amp;D expenditure separately to domestic R&amp;D expenditure</w:t>
      </w:r>
      <w:r>
        <w:t xml:space="preserve">, although this is not always the case. One stakeholder noted that all firms will need lead time </w:t>
      </w:r>
      <w:r w:rsidRPr="00C41648">
        <w:t>t</w:t>
      </w:r>
      <w:r w:rsidR="002019E3">
        <w:t xml:space="preserve">o </w:t>
      </w:r>
      <w:r>
        <w:t xml:space="preserve">implement a system that adapts the R&amp;DTI expensing and recording </w:t>
      </w:r>
      <w:r w:rsidRPr="001C47FA">
        <w:t>system for patent box purposes.</w:t>
      </w:r>
      <w:r w:rsidR="00921F07" w:rsidRPr="001C47FA">
        <w:t xml:space="preserve"> </w:t>
      </w:r>
      <w:r w:rsidR="00CF533A" w:rsidRPr="001C47FA">
        <w:t xml:space="preserve">The Government was presented with the option to leverage the R&amp;DTI regime. </w:t>
      </w:r>
    </w:p>
    <w:p w14:paraId="0386052A" w14:textId="0B233F17" w:rsidR="00DA112F" w:rsidRDefault="00D80026" w:rsidP="007D529F">
      <w:pPr>
        <w:pStyle w:val="H3Opensans"/>
      </w:pPr>
      <w:bookmarkStart w:id="204" w:name="_Toc91078481"/>
      <w:bookmarkStart w:id="205" w:name="_Hlk90927629"/>
      <w:r>
        <w:t xml:space="preserve">Overseas clinical trials </w:t>
      </w:r>
      <w:r w:rsidR="00804E82">
        <w:t xml:space="preserve">should be included in eligible R&amp;D </w:t>
      </w:r>
      <w:bookmarkEnd w:id="204"/>
      <w:r w:rsidR="007D529F" w:rsidRPr="007D529F">
        <w:t>with respect to the nexus fraction</w:t>
      </w:r>
    </w:p>
    <w:bookmarkEnd w:id="205"/>
    <w:p w14:paraId="5BBF0F02" w14:textId="0BC57524" w:rsidR="00804E82" w:rsidRPr="0043119B" w:rsidRDefault="00804E82" w:rsidP="008645ED">
      <w:pPr>
        <w:pStyle w:val="TextOpensans"/>
        <w:rPr>
          <w:rFonts w:eastAsia="Times New Roman"/>
          <w:lang w:eastAsia="en-AU"/>
        </w:rPr>
      </w:pPr>
      <w:r w:rsidRPr="00C41648">
        <w:rPr>
          <w:lang w:eastAsia="en-AU"/>
        </w:rPr>
        <w:t>There was some support for o</w:t>
      </w:r>
      <w:r w:rsidRPr="0043119B">
        <w:rPr>
          <w:rFonts w:eastAsia="Times New Roman"/>
          <w:lang w:eastAsia="en-AU"/>
        </w:rPr>
        <w:t xml:space="preserve">verseas clinical trial costs undertaken in the R&amp;D stages of a project to </w:t>
      </w:r>
      <w:r w:rsidR="00F4610D">
        <w:rPr>
          <w:rFonts w:eastAsia="Times New Roman"/>
          <w:lang w:eastAsia="en-AU"/>
        </w:rPr>
        <w:t xml:space="preserve">be </w:t>
      </w:r>
      <w:r w:rsidRPr="0043119B">
        <w:rPr>
          <w:rFonts w:eastAsia="Times New Roman"/>
          <w:lang w:eastAsia="en-AU"/>
        </w:rPr>
        <w:t xml:space="preserve">included in the R&amp;D nexus fraction, where those trials could not be conducted in Australia due to the lack of expertise, access to equipment, quarantine regulatory requirements, capacity constraints within the supply chain and low population size in Australia. </w:t>
      </w:r>
    </w:p>
    <w:p w14:paraId="30E2712C" w14:textId="6C36642A" w:rsidR="00DA112F" w:rsidRPr="0043119B" w:rsidRDefault="001E0498" w:rsidP="008645ED">
      <w:pPr>
        <w:pStyle w:val="TextOpensans"/>
        <w:rPr>
          <w:rFonts w:eastAsia="Times New Roman"/>
          <w:lang w:eastAsia="en-AU"/>
        </w:rPr>
      </w:pPr>
      <w:r>
        <w:rPr>
          <w:lang w:eastAsia="en-AU"/>
        </w:rPr>
        <w:t xml:space="preserve">As stated in </w:t>
      </w:r>
      <w:r w:rsidR="006E2271">
        <w:t xml:space="preserve">Section 3 </w:t>
      </w:r>
      <w:r w:rsidR="006E2271" w:rsidRPr="001C47FA">
        <w:t>Options and Impact</w:t>
      </w:r>
      <w:r w:rsidRPr="001C47FA">
        <w:rPr>
          <w:lang w:eastAsia="en-AU"/>
        </w:rPr>
        <w:t>, t</w:t>
      </w:r>
      <w:r w:rsidR="008025DC" w:rsidRPr="001C47FA">
        <w:rPr>
          <w:lang w:eastAsia="en-AU"/>
        </w:rPr>
        <w:t>he Government</w:t>
      </w:r>
      <w:r w:rsidR="00804E82" w:rsidRPr="001C47FA">
        <w:rPr>
          <w:rFonts w:eastAsia="Times New Roman"/>
          <w:lang w:eastAsia="en-AU"/>
        </w:rPr>
        <w:t xml:space="preserve"> </w:t>
      </w:r>
      <w:r w:rsidR="00A30BD2" w:rsidRPr="001C47FA">
        <w:rPr>
          <w:rFonts w:eastAsia="Times New Roman"/>
          <w:lang w:eastAsia="en-AU"/>
        </w:rPr>
        <w:t>was presented with the option to</w:t>
      </w:r>
      <w:r w:rsidR="00804E82" w:rsidRPr="001C47FA">
        <w:rPr>
          <w:rFonts w:eastAsia="Times New Roman"/>
          <w:lang w:eastAsia="en-AU"/>
        </w:rPr>
        <w:t xml:space="preserve"> not include overseas clinical trials </w:t>
      </w:r>
      <w:r w:rsidR="005B6173" w:rsidRPr="001C47FA">
        <w:rPr>
          <w:rFonts w:eastAsia="Times New Roman"/>
          <w:lang w:eastAsia="en-AU"/>
        </w:rPr>
        <w:t xml:space="preserve">owing </w:t>
      </w:r>
      <w:r w:rsidR="00804E82" w:rsidRPr="001C47FA">
        <w:rPr>
          <w:rFonts w:eastAsia="Times New Roman"/>
          <w:lang w:eastAsia="en-AU"/>
        </w:rPr>
        <w:t xml:space="preserve">to advice from the OECD Forum of Harmful Tax Practices Secretariat that </w:t>
      </w:r>
      <w:r w:rsidR="00A30BD2">
        <w:rPr>
          <w:rFonts w:eastAsia="Times New Roman"/>
          <w:lang w:eastAsia="en-AU"/>
        </w:rPr>
        <w:t>according to the</w:t>
      </w:r>
      <w:r w:rsidR="00804E82" w:rsidRPr="0043119B">
        <w:rPr>
          <w:rFonts w:eastAsia="Times New Roman"/>
          <w:lang w:eastAsia="en-AU"/>
        </w:rPr>
        <w:t xml:space="preserve"> BEPS </w:t>
      </w:r>
      <w:r w:rsidR="00A30BD2">
        <w:rPr>
          <w:rFonts w:eastAsia="Times New Roman"/>
          <w:lang w:eastAsia="en-AU"/>
        </w:rPr>
        <w:t>Action 5 report</w:t>
      </w:r>
      <w:r w:rsidR="00804E82" w:rsidRPr="0043119B">
        <w:rPr>
          <w:rFonts w:eastAsia="Times New Roman"/>
          <w:lang w:eastAsia="en-AU"/>
        </w:rPr>
        <w:t xml:space="preserve">, the inclusion of overseas </w:t>
      </w:r>
      <w:r w:rsidR="00804E82" w:rsidRPr="0043119B">
        <w:rPr>
          <w:rFonts w:eastAsia="Times New Roman"/>
          <w:lang w:eastAsia="en-AU"/>
        </w:rPr>
        <w:lastRenderedPageBreak/>
        <w:t>clinical trial costs in eligible R&amp;D costs</w:t>
      </w:r>
      <w:r w:rsidR="00A30BD2">
        <w:rPr>
          <w:rFonts w:eastAsia="Times New Roman"/>
          <w:lang w:eastAsia="en-AU"/>
        </w:rPr>
        <w:t xml:space="preserve"> is not permitted.</w:t>
      </w:r>
      <w:r w:rsidR="00B9020C">
        <w:rPr>
          <w:rFonts w:eastAsia="Times New Roman"/>
          <w:lang w:eastAsia="en-AU"/>
        </w:rPr>
        <w:t xml:space="preserve"> This advice was received during targeted consultation. </w:t>
      </w:r>
    </w:p>
    <w:p w14:paraId="4B289E35" w14:textId="0127F600" w:rsidR="00804E82" w:rsidRDefault="004D0071" w:rsidP="00804E82">
      <w:pPr>
        <w:pStyle w:val="H3Opensans"/>
      </w:pPr>
      <w:bookmarkStart w:id="206" w:name="_Toc91078482"/>
      <w:r>
        <w:t>Some form of manufacturing returns should be eligible for the patent box concessional rate.</w:t>
      </w:r>
      <w:bookmarkEnd w:id="206"/>
      <w:r>
        <w:t xml:space="preserve"> </w:t>
      </w:r>
    </w:p>
    <w:p w14:paraId="37894DD4" w14:textId="28D1344F" w:rsidR="00C41648" w:rsidRPr="0043119B" w:rsidRDefault="00E94847" w:rsidP="008645ED">
      <w:pPr>
        <w:pStyle w:val="TextOpensans"/>
        <w:rPr>
          <w:rFonts w:eastAsia="Times New Roman"/>
          <w:lang w:eastAsia="en-AU"/>
        </w:rPr>
      </w:pPr>
      <w:r>
        <w:rPr>
          <w:rFonts w:eastAsia="Times New Roman"/>
          <w:lang w:eastAsia="en-AU"/>
        </w:rPr>
        <w:t>N</w:t>
      </w:r>
      <w:r w:rsidR="004D0071" w:rsidRPr="0043119B">
        <w:rPr>
          <w:rFonts w:eastAsia="Times New Roman"/>
          <w:lang w:eastAsia="en-AU"/>
        </w:rPr>
        <w:t>early all</w:t>
      </w:r>
      <w:r w:rsidR="00AD6761">
        <w:rPr>
          <w:rFonts w:eastAsia="Times New Roman"/>
          <w:lang w:eastAsia="en-AU"/>
        </w:rPr>
        <w:t xml:space="preserve"> industry</w:t>
      </w:r>
      <w:r w:rsidR="004D0071" w:rsidRPr="0043119B">
        <w:rPr>
          <w:rFonts w:eastAsia="Times New Roman"/>
          <w:lang w:eastAsia="en-AU"/>
        </w:rPr>
        <w:t xml:space="preserve"> stakeholders argued that including manufacturing returns in the patent box would increase the policy impact of the measure. </w:t>
      </w:r>
      <w:r w:rsidR="00C41648" w:rsidRPr="0043119B">
        <w:rPr>
          <w:rFonts w:eastAsia="Times New Roman"/>
          <w:lang w:eastAsia="en-AU"/>
        </w:rPr>
        <w:t>There was support in eight submissions for providing the patent box concession to manufacturing activity.</w:t>
      </w:r>
    </w:p>
    <w:p w14:paraId="58E4E63F" w14:textId="27E2EA79" w:rsidR="004D0071" w:rsidRPr="0043119B" w:rsidRDefault="00C41648" w:rsidP="008645ED">
      <w:pPr>
        <w:pStyle w:val="TextOpensans"/>
        <w:rPr>
          <w:rFonts w:eastAsia="Times New Roman"/>
          <w:lang w:eastAsia="en-AU"/>
        </w:rPr>
      </w:pPr>
      <w:r>
        <w:rPr>
          <w:lang w:eastAsia="en-AU"/>
        </w:rPr>
        <w:t>It was noted t</w:t>
      </w:r>
      <w:r w:rsidRPr="0043119B">
        <w:rPr>
          <w:rFonts w:eastAsia="Times New Roman"/>
          <w:lang w:eastAsia="en-AU"/>
        </w:rPr>
        <w:t>hat many stakeholders do not seek patents on its manufacturing processes. Most manufacturing processes are kept highly confidential in the form of trade secrets.</w:t>
      </w:r>
      <w:r w:rsidR="00BA5523">
        <w:rPr>
          <w:rFonts w:eastAsia="Times New Roman"/>
          <w:lang w:eastAsia="en-AU"/>
        </w:rPr>
        <w:t xml:space="preserve"> It is generally difficult to enforce an IP right over a manufacturing process when the use of that process is not identifiable in the finished product. </w:t>
      </w:r>
    </w:p>
    <w:p w14:paraId="69A759CA" w14:textId="1C521F65" w:rsidR="00804E82" w:rsidRDefault="00177AFB" w:rsidP="00804E82">
      <w:pPr>
        <w:pStyle w:val="H3Opensans"/>
      </w:pPr>
      <w:bookmarkStart w:id="207" w:name="_Toc91078483"/>
      <w:r>
        <w:t>Patent income should be grouped by a whole-of-product approach.</w:t>
      </w:r>
      <w:bookmarkEnd w:id="207"/>
      <w:r>
        <w:t xml:space="preserve"> </w:t>
      </w:r>
    </w:p>
    <w:p w14:paraId="394559BA" w14:textId="16B9DE5E" w:rsidR="00B31D77" w:rsidRDefault="00B31D77" w:rsidP="008645ED">
      <w:pPr>
        <w:pStyle w:val="TextOpensans"/>
        <w:rPr>
          <w:rFonts w:eastAsia="Times New Roman"/>
          <w:lang w:eastAsia="en-AU"/>
        </w:rPr>
      </w:pPr>
      <w:r>
        <w:rPr>
          <w:lang w:eastAsia="en-AU"/>
        </w:rPr>
        <w:t>S</w:t>
      </w:r>
      <w:r w:rsidR="006A1345" w:rsidRPr="00C41648">
        <w:rPr>
          <w:lang w:eastAsia="en-AU"/>
        </w:rPr>
        <w:t xml:space="preserve">takeholders </w:t>
      </w:r>
      <w:r>
        <w:rPr>
          <w:lang w:eastAsia="en-AU"/>
        </w:rPr>
        <w:t>reported that most of their</w:t>
      </w:r>
      <w:r w:rsidR="006A1345" w:rsidRPr="00C41648">
        <w:rPr>
          <w:rFonts w:eastAsia="Times New Roman"/>
          <w:lang w:eastAsia="en-AU"/>
        </w:rPr>
        <w:t xml:space="preserve"> </w:t>
      </w:r>
      <w:r w:rsidR="00E94847">
        <w:rPr>
          <w:rFonts w:eastAsia="Times New Roman"/>
          <w:lang w:eastAsia="en-AU"/>
        </w:rPr>
        <w:t xml:space="preserve">medical and biotech </w:t>
      </w:r>
      <w:r w:rsidR="006A1345" w:rsidRPr="00C41648">
        <w:rPr>
          <w:rFonts w:eastAsia="Times New Roman"/>
          <w:lang w:eastAsia="en-AU"/>
        </w:rPr>
        <w:t>products comprise of a group of related patented innovations. As such, these stakeholders supported the adoption of a whole-of-product</w:t>
      </w:r>
      <w:r w:rsidR="00E94847">
        <w:rPr>
          <w:rFonts w:eastAsia="Times New Roman"/>
          <w:lang w:eastAsia="en-AU"/>
        </w:rPr>
        <w:t xml:space="preserve"> approach</w:t>
      </w:r>
      <w:r w:rsidR="006A1345" w:rsidRPr="00C41648">
        <w:rPr>
          <w:rFonts w:eastAsia="Times New Roman"/>
          <w:lang w:eastAsia="en-AU"/>
        </w:rPr>
        <w:t xml:space="preserve"> for grouping patent income</w:t>
      </w:r>
      <w:r w:rsidR="00E94847">
        <w:rPr>
          <w:rFonts w:eastAsia="Times New Roman"/>
          <w:lang w:eastAsia="en-AU"/>
        </w:rPr>
        <w:t xml:space="preserve">. This would mean </w:t>
      </w:r>
      <w:r>
        <w:rPr>
          <w:rFonts w:eastAsia="Times New Roman"/>
          <w:lang w:eastAsia="en-AU"/>
        </w:rPr>
        <w:t>that an entity’s</w:t>
      </w:r>
      <w:r w:rsidR="006A1345" w:rsidRPr="00C41648">
        <w:rPr>
          <w:rFonts w:eastAsia="Times New Roman"/>
          <w:lang w:eastAsia="en-AU"/>
        </w:rPr>
        <w:t xml:space="preserve"> </w:t>
      </w:r>
      <w:r w:rsidR="0059538B">
        <w:rPr>
          <w:rFonts w:eastAsia="Times New Roman"/>
          <w:lang w:eastAsia="en-AU"/>
        </w:rPr>
        <w:t>revenue</w:t>
      </w:r>
      <w:r>
        <w:rPr>
          <w:rFonts w:eastAsia="Times New Roman"/>
          <w:lang w:eastAsia="en-AU"/>
        </w:rPr>
        <w:t xml:space="preserve"> </w:t>
      </w:r>
      <w:r w:rsidR="0059538B" w:rsidRPr="00C41648">
        <w:rPr>
          <w:rFonts w:eastAsia="Times New Roman"/>
          <w:lang w:eastAsia="en-AU"/>
        </w:rPr>
        <w:t xml:space="preserve">flow </w:t>
      </w:r>
      <w:r>
        <w:rPr>
          <w:rFonts w:eastAsia="Times New Roman"/>
          <w:lang w:eastAsia="en-AU"/>
        </w:rPr>
        <w:t xml:space="preserve">from the sale of </w:t>
      </w:r>
      <w:r w:rsidR="00D3736F">
        <w:rPr>
          <w:rFonts w:eastAsia="Times New Roman"/>
          <w:lang w:eastAsia="en-AU"/>
        </w:rPr>
        <w:t>products and</w:t>
      </w:r>
      <w:r w:rsidR="006A1345" w:rsidRPr="00C41648">
        <w:rPr>
          <w:rFonts w:eastAsia="Times New Roman"/>
          <w:lang w:eastAsia="en-AU"/>
        </w:rPr>
        <w:t xml:space="preserve"> </w:t>
      </w:r>
      <w:r w:rsidR="00D3736F">
        <w:rPr>
          <w:rFonts w:eastAsia="Times New Roman"/>
          <w:lang w:eastAsia="en-AU"/>
        </w:rPr>
        <w:t xml:space="preserve">patent </w:t>
      </w:r>
      <w:r w:rsidR="006A1345" w:rsidRPr="00C41648">
        <w:rPr>
          <w:rFonts w:eastAsia="Times New Roman"/>
          <w:lang w:eastAsia="en-AU"/>
        </w:rPr>
        <w:t>licenc</w:t>
      </w:r>
      <w:r w:rsidR="0059538B">
        <w:rPr>
          <w:rFonts w:eastAsia="Times New Roman"/>
          <w:lang w:eastAsia="en-AU"/>
        </w:rPr>
        <w:t>ing</w:t>
      </w:r>
      <w:r w:rsidR="00D3736F">
        <w:rPr>
          <w:rFonts w:eastAsia="Times New Roman"/>
          <w:lang w:eastAsia="en-AU"/>
        </w:rPr>
        <w:t xml:space="preserve"> </w:t>
      </w:r>
      <w:r w:rsidR="006A1345" w:rsidRPr="00C41648">
        <w:rPr>
          <w:rFonts w:eastAsia="Times New Roman"/>
          <w:lang w:eastAsia="en-AU"/>
        </w:rPr>
        <w:t xml:space="preserve">could be used as the starting point for determining eligible revenue. </w:t>
      </w:r>
    </w:p>
    <w:p w14:paraId="05B77244" w14:textId="26AF971F" w:rsidR="00804E82" w:rsidRDefault="006A1345" w:rsidP="008645ED">
      <w:pPr>
        <w:pStyle w:val="TextOpensans"/>
      </w:pPr>
      <w:r w:rsidRPr="00C41648">
        <w:rPr>
          <w:rFonts w:eastAsia="Times New Roman"/>
          <w:lang w:eastAsia="en-AU"/>
        </w:rPr>
        <w:t>It was contended that instead of carving apart a single product (and a single revenue stream) into components, the R&amp;D fraction (</w:t>
      </w:r>
      <w:proofErr w:type="gramStart"/>
      <w:r w:rsidRPr="00C41648">
        <w:rPr>
          <w:rFonts w:eastAsia="Times New Roman"/>
          <w:lang w:eastAsia="en-AU"/>
        </w:rPr>
        <w:t>i.e.</w:t>
      </w:r>
      <w:proofErr w:type="gramEnd"/>
      <w:r w:rsidRPr="00C41648">
        <w:rPr>
          <w:rFonts w:eastAsia="Times New Roman"/>
          <w:lang w:eastAsia="en-AU"/>
        </w:rPr>
        <w:t xml:space="preserve"> </w:t>
      </w:r>
      <w:r w:rsidRPr="00297F67">
        <w:rPr>
          <w:rFonts w:eastAsia="Times New Roman"/>
          <w:lang w:eastAsia="en-AU"/>
        </w:rPr>
        <w:t>the “nexus ratio”) should</w:t>
      </w:r>
      <w:r w:rsidRPr="00C41648">
        <w:rPr>
          <w:rFonts w:eastAsia="Times New Roman"/>
          <w:lang w:eastAsia="en-AU"/>
        </w:rPr>
        <w:t xml:space="preserve"> be applied on a whole-of-product basis.</w:t>
      </w:r>
    </w:p>
    <w:p w14:paraId="60F267FF" w14:textId="2FBCD15D" w:rsidR="009212DF" w:rsidRDefault="00172713" w:rsidP="009212DF">
      <w:pPr>
        <w:pStyle w:val="H3Opensans"/>
      </w:pPr>
      <w:bookmarkStart w:id="208" w:name="_Toc91078485"/>
      <w:bookmarkStart w:id="209" w:name="_Hlk90924619"/>
      <w:r>
        <w:t>Make the patent box concessional tax rate lower than 17 per cent.</w:t>
      </w:r>
      <w:bookmarkEnd w:id="208"/>
    </w:p>
    <w:p w14:paraId="00B5BD00" w14:textId="7CDCAEC4" w:rsidR="00172713" w:rsidRPr="00673797" w:rsidRDefault="00172713" w:rsidP="008645ED">
      <w:pPr>
        <w:pStyle w:val="TextOpensans"/>
      </w:pPr>
      <w:r w:rsidRPr="001C47FA">
        <w:rPr>
          <w:lang w:eastAsia="en-AU"/>
        </w:rPr>
        <w:t xml:space="preserve">Many </w:t>
      </w:r>
      <w:bookmarkEnd w:id="209"/>
      <w:r w:rsidRPr="001C47FA">
        <w:rPr>
          <w:lang w:eastAsia="en-AU"/>
        </w:rPr>
        <w:t>stakeholders argue</w:t>
      </w:r>
      <w:r w:rsidR="00673797" w:rsidRPr="001C47FA">
        <w:rPr>
          <w:rFonts w:eastAsia="Times New Roman"/>
          <w:lang w:eastAsia="en-AU"/>
        </w:rPr>
        <w:t>d for a lower patent box rate, contending</w:t>
      </w:r>
      <w:r w:rsidRPr="001C47FA">
        <w:rPr>
          <w:rFonts w:eastAsia="Times New Roman"/>
          <w:lang w:eastAsia="en-AU"/>
        </w:rPr>
        <w:t xml:space="preserve"> that the proposed tax rate of 17 per cent is high by international patent box standards. Some stakeholders </w:t>
      </w:r>
      <w:r w:rsidR="00673797" w:rsidRPr="00C41648">
        <w:rPr>
          <w:rFonts w:eastAsia="Times New Roman"/>
          <w:lang w:eastAsia="en-AU"/>
        </w:rPr>
        <w:t>were</w:t>
      </w:r>
      <w:r w:rsidRPr="00C41648">
        <w:rPr>
          <w:rFonts w:eastAsia="Times New Roman"/>
          <w:lang w:eastAsia="en-AU"/>
        </w:rPr>
        <w:t xml:space="preserve"> aware of the OECD </w:t>
      </w:r>
      <w:r w:rsidR="00862505">
        <w:rPr>
          <w:rFonts w:eastAsia="Times New Roman"/>
          <w:lang w:eastAsia="en-AU"/>
        </w:rPr>
        <w:t>g</w:t>
      </w:r>
      <w:r w:rsidRPr="00C41648">
        <w:rPr>
          <w:rFonts w:eastAsia="Times New Roman"/>
          <w:lang w:eastAsia="en-AU"/>
        </w:rPr>
        <w:t>lobal minimum tax rate</w:t>
      </w:r>
      <w:r w:rsidR="00075E8B">
        <w:rPr>
          <w:rFonts w:eastAsia="Times New Roman"/>
          <w:lang w:eastAsia="en-AU"/>
        </w:rPr>
        <w:t xml:space="preserve"> </w:t>
      </w:r>
      <w:r w:rsidR="00075E8B" w:rsidRPr="001C47FA">
        <w:rPr>
          <w:rFonts w:eastAsia="Times New Roman"/>
          <w:lang w:eastAsia="en-AU"/>
        </w:rPr>
        <w:t>discussions</w:t>
      </w:r>
      <w:r w:rsidRPr="001C47FA">
        <w:rPr>
          <w:rFonts w:eastAsia="Times New Roman"/>
          <w:lang w:eastAsia="en-AU"/>
        </w:rPr>
        <w:t xml:space="preserve"> but argue</w:t>
      </w:r>
      <w:r w:rsidR="00673797" w:rsidRPr="001C47FA">
        <w:rPr>
          <w:rFonts w:eastAsia="Times New Roman"/>
          <w:lang w:eastAsia="en-AU"/>
        </w:rPr>
        <w:t>d</w:t>
      </w:r>
      <w:r w:rsidRPr="001C47FA">
        <w:rPr>
          <w:rFonts w:eastAsia="Times New Roman"/>
          <w:lang w:eastAsia="en-AU"/>
        </w:rPr>
        <w:t xml:space="preserve"> the rate should be lowered</w:t>
      </w:r>
      <w:r w:rsidR="00075E8B" w:rsidRPr="001C47FA">
        <w:rPr>
          <w:rFonts w:eastAsia="Times New Roman"/>
          <w:lang w:eastAsia="en-AU"/>
        </w:rPr>
        <w:t xml:space="preserve"> even if it were to fall</w:t>
      </w:r>
      <w:r w:rsidRPr="001C47FA">
        <w:rPr>
          <w:rFonts w:eastAsia="Times New Roman"/>
          <w:lang w:eastAsia="en-AU"/>
        </w:rPr>
        <w:t xml:space="preserve"> below that</w:t>
      </w:r>
      <w:r w:rsidR="00AD6761">
        <w:rPr>
          <w:rFonts w:eastAsia="Times New Roman"/>
          <w:lang w:eastAsia="en-AU"/>
        </w:rPr>
        <w:t>,</w:t>
      </w:r>
      <w:r w:rsidRPr="001C47FA">
        <w:rPr>
          <w:rFonts w:eastAsia="Times New Roman"/>
          <w:lang w:eastAsia="en-AU"/>
        </w:rPr>
        <w:t xml:space="preserve"> </w:t>
      </w:r>
      <w:r w:rsidR="00075E8B" w:rsidRPr="001C47FA">
        <w:rPr>
          <w:rFonts w:eastAsia="Times New Roman"/>
          <w:lang w:eastAsia="en-AU"/>
        </w:rPr>
        <w:t xml:space="preserve">at least </w:t>
      </w:r>
      <w:r w:rsidRPr="001C47FA">
        <w:rPr>
          <w:rFonts w:eastAsia="Times New Roman"/>
          <w:lang w:eastAsia="en-AU"/>
        </w:rPr>
        <w:t xml:space="preserve">until the global minimum rate is implemented. </w:t>
      </w:r>
    </w:p>
    <w:p w14:paraId="0BF1A819" w14:textId="067E57CB" w:rsidR="00887F5C" w:rsidRDefault="00032294" w:rsidP="0063293D">
      <w:pPr>
        <w:pStyle w:val="H3Opensans"/>
      </w:pPr>
      <w:bookmarkStart w:id="210" w:name="_Toc91078486"/>
      <w:r>
        <w:t>V</w:t>
      </w:r>
      <w:r w:rsidR="00A755E8">
        <w:t>iews on expanding patent box to low emissions sector</w:t>
      </w:r>
      <w:bookmarkEnd w:id="210"/>
    </w:p>
    <w:p w14:paraId="530ECA3E" w14:textId="74FDD21B" w:rsidR="00A755E8" w:rsidRDefault="00E8789E" w:rsidP="00A755E8">
      <w:pPr>
        <w:pStyle w:val="TextOpensans"/>
      </w:pPr>
      <w:r>
        <w:t>Treasury sought</w:t>
      </w:r>
      <w:r w:rsidR="00D31244">
        <w:t xml:space="preserve"> </w:t>
      </w:r>
      <w:r>
        <w:t>view</w:t>
      </w:r>
      <w:r w:rsidR="00ED3719">
        <w:t>s</w:t>
      </w:r>
      <w:r w:rsidR="00D31244">
        <w:t xml:space="preserve"> on the potential expansion of the patent box to low emissions technologies and whether it is an effective way to support the development of these technologies</w:t>
      </w:r>
      <w:r>
        <w:t xml:space="preserve"> in its discussion paper</w:t>
      </w:r>
      <w:r w:rsidR="00D31244" w:rsidRPr="00C41648">
        <w:t>.</w:t>
      </w:r>
      <w:r w:rsidR="00D31244">
        <w:t xml:space="preserve"> </w:t>
      </w:r>
      <w:r w:rsidR="0048368E">
        <w:t xml:space="preserve">The Government </w:t>
      </w:r>
      <w:r w:rsidR="005E6C26">
        <w:t xml:space="preserve">has not </w:t>
      </w:r>
      <w:r w:rsidR="00076958">
        <w:t xml:space="preserve">made </w:t>
      </w:r>
      <w:r w:rsidR="005E6C26">
        <w:t>any decision on the inclusion of</w:t>
      </w:r>
      <w:r w:rsidR="0048368E">
        <w:t xml:space="preserve"> </w:t>
      </w:r>
      <w:r w:rsidR="000A3159">
        <w:t xml:space="preserve">low emissions technologies </w:t>
      </w:r>
      <w:r w:rsidR="005E6C26">
        <w:t>in the patent box</w:t>
      </w:r>
      <w:r w:rsidR="00AD6761">
        <w:t xml:space="preserve"> and therefore, views on it are not included in this RIS</w:t>
      </w:r>
      <w:r w:rsidR="005E6C26">
        <w:t xml:space="preserve">. </w:t>
      </w:r>
      <w:r w:rsidR="0048368E">
        <w:t xml:space="preserve"> </w:t>
      </w:r>
    </w:p>
    <w:p w14:paraId="6DFE1F4B" w14:textId="75D02182" w:rsidR="00A755E8" w:rsidRDefault="00AD3BF2" w:rsidP="00C63AE8">
      <w:pPr>
        <w:pStyle w:val="H2Opensans"/>
      </w:pPr>
      <w:bookmarkStart w:id="211" w:name="_Toc91078488"/>
      <w:bookmarkStart w:id="212" w:name="_Toc93487790"/>
      <w:r>
        <w:lastRenderedPageBreak/>
        <w:t>O</w:t>
      </w:r>
      <w:r w:rsidR="00C41648">
        <w:t>utcomes of targeted consultation on exposure draft legislation</w:t>
      </w:r>
      <w:bookmarkEnd w:id="211"/>
      <w:bookmarkEnd w:id="212"/>
    </w:p>
    <w:p w14:paraId="39EF6B45" w14:textId="6ECBE38A" w:rsidR="002B559E" w:rsidRDefault="00BD7F73" w:rsidP="005B3C67">
      <w:pPr>
        <w:pStyle w:val="TextOpensans"/>
      </w:pPr>
      <w:r>
        <w:t xml:space="preserve">In December 2021, </w:t>
      </w:r>
      <w:r w:rsidR="00D83BB3">
        <w:t xml:space="preserve">Treasury </w:t>
      </w:r>
      <w:r w:rsidR="00BD7AFB">
        <w:t xml:space="preserve">conducted targeted consultation </w:t>
      </w:r>
      <w:r w:rsidR="00E8789E">
        <w:t xml:space="preserve">on the patent box exposure draft legislation </w:t>
      </w:r>
      <w:r w:rsidR="00BD7AFB">
        <w:t>with</w:t>
      </w:r>
      <w:r w:rsidR="002B559E">
        <w:t>:</w:t>
      </w:r>
    </w:p>
    <w:p w14:paraId="58A00ECD" w14:textId="0417B650" w:rsidR="002B559E" w:rsidRDefault="00BD7AFB" w:rsidP="00766C44">
      <w:pPr>
        <w:pStyle w:val="TextOpensans"/>
        <w:numPr>
          <w:ilvl w:val="0"/>
          <w:numId w:val="25"/>
        </w:numPr>
      </w:pPr>
      <w:r>
        <w:t xml:space="preserve">three significant </w:t>
      </w:r>
      <w:r w:rsidR="002B559E">
        <w:t xml:space="preserve">companies in the </w:t>
      </w:r>
      <w:proofErr w:type="gramStart"/>
      <w:r>
        <w:t>industry</w:t>
      </w:r>
      <w:r w:rsidR="002B559E">
        <w:t>;</w:t>
      </w:r>
      <w:proofErr w:type="gramEnd"/>
    </w:p>
    <w:p w14:paraId="618E2730" w14:textId="33928AE2" w:rsidR="002B559E" w:rsidRDefault="00BD7AFB" w:rsidP="00766C44">
      <w:pPr>
        <w:pStyle w:val="TextOpensans"/>
        <w:numPr>
          <w:ilvl w:val="0"/>
          <w:numId w:val="25"/>
        </w:numPr>
      </w:pPr>
      <w:r w:rsidRPr="001C47FA">
        <w:t xml:space="preserve">the </w:t>
      </w:r>
      <w:r w:rsidR="00960627" w:rsidRPr="001C47FA">
        <w:t xml:space="preserve">OECD Secretariat supporting the </w:t>
      </w:r>
      <w:r w:rsidRPr="001C47FA">
        <w:t>OECD FHTP</w:t>
      </w:r>
      <w:r w:rsidR="002B559E" w:rsidRPr="001C47FA">
        <w:t>;</w:t>
      </w:r>
      <w:r w:rsidR="006A4433" w:rsidRPr="001C47FA">
        <w:t xml:space="preserve"> and</w:t>
      </w:r>
    </w:p>
    <w:p w14:paraId="75E0647D" w14:textId="48FB6E05" w:rsidR="002B559E" w:rsidRDefault="002B559E" w:rsidP="00766C44">
      <w:pPr>
        <w:pStyle w:val="TextOpensans"/>
        <w:numPr>
          <w:ilvl w:val="0"/>
          <w:numId w:val="25"/>
        </w:numPr>
      </w:pPr>
      <w:r>
        <w:t xml:space="preserve">three major accounting firms which provide tax advice to the </w:t>
      </w:r>
      <w:r w:rsidR="00AF671D">
        <w:t>relevant</w:t>
      </w:r>
      <w:r>
        <w:t xml:space="preserve"> industry.</w:t>
      </w:r>
    </w:p>
    <w:p w14:paraId="583F6B62" w14:textId="4029333E" w:rsidR="002B559E" w:rsidRPr="001C47FA" w:rsidRDefault="002B559E" w:rsidP="002B559E">
      <w:pPr>
        <w:pStyle w:val="TextOpensans"/>
      </w:pPr>
      <w:r>
        <w:t xml:space="preserve">Treasury received a variety of feedback </w:t>
      </w:r>
      <w:r w:rsidRPr="00904E2C">
        <w:t xml:space="preserve">and </w:t>
      </w:r>
      <w:r w:rsidR="00F4610D">
        <w:t>has</w:t>
      </w:r>
      <w:r w:rsidRPr="00904E2C">
        <w:t xml:space="preserve"> implement</w:t>
      </w:r>
      <w:r w:rsidR="00F4610D">
        <w:t>ed</w:t>
      </w:r>
      <w:r w:rsidRPr="00904E2C">
        <w:t xml:space="preserve"> some</w:t>
      </w:r>
      <w:r w:rsidRPr="003D0E5E">
        <w:t xml:space="preserve"> changes to the draft legislation to address feedback where necessary</w:t>
      </w:r>
      <w:r w:rsidR="00960627" w:rsidRPr="001C47FA">
        <w:t xml:space="preserve"> appropriate.</w:t>
      </w:r>
      <w:r w:rsidRPr="001C47FA">
        <w:t xml:space="preserve"> </w:t>
      </w:r>
    </w:p>
    <w:p w14:paraId="7E57F150" w14:textId="1B6BF08E" w:rsidR="00BD7F73" w:rsidRDefault="00BD7F73" w:rsidP="00BD7F73">
      <w:pPr>
        <w:pStyle w:val="H3Opensans"/>
      </w:pPr>
      <w:bookmarkStart w:id="213" w:name="_Toc91078489"/>
      <w:r>
        <w:t>Feedback from industry stakeholders</w:t>
      </w:r>
      <w:bookmarkEnd w:id="213"/>
    </w:p>
    <w:p w14:paraId="60EB21A4" w14:textId="661D928A" w:rsidR="00BD7F73" w:rsidRDefault="00BD7AFB" w:rsidP="005B3C67">
      <w:pPr>
        <w:pStyle w:val="TextOpensans"/>
      </w:pPr>
      <w:r>
        <w:t xml:space="preserve">All three industry stakeholders strongly supported the two significant expansions to the patent box since the Budget announcement, these being the inclusion of patents issued by the USPTO or granted under the EPC, and patents granted after 11 May 2021, rather than only those applied for after this date. </w:t>
      </w:r>
    </w:p>
    <w:p w14:paraId="3DD839E6" w14:textId="71E770E7" w:rsidR="00BD7AFB" w:rsidRDefault="00BD7F73" w:rsidP="005B3C67">
      <w:pPr>
        <w:pStyle w:val="TextOpensans"/>
      </w:pPr>
      <w:r w:rsidRPr="00BD7F73">
        <w:t>All three stakeholders argued that a formulaic or safe harbour approach to determining which income is eligible for the patent box is preferable to relying on OECD transfer pricing principles.</w:t>
      </w:r>
      <w:r>
        <w:t xml:space="preserve"> </w:t>
      </w:r>
      <w:r w:rsidRPr="00BD7F73">
        <w:t xml:space="preserve">Notwithstanding this preference, all stakeholders understood that a formulaic method would need to </w:t>
      </w:r>
      <w:r w:rsidR="002B559E">
        <w:t>produce</w:t>
      </w:r>
      <w:r w:rsidRPr="00BD7F73">
        <w:t xml:space="preserve"> outcomes consistent with OECD transfer pricing guidelines and would be concessional for some product-lines and punitive for others, due to the unique</w:t>
      </w:r>
      <w:r w:rsidR="002B559E">
        <w:t xml:space="preserve"> nature</w:t>
      </w:r>
      <w:r w:rsidRPr="00BD7F73">
        <w:t xml:space="preserve"> and wide variation in the value of particular patents.</w:t>
      </w:r>
    </w:p>
    <w:p w14:paraId="39D20B22" w14:textId="0BFED538" w:rsidR="00BD7F73" w:rsidRDefault="00BD7F73" w:rsidP="005B3C67">
      <w:pPr>
        <w:pStyle w:val="TextOpensans"/>
      </w:pPr>
      <w:r w:rsidRPr="00BD7F73">
        <w:t>All stakeholders noted the legislation was highly complex</w:t>
      </w:r>
      <w:r>
        <w:t xml:space="preserve">. </w:t>
      </w:r>
    </w:p>
    <w:p w14:paraId="0E92AB13" w14:textId="079FBACD" w:rsidR="00413E08" w:rsidRDefault="00413E08" w:rsidP="00413E08">
      <w:pPr>
        <w:pStyle w:val="TextOpensans"/>
      </w:pPr>
      <w:r w:rsidRPr="00643C26">
        <w:t xml:space="preserve">In response to feedback from stakeholders, </w:t>
      </w:r>
      <w:r w:rsidR="00643C26" w:rsidRPr="00643C26">
        <w:t>the Government</w:t>
      </w:r>
      <w:r w:rsidRPr="00643C26">
        <w:t xml:space="preserve"> </w:t>
      </w:r>
      <w:r w:rsidR="00C34A55">
        <w:t>was presented with the option to make</w:t>
      </w:r>
      <w:r w:rsidRPr="00643C26">
        <w:t xml:space="preserve"> the following changes to the legislation:</w:t>
      </w:r>
    </w:p>
    <w:p w14:paraId="2BB9AA68" w14:textId="7B3BC62F" w:rsidR="00413E08" w:rsidRDefault="00413E08" w:rsidP="00766C44">
      <w:pPr>
        <w:pStyle w:val="TextOpensans"/>
        <w:numPr>
          <w:ilvl w:val="0"/>
          <w:numId w:val="27"/>
        </w:numPr>
      </w:pPr>
      <w:r>
        <w:t xml:space="preserve">Clarify the intended operation of the transfer pricing rules when apportioning income attributable to eligible patents. This change will increase flexibility </w:t>
      </w:r>
      <w:r w:rsidR="00960627">
        <w:t xml:space="preserve">as </w:t>
      </w:r>
      <w:r>
        <w:t>long as taxpayers mak</w:t>
      </w:r>
      <w:r w:rsidR="00960627">
        <w:t>e</w:t>
      </w:r>
      <w:r>
        <w:t xml:space="preserve"> apportionments on a ‘reasonable’ basis. </w:t>
      </w:r>
    </w:p>
    <w:p w14:paraId="7EA40975" w14:textId="77777777" w:rsidR="002C6CB4" w:rsidRDefault="00413E08" w:rsidP="00397966">
      <w:pPr>
        <w:pStyle w:val="TextOpensans"/>
        <w:numPr>
          <w:ilvl w:val="0"/>
          <w:numId w:val="27"/>
        </w:numPr>
      </w:pPr>
      <w:r>
        <w:t>Adjust the wording around the link between patents and the Therapeutic Goods Register (TGR) to ensure all relevant inventions are captured. The exposure draft wording was unnecessarily narrow and unclear where a good on the TGR is covered by multiple patents.</w:t>
      </w:r>
      <w:r w:rsidR="008B2307">
        <w:t xml:space="preserve"> </w:t>
      </w:r>
    </w:p>
    <w:p w14:paraId="4A468615" w14:textId="0CE66B03" w:rsidR="00413E08" w:rsidRDefault="00413E08" w:rsidP="00397966">
      <w:pPr>
        <w:pStyle w:val="TextOpensans"/>
        <w:numPr>
          <w:ilvl w:val="0"/>
          <w:numId w:val="27"/>
        </w:numPr>
      </w:pPr>
      <w:r>
        <w:t>Expressly provide for milestone payments to make it clear that such payments are able to benefit under the patent box.</w:t>
      </w:r>
    </w:p>
    <w:p w14:paraId="6D669995" w14:textId="7B4F6D5C" w:rsidR="00BD7F73" w:rsidRDefault="00BD7F73" w:rsidP="00BD7F73">
      <w:pPr>
        <w:pStyle w:val="H3Opensans"/>
      </w:pPr>
      <w:bookmarkStart w:id="214" w:name="_Toc91078490"/>
      <w:r w:rsidRPr="00BD7F73">
        <w:t>Feedback from the OECD Forum on Harmful Tax Practices (FHTP) Secretariat</w:t>
      </w:r>
      <w:bookmarkEnd w:id="214"/>
      <w:r w:rsidRPr="00BD7F73">
        <w:t xml:space="preserve"> </w:t>
      </w:r>
    </w:p>
    <w:p w14:paraId="2D21F874" w14:textId="0BA3227D" w:rsidR="00536B85" w:rsidRDefault="00EB151E" w:rsidP="00141A29">
      <w:pPr>
        <w:pStyle w:val="TextOpensans"/>
      </w:pPr>
      <w:r w:rsidRPr="00284CFE">
        <w:t xml:space="preserve">The OECD FHTP </w:t>
      </w:r>
      <w:r w:rsidR="00141A29" w:rsidRPr="00284CFE">
        <w:t xml:space="preserve">periodically </w:t>
      </w:r>
      <w:r w:rsidRPr="00284CFE">
        <w:t>conduct</w:t>
      </w:r>
      <w:r w:rsidR="00141A29" w:rsidRPr="00284CFE">
        <w:t>s</w:t>
      </w:r>
      <w:r w:rsidRPr="00284CFE">
        <w:t xml:space="preserve"> reviews of preferential regimes, such as patent box</w:t>
      </w:r>
      <w:r w:rsidR="00A273BF">
        <w:t>es</w:t>
      </w:r>
      <w:r w:rsidRPr="00284CFE">
        <w:t xml:space="preserve">, </w:t>
      </w:r>
      <w:r w:rsidR="00141A29" w:rsidRPr="00284CFE">
        <w:t>to</w:t>
      </w:r>
      <w:r w:rsidRPr="00284CFE">
        <w:t xml:space="preserve"> determine if the regimes could be harmful to the tax base of other jurisdictions. </w:t>
      </w:r>
      <w:r w:rsidRPr="00284CFE">
        <w:lastRenderedPageBreak/>
        <w:t>As a member of the OECD, it is important Australia complies with the OECD guidel</w:t>
      </w:r>
      <w:r w:rsidR="00141A29" w:rsidRPr="00284CFE">
        <w:t xml:space="preserve">ines as it is subject to these reviews. </w:t>
      </w:r>
    </w:p>
    <w:p w14:paraId="1E8CE552" w14:textId="4F079CEE" w:rsidR="00284CFE" w:rsidRDefault="00536B85" w:rsidP="00141A29">
      <w:pPr>
        <w:pStyle w:val="TextOpensans"/>
      </w:pPr>
      <w:r>
        <w:t>Ensuring c</w:t>
      </w:r>
      <w:r w:rsidR="00141A29" w:rsidRPr="00284CFE">
        <w:t xml:space="preserve">ompliance with OECD guidelines was a </w:t>
      </w:r>
      <w:r>
        <w:t>key factor in</w:t>
      </w:r>
      <w:r w:rsidR="00141A29" w:rsidRPr="00284CFE">
        <w:t xml:space="preserve"> the policy design of Australia’s patent box</w:t>
      </w:r>
      <w:r w:rsidR="00284CFE" w:rsidRPr="00284CFE">
        <w:t xml:space="preserve">. Treasury consulted with the FHTP Secretariat to ensure the patent box was compliant and </w:t>
      </w:r>
      <w:r>
        <w:t xml:space="preserve">to </w:t>
      </w:r>
      <w:r w:rsidR="00284CFE" w:rsidRPr="00284CFE">
        <w:t>address any issues identified.</w:t>
      </w:r>
      <w:r w:rsidRPr="00536B85">
        <w:t xml:space="preserve"> </w:t>
      </w:r>
      <w:r w:rsidRPr="00284CFE">
        <w:t xml:space="preserve">The FHTP member jurisdictions will decide </w:t>
      </w:r>
      <w:r>
        <w:t>on a finding of compliance or non-compliance for the regime</w:t>
      </w:r>
      <w:r w:rsidRPr="00284CFE">
        <w:t xml:space="preserve"> by consensus, after considering the </w:t>
      </w:r>
      <w:r>
        <w:t xml:space="preserve">FHTP </w:t>
      </w:r>
      <w:r w:rsidRPr="00284CFE">
        <w:t>Secretariat’s analysis of the legislation.</w:t>
      </w:r>
    </w:p>
    <w:p w14:paraId="27397E06" w14:textId="099B3506" w:rsidR="00BF3F99" w:rsidRPr="003B647F" w:rsidRDefault="00C41648" w:rsidP="00C41648">
      <w:pPr>
        <w:pStyle w:val="H3Opensans"/>
      </w:pPr>
      <w:bookmarkStart w:id="215" w:name="_Toc91078491"/>
      <w:r>
        <w:t xml:space="preserve">Advice from </w:t>
      </w:r>
      <w:r w:rsidR="00AE089E">
        <w:t>firms which provide tax advice to industry</w:t>
      </w:r>
      <w:bookmarkEnd w:id="215"/>
    </w:p>
    <w:p w14:paraId="690962FA" w14:textId="0C6ECDAF" w:rsidR="00AE089E" w:rsidRDefault="00AF671D" w:rsidP="008645ED">
      <w:pPr>
        <w:pStyle w:val="TextOpensans"/>
      </w:pPr>
      <w:r w:rsidRPr="00AF671D">
        <w:t xml:space="preserve">Treasury </w:t>
      </w:r>
      <w:r w:rsidR="00AE089E">
        <w:t xml:space="preserve">consulted with </w:t>
      </w:r>
      <w:r w:rsidR="00AD6761">
        <w:t>three</w:t>
      </w:r>
      <w:r w:rsidR="00256F5A">
        <w:t xml:space="preserve"> </w:t>
      </w:r>
      <w:r w:rsidR="00AE089E">
        <w:t xml:space="preserve">major accounting firms </w:t>
      </w:r>
      <w:r w:rsidR="00256F5A">
        <w:t>who</w:t>
      </w:r>
      <w:r w:rsidR="00AE089E">
        <w:t xml:space="preserve"> provide tax advice to companies in the medical and biotechnology </w:t>
      </w:r>
      <w:proofErr w:type="gramStart"/>
      <w:r w:rsidR="00AE089E">
        <w:t>industry, and</w:t>
      </w:r>
      <w:proofErr w:type="gramEnd"/>
      <w:r w:rsidR="00AE089E">
        <w:t xml:space="preserve"> are therefore familiar with the technical and operational implications of tax policy, as well as </w:t>
      </w:r>
      <w:r w:rsidR="00182281">
        <w:t>familiar</w:t>
      </w:r>
      <w:r w:rsidR="00AE089E">
        <w:t xml:space="preserve"> with the industry due to experience working with a range of companies in the medical and biotechnology sectors. </w:t>
      </w:r>
      <w:r w:rsidR="00297EF2" w:rsidRPr="009976BF">
        <w:t>A fourth firm was contacted but was unavailable to engage.</w:t>
      </w:r>
    </w:p>
    <w:p w14:paraId="0314913E" w14:textId="77777777" w:rsidR="00AE089E" w:rsidRDefault="00AE089E" w:rsidP="008645ED">
      <w:pPr>
        <w:pStyle w:val="TextOpensans"/>
      </w:pPr>
      <w:r>
        <w:t>The key messages received were:</w:t>
      </w:r>
    </w:p>
    <w:p w14:paraId="51D5CD92" w14:textId="666E3C77" w:rsidR="00A542B5" w:rsidRDefault="00AE089E" w:rsidP="00766C44">
      <w:pPr>
        <w:pStyle w:val="TextOpensans"/>
        <w:numPr>
          <w:ilvl w:val="0"/>
          <w:numId w:val="26"/>
        </w:numPr>
      </w:pPr>
      <w:r>
        <w:t>One firm expressed support for the 30</w:t>
      </w:r>
      <w:r w:rsidR="00125E6B">
        <w:t xml:space="preserve"> per cent</w:t>
      </w:r>
      <w:r>
        <w:t xml:space="preserve"> uplift on qualifying expenditure and noted it </w:t>
      </w:r>
      <w:r w:rsidR="00A17C22">
        <w:t xml:space="preserve">conformed </w:t>
      </w:r>
      <w:r>
        <w:t xml:space="preserve">to the OECD guidelines. It was also noted that a large component of R&amp;D expenditure is undertaken offshore due to clinical necessities, and it was suggested that the government reconsider applying a higher uplift factor to Australian-based R&amp;D, in contrast to the uplift provided to foreign R&amp;D. </w:t>
      </w:r>
    </w:p>
    <w:p w14:paraId="2CEBBA2B" w14:textId="2B758D03" w:rsidR="00BE3316" w:rsidRDefault="00AE089E" w:rsidP="00766C44">
      <w:pPr>
        <w:pStyle w:val="TextOpensans"/>
        <w:numPr>
          <w:ilvl w:val="0"/>
          <w:numId w:val="26"/>
        </w:numPr>
      </w:pPr>
      <w:r>
        <w:t xml:space="preserve">A lack of clarity in a certain provision of the legislation relating to the </w:t>
      </w:r>
      <w:r w:rsidR="00B57BAB">
        <w:t xml:space="preserve">identification of </w:t>
      </w:r>
      <w:r>
        <w:t xml:space="preserve">patent box income stream was raised by </w:t>
      </w:r>
      <w:r w:rsidR="0041339A">
        <w:t>another</w:t>
      </w:r>
      <w:r>
        <w:t xml:space="preserve"> firm</w:t>
      </w:r>
      <w:r w:rsidR="00AD6761">
        <w:t>.</w:t>
      </w:r>
      <w:r w:rsidR="00B57BAB">
        <w:t xml:space="preserve"> </w:t>
      </w:r>
      <w:proofErr w:type="gramStart"/>
      <w:r w:rsidR="00AD6761">
        <w:t>C</w:t>
      </w:r>
      <w:r w:rsidR="00B57BAB">
        <w:t>onsequently</w:t>
      </w:r>
      <w:proofErr w:type="gramEnd"/>
      <w:r w:rsidR="00B57BAB">
        <w:t xml:space="preserve"> Treasury clarified the intent in the Explanatory Memorandum for the legislation. </w:t>
      </w:r>
    </w:p>
    <w:p w14:paraId="5B725A41" w14:textId="5A0C8233" w:rsidR="00AE089E" w:rsidRDefault="00BE3316" w:rsidP="00766C44">
      <w:pPr>
        <w:pStyle w:val="TextOpensans"/>
        <w:numPr>
          <w:ilvl w:val="0"/>
          <w:numId w:val="26"/>
        </w:numPr>
      </w:pPr>
      <w:r w:rsidRPr="00BE3316">
        <w:t xml:space="preserve">One of the firms consulted noted that there is potential that the compliance costs involved would be significant for a company that elected </w:t>
      </w:r>
      <w:proofErr w:type="gramStart"/>
      <w:r w:rsidRPr="00BE3316">
        <w:t>into</w:t>
      </w:r>
      <w:proofErr w:type="gramEnd"/>
      <w:r w:rsidRPr="00BE3316">
        <w:t xml:space="preserve"> the patent box in light of the requirement that transfer pricing principles be used. It was suggested that the legislation include an option for companies to use a safe-harbour method or formulaic approach.  </w:t>
      </w:r>
    </w:p>
    <w:p w14:paraId="60D5356B" w14:textId="237DA754" w:rsidR="002E2A19" w:rsidRPr="00E00A53" w:rsidRDefault="002E2A19" w:rsidP="009578E0">
      <w:pPr>
        <w:pStyle w:val="Bullet"/>
        <w:numPr>
          <w:ilvl w:val="0"/>
          <w:numId w:val="0"/>
        </w:numPr>
        <w:rPr>
          <w:rFonts w:eastAsiaTheme="majorEastAsia"/>
          <w:b/>
          <w:smallCaps/>
          <w:color w:val="00818F" w:themeColor="accent5"/>
          <w:sz w:val="48"/>
          <w:szCs w:val="36"/>
        </w:rPr>
      </w:pPr>
    </w:p>
    <w:p w14:paraId="077D71ED" w14:textId="6723390F" w:rsidR="002E2A19" w:rsidRDefault="002E2A19" w:rsidP="002E2A19">
      <w:pPr>
        <w:pStyle w:val="H1Opensans"/>
      </w:pPr>
      <w:bookmarkStart w:id="216" w:name="_Toc81382310"/>
      <w:bookmarkStart w:id="217" w:name="_Toc81413161"/>
      <w:bookmarkStart w:id="218" w:name="_Toc81932669"/>
      <w:bookmarkStart w:id="219" w:name="_Toc82428827"/>
      <w:bookmarkStart w:id="220" w:name="_Toc91078493"/>
      <w:bookmarkStart w:id="221" w:name="_Toc93487791"/>
      <w:r>
        <w:t>Implementation</w:t>
      </w:r>
      <w:bookmarkEnd w:id="216"/>
      <w:bookmarkEnd w:id="217"/>
      <w:bookmarkEnd w:id="218"/>
      <w:bookmarkEnd w:id="219"/>
      <w:bookmarkEnd w:id="220"/>
      <w:r>
        <w:t xml:space="preserve"> </w:t>
      </w:r>
      <w:r w:rsidR="00F63364">
        <w:t>and evaluation</w:t>
      </w:r>
      <w:bookmarkEnd w:id="221"/>
      <w:r w:rsidR="00F63364">
        <w:t xml:space="preserve"> </w:t>
      </w:r>
    </w:p>
    <w:p w14:paraId="469CE428" w14:textId="629A5E4D" w:rsidR="008A6C69" w:rsidRDefault="00F96A25" w:rsidP="00D919D3">
      <w:pPr>
        <w:pStyle w:val="TextOpensans"/>
      </w:pPr>
      <w:r>
        <w:t>The preferred option</w:t>
      </w:r>
      <w:r w:rsidR="00D919D3">
        <w:t xml:space="preserve"> (option </w:t>
      </w:r>
      <w:r w:rsidR="00E00520">
        <w:t>3</w:t>
      </w:r>
      <w:r w:rsidR="00D919D3">
        <w:t xml:space="preserve">) will require legislative changes to Australia’s tax laws. </w:t>
      </w:r>
    </w:p>
    <w:p w14:paraId="48567C15" w14:textId="21238F26" w:rsidR="008A6C69" w:rsidRDefault="008A6C69" w:rsidP="008A6C69">
      <w:pPr>
        <w:pStyle w:val="TextOpensans"/>
      </w:pPr>
      <w:r>
        <w:t>In relation to implementation, the ATO would be responsible</w:t>
      </w:r>
      <w:r w:rsidRPr="008A6C69">
        <w:t xml:space="preserve"> </w:t>
      </w:r>
      <w:r>
        <w:t>for administering the regime</w:t>
      </w:r>
      <w:r w:rsidR="00E22900">
        <w:t xml:space="preserve"> in terms of reviewing and auditing tax self-assessments of taxpayers</w:t>
      </w:r>
      <w:r>
        <w:t xml:space="preserve">. </w:t>
      </w:r>
      <w:proofErr w:type="spellStart"/>
      <w:r>
        <w:t>AusI</w:t>
      </w:r>
      <w:r w:rsidR="00A17C22">
        <w:t>n</w:t>
      </w:r>
      <w:r>
        <w:t>dustry</w:t>
      </w:r>
      <w:proofErr w:type="spellEnd"/>
      <w:r>
        <w:t xml:space="preserve"> </w:t>
      </w:r>
      <w:r w:rsidR="00E22900">
        <w:t xml:space="preserve">will </w:t>
      </w:r>
      <w:r>
        <w:t xml:space="preserve">maintain its role </w:t>
      </w:r>
      <w:r w:rsidR="00E22900">
        <w:t>in</w:t>
      </w:r>
      <w:r>
        <w:t xml:space="preserve"> </w:t>
      </w:r>
      <w:r w:rsidR="00E22900">
        <w:t xml:space="preserve">determining whether an R&amp;D activity is an eligible R&amp;DTI activity for all entities involved in </w:t>
      </w:r>
      <w:r>
        <w:t xml:space="preserve">the R&amp;DTI regime </w:t>
      </w:r>
      <w:r w:rsidR="00E22900">
        <w:t xml:space="preserve">whether or not they are accessing the patent box. </w:t>
      </w:r>
    </w:p>
    <w:p w14:paraId="0227C4B2" w14:textId="09F5C5D3" w:rsidR="009610ED" w:rsidRDefault="008A6C69" w:rsidP="008A6C69">
      <w:pPr>
        <w:pStyle w:val="TextOpensans"/>
      </w:pPr>
      <w:r>
        <w:lastRenderedPageBreak/>
        <w:t xml:space="preserve">The implementation of the policy will require </w:t>
      </w:r>
      <w:r w:rsidR="009610ED">
        <w:t>record keeping updates for industry</w:t>
      </w:r>
      <w:r>
        <w:t xml:space="preserve"> and </w:t>
      </w:r>
      <w:r w:rsidR="009610ED">
        <w:t>broadly require learning for each entity’s Head of Tax</w:t>
      </w:r>
      <w:r>
        <w:t xml:space="preserve">. </w:t>
      </w:r>
      <w:r w:rsidR="009610ED">
        <w:t xml:space="preserve">Companies below the Small to Medium size threshold of $50 million will likely require advice from tax advisers.  </w:t>
      </w:r>
    </w:p>
    <w:p w14:paraId="5ABFEB0E" w14:textId="1B439BF7" w:rsidR="00D919D3" w:rsidRDefault="008A6C69" w:rsidP="008A6C69">
      <w:pPr>
        <w:pStyle w:val="TextOpensans"/>
      </w:pPr>
      <w:r>
        <w:t xml:space="preserve">The ATO will monitor the functionality of the patent box regime. Treasury will </w:t>
      </w:r>
      <w:r w:rsidR="000C0C20">
        <w:t xml:space="preserve">receive </w:t>
      </w:r>
      <w:r>
        <w:t xml:space="preserve">feedback from stakeholders </w:t>
      </w:r>
      <w:r w:rsidR="000C0C20">
        <w:t>on the operation of the regime</w:t>
      </w:r>
      <w:r>
        <w:t>. Treasury will also continue to work with the ATO to identify any integrity risks that may arise from the preferred option, and to the extent such risks are identified</w:t>
      </w:r>
      <w:r w:rsidR="00016E27">
        <w:t>,</w:t>
      </w:r>
      <w:r>
        <w:t xml:space="preserve"> we would seek to progress consequential amendments to ensure the</w:t>
      </w:r>
      <w:r w:rsidR="00016E27">
        <w:t xml:space="preserve">y are consistent with </w:t>
      </w:r>
      <w:r>
        <w:t>the policy intent</w:t>
      </w:r>
      <w:r w:rsidR="00C810D2">
        <w:t>.</w:t>
      </w:r>
    </w:p>
    <w:p w14:paraId="2DC6866B" w14:textId="574D08D5" w:rsidR="00EB7632" w:rsidRDefault="00EB7632" w:rsidP="008A6C69">
      <w:pPr>
        <w:pStyle w:val="TextOpensans"/>
      </w:pPr>
      <w:r>
        <w:t xml:space="preserve">In relation to Government implementation, all eligible entities will be </w:t>
      </w:r>
      <w:r w:rsidR="00D7287A">
        <w:t>able</w:t>
      </w:r>
      <w:r>
        <w:t xml:space="preserve"> to elect </w:t>
      </w:r>
      <w:proofErr w:type="gramStart"/>
      <w:r>
        <w:t>into</w:t>
      </w:r>
      <w:proofErr w:type="gramEnd"/>
      <w:r>
        <w:t xml:space="preserve"> the patent box, and </w:t>
      </w:r>
      <w:r w:rsidR="003D02B0">
        <w:t>ATO Taxation Statistics data will be provided to Treasury so that the take</w:t>
      </w:r>
      <w:r w:rsidR="00016E27">
        <w:t>-</w:t>
      </w:r>
      <w:r w:rsidR="003D02B0">
        <w:t xml:space="preserve">up of the regime </w:t>
      </w:r>
      <w:r w:rsidR="00016E27">
        <w:t>over time</w:t>
      </w:r>
      <w:r w:rsidR="003D02B0">
        <w:t xml:space="preserve"> can be understood. </w:t>
      </w:r>
    </w:p>
    <w:p w14:paraId="4356D6C6" w14:textId="4158C798" w:rsidR="00F157C8" w:rsidRDefault="00F157C8" w:rsidP="008A6C69">
      <w:pPr>
        <w:pStyle w:val="TextOpensans"/>
      </w:pPr>
      <w:r>
        <w:t>A proposed implementation timeline i</w:t>
      </w:r>
      <w:r w:rsidR="00016E27">
        <w:t>s</w:t>
      </w:r>
      <w:r>
        <w:t xml:space="preserve"> provided in Table </w:t>
      </w:r>
      <w:r w:rsidR="00DB5791">
        <w:t>4</w:t>
      </w:r>
      <w:r>
        <w:t xml:space="preserve">. </w:t>
      </w:r>
    </w:p>
    <w:p w14:paraId="29169270" w14:textId="7FCB2760" w:rsidR="00A422BA" w:rsidRPr="009E543E" w:rsidRDefault="007678C9" w:rsidP="007678C9">
      <w:pPr>
        <w:spacing w:after="0"/>
        <w:rPr>
          <w:rFonts w:ascii="Open Sans" w:hAnsi="Open Sans" w:cs="Open Sans"/>
          <w:b/>
          <w:bCs/>
        </w:rPr>
      </w:pPr>
      <w:bookmarkStart w:id="222" w:name="_Toc81413122"/>
      <w:bookmarkStart w:id="223" w:name="_Toc82428828"/>
      <w:bookmarkStart w:id="224" w:name="_Toc91078494"/>
      <w:r w:rsidRPr="009E543E">
        <w:rPr>
          <w:rFonts w:ascii="Open Sans" w:hAnsi="Open Sans" w:cs="Open Sans"/>
          <w:b/>
          <w:bCs/>
        </w:rPr>
        <w:t xml:space="preserve">Table </w:t>
      </w:r>
      <w:r w:rsidR="00DB5791" w:rsidRPr="009E543E">
        <w:rPr>
          <w:rFonts w:ascii="Open Sans" w:hAnsi="Open Sans" w:cs="Open Sans"/>
          <w:b/>
          <w:bCs/>
        </w:rPr>
        <w:t>4</w:t>
      </w:r>
      <w:r w:rsidRPr="009E543E">
        <w:rPr>
          <w:rFonts w:ascii="Open Sans" w:hAnsi="Open Sans" w:cs="Open Sans"/>
          <w:b/>
          <w:bCs/>
        </w:rPr>
        <w:t xml:space="preserve">: </w:t>
      </w:r>
      <w:r w:rsidR="00A422BA" w:rsidRPr="009E543E">
        <w:rPr>
          <w:rFonts w:ascii="Open Sans" w:hAnsi="Open Sans" w:cs="Open Sans"/>
          <w:b/>
          <w:bCs/>
        </w:rPr>
        <w:t xml:space="preserve">Proposed Implementation </w:t>
      </w:r>
      <w:r w:rsidR="00F157C8" w:rsidRPr="009E543E">
        <w:rPr>
          <w:rFonts w:ascii="Open Sans" w:hAnsi="Open Sans" w:cs="Open Sans"/>
          <w:b/>
          <w:bCs/>
        </w:rPr>
        <w:t>t</w:t>
      </w:r>
      <w:r w:rsidR="00A422BA" w:rsidRPr="009E543E">
        <w:rPr>
          <w:rFonts w:ascii="Open Sans" w:hAnsi="Open Sans" w:cs="Open Sans"/>
          <w:b/>
          <w:bCs/>
        </w:rPr>
        <w:t>imeline</w:t>
      </w:r>
      <w:bookmarkEnd w:id="222"/>
      <w:bookmarkEnd w:id="223"/>
      <w:bookmarkEnd w:id="224"/>
      <w:r w:rsidR="00A422BA" w:rsidRPr="009E543E">
        <w:rPr>
          <w:rFonts w:ascii="Open Sans" w:hAnsi="Open Sans" w:cs="Open Sans"/>
          <w:b/>
          <w:bCs/>
        </w:rPr>
        <w:t xml:space="preserve"> </w:t>
      </w:r>
    </w:p>
    <w:tbl>
      <w:tblPr>
        <w:tblStyle w:val="TableGrid"/>
        <w:tblW w:w="0" w:type="auto"/>
        <w:tblLook w:val="04A0" w:firstRow="1" w:lastRow="0" w:firstColumn="1" w:lastColumn="0" w:noHBand="0" w:noVBand="1"/>
      </w:tblPr>
      <w:tblGrid>
        <w:gridCol w:w="2972"/>
        <w:gridCol w:w="6316"/>
      </w:tblGrid>
      <w:tr w:rsidR="00A422BA" w14:paraId="2AE63E3C" w14:textId="77777777" w:rsidTr="000160F4">
        <w:tc>
          <w:tcPr>
            <w:tcW w:w="2972" w:type="dxa"/>
          </w:tcPr>
          <w:p w14:paraId="61FC9659" w14:textId="77777777" w:rsidR="00A422BA" w:rsidRDefault="00A422BA" w:rsidP="005A7A5E">
            <w:pPr>
              <w:pStyle w:val="TextOpensans"/>
            </w:pPr>
            <w:r w:rsidRPr="00475D09">
              <w:rPr>
                <w:b/>
                <w:bCs/>
              </w:rPr>
              <w:t>Approximate date</w:t>
            </w:r>
          </w:p>
        </w:tc>
        <w:tc>
          <w:tcPr>
            <w:tcW w:w="6316" w:type="dxa"/>
          </w:tcPr>
          <w:p w14:paraId="3220AEFF" w14:textId="77777777" w:rsidR="00A422BA" w:rsidRDefault="00A422BA" w:rsidP="005A7A5E">
            <w:pPr>
              <w:pStyle w:val="TextOpensans"/>
            </w:pPr>
            <w:r>
              <w:rPr>
                <w:b/>
                <w:bCs/>
              </w:rPr>
              <w:t>Work Item</w:t>
            </w:r>
          </w:p>
        </w:tc>
      </w:tr>
      <w:tr w:rsidR="00A422BA" w14:paraId="777F75AD" w14:textId="77777777" w:rsidTr="000160F4">
        <w:tc>
          <w:tcPr>
            <w:tcW w:w="2972" w:type="dxa"/>
          </w:tcPr>
          <w:p w14:paraId="5DEE5637" w14:textId="45D2F53A" w:rsidR="00A422BA" w:rsidRDefault="001F67C4" w:rsidP="005A7A5E">
            <w:pPr>
              <w:pStyle w:val="TextOpensans"/>
            </w:pPr>
            <w:r>
              <w:t>11 May 2021 (</w:t>
            </w:r>
            <w:r w:rsidR="004951D3">
              <w:t>Budget night)</w:t>
            </w:r>
          </w:p>
        </w:tc>
        <w:tc>
          <w:tcPr>
            <w:tcW w:w="6316" w:type="dxa"/>
          </w:tcPr>
          <w:p w14:paraId="1B6E74B1" w14:textId="05ED6A5F" w:rsidR="00A422BA" w:rsidRPr="00EE4BC8" w:rsidRDefault="001F67C4" w:rsidP="005A7A5E">
            <w:pPr>
              <w:pStyle w:val="TextOpensans"/>
            </w:pPr>
            <w:r>
              <w:t>High level Budget announcement of the patent box and flagging consultation</w:t>
            </w:r>
          </w:p>
        </w:tc>
      </w:tr>
      <w:tr w:rsidR="00A422BA" w14:paraId="680D591D" w14:textId="77777777" w:rsidTr="000160F4">
        <w:tc>
          <w:tcPr>
            <w:tcW w:w="2972" w:type="dxa"/>
          </w:tcPr>
          <w:p w14:paraId="6FD263B5" w14:textId="249DBB46" w:rsidR="00A422BA" w:rsidRDefault="0028510A" w:rsidP="005A7A5E">
            <w:pPr>
              <w:pStyle w:val="TextOpensans"/>
            </w:pPr>
            <w:r>
              <w:t>June 2021</w:t>
            </w:r>
          </w:p>
        </w:tc>
        <w:tc>
          <w:tcPr>
            <w:tcW w:w="6316" w:type="dxa"/>
          </w:tcPr>
          <w:p w14:paraId="75480C50" w14:textId="05EDE17F" w:rsidR="00A422BA" w:rsidRDefault="001F67C4" w:rsidP="005A7A5E">
            <w:pPr>
              <w:pStyle w:val="TextOpensans"/>
            </w:pPr>
            <w:r>
              <w:t>Pre-</w:t>
            </w:r>
            <w:r w:rsidR="004951D3">
              <w:t>consultation</w:t>
            </w:r>
            <w:r>
              <w:t xml:space="preserve"> with </w:t>
            </w:r>
            <w:r w:rsidR="00016E27">
              <w:t xml:space="preserve">twelve </w:t>
            </w:r>
            <w:r w:rsidR="004951D3">
              <w:t>stakeholders</w:t>
            </w:r>
            <w:r>
              <w:t xml:space="preserve"> to inform the upcoming </w:t>
            </w:r>
            <w:r w:rsidR="004951D3">
              <w:t>consultation’s</w:t>
            </w:r>
            <w:r>
              <w:t xml:space="preserve"> discussion paper</w:t>
            </w:r>
          </w:p>
        </w:tc>
      </w:tr>
      <w:tr w:rsidR="00A422BA" w14:paraId="76E6E369" w14:textId="77777777" w:rsidTr="000160F4">
        <w:tc>
          <w:tcPr>
            <w:tcW w:w="2972" w:type="dxa"/>
          </w:tcPr>
          <w:p w14:paraId="632097B5" w14:textId="18017806" w:rsidR="00A422BA" w:rsidRDefault="0028510A" w:rsidP="005A7A5E">
            <w:pPr>
              <w:pStyle w:val="TextOpensans"/>
            </w:pPr>
            <w:r>
              <w:t>5 July 2021 – 16 August 2021</w:t>
            </w:r>
          </w:p>
        </w:tc>
        <w:tc>
          <w:tcPr>
            <w:tcW w:w="6316" w:type="dxa"/>
          </w:tcPr>
          <w:p w14:paraId="7468E35A" w14:textId="440AB10C" w:rsidR="00A422BA" w:rsidRPr="003B10F9" w:rsidRDefault="0028510A" w:rsidP="005A7A5E">
            <w:pPr>
              <w:pStyle w:val="TextOpensans"/>
            </w:pPr>
            <w:r w:rsidRPr="003B10F9">
              <w:t>Six weeks formal consultation period</w:t>
            </w:r>
          </w:p>
        </w:tc>
      </w:tr>
      <w:tr w:rsidR="00A422BA" w14:paraId="7E820C3E" w14:textId="77777777" w:rsidTr="000160F4">
        <w:tc>
          <w:tcPr>
            <w:tcW w:w="2972" w:type="dxa"/>
          </w:tcPr>
          <w:p w14:paraId="12AF2CC2" w14:textId="47B8742A" w:rsidR="00A422BA" w:rsidRPr="00495B81" w:rsidRDefault="00C932E2" w:rsidP="005A7A5E">
            <w:pPr>
              <w:pStyle w:val="TextOpensans"/>
            </w:pPr>
            <w:r>
              <w:t>August</w:t>
            </w:r>
            <w:r w:rsidR="0028510A">
              <w:t xml:space="preserve"> </w:t>
            </w:r>
            <w:r w:rsidR="00B3498F">
              <w:t>–</w:t>
            </w:r>
            <w:r w:rsidR="0028510A">
              <w:t xml:space="preserve"> </w:t>
            </w:r>
            <w:r w:rsidR="00B3498F">
              <w:t xml:space="preserve">October </w:t>
            </w:r>
            <w:r>
              <w:t>2021</w:t>
            </w:r>
          </w:p>
        </w:tc>
        <w:tc>
          <w:tcPr>
            <w:tcW w:w="6316" w:type="dxa"/>
          </w:tcPr>
          <w:p w14:paraId="6554BA75" w14:textId="1809A217" w:rsidR="00A422BA" w:rsidRPr="00765E71" w:rsidRDefault="00B3498F" w:rsidP="005A7A5E">
            <w:pPr>
              <w:pStyle w:val="TextOpensans"/>
            </w:pPr>
            <w:r>
              <w:t>Policy development</w:t>
            </w:r>
          </w:p>
        </w:tc>
      </w:tr>
      <w:tr w:rsidR="00A422BA" w14:paraId="763E91DE" w14:textId="77777777" w:rsidTr="000160F4">
        <w:tc>
          <w:tcPr>
            <w:tcW w:w="2972" w:type="dxa"/>
          </w:tcPr>
          <w:p w14:paraId="5E1C9C62" w14:textId="0F29E50A" w:rsidR="00A422BA" w:rsidRDefault="00B3498F" w:rsidP="005A7A5E">
            <w:pPr>
              <w:pStyle w:val="TextOpensans"/>
            </w:pPr>
            <w:r>
              <w:t>October – November 2021</w:t>
            </w:r>
          </w:p>
        </w:tc>
        <w:tc>
          <w:tcPr>
            <w:tcW w:w="6316" w:type="dxa"/>
          </w:tcPr>
          <w:p w14:paraId="0AA8512B" w14:textId="1F555C3C" w:rsidR="00A422BA" w:rsidRDefault="00B3498F" w:rsidP="005A7A5E">
            <w:pPr>
              <w:pStyle w:val="TextOpensans"/>
            </w:pPr>
            <w:r>
              <w:t>Legislative design development</w:t>
            </w:r>
          </w:p>
        </w:tc>
      </w:tr>
      <w:tr w:rsidR="00A422BA" w14:paraId="14428D5B" w14:textId="77777777" w:rsidTr="000160F4">
        <w:tc>
          <w:tcPr>
            <w:tcW w:w="2972" w:type="dxa"/>
          </w:tcPr>
          <w:p w14:paraId="596EFB24" w14:textId="33E33922" w:rsidR="00A422BA" w:rsidRDefault="00B3498F" w:rsidP="005A7A5E">
            <w:pPr>
              <w:pStyle w:val="TextOpensans"/>
            </w:pPr>
            <w:r>
              <w:t>November – December 2021</w:t>
            </w:r>
          </w:p>
        </w:tc>
        <w:tc>
          <w:tcPr>
            <w:tcW w:w="6316" w:type="dxa"/>
          </w:tcPr>
          <w:p w14:paraId="11A579E9" w14:textId="04F873CD" w:rsidR="00A422BA" w:rsidRDefault="00B3498F" w:rsidP="005A7A5E">
            <w:pPr>
              <w:pStyle w:val="TextOpensans"/>
            </w:pPr>
            <w:r>
              <w:t>Legislative drafting</w:t>
            </w:r>
          </w:p>
        </w:tc>
      </w:tr>
      <w:tr w:rsidR="00B667BF" w14:paraId="598D5F5B" w14:textId="77777777" w:rsidTr="000160F4">
        <w:tc>
          <w:tcPr>
            <w:tcW w:w="2972" w:type="dxa"/>
          </w:tcPr>
          <w:p w14:paraId="30D39F67" w14:textId="0D3AB178" w:rsidR="00B667BF" w:rsidRDefault="00B667BF" w:rsidP="005A7A5E">
            <w:pPr>
              <w:pStyle w:val="TextOpensans"/>
            </w:pPr>
            <w:r>
              <w:t>November – December 2021</w:t>
            </w:r>
          </w:p>
        </w:tc>
        <w:tc>
          <w:tcPr>
            <w:tcW w:w="6316" w:type="dxa"/>
          </w:tcPr>
          <w:p w14:paraId="41970451" w14:textId="1F7AE606" w:rsidR="00B667BF" w:rsidRPr="00B3498F" w:rsidRDefault="00B667BF" w:rsidP="005A7A5E">
            <w:pPr>
              <w:pStyle w:val="TextOpensans"/>
            </w:pPr>
            <w:r>
              <w:t>Consultation on legislative approaches</w:t>
            </w:r>
          </w:p>
        </w:tc>
      </w:tr>
      <w:tr w:rsidR="00A422BA" w14:paraId="77033397" w14:textId="77777777" w:rsidTr="000160F4">
        <w:tc>
          <w:tcPr>
            <w:tcW w:w="2972" w:type="dxa"/>
          </w:tcPr>
          <w:p w14:paraId="583587E4" w14:textId="7537A6E5" w:rsidR="00A422BA" w:rsidRDefault="005B77AB" w:rsidP="005A7A5E">
            <w:pPr>
              <w:pStyle w:val="TextOpensans"/>
            </w:pPr>
            <w:r>
              <w:t xml:space="preserve">10 </w:t>
            </w:r>
            <w:r w:rsidR="00B3498F">
              <w:t>January 2022</w:t>
            </w:r>
          </w:p>
        </w:tc>
        <w:tc>
          <w:tcPr>
            <w:tcW w:w="6316" w:type="dxa"/>
          </w:tcPr>
          <w:p w14:paraId="18AB19A3" w14:textId="6881238D" w:rsidR="00A422BA" w:rsidRPr="00B3498F" w:rsidRDefault="00B3498F" w:rsidP="005A7A5E">
            <w:pPr>
              <w:pStyle w:val="TextOpensans"/>
            </w:pPr>
            <w:r w:rsidRPr="00B3498F">
              <w:t>Q</w:t>
            </w:r>
            <w:r w:rsidR="00016E27">
              <w:t>&amp;</w:t>
            </w:r>
            <w:r w:rsidRPr="00B3498F">
              <w:t xml:space="preserve">A of the legislation and </w:t>
            </w:r>
            <w:r w:rsidR="00CD0A8A">
              <w:t xml:space="preserve">development of Parliamentary introduction </w:t>
            </w:r>
            <w:r w:rsidRPr="00B3498F">
              <w:t>documents</w:t>
            </w:r>
          </w:p>
        </w:tc>
      </w:tr>
      <w:tr w:rsidR="00A422BA" w14:paraId="5BBF8A1F" w14:textId="77777777" w:rsidTr="000160F4">
        <w:tc>
          <w:tcPr>
            <w:tcW w:w="2972" w:type="dxa"/>
          </w:tcPr>
          <w:p w14:paraId="50DF1C98" w14:textId="2B5EE185" w:rsidR="00A422BA" w:rsidRDefault="005B77AB" w:rsidP="005A7A5E">
            <w:pPr>
              <w:pStyle w:val="TextOpensans"/>
            </w:pPr>
            <w:r>
              <w:t xml:space="preserve">8 </w:t>
            </w:r>
            <w:r w:rsidR="00B3498F">
              <w:t>February 2022</w:t>
            </w:r>
          </w:p>
        </w:tc>
        <w:tc>
          <w:tcPr>
            <w:tcW w:w="6316" w:type="dxa"/>
          </w:tcPr>
          <w:p w14:paraId="1A58CD0F" w14:textId="30007067" w:rsidR="00A422BA" w:rsidRDefault="00B3498F" w:rsidP="005A7A5E">
            <w:pPr>
              <w:pStyle w:val="TextOpensans"/>
            </w:pPr>
            <w:r>
              <w:t>Legislative introduction</w:t>
            </w:r>
          </w:p>
        </w:tc>
      </w:tr>
      <w:tr w:rsidR="007A1C72" w14:paraId="3786C6F8" w14:textId="77777777" w:rsidTr="000160F4">
        <w:tc>
          <w:tcPr>
            <w:tcW w:w="2972" w:type="dxa"/>
          </w:tcPr>
          <w:p w14:paraId="641123B4" w14:textId="180FA843" w:rsidR="007A1C72" w:rsidRDefault="007A1C72" w:rsidP="005A7A5E">
            <w:pPr>
              <w:pStyle w:val="TextOpensans"/>
            </w:pPr>
            <w:r>
              <w:t>January – July 2022</w:t>
            </w:r>
          </w:p>
        </w:tc>
        <w:tc>
          <w:tcPr>
            <w:tcW w:w="6316" w:type="dxa"/>
          </w:tcPr>
          <w:p w14:paraId="00938CA2" w14:textId="64BA67E5" w:rsidR="007A1C72" w:rsidRDefault="007A1C72" w:rsidP="005A7A5E">
            <w:pPr>
              <w:pStyle w:val="TextOpensans"/>
            </w:pPr>
            <w:r>
              <w:t>Development of ATO guidance</w:t>
            </w:r>
            <w:r w:rsidR="002C7250">
              <w:t xml:space="preserve"> (ATO determine precise timing)</w:t>
            </w:r>
          </w:p>
        </w:tc>
      </w:tr>
      <w:tr w:rsidR="000D4AE3" w14:paraId="6B1C4167" w14:textId="77777777" w:rsidTr="000160F4">
        <w:tc>
          <w:tcPr>
            <w:tcW w:w="2972" w:type="dxa"/>
          </w:tcPr>
          <w:p w14:paraId="2ADAA034" w14:textId="23117A82" w:rsidR="000D4AE3" w:rsidRDefault="000D4AE3" w:rsidP="005A7A5E">
            <w:pPr>
              <w:pStyle w:val="TextOpensans"/>
            </w:pPr>
            <w:r>
              <w:t>1 July 2022</w:t>
            </w:r>
          </w:p>
        </w:tc>
        <w:tc>
          <w:tcPr>
            <w:tcW w:w="6316" w:type="dxa"/>
          </w:tcPr>
          <w:p w14:paraId="2040A590" w14:textId="3739272A" w:rsidR="000D4AE3" w:rsidRDefault="000D4AE3" w:rsidP="005A7A5E">
            <w:pPr>
              <w:pStyle w:val="TextOpensans"/>
            </w:pPr>
            <w:r>
              <w:t>Start of first financial year of regime’s operation</w:t>
            </w:r>
          </w:p>
        </w:tc>
      </w:tr>
    </w:tbl>
    <w:p w14:paraId="78BB0078" w14:textId="77777777" w:rsidR="00536F05" w:rsidRDefault="00536F05">
      <w:pPr>
        <w:rPr>
          <w:rFonts w:ascii="Open Sans" w:eastAsiaTheme="majorEastAsia" w:hAnsi="Open Sans" w:cs="Open Sans"/>
          <w:b/>
          <w:bCs/>
          <w:smallCaps/>
          <w:color w:val="00818F" w:themeColor="accent5"/>
          <w:sz w:val="48"/>
          <w:szCs w:val="36"/>
        </w:rPr>
      </w:pPr>
      <w:bookmarkStart w:id="225" w:name="_Toc81382316"/>
      <w:bookmarkStart w:id="226" w:name="_Toc81413167"/>
      <w:bookmarkStart w:id="227" w:name="_Toc81932670"/>
      <w:r>
        <w:br w:type="page"/>
      </w:r>
    </w:p>
    <w:p w14:paraId="36FEA35D" w14:textId="69F1B509" w:rsidR="00AA7F92" w:rsidRDefault="00AA7F92" w:rsidP="00AA7F92">
      <w:pPr>
        <w:pStyle w:val="H1Opensans"/>
      </w:pPr>
      <w:bookmarkStart w:id="228" w:name="_Toc82428831"/>
      <w:bookmarkStart w:id="229" w:name="_Toc91078496"/>
      <w:bookmarkStart w:id="230" w:name="_Toc93487792"/>
      <w:r>
        <w:lastRenderedPageBreak/>
        <w:t>References</w:t>
      </w:r>
      <w:bookmarkEnd w:id="225"/>
      <w:bookmarkEnd w:id="226"/>
      <w:bookmarkEnd w:id="227"/>
      <w:bookmarkEnd w:id="228"/>
      <w:bookmarkEnd w:id="229"/>
      <w:bookmarkEnd w:id="230"/>
    </w:p>
    <w:p w14:paraId="7D6ED4ED" w14:textId="4258BEB4" w:rsidR="001E1128" w:rsidRDefault="001E1128" w:rsidP="00273BBF"/>
    <w:bookmarkStart w:id="231" w:name="_Hlk81327184"/>
    <w:p w14:paraId="2C0F61CB" w14:textId="3EBC82A2" w:rsidR="00DC015E" w:rsidRDefault="00DC015E" w:rsidP="00E335E2">
      <w:pPr>
        <w:pStyle w:val="OutlineNumbered3"/>
        <w:numPr>
          <w:ilvl w:val="3"/>
          <w:numId w:val="9"/>
        </w:numPr>
        <w:rPr>
          <w:rStyle w:val="Hyperlink"/>
        </w:rPr>
      </w:pPr>
      <w:r>
        <w:fldChar w:fldCharType="begin"/>
      </w:r>
      <w:r>
        <w:instrText xml:space="preserve"> HYPERLINK "http://tweb/sites/intertax/itf/australian-government-guide-to-regulatory-impact-analysis.pdf?Web=1" </w:instrText>
      </w:r>
      <w:r>
        <w:fldChar w:fldCharType="separate"/>
      </w:r>
      <w:r w:rsidRPr="00E86154">
        <w:rPr>
          <w:rStyle w:val="Hyperlink"/>
        </w:rPr>
        <w:t xml:space="preserve">Australian Government </w:t>
      </w:r>
      <w:r w:rsidR="00742BD8">
        <w:rPr>
          <w:rStyle w:val="Hyperlink"/>
        </w:rPr>
        <w:t xml:space="preserve">(2020), </w:t>
      </w:r>
      <w:r w:rsidRPr="00E86154">
        <w:rPr>
          <w:rStyle w:val="Hyperlink"/>
        </w:rPr>
        <w:t>Guide to Regulatory Impact Analysis</w:t>
      </w:r>
      <w:r>
        <w:rPr>
          <w:rStyle w:val="Hyperlink"/>
        </w:rPr>
        <w:fldChar w:fldCharType="end"/>
      </w:r>
    </w:p>
    <w:p w14:paraId="5CEEFC44" w14:textId="00C909B6" w:rsidR="00263E8B" w:rsidRDefault="00004BC1" w:rsidP="00E335E2">
      <w:pPr>
        <w:pStyle w:val="OutlineNumbered3"/>
        <w:numPr>
          <w:ilvl w:val="3"/>
          <w:numId w:val="9"/>
        </w:numPr>
        <w:rPr>
          <w:color w:val="3A6FAF" w:themeColor="accent2"/>
          <w:u w:val="single"/>
        </w:rPr>
      </w:pPr>
      <w:hyperlink r:id="rId20" w:history="1">
        <w:r w:rsidR="000A4E69" w:rsidRPr="000A4E69">
          <w:rPr>
            <w:rStyle w:val="Hyperlink"/>
          </w:rPr>
          <w:t>OECD: Measuring Tax Support for R&amp;D and Innovation</w:t>
        </w:r>
      </w:hyperlink>
    </w:p>
    <w:p w14:paraId="0B510BAC" w14:textId="6478362D" w:rsidR="00263E8B" w:rsidRDefault="00004BC1" w:rsidP="00E335E2">
      <w:pPr>
        <w:pStyle w:val="OutlineNumbered3"/>
        <w:numPr>
          <w:ilvl w:val="3"/>
          <w:numId w:val="9"/>
        </w:numPr>
        <w:rPr>
          <w:color w:val="3A6FAF" w:themeColor="accent2"/>
          <w:u w:val="single"/>
        </w:rPr>
      </w:pPr>
      <w:hyperlink r:id="rId21" w:history="1">
        <w:r w:rsidR="000A4E69" w:rsidRPr="000A4E69">
          <w:rPr>
            <w:rStyle w:val="Hyperlink"/>
          </w:rPr>
          <w:t>HMRC: Patent Box Evaluation</w:t>
        </w:r>
      </w:hyperlink>
    </w:p>
    <w:p w14:paraId="63246E7E" w14:textId="2AF4D088" w:rsidR="00263E8B" w:rsidRDefault="00004BC1" w:rsidP="00E335E2">
      <w:pPr>
        <w:pStyle w:val="OutlineNumbered3"/>
        <w:numPr>
          <w:ilvl w:val="3"/>
          <w:numId w:val="9"/>
        </w:numPr>
        <w:rPr>
          <w:color w:val="3A6FAF" w:themeColor="accent2"/>
          <w:u w:val="single"/>
        </w:rPr>
      </w:pPr>
      <w:hyperlink r:id="rId22" w:history="1">
        <w:proofErr w:type="spellStart"/>
        <w:r w:rsidR="00632087" w:rsidRPr="00632087">
          <w:rPr>
            <w:rStyle w:val="Hyperlink"/>
          </w:rPr>
          <w:t>Gaessler</w:t>
        </w:r>
        <w:proofErr w:type="spellEnd"/>
        <w:r w:rsidR="00632087" w:rsidRPr="00632087">
          <w:rPr>
            <w:rStyle w:val="Hyperlink"/>
          </w:rPr>
          <w:t xml:space="preserve">, Hall &amp; </w:t>
        </w:r>
        <w:proofErr w:type="spellStart"/>
        <w:r w:rsidR="00632087" w:rsidRPr="00632087">
          <w:rPr>
            <w:rStyle w:val="Hyperlink"/>
          </w:rPr>
          <w:t>Harhoff</w:t>
        </w:r>
        <w:proofErr w:type="spellEnd"/>
        <w:r w:rsidR="00632087" w:rsidRPr="00632087">
          <w:rPr>
            <w:rStyle w:val="Hyperlink"/>
          </w:rPr>
          <w:t>: Should there be lower taxes on patent income?</w:t>
        </w:r>
      </w:hyperlink>
    </w:p>
    <w:p w14:paraId="74B2A8B9" w14:textId="4DF3E293" w:rsidR="00263E8B" w:rsidRDefault="00004BC1" w:rsidP="00E335E2">
      <w:pPr>
        <w:pStyle w:val="OutlineNumbered3"/>
        <w:numPr>
          <w:ilvl w:val="3"/>
          <w:numId w:val="9"/>
        </w:numPr>
        <w:rPr>
          <w:color w:val="3A6FAF" w:themeColor="accent2"/>
          <w:u w:val="single"/>
        </w:rPr>
      </w:pPr>
      <w:hyperlink r:id="rId23" w:history="1">
        <w:r w:rsidR="00854EA7" w:rsidRPr="00854EA7">
          <w:rPr>
            <w:rStyle w:val="Hyperlink"/>
          </w:rPr>
          <w:t>Institute for Fiscal Studies: Simulating the Effect of Patent Boxes</w:t>
        </w:r>
      </w:hyperlink>
    </w:p>
    <w:p w14:paraId="66B23DC1" w14:textId="69D249D8" w:rsidR="00BB17BB" w:rsidRPr="009976BF" w:rsidRDefault="00004BC1" w:rsidP="00E335E2">
      <w:pPr>
        <w:pStyle w:val="OutlineNumbered3"/>
        <w:numPr>
          <w:ilvl w:val="3"/>
          <w:numId w:val="9"/>
        </w:numPr>
        <w:rPr>
          <w:color w:val="3A6FAF" w:themeColor="accent2"/>
          <w:u w:val="single"/>
        </w:rPr>
      </w:pPr>
      <w:hyperlink r:id="rId24" w:history="1">
        <w:proofErr w:type="spellStart"/>
        <w:r w:rsidR="00854EA7" w:rsidRPr="00854EA7">
          <w:rPr>
            <w:rStyle w:val="Hyperlink"/>
          </w:rPr>
          <w:t>Ciaramella</w:t>
        </w:r>
        <w:proofErr w:type="spellEnd"/>
        <w:r w:rsidR="00854EA7" w:rsidRPr="00854EA7">
          <w:rPr>
            <w:rStyle w:val="Hyperlink"/>
          </w:rPr>
          <w:t>: Patent Boxes and the Relocation of Intellectual Property</w:t>
        </w:r>
      </w:hyperlink>
    </w:p>
    <w:p w14:paraId="6A2B50B7" w14:textId="2EBE6BDE" w:rsidR="00E86154" w:rsidRPr="00EA724D" w:rsidRDefault="00004BC1" w:rsidP="00E335E2">
      <w:pPr>
        <w:pStyle w:val="OutlineNumbered3"/>
        <w:numPr>
          <w:ilvl w:val="3"/>
          <w:numId w:val="9"/>
        </w:numPr>
        <w:rPr>
          <w:rStyle w:val="Hyperlink"/>
        </w:rPr>
      </w:pPr>
      <w:hyperlink r:id="rId25" w:history="1">
        <w:r w:rsidR="005A22AC" w:rsidRPr="00EA724D">
          <w:rPr>
            <w:rStyle w:val="Hyperlink"/>
          </w:rPr>
          <w:t>Patent Box Policies (industry.gov.au)</w:t>
        </w:r>
      </w:hyperlink>
    </w:p>
    <w:bookmarkStart w:id="232" w:name="_Hlk91083724"/>
    <w:bookmarkEnd w:id="231"/>
    <w:p w14:paraId="4A84DDF5" w14:textId="77777777" w:rsidR="00BA0858" w:rsidRDefault="00BA0858" w:rsidP="00E335E2">
      <w:pPr>
        <w:pStyle w:val="OutlineNumbered3"/>
        <w:numPr>
          <w:ilvl w:val="3"/>
          <w:numId w:val="9"/>
        </w:numPr>
        <w:rPr>
          <w:rStyle w:val="Hyperlink"/>
        </w:rPr>
      </w:pPr>
      <w:r>
        <w:fldChar w:fldCharType="begin"/>
      </w:r>
      <w:r>
        <w:instrText xml:space="preserve"> HYPERLINK "https://www.oecd.org/tax/beps/beps-actions/action5/" </w:instrText>
      </w:r>
      <w:r>
        <w:fldChar w:fldCharType="separate"/>
      </w:r>
      <w:r w:rsidRPr="00B22884">
        <w:rPr>
          <w:rStyle w:val="Hyperlink"/>
        </w:rPr>
        <w:t>OECD Guidelines on BEPS Action 5: Harmful Tax Practices</w:t>
      </w:r>
      <w:r>
        <w:rPr>
          <w:rStyle w:val="Hyperlink"/>
        </w:rPr>
        <w:fldChar w:fldCharType="end"/>
      </w:r>
    </w:p>
    <w:p w14:paraId="400E5EF8" w14:textId="0131A278" w:rsidR="00BE41AF" w:rsidRPr="00B22884" w:rsidRDefault="00004BC1" w:rsidP="00E335E2">
      <w:pPr>
        <w:pStyle w:val="OutlineNumbered3"/>
        <w:numPr>
          <w:ilvl w:val="3"/>
          <w:numId w:val="9"/>
        </w:numPr>
        <w:rPr>
          <w:rStyle w:val="Hyperlink"/>
        </w:rPr>
      </w:pPr>
      <w:hyperlink r:id="rId26" w:history="1">
        <w:r w:rsidR="00BE41AF" w:rsidRPr="00B22884">
          <w:rPr>
            <w:rStyle w:val="Hyperlink"/>
          </w:rPr>
          <w:t>Treasury, Patent Box: Discussion Paper on Policy Design (July 2021)</w:t>
        </w:r>
      </w:hyperlink>
    </w:p>
    <w:bookmarkEnd w:id="232"/>
    <w:p w14:paraId="1532347C" w14:textId="0D0C0E27" w:rsidR="002B6EB1" w:rsidRPr="00BA0858" w:rsidRDefault="002B6EB1" w:rsidP="00E335E2">
      <w:pPr>
        <w:pStyle w:val="OutlineNumbered3"/>
        <w:numPr>
          <w:ilvl w:val="3"/>
          <w:numId w:val="9"/>
        </w:numPr>
      </w:pPr>
      <w:r w:rsidRPr="00BA0858">
        <w:fldChar w:fldCharType="begin"/>
      </w:r>
      <w:r>
        <w:instrText xml:space="preserve"> HYPERLINK "https://www.sciencedirect.com/science/article/pii/S2452302X16300183" </w:instrText>
      </w:r>
      <w:r w:rsidRPr="00BA0858">
        <w:fldChar w:fldCharType="separate"/>
      </w:r>
      <w:r w:rsidRPr="00BA0858">
        <w:rPr>
          <w:rStyle w:val="Hyperlink"/>
          <w:rFonts w:eastAsia="Times New Roman"/>
        </w:rPr>
        <w:t>Drugs, Devices, and ...~https://www.sciencedirect.com/science/article/pii/S2452302X16300183</w:t>
      </w:r>
      <w:r w:rsidRPr="00BA0858">
        <w:fldChar w:fldCharType="end"/>
      </w:r>
    </w:p>
    <w:p w14:paraId="06B2BF36" w14:textId="3F525541" w:rsidR="008A1968" w:rsidRPr="009976BF" w:rsidRDefault="008A1968" w:rsidP="008A1968">
      <w:pPr>
        <w:pStyle w:val="OutlineNumbered3"/>
        <w:numPr>
          <w:ilvl w:val="3"/>
          <w:numId w:val="9"/>
        </w:numPr>
        <w:rPr>
          <w:rStyle w:val="Hyperlink"/>
          <w:color w:val="auto"/>
          <w:u w:val="none"/>
        </w:rPr>
      </w:pPr>
      <w:r w:rsidRPr="004B0E81">
        <w:rPr>
          <w:b/>
          <w:bCs/>
        </w:rPr>
        <w:t>Submissions received in response to Treasury’s Patent Box</w:t>
      </w:r>
      <w:r w:rsidR="004B0E81">
        <w:rPr>
          <w:b/>
          <w:bCs/>
        </w:rPr>
        <w:t xml:space="preserve"> to be made public on</w:t>
      </w:r>
      <w:r w:rsidRPr="004B0E81">
        <w:rPr>
          <w:b/>
          <w:bCs/>
        </w:rPr>
        <w:t>:</w:t>
      </w:r>
      <w:r w:rsidRPr="00BE41AF">
        <w:t xml:space="preserve"> </w:t>
      </w:r>
      <w:hyperlink r:id="rId27" w:history="1">
        <w:r>
          <w:rPr>
            <w:rStyle w:val="Hyperlink"/>
          </w:rPr>
          <w:t xml:space="preserve">Patent Box | </w:t>
        </w:r>
        <w:proofErr w:type="spellStart"/>
        <w:r>
          <w:rPr>
            <w:rStyle w:val="Hyperlink"/>
          </w:rPr>
          <w:t>Treasur</w:t>
        </w:r>
        <w:proofErr w:type="spellEnd"/>
        <w:r>
          <w:rPr>
            <w:rStyle w:val="Hyperlink"/>
          </w:rPr>
          <w:t>...~https://treasury.gov.au/consultation/c2021-177849</w:t>
        </w:r>
      </w:hyperlink>
    </w:p>
    <w:p w14:paraId="33EEF7FB" w14:textId="12F4CB7C" w:rsidR="001E2041" w:rsidRDefault="00004BC1">
      <w:pPr>
        <w:pStyle w:val="OutlineNumbered3"/>
        <w:numPr>
          <w:ilvl w:val="3"/>
          <w:numId w:val="9"/>
        </w:numPr>
        <w:rPr>
          <w:rStyle w:val="Hyperlink"/>
        </w:rPr>
      </w:pPr>
      <w:hyperlink r:id="rId28" w:history="1">
        <w:r w:rsidR="001E2041" w:rsidRPr="009976BF">
          <w:rPr>
            <w:rStyle w:val="Hyperlink"/>
          </w:rPr>
          <w:t>Productiv</w:t>
        </w:r>
        <w:r w:rsidR="001E2041" w:rsidRPr="001E2041">
          <w:rPr>
            <w:rStyle w:val="Hyperlink"/>
          </w:rPr>
          <w:t>it</w:t>
        </w:r>
        <w:r w:rsidR="001E2041" w:rsidRPr="009976BF">
          <w:rPr>
            <w:rStyle w:val="Hyperlink"/>
          </w:rPr>
          <w:t xml:space="preserve">y </w:t>
        </w:r>
        <w:r w:rsidR="001E2041" w:rsidRPr="001E2041">
          <w:rPr>
            <w:rStyle w:val="Hyperlink"/>
          </w:rPr>
          <w:t>Commission</w:t>
        </w:r>
        <w:r w:rsidR="001E2041" w:rsidRPr="009976BF">
          <w:rPr>
            <w:rStyle w:val="Hyperlink"/>
          </w:rPr>
          <w:t>: Econometric Modelling of R&amp;D and Australia’s Productivity</w:t>
        </w:r>
      </w:hyperlink>
    </w:p>
    <w:p w14:paraId="542F0CC4" w14:textId="35916021" w:rsidR="00D856B1" w:rsidRPr="009976BF" w:rsidRDefault="00004BC1">
      <w:pPr>
        <w:pStyle w:val="OutlineNumbered3"/>
        <w:numPr>
          <w:ilvl w:val="3"/>
          <w:numId w:val="9"/>
        </w:numPr>
        <w:rPr>
          <w:rStyle w:val="Hyperlink"/>
        </w:rPr>
      </w:pPr>
      <w:hyperlink r:id="rId29" w:history="1">
        <w:r w:rsidR="00D856B1" w:rsidRPr="00D856B1">
          <w:rPr>
            <w:rStyle w:val="Hyperlink"/>
          </w:rPr>
          <w:t>CSIRO: Quantifying Australia’s return</w:t>
        </w:r>
        <w:r w:rsidR="00D856B1">
          <w:rPr>
            <w:rStyle w:val="Hyperlink"/>
          </w:rPr>
          <w:t>s</w:t>
        </w:r>
        <w:r w:rsidR="00D856B1" w:rsidRPr="00D856B1">
          <w:rPr>
            <w:rStyle w:val="Hyperlink"/>
          </w:rPr>
          <w:t xml:space="preserve"> to innovation</w:t>
        </w:r>
      </w:hyperlink>
    </w:p>
    <w:p w14:paraId="468338F6" w14:textId="77777777" w:rsidR="002B6EB1" w:rsidRDefault="002B6EB1" w:rsidP="00B95B2C">
      <w:pPr>
        <w:pStyle w:val="BodyText"/>
      </w:pPr>
    </w:p>
    <w:p w14:paraId="201B53C9" w14:textId="77777777" w:rsidR="007E0AC3" w:rsidRDefault="007E0AC3" w:rsidP="00273BBF"/>
    <w:p w14:paraId="4A89F68A" w14:textId="77777777" w:rsidR="00B51EEE" w:rsidRDefault="00B51EEE">
      <w:pPr>
        <w:sectPr w:rsidR="00B51EEE" w:rsidSect="006E2BDA">
          <w:headerReference w:type="even" r:id="rId30"/>
          <w:headerReference w:type="default" r:id="rId31"/>
          <w:headerReference w:type="first" r:id="rId32"/>
          <w:footerReference w:type="first" r:id="rId33"/>
          <w:pgSz w:w="11906" w:h="16838" w:code="9"/>
          <w:pgMar w:top="1418" w:right="1304" w:bottom="1276" w:left="1304" w:header="567" w:footer="567" w:gutter="0"/>
          <w:cols w:space="720"/>
          <w:titlePg/>
          <w:docGrid w:linePitch="360"/>
        </w:sectPr>
      </w:pPr>
    </w:p>
    <w:p w14:paraId="28D53899" w14:textId="5C8B7665" w:rsidR="00B51EEE" w:rsidRPr="00B51EEE" w:rsidRDefault="00B51EEE" w:rsidP="00B51EEE">
      <w:pPr>
        <w:ind w:left="-709"/>
        <w:rPr>
          <w:rFonts w:ascii="Calibri" w:eastAsia="Calibri" w:hAnsi="Calibri" w:cs="Times New Roman"/>
          <w:b/>
          <w:bCs/>
        </w:rPr>
      </w:pPr>
      <w:r w:rsidRPr="00B51EEE">
        <w:rPr>
          <w:rFonts w:ascii="Calibri" w:eastAsia="Calibri" w:hAnsi="Calibri" w:cs="Times New Roman"/>
          <w:b/>
          <w:bCs/>
        </w:rPr>
        <w:lastRenderedPageBreak/>
        <w:t>Attachment A – Comparison of ‘patent box’ regimes of United Kingdom, Switzerland and Singapore</w:t>
      </w:r>
      <w:r w:rsidR="00975604">
        <w:rPr>
          <w:rFonts w:ascii="Calibri" w:eastAsia="Calibri" w:hAnsi="Calibri" w:cs="Times New Roman"/>
          <w:b/>
          <w:bCs/>
        </w:rPr>
        <w:t xml:space="preserve"> (technical options)</w:t>
      </w:r>
    </w:p>
    <w:tbl>
      <w:tblPr>
        <w:tblStyle w:val="TableGrid1"/>
        <w:tblW w:w="15593" w:type="dxa"/>
        <w:tblInd w:w="-714" w:type="dxa"/>
        <w:tblLook w:val="04A0" w:firstRow="1" w:lastRow="0" w:firstColumn="1" w:lastColumn="0" w:noHBand="0" w:noVBand="1"/>
      </w:tblPr>
      <w:tblGrid>
        <w:gridCol w:w="2269"/>
        <w:gridCol w:w="4394"/>
        <w:gridCol w:w="4394"/>
        <w:gridCol w:w="4536"/>
      </w:tblGrid>
      <w:tr w:rsidR="00393CE6" w:rsidRPr="00B51EEE" w14:paraId="3B071FB6" w14:textId="77777777" w:rsidTr="00B51EEE">
        <w:tc>
          <w:tcPr>
            <w:tcW w:w="2269" w:type="dxa"/>
            <w:shd w:val="clear" w:color="auto" w:fill="FFFFFF"/>
            <w:vAlign w:val="center"/>
          </w:tcPr>
          <w:p w14:paraId="16E9086C" w14:textId="77777777" w:rsidR="00B51EEE" w:rsidRPr="00B51EEE" w:rsidRDefault="00B51EEE" w:rsidP="00B51EEE">
            <w:pPr>
              <w:rPr>
                <w:rFonts w:ascii="Calibri" w:hAnsi="Calibri" w:cs="Times New Roman"/>
                <w:b/>
                <w:bCs/>
                <w:sz w:val="24"/>
                <w:szCs w:val="24"/>
              </w:rPr>
            </w:pPr>
            <w:r w:rsidRPr="00B51EEE">
              <w:rPr>
                <w:rFonts w:ascii="Calibri" w:hAnsi="Calibri" w:cs="Calibri"/>
                <w:b/>
                <w:bCs/>
                <w:sz w:val="24"/>
                <w:szCs w:val="24"/>
              </w:rPr>
              <w:t>Topic</w:t>
            </w:r>
          </w:p>
        </w:tc>
        <w:tc>
          <w:tcPr>
            <w:tcW w:w="4394" w:type="dxa"/>
            <w:shd w:val="clear" w:color="auto" w:fill="FFFFFF"/>
            <w:vAlign w:val="center"/>
          </w:tcPr>
          <w:p w14:paraId="04F4CB9D" w14:textId="77777777" w:rsidR="00B51EEE" w:rsidRPr="00B51EEE" w:rsidRDefault="00B51EEE" w:rsidP="00B51EEE">
            <w:pPr>
              <w:rPr>
                <w:rFonts w:ascii="Calibri" w:hAnsi="Calibri" w:cs="Times New Roman"/>
                <w:b/>
                <w:bCs/>
                <w:sz w:val="24"/>
                <w:szCs w:val="24"/>
              </w:rPr>
            </w:pPr>
            <w:r w:rsidRPr="00B51EEE">
              <w:rPr>
                <w:rFonts w:ascii="Calibri" w:hAnsi="Calibri" w:cs="Calibri"/>
                <w:b/>
                <w:bCs/>
                <w:sz w:val="24"/>
                <w:szCs w:val="24"/>
              </w:rPr>
              <w:t>United Kingdom Patent Box</w:t>
            </w:r>
          </w:p>
        </w:tc>
        <w:tc>
          <w:tcPr>
            <w:tcW w:w="4394" w:type="dxa"/>
            <w:shd w:val="clear" w:color="auto" w:fill="FFFFFF"/>
            <w:vAlign w:val="center"/>
          </w:tcPr>
          <w:p w14:paraId="3E33F83D" w14:textId="77777777" w:rsidR="00B51EEE" w:rsidRPr="00B51EEE" w:rsidRDefault="00B51EEE" w:rsidP="00B51EEE">
            <w:pPr>
              <w:rPr>
                <w:rFonts w:ascii="Calibri" w:hAnsi="Calibri" w:cs="Times New Roman"/>
                <w:b/>
                <w:bCs/>
                <w:sz w:val="24"/>
                <w:szCs w:val="24"/>
              </w:rPr>
            </w:pPr>
            <w:r w:rsidRPr="00B51EEE">
              <w:rPr>
                <w:rFonts w:ascii="Calibri" w:hAnsi="Calibri" w:cs="Calibri"/>
                <w:b/>
                <w:bCs/>
                <w:sz w:val="24"/>
                <w:szCs w:val="24"/>
              </w:rPr>
              <w:t>Switzerland Patent Box</w:t>
            </w:r>
          </w:p>
        </w:tc>
        <w:tc>
          <w:tcPr>
            <w:tcW w:w="4536" w:type="dxa"/>
            <w:shd w:val="clear" w:color="auto" w:fill="FFFFFF"/>
          </w:tcPr>
          <w:p w14:paraId="6AC70A75" w14:textId="77777777" w:rsidR="00B51EEE" w:rsidRPr="00B51EEE" w:rsidRDefault="00B51EEE" w:rsidP="00B51EEE">
            <w:pPr>
              <w:autoSpaceDE w:val="0"/>
              <w:autoSpaceDN w:val="0"/>
              <w:adjustRightInd w:val="0"/>
              <w:jc w:val="center"/>
              <w:rPr>
                <w:rFonts w:ascii="Calibri" w:hAnsi="Calibri" w:cs="Calibri"/>
                <w:b/>
                <w:bCs/>
                <w:color w:val="000000"/>
                <w:sz w:val="24"/>
                <w:szCs w:val="24"/>
              </w:rPr>
            </w:pPr>
          </w:p>
          <w:p w14:paraId="70E92396" w14:textId="77777777" w:rsidR="00B51EEE" w:rsidRPr="00B51EEE" w:rsidRDefault="00B51EEE" w:rsidP="00B51EEE">
            <w:pPr>
              <w:rPr>
                <w:rFonts w:ascii="Calibri" w:hAnsi="Calibri" w:cs="Times New Roman"/>
                <w:b/>
                <w:bCs/>
                <w:sz w:val="24"/>
                <w:szCs w:val="24"/>
              </w:rPr>
            </w:pPr>
            <w:r w:rsidRPr="00B51EEE">
              <w:rPr>
                <w:rFonts w:ascii="Calibri" w:hAnsi="Calibri" w:cs="Calibri"/>
                <w:b/>
                <w:bCs/>
                <w:sz w:val="24"/>
                <w:szCs w:val="24"/>
              </w:rPr>
              <w:t>Singapore - Intellectual Property Development Incentive (IDI)</w:t>
            </w:r>
          </w:p>
        </w:tc>
      </w:tr>
      <w:tr w:rsidR="00975BFE" w:rsidRPr="00B51EEE" w14:paraId="4C45C4A5" w14:textId="77777777" w:rsidTr="00B51EEE">
        <w:tc>
          <w:tcPr>
            <w:tcW w:w="2269" w:type="dxa"/>
            <w:vAlign w:val="center"/>
          </w:tcPr>
          <w:p w14:paraId="1B586A74" w14:textId="77777777" w:rsidR="00B51EEE" w:rsidRPr="00B51EEE" w:rsidRDefault="00B51EEE" w:rsidP="00B51EEE">
            <w:pPr>
              <w:rPr>
                <w:rFonts w:ascii="Calibri" w:hAnsi="Calibri" w:cs="Times New Roman"/>
                <w:b/>
                <w:bCs/>
              </w:rPr>
            </w:pPr>
            <w:r w:rsidRPr="00B51EEE">
              <w:rPr>
                <w:rFonts w:ascii="Calibri" w:hAnsi="Calibri" w:cs="Calibri"/>
                <w:b/>
                <w:bCs/>
              </w:rPr>
              <w:t>1. Qualifying IP assets</w:t>
            </w:r>
          </w:p>
        </w:tc>
        <w:tc>
          <w:tcPr>
            <w:tcW w:w="4394" w:type="dxa"/>
            <w:shd w:val="clear" w:color="auto" w:fill="FFFFFF"/>
          </w:tcPr>
          <w:p w14:paraId="29F895BF" w14:textId="77777777" w:rsidR="00B51EEE" w:rsidRPr="00B51EEE" w:rsidRDefault="00B51EEE" w:rsidP="00B51EEE">
            <w:pPr>
              <w:ind w:left="567" w:hanging="567"/>
              <w:rPr>
                <w:rFonts w:ascii="Calibri Light" w:hAnsi="Calibri Light" w:cs="Calibri Light"/>
                <w:sz w:val="20"/>
                <w:szCs w:val="20"/>
              </w:rPr>
            </w:pPr>
            <w:r w:rsidRPr="00B51EEE">
              <w:rPr>
                <w:rFonts w:ascii="Calibri Light" w:hAnsi="Calibri Light" w:cs="Calibri Light"/>
                <w:sz w:val="20"/>
                <w:szCs w:val="20"/>
              </w:rPr>
              <w:t>Qualifying IP assets include:</w:t>
            </w:r>
          </w:p>
          <w:p w14:paraId="40957D4E" w14:textId="77777777" w:rsidR="00B51EEE" w:rsidRPr="00B51EEE" w:rsidRDefault="00B51EEE" w:rsidP="00766C44">
            <w:pPr>
              <w:numPr>
                <w:ilvl w:val="0"/>
                <w:numId w:val="29"/>
              </w:numPr>
              <w:rPr>
                <w:rFonts w:ascii="Calibri Light" w:hAnsi="Calibri Light" w:cs="Calibri Light"/>
                <w:sz w:val="20"/>
                <w:szCs w:val="20"/>
              </w:rPr>
            </w:pPr>
            <w:r w:rsidRPr="00B51EEE">
              <w:rPr>
                <w:rFonts w:ascii="Calibri Light" w:hAnsi="Calibri Light" w:cs="Calibri Light"/>
                <w:sz w:val="20"/>
                <w:szCs w:val="20"/>
              </w:rPr>
              <w:t>Patents granted by the UK, EU or certain EEA countries.</w:t>
            </w:r>
          </w:p>
          <w:p w14:paraId="41F4E6AA" w14:textId="77777777" w:rsidR="00B51EEE" w:rsidRPr="00B51EEE" w:rsidRDefault="00B51EEE" w:rsidP="00766C44">
            <w:pPr>
              <w:numPr>
                <w:ilvl w:val="0"/>
                <w:numId w:val="29"/>
              </w:numPr>
              <w:rPr>
                <w:rFonts w:ascii="Calibri Light" w:hAnsi="Calibri Light" w:cs="Calibri Light"/>
                <w:sz w:val="20"/>
                <w:szCs w:val="20"/>
              </w:rPr>
            </w:pPr>
            <w:r w:rsidRPr="00B51EEE">
              <w:rPr>
                <w:rFonts w:ascii="Calibri Light" w:hAnsi="Calibri Light" w:cs="Calibri Light"/>
                <w:sz w:val="20"/>
                <w:szCs w:val="20"/>
              </w:rPr>
              <w:t>Supplementary protection certificates granted by the UK or EU.</w:t>
            </w:r>
          </w:p>
          <w:p w14:paraId="6B41CC9D" w14:textId="77777777" w:rsidR="00B51EEE" w:rsidRPr="00B51EEE" w:rsidRDefault="00B51EEE" w:rsidP="00766C44">
            <w:pPr>
              <w:numPr>
                <w:ilvl w:val="0"/>
                <w:numId w:val="29"/>
              </w:numPr>
              <w:rPr>
                <w:rFonts w:ascii="Calibri Light" w:hAnsi="Calibri Light" w:cs="Calibri Light"/>
                <w:sz w:val="20"/>
                <w:szCs w:val="20"/>
              </w:rPr>
            </w:pPr>
            <w:r w:rsidRPr="00B51EEE">
              <w:rPr>
                <w:rFonts w:ascii="Calibri Light" w:hAnsi="Calibri Light" w:cs="Calibri Light"/>
                <w:sz w:val="20"/>
                <w:szCs w:val="20"/>
              </w:rPr>
              <w:t>Plant breeders’ rights granted by the UK or EU.</w:t>
            </w:r>
          </w:p>
          <w:p w14:paraId="5653A077" w14:textId="77777777" w:rsidR="00B51EEE" w:rsidRPr="00B51EEE" w:rsidRDefault="00B51EEE" w:rsidP="00766C44">
            <w:pPr>
              <w:numPr>
                <w:ilvl w:val="0"/>
                <w:numId w:val="29"/>
              </w:numPr>
              <w:rPr>
                <w:rFonts w:ascii="Calibri Light" w:hAnsi="Calibri Light" w:cs="Calibri Light"/>
                <w:sz w:val="20"/>
                <w:szCs w:val="20"/>
              </w:rPr>
            </w:pPr>
            <w:r w:rsidRPr="00B51EEE">
              <w:rPr>
                <w:rFonts w:ascii="Calibri Light" w:hAnsi="Calibri Light" w:cs="Calibri Light"/>
                <w:sz w:val="20"/>
                <w:szCs w:val="20"/>
              </w:rPr>
              <w:t>Marketing authorisation granted under certain UK and EU regulations.</w:t>
            </w:r>
          </w:p>
          <w:p w14:paraId="613FD1C4" w14:textId="77777777" w:rsidR="00B51EEE" w:rsidRPr="00B51EEE" w:rsidRDefault="00B51EEE" w:rsidP="00B51EEE">
            <w:pPr>
              <w:ind w:left="567" w:hanging="567"/>
              <w:rPr>
                <w:rFonts w:ascii="Calibri Light" w:hAnsi="Calibri Light" w:cs="Calibri Light"/>
                <w:sz w:val="20"/>
                <w:szCs w:val="20"/>
              </w:rPr>
            </w:pPr>
          </w:p>
          <w:p w14:paraId="685F328E" w14:textId="77777777" w:rsidR="00B51EEE" w:rsidRPr="00B51EEE" w:rsidRDefault="00B51EEE" w:rsidP="00B51EEE">
            <w:pPr>
              <w:rPr>
                <w:rFonts w:ascii="Calibri" w:hAnsi="Calibri" w:cs="Times New Roman"/>
                <w:b/>
                <w:bCs/>
              </w:rPr>
            </w:pPr>
            <w:r w:rsidRPr="00B51EEE">
              <w:rPr>
                <w:rFonts w:ascii="Calibri Light" w:hAnsi="Calibri Light" w:cs="Calibri Light"/>
                <w:sz w:val="20"/>
                <w:szCs w:val="20"/>
              </w:rPr>
              <w:t>Full details are in sections 357BB and 357BBA of the Corporate Tax Act 2010.</w:t>
            </w:r>
          </w:p>
        </w:tc>
        <w:tc>
          <w:tcPr>
            <w:tcW w:w="4394" w:type="dxa"/>
            <w:shd w:val="clear" w:color="auto" w:fill="FFFFFF"/>
          </w:tcPr>
          <w:p w14:paraId="27235013"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Qualifying IP assets include:</w:t>
            </w:r>
          </w:p>
          <w:p w14:paraId="10C39E41" w14:textId="77777777" w:rsidR="00B51EEE" w:rsidRPr="00B51EEE" w:rsidRDefault="00B51EEE" w:rsidP="00766C44">
            <w:pPr>
              <w:numPr>
                <w:ilvl w:val="0"/>
                <w:numId w:val="29"/>
              </w:numPr>
              <w:rPr>
                <w:rFonts w:ascii="Calibri Light" w:hAnsi="Calibri Light" w:cs="Calibri Light"/>
                <w:sz w:val="20"/>
                <w:szCs w:val="20"/>
              </w:rPr>
            </w:pPr>
            <w:r w:rsidRPr="00B51EEE">
              <w:rPr>
                <w:rFonts w:ascii="Calibri Light" w:hAnsi="Calibri Light" w:cs="Calibri Light"/>
                <w:sz w:val="20"/>
                <w:szCs w:val="20"/>
              </w:rPr>
              <w:t>Swiss patents</w:t>
            </w:r>
          </w:p>
          <w:p w14:paraId="3B9AE3AD" w14:textId="77777777" w:rsidR="00B51EEE" w:rsidRPr="00B51EEE" w:rsidRDefault="00B51EEE" w:rsidP="00766C44">
            <w:pPr>
              <w:numPr>
                <w:ilvl w:val="0"/>
                <w:numId w:val="29"/>
              </w:numPr>
              <w:rPr>
                <w:rFonts w:ascii="Calibri Light" w:hAnsi="Calibri Light" w:cs="Calibri Light"/>
                <w:sz w:val="20"/>
                <w:szCs w:val="20"/>
              </w:rPr>
            </w:pPr>
            <w:r w:rsidRPr="00B51EEE">
              <w:rPr>
                <w:rFonts w:ascii="Calibri Light" w:hAnsi="Calibri Light" w:cs="Calibri Light"/>
                <w:sz w:val="20"/>
                <w:szCs w:val="20"/>
              </w:rPr>
              <w:t xml:space="preserve">European patents with designation of </w:t>
            </w:r>
            <w:proofErr w:type="gramStart"/>
            <w:r w:rsidRPr="00B51EEE">
              <w:rPr>
                <w:rFonts w:ascii="Calibri Light" w:hAnsi="Calibri Light" w:cs="Calibri Light"/>
                <w:sz w:val="20"/>
                <w:szCs w:val="20"/>
              </w:rPr>
              <w:t>Switzerland;</w:t>
            </w:r>
            <w:proofErr w:type="gramEnd"/>
          </w:p>
          <w:p w14:paraId="401D494D" w14:textId="77777777" w:rsidR="00B51EEE" w:rsidRPr="00B51EEE" w:rsidRDefault="00B51EEE" w:rsidP="00766C44">
            <w:pPr>
              <w:numPr>
                <w:ilvl w:val="0"/>
                <w:numId w:val="29"/>
              </w:numPr>
              <w:rPr>
                <w:rFonts w:ascii="Calibri Light" w:hAnsi="Calibri Light" w:cs="Calibri Light"/>
                <w:sz w:val="20"/>
                <w:szCs w:val="20"/>
              </w:rPr>
            </w:pPr>
            <w:r w:rsidRPr="00B51EEE">
              <w:rPr>
                <w:rFonts w:ascii="Calibri Light" w:hAnsi="Calibri Light" w:cs="Calibri Light"/>
                <w:sz w:val="20"/>
                <w:szCs w:val="20"/>
              </w:rPr>
              <w:t>Patents for inventions in other jurisdictions, utility models*; and comparable IP rights such as supplementary protection certificates and regulatory data protection for pharmaceutical products and pesticides.</w:t>
            </w:r>
          </w:p>
          <w:p w14:paraId="3E91E690" w14:textId="77777777" w:rsidR="00B51EEE" w:rsidRPr="00B51EEE" w:rsidRDefault="00B51EEE" w:rsidP="00B51EEE">
            <w:pPr>
              <w:autoSpaceDE w:val="0"/>
              <w:autoSpaceDN w:val="0"/>
              <w:adjustRightInd w:val="0"/>
              <w:rPr>
                <w:rFonts w:ascii="Calibri Light" w:hAnsi="Calibri Light" w:cs="Calibri Light"/>
                <w:sz w:val="20"/>
                <w:szCs w:val="20"/>
              </w:rPr>
            </w:pPr>
            <w:r w:rsidRPr="00B51EEE">
              <w:rPr>
                <w:rFonts w:ascii="Calibri Light" w:hAnsi="Calibri Light" w:cs="Calibri Light"/>
                <w:sz w:val="20"/>
                <w:szCs w:val="20"/>
              </w:rPr>
              <w:t xml:space="preserve">See Swiss legislation (OECD English version) for full list of qualifying ‘similar </w:t>
            </w:r>
            <w:proofErr w:type="gramStart"/>
            <w:r w:rsidRPr="00B51EEE">
              <w:rPr>
                <w:rFonts w:ascii="Calibri Light" w:hAnsi="Calibri Light" w:cs="Calibri Light"/>
                <w:sz w:val="20"/>
                <w:szCs w:val="20"/>
              </w:rPr>
              <w:t>rights’</w:t>
            </w:r>
            <w:proofErr w:type="gramEnd"/>
            <w:r w:rsidRPr="00B51EEE">
              <w:rPr>
                <w:rFonts w:ascii="Calibri Light" w:hAnsi="Calibri Light" w:cs="Calibri Light"/>
                <w:sz w:val="20"/>
                <w:szCs w:val="20"/>
              </w:rPr>
              <w:t>.</w:t>
            </w:r>
          </w:p>
          <w:p w14:paraId="7E47091C" w14:textId="77777777" w:rsidR="00B51EEE" w:rsidRPr="00B51EEE" w:rsidRDefault="00B51EEE" w:rsidP="00B51EEE">
            <w:pPr>
              <w:autoSpaceDE w:val="0"/>
              <w:autoSpaceDN w:val="0"/>
              <w:adjustRightInd w:val="0"/>
              <w:rPr>
                <w:rFonts w:ascii="Calibri Light" w:hAnsi="Calibri Light" w:cs="Calibri Light"/>
                <w:sz w:val="20"/>
                <w:szCs w:val="20"/>
              </w:rPr>
            </w:pPr>
          </w:p>
          <w:p w14:paraId="06357F78" w14:textId="77777777" w:rsidR="00B51EEE" w:rsidRPr="00B51EEE" w:rsidRDefault="00B51EEE" w:rsidP="00B51EEE">
            <w:pPr>
              <w:rPr>
                <w:rFonts w:ascii="Calibri" w:hAnsi="Calibri" w:cs="Times New Roman"/>
                <w:b/>
                <w:bCs/>
              </w:rPr>
            </w:pPr>
            <w:r w:rsidRPr="00B51EEE">
              <w:rPr>
                <w:rFonts w:ascii="Calibri Light" w:hAnsi="Calibri Light" w:cs="Calibri Light"/>
                <w:i/>
                <w:iCs/>
                <w:sz w:val="20"/>
                <w:szCs w:val="20"/>
              </w:rPr>
              <w:t xml:space="preserve">*Note: Utility Models are the equivalent of Australian Innovation Patents. </w:t>
            </w:r>
          </w:p>
        </w:tc>
        <w:tc>
          <w:tcPr>
            <w:tcW w:w="4536" w:type="dxa"/>
            <w:shd w:val="clear" w:color="auto" w:fill="FFFFFF"/>
          </w:tcPr>
          <w:p w14:paraId="4D67E1A7" w14:textId="77777777" w:rsidR="00B51EEE" w:rsidRPr="00B51EEE" w:rsidRDefault="00B51EEE" w:rsidP="00B51EEE">
            <w:pPr>
              <w:rPr>
                <w:rFonts w:ascii="Calibri Light" w:hAnsi="Calibri Light" w:cs="Calibri Light"/>
                <w:sz w:val="20"/>
                <w:szCs w:val="20"/>
                <w:lang w:eastAsia="en-AU"/>
              </w:rPr>
            </w:pPr>
            <w:r w:rsidRPr="00B51EEE">
              <w:rPr>
                <w:rFonts w:ascii="Calibri Light" w:hAnsi="Calibri Light" w:cs="Calibri Light"/>
                <w:sz w:val="20"/>
                <w:szCs w:val="20"/>
                <w:lang w:eastAsia="en-AU"/>
              </w:rPr>
              <w:t>Qualifying Intellectual property rights (IPRs):</w:t>
            </w:r>
          </w:p>
          <w:p w14:paraId="2548B350" w14:textId="77777777" w:rsidR="00B51EEE" w:rsidRPr="00B51EEE" w:rsidRDefault="00B51EEE" w:rsidP="00766C44">
            <w:pPr>
              <w:numPr>
                <w:ilvl w:val="0"/>
                <w:numId w:val="29"/>
              </w:numPr>
              <w:rPr>
                <w:rFonts w:ascii="Calibri Light" w:hAnsi="Calibri Light" w:cs="Calibri Light"/>
                <w:sz w:val="20"/>
                <w:szCs w:val="20"/>
                <w:lang w:eastAsia="en-AU"/>
              </w:rPr>
            </w:pPr>
            <w:r w:rsidRPr="00B51EEE">
              <w:rPr>
                <w:rFonts w:ascii="Calibri Light" w:hAnsi="Calibri Light" w:cs="Calibri Light"/>
                <w:sz w:val="20"/>
                <w:szCs w:val="20"/>
                <w:lang w:eastAsia="en-AU"/>
              </w:rPr>
              <w:t xml:space="preserve">A </w:t>
            </w:r>
            <w:proofErr w:type="gramStart"/>
            <w:r w:rsidRPr="00B51EEE">
              <w:rPr>
                <w:rFonts w:ascii="Calibri Light" w:hAnsi="Calibri Light" w:cs="Calibri Light"/>
                <w:sz w:val="20"/>
                <w:szCs w:val="20"/>
                <w:lang w:eastAsia="en-AU"/>
              </w:rPr>
              <w:t>patent;</w:t>
            </w:r>
            <w:proofErr w:type="gramEnd"/>
          </w:p>
          <w:p w14:paraId="7113D043" w14:textId="77777777" w:rsidR="00B51EEE" w:rsidRPr="00B51EEE" w:rsidRDefault="00B51EEE" w:rsidP="00766C44">
            <w:pPr>
              <w:numPr>
                <w:ilvl w:val="0"/>
                <w:numId w:val="29"/>
              </w:numPr>
              <w:rPr>
                <w:rFonts w:ascii="Calibri Light" w:hAnsi="Calibri Light" w:cs="Calibri Light"/>
                <w:sz w:val="20"/>
                <w:szCs w:val="20"/>
                <w:lang w:eastAsia="en-AU"/>
              </w:rPr>
            </w:pPr>
            <w:r w:rsidRPr="00B51EEE">
              <w:rPr>
                <w:rFonts w:ascii="Calibri Light" w:hAnsi="Calibri Light" w:cs="Calibri Light"/>
                <w:sz w:val="20"/>
                <w:szCs w:val="20"/>
                <w:lang w:eastAsia="en-AU"/>
              </w:rPr>
              <w:t xml:space="preserve">An application for a </w:t>
            </w:r>
            <w:proofErr w:type="gramStart"/>
            <w:r w:rsidRPr="00B51EEE">
              <w:rPr>
                <w:rFonts w:ascii="Calibri Light" w:hAnsi="Calibri Light" w:cs="Calibri Light"/>
                <w:sz w:val="20"/>
                <w:szCs w:val="20"/>
                <w:lang w:eastAsia="en-AU"/>
              </w:rPr>
              <w:t>patent;</w:t>
            </w:r>
            <w:proofErr w:type="gramEnd"/>
          </w:p>
          <w:p w14:paraId="20299021" w14:textId="77777777" w:rsidR="00B51EEE" w:rsidRPr="00B51EEE" w:rsidRDefault="00B51EEE" w:rsidP="00766C44">
            <w:pPr>
              <w:numPr>
                <w:ilvl w:val="0"/>
                <w:numId w:val="29"/>
              </w:numPr>
              <w:rPr>
                <w:rFonts w:ascii="Calibri Light" w:hAnsi="Calibri Light" w:cs="Calibri Light"/>
                <w:sz w:val="20"/>
                <w:szCs w:val="20"/>
                <w:lang w:eastAsia="en-AU"/>
              </w:rPr>
            </w:pPr>
            <w:r w:rsidRPr="00B51EEE">
              <w:rPr>
                <w:rFonts w:ascii="Calibri Light" w:hAnsi="Calibri Light" w:cs="Calibri Light"/>
                <w:sz w:val="20"/>
                <w:szCs w:val="20"/>
                <w:lang w:eastAsia="en-AU"/>
              </w:rPr>
              <w:t>A copyright subsisting in software; or</w:t>
            </w:r>
          </w:p>
          <w:p w14:paraId="758B0A24" w14:textId="77777777" w:rsidR="00B51EEE" w:rsidRPr="00B51EEE" w:rsidRDefault="00B51EEE" w:rsidP="00766C44">
            <w:pPr>
              <w:numPr>
                <w:ilvl w:val="0"/>
                <w:numId w:val="29"/>
              </w:numPr>
              <w:rPr>
                <w:rFonts w:ascii="Calibri Light" w:hAnsi="Calibri Light" w:cs="Calibri Light"/>
                <w:sz w:val="20"/>
                <w:szCs w:val="20"/>
                <w:lang w:eastAsia="en-AU"/>
              </w:rPr>
            </w:pPr>
            <w:r w:rsidRPr="00B51EEE">
              <w:rPr>
                <w:rFonts w:ascii="Calibri Light" w:hAnsi="Calibri Light" w:cs="Calibri Light"/>
                <w:sz w:val="20"/>
                <w:szCs w:val="20"/>
                <w:lang w:eastAsia="en-AU"/>
              </w:rPr>
              <w:t>A “family” of qualifying IPRs (see below).</w:t>
            </w:r>
          </w:p>
          <w:p w14:paraId="72110435" w14:textId="77777777" w:rsidR="00B51EEE" w:rsidRPr="00B51EEE" w:rsidRDefault="00B51EEE" w:rsidP="00B51EEE">
            <w:pPr>
              <w:rPr>
                <w:rFonts w:ascii="Calibri Light" w:hAnsi="Calibri Light" w:cs="Calibri Light"/>
                <w:b/>
                <w:color w:val="000000"/>
                <w:sz w:val="20"/>
                <w:szCs w:val="20"/>
              </w:rPr>
            </w:pPr>
            <w:r w:rsidRPr="00B51EEE">
              <w:rPr>
                <w:rFonts w:ascii="Calibri Light" w:hAnsi="Calibri Light" w:cs="Calibri Light"/>
                <w:b/>
                <w:color w:val="000000"/>
                <w:sz w:val="20"/>
                <w:szCs w:val="20"/>
              </w:rPr>
              <w:t>Family of qualifying IPRs</w:t>
            </w:r>
          </w:p>
          <w:p w14:paraId="11DB4C49" w14:textId="77777777" w:rsidR="00B51EEE" w:rsidRPr="00B51EEE" w:rsidRDefault="00B51EEE" w:rsidP="00B51EEE">
            <w:pPr>
              <w:rPr>
                <w:rFonts w:ascii="Calibri Light" w:hAnsi="Calibri Light" w:cs="Calibri Light"/>
                <w:color w:val="000000"/>
                <w:sz w:val="20"/>
                <w:szCs w:val="20"/>
              </w:rPr>
            </w:pPr>
            <w:r w:rsidRPr="00B51EEE">
              <w:rPr>
                <w:rFonts w:ascii="Calibri Light" w:hAnsi="Calibri Light" w:cs="Calibri Light"/>
                <w:color w:val="000000"/>
                <w:sz w:val="20"/>
                <w:szCs w:val="20"/>
              </w:rPr>
              <w:t>Two or more IPRs may be grouped into a “family” if either the expenditure or the income of the IPRs cannot be reasonably identified or separated from each other, i.e., it is interlinked. A “chain rule” further applies where two IPRs are part of a chain of three or more qualifying IPRs each of which is interlinked with another. The grouping of the family of IPRs is critical in the calculation of the nexus ratio.</w:t>
            </w:r>
          </w:p>
          <w:p w14:paraId="250A36B5" w14:textId="77777777" w:rsidR="00B51EEE" w:rsidRPr="00B51EEE" w:rsidRDefault="00B51EEE" w:rsidP="00B51EEE">
            <w:pPr>
              <w:rPr>
                <w:rFonts w:ascii="Calibri Light" w:hAnsi="Calibri Light" w:cs="Calibri Light"/>
                <w:color w:val="000000"/>
                <w:sz w:val="20"/>
                <w:szCs w:val="20"/>
              </w:rPr>
            </w:pPr>
          </w:p>
          <w:p w14:paraId="13E17B59" w14:textId="77777777" w:rsidR="00B51EEE" w:rsidRPr="00B51EEE" w:rsidRDefault="00B51EEE" w:rsidP="00B51EEE">
            <w:pPr>
              <w:rPr>
                <w:rFonts w:ascii="Calibri" w:hAnsi="Calibri" w:cs="Times New Roman"/>
                <w:b/>
                <w:bCs/>
              </w:rPr>
            </w:pPr>
            <w:r w:rsidRPr="00B51EEE">
              <w:rPr>
                <w:rFonts w:ascii="Calibri Light" w:hAnsi="Calibri Light" w:cs="Calibri Light"/>
                <w:i/>
                <w:iCs/>
                <w:color w:val="000000"/>
                <w:sz w:val="20"/>
                <w:szCs w:val="20"/>
              </w:rPr>
              <w:t xml:space="preserve">Note: Full details are available in Singapore </w:t>
            </w:r>
            <w:hyperlink r:id="rId34" w:history="1">
              <w:r w:rsidRPr="00B51EEE">
                <w:rPr>
                  <w:rFonts w:ascii="Calibri Light" w:hAnsi="Calibri Light" w:cs="Calibri Light"/>
                  <w:i/>
                  <w:iCs/>
                  <w:color w:val="0000FF"/>
                  <w:sz w:val="20"/>
                  <w:szCs w:val="20"/>
                  <w:u w:val="single"/>
                </w:rPr>
                <w:t>legislation</w:t>
              </w:r>
            </w:hyperlink>
            <w:r w:rsidRPr="00B51EEE">
              <w:rPr>
                <w:rFonts w:ascii="Calibri Light" w:hAnsi="Calibri Light" w:cs="Calibri Light"/>
                <w:i/>
                <w:iCs/>
                <w:color w:val="000000"/>
                <w:sz w:val="20"/>
                <w:szCs w:val="20"/>
              </w:rPr>
              <w:t xml:space="preserve"> and </w:t>
            </w:r>
            <w:hyperlink r:id="rId35" w:history="1">
              <w:r w:rsidRPr="00B51EEE">
                <w:rPr>
                  <w:rFonts w:ascii="Calibri Light" w:hAnsi="Calibri Light" w:cs="Calibri Light"/>
                  <w:i/>
                  <w:iCs/>
                  <w:color w:val="0000FF"/>
                  <w:sz w:val="20"/>
                  <w:szCs w:val="20"/>
                  <w:u w:val="single"/>
                </w:rPr>
                <w:t>Regulations</w:t>
              </w:r>
            </w:hyperlink>
            <w:r w:rsidRPr="00B51EEE">
              <w:rPr>
                <w:rFonts w:ascii="Calibri Light" w:hAnsi="Calibri Light" w:cs="Calibri Light"/>
                <w:i/>
                <w:iCs/>
                <w:color w:val="000000"/>
                <w:sz w:val="20"/>
                <w:szCs w:val="20"/>
              </w:rPr>
              <w:t xml:space="preserve"> (known as subsidiary legislation).</w:t>
            </w:r>
            <w:r w:rsidRPr="00B51EEE">
              <w:rPr>
                <w:rFonts w:ascii="Calibri" w:hAnsi="Calibri" w:cs="Times New Roman"/>
                <w:i/>
                <w:iCs/>
              </w:rPr>
              <w:t xml:space="preserve"> </w:t>
            </w:r>
            <w:r w:rsidRPr="00B51EEE">
              <w:rPr>
                <w:rFonts w:ascii="Calibri Light" w:hAnsi="Calibri Light" w:cs="Calibri Light"/>
                <w:i/>
                <w:iCs/>
                <w:color w:val="000000"/>
                <w:sz w:val="20"/>
                <w:szCs w:val="20"/>
              </w:rPr>
              <w:t>The subsidiary legislation sets out the details on the application of the IDI, such as the percentage and computation of qualifying IP income subject to concessionary rate of tax, change in composition of elected family of qualifying intellectual property rights (IPRs), application of deemed income and record-keeping requirements.</w:t>
            </w:r>
          </w:p>
        </w:tc>
      </w:tr>
      <w:tr w:rsidR="00975BFE" w:rsidRPr="00B51EEE" w14:paraId="36186F53" w14:textId="77777777" w:rsidTr="00B51EEE">
        <w:tc>
          <w:tcPr>
            <w:tcW w:w="2269" w:type="dxa"/>
            <w:vAlign w:val="center"/>
          </w:tcPr>
          <w:p w14:paraId="2B95DA70" w14:textId="77777777" w:rsidR="00B51EEE" w:rsidRPr="00B51EEE" w:rsidRDefault="00B51EEE" w:rsidP="00B51EEE">
            <w:pPr>
              <w:rPr>
                <w:rFonts w:ascii="Calibri" w:hAnsi="Calibri" w:cs="Times New Roman"/>
                <w:b/>
                <w:bCs/>
              </w:rPr>
            </w:pPr>
            <w:r w:rsidRPr="00B51EEE">
              <w:rPr>
                <w:rFonts w:ascii="Calibri" w:hAnsi="Calibri" w:cs="Calibri"/>
                <w:b/>
                <w:bCs/>
              </w:rPr>
              <w:t>2. IP Development conditions</w:t>
            </w:r>
          </w:p>
        </w:tc>
        <w:tc>
          <w:tcPr>
            <w:tcW w:w="4394" w:type="dxa"/>
            <w:shd w:val="clear" w:color="auto" w:fill="FFFFFF"/>
          </w:tcPr>
          <w:p w14:paraId="2EE9D521" w14:textId="77777777" w:rsidR="00B51EEE" w:rsidRPr="00B51EEE" w:rsidRDefault="00B51EEE" w:rsidP="00B51EEE">
            <w:pPr>
              <w:rPr>
                <w:rFonts w:ascii="Calibri Light" w:hAnsi="Calibri Light" w:cs="Calibri Light"/>
                <w:b/>
                <w:sz w:val="20"/>
                <w:szCs w:val="20"/>
              </w:rPr>
            </w:pPr>
            <w:r w:rsidRPr="00B51EEE">
              <w:rPr>
                <w:rFonts w:ascii="Calibri Light" w:hAnsi="Calibri Light" w:cs="Calibri Light"/>
                <w:b/>
                <w:sz w:val="20"/>
                <w:szCs w:val="20"/>
              </w:rPr>
              <w:t>Nexus ratio:</w:t>
            </w:r>
          </w:p>
          <w:p w14:paraId="5BA20FAE" w14:textId="77777777" w:rsidR="00B51EEE" w:rsidRPr="00B51EEE" w:rsidRDefault="00004BC1" w:rsidP="00B51EEE">
            <w:pPr>
              <w:rPr>
                <w:rFonts w:ascii="Calibri Light" w:hAnsi="Calibri Light" w:cs="Calibri Light"/>
                <w:sz w:val="20"/>
                <w:szCs w:val="20"/>
              </w:rPr>
            </w:pPr>
            <m:oMathPara>
              <m:oMathParaPr>
                <m:jc m:val="center"/>
              </m:oMathParaPr>
              <m:oMath>
                <m:f>
                  <m:fPr>
                    <m:ctrlPr>
                      <w:rPr>
                        <w:rFonts w:ascii="Cambria Math" w:hAnsi="Cambria Math" w:cs="Arial"/>
                        <w:i/>
                        <w:color w:val="000000"/>
                        <w:sz w:val="20"/>
                        <w:szCs w:val="20"/>
                      </w:rPr>
                    </m:ctrlPr>
                  </m:fPr>
                  <m:num>
                    <m:r>
                      <w:rPr>
                        <w:rFonts w:ascii="Cambria Math" w:hAnsi="Cambria Math" w:cs="Arial"/>
                        <w:sz w:val="20"/>
                        <w:szCs w:val="20"/>
                      </w:rPr>
                      <m:t>(D+S1)×1.3</m:t>
                    </m:r>
                  </m:num>
                  <m:den>
                    <m:r>
                      <w:rPr>
                        <w:rFonts w:ascii="Cambria Math" w:hAnsi="Cambria Math" w:cs="Arial"/>
                        <w:sz w:val="20"/>
                        <w:szCs w:val="20"/>
                      </w:rPr>
                      <m:t>D+S1+S2+A</m:t>
                    </m:r>
                  </m:den>
                </m:f>
              </m:oMath>
            </m:oMathPara>
          </w:p>
          <w:p w14:paraId="734064FE"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b/>
                <w:sz w:val="20"/>
                <w:szCs w:val="20"/>
              </w:rPr>
              <w:t>D =</w:t>
            </w:r>
            <w:r w:rsidRPr="00B51EEE">
              <w:rPr>
                <w:rFonts w:ascii="Calibri Light" w:hAnsi="Calibri Light" w:cs="Calibri Light"/>
                <w:sz w:val="20"/>
                <w:szCs w:val="20"/>
              </w:rPr>
              <w:t xml:space="preserve"> qualifying expenditure on relevant R&amp;D undertaken in-house, including expenditure:</w:t>
            </w:r>
          </w:p>
          <w:p w14:paraId="086F5BDD" w14:textId="77777777" w:rsidR="00B51EEE" w:rsidRPr="00B51EEE" w:rsidRDefault="00B51EEE" w:rsidP="00766C44">
            <w:pPr>
              <w:numPr>
                <w:ilvl w:val="0"/>
                <w:numId w:val="30"/>
              </w:numPr>
              <w:contextualSpacing/>
              <w:rPr>
                <w:rFonts w:ascii="Calibri Light" w:hAnsi="Calibri Light" w:cs="Calibri Light"/>
                <w:sz w:val="20"/>
                <w:szCs w:val="20"/>
              </w:rPr>
            </w:pPr>
            <w:r w:rsidRPr="00B51EEE">
              <w:rPr>
                <w:rFonts w:ascii="Calibri Light" w:hAnsi="Calibri Light" w:cs="Calibri Light"/>
                <w:sz w:val="20"/>
                <w:szCs w:val="20"/>
              </w:rPr>
              <w:t>Incurred on staffing costs</w:t>
            </w:r>
          </w:p>
          <w:p w14:paraId="3323DCDE" w14:textId="77777777" w:rsidR="00B51EEE" w:rsidRPr="00B51EEE" w:rsidRDefault="00B51EEE" w:rsidP="00766C44">
            <w:pPr>
              <w:numPr>
                <w:ilvl w:val="0"/>
                <w:numId w:val="30"/>
              </w:numPr>
              <w:contextualSpacing/>
              <w:rPr>
                <w:rFonts w:ascii="Calibri Light" w:hAnsi="Calibri Light" w:cs="Calibri Light"/>
                <w:sz w:val="20"/>
                <w:szCs w:val="20"/>
              </w:rPr>
            </w:pPr>
            <w:r w:rsidRPr="00B51EEE">
              <w:rPr>
                <w:rFonts w:ascii="Calibri Light" w:hAnsi="Calibri Light" w:cs="Calibri Light"/>
                <w:sz w:val="20"/>
                <w:szCs w:val="20"/>
              </w:rPr>
              <w:t>Incurred on software or consumable items</w:t>
            </w:r>
          </w:p>
          <w:p w14:paraId="01DCF13E" w14:textId="77777777" w:rsidR="00B51EEE" w:rsidRPr="00B51EEE" w:rsidRDefault="00B51EEE" w:rsidP="00766C44">
            <w:pPr>
              <w:numPr>
                <w:ilvl w:val="0"/>
                <w:numId w:val="30"/>
              </w:numPr>
              <w:contextualSpacing/>
              <w:rPr>
                <w:rFonts w:ascii="Calibri Light" w:hAnsi="Calibri Light" w:cs="Calibri Light"/>
                <w:sz w:val="20"/>
                <w:szCs w:val="20"/>
              </w:rPr>
            </w:pPr>
            <w:r w:rsidRPr="00B51EEE">
              <w:rPr>
                <w:rFonts w:ascii="Calibri Light" w:hAnsi="Calibri Light" w:cs="Calibri Light"/>
                <w:sz w:val="20"/>
                <w:szCs w:val="20"/>
              </w:rPr>
              <w:t>Incurred on externally provided workers</w:t>
            </w:r>
          </w:p>
          <w:p w14:paraId="141F7AAB" w14:textId="77777777" w:rsidR="00B51EEE" w:rsidRPr="00B51EEE" w:rsidRDefault="00B51EEE" w:rsidP="00766C44">
            <w:pPr>
              <w:numPr>
                <w:ilvl w:val="0"/>
                <w:numId w:val="30"/>
              </w:numPr>
              <w:contextualSpacing/>
              <w:rPr>
                <w:rFonts w:ascii="Calibri Light" w:hAnsi="Calibri Light" w:cs="Calibri Light"/>
                <w:sz w:val="20"/>
                <w:szCs w:val="20"/>
              </w:rPr>
            </w:pPr>
            <w:r w:rsidRPr="00B51EEE">
              <w:rPr>
                <w:rFonts w:ascii="Calibri Light" w:hAnsi="Calibri Light" w:cs="Calibri Light"/>
                <w:sz w:val="20"/>
                <w:szCs w:val="20"/>
              </w:rPr>
              <w:lastRenderedPageBreak/>
              <w:t>Incurred on relevant payment to the subjects of clinical trials</w:t>
            </w:r>
          </w:p>
          <w:p w14:paraId="16B1ACDF"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b/>
                <w:sz w:val="20"/>
                <w:szCs w:val="20"/>
              </w:rPr>
              <w:t>S1 =</w:t>
            </w:r>
            <w:r w:rsidRPr="00B51EEE">
              <w:rPr>
                <w:rFonts w:ascii="Calibri Light" w:hAnsi="Calibri Light" w:cs="Calibri Light"/>
                <w:sz w:val="20"/>
                <w:szCs w:val="20"/>
              </w:rPr>
              <w:t xml:space="preserve"> qualifying expenditure on relevant R&amp;D sub-contracted to unconnected persons</w:t>
            </w:r>
          </w:p>
          <w:p w14:paraId="39419AB7"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b/>
                <w:sz w:val="20"/>
                <w:szCs w:val="20"/>
              </w:rPr>
              <w:t>S2 =</w:t>
            </w:r>
            <w:r w:rsidRPr="00B51EEE">
              <w:rPr>
                <w:rFonts w:ascii="Calibri Light" w:hAnsi="Calibri Light" w:cs="Calibri Light"/>
                <w:sz w:val="20"/>
                <w:szCs w:val="20"/>
              </w:rPr>
              <w:t xml:space="preserve"> qualifying expenditure on relevant R&amp;D sub-contracted to connected persons</w:t>
            </w:r>
          </w:p>
          <w:p w14:paraId="24D91EB2"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b/>
                <w:sz w:val="20"/>
                <w:szCs w:val="20"/>
              </w:rPr>
              <w:t>A =</w:t>
            </w:r>
            <w:r w:rsidRPr="00B51EEE">
              <w:rPr>
                <w:rFonts w:ascii="Calibri Light" w:hAnsi="Calibri Light" w:cs="Calibri Light"/>
                <w:sz w:val="20"/>
                <w:szCs w:val="20"/>
              </w:rPr>
              <w:t xml:space="preserve"> qualifying expenditure on the acquisition of relevant qualifying IP rights, including exclusive license</w:t>
            </w:r>
          </w:p>
          <w:p w14:paraId="387B5FB1" w14:textId="77777777" w:rsidR="00B51EEE" w:rsidRPr="00B51EEE" w:rsidRDefault="00B51EEE" w:rsidP="00B51EEE">
            <w:pPr>
              <w:rPr>
                <w:rFonts w:ascii="Calibri Light" w:hAnsi="Calibri Light" w:cs="Calibri Light"/>
                <w:sz w:val="20"/>
                <w:szCs w:val="20"/>
              </w:rPr>
            </w:pPr>
          </w:p>
          <w:p w14:paraId="7012D8A6" w14:textId="77777777" w:rsidR="00B51EEE" w:rsidRPr="00B51EEE" w:rsidRDefault="00B51EEE" w:rsidP="00B51EEE">
            <w:pPr>
              <w:rPr>
                <w:rFonts w:ascii="Calibri" w:hAnsi="Calibri" w:cs="Times New Roman"/>
                <w:b/>
                <w:bCs/>
              </w:rPr>
            </w:pPr>
            <w:r w:rsidRPr="00B51EEE">
              <w:rPr>
                <w:rFonts w:ascii="Calibri Light" w:hAnsi="Calibri Light" w:cs="Calibri Light"/>
                <w:sz w:val="20"/>
                <w:szCs w:val="20"/>
              </w:rPr>
              <w:t>Full details are in sections 357BLA, 357BLB, 357BLC, 357BLD and 357BLE of the Corporate Tax Act 2010.</w:t>
            </w:r>
          </w:p>
        </w:tc>
        <w:tc>
          <w:tcPr>
            <w:tcW w:w="4394" w:type="dxa"/>
            <w:shd w:val="clear" w:color="auto" w:fill="FFFFFF"/>
          </w:tcPr>
          <w:p w14:paraId="1E0E3FDC" w14:textId="77777777" w:rsidR="00B51EEE" w:rsidRPr="00B51EEE" w:rsidRDefault="00B51EEE" w:rsidP="00B51EEE">
            <w:pPr>
              <w:rPr>
                <w:rFonts w:ascii="Calibri Light" w:hAnsi="Calibri Light" w:cs="Calibri Light"/>
                <w:b/>
                <w:color w:val="000000"/>
                <w:sz w:val="20"/>
                <w:szCs w:val="20"/>
              </w:rPr>
            </w:pPr>
            <w:r w:rsidRPr="00B51EEE">
              <w:rPr>
                <w:rFonts w:ascii="Calibri Light" w:hAnsi="Calibri Light" w:cs="Calibri Light"/>
                <w:b/>
                <w:color w:val="000000"/>
                <w:sz w:val="20"/>
                <w:szCs w:val="20"/>
              </w:rPr>
              <w:lastRenderedPageBreak/>
              <w:t>Nexus ratio</w:t>
            </w:r>
          </w:p>
          <w:p w14:paraId="23B48F99" w14:textId="77777777" w:rsidR="00B51EEE" w:rsidRPr="00B51EEE" w:rsidRDefault="00B51EEE" w:rsidP="00B51EEE">
            <w:pPr>
              <w:rPr>
                <w:rFonts w:ascii="Calibri Light" w:hAnsi="Calibri Light" w:cs="Calibri Light"/>
                <w:color w:val="000000"/>
                <w:sz w:val="20"/>
                <w:szCs w:val="20"/>
              </w:rPr>
            </w:pPr>
            <w:r w:rsidRPr="00B51EEE">
              <w:rPr>
                <w:rFonts w:ascii="Calibri Light" w:hAnsi="Calibri Light" w:cs="Calibri Light"/>
                <w:color w:val="000000"/>
                <w:sz w:val="20"/>
                <w:szCs w:val="20"/>
              </w:rPr>
              <w:t xml:space="preserve">The modified nexus ratio is calculated as the ratio of Swiss R&amp;D expenses and R&amp;D expenses contracted to third parties multiplied by 130% (30% uplift), divided by the overall global R&amp;D expenses, including the costs of acquiring the IP. The qualifying income (direct patent income or embedded patent income, i.e., income attributable </w:t>
            </w:r>
            <w:r w:rsidRPr="00B51EEE">
              <w:rPr>
                <w:rFonts w:ascii="Calibri Light" w:hAnsi="Calibri Light" w:cs="Calibri Light"/>
                <w:color w:val="000000"/>
                <w:sz w:val="20"/>
                <w:szCs w:val="20"/>
              </w:rPr>
              <w:lastRenderedPageBreak/>
              <w:t xml:space="preserve">to a patent, by-product, or product family determined based on the residual approach), multiplied by the modified nexus ratio, results in the income qualifying for tax relief of up to 90%. </w:t>
            </w:r>
          </w:p>
          <w:p w14:paraId="60F5AEA8" w14:textId="77777777" w:rsidR="00B51EEE" w:rsidRPr="00B51EEE" w:rsidRDefault="00B51EEE" w:rsidP="00B51EEE">
            <w:pPr>
              <w:rPr>
                <w:rFonts w:ascii="Calibri Light" w:hAnsi="Calibri Light" w:cs="Calibri Light"/>
                <w:color w:val="000000"/>
                <w:sz w:val="20"/>
                <w:szCs w:val="20"/>
              </w:rPr>
            </w:pPr>
          </w:p>
          <w:p w14:paraId="4C3A4736" w14:textId="77777777" w:rsidR="00B51EEE" w:rsidRPr="00B51EEE" w:rsidRDefault="00B51EEE" w:rsidP="00B51EEE">
            <w:pPr>
              <w:rPr>
                <w:rFonts w:ascii="Calibri Light" w:hAnsi="Calibri Light" w:cs="Calibri Light"/>
                <w:b/>
                <w:color w:val="000000"/>
                <w:sz w:val="20"/>
                <w:szCs w:val="20"/>
              </w:rPr>
            </w:pPr>
            <w:r w:rsidRPr="00B51EEE">
              <w:rPr>
                <w:rFonts w:ascii="Calibri Light" w:hAnsi="Calibri Light" w:cs="Calibri Light"/>
                <w:b/>
                <w:color w:val="000000"/>
                <w:sz w:val="20"/>
                <w:szCs w:val="20"/>
              </w:rPr>
              <w:t>Documentation duties</w:t>
            </w:r>
          </w:p>
          <w:p w14:paraId="72CAB6D5" w14:textId="77777777" w:rsidR="00B51EEE" w:rsidRPr="00B51EEE" w:rsidRDefault="00B51EEE" w:rsidP="00B51EEE">
            <w:pPr>
              <w:rPr>
                <w:rFonts w:ascii="Calibri" w:hAnsi="Calibri" w:cs="Times New Roman"/>
                <w:b/>
                <w:bCs/>
              </w:rPr>
            </w:pPr>
            <w:r w:rsidRPr="00B51EEE">
              <w:rPr>
                <w:rFonts w:ascii="Calibri Light" w:hAnsi="Calibri Light" w:cs="Calibri Light"/>
                <w:color w:val="000000"/>
                <w:sz w:val="20"/>
                <w:szCs w:val="20"/>
              </w:rPr>
              <w:t xml:space="preserve">Swiss legislation instructs the Swiss Federal Council to issue further provisions for documentation duties.  </w:t>
            </w:r>
          </w:p>
        </w:tc>
        <w:tc>
          <w:tcPr>
            <w:tcW w:w="4536" w:type="dxa"/>
            <w:shd w:val="clear" w:color="auto" w:fill="FFFFFF"/>
          </w:tcPr>
          <w:p w14:paraId="65D50FE0" w14:textId="77777777" w:rsidR="00B51EEE" w:rsidRPr="00B51EEE" w:rsidRDefault="00B51EEE" w:rsidP="00B51EEE">
            <w:pPr>
              <w:rPr>
                <w:rFonts w:ascii="Calibri Light" w:hAnsi="Calibri Light" w:cs="Calibri Light"/>
                <w:b/>
                <w:color w:val="000000"/>
                <w:sz w:val="20"/>
                <w:szCs w:val="20"/>
              </w:rPr>
            </w:pPr>
            <w:r w:rsidRPr="00B51EEE">
              <w:rPr>
                <w:rFonts w:ascii="Calibri Light" w:hAnsi="Calibri Light" w:cs="Calibri Light"/>
                <w:b/>
                <w:color w:val="000000"/>
                <w:sz w:val="20"/>
                <w:szCs w:val="20"/>
              </w:rPr>
              <w:lastRenderedPageBreak/>
              <w:t>Nexus ratio</w:t>
            </w:r>
          </w:p>
          <w:p w14:paraId="39CEE003" w14:textId="77777777" w:rsidR="00B51EEE" w:rsidRPr="00B51EEE" w:rsidRDefault="00B51EEE" w:rsidP="00B51EEE">
            <w:pPr>
              <w:rPr>
                <w:rFonts w:ascii="Calibri Light" w:hAnsi="Calibri Light" w:cs="Calibri Light"/>
                <w:color w:val="000000"/>
                <w:sz w:val="20"/>
                <w:szCs w:val="20"/>
              </w:rPr>
            </w:pPr>
            <w:r w:rsidRPr="00B51EEE">
              <w:rPr>
                <w:rFonts w:ascii="Calibri Light" w:hAnsi="Calibri Light" w:cs="Calibri Light"/>
                <w:color w:val="000000"/>
                <w:sz w:val="20"/>
                <w:szCs w:val="20"/>
              </w:rPr>
              <w:t>The percentage of qualifying IP income from an elected qualifying IPR is determined by the nexus ratio (C x 130%)/C+D where:</w:t>
            </w:r>
          </w:p>
          <w:p w14:paraId="5074B28C" w14:textId="77777777" w:rsidR="00B51EEE" w:rsidRPr="00B51EEE" w:rsidRDefault="00B51EEE" w:rsidP="00B51EEE">
            <w:pPr>
              <w:ind w:left="720"/>
              <w:rPr>
                <w:rFonts w:ascii="Calibri Light" w:hAnsi="Calibri Light" w:cs="Calibri Light"/>
                <w:color w:val="000000"/>
                <w:sz w:val="20"/>
                <w:szCs w:val="20"/>
              </w:rPr>
            </w:pPr>
            <w:r w:rsidRPr="00B51EEE">
              <w:rPr>
                <w:rFonts w:ascii="Calibri Light" w:hAnsi="Calibri Light" w:cs="Calibri Light"/>
                <w:color w:val="000000"/>
                <w:sz w:val="20"/>
                <w:szCs w:val="20"/>
              </w:rPr>
              <w:t>C = Qualifying expenditure: Includes R&amp;D carried out directly by the IDI company, qualifying outsourced R&amp;D, and payments under cost-sharing agreements (CSAs); and</w:t>
            </w:r>
          </w:p>
          <w:p w14:paraId="27F28E6F" w14:textId="77777777" w:rsidR="00B51EEE" w:rsidRPr="00B51EEE" w:rsidRDefault="00B51EEE" w:rsidP="00B51EEE">
            <w:pPr>
              <w:ind w:left="720"/>
              <w:rPr>
                <w:rFonts w:ascii="Calibri Light" w:hAnsi="Calibri Light" w:cs="Calibri Light"/>
                <w:color w:val="000000"/>
                <w:sz w:val="20"/>
                <w:szCs w:val="20"/>
              </w:rPr>
            </w:pPr>
            <w:r w:rsidRPr="00B51EEE">
              <w:rPr>
                <w:rFonts w:ascii="Calibri Light" w:hAnsi="Calibri Light" w:cs="Calibri Light"/>
                <w:color w:val="000000"/>
                <w:sz w:val="20"/>
                <w:szCs w:val="20"/>
              </w:rPr>
              <w:lastRenderedPageBreak/>
              <w:t>D = Nonqualifying expenditure: Includes acquisition costs, licensing, amalgamation, buy-in payments for CSAs, and nonqualifying outsourced R&amp;D, etc.</w:t>
            </w:r>
          </w:p>
          <w:p w14:paraId="1F4F0F8B" w14:textId="77777777" w:rsidR="00B51EEE" w:rsidRPr="00B51EEE" w:rsidRDefault="00B51EEE" w:rsidP="00B51EEE">
            <w:pPr>
              <w:rPr>
                <w:rFonts w:ascii="Calibri Light" w:hAnsi="Calibri Light" w:cs="Calibri Light"/>
                <w:color w:val="000000"/>
                <w:sz w:val="20"/>
                <w:szCs w:val="20"/>
              </w:rPr>
            </w:pPr>
            <w:r w:rsidRPr="00B51EEE">
              <w:rPr>
                <w:rFonts w:ascii="Calibri Light" w:hAnsi="Calibri Light" w:cs="Calibri Light"/>
                <w:color w:val="000000"/>
                <w:sz w:val="20"/>
                <w:szCs w:val="20"/>
              </w:rPr>
              <w:t>The nexus ratio focusses on establishing a nexus between cumulative expenditure, the family of IPRs, and the associated income by apportioning overall qualifying income from the family of qualifying IPRs according to the above ratio of expenditure.</w:t>
            </w:r>
          </w:p>
          <w:p w14:paraId="37140B75" w14:textId="77777777" w:rsidR="00B51EEE" w:rsidRPr="00B51EEE" w:rsidRDefault="00B51EEE" w:rsidP="00B51EEE">
            <w:pPr>
              <w:rPr>
                <w:rFonts w:ascii="Calibri Light" w:hAnsi="Calibri Light" w:cs="Calibri Light"/>
                <w:color w:val="000000"/>
                <w:sz w:val="20"/>
                <w:szCs w:val="20"/>
              </w:rPr>
            </w:pPr>
          </w:p>
          <w:p w14:paraId="170857AE" w14:textId="77777777" w:rsidR="00B51EEE" w:rsidRPr="00B51EEE" w:rsidRDefault="00B51EEE" w:rsidP="00B51EEE">
            <w:pPr>
              <w:rPr>
                <w:rFonts w:ascii="Calibri" w:hAnsi="Calibri" w:cs="Times New Roman"/>
                <w:b/>
                <w:bCs/>
              </w:rPr>
            </w:pPr>
            <w:r w:rsidRPr="00B51EEE">
              <w:rPr>
                <w:rFonts w:ascii="Calibri Light" w:hAnsi="Calibri Light" w:cs="Calibri Light"/>
                <w:i/>
                <w:iCs/>
                <w:color w:val="000000"/>
                <w:sz w:val="20"/>
                <w:szCs w:val="20"/>
              </w:rPr>
              <w:t xml:space="preserve">Note: In the absence of records, transitional modifications to the calculation of the modified nexus ratio are available (see </w:t>
            </w:r>
            <w:hyperlink r:id="rId36" w:history="1">
              <w:r w:rsidRPr="00B51EEE">
                <w:rPr>
                  <w:rFonts w:ascii="Calibri Light" w:hAnsi="Calibri Light" w:cs="Calibri Light"/>
                  <w:i/>
                  <w:iCs/>
                  <w:color w:val="0000FF"/>
                  <w:sz w:val="20"/>
                  <w:szCs w:val="20"/>
                  <w:u w:val="single"/>
                </w:rPr>
                <w:t>source</w:t>
              </w:r>
            </w:hyperlink>
            <w:r w:rsidRPr="00B51EEE">
              <w:rPr>
                <w:rFonts w:ascii="Calibri Light" w:hAnsi="Calibri Light" w:cs="Calibri Light"/>
                <w:i/>
                <w:iCs/>
                <w:color w:val="000000"/>
                <w:sz w:val="20"/>
                <w:szCs w:val="20"/>
              </w:rPr>
              <w:t>)</w:t>
            </w:r>
          </w:p>
        </w:tc>
      </w:tr>
      <w:tr w:rsidR="00975BFE" w:rsidRPr="00B51EEE" w14:paraId="383604AC" w14:textId="77777777" w:rsidTr="00B51EEE">
        <w:tc>
          <w:tcPr>
            <w:tcW w:w="2269" w:type="dxa"/>
            <w:vAlign w:val="center"/>
          </w:tcPr>
          <w:p w14:paraId="62739712" w14:textId="77777777" w:rsidR="00B51EEE" w:rsidRPr="00B51EEE" w:rsidRDefault="00B51EEE" w:rsidP="00B51EEE">
            <w:pPr>
              <w:rPr>
                <w:rFonts w:ascii="Calibri" w:hAnsi="Calibri" w:cs="Times New Roman"/>
                <w:b/>
                <w:bCs/>
              </w:rPr>
            </w:pPr>
            <w:r w:rsidRPr="00B51EEE">
              <w:rPr>
                <w:rFonts w:ascii="Calibri" w:hAnsi="Calibri" w:cs="Calibri"/>
                <w:b/>
                <w:bCs/>
              </w:rPr>
              <w:lastRenderedPageBreak/>
              <w:t>3. Qualifying income</w:t>
            </w:r>
          </w:p>
        </w:tc>
        <w:tc>
          <w:tcPr>
            <w:tcW w:w="4394" w:type="dxa"/>
            <w:shd w:val="clear" w:color="auto" w:fill="FFFFFF"/>
          </w:tcPr>
          <w:p w14:paraId="0777782A"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The following are included in qualifying IP income:</w:t>
            </w:r>
          </w:p>
          <w:p w14:paraId="0D49A8F2" w14:textId="77777777" w:rsidR="00B51EEE" w:rsidRPr="00B51EEE" w:rsidRDefault="00B51EEE" w:rsidP="00766C44">
            <w:pPr>
              <w:numPr>
                <w:ilvl w:val="0"/>
                <w:numId w:val="31"/>
              </w:numPr>
              <w:contextualSpacing/>
              <w:rPr>
                <w:rFonts w:ascii="Calibri Light" w:hAnsi="Calibri Light" w:cs="Calibri Light"/>
                <w:sz w:val="20"/>
                <w:szCs w:val="20"/>
              </w:rPr>
            </w:pPr>
            <w:r w:rsidRPr="00B51EEE">
              <w:rPr>
                <w:rFonts w:ascii="Calibri Light" w:hAnsi="Calibri Light" w:cs="Calibri Light"/>
                <w:sz w:val="20"/>
                <w:szCs w:val="20"/>
              </w:rPr>
              <w:t>Sales income (sale of embedded goods)</w:t>
            </w:r>
          </w:p>
          <w:p w14:paraId="5DE2FC8B" w14:textId="77777777" w:rsidR="00B51EEE" w:rsidRPr="00B51EEE" w:rsidRDefault="00B51EEE" w:rsidP="00766C44">
            <w:pPr>
              <w:numPr>
                <w:ilvl w:val="0"/>
                <w:numId w:val="31"/>
              </w:numPr>
              <w:contextualSpacing/>
              <w:rPr>
                <w:rFonts w:ascii="Calibri Light" w:hAnsi="Calibri Light" w:cs="Calibri Light"/>
                <w:sz w:val="20"/>
                <w:szCs w:val="20"/>
              </w:rPr>
            </w:pPr>
            <w:r w:rsidRPr="00B51EEE">
              <w:rPr>
                <w:rFonts w:ascii="Calibri Light" w:hAnsi="Calibri Light" w:cs="Calibri Light"/>
                <w:sz w:val="20"/>
                <w:szCs w:val="20"/>
              </w:rPr>
              <w:t>License fees</w:t>
            </w:r>
          </w:p>
          <w:p w14:paraId="67FF35EA" w14:textId="77777777" w:rsidR="00B51EEE" w:rsidRPr="00B51EEE" w:rsidRDefault="00B51EEE" w:rsidP="00766C44">
            <w:pPr>
              <w:numPr>
                <w:ilvl w:val="0"/>
                <w:numId w:val="31"/>
              </w:numPr>
              <w:contextualSpacing/>
              <w:rPr>
                <w:rFonts w:ascii="Calibri Light" w:hAnsi="Calibri Light" w:cs="Calibri Light"/>
                <w:sz w:val="20"/>
                <w:szCs w:val="20"/>
              </w:rPr>
            </w:pPr>
            <w:r w:rsidRPr="00B51EEE">
              <w:rPr>
                <w:rFonts w:ascii="Calibri Light" w:hAnsi="Calibri Light" w:cs="Calibri Light"/>
                <w:sz w:val="20"/>
                <w:szCs w:val="20"/>
              </w:rPr>
              <w:t>Proceeds of sale (sale of IP)</w:t>
            </w:r>
          </w:p>
          <w:p w14:paraId="44C42E8B" w14:textId="77777777" w:rsidR="00B51EEE" w:rsidRPr="00B51EEE" w:rsidRDefault="00B51EEE" w:rsidP="00766C44">
            <w:pPr>
              <w:numPr>
                <w:ilvl w:val="0"/>
                <w:numId w:val="31"/>
              </w:numPr>
              <w:contextualSpacing/>
              <w:rPr>
                <w:rFonts w:ascii="Calibri Light" w:hAnsi="Calibri Light" w:cs="Calibri Light"/>
                <w:sz w:val="20"/>
                <w:szCs w:val="20"/>
              </w:rPr>
            </w:pPr>
            <w:r w:rsidRPr="00B51EEE">
              <w:rPr>
                <w:rFonts w:ascii="Calibri Light" w:hAnsi="Calibri Light" w:cs="Calibri Light"/>
                <w:sz w:val="20"/>
                <w:szCs w:val="20"/>
              </w:rPr>
              <w:t>Damages for infringement</w:t>
            </w:r>
          </w:p>
          <w:p w14:paraId="353A70D9" w14:textId="77777777" w:rsidR="00B51EEE" w:rsidRPr="00B51EEE" w:rsidRDefault="00B51EEE" w:rsidP="00766C44">
            <w:pPr>
              <w:numPr>
                <w:ilvl w:val="0"/>
                <w:numId w:val="31"/>
              </w:numPr>
              <w:contextualSpacing/>
              <w:rPr>
                <w:rFonts w:ascii="Calibri Light" w:hAnsi="Calibri Light" w:cs="Calibri Light"/>
                <w:sz w:val="20"/>
                <w:szCs w:val="20"/>
              </w:rPr>
            </w:pPr>
            <w:r w:rsidRPr="00B51EEE">
              <w:rPr>
                <w:rFonts w:ascii="Calibri Light" w:hAnsi="Calibri Light" w:cs="Calibri Light"/>
                <w:sz w:val="20"/>
                <w:szCs w:val="20"/>
              </w:rPr>
              <w:t>Other compensation (from infringement)</w:t>
            </w:r>
          </w:p>
          <w:p w14:paraId="1E081352"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Subject to the following exclusions:</w:t>
            </w:r>
          </w:p>
          <w:p w14:paraId="36D9E624" w14:textId="77777777" w:rsidR="00B51EEE" w:rsidRPr="00B51EEE" w:rsidRDefault="00B51EEE" w:rsidP="00766C44">
            <w:pPr>
              <w:numPr>
                <w:ilvl w:val="0"/>
                <w:numId w:val="32"/>
              </w:numPr>
              <w:contextualSpacing/>
              <w:rPr>
                <w:rFonts w:ascii="Calibri Light" w:hAnsi="Calibri Light" w:cs="Calibri Light"/>
                <w:sz w:val="20"/>
                <w:szCs w:val="20"/>
              </w:rPr>
            </w:pPr>
            <w:r w:rsidRPr="00B51EEE">
              <w:rPr>
                <w:rFonts w:ascii="Calibri Light" w:hAnsi="Calibri Light" w:cs="Calibri Light"/>
                <w:sz w:val="20"/>
                <w:szCs w:val="20"/>
              </w:rPr>
              <w:t>Income arising from oil extraction activities or oil rights</w:t>
            </w:r>
          </w:p>
          <w:p w14:paraId="605EB324" w14:textId="77777777" w:rsidR="00B51EEE" w:rsidRPr="00B51EEE" w:rsidRDefault="00B51EEE" w:rsidP="00766C44">
            <w:pPr>
              <w:numPr>
                <w:ilvl w:val="0"/>
                <w:numId w:val="32"/>
              </w:numPr>
              <w:contextualSpacing/>
              <w:rPr>
                <w:rFonts w:ascii="Calibri Light" w:hAnsi="Calibri Light" w:cs="Calibri Light"/>
                <w:sz w:val="20"/>
                <w:szCs w:val="20"/>
              </w:rPr>
            </w:pPr>
            <w:r w:rsidRPr="00B51EEE">
              <w:rPr>
                <w:rFonts w:ascii="Calibri Light" w:hAnsi="Calibri Light" w:cs="Calibri Light"/>
                <w:sz w:val="20"/>
                <w:szCs w:val="20"/>
              </w:rPr>
              <w:t>Income attributable to non-exclusive licences</w:t>
            </w:r>
          </w:p>
          <w:p w14:paraId="2C0B5188" w14:textId="77777777" w:rsidR="00B51EEE" w:rsidRPr="00B51EEE" w:rsidRDefault="00B51EEE" w:rsidP="00B51EEE">
            <w:pPr>
              <w:rPr>
                <w:rFonts w:ascii="Calibri Light" w:hAnsi="Calibri Light" w:cs="Calibri Light"/>
                <w:sz w:val="20"/>
                <w:szCs w:val="20"/>
              </w:rPr>
            </w:pPr>
          </w:p>
          <w:p w14:paraId="4943A5FF" w14:textId="77777777" w:rsidR="00B51EEE" w:rsidRPr="00B51EEE" w:rsidRDefault="00B51EEE" w:rsidP="00B51EEE">
            <w:pPr>
              <w:rPr>
                <w:rFonts w:ascii="Arial" w:hAnsi="Arial" w:cs="Arial"/>
                <w:sz w:val="20"/>
                <w:szCs w:val="20"/>
              </w:rPr>
            </w:pPr>
            <w:r w:rsidRPr="00B51EEE">
              <w:rPr>
                <w:rFonts w:ascii="Calibri Light" w:hAnsi="Calibri Light" w:cs="Calibri Light"/>
                <w:sz w:val="20"/>
                <w:szCs w:val="20"/>
              </w:rPr>
              <w:t>Full details are in sections 357BH and 357BHB of the Corporate Tax Act 2010.</w:t>
            </w:r>
          </w:p>
          <w:p w14:paraId="43440E70" w14:textId="77777777" w:rsidR="00B51EEE" w:rsidRPr="00B51EEE" w:rsidRDefault="00B51EEE" w:rsidP="00B51EEE">
            <w:pPr>
              <w:rPr>
                <w:rFonts w:ascii="Arial" w:hAnsi="Arial" w:cs="Arial"/>
                <w:sz w:val="20"/>
                <w:szCs w:val="20"/>
              </w:rPr>
            </w:pPr>
          </w:p>
          <w:p w14:paraId="24EAC09F"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Marketing returns are excluded using standard transfer pricing rules. Small businesses can instead use safe harbour mechanisms to calculate marketing returns, namely 25% of the overall return. Other returns (inc. manufacturing) are calculated using a normal return on 10 per cent on specific expenses.</w:t>
            </w:r>
          </w:p>
          <w:p w14:paraId="5CEC56BF" w14:textId="77777777" w:rsidR="00B51EEE" w:rsidRPr="00B51EEE" w:rsidRDefault="00B51EEE" w:rsidP="00B51EEE">
            <w:pPr>
              <w:rPr>
                <w:rFonts w:ascii="Calibri Light" w:hAnsi="Calibri Light" w:cs="Calibri Light"/>
                <w:sz w:val="20"/>
                <w:szCs w:val="20"/>
              </w:rPr>
            </w:pPr>
          </w:p>
          <w:p w14:paraId="71C8C60F"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lastRenderedPageBreak/>
              <w:t>Full details are in sections 357BJ and 357BK of the Corporate Tax Act 2010.</w:t>
            </w:r>
          </w:p>
          <w:p w14:paraId="3E632423" w14:textId="77777777" w:rsidR="00B51EEE" w:rsidRPr="00B51EEE" w:rsidRDefault="00B51EEE" w:rsidP="00B51EEE">
            <w:pPr>
              <w:rPr>
                <w:rFonts w:ascii="Calibri" w:hAnsi="Calibri" w:cs="Times New Roman"/>
                <w:b/>
                <w:bCs/>
              </w:rPr>
            </w:pPr>
          </w:p>
        </w:tc>
        <w:tc>
          <w:tcPr>
            <w:tcW w:w="4394" w:type="dxa"/>
            <w:shd w:val="clear" w:color="auto" w:fill="FFFFFF"/>
          </w:tcPr>
          <w:p w14:paraId="7C6E21C3"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lastRenderedPageBreak/>
              <w:t xml:space="preserve">The profits attributable to the patent box can include royalties, capital gains from the sale of the patent. Qualifying income is direct patent income, or embedded patent income (i.e., income attributable to a patent, by-product, or product family determined based on the residual approach), subject to the modified nexus ratio (see </w:t>
            </w:r>
            <w:hyperlink r:id="rId37" w:history="1">
              <w:r w:rsidRPr="00B51EEE">
                <w:rPr>
                  <w:rFonts w:ascii="Calibri Light" w:hAnsi="Calibri Light" w:cs="Calibri Light"/>
                  <w:color w:val="0000FF"/>
                  <w:sz w:val="20"/>
                  <w:szCs w:val="20"/>
                  <w:u w:val="single"/>
                </w:rPr>
                <w:t>source</w:t>
              </w:r>
            </w:hyperlink>
            <w:r w:rsidRPr="00B51EEE">
              <w:rPr>
                <w:rFonts w:ascii="Calibri Light" w:hAnsi="Calibri Light" w:cs="Calibri Light"/>
                <w:sz w:val="20"/>
                <w:szCs w:val="20"/>
              </w:rPr>
              <w:t xml:space="preserve">). </w:t>
            </w:r>
          </w:p>
          <w:p w14:paraId="281227E2"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 xml:space="preserve">Where the IP is contained in a product, the box profit is calculated by using the residual method, i.e. by deducting income for routine functions (equal 6% of the product costs) and brand fee (ad hoc) from the net profit of the product (see </w:t>
            </w:r>
            <w:hyperlink r:id="rId38" w:history="1">
              <w:r w:rsidRPr="00B51EEE">
                <w:rPr>
                  <w:rFonts w:ascii="Calibri Light" w:hAnsi="Calibri Light" w:cs="Calibri Light"/>
                  <w:color w:val="0000FF"/>
                  <w:sz w:val="20"/>
                  <w:szCs w:val="20"/>
                  <w:u w:val="single"/>
                </w:rPr>
                <w:t>source</w:t>
              </w:r>
            </w:hyperlink>
            <w:r w:rsidRPr="00B51EEE">
              <w:rPr>
                <w:rFonts w:ascii="Calibri Light" w:hAnsi="Calibri Light" w:cs="Calibri Light"/>
                <w:sz w:val="20"/>
                <w:szCs w:val="20"/>
              </w:rPr>
              <w:t>).</w:t>
            </w:r>
          </w:p>
          <w:p w14:paraId="5B90CE42" w14:textId="77777777" w:rsidR="00B51EEE" w:rsidRPr="00B51EEE" w:rsidRDefault="00B51EEE" w:rsidP="00B51EEE">
            <w:pPr>
              <w:rPr>
                <w:rFonts w:ascii="Calibri Light" w:hAnsi="Calibri Light" w:cs="Calibri Light"/>
                <w:sz w:val="20"/>
                <w:szCs w:val="20"/>
              </w:rPr>
            </w:pPr>
          </w:p>
          <w:p w14:paraId="5D45ACEA" w14:textId="77777777" w:rsidR="00B51EEE" w:rsidRPr="00B51EEE" w:rsidRDefault="00B51EEE" w:rsidP="00B51EEE">
            <w:pPr>
              <w:rPr>
                <w:rFonts w:ascii="Calibri Light" w:hAnsi="Calibri Light" w:cs="Calibri Light"/>
                <w:b/>
                <w:bCs/>
                <w:sz w:val="20"/>
                <w:szCs w:val="20"/>
              </w:rPr>
            </w:pPr>
            <w:r w:rsidRPr="00B51EEE">
              <w:rPr>
                <w:rFonts w:ascii="Calibri Light" w:hAnsi="Calibri Light" w:cs="Calibri Light"/>
                <w:b/>
                <w:bCs/>
                <w:sz w:val="20"/>
                <w:szCs w:val="20"/>
              </w:rPr>
              <w:t>Manufacturing</w:t>
            </w:r>
          </w:p>
          <w:p w14:paraId="55077F46" w14:textId="4AC1678C" w:rsidR="00B51EEE" w:rsidRPr="00B51EEE" w:rsidRDefault="00B51EEE" w:rsidP="00C35255">
            <w:pPr>
              <w:rPr>
                <w:rFonts w:ascii="Calibri" w:hAnsi="Calibri" w:cs="Times New Roman"/>
                <w:b/>
                <w:bCs/>
              </w:rPr>
            </w:pPr>
            <w:r w:rsidRPr="00B51EEE">
              <w:rPr>
                <w:rFonts w:ascii="Calibri Light" w:hAnsi="Calibri Light" w:cs="Calibri Light"/>
                <w:sz w:val="20"/>
                <w:szCs w:val="20"/>
              </w:rPr>
              <w:t xml:space="preserve">The </w:t>
            </w:r>
            <w:r w:rsidR="00C35255">
              <w:rPr>
                <w:rFonts w:ascii="Calibri Light" w:hAnsi="Calibri Light" w:cs="Calibri Light"/>
                <w:sz w:val="20"/>
                <w:szCs w:val="20"/>
              </w:rPr>
              <w:t>S</w:t>
            </w:r>
            <w:r w:rsidR="00C35255" w:rsidRPr="00B51EEE">
              <w:rPr>
                <w:rFonts w:ascii="Calibri Light" w:hAnsi="Calibri Light" w:cs="Calibri Light"/>
                <w:sz w:val="20"/>
                <w:szCs w:val="20"/>
              </w:rPr>
              <w:t xml:space="preserve">wiss </w:t>
            </w:r>
            <w:r w:rsidRPr="00B51EEE">
              <w:rPr>
                <w:rFonts w:ascii="Calibri Light" w:hAnsi="Calibri Light" w:cs="Calibri Light"/>
                <w:sz w:val="20"/>
                <w:szCs w:val="20"/>
              </w:rPr>
              <w:t xml:space="preserve">patent box essentially applies to manufacturing activity minus a 6 per cent return. This would mean any manufacturing with returns above 6 per cent would benefit from the regime. </w:t>
            </w:r>
          </w:p>
        </w:tc>
        <w:tc>
          <w:tcPr>
            <w:tcW w:w="4536" w:type="dxa"/>
            <w:shd w:val="clear" w:color="auto" w:fill="FFFFFF"/>
          </w:tcPr>
          <w:p w14:paraId="1BAA7A59" w14:textId="77777777" w:rsidR="00B51EEE" w:rsidRPr="00B51EEE" w:rsidRDefault="00B51EEE" w:rsidP="00B51EEE">
            <w:pPr>
              <w:rPr>
                <w:rFonts w:ascii="Calibri Light" w:hAnsi="Calibri Light" w:cs="Calibri Light"/>
                <w:color w:val="000000"/>
                <w:sz w:val="20"/>
                <w:szCs w:val="20"/>
              </w:rPr>
            </w:pPr>
            <w:r w:rsidRPr="00B51EEE">
              <w:rPr>
                <w:rFonts w:ascii="Calibri Light" w:hAnsi="Calibri Light" w:cs="Calibri Light"/>
                <w:color w:val="000000"/>
                <w:sz w:val="20"/>
                <w:szCs w:val="20"/>
              </w:rPr>
              <w:t>Qualifying IP income refers to royalties or other income receivable by the approved IDI company as consideration for the commercial exploitation of an elected qualifying IPR.</w:t>
            </w:r>
          </w:p>
          <w:p w14:paraId="76245A9B" w14:textId="77777777" w:rsidR="00B51EEE" w:rsidRPr="00B51EEE" w:rsidRDefault="00B51EEE" w:rsidP="00B51EEE">
            <w:pPr>
              <w:rPr>
                <w:rFonts w:ascii="Calibri Light" w:hAnsi="Calibri Light" w:cs="Calibri Light"/>
                <w:color w:val="000000"/>
                <w:sz w:val="20"/>
                <w:szCs w:val="20"/>
              </w:rPr>
            </w:pPr>
          </w:p>
          <w:p w14:paraId="6BB4E7F0" w14:textId="77777777" w:rsidR="00B51EEE" w:rsidRPr="00B51EEE" w:rsidRDefault="00B51EEE" w:rsidP="00B51EEE">
            <w:pPr>
              <w:rPr>
                <w:rFonts w:ascii="Calibri Light" w:hAnsi="Calibri Light" w:cs="Calibri Light"/>
                <w:b/>
                <w:bCs/>
                <w:sz w:val="20"/>
                <w:szCs w:val="20"/>
              </w:rPr>
            </w:pPr>
            <w:r w:rsidRPr="00B51EEE">
              <w:rPr>
                <w:rFonts w:ascii="Calibri Light" w:hAnsi="Calibri Light" w:cs="Calibri Light"/>
                <w:b/>
                <w:bCs/>
                <w:sz w:val="20"/>
                <w:szCs w:val="20"/>
              </w:rPr>
              <w:t xml:space="preserve">Manufacturing </w:t>
            </w:r>
          </w:p>
          <w:p w14:paraId="1632D74E"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 xml:space="preserve">Singapore </w:t>
            </w:r>
            <w:proofErr w:type="gramStart"/>
            <w:r w:rsidRPr="00B51EEE">
              <w:rPr>
                <w:rFonts w:ascii="Calibri Light" w:hAnsi="Calibri Light" w:cs="Calibri Light"/>
                <w:sz w:val="20"/>
                <w:szCs w:val="20"/>
              </w:rPr>
              <w:t>provide</w:t>
            </w:r>
            <w:proofErr w:type="gramEnd"/>
            <w:r w:rsidRPr="00B51EEE">
              <w:rPr>
                <w:rFonts w:ascii="Calibri Light" w:hAnsi="Calibri Light" w:cs="Calibri Light"/>
                <w:sz w:val="20"/>
                <w:szCs w:val="20"/>
              </w:rPr>
              <w:t xml:space="preserve"> equivalent manufacturing tax relief through the Pioneer Certificate Incentive (PC) and Development and Expansion Incentive (DEI) (see </w:t>
            </w:r>
            <w:hyperlink r:id="rId39" w:history="1">
              <w:r w:rsidRPr="00B51EEE">
                <w:rPr>
                  <w:rFonts w:ascii="Calibri Light" w:hAnsi="Calibri Light" w:cs="Calibri Light"/>
                  <w:color w:val="0000FF"/>
                  <w:sz w:val="20"/>
                  <w:szCs w:val="20"/>
                  <w:u w:val="single"/>
                </w:rPr>
                <w:t>source</w:t>
              </w:r>
            </w:hyperlink>
            <w:r w:rsidRPr="00B51EEE">
              <w:rPr>
                <w:rFonts w:ascii="Calibri Light" w:hAnsi="Calibri Light" w:cs="Calibri Light"/>
                <w:sz w:val="20"/>
                <w:szCs w:val="20"/>
              </w:rPr>
              <w:t xml:space="preserve">). </w:t>
            </w:r>
          </w:p>
          <w:p w14:paraId="377A7B37" w14:textId="77777777" w:rsidR="00B51EEE" w:rsidRPr="00B51EEE" w:rsidRDefault="00B51EEE" w:rsidP="00B51EEE">
            <w:pPr>
              <w:rPr>
                <w:rFonts w:ascii="Calibri Light" w:hAnsi="Calibri Light" w:cs="Calibri Light"/>
                <w:sz w:val="20"/>
                <w:szCs w:val="20"/>
              </w:rPr>
            </w:pPr>
          </w:p>
          <w:p w14:paraId="70D5C970"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 xml:space="preserve">An approved company* under the PC or DEI is eligible for a corporate tax exemption or a concessionary tax rate of 5 per cent or 10 per cent, respectively, on income derived from qualifying activities (see </w:t>
            </w:r>
            <w:hyperlink r:id="rId40" w:history="1">
              <w:r w:rsidRPr="00B51EEE">
                <w:rPr>
                  <w:rFonts w:ascii="Calibri Light" w:hAnsi="Calibri Light" w:cs="Calibri Light"/>
                  <w:color w:val="0000FF"/>
                  <w:sz w:val="20"/>
                  <w:szCs w:val="20"/>
                  <w:u w:val="single"/>
                </w:rPr>
                <w:t>source</w:t>
              </w:r>
            </w:hyperlink>
            <w:r w:rsidRPr="00B51EEE">
              <w:rPr>
                <w:rFonts w:ascii="Calibri Light" w:hAnsi="Calibri Light" w:cs="Calibri Light"/>
                <w:sz w:val="20"/>
                <w:szCs w:val="20"/>
              </w:rPr>
              <w:t xml:space="preserve">). IP income was in the PC and the DEI pre-BEPS (see </w:t>
            </w:r>
            <w:hyperlink r:id="rId41" w:history="1">
              <w:r w:rsidRPr="00B51EEE">
                <w:rPr>
                  <w:rFonts w:ascii="Calibri Light" w:hAnsi="Calibri Light" w:cs="Calibri Light"/>
                  <w:color w:val="0000FF"/>
                  <w:sz w:val="20"/>
                  <w:szCs w:val="20"/>
                  <w:u w:val="single"/>
                </w:rPr>
                <w:t>source</w:t>
              </w:r>
            </w:hyperlink>
            <w:r w:rsidRPr="00B51EEE">
              <w:rPr>
                <w:rFonts w:ascii="Calibri Light" w:hAnsi="Calibri Light" w:cs="Calibri Light"/>
                <w:sz w:val="20"/>
                <w:szCs w:val="20"/>
              </w:rPr>
              <w:t xml:space="preserve">). </w:t>
            </w:r>
          </w:p>
          <w:p w14:paraId="549DD36F" w14:textId="77777777" w:rsidR="00B51EEE" w:rsidRPr="00B51EEE" w:rsidRDefault="00B51EEE" w:rsidP="00B51EEE">
            <w:pPr>
              <w:rPr>
                <w:rFonts w:ascii="Calibri Light" w:hAnsi="Calibri Light" w:cs="Calibri Light"/>
                <w:sz w:val="20"/>
                <w:szCs w:val="20"/>
              </w:rPr>
            </w:pPr>
          </w:p>
          <w:p w14:paraId="45C52C01" w14:textId="77777777" w:rsidR="00B51EEE" w:rsidRPr="00B51EEE" w:rsidRDefault="00B51EEE" w:rsidP="00B51EEE">
            <w:pPr>
              <w:rPr>
                <w:rFonts w:ascii="Calibri" w:hAnsi="Calibri" w:cs="Times New Roman"/>
                <w:b/>
                <w:bCs/>
              </w:rPr>
            </w:pPr>
            <w:r w:rsidRPr="00B51EEE">
              <w:rPr>
                <w:rFonts w:ascii="Calibri Light" w:hAnsi="Calibri Light" w:cs="Calibri Light"/>
                <w:i/>
                <w:iCs/>
                <w:sz w:val="20"/>
                <w:szCs w:val="20"/>
              </w:rPr>
              <w:t>Note: The DEI and PC are administered by the Economic Development Board (EDB) and awarded to companies making significant economic contributions to Singapore.</w:t>
            </w:r>
          </w:p>
        </w:tc>
      </w:tr>
      <w:tr w:rsidR="00975BFE" w:rsidRPr="00B51EEE" w14:paraId="71AA3941" w14:textId="77777777" w:rsidTr="00B51EEE">
        <w:tc>
          <w:tcPr>
            <w:tcW w:w="2269" w:type="dxa"/>
            <w:vAlign w:val="center"/>
          </w:tcPr>
          <w:p w14:paraId="0B5DF9F4" w14:textId="77777777" w:rsidR="00B51EEE" w:rsidRPr="00B51EEE" w:rsidRDefault="00B51EEE" w:rsidP="00B51EEE">
            <w:pPr>
              <w:rPr>
                <w:rFonts w:ascii="Calibri" w:hAnsi="Calibri" w:cs="Times New Roman"/>
                <w:b/>
                <w:bCs/>
              </w:rPr>
            </w:pPr>
            <w:r w:rsidRPr="00B51EEE">
              <w:rPr>
                <w:rFonts w:ascii="Calibri" w:hAnsi="Calibri" w:cs="Calibri"/>
                <w:b/>
                <w:bCs/>
              </w:rPr>
              <w:t>4. Qualifying Profits and Losses</w:t>
            </w:r>
          </w:p>
        </w:tc>
        <w:tc>
          <w:tcPr>
            <w:tcW w:w="4394" w:type="dxa"/>
            <w:shd w:val="clear" w:color="auto" w:fill="FFFFFF"/>
          </w:tcPr>
          <w:p w14:paraId="2F4AB359" w14:textId="77777777" w:rsidR="00B51EEE" w:rsidRPr="00B51EEE" w:rsidRDefault="00B51EEE" w:rsidP="00B51EEE">
            <w:pPr>
              <w:autoSpaceDE w:val="0"/>
              <w:autoSpaceDN w:val="0"/>
              <w:adjustRightInd w:val="0"/>
              <w:rPr>
                <w:rFonts w:ascii="Calibri Light" w:hAnsi="Calibri Light" w:cs="Calibri Light"/>
                <w:sz w:val="20"/>
                <w:szCs w:val="20"/>
              </w:rPr>
            </w:pPr>
            <w:r w:rsidRPr="00B51EEE">
              <w:rPr>
                <w:rFonts w:ascii="Calibri Light" w:hAnsi="Calibri Light" w:cs="Calibri Light"/>
                <w:sz w:val="20"/>
                <w:szCs w:val="20"/>
              </w:rPr>
              <w:t xml:space="preserve">If an IP stream generates a loss in accounting periods from the point an IP asset is granted or an entity elects </w:t>
            </w:r>
            <w:proofErr w:type="gramStart"/>
            <w:r w:rsidRPr="00B51EEE">
              <w:rPr>
                <w:rFonts w:ascii="Calibri Light" w:hAnsi="Calibri Light" w:cs="Calibri Light"/>
                <w:sz w:val="20"/>
                <w:szCs w:val="20"/>
              </w:rPr>
              <w:t>into</w:t>
            </w:r>
            <w:proofErr w:type="gramEnd"/>
            <w:r w:rsidRPr="00B51EEE">
              <w:rPr>
                <w:rFonts w:ascii="Calibri Light" w:hAnsi="Calibri Light" w:cs="Calibri Light"/>
                <w:sz w:val="20"/>
                <w:szCs w:val="20"/>
              </w:rPr>
              <w:t xml:space="preserve"> the patent box regime, this must be carried forward as a set-off amount. Eligible income can only receive concessional treatment if the set-off amount has been reduced to zero.</w:t>
            </w:r>
          </w:p>
          <w:p w14:paraId="5FCF2F87" w14:textId="77777777" w:rsidR="00B51EEE" w:rsidRPr="00B51EEE" w:rsidRDefault="00B51EEE" w:rsidP="00B51EEE">
            <w:pPr>
              <w:autoSpaceDE w:val="0"/>
              <w:autoSpaceDN w:val="0"/>
              <w:adjustRightInd w:val="0"/>
              <w:rPr>
                <w:rFonts w:ascii="Calibri Light" w:hAnsi="Calibri Light" w:cs="Calibri Light"/>
                <w:sz w:val="20"/>
                <w:szCs w:val="20"/>
              </w:rPr>
            </w:pPr>
          </w:p>
          <w:p w14:paraId="2A5F31D9" w14:textId="77777777" w:rsidR="00B51EEE" w:rsidRPr="00B51EEE" w:rsidRDefault="00B51EEE" w:rsidP="00B51EEE">
            <w:pPr>
              <w:autoSpaceDE w:val="0"/>
              <w:autoSpaceDN w:val="0"/>
              <w:adjustRightInd w:val="0"/>
              <w:rPr>
                <w:rFonts w:ascii="Calibri Light" w:hAnsi="Calibri Light" w:cs="Calibri Light"/>
                <w:sz w:val="20"/>
                <w:szCs w:val="20"/>
              </w:rPr>
            </w:pPr>
            <w:r w:rsidRPr="00B51EEE">
              <w:rPr>
                <w:rFonts w:ascii="Calibri Light" w:hAnsi="Calibri Light" w:cs="Calibri Light"/>
                <w:sz w:val="20"/>
                <w:szCs w:val="20"/>
              </w:rPr>
              <w:t>A company may also elect, for each IP steam, for all IP profits and losses in that IP stream, for the period in between the IP protection is applied for and granted, to be included in the patent box calculation for the first accounting period after the IP protection is granted.</w:t>
            </w:r>
          </w:p>
          <w:p w14:paraId="21082993" w14:textId="77777777" w:rsidR="00B51EEE" w:rsidRPr="00B51EEE" w:rsidRDefault="00B51EEE" w:rsidP="00B51EEE">
            <w:pPr>
              <w:ind w:left="567" w:hanging="567"/>
              <w:rPr>
                <w:rFonts w:ascii="Calibri Light" w:hAnsi="Calibri Light" w:cs="Calibri Light"/>
                <w:sz w:val="20"/>
                <w:szCs w:val="20"/>
              </w:rPr>
            </w:pPr>
          </w:p>
          <w:p w14:paraId="512FBAC7"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Full details are in sections 357CQ and 357EC of the Corporate Tax Act 2010.</w:t>
            </w:r>
          </w:p>
          <w:p w14:paraId="2F1D3DFC" w14:textId="77777777" w:rsidR="00B51EEE" w:rsidRPr="00B51EEE" w:rsidRDefault="00B51EEE" w:rsidP="00B51EEE">
            <w:pPr>
              <w:rPr>
                <w:rFonts w:ascii="Calibri" w:hAnsi="Calibri" w:cs="Times New Roman"/>
                <w:b/>
                <w:bCs/>
              </w:rPr>
            </w:pPr>
          </w:p>
        </w:tc>
        <w:tc>
          <w:tcPr>
            <w:tcW w:w="4394" w:type="dxa"/>
            <w:shd w:val="clear" w:color="auto" w:fill="FFFFFF"/>
          </w:tcPr>
          <w:p w14:paraId="0FDFB049"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 xml:space="preserve">The net profit from patents and similar rights contained in products is calculated by subtracting 6% of the costs allocated to these products from the net profit from these products as well as the remuneration for trademarks. </w:t>
            </w:r>
          </w:p>
          <w:p w14:paraId="137A9BCA" w14:textId="77777777" w:rsidR="00B51EEE" w:rsidRPr="00B51EEE" w:rsidRDefault="00B51EEE" w:rsidP="00B51EEE">
            <w:pPr>
              <w:rPr>
                <w:rFonts w:ascii="Calibri Light" w:hAnsi="Calibri Light" w:cs="Calibri Light"/>
                <w:sz w:val="20"/>
                <w:szCs w:val="20"/>
              </w:rPr>
            </w:pPr>
          </w:p>
          <w:p w14:paraId="61B761DB"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 xml:space="preserve">Entry into the patent box is linked to a "buy-in" mechanism in which the qualifying R&amp;D costs over the last 10 years, which were deducted from the taxable base, need to be taken into account. In Zug and Zurich, these entry costs may be offset against patent box profits in the first five years. In Basel, the entry costs are taxed at a very low rate (0.5%) in the first year (see </w:t>
            </w:r>
            <w:hyperlink r:id="rId42" w:history="1">
              <w:r w:rsidRPr="00B51EEE">
                <w:rPr>
                  <w:rFonts w:ascii="Calibri Light" w:hAnsi="Calibri Light" w:cs="Calibri Light"/>
                  <w:color w:val="0000FF"/>
                  <w:sz w:val="20"/>
                  <w:szCs w:val="20"/>
                  <w:u w:val="single"/>
                </w:rPr>
                <w:t>source</w:t>
              </w:r>
            </w:hyperlink>
            <w:r w:rsidRPr="00B51EEE">
              <w:rPr>
                <w:rFonts w:ascii="Calibri Light" w:hAnsi="Calibri Light" w:cs="Calibri Light"/>
                <w:sz w:val="20"/>
                <w:szCs w:val="20"/>
              </w:rPr>
              <w:t>).</w:t>
            </w:r>
          </w:p>
          <w:p w14:paraId="533207B7" w14:textId="77777777" w:rsidR="00B51EEE" w:rsidRPr="00B51EEE" w:rsidRDefault="00B51EEE" w:rsidP="00B51EEE">
            <w:pPr>
              <w:rPr>
                <w:rFonts w:ascii="Calibri" w:hAnsi="Calibri" w:cs="Times New Roman"/>
                <w:b/>
                <w:bCs/>
              </w:rPr>
            </w:pPr>
          </w:p>
        </w:tc>
        <w:tc>
          <w:tcPr>
            <w:tcW w:w="4536" w:type="dxa"/>
            <w:shd w:val="clear" w:color="auto" w:fill="FFFFFF"/>
          </w:tcPr>
          <w:p w14:paraId="415EECAB" w14:textId="77777777" w:rsidR="00B51EEE" w:rsidRPr="00B51EEE" w:rsidRDefault="00B51EEE" w:rsidP="00B51EEE">
            <w:pPr>
              <w:rPr>
                <w:rFonts w:ascii="Calibri" w:hAnsi="Calibri" w:cs="Times New Roman"/>
                <w:b/>
                <w:bCs/>
              </w:rPr>
            </w:pPr>
            <w:r w:rsidRPr="00B51EEE">
              <w:rPr>
                <w:rFonts w:ascii="Calibri Light" w:hAnsi="Calibri Light" w:cs="Calibri Light"/>
                <w:color w:val="000000"/>
                <w:sz w:val="20"/>
                <w:szCs w:val="20"/>
              </w:rPr>
              <w:t xml:space="preserve">Full details are available in Singapore </w:t>
            </w:r>
            <w:hyperlink r:id="rId43" w:history="1">
              <w:r w:rsidRPr="00B51EEE">
                <w:rPr>
                  <w:rFonts w:ascii="Calibri Light" w:hAnsi="Calibri Light" w:cs="Calibri Light"/>
                  <w:color w:val="0000FF"/>
                  <w:sz w:val="20"/>
                  <w:szCs w:val="20"/>
                  <w:u w:val="single"/>
                </w:rPr>
                <w:t>legislation</w:t>
              </w:r>
            </w:hyperlink>
            <w:r w:rsidRPr="00B51EEE">
              <w:rPr>
                <w:rFonts w:ascii="Calibri Light" w:hAnsi="Calibri Light" w:cs="Calibri Light"/>
                <w:color w:val="000000"/>
                <w:sz w:val="20"/>
                <w:szCs w:val="20"/>
              </w:rPr>
              <w:t xml:space="preserve"> and </w:t>
            </w:r>
            <w:hyperlink r:id="rId44" w:history="1">
              <w:r w:rsidRPr="00B51EEE">
                <w:rPr>
                  <w:rFonts w:ascii="Calibri Light" w:hAnsi="Calibri Light" w:cs="Calibri Light"/>
                  <w:color w:val="0000FF"/>
                  <w:sz w:val="20"/>
                  <w:szCs w:val="20"/>
                  <w:u w:val="single"/>
                </w:rPr>
                <w:t>Regulations</w:t>
              </w:r>
            </w:hyperlink>
            <w:r w:rsidRPr="00B51EEE">
              <w:rPr>
                <w:rFonts w:ascii="Calibri Light" w:hAnsi="Calibri Light" w:cs="Calibri Light"/>
                <w:color w:val="000000"/>
                <w:sz w:val="20"/>
                <w:szCs w:val="20"/>
              </w:rPr>
              <w:t xml:space="preserve"> (known as subsidiary legislation). </w:t>
            </w:r>
            <w:r w:rsidRPr="00B51EEE">
              <w:rPr>
                <w:rFonts w:ascii="Calibri Light" w:hAnsi="Calibri Light" w:cs="Calibri Light"/>
                <w:sz w:val="20"/>
                <w:szCs w:val="20"/>
              </w:rPr>
              <w:t>The subsidiary legislation sets out the details on the application of the IDI, such as the percentage and computation of qualifying IP income subject to concessionary rate of tax, change in composition of elected family of qualifying intellectual property rights (IPRs), application of deemed income and record-keeping requirements.</w:t>
            </w:r>
          </w:p>
        </w:tc>
      </w:tr>
      <w:tr w:rsidR="00975BFE" w:rsidRPr="00B51EEE" w14:paraId="409FABAB" w14:textId="77777777" w:rsidTr="00B51EEE">
        <w:tc>
          <w:tcPr>
            <w:tcW w:w="2269" w:type="dxa"/>
            <w:vAlign w:val="center"/>
          </w:tcPr>
          <w:p w14:paraId="2A636A5A" w14:textId="77777777" w:rsidR="00B51EEE" w:rsidRPr="00B51EEE" w:rsidRDefault="00B51EEE" w:rsidP="00B51EEE">
            <w:pPr>
              <w:rPr>
                <w:rFonts w:ascii="Calibri" w:hAnsi="Calibri" w:cs="Times New Roman"/>
                <w:b/>
                <w:bCs/>
              </w:rPr>
            </w:pPr>
            <w:r w:rsidRPr="00B51EEE">
              <w:rPr>
                <w:rFonts w:ascii="Calibri" w:hAnsi="Calibri" w:cs="Calibri"/>
                <w:b/>
                <w:bCs/>
              </w:rPr>
              <w:t>5. Tax Relief (extent and form)</w:t>
            </w:r>
          </w:p>
        </w:tc>
        <w:tc>
          <w:tcPr>
            <w:tcW w:w="4394" w:type="dxa"/>
            <w:shd w:val="clear" w:color="auto" w:fill="FFFFFF"/>
          </w:tcPr>
          <w:p w14:paraId="42F3BC5D"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 xml:space="preserve">There is no limit on the extent of relief a taxpayer may receive from the patent box. </w:t>
            </w:r>
          </w:p>
          <w:p w14:paraId="1B8E0212" w14:textId="77777777" w:rsidR="00B51EEE" w:rsidRPr="00B51EEE" w:rsidRDefault="00B51EEE" w:rsidP="00B51EEE">
            <w:pPr>
              <w:rPr>
                <w:rFonts w:ascii="Calibri Light" w:hAnsi="Calibri Light" w:cs="Calibri Light"/>
                <w:sz w:val="20"/>
                <w:szCs w:val="20"/>
              </w:rPr>
            </w:pPr>
          </w:p>
          <w:p w14:paraId="31F22E8D"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 xml:space="preserve">The concession takes the form of a tax deduction calculated to provide the taxpayer an effective 10% rate on relevant IP profits in an accounting period. </w:t>
            </w:r>
          </w:p>
          <w:p w14:paraId="32F0B209" w14:textId="77777777" w:rsidR="00B51EEE" w:rsidRPr="00B51EEE" w:rsidRDefault="00B51EEE" w:rsidP="00B51EEE">
            <w:pPr>
              <w:rPr>
                <w:rFonts w:ascii="Calibri Light" w:hAnsi="Calibri Light" w:cs="Calibri Light"/>
                <w:sz w:val="20"/>
                <w:szCs w:val="20"/>
              </w:rPr>
            </w:pPr>
          </w:p>
          <w:p w14:paraId="56EAE2CD" w14:textId="77777777" w:rsidR="00B51EEE" w:rsidRPr="00B51EEE" w:rsidRDefault="00B51EEE" w:rsidP="00B51EEE">
            <w:pPr>
              <w:rPr>
                <w:rFonts w:ascii="Calibri" w:hAnsi="Calibri" w:cs="Times New Roman"/>
                <w:b/>
                <w:bCs/>
              </w:rPr>
            </w:pPr>
            <w:r w:rsidRPr="00B51EEE">
              <w:rPr>
                <w:rFonts w:ascii="Calibri Light" w:hAnsi="Calibri Light" w:cs="Calibri Light"/>
                <w:sz w:val="20"/>
                <w:szCs w:val="20"/>
              </w:rPr>
              <w:t>Full details are in section 357A of the Corporate Tax Act 2010.</w:t>
            </w:r>
          </w:p>
        </w:tc>
        <w:tc>
          <w:tcPr>
            <w:tcW w:w="4394" w:type="dxa"/>
            <w:shd w:val="clear" w:color="auto" w:fill="FFFFFF"/>
          </w:tcPr>
          <w:p w14:paraId="0C0BC305"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 xml:space="preserve">Tax relief of up to 90 per cent of patent income, subject to an overall maximum deduction of 70% of taxable profit (when factoring the R&amp;D super deduction of 150% of the eligible R&amp;D base). </w:t>
            </w:r>
          </w:p>
          <w:p w14:paraId="3A45438D" w14:textId="77777777" w:rsidR="00B51EEE" w:rsidRPr="00B51EEE" w:rsidRDefault="00B51EEE" w:rsidP="00B51EEE">
            <w:pPr>
              <w:rPr>
                <w:rFonts w:ascii="Calibri Light" w:hAnsi="Calibri Light" w:cs="Calibri Light"/>
                <w:sz w:val="20"/>
                <w:szCs w:val="20"/>
              </w:rPr>
            </w:pPr>
          </w:p>
          <w:p w14:paraId="0E3D3C90" w14:textId="77777777" w:rsidR="00B51EEE" w:rsidRPr="00B51EEE" w:rsidRDefault="00B51EEE" w:rsidP="00B51EEE">
            <w:pPr>
              <w:rPr>
                <w:rFonts w:ascii="Calibri" w:hAnsi="Calibri" w:cs="Times New Roman"/>
                <w:b/>
                <w:bCs/>
              </w:rPr>
            </w:pPr>
          </w:p>
        </w:tc>
        <w:tc>
          <w:tcPr>
            <w:tcW w:w="4536" w:type="dxa"/>
            <w:shd w:val="clear" w:color="auto" w:fill="FFFFFF"/>
          </w:tcPr>
          <w:p w14:paraId="5E490699"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Preferential tax rate 5 per cent or 10 per cent granted for eligible income (</w:t>
            </w:r>
            <w:proofErr w:type="gramStart"/>
            <w:r w:rsidRPr="00B51EEE">
              <w:rPr>
                <w:rFonts w:ascii="Calibri Light" w:hAnsi="Calibri Light" w:cs="Calibri Light"/>
                <w:sz w:val="20"/>
                <w:szCs w:val="20"/>
              </w:rPr>
              <w:t>depending</w:t>
            </w:r>
            <w:proofErr w:type="gramEnd"/>
            <w:r w:rsidRPr="00B51EEE">
              <w:rPr>
                <w:rFonts w:ascii="Calibri Light" w:hAnsi="Calibri Light" w:cs="Calibri Light"/>
                <w:sz w:val="20"/>
                <w:szCs w:val="20"/>
              </w:rPr>
              <w:t xml:space="preserve"> size of investment promised and incremental jobs created)). Achieved via tax reduction formula (see Singapore legislation). The concessionary tax rate will also increase by 0.5% at regular intervals as prescribed in the Income Tax Act.</w:t>
            </w:r>
          </w:p>
          <w:p w14:paraId="328F14D1" w14:textId="77777777" w:rsidR="00B51EEE" w:rsidRPr="00B51EEE" w:rsidRDefault="00B51EEE" w:rsidP="00B51EEE">
            <w:pPr>
              <w:rPr>
                <w:rFonts w:ascii="Calibri Light" w:hAnsi="Calibri Light" w:cs="Calibri Light"/>
                <w:sz w:val="20"/>
                <w:szCs w:val="20"/>
              </w:rPr>
            </w:pPr>
          </w:p>
          <w:p w14:paraId="361E6BB8"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The incentive period is limited to an initial period not exceeding ten years, and may be further extended for a period or periods not exceeding ten years each (</w:t>
            </w:r>
            <w:hyperlink r:id="rId45" w:history="1">
              <w:r w:rsidRPr="00B51EEE">
                <w:rPr>
                  <w:rFonts w:ascii="Calibri Light" w:hAnsi="Calibri Light" w:cs="Calibri Light"/>
                  <w:color w:val="0000FF"/>
                  <w:sz w:val="20"/>
                  <w:szCs w:val="20"/>
                  <w:u w:val="single"/>
                </w:rPr>
                <w:t>source</w:t>
              </w:r>
            </w:hyperlink>
            <w:r w:rsidRPr="00B51EEE">
              <w:rPr>
                <w:rFonts w:ascii="Calibri Light" w:hAnsi="Calibri Light" w:cs="Calibri Light"/>
                <w:sz w:val="20"/>
                <w:szCs w:val="20"/>
              </w:rPr>
              <w:t>).</w:t>
            </w:r>
          </w:p>
          <w:p w14:paraId="48174ADC" w14:textId="77777777" w:rsidR="00B51EEE" w:rsidRPr="00B51EEE" w:rsidRDefault="00B51EEE" w:rsidP="00B51EEE">
            <w:pPr>
              <w:rPr>
                <w:rFonts w:ascii="Calibri" w:hAnsi="Calibri" w:cs="Times New Roman"/>
                <w:b/>
                <w:bCs/>
              </w:rPr>
            </w:pPr>
          </w:p>
        </w:tc>
      </w:tr>
      <w:tr w:rsidR="00975BFE" w:rsidRPr="00B51EEE" w14:paraId="616BE572" w14:textId="77777777" w:rsidTr="00B51EEE">
        <w:tc>
          <w:tcPr>
            <w:tcW w:w="2269" w:type="dxa"/>
            <w:vAlign w:val="center"/>
          </w:tcPr>
          <w:p w14:paraId="48899F7B" w14:textId="77777777" w:rsidR="00B51EEE" w:rsidRPr="00B51EEE" w:rsidRDefault="00B51EEE" w:rsidP="00B51EEE">
            <w:pPr>
              <w:rPr>
                <w:rFonts w:ascii="Calibri" w:hAnsi="Calibri" w:cs="Times New Roman"/>
                <w:b/>
                <w:bCs/>
              </w:rPr>
            </w:pPr>
            <w:r w:rsidRPr="00B51EEE">
              <w:rPr>
                <w:rFonts w:ascii="Calibri" w:hAnsi="Calibri" w:cs="Calibri"/>
                <w:b/>
                <w:bCs/>
              </w:rPr>
              <w:t>6. Qualifying (Eligible) Taxpayer</w:t>
            </w:r>
          </w:p>
        </w:tc>
        <w:tc>
          <w:tcPr>
            <w:tcW w:w="4394" w:type="dxa"/>
            <w:shd w:val="clear" w:color="auto" w:fill="FFFFFF"/>
          </w:tcPr>
          <w:p w14:paraId="62B7FBC9"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All companies are eligible. Full details are in section 357B of the Corporate Tax Act 2010.</w:t>
            </w:r>
          </w:p>
          <w:p w14:paraId="47434083" w14:textId="77777777" w:rsidR="00B51EEE" w:rsidRPr="00B51EEE" w:rsidRDefault="00B51EEE" w:rsidP="00B51EEE">
            <w:pPr>
              <w:rPr>
                <w:rFonts w:ascii="Calibri Light" w:hAnsi="Calibri Light" w:cs="Calibri Light"/>
                <w:sz w:val="20"/>
                <w:szCs w:val="20"/>
              </w:rPr>
            </w:pPr>
          </w:p>
          <w:p w14:paraId="7A0EAA0B" w14:textId="77777777" w:rsidR="00B51EEE" w:rsidRPr="00B51EEE" w:rsidRDefault="00B51EEE" w:rsidP="00B51EEE">
            <w:pPr>
              <w:rPr>
                <w:rFonts w:ascii="Calibri" w:hAnsi="Calibri" w:cs="Times New Roman"/>
                <w:b/>
                <w:bCs/>
              </w:rPr>
            </w:pPr>
            <w:r w:rsidRPr="00B51EEE">
              <w:rPr>
                <w:rFonts w:ascii="Calibri Light" w:hAnsi="Calibri Light" w:cs="Calibri Light"/>
                <w:sz w:val="20"/>
                <w:szCs w:val="20"/>
              </w:rPr>
              <w:lastRenderedPageBreak/>
              <w:t>UK previously allowed patents to be held by ‘holding companies’, but this was not allowed under the revised UK patent box. This may indicate that OECD rules don’t allow for entities beyond companies.</w:t>
            </w:r>
          </w:p>
        </w:tc>
        <w:tc>
          <w:tcPr>
            <w:tcW w:w="4394" w:type="dxa"/>
            <w:shd w:val="clear" w:color="auto" w:fill="FFFFFF"/>
          </w:tcPr>
          <w:p w14:paraId="1F9E5AA4" w14:textId="77777777" w:rsidR="00B51EEE" w:rsidRPr="00B51EEE" w:rsidRDefault="00B51EEE" w:rsidP="00B51EEE">
            <w:pPr>
              <w:rPr>
                <w:rFonts w:ascii="Calibri" w:hAnsi="Calibri" w:cs="Times New Roman"/>
                <w:b/>
                <w:bCs/>
              </w:rPr>
            </w:pPr>
            <w:r w:rsidRPr="00B51EEE">
              <w:rPr>
                <w:rFonts w:ascii="Calibri Light" w:hAnsi="Calibri Light" w:cs="Calibri Light"/>
                <w:sz w:val="20"/>
                <w:szCs w:val="20"/>
              </w:rPr>
              <w:lastRenderedPageBreak/>
              <w:t>Corporation or cooperative. See English version of legislation provided by the OECD.</w:t>
            </w:r>
          </w:p>
        </w:tc>
        <w:tc>
          <w:tcPr>
            <w:tcW w:w="4536" w:type="dxa"/>
            <w:shd w:val="clear" w:color="auto" w:fill="FFFFFF"/>
          </w:tcPr>
          <w:p w14:paraId="1907F5C2" w14:textId="78AE5234" w:rsidR="00B51EEE" w:rsidRPr="00B51EEE" w:rsidRDefault="00B51EEE" w:rsidP="00D133EE">
            <w:pPr>
              <w:rPr>
                <w:rFonts w:ascii="Calibri" w:hAnsi="Calibri" w:cs="Times New Roman"/>
                <w:b/>
                <w:bCs/>
              </w:rPr>
            </w:pPr>
            <w:r w:rsidRPr="00B51EEE">
              <w:rPr>
                <w:rFonts w:ascii="Calibri Light" w:hAnsi="Calibri Light" w:cs="Calibri Light"/>
                <w:sz w:val="20"/>
                <w:szCs w:val="20"/>
              </w:rPr>
              <w:t xml:space="preserve">A company approved must be approved by minister or delegate to receive the lower rate. Non-eligible income must be in a separate company account. </w:t>
            </w:r>
          </w:p>
        </w:tc>
      </w:tr>
      <w:tr w:rsidR="00975BFE" w:rsidRPr="00B51EEE" w14:paraId="729CE55F" w14:textId="77777777" w:rsidTr="00B51EEE">
        <w:tc>
          <w:tcPr>
            <w:tcW w:w="2269" w:type="dxa"/>
            <w:vAlign w:val="center"/>
          </w:tcPr>
          <w:p w14:paraId="034E3BAE" w14:textId="77777777" w:rsidR="00B51EEE" w:rsidRPr="00B51EEE" w:rsidRDefault="00B51EEE" w:rsidP="00B51EEE">
            <w:pPr>
              <w:rPr>
                <w:rFonts w:ascii="Calibri" w:hAnsi="Calibri" w:cs="Times New Roman"/>
                <w:b/>
                <w:bCs/>
              </w:rPr>
            </w:pPr>
            <w:r w:rsidRPr="00B51EEE">
              <w:rPr>
                <w:rFonts w:ascii="Calibri" w:hAnsi="Calibri" w:cs="Calibri"/>
                <w:b/>
                <w:bCs/>
              </w:rPr>
              <w:t>7. Industry definitions</w:t>
            </w:r>
          </w:p>
        </w:tc>
        <w:tc>
          <w:tcPr>
            <w:tcW w:w="4394" w:type="dxa"/>
            <w:shd w:val="clear" w:color="auto" w:fill="FFFFFF"/>
          </w:tcPr>
          <w:p w14:paraId="6B543FF3" w14:textId="77777777" w:rsidR="00B51EEE" w:rsidRPr="00B51EEE" w:rsidRDefault="00B51EEE" w:rsidP="00B51EEE">
            <w:pPr>
              <w:rPr>
                <w:rFonts w:ascii="Calibri Light" w:hAnsi="Calibri Light" w:cs="Calibri Light"/>
                <w:sz w:val="20"/>
                <w:szCs w:val="20"/>
              </w:rPr>
            </w:pPr>
            <w:r w:rsidRPr="00B51EEE">
              <w:rPr>
                <w:rFonts w:ascii="Calibri Light" w:hAnsi="Calibri Light" w:cs="Calibri Light"/>
                <w:sz w:val="20"/>
                <w:szCs w:val="20"/>
              </w:rPr>
              <w:t xml:space="preserve">The oil industry is excluded, with definitions tied to activity rather than the IP asset. </w:t>
            </w:r>
          </w:p>
          <w:p w14:paraId="1A2640E6" w14:textId="77777777" w:rsidR="00B51EEE" w:rsidRPr="00B51EEE" w:rsidRDefault="00B51EEE" w:rsidP="00B51EEE">
            <w:pPr>
              <w:rPr>
                <w:rFonts w:ascii="Calibri Light" w:hAnsi="Calibri Light" w:cs="Calibri Light"/>
                <w:sz w:val="20"/>
                <w:szCs w:val="20"/>
              </w:rPr>
            </w:pPr>
          </w:p>
          <w:p w14:paraId="48946616" w14:textId="77777777" w:rsidR="00B51EEE" w:rsidRPr="00B51EEE" w:rsidRDefault="00B51EEE" w:rsidP="00B51EEE">
            <w:pPr>
              <w:rPr>
                <w:rFonts w:ascii="Calibri" w:hAnsi="Calibri" w:cs="Times New Roman"/>
                <w:b/>
                <w:bCs/>
              </w:rPr>
            </w:pPr>
            <w:r w:rsidRPr="00B51EEE">
              <w:rPr>
                <w:rFonts w:ascii="Calibri Light" w:hAnsi="Calibri Light" w:cs="Calibri Light"/>
                <w:sz w:val="20"/>
                <w:szCs w:val="20"/>
              </w:rPr>
              <w:t>Full definitions can be found in sections 272 and 273 of the Corporate Tax Act 2010.</w:t>
            </w:r>
          </w:p>
        </w:tc>
        <w:tc>
          <w:tcPr>
            <w:tcW w:w="4394" w:type="dxa"/>
            <w:shd w:val="clear" w:color="auto" w:fill="FFFFFF"/>
          </w:tcPr>
          <w:p w14:paraId="001D2C1E" w14:textId="77777777" w:rsidR="00B51EEE" w:rsidRPr="00B51EEE" w:rsidRDefault="00B51EEE" w:rsidP="00B51EEE">
            <w:pPr>
              <w:rPr>
                <w:rFonts w:ascii="Calibri" w:hAnsi="Calibri" w:cs="Times New Roman"/>
                <w:b/>
                <w:bCs/>
              </w:rPr>
            </w:pPr>
            <w:r w:rsidRPr="00B51EEE">
              <w:rPr>
                <w:rFonts w:ascii="Calibri Light" w:hAnsi="Calibri Light" w:cs="Calibri Light"/>
                <w:sz w:val="20"/>
                <w:szCs w:val="20"/>
              </w:rPr>
              <w:t>Applies to whole of economy.</w:t>
            </w:r>
          </w:p>
        </w:tc>
        <w:tc>
          <w:tcPr>
            <w:tcW w:w="4536" w:type="dxa"/>
            <w:shd w:val="clear" w:color="auto" w:fill="FFFFFF"/>
          </w:tcPr>
          <w:p w14:paraId="7A32315E" w14:textId="77777777" w:rsidR="00B51EEE" w:rsidRPr="00B51EEE" w:rsidRDefault="00B51EEE" w:rsidP="00B51EEE">
            <w:pPr>
              <w:rPr>
                <w:rFonts w:ascii="Calibri" w:hAnsi="Calibri" w:cs="Times New Roman"/>
                <w:b/>
                <w:bCs/>
              </w:rPr>
            </w:pPr>
            <w:r w:rsidRPr="00B51EEE">
              <w:rPr>
                <w:rFonts w:ascii="Calibri Light" w:hAnsi="Calibri Light" w:cs="Calibri Light"/>
                <w:sz w:val="20"/>
                <w:szCs w:val="20"/>
              </w:rPr>
              <w:t>Applies to whole of economy.</w:t>
            </w:r>
          </w:p>
        </w:tc>
      </w:tr>
    </w:tbl>
    <w:p w14:paraId="13B75370" w14:textId="099C0D82" w:rsidR="008E6C3D" w:rsidRDefault="008E6C3D" w:rsidP="00273BBF"/>
    <w:p w14:paraId="42BEF9AF" w14:textId="77777777" w:rsidR="008E6C3D" w:rsidRDefault="008E6C3D">
      <w:r>
        <w:br w:type="page"/>
      </w:r>
    </w:p>
    <w:p w14:paraId="1C734660" w14:textId="15B906AA" w:rsidR="008E6C3D" w:rsidRPr="008E6C3D" w:rsidRDefault="008E6C3D" w:rsidP="008E6C3D">
      <w:pPr>
        <w:ind w:left="-709"/>
        <w:rPr>
          <w:rFonts w:ascii="Calibri" w:eastAsia="Calibri" w:hAnsi="Calibri" w:cs="Times New Roman"/>
          <w:b/>
          <w:bCs/>
        </w:rPr>
      </w:pPr>
      <w:r w:rsidRPr="008E6C3D">
        <w:rPr>
          <w:rFonts w:ascii="Calibri" w:eastAsia="Calibri" w:hAnsi="Calibri" w:cs="Times New Roman"/>
          <w:b/>
          <w:bCs/>
        </w:rPr>
        <w:lastRenderedPageBreak/>
        <w:t>Attachment B: Patent box rate and design</w:t>
      </w:r>
    </w:p>
    <w:p w14:paraId="0D5FA267" w14:textId="77777777" w:rsidR="008E6C3D" w:rsidRPr="008E6C3D" w:rsidRDefault="008E6C3D" w:rsidP="00766C44">
      <w:pPr>
        <w:pStyle w:val="Bullet"/>
        <w:keepNext w:val="0"/>
        <w:numPr>
          <w:ilvl w:val="0"/>
          <w:numId w:val="33"/>
        </w:numPr>
        <w:spacing w:line="256" w:lineRule="auto"/>
        <w:rPr>
          <w:rFonts w:ascii="Calibri Light" w:hAnsi="Calibri Light" w:cs="Calibri Light"/>
          <w:sz w:val="20"/>
          <w:szCs w:val="20"/>
        </w:rPr>
      </w:pPr>
      <w:r w:rsidRPr="0098052C">
        <w:rPr>
          <w:rFonts w:ascii="Calibri Light" w:hAnsi="Calibri Light" w:cs="Calibri Light"/>
          <w:b/>
          <w:bCs/>
          <w:sz w:val="20"/>
          <w:szCs w:val="20"/>
        </w:rPr>
        <w:t>Rate and Discount:</w:t>
      </w:r>
      <w:r w:rsidRPr="008E6C3D">
        <w:rPr>
          <w:rFonts w:ascii="Calibri Light" w:hAnsi="Calibri Light" w:cs="Calibri Light"/>
          <w:sz w:val="20"/>
          <w:szCs w:val="20"/>
        </w:rPr>
        <w:t xml:space="preserve"> The average rate is around 9 – 10 per cent and the average discount from the headline rate is around 13 – 15 per cent. </w:t>
      </w:r>
    </w:p>
    <w:p w14:paraId="28E5EE82" w14:textId="77777777" w:rsidR="008E6C3D" w:rsidRPr="008E6C3D" w:rsidRDefault="008E6C3D" w:rsidP="00766C44">
      <w:pPr>
        <w:pStyle w:val="Bullet"/>
        <w:keepNext w:val="0"/>
        <w:numPr>
          <w:ilvl w:val="0"/>
          <w:numId w:val="33"/>
        </w:numPr>
        <w:spacing w:line="256" w:lineRule="auto"/>
        <w:rPr>
          <w:rFonts w:ascii="Calibri Light" w:hAnsi="Calibri Light" w:cs="Calibri Light"/>
          <w:sz w:val="20"/>
          <w:szCs w:val="20"/>
        </w:rPr>
      </w:pPr>
      <w:r w:rsidRPr="0098052C">
        <w:rPr>
          <w:rFonts w:ascii="Calibri Light" w:hAnsi="Calibri Light" w:cs="Calibri Light"/>
          <w:b/>
          <w:bCs/>
          <w:sz w:val="20"/>
          <w:szCs w:val="20"/>
        </w:rPr>
        <w:t>Base:</w:t>
      </w:r>
      <w:r w:rsidRPr="008E6C3D">
        <w:rPr>
          <w:rFonts w:ascii="Calibri Light" w:hAnsi="Calibri Light" w:cs="Calibri Light"/>
          <w:sz w:val="20"/>
          <w:szCs w:val="20"/>
        </w:rPr>
        <w:t xml:space="preserve"> All countries apply their IP regimes to patents. Many apply it to software. Some apply it to plant variety rights, industrial designs and models and circuit topography. A few countries apply it to medicine rights, such as market authorisations by regulators (</w:t>
      </w:r>
      <w:proofErr w:type="gramStart"/>
      <w:r w:rsidRPr="008E6C3D">
        <w:rPr>
          <w:rFonts w:ascii="Calibri Light" w:hAnsi="Calibri Light" w:cs="Calibri Light"/>
          <w:sz w:val="20"/>
          <w:szCs w:val="20"/>
        </w:rPr>
        <w:t>e.g.</w:t>
      </w:r>
      <w:proofErr w:type="gramEnd"/>
      <w:r w:rsidRPr="008E6C3D">
        <w:rPr>
          <w:rFonts w:ascii="Calibri Light" w:hAnsi="Calibri Light" w:cs="Calibri Light"/>
          <w:sz w:val="20"/>
          <w:szCs w:val="20"/>
        </w:rPr>
        <w:t xml:space="preserve"> Therapeutic Goods Administration equivalents).  Some apply it to IP in small and medium businesses that are patentable (but not necessarily patented).</w:t>
      </w:r>
    </w:p>
    <w:p w14:paraId="17FBC7B2" w14:textId="77777777" w:rsidR="008E6C3D" w:rsidRPr="008E6C3D" w:rsidRDefault="008E6C3D" w:rsidP="00766C44">
      <w:pPr>
        <w:pStyle w:val="Dash"/>
        <w:numPr>
          <w:ilvl w:val="1"/>
          <w:numId w:val="33"/>
        </w:numPr>
        <w:spacing w:line="256" w:lineRule="auto"/>
        <w:rPr>
          <w:rFonts w:ascii="Calibri Light" w:hAnsi="Calibri Light" w:cs="Calibri Light"/>
          <w:sz w:val="20"/>
          <w:szCs w:val="20"/>
        </w:rPr>
      </w:pPr>
      <w:r w:rsidRPr="008E6C3D">
        <w:rPr>
          <w:rFonts w:ascii="Calibri Light" w:hAnsi="Calibri Light" w:cs="Calibri Light"/>
          <w:sz w:val="20"/>
          <w:szCs w:val="20"/>
        </w:rPr>
        <w:t>A few countries apply additional restrictions based on R&amp;D expenditure, employment or tying it to other declarations such as R&amp;D tax incentives.</w:t>
      </w:r>
    </w:p>
    <w:p w14:paraId="3128C2AB" w14:textId="77777777" w:rsidR="008E6C3D" w:rsidRPr="008E6C3D" w:rsidRDefault="008E6C3D" w:rsidP="00766C44">
      <w:pPr>
        <w:pStyle w:val="Bullet"/>
        <w:keepNext w:val="0"/>
        <w:numPr>
          <w:ilvl w:val="0"/>
          <w:numId w:val="33"/>
        </w:numPr>
        <w:spacing w:line="256" w:lineRule="auto"/>
        <w:rPr>
          <w:rFonts w:ascii="Calibri Light" w:hAnsi="Calibri Light" w:cs="Calibri Light"/>
          <w:sz w:val="20"/>
          <w:szCs w:val="20"/>
        </w:rPr>
      </w:pPr>
      <w:r w:rsidRPr="0098052C">
        <w:rPr>
          <w:rFonts w:ascii="Calibri Light" w:hAnsi="Calibri Light" w:cs="Calibri Light"/>
          <w:b/>
          <w:bCs/>
          <w:sz w:val="20"/>
          <w:szCs w:val="20"/>
        </w:rPr>
        <w:t>Definition of income:</w:t>
      </w:r>
      <w:r w:rsidRPr="008E6C3D">
        <w:rPr>
          <w:rFonts w:ascii="Calibri Light" w:hAnsi="Calibri Light" w:cs="Calibri Light"/>
          <w:sz w:val="20"/>
          <w:szCs w:val="20"/>
        </w:rPr>
        <w:t xml:space="preserve"> All countries use net income. This typically includes royalties, licence fees, embedded royalty income in the sale of goods and services, income from the sale of IP and damages. However, some countries exclude capital gains and </w:t>
      </w:r>
      <w:proofErr w:type="gramStart"/>
      <w:r w:rsidRPr="008E6C3D">
        <w:rPr>
          <w:rFonts w:ascii="Calibri Light" w:hAnsi="Calibri Light" w:cs="Calibri Light"/>
          <w:sz w:val="20"/>
          <w:szCs w:val="20"/>
        </w:rPr>
        <w:t>others</w:t>
      </w:r>
      <w:proofErr w:type="gramEnd"/>
      <w:r w:rsidRPr="008E6C3D">
        <w:rPr>
          <w:rFonts w:ascii="Calibri Light" w:hAnsi="Calibri Light" w:cs="Calibri Light"/>
          <w:sz w:val="20"/>
          <w:szCs w:val="20"/>
        </w:rPr>
        <w:t xml:space="preserve"> countries exclude embedded income.</w:t>
      </w:r>
    </w:p>
    <w:p w14:paraId="03C0ED25" w14:textId="77777777" w:rsidR="008E6C3D" w:rsidRPr="008E6C3D" w:rsidRDefault="008E6C3D" w:rsidP="00766C44">
      <w:pPr>
        <w:pStyle w:val="Bullet"/>
        <w:keepNext w:val="0"/>
        <w:numPr>
          <w:ilvl w:val="0"/>
          <w:numId w:val="33"/>
        </w:numPr>
        <w:spacing w:line="256" w:lineRule="auto"/>
        <w:rPr>
          <w:rFonts w:ascii="Calibri Light" w:hAnsi="Calibri Light" w:cs="Calibri Light"/>
          <w:sz w:val="20"/>
          <w:szCs w:val="20"/>
        </w:rPr>
      </w:pPr>
      <w:r w:rsidRPr="008E6C3D">
        <w:rPr>
          <w:rFonts w:ascii="Calibri Light" w:hAnsi="Calibri Light" w:cs="Calibri Light"/>
          <w:sz w:val="20"/>
          <w:szCs w:val="20"/>
        </w:rPr>
        <w:t xml:space="preserve">All countries in the table exclude acquisitions of IP from the patent box consistent with OECD guidelines. </w:t>
      </w:r>
      <w:proofErr w:type="gramStart"/>
      <w:r w:rsidRPr="008E6C3D">
        <w:rPr>
          <w:rFonts w:ascii="Calibri Light" w:hAnsi="Calibri Light" w:cs="Calibri Light"/>
          <w:sz w:val="20"/>
          <w:szCs w:val="20"/>
        </w:rPr>
        <w:t>However</w:t>
      </w:r>
      <w:proofErr w:type="gramEnd"/>
      <w:r w:rsidRPr="008E6C3D">
        <w:rPr>
          <w:rFonts w:ascii="Calibri Light" w:hAnsi="Calibri Light" w:cs="Calibri Light"/>
          <w:sz w:val="20"/>
          <w:szCs w:val="20"/>
        </w:rPr>
        <w:t xml:space="preserve"> improvements after acquisition will be included provided taxpayer undertakes the R&amp;D.</w:t>
      </w:r>
    </w:p>
    <w:p w14:paraId="1B5661CF" w14:textId="77777777" w:rsidR="008E6C3D" w:rsidRPr="008E6C3D" w:rsidRDefault="008E6C3D" w:rsidP="00766C44">
      <w:pPr>
        <w:pStyle w:val="Bullet"/>
        <w:keepNext w:val="0"/>
        <w:numPr>
          <w:ilvl w:val="0"/>
          <w:numId w:val="33"/>
        </w:numPr>
        <w:spacing w:line="256" w:lineRule="auto"/>
        <w:rPr>
          <w:rFonts w:ascii="Calibri Light" w:hAnsi="Calibri Light" w:cs="Calibri Light"/>
          <w:sz w:val="20"/>
          <w:szCs w:val="20"/>
        </w:rPr>
      </w:pPr>
      <w:r w:rsidRPr="008E6C3D">
        <w:rPr>
          <w:rFonts w:ascii="Calibri Light" w:hAnsi="Calibri Light" w:cs="Calibri Light"/>
          <w:sz w:val="20"/>
          <w:szCs w:val="20"/>
        </w:rPr>
        <w:t>All countries in the table apply the modified nexus approach, adjusting profits from IP by the proportion of R&amp;D that occurred in the country (or contracted to unrelated parties). Most countries allow local expenditures in this ratio to be uplift by a 30 per cent factor – up to the total spent on the IP.</w:t>
      </w:r>
    </w:p>
    <w:tbl>
      <w:tblPr>
        <w:tblStyle w:val="TableGrid"/>
        <w:tblW w:w="13298" w:type="dxa"/>
        <w:jc w:val="center"/>
        <w:tblLook w:val="04A0" w:firstRow="1" w:lastRow="0" w:firstColumn="1" w:lastColumn="0" w:noHBand="0" w:noVBand="1"/>
      </w:tblPr>
      <w:tblGrid>
        <w:gridCol w:w="1665"/>
        <w:gridCol w:w="1406"/>
        <w:gridCol w:w="1673"/>
        <w:gridCol w:w="1843"/>
        <w:gridCol w:w="3375"/>
        <w:gridCol w:w="3336"/>
      </w:tblGrid>
      <w:tr w:rsidR="008E6C3D" w:rsidRPr="008E6C3D" w14:paraId="448E853F" w14:textId="77777777" w:rsidTr="008E6C3D">
        <w:trPr>
          <w:trHeight w:val="770"/>
          <w:tblHeader/>
          <w:jc w:val="center"/>
        </w:trPr>
        <w:tc>
          <w:tcPr>
            <w:tcW w:w="1665" w:type="dxa"/>
            <w:tcBorders>
              <w:top w:val="single" w:sz="4" w:space="0" w:color="auto"/>
              <w:left w:val="single" w:sz="4" w:space="0" w:color="auto"/>
              <w:bottom w:val="single" w:sz="4" w:space="0" w:color="auto"/>
              <w:right w:val="single" w:sz="4" w:space="0" w:color="auto"/>
            </w:tcBorders>
            <w:shd w:val="clear" w:color="auto" w:fill="D3D3D3" w:themeFill="background2" w:themeFillShade="E6"/>
            <w:vAlign w:val="bottom"/>
            <w:hideMark/>
          </w:tcPr>
          <w:p w14:paraId="5BF312F8" w14:textId="77777777" w:rsidR="008E6C3D" w:rsidRPr="008E6C3D" w:rsidRDefault="008E6C3D">
            <w:pPr>
              <w:jc w:val="center"/>
              <w:rPr>
                <w:rFonts w:ascii="Calibri Light" w:hAnsi="Calibri Light" w:cs="Calibri Light"/>
                <w:bCs/>
              </w:rPr>
            </w:pPr>
            <w:r w:rsidRPr="008E6C3D">
              <w:rPr>
                <w:rFonts w:ascii="Calibri Light" w:hAnsi="Calibri Light" w:cs="Calibri Light"/>
                <w:bCs/>
              </w:rPr>
              <w:t>Country</w:t>
            </w:r>
          </w:p>
        </w:tc>
        <w:tc>
          <w:tcPr>
            <w:tcW w:w="1406" w:type="dxa"/>
            <w:tcBorders>
              <w:top w:val="single" w:sz="4" w:space="0" w:color="auto"/>
              <w:left w:val="single" w:sz="4" w:space="0" w:color="auto"/>
              <w:bottom w:val="single" w:sz="4" w:space="0" w:color="auto"/>
              <w:right w:val="single" w:sz="4" w:space="0" w:color="auto"/>
            </w:tcBorders>
            <w:shd w:val="clear" w:color="auto" w:fill="D3D3D3" w:themeFill="background2" w:themeFillShade="E6"/>
            <w:vAlign w:val="bottom"/>
            <w:hideMark/>
          </w:tcPr>
          <w:p w14:paraId="172BACF5" w14:textId="77777777" w:rsidR="008E6C3D" w:rsidRPr="008E6C3D" w:rsidRDefault="008E6C3D">
            <w:pPr>
              <w:jc w:val="center"/>
              <w:rPr>
                <w:rFonts w:ascii="Calibri Light" w:hAnsi="Calibri Light" w:cs="Calibri Light"/>
                <w:bCs/>
              </w:rPr>
            </w:pPr>
            <w:r w:rsidRPr="008E6C3D">
              <w:rPr>
                <w:rFonts w:ascii="Calibri Light" w:hAnsi="Calibri Light" w:cs="Calibri Light"/>
                <w:bCs/>
              </w:rPr>
              <w:t>PB Rate</w:t>
            </w:r>
          </w:p>
          <w:p w14:paraId="0196E5F6" w14:textId="77777777" w:rsidR="008E6C3D" w:rsidRPr="008E6C3D" w:rsidRDefault="008E6C3D">
            <w:pPr>
              <w:jc w:val="center"/>
              <w:rPr>
                <w:rFonts w:ascii="Calibri Light" w:hAnsi="Calibri Light" w:cs="Calibri Light"/>
                <w:bCs/>
              </w:rPr>
            </w:pPr>
            <w:r w:rsidRPr="008E6C3D">
              <w:rPr>
                <w:rFonts w:ascii="Calibri Light" w:hAnsi="Calibri Light" w:cs="Calibri Light"/>
                <w:bCs/>
              </w:rPr>
              <w:t>(</w:t>
            </w:r>
            <w:proofErr w:type="gramStart"/>
            <w:r w:rsidRPr="008E6C3D">
              <w:rPr>
                <w:rFonts w:ascii="Calibri Light" w:hAnsi="Calibri Light" w:cs="Calibri Light"/>
                <w:bCs/>
              </w:rPr>
              <w:t>per</w:t>
            </w:r>
            <w:proofErr w:type="gramEnd"/>
            <w:r w:rsidRPr="008E6C3D">
              <w:rPr>
                <w:rFonts w:ascii="Calibri Light" w:hAnsi="Calibri Light" w:cs="Calibri Light"/>
                <w:bCs/>
              </w:rPr>
              <w:t xml:space="preserve"> cent)</w:t>
            </w:r>
          </w:p>
        </w:tc>
        <w:tc>
          <w:tcPr>
            <w:tcW w:w="1673" w:type="dxa"/>
            <w:tcBorders>
              <w:top w:val="single" w:sz="4" w:space="0" w:color="auto"/>
              <w:left w:val="single" w:sz="4" w:space="0" w:color="auto"/>
              <w:bottom w:val="single" w:sz="4" w:space="0" w:color="auto"/>
              <w:right w:val="single" w:sz="4" w:space="0" w:color="auto"/>
            </w:tcBorders>
            <w:shd w:val="clear" w:color="auto" w:fill="D3D3D3" w:themeFill="background2" w:themeFillShade="E6"/>
            <w:vAlign w:val="bottom"/>
            <w:hideMark/>
          </w:tcPr>
          <w:p w14:paraId="1500AF43" w14:textId="77777777" w:rsidR="008E6C3D" w:rsidRPr="008E6C3D" w:rsidRDefault="008E6C3D">
            <w:pPr>
              <w:jc w:val="center"/>
              <w:rPr>
                <w:rFonts w:ascii="Calibri Light" w:hAnsi="Calibri Light" w:cs="Calibri Light"/>
                <w:bCs/>
              </w:rPr>
            </w:pPr>
            <w:r w:rsidRPr="008E6C3D">
              <w:rPr>
                <w:rFonts w:ascii="Calibri Light" w:hAnsi="Calibri Light" w:cs="Calibri Light"/>
                <w:bCs/>
              </w:rPr>
              <w:t>Corporate rate</w:t>
            </w:r>
          </w:p>
          <w:p w14:paraId="56506D37" w14:textId="77777777" w:rsidR="008E6C3D" w:rsidRPr="008E6C3D" w:rsidRDefault="008E6C3D">
            <w:pPr>
              <w:jc w:val="center"/>
              <w:rPr>
                <w:rFonts w:ascii="Calibri Light" w:hAnsi="Calibri Light" w:cs="Calibri Light"/>
                <w:bCs/>
              </w:rPr>
            </w:pPr>
            <w:r w:rsidRPr="008E6C3D">
              <w:rPr>
                <w:rFonts w:ascii="Calibri Light" w:hAnsi="Calibri Light" w:cs="Calibri Light"/>
                <w:bCs/>
              </w:rPr>
              <w:t>(</w:t>
            </w:r>
            <w:proofErr w:type="gramStart"/>
            <w:r w:rsidRPr="008E6C3D">
              <w:rPr>
                <w:rFonts w:ascii="Calibri Light" w:hAnsi="Calibri Light" w:cs="Calibri Light"/>
                <w:bCs/>
              </w:rPr>
              <w:t>per</w:t>
            </w:r>
            <w:proofErr w:type="gramEnd"/>
            <w:r w:rsidRPr="008E6C3D">
              <w:rPr>
                <w:rFonts w:ascii="Calibri Light" w:hAnsi="Calibri Light" w:cs="Calibri Light"/>
                <w:bCs/>
              </w:rPr>
              <w:t xml:space="preserve"> cent)</w:t>
            </w:r>
          </w:p>
        </w:tc>
        <w:tc>
          <w:tcPr>
            <w:tcW w:w="1843" w:type="dxa"/>
            <w:tcBorders>
              <w:top w:val="single" w:sz="4" w:space="0" w:color="auto"/>
              <w:left w:val="single" w:sz="4" w:space="0" w:color="auto"/>
              <w:bottom w:val="single" w:sz="4" w:space="0" w:color="auto"/>
              <w:right w:val="single" w:sz="4" w:space="0" w:color="auto"/>
            </w:tcBorders>
            <w:shd w:val="clear" w:color="auto" w:fill="D3D3D3" w:themeFill="background2" w:themeFillShade="E6"/>
            <w:vAlign w:val="bottom"/>
            <w:hideMark/>
          </w:tcPr>
          <w:p w14:paraId="667AAE15" w14:textId="77777777" w:rsidR="008E6C3D" w:rsidRPr="008E6C3D" w:rsidRDefault="008E6C3D">
            <w:pPr>
              <w:jc w:val="center"/>
              <w:rPr>
                <w:rFonts w:ascii="Calibri Light" w:hAnsi="Calibri Light" w:cs="Calibri Light"/>
                <w:bCs/>
              </w:rPr>
            </w:pPr>
            <w:r w:rsidRPr="008E6C3D">
              <w:rPr>
                <w:rFonts w:ascii="Calibri Light" w:hAnsi="Calibri Light" w:cs="Calibri Light"/>
                <w:bCs/>
              </w:rPr>
              <w:t xml:space="preserve">Discount </w:t>
            </w:r>
            <w:r w:rsidRPr="008E6C3D">
              <w:rPr>
                <w:rFonts w:ascii="Calibri Light" w:hAnsi="Calibri Light" w:cs="Calibri Light"/>
                <w:bCs/>
              </w:rPr>
              <w:br/>
              <w:t xml:space="preserve"> (per cent)</w:t>
            </w:r>
          </w:p>
        </w:tc>
        <w:tc>
          <w:tcPr>
            <w:tcW w:w="3375" w:type="dxa"/>
            <w:tcBorders>
              <w:top w:val="single" w:sz="4" w:space="0" w:color="auto"/>
              <w:left w:val="single" w:sz="4" w:space="0" w:color="auto"/>
              <w:bottom w:val="single" w:sz="4" w:space="0" w:color="auto"/>
              <w:right w:val="single" w:sz="4" w:space="0" w:color="auto"/>
            </w:tcBorders>
            <w:shd w:val="clear" w:color="auto" w:fill="D3D3D3" w:themeFill="background2" w:themeFillShade="E6"/>
            <w:vAlign w:val="bottom"/>
            <w:hideMark/>
          </w:tcPr>
          <w:p w14:paraId="0B754EB9" w14:textId="77777777" w:rsidR="008E6C3D" w:rsidRPr="008E6C3D" w:rsidRDefault="008E6C3D">
            <w:pPr>
              <w:jc w:val="center"/>
              <w:rPr>
                <w:rFonts w:ascii="Calibri Light" w:hAnsi="Calibri Light" w:cs="Calibri Light"/>
                <w:bCs/>
              </w:rPr>
            </w:pPr>
            <w:r w:rsidRPr="008E6C3D">
              <w:rPr>
                <w:rFonts w:ascii="Calibri Light" w:hAnsi="Calibri Light" w:cs="Calibri Light"/>
                <w:bCs/>
              </w:rPr>
              <w:t>Types of IP</w:t>
            </w:r>
          </w:p>
        </w:tc>
        <w:tc>
          <w:tcPr>
            <w:tcW w:w="3336" w:type="dxa"/>
            <w:tcBorders>
              <w:top w:val="single" w:sz="4" w:space="0" w:color="auto"/>
              <w:left w:val="single" w:sz="4" w:space="0" w:color="auto"/>
              <w:bottom w:val="single" w:sz="4" w:space="0" w:color="auto"/>
              <w:right w:val="single" w:sz="4" w:space="0" w:color="auto"/>
            </w:tcBorders>
            <w:shd w:val="clear" w:color="auto" w:fill="D3D3D3" w:themeFill="background2" w:themeFillShade="E6"/>
            <w:vAlign w:val="bottom"/>
            <w:hideMark/>
          </w:tcPr>
          <w:p w14:paraId="2E59C2AF" w14:textId="77777777" w:rsidR="008E6C3D" w:rsidRPr="008E6C3D" w:rsidRDefault="008E6C3D">
            <w:pPr>
              <w:jc w:val="center"/>
              <w:rPr>
                <w:rFonts w:ascii="Calibri Light" w:hAnsi="Calibri Light" w:cs="Calibri Light"/>
                <w:bCs/>
              </w:rPr>
            </w:pPr>
            <w:r w:rsidRPr="008E6C3D">
              <w:rPr>
                <w:rFonts w:ascii="Calibri Light" w:hAnsi="Calibri Light" w:cs="Calibri Light"/>
                <w:bCs/>
              </w:rPr>
              <w:t>Definition of income</w:t>
            </w:r>
          </w:p>
        </w:tc>
      </w:tr>
      <w:tr w:rsidR="008E6C3D" w:rsidRPr="008E6C3D" w14:paraId="79CA69A6"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A9B47" w14:textId="77777777" w:rsidR="008E6C3D" w:rsidRPr="008E6C3D" w:rsidRDefault="008E6C3D">
            <w:pPr>
              <w:rPr>
                <w:rFonts w:ascii="Calibri Light" w:hAnsi="Calibri Light" w:cs="Calibri Light"/>
                <w:i/>
              </w:rPr>
            </w:pPr>
            <w:r w:rsidRPr="008E6C3D">
              <w:rPr>
                <w:rFonts w:ascii="Calibri Light" w:hAnsi="Calibri Light" w:cs="Calibri Light"/>
                <w:i/>
              </w:rPr>
              <w:t>Belgium</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3C106" w14:textId="77777777" w:rsidR="008E6C3D" w:rsidRPr="008E6C3D" w:rsidRDefault="008E6C3D">
            <w:pPr>
              <w:rPr>
                <w:rFonts w:ascii="Calibri Light" w:hAnsi="Calibri Light" w:cs="Calibri Light"/>
              </w:rPr>
            </w:pPr>
            <w:r w:rsidRPr="008E6C3D">
              <w:rPr>
                <w:rFonts w:ascii="Calibri Light" w:hAnsi="Calibri Light" w:cs="Calibri Light"/>
              </w:rPr>
              <w:t>4.44</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0A892" w14:textId="77777777" w:rsidR="008E6C3D" w:rsidRPr="008E6C3D" w:rsidRDefault="008E6C3D">
            <w:pPr>
              <w:rPr>
                <w:rFonts w:ascii="Calibri Light" w:hAnsi="Calibri Light" w:cs="Calibri Light"/>
              </w:rPr>
            </w:pPr>
            <w:r w:rsidRPr="008E6C3D">
              <w:rPr>
                <w:rFonts w:ascii="Calibri Light" w:hAnsi="Calibri Light" w:cs="Calibri Light"/>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FB503" w14:textId="77777777" w:rsidR="008E6C3D" w:rsidRPr="008E6C3D" w:rsidRDefault="008E6C3D">
            <w:pPr>
              <w:rPr>
                <w:rFonts w:ascii="Calibri Light" w:hAnsi="Calibri Light" w:cs="Calibri Light"/>
              </w:rPr>
            </w:pPr>
            <w:r w:rsidRPr="008E6C3D">
              <w:rPr>
                <w:rFonts w:ascii="Calibri Light" w:hAnsi="Calibri Light" w:cs="Calibri Light"/>
              </w:rPr>
              <w:t>24.56</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03B56"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38E126D6"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Software</w:t>
            </w:r>
          </w:p>
          <w:p w14:paraId="309BBC5B"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Plant variety rights</w:t>
            </w:r>
          </w:p>
          <w:p w14:paraId="6195B604"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Orphan Drugs</w:t>
            </w:r>
          </w:p>
          <w:p w14:paraId="477491D1"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Data and marketing exclusivity</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ADB03"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Royalties</w:t>
            </w:r>
          </w:p>
          <w:p w14:paraId="6180E4FE"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Licence fees</w:t>
            </w:r>
          </w:p>
          <w:p w14:paraId="28DDDB7C"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Embedded income</w:t>
            </w:r>
          </w:p>
          <w:p w14:paraId="6239FD82"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Capital gains</w:t>
            </w:r>
          </w:p>
          <w:p w14:paraId="65BF5FC8"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Damage</w:t>
            </w:r>
          </w:p>
        </w:tc>
      </w:tr>
      <w:tr w:rsidR="008E6C3D" w:rsidRPr="008E6C3D" w14:paraId="7773F069"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3F805" w14:textId="77777777" w:rsidR="008E6C3D" w:rsidRPr="008E6C3D" w:rsidRDefault="008E6C3D">
            <w:pPr>
              <w:rPr>
                <w:rFonts w:ascii="Calibri Light" w:hAnsi="Calibri Light" w:cs="Calibri Light"/>
                <w:i/>
              </w:rPr>
            </w:pPr>
            <w:r w:rsidRPr="008E6C3D">
              <w:rPr>
                <w:rFonts w:ascii="Calibri Light" w:hAnsi="Calibri Light" w:cs="Calibri Light"/>
                <w:i/>
              </w:rPr>
              <w:t>Luxembourg</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EB540" w14:textId="77777777" w:rsidR="008E6C3D" w:rsidRPr="008E6C3D" w:rsidRDefault="008E6C3D">
            <w:pPr>
              <w:rPr>
                <w:rFonts w:ascii="Calibri Light" w:hAnsi="Calibri Light" w:cs="Calibri Light"/>
              </w:rPr>
            </w:pPr>
            <w:r w:rsidRPr="008E6C3D">
              <w:rPr>
                <w:rFonts w:ascii="Calibri Light" w:hAnsi="Calibri Light" w:cs="Calibri Light"/>
              </w:rPr>
              <w:t>4.99</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C457F" w14:textId="77777777" w:rsidR="008E6C3D" w:rsidRPr="008E6C3D" w:rsidRDefault="008E6C3D">
            <w:pPr>
              <w:rPr>
                <w:rFonts w:ascii="Calibri Light" w:hAnsi="Calibri Light" w:cs="Calibri Light"/>
              </w:rPr>
            </w:pPr>
            <w:r w:rsidRPr="008E6C3D">
              <w:rPr>
                <w:rFonts w:ascii="Calibri Light" w:hAnsi="Calibri Light" w:cs="Calibri Light"/>
              </w:rPr>
              <w:t>24.95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2ECAF" w14:textId="77777777" w:rsidR="008E6C3D" w:rsidRPr="008E6C3D" w:rsidRDefault="008E6C3D">
            <w:pPr>
              <w:rPr>
                <w:rFonts w:ascii="Calibri Light" w:hAnsi="Calibri Light" w:cs="Calibri Light"/>
              </w:rPr>
            </w:pPr>
            <w:r w:rsidRPr="008E6C3D">
              <w:rPr>
                <w:rFonts w:ascii="Calibri Light" w:hAnsi="Calibri Light" w:cs="Calibri Light"/>
              </w:rPr>
              <w:t>19.95</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EBD5B"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4D032659"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Software</w:t>
            </w:r>
          </w:p>
          <w:p w14:paraId="0CE2F974"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Plant breeders’ rights</w:t>
            </w:r>
          </w:p>
          <w:p w14:paraId="7A8897CD"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Orphan drugs</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48A4F"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Royalties</w:t>
            </w:r>
          </w:p>
          <w:p w14:paraId="2BAAD5D6"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Embedded income</w:t>
            </w:r>
          </w:p>
          <w:p w14:paraId="53DA441D"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Damages</w:t>
            </w:r>
          </w:p>
        </w:tc>
      </w:tr>
      <w:tr w:rsidR="008E6C3D" w:rsidRPr="008E6C3D" w14:paraId="3049271C"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AF138" w14:textId="77777777" w:rsidR="008E6C3D" w:rsidRPr="008E6C3D" w:rsidRDefault="008E6C3D">
            <w:pPr>
              <w:rPr>
                <w:rFonts w:ascii="Calibri Light" w:hAnsi="Calibri Light" w:cs="Calibri Light"/>
                <w:i/>
              </w:rPr>
            </w:pPr>
            <w:r w:rsidRPr="008E6C3D">
              <w:rPr>
                <w:rFonts w:ascii="Calibri Light" w:hAnsi="Calibri Light" w:cs="Calibri Light"/>
                <w:i/>
              </w:rPr>
              <w:t>Lithuania</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4BB99" w14:textId="77777777" w:rsidR="008E6C3D" w:rsidRPr="008E6C3D" w:rsidRDefault="008E6C3D">
            <w:pPr>
              <w:rPr>
                <w:rFonts w:ascii="Calibri Light" w:hAnsi="Calibri Light" w:cs="Calibri Light"/>
              </w:rPr>
            </w:pPr>
            <w:r w:rsidRPr="008E6C3D">
              <w:rPr>
                <w:rFonts w:ascii="Calibri Light" w:hAnsi="Calibri Light" w:cs="Calibri Light"/>
              </w:rPr>
              <w:t>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DB6A5" w14:textId="77777777" w:rsidR="008E6C3D" w:rsidRPr="008E6C3D" w:rsidRDefault="008E6C3D">
            <w:pPr>
              <w:rPr>
                <w:rFonts w:ascii="Calibri Light" w:hAnsi="Calibri Light" w:cs="Calibri Light"/>
              </w:rPr>
            </w:pPr>
            <w:r w:rsidRPr="008E6C3D">
              <w:rPr>
                <w:rFonts w:ascii="Calibri Light" w:hAnsi="Calibri Light" w:cs="Calibri Light"/>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4BE85" w14:textId="77777777" w:rsidR="008E6C3D" w:rsidRPr="008E6C3D" w:rsidRDefault="008E6C3D">
            <w:pPr>
              <w:rPr>
                <w:rFonts w:ascii="Calibri Light" w:hAnsi="Calibri Light" w:cs="Calibri Light"/>
              </w:rPr>
            </w:pPr>
            <w:r w:rsidRPr="008E6C3D">
              <w:rPr>
                <w:rFonts w:ascii="Calibri Light" w:hAnsi="Calibri Light" w:cs="Calibri Light"/>
              </w:rPr>
              <w:t>10</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DC157"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1E0F1C52"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Software</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E370D"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Royalties</w:t>
            </w:r>
          </w:p>
          <w:p w14:paraId="5052CF94"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Licence payments</w:t>
            </w:r>
          </w:p>
          <w:p w14:paraId="13F24326"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Damages</w:t>
            </w:r>
          </w:p>
          <w:p w14:paraId="5006CF3D"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Other income from use or transfer of IP</w:t>
            </w:r>
          </w:p>
        </w:tc>
      </w:tr>
      <w:tr w:rsidR="008E6C3D" w:rsidRPr="008E6C3D" w14:paraId="155C8C4A"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E2FBF" w14:textId="77777777" w:rsidR="008E6C3D" w:rsidRPr="008E6C3D" w:rsidRDefault="008E6C3D">
            <w:pPr>
              <w:rPr>
                <w:rFonts w:ascii="Calibri Light" w:hAnsi="Calibri Light" w:cs="Calibri Light"/>
                <w:i/>
              </w:rPr>
            </w:pPr>
            <w:r w:rsidRPr="008E6C3D">
              <w:rPr>
                <w:rFonts w:ascii="Calibri Light" w:hAnsi="Calibri Light" w:cs="Calibri Light"/>
                <w:i/>
              </w:rPr>
              <w:t>Poland</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A6C4E" w14:textId="77777777" w:rsidR="008E6C3D" w:rsidRPr="008E6C3D" w:rsidRDefault="008E6C3D">
            <w:pPr>
              <w:rPr>
                <w:rFonts w:ascii="Calibri Light" w:hAnsi="Calibri Light" w:cs="Calibri Light"/>
              </w:rPr>
            </w:pPr>
            <w:r w:rsidRPr="008E6C3D">
              <w:rPr>
                <w:rFonts w:ascii="Calibri Light" w:hAnsi="Calibri Light" w:cs="Calibri Light"/>
              </w:rPr>
              <w:t>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9D5D7" w14:textId="77777777" w:rsidR="008E6C3D" w:rsidRPr="008E6C3D" w:rsidRDefault="008E6C3D">
            <w:pPr>
              <w:rPr>
                <w:rFonts w:ascii="Calibri Light" w:hAnsi="Calibri Light" w:cs="Calibri Light"/>
              </w:rPr>
            </w:pPr>
            <w:r w:rsidRPr="008E6C3D">
              <w:rPr>
                <w:rFonts w:ascii="Calibri Light" w:hAnsi="Calibri Light" w:cs="Calibri Light"/>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D4E88" w14:textId="77777777" w:rsidR="008E6C3D" w:rsidRPr="008E6C3D" w:rsidRDefault="008E6C3D">
            <w:pPr>
              <w:rPr>
                <w:rFonts w:ascii="Calibri Light" w:hAnsi="Calibri Light" w:cs="Calibri Light"/>
              </w:rPr>
            </w:pPr>
            <w:r w:rsidRPr="008E6C3D">
              <w:rPr>
                <w:rFonts w:ascii="Calibri Light" w:hAnsi="Calibri Light" w:cs="Calibri Light"/>
              </w:rPr>
              <w:t>14</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A7E70"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2F717005"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Software</w:t>
            </w:r>
          </w:p>
          <w:p w14:paraId="2DE347C9"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Industrial designs</w:t>
            </w:r>
          </w:p>
          <w:p w14:paraId="0345A6F1"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lastRenderedPageBreak/>
              <w:t>Circuit topography</w:t>
            </w:r>
          </w:p>
          <w:p w14:paraId="22221284"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Plant Breeders Rights</w:t>
            </w:r>
          </w:p>
          <w:p w14:paraId="102D16D1"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Medicine or veterinary rights</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117A2"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lastRenderedPageBreak/>
              <w:t>Royalties</w:t>
            </w:r>
          </w:p>
          <w:p w14:paraId="6C84752B"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Embedded income</w:t>
            </w:r>
          </w:p>
          <w:p w14:paraId="308FF23A"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Gains from sale of IP</w:t>
            </w:r>
          </w:p>
          <w:p w14:paraId="1D4C5B70"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lastRenderedPageBreak/>
              <w:t>Damages</w:t>
            </w:r>
          </w:p>
        </w:tc>
      </w:tr>
      <w:tr w:rsidR="008E6C3D" w:rsidRPr="008E6C3D" w14:paraId="12C8A3D7"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EB9FE" w14:textId="77777777" w:rsidR="008E6C3D" w:rsidRPr="008E6C3D" w:rsidRDefault="008E6C3D">
            <w:pPr>
              <w:rPr>
                <w:rFonts w:ascii="Calibri Light" w:hAnsi="Calibri Light" w:cs="Calibri Light"/>
                <w:i/>
              </w:rPr>
            </w:pPr>
            <w:r w:rsidRPr="008E6C3D">
              <w:rPr>
                <w:rFonts w:ascii="Calibri Light" w:hAnsi="Calibri Light" w:cs="Calibri Light"/>
                <w:i/>
              </w:rPr>
              <w:lastRenderedPageBreak/>
              <w:t>Turkey</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20737" w14:textId="77777777" w:rsidR="008E6C3D" w:rsidRPr="008E6C3D" w:rsidRDefault="008E6C3D">
            <w:pPr>
              <w:rPr>
                <w:rFonts w:ascii="Calibri Light" w:hAnsi="Calibri Light" w:cs="Calibri Light"/>
              </w:rPr>
            </w:pPr>
            <w:r w:rsidRPr="008E6C3D">
              <w:rPr>
                <w:rFonts w:ascii="Calibri Light" w:hAnsi="Calibri Light" w:cs="Calibri Light"/>
              </w:rPr>
              <w:t>0 – 11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B7676" w14:textId="77777777" w:rsidR="008E6C3D" w:rsidRPr="008E6C3D" w:rsidRDefault="008E6C3D">
            <w:pPr>
              <w:rPr>
                <w:rFonts w:ascii="Calibri Light" w:hAnsi="Calibri Light" w:cs="Calibri Light"/>
              </w:rPr>
            </w:pPr>
            <w:r w:rsidRPr="008E6C3D">
              <w:rPr>
                <w:rFonts w:ascii="Calibri Light" w:hAnsi="Calibri Light" w:cs="Calibri Light"/>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C7086" w14:textId="77777777" w:rsidR="008E6C3D" w:rsidRPr="008E6C3D" w:rsidRDefault="008E6C3D">
            <w:pPr>
              <w:rPr>
                <w:rFonts w:ascii="Calibri Light" w:hAnsi="Calibri Light" w:cs="Calibri Light"/>
              </w:rPr>
            </w:pPr>
            <w:r w:rsidRPr="008E6C3D">
              <w:rPr>
                <w:rFonts w:ascii="Calibri Light" w:hAnsi="Calibri Light" w:cs="Calibri Light"/>
              </w:rPr>
              <w:t>11 - 22</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58EA3"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6DFDC167"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Software</w:t>
            </w:r>
          </w:p>
          <w:p w14:paraId="3AF1837B"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Patentable innovations by SMEs*</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DD149"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Royalties</w:t>
            </w:r>
          </w:p>
          <w:p w14:paraId="6A62C1EC"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Licence fees</w:t>
            </w:r>
          </w:p>
          <w:p w14:paraId="69B663DB"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Embedded income</w:t>
            </w:r>
          </w:p>
          <w:p w14:paraId="1521C2B2"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Income from sale of IP</w:t>
            </w:r>
          </w:p>
          <w:p w14:paraId="4B36DCFD"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Damages</w:t>
            </w:r>
          </w:p>
        </w:tc>
      </w:tr>
      <w:tr w:rsidR="008E6C3D" w:rsidRPr="008E6C3D" w14:paraId="25D6C18D"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21EFC" w14:textId="77777777" w:rsidR="008E6C3D" w:rsidRPr="008E6C3D" w:rsidRDefault="008E6C3D">
            <w:pPr>
              <w:rPr>
                <w:rFonts w:ascii="Calibri Light" w:hAnsi="Calibri Light" w:cs="Calibri Light"/>
                <w:i/>
              </w:rPr>
            </w:pPr>
            <w:r w:rsidRPr="008E6C3D">
              <w:rPr>
                <w:rFonts w:ascii="Calibri Light" w:hAnsi="Calibri Light" w:cs="Calibri Light"/>
                <w:i/>
              </w:rPr>
              <w:t>Ireland</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8603" w14:textId="77777777" w:rsidR="008E6C3D" w:rsidRPr="008E6C3D" w:rsidRDefault="008E6C3D">
            <w:pPr>
              <w:rPr>
                <w:rFonts w:ascii="Calibri Light" w:hAnsi="Calibri Light" w:cs="Calibri Light"/>
              </w:rPr>
            </w:pPr>
            <w:r w:rsidRPr="008E6C3D">
              <w:rPr>
                <w:rFonts w:ascii="Calibri Light" w:hAnsi="Calibri Light" w:cs="Calibri Light"/>
              </w:rPr>
              <w:t>6.25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0DA1C" w14:textId="77777777" w:rsidR="008E6C3D" w:rsidRPr="008E6C3D" w:rsidRDefault="008E6C3D">
            <w:pPr>
              <w:rPr>
                <w:rFonts w:ascii="Calibri Light" w:hAnsi="Calibri Light" w:cs="Calibri Light"/>
              </w:rPr>
            </w:pPr>
            <w:r w:rsidRPr="008E6C3D">
              <w:rPr>
                <w:rFonts w:ascii="Calibri Light" w:hAnsi="Calibri Light" w:cs="Calibri Light"/>
              </w:rPr>
              <w:t>12.5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C46C6" w14:textId="77777777" w:rsidR="008E6C3D" w:rsidRPr="008E6C3D" w:rsidRDefault="008E6C3D">
            <w:pPr>
              <w:rPr>
                <w:rFonts w:ascii="Calibri Light" w:hAnsi="Calibri Light" w:cs="Calibri Light"/>
              </w:rPr>
            </w:pPr>
            <w:r w:rsidRPr="008E6C3D">
              <w:rPr>
                <w:rFonts w:ascii="Calibri Light" w:hAnsi="Calibri Light" w:cs="Calibri Light"/>
              </w:rPr>
              <w:t>6.25</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41BA1"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6D14D982"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Software</w:t>
            </w:r>
          </w:p>
          <w:p w14:paraId="53E95141"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Plant Breeders’ rights.</w:t>
            </w:r>
          </w:p>
          <w:p w14:paraId="38DEFC5C"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Patentable innovations by SMEs*</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435C7"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Royalties</w:t>
            </w:r>
          </w:p>
          <w:p w14:paraId="341003C3"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Embedded income</w:t>
            </w:r>
          </w:p>
          <w:p w14:paraId="656D1BF7"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Damages</w:t>
            </w:r>
          </w:p>
        </w:tc>
      </w:tr>
      <w:tr w:rsidR="008E6C3D" w:rsidRPr="008E6C3D" w14:paraId="20CA6C2A"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C0A80" w14:textId="77777777" w:rsidR="008E6C3D" w:rsidRPr="008E6C3D" w:rsidRDefault="008E6C3D">
            <w:pPr>
              <w:rPr>
                <w:rFonts w:ascii="Calibri Light" w:hAnsi="Calibri Light" w:cs="Calibri Light"/>
                <w:i/>
              </w:rPr>
            </w:pPr>
            <w:r w:rsidRPr="008E6C3D">
              <w:rPr>
                <w:rFonts w:ascii="Calibri Light" w:hAnsi="Calibri Light" w:cs="Calibri Light"/>
                <w:i/>
              </w:rPr>
              <w:t>Netherlands</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BA6E5" w14:textId="77777777" w:rsidR="008E6C3D" w:rsidRPr="008E6C3D" w:rsidRDefault="008E6C3D">
            <w:pPr>
              <w:rPr>
                <w:rFonts w:ascii="Calibri Light" w:hAnsi="Calibri Light" w:cs="Calibri Light"/>
              </w:rPr>
            </w:pPr>
            <w:r w:rsidRPr="008E6C3D">
              <w:rPr>
                <w:rFonts w:ascii="Calibri Light" w:hAnsi="Calibri Light" w:cs="Calibri Light"/>
              </w:rPr>
              <w:t>7</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E6339" w14:textId="77777777" w:rsidR="008E6C3D" w:rsidRPr="008E6C3D" w:rsidRDefault="008E6C3D">
            <w:pPr>
              <w:rPr>
                <w:rFonts w:ascii="Calibri Light" w:hAnsi="Calibri Light" w:cs="Calibri Light"/>
              </w:rPr>
            </w:pPr>
            <w:r w:rsidRPr="008E6C3D">
              <w:rPr>
                <w:rFonts w:ascii="Calibri Light" w:hAnsi="Calibri Light" w:cs="Calibri Light"/>
              </w:rPr>
              <w:t>25 (15 for SMEs)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17F37" w14:textId="77777777" w:rsidR="008E6C3D" w:rsidRPr="008E6C3D" w:rsidRDefault="008E6C3D">
            <w:pPr>
              <w:rPr>
                <w:rFonts w:ascii="Calibri Light" w:hAnsi="Calibri Light" w:cs="Calibri Light"/>
              </w:rPr>
            </w:pPr>
            <w:r w:rsidRPr="008E6C3D">
              <w:rPr>
                <w:rFonts w:ascii="Calibri Light" w:hAnsi="Calibri Light" w:cs="Calibri Light"/>
              </w:rPr>
              <w:t>8 - 18</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A1E0D"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688F8D9F"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Software</w:t>
            </w:r>
          </w:p>
          <w:p w14:paraId="6638EFBD"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Plant Breeders’ rights</w:t>
            </w:r>
          </w:p>
          <w:p w14:paraId="315223D7"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IP where R&amp;D declaration has been issued.</w:t>
            </w:r>
          </w:p>
          <w:p w14:paraId="3735C473"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Market authorisation of a medical product.</w:t>
            </w:r>
          </w:p>
          <w:p w14:paraId="24BE4559"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Patentable innovations by SMEs*</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72B71"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Profit from innovation* connected to a R&amp;D certificate</w:t>
            </w:r>
          </w:p>
        </w:tc>
      </w:tr>
      <w:tr w:rsidR="008E6C3D" w:rsidRPr="008E6C3D" w14:paraId="7BF76507"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44022" w14:textId="77777777" w:rsidR="008E6C3D" w:rsidRPr="008E6C3D" w:rsidRDefault="008E6C3D">
            <w:pPr>
              <w:rPr>
                <w:rFonts w:ascii="Calibri Light" w:hAnsi="Calibri Light" w:cs="Calibri Light"/>
                <w:i/>
              </w:rPr>
            </w:pPr>
            <w:r w:rsidRPr="008E6C3D">
              <w:rPr>
                <w:rFonts w:ascii="Calibri Light" w:hAnsi="Calibri Light" w:cs="Calibri Light"/>
                <w:i/>
              </w:rPr>
              <w:t>Singapore</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D06A9" w14:textId="77777777" w:rsidR="008E6C3D" w:rsidRPr="008E6C3D" w:rsidRDefault="008E6C3D">
            <w:pPr>
              <w:rPr>
                <w:rFonts w:ascii="Calibri Light" w:hAnsi="Calibri Light" w:cs="Calibri Light"/>
              </w:rPr>
            </w:pPr>
            <w:r w:rsidRPr="008E6C3D">
              <w:rPr>
                <w:rFonts w:ascii="Calibri Light" w:hAnsi="Calibri Light" w:cs="Calibri Light"/>
              </w:rPr>
              <w:t>5-10</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53E9D" w14:textId="77777777" w:rsidR="008E6C3D" w:rsidRPr="008E6C3D" w:rsidRDefault="008E6C3D">
            <w:pPr>
              <w:rPr>
                <w:rFonts w:ascii="Calibri Light" w:hAnsi="Calibri Light" w:cs="Calibri Light"/>
              </w:rPr>
            </w:pPr>
            <w:r w:rsidRPr="008E6C3D">
              <w:rPr>
                <w:rFonts w:ascii="Calibri Light" w:hAnsi="Calibri Light" w:cs="Calibri Light"/>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FCFE0" w14:textId="77777777" w:rsidR="008E6C3D" w:rsidRPr="008E6C3D" w:rsidRDefault="008E6C3D">
            <w:pPr>
              <w:rPr>
                <w:rFonts w:ascii="Calibri Light" w:hAnsi="Calibri Light" w:cs="Calibri Light"/>
              </w:rPr>
            </w:pPr>
            <w:r w:rsidRPr="008E6C3D">
              <w:rPr>
                <w:rFonts w:ascii="Calibri Light" w:hAnsi="Calibri Light" w:cs="Calibri Light"/>
              </w:rPr>
              <w:t>7 - 12</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678BF"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65133650"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Software</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8FE1"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Royalties or other income receivable by the approved IDI company as consideration for the commercial exploitation of an elected qualifying IPR.</w:t>
            </w:r>
          </w:p>
        </w:tc>
      </w:tr>
      <w:tr w:rsidR="008E6C3D" w:rsidRPr="008E6C3D" w14:paraId="700D7848"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BC9E2" w14:textId="77777777" w:rsidR="008E6C3D" w:rsidRPr="008E6C3D" w:rsidRDefault="008E6C3D">
            <w:pPr>
              <w:rPr>
                <w:rFonts w:ascii="Calibri Light" w:hAnsi="Calibri Light" w:cs="Calibri Light"/>
                <w:i/>
              </w:rPr>
            </w:pPr>
            <w:r w:rsidRPr="008E6C3D">
              <w:rPr>
                <w:rFonts w:ascii="Calibri Light" w:hAnsi="Calibri Light" w:cs="Calibri Light"/>
                <w:i/>
              </w:rPr>
              <w:t>Israel</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CC52E" w14:textId="77777777" w:rsidR="008E6C3D" w:rsidRPr="008E6C3D" w:rsidRDefault="008E6C3D">
            <w:pPr>
              <w:rPr>
                <w:rFonts w:ascii="Calibri Light" w:hAnsi="Calibri Light" w:cs="Calibri Light"/>
              </w:rPr>
            </w:pPr>
            <w:r w:rsidRPr="008E6C3D">
              <w:rPr>
                <w:rFonts w:ascii="Calibri Light" w:hAnsi="Calibri Light" w:cs="Calibri Light"/>
              </w:rPr>
              <w:t>6 – 12</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56CFF" w14:textId="77777777" w:rsidR="008E6C3D" w:rsidRPr="008E6C3D" w:rsidRDefault="008E6C3D">
            <w:pPr>
              <w:rPr>
                <w:rFonts w:ascii="Calibri Light" w:hAnsi="Calibri Light" w:cs="Calibri Light"/>
              </w:rPr>
            </w:pPr>
            <w:r w:rsidRPr="008E6C3D">
              <w:rPr>
                <w:rFonts w:ascii="Calibri Light" w:hAnsi="Calibri Light" w:cs="Calibri Light"/>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35312" w14:textId="77777777" w:rsidR="008E6C3D" w:rsidRPr="008E6C3D" w:rsidRDefault="008E6C3D">
            <w:pPr>
              <w:rPr>
                <w:rFonts w:ascii="Calibri Light" w:hAnsi="Calibri Light" w:cs="Calibri Light"/>
              </w:rPr>
            </w:pPr>
            <w:r w:rsidRPr="008E6C3D">
              <w:rPr>
                <w:rFonts w:ascii="Calibri Light" w:hAnsi="Calibri Light" w:cs="Calibri Light"/>
              </w:rPr>
              <w:t>11 - 17</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6AAB1"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511EF0E9"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Software</w:t>
            </w:r>
          </w:p>
          <w:p w14:paraId="2B0D05B8"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Medicines registered under the IPO</w:t>
            </w:r>
          </w:p>
          <w:p w14:paraId="2DA12CFA"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Patentable innovations by SMEs*</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3117"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Net royalties</w:t>
            </w:r>
          </w:p>
          <w:p w14:paraId="1532F0A9"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Embedded income</w:t>
            </w:r>
          </w:p>
          <w:p w14:paraId="5E474ACD"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Damages</w:t>
            </w:r>
          </w:p>
        </w:tc>
      </w:tr>
      <w:tr w:rsidR="008E6C3D" w:rsidRPr="008E6C3D" w14:paraId="10B92739"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C4BE1" w14:textId="77777777" w:rsidR="008E6C3D" w:rsidRPr="008E6C3D" w:rsidRDefault="008E6C3D">
            <w:pPr>
              <w:rPr>
                <w:rFonts w:ascii="Calibri Light" w:hAnsi="Calibri Light" w:cs="Calibri Light"/>
                <w:i/>
              </w:rPr>
            </w:pPr>
            <w:r w:rsidRPr="008E6C3D">
              <w:rPr>
                <w:rFonts w:ascii="Calibri Light" w:hAnsi="Calibri Light" w:cs="Calibri Light"/>
                <w:i/>
              </w:rPr>
              <w:lastRenderedPageBreak/>
              <w:t>UK</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7DBF7" w14:textId="77777777" w:rsidR="008E6C3D" w:rsidRPr="008E6C3D" w:rsidRDefault="008E6C3D">
            <w:pPr>
              <w:rPr>
                <w:rFonts w:ascii="Calibri Light" w:hAnsi="Calibri Light" w:cs="Calibri Light"/>
              </w:rPr>
            </w:pPr>
            <w:r w:rsidRPr="008E6C3D">
              <w:rPr>
                <w:rFonts w:ascii="Calibri Light" w:hAnsi="Calibri Light" w:cs="Calibri Light"/>
              </w:rPr>
              <w:t>10</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E7BC7" w14:textId="77777777" w:rsidR="008E6C3D" w:rsidRPr="008E6C3D" w:rsidRDefault="008E6C3D">
            <w:pPr>
              <w:rPr>
                <w:rFonts w:ascii="Calibri Light" w:hAnsi="Calibri Light" w:cs="Calibri Light"/>
              </w:rPr>
            </w:pPr>
            <w:r w:rsidRPr="008E6C3D">
              <w:rPr>
                <w:rFonts w:ascii="Calibri Light" w:hAnsi="Calibri Light" w:cs="Calibri Light"/>
              </w:rPr>
              <w:t>19 (25 from 1 April 2023)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F749D" w14:textId="77777777" w:rsidR="008E6C3D" w:rsidRPr="008E6C3D" w:rsidRDefault="008E6C3D">
            <w:pPr>
              <w:rPr>
                <w:rFonts w:ascii="Calibri Light" w:hAnsi="Calibri Light" w:cs="Calibri Light"/>
              </w:rPr>
            </w:pPr>
            <w:r w:rsidRPr="008E6C3D">
              <w:rPr>
                <w:rFonts w:ascii="Calibri Light" w:hAnsi="Calibri Light" w:cs="Calibri Light"/>
              </w:rPr>
              <w:t>9 (15)</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94D0D"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17ADD766"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Plant variety rights</w:t>
            </w:r>
          </w:p>
          <w:p w14:paraId="032D1835"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Human and veterinary medicine rights (such as marketing authorisations)</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66CE9"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Royalties</w:t>
            </w:r>
          </w:p>
          <w:p w14:paraId="358D27AD"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Embedded income</w:t>
            </w:r>
          </w:p>
          <w:p w14:paraId="0337DA2A"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Damages</w:t>
            </w:r>
          </w:p>
        </w:tc>
      </w:tr>
      <w:tr w:rsidR="008E6C3D" w:rsidRPr="008E6C3D" w14:paraId="1A6C080C"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25E66" w14:textId="77777777" w:rsidR="008E6C3D" w:rsidRPr="008E6C3D" w:rsidRDefault="008E6C3D">
            <w:pPr>
              <w:rPr>
                <w:rFonts w:ascii="Calibri Light" w:hAnsi="Calibri Light" w:cs="Calibri Light"/>
                <w:i/>
              </w:rPr>
            </w:pPr>
            <w:r w:rsidRPr="008E6C3D">
              <w:rPr>
                <w:rFonts w:ascii="Calibri Light" w:hAnsi="Calibri Light" w:cs="Calibri Light"/>
                <w:i/>
              </w:rPr>
              <w:t>Spain</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C2B60" w14:textId="77777777" w:rsidR="008E6C3D" w:rsidRPr="008E6C3D" w:rsidRDefault="008E6C3D">
            <w:pPr>
              <w:rPr>
                <w:rFonts w:ascii="Calibri Light" w:hAnsi="Calibri Light" w:cs="Calibri Light"/>
              </w:rPr>
            </w:pPr>
            <w:r w:rsidRPr="008E6C3D">
              <w:rPr>
                <w:rFonts w:ascii="Calibri Light" w:hAnsi="Calibri Light" w:cs="Calibri Light"/>
              </w:rPr>
              <w:t>10</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8BDD2" w14:textId="77777777" w:rsidR="008E6C3D" w:rsidRPr="008E6C3D" w:rsidRDefault="008E6C3D">
            <w:pPr>
              <w:rPr>
                <w:rFonts w:ascii="Calibri Light" w:hAnsi="Calibri Light" w:cs="Calibri Light"/>
              </w:rPr>
            </w:pPr>
            <w:r w:rsidRPr="008E6C3D">
              <w:rPr>
                <w:rFonts w:ascii="Calibri Light" w:hAnsi="Calibri Light" w:cs="Calibri Light"/>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6E0C1" w14:textId="77777777" w:rsidR="008E6C3D" w:rsidRPr="008E6C3D" w:rsidRDefault="008E6C3D">
            <w:pPr>
              <w:rPr>
                <w:rFonts w:ascii="Calibri Light" w:hAnsi="Calibri Light" w:cs="Calibri Light"/>
              </w:rPr>
            </w:pPr>
            <w:r w:rsidRPr="008E6C3D">
              <w:rPr>
                <w:rFonts w:ascii="Calibri Light" w:hAnsi="Calibri Light" w:cs="Calibri Light"/>
              </w:rPr>
              <w:t>15</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9202F"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4AC47D45"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Software</w:t>
            </w:r>
          </w:p>
          <w:p w14:paraId="6F06A3DE"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Designs and Models</w:t>
            </w:r>
          </w:p>
          <w:p w14:paraId="6CC979C0"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Secret formula or processes</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0AF91"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Income from licencing or transfer of IP</w:t>
            </w:r>
          </w:p>
        </w:tc>
      </w:tr>
      <w:tr w:rsidR="008E6C3D" w:rsidRPr="008E6C3D" w14:paraId="325041F0"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D7AF1" w14:textId="77777777" w:rsidR="008E6C3D" w:rsidRPr="008E6C3D" w:rsidRDefault="008E6C3D">
            <w:pPr>
              <w:rPr>
                <w:rFonts w:ascii="Calibri Light" w:hAnsi="Calibri Light" w:cs="Calibri Light"/>
                <w:i/>
              </w:rPr>
            </w:pPr>
            <w:r w:rsidRPr="008E6C3D">
              <w:rPr>
                <w:rFonts w:ascii="Calibri Light" w:hAnsi="Calibri Light" w:cs="Calibri Light"/>
                <w:i/>
              </w:rPr>
              <w:t>Switzerland</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24D70" w14:textId="77777777" w:rsidR="008E6C3D" w:rsidRPr="008E6C3D" w:rsidRDefault="008E6C3D">
            <w:pPr>
              <w:rPr>
                <w:rFonts w:ascii="Calibri Light" w:hAnsi="Calibri Light" w:cs="Calibri Light"/>
              </w:rPr>
            </w:pPr>
            <w:r w:rsidRPr="008E6C3D">
              <w:rPr>
                <w:rFonts w:ascii="Calibri Light" w:hAnsi="Calibri Light" w:cs="Calibri Light"/>
              </w:rPr>
              <w:t>Approx.    9 – 12</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18C04" w14:textId="77777777" w:rsidR="008E6C3D" w:rsidRPr="008E6C3D" w:rsidRDefault="008E6C3D">
            <w:pPr>
              <w:rPr>
                <w:rFonts w:ascii="Calibri Light" w:hAnsi="Calibri Light" w:cs="Calibri Light"/>
              </w:rPr>
            </w:pPr>
            <w:r w:rsidRPr="008E6C3D">
              <w:rPr>
                <w:rFonts w:ascii="Calibri Light" w:hAnsi="Calibri Light" w:cs="Calibri Light"/>
              </w:rPr>
              <w:t>Approx.     12 – 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5567C" w14:textId="77777777" w:rsidR="008E6C3D" w:rsidRPr="008E6C3D" w:rsidRDefault="008E6C3D">
            <w:pPr>
              <w:jc w:val="center"/>
              <w:rPr>
                <w:rFonts w:ascii="Calibri Light" w:hAnsi="Calibri Light" w:cs="Calibri Light"/>
              </w:rPr>
            </w:pPr>
            <w:proofErr w:type="spellStart"/>
            <w:r w:rsidRPr="008E6C3D">
              <w:rPr>
                <w:rFonts w:ascii="Calibri Light" w:hAnsi="Calibri Light" w:cs="Calibri Light"/>
              </w:rPr>
              <w:t>n.a.</w:t>
            </w:r>
            <w:proofErr w:type="spellEnd"/>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3B580"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6A06E343"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Topographies</w:t>
            </w:r>
          </w:p>
          <w:p w14:paraId="25497388"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Plant varieties</w:t>
            </w:r>
          </w:p>
          <w:p w14:paraId="0DE1FB5B"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Document protection as per the Swiss Therapeutic Products Act</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48875"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Royalties</w:t>
            </w:r>
          </w:p>
          <w:p w14:paraId="5EA3C565"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Embedded income</w:t>
            </w:r>
          </w:p>
          <w:p w14:paraId="4BD8AC2D"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Capital gains</w:t>
            </w:r>
          </w:p>
          <w:p w14:paraId="5252172F"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Damages</w:t>
            </w:r>
          </w:p>
        </w:tc>
      </w:tr>
      <w:tr w:rsidR="008E6C3D" w:rsidRPr="008E6C3D" w14:paraId="4ACB22A1"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E6230" w14:textId="77777777" w:rsidR="008E6C3D" w:rsidRPr="008E6C3D" w:rsidRDefault="008E6C3D">
            <w:pPr>
              <w:rPr>
                <w:rFonts w:ascii="Calibri Light" w:hAnsi="Calibri Light" w:cs="Calibri Light"/>
                <w:i/>
              </w:rPr>
            </w:pPr>
            <w:r w:rsidRPr="008E6C3D">
              <w:rPr>
                <w:rFonts w:ascii="Calibri Light" w:hAnsi="Calibri Light" w:cs="Calibri Light"/>
                <w:i/>
              </w:rPr>
              <w:t>France</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9A8A5" w14:textId="77777777" w:rsidR="008E6C3D" w:rsidRPr="008E6C3D" w:rsidRDefault="008E6C3D">
            <w:pPr>
              <w:rPr>
                <w:rFonts w:ascii="Calibri Light" w:hAnsi="Calibri Light" w:cs="Calibri Light"/>
              </w:rPr>
            </w:pPr>
            <w:r w:rsidRPr="008E6C3D">
              <w:rPr>
                <w:rFonts w:ascii="Calibri Light" w:hAnsi="Calibri Light" w:cs="Calibri Light"/>
              </w:rPr>
              <w:t>10</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7C0A6" w14:textId="77777777" w:rsidR="008E6C3D" w:rsidRPr="008E6C3D" w:rsidRDefault="008E6C3D">
            <w:pPr>
              <w:rPr>
                <w:rFonts w:ascii="Calibri Light" w:hAnsi="Calibri Light" w:cs="Calibri Light"/>
              </w:rPr>
            </w:pPr>
            <w:r w:rsidRPr="008E6C3D">
              <w:rPr>
                <w:rFonts w:ascii="Calibri Light" w:hAnsi="Calibri Light" w:cs="Calibri Light"/>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659C7" w14:textId="77777777" w:rsidR="008E6C3D" w:rsidRPr="008E6C3D" w:rsidRDefault="008E6C3D">
            <w:pPr>
              <w:rPr>
                <w:rFonts w:ascii="Calibri Light" w:hAnsi="Calibri Light" w:cs="Calibri Light"/>
              </w:rPr>
            </w:pPr>
            <w:r w:rsidRPr="008E6C3D">
              <w:rPr>
                <w:rFonts w:ascii="Calibri Light" w:hAnsi="Calibri Light" w:cs="Calibri Light"/>
              </w:rPr>
              <w:t>18</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EE6FC"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5FA02B29"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Software</w:t>
            </w:r>
          </w:p>
          <w:p w14:paraId="1EA4A707"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Plant variety certificates</w:t>
            </w:r>
          </w:p>
          <w:p w14:paraId="2DA876EF"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Processes directly related to the patent</w:t>
            </w:r>
          </w:p>
          <w:p w14:paraId="32E77BED"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Patentable innovations by SMEs*</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A0969"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Royalties</w:t>
            </w:r>
          </w:p>
          <w:p w14:paraId="4B980AF0"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Licence Fees</w:t>
            </w:r>
          </w:p>
          <w:p w14:paraId="22E87487"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Capital gains on the sale or transfer between unrelated parties.</w:t>
            </w:r>
          </w:p>
        </w:tc>
      </w:tr>
      <w:tr w:rsidR="008E6C3D" w:rsidRPr="008E6C3D" w14:paraId="7F6AFFAD"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C4E2E" w14:textId="77777777" w:rsidR="008E6C3D" w:rsidRPr="008E6C3D" w:rsidRDefault="008E6C3D">
            <w:pPr>
              <w:rPr>
                <w:rFonts w:ascii="Calibri Light" w:hAnsi="Calibri Light" w:cs="Calibri Light"/>
                <w:i/>
              </w:rPr>
            </w:pPr>
            <w:r w:rsidRPr="008E6C3D">
              <w:rPr>
                <w:rFonts w:ascii="Calibri Light" w:hAnsi="Calibri Light" w:cs="Calibri Light"/>
                <w:i/>
              </w:rPr>
              <w:t>Greece</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036CC" w14:textId="77777777" w:rsidR="008E6C3D" w:rsidRPr="008E6C3D" w:rsidRDefault="008E6C3D">
            <w:pPr>
              <w:rPr>
                <w:rFonts w:ascii="Calibri Light" w:hAnsi="Calibri Light" w:cs="Calibri Light"/>
              </w:rPr>
            </w:pPr>
            <w:r w:rsidRPr="008E6C3D">
              <w:rPr>
                <w:rFonts w:ascii="Calibri Light" w:hAnsi="Calibri Light" w:cs="Calibri Light"/>
              </w:rPr>
              <w:t>10</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2DBCB" w14:textId="77777777" w:rsidR="008E6C3D" w:rsidRPr="008E6C3D" w:rsidRDefault="008E6C3D">
            <w:pPr>
              <w:rPr>
                <w:rFonts w:ascii="Calibri Light" w:hAnsi="Calibri Light" w:cs="Calibri Light"/>
              </w:rPr>
            </w:pPr>
            <w:r w:rsidRPr="008E6C3D">
              <w:rPr>
                <w:rFonts w:ascii="Calibri Light" w:hAnsi="Calibri Light" w:cs="Calibri Light"/>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6D09F" w14:textId="77777777" w:rsidR="008E6C3D" w:rsidRPr="008E6C3D" w:rsidRDefault="008E6C3D">
            <w:pPr>
              <w:rPr>
                <w:rFonts w:ascii="Calibri Light" w:hAnsi="Calibri Light" w:cs="Calibri Light"/>
              </w:rPr>
            </w:pPr>
            <w:r w:rsidRPr="008E6C3D">
              <w:rPr>
                <w:rFonts w:ascii="Calibri Light" w:hAnsi="Calibri Light" w:cs="Calibri Light"/>
              </w:rPr>
              <w:t>14</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0E05"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CC0BD" w14:textId="77777777" w:rsidR="008E6C3D" w:rsidRPr="008E6C3D" w:rsidRDefault="008E6C3D">
            <w:pPr>
              <w:rPr>
                <w:rFonts w:ascii="Calibri Light" w:hAnsi="Calibri Light" w:cs="Calibri Light"/>
              </w:rPr>
            </w:pPr>
            <w:r w:rsidRPr="008E6C3D">
              <w:rPr>
                <w:rFonts w:ascii="Calibri Light" w:hAnsi="Calibri Light" w:cs="Calibri Light"/>
              </w:rPr>
              <w:t>-</w:t>
            </w:r>
          </w:p>
        </w:tc>
      </w:tr>
      <w:tr w:rsidR="008E6C3D" w:rsidRPr="008E6C3D" w14:paraId="235FBA40"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F9B24" w14:textId="77777777" w:rsidR="008E6C3D" w:rsidRPr="008E6C3D" w:rsidRDefault="008E6C3D">
            <w:pPr>
              <w:rPr>
                <w:rFonts w:ascii="Calibri Light" w:hAnsi="Calibri Light" w:cs="Calibri Light"/>
                <w:i/>
              </w:rPr>
            </w:pPr>
            <w:r w:rsidRPr="008E6C3D">
              <w:rPr>
                <w:rFonts w:ascii="Calibri Light" w:hAnsi="Calibri Light" w:cs="Calibri Light"/>
                <w:i/>
              </w:rPr>
              <w:t>Korea</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F8155" w14:textId="77777777" w:rsidR="008E6C3D" w:rsidRPr="008E6C3D" w:rsidRDefault="008E6C3D">
            <w:pPr>
              <w:rPr>
                <w:rFonts w:ascii="Calibri Light" w:hAnsi="Calibri Light" w:cs="Calibri Light"/>
              </w:rPr>
            </w:pPr>
            <w:r w:rsidRPr="008E6C3D">
              <w:rPr>
                <w:rFonts w:ascii="Calibri Light" w:hAnsi="Calibri Light" w:cs="Calibri Light"/>
              </w:rPr>
              <w:t>5 – 18.75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157C6" w14:textId="77777777" w:rsidR="008E6C3D" w:rsidRPr="008E6C3D" w:rsidRDefault="008E6C3D">
            <w:pPr>
              <w:rPr>
                <w:rFonts w:ascii="Calibri Light" w:hAnsi="Calibri Light" w:cs="Calibri Light"/>
              </w:rPr>
            </w:pPr>
            <w:r w:rsidRPr="008E6C3D">
              <w:rPr>
                <w:rFonts w:ascii="Calibri Light" w:hAnsi="Calibri Light" w:cs="Calibri Light"/>
              </w:rPr>
              <w:t>10 - 25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FBC2" w14:textId="77777777" w:rsidR="008E6C3D" w:rsidRPr="008E6C3D" w:rsidRDefault="008E6C3D">
            <w:pPr>
              <w:rPr>
                <w:rFonts w:ascii="Calibri Light" w:hAnsi="Calibri Light" w:cs="Calibri Light"/>
              </w:rPr>
            </w:pPr>
            <w:r w:rsidRPr="008E6C3D">
              <w:rPr>
                <w:rFonts w:ascii="Calibri Light" w:hAnsi="Calibri Light" w:cs="Calibri Light"/>
              </w:rPr>
              <w:t xml:space="preserve">2.5 – 12.5 </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6F721"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3FB36290"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Patentable innovations by SMEs*</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90348" w14:textId="77777777" w:rsidR="008E6C3D" w:rsidRPr="008E6C3D" w:rsidRDefault="008E6C3D">
            <w:pPr>
              <w:rPr>
                <w:rFonts w:ascii="Calibri Light" w:hAnsi="Calibri Light" w:cs="Calibri Light"/>
              </w:rPr>
            </w:pPr>
            <w:r w:rsidRPr="008E6C3D">
              <w:rPr>
                <w:rFonts w:ascii="Calibri Light" w:hAnsi="Calibri Light" w:cs="Calibri Light"/>
              </w:rPr>
              <w:t>Income from the sale or transfers</w:t>
            </w:r>
          </w:p>
        </w:tc>
      </w:tr>
      <w:tr w:rsidR="008E6C3D" w:rsidRPr="008E6C3D" w14:paraId="7295FE22"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8DB9A" w14:textId="77777777" w:rsidR="008E6C3D" w:rsidRPr="008E6C3D" w:rsidRDefault="008E6C3D">
            <w:pPr>
              <w:rPr>
                <w:rFonts w:ascii="Calibri Light" w:hAnsi="Calibri Light" w:cs="Calibri Light"/>
                <w:i/>
              </w:rPr>
            </w:pPr>
            <w:r w:rsidRPr="008E6C3D">
              <w:rPr>
                <w:rFonts w:ascii="Calibri Light" w:hAnsi="Calibri Light" w:cs="Calibri Light"/>
                <w:i/>
              </w:rPr>
              <w:t>Portugal</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D7F2E" w14:textId="77777777" w:rsidR="008E6C3D" w:rsidRPr="008E6C3D" w:rsidRDefault="008E6C3D">
            <w:pPr>
              <w:rPr>
                <w:rFonts w:ascii="Calibri Light" w:hAnsi="Calibri Light" w:cs="Calibri Light"/>
              </w:rPr>
            </w:pPr>
            <w:r w:rsidRPr="008E6C3D">
              <w:rPr>
                <w:rFonts w:ascii="Calibri Light" w:hAnsi="Calibri Light" w:cs="Calibri Light"/>
              </w:rPr>
              <w:t>10.5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F88E" w14:textId="77777777" w:rsidR="008E6C3D" w:rsidRPr="008E6C3D" w:rsidRDefault="008E6C3D">
            <w:pPr>
              <w:rPr>
                <w:rFonts w:ascii="Calibri Light" w:hAnsi="Calibri Light" w:cs="Calibri Light"/>
              </w:rPr>
            </w:pPr>
            <w:r w:rsidRPr="008E6C3D">
              <w:rPr>
                <w:rFonts w:ascii="Calibri Light" w:hAnsi="Calibri Light" w:cs="Calibri Light"/>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02858" w14:textId="77777777" w:rsidR="008E6C3D" w:rsidRPr="008E6C3D" w:rsidRDefault="008E6C3D">
            <w:pPr>
              <w:rPr>
                <w:rFonts w:ascii="Calibri Light" w:hAnsi="Calibri Light" w:cs="Calibri Light"/>
              </w:rPr>
            </w:pPr>
            <w:r w:rsidRPr="008E6C3D">
              <w:rPr>
                <w:rFonts w:ascii="Calibri Light" w:hAnsi="Calibri Light" w:cs="Calibri Light"/>
              </w:rPr>
              <w:t>10.5</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79C1"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5053CD62"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Software</w:t>
            </w:r>
          </w:p>
          <w:p w14:paraId="39FB1493"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Industrial designs and models.</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11B6C"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Income derived from the use or exploitation of patents</w:t>
            </w:r>
          </w:p>
        </w:tc>
      </w:tr>
      <w:tr w:rsidR="008E6C3D" w:rsidRPr="008E6C3D" w14:paraId="32503257"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360F3" w14:textId="77777777" w:rsidR="008E6C3D" w:rsidRPr="008E6C3D" w:rsidRDefault="008E6C3D">
            <w:pPr>
              <w:rPr>
                <w:rFonts w:ascii="Calibri Light" w:hAnsi="Calibri Light" w:cs="Calibri Light"/>
                <w:i/>
              </w:rPr>
            </w:pPr>
            <w:r w:rsidRPr="008E6C3D">
              <w:rPr>
                <w:rFonts w:ascii="Calibri Light" w:hAnsi="Calibri Light" w:cs="Calibri Light"/>
                <w:i/>
              </w:rPr>
              <w:t>Slovak Rep</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B3B31" w14:textId="77777777" w:rsidR="008E6C3D" w:rsidRPr="008E6C3D" w:rsidRDefault="008E6C3D">
            <w:pPr>
              <w:rPr>
                <w:rFonts w:ascii="Calibri Light" w:hAnsi="Calibri Light" w:cs="Calibri Light"/>
              </w:rPr>
            </w:pPr>
            <w:r w:rsidRPr="008E6C3D">
              <w:rPr>
                <w:rFonts w:ascii="Calibri Light" w:hAnsi="Calibri Light" w:cs="Calibri Light"/>
              </w:rPr>
              <w:t>10.5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ABCD1" w14:textId="77777777" w:rsidR="008E6C3D" w:rsidRPr="008E6C3D" w:rsidRDefault="008E6C3D">
            <w:pPr>
              <w:rPr>
                <w:rFonts w:ascii="Calibri Light" w:hAnsi="Calibri Light" w:cs="Calibri Light"/>
              </w:rPr>
            </w:pPr>
            <w:r w:rsidRPr="008E6C3D">
              <w:rPr>
                <w:rFonts w:ascii="Calibri Light" w:hAnsi="Calibri Light" w:cs="Calibri Light"/>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A549F" w14:textId="77777777" w:rsidR="008E6C3D" w:rsidRPr="008E6C3D" w:rsidRDefault="008E6C3D">
            <w:pPr>
              <w:rPr>
                <w:rFonts w:ascii="Calibri Light" w:hAnsi="Calibri Light" w:cs="Calibri Light"/>
              </w:rPr>
            </w:pPr>
            <w:r w:rsidRPr="008E6C3D">
              <w:rPr>
                <w:rFonts w:ascii="Calibri Light" w:hAnsi="Calibri Light" w:cs="Calibri Light"/>
              </w:rPr>
              <w:t>10.5</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D4887"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11644B0C"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Software</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FC355"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Royalties</w:t>
            </w:r>
          </w:p>
          <w:p w14:paraId="3F1561A8"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Embedded income</w:t>
            </w:r>
          </w:p>
        </w:tc>
      </w:tr>
      <w:tr w:rsidR="008E6C3D" w:rsidRPr="008E6C3D" w14:paraId="20696EDA"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7F1F2" w14:textId="77777777" w:rsidR="008E6C3D" w:rsidRPr="008E6C3D" w:rsidRDefault="008E6C3D">
            <w:pPr>
              <w:rPr>
                <w:rFonts w:ascii="Calibri Light" w:hAnsi="Calibri Light" w:cs="Calibri Light"/>
                <w:i/>
              </w:rPr>
            </w:pPr>
            <w:r w:rsidRPr="008E6C3D">
              <w:rPr>
                <w:rFonts w:ascii="Calibri Light" w:hAnsi="Calibri Light" w:cs="Calibri Light"/>
                <w:i/>
              </w:rPr>
              <w:t>India</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9AF8C" w14:textId="77777777" w:rsidR="008E6C3D" w:rsidRPr="008E6C3D" w:rsidRDefault="008E6C3D">
            <w:pPr>
              <w:rPr>
                <w:rFonts w:ascii="Calibri Light" w:hAnsi="Calibri Light" w:cs="Calibri Light"/>
              </w:rPr>
            </w:pPr>
            <w:r w:rsidRPr="008E6C3D">
              <w:rPr>
                <w:rFonts w:ascii="Calibri Light" w:hAnsi="Calibri Light" w:cs="Calibri Light"/>
              </w:rPr>
              <w:t>10.3 - 11.85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07782" w14:textId="77777777" w:rsidR="008E6C3D" w:rsidRPr="008E6C3D" w:rsidRDefault="008E6C3D">
            <w:pPr>
              <w:rPr>
                <w:rFonts w:ascii="Calibri Light" w:hAnsi="Calibri Light" w:cs="Calibri Light"/>
              </w:rPr>
            </w:pPr>
            <w:r w:rsidRPr="008E6C3D">
              <w:rPr>
                <w:rFonts w:ascii="Calibri Light" w:hAnsi="Calibri Light" w:cs="Calibri Light"/>
              </w:rPr>
              <w:t>30.91 – 35.54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59469" w14:textId="77777777" w:rsidR="008E6C3D" w:rsidRPr="008E6C3D" w:rsidRDefault="008E6C3D">
            <w:pPr>
              <w:rPr>
                <w:rFonts w:ascii="Calibri Light" w:hAnsi="Calibri Light" w:cs="Calibri Light"/>
              </w:rPr>
            </w:pPr>
            <w:r w:rsidRPr="008E6C3D">
              <w:rPr>
                <w:rFonts w:ascii="Calibri Light" w:hAnsi="Calibri Light" w:cs="Calibri Light"/>
              </w:rPr>
              <w:t>Around 20 - 25</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B6658"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34E1"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Royalties</w:t>
            </w:r>
          </w:p>
          <w:p w14:paraId="49A37FC4"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Licence fees</w:t>
            </w:r>
          </w:p>
        </w:tc>
      </w:tr>
      <w:tr w:rsidR="008E6C3D" w:rsidRPr="008E6C3D" w14:paraId="41119DA7"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E6336" w14:textId="77777777" w:rsidR="008E6C3D" w:rsidRPr="008E6C3D" w:rsidRDefault="008E6C3D">
            <w:pPr>
              <w:rPr>
                <w:rFonts w:ascii="Calibri Light" w:hAnsi="Calibri Light" w:cs="Calibri Light"/>
                <w:i/>
              </w:rPr>
            </w:pPr>
            <w:r w:rsidRPr="008E6C3D">
              <w:rPr>
                <w:rFonts w:ascii="Calibri Light" w:hAnsi="Calibri Light" w:cs="Calibri Light"/>
                <w:i/>
              </w:rPr>
              <w:t>Italy</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0C312" w14:textId="77777777" w:rsidR="008E6C3D" w:rsidRPr="008E6C3D" w:rsidRDefault="008E6C3D">
            <w:pPr>
              <w:rPr>
                <w:rFonts w:ascii="Calibri Light" w:hAnsi="Calibri Light" w:cs="Calibri Light"/>
              </w:rPr>
            </w:pPr>
            <w:r w:rsidRPr="008E6C3D">
              <w:rPr>
                <w:rFonts w:ascii="Calibri Light" w:hAnsi="Calibri Light" w:cs="Calibri Light"/>
              </w:rPr>
              <w:t>12 + 1.95 IRAP</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842B5" w14:textId="77777777" w:rsidR="008E6C3D" w:rsidRPr="008E6C3D" w:rsidRDefault="008E6C3D">
            <w:pPr>
              <w:rPr>
                <w:rFonts w:ascii="Calibri Light" w:hAnsi="Calibri Light" w:cs="Calibri Light"/>
              </w:rPr>
            </w:pPr>
            <w:r w:rsidRPr="008E6C3D">
              <w:rPr>
                <w:rFonts w:ascii="Calibri Light" w:hAnsi="Calibri Light" w:cs="Calibri Light"/>
              </w:rPr>
              <w:t>24 + 3.9 IRAP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40A4D" w14:textId="77777777" w:rsidR="008E6C3D" w:rsidRPr="008E6C3D" w:rsidRDefault="008E6C3D">
            <w:pPr>
              <w:rPr>
                <w:rFonts w:ascii="Calibri Light" w:hAnsi="Calibri Light" w:cs="Calibri Light"/>
              </w:rPr>
            </w:pPr>
            <w:r w:rsidRPr="008E6C3D">
              <w:rPr>
                <w:rFonts w:ascii="Calibri Light" w:hAnsi="Calibri Light" w:cs="Calibri Light"/>
              </w:rPr>
              <w:t>13.95</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BD8B5"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33F55C17"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Software</w:t>
            </w:r>
          </w:p>
          <w:p w14:paraId="66DAAB01"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lastRenderedPageBreak/>
              <w:t>Designs and models</w:t>
            </w:r>
          </w:p>
          <w:p w14:paraId="6DDF3E98"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Processes, formulas related to business, commercial and scientific knowledge</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14960"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lastRenderedPageBreak/>
              <w:t>Royalties</w:t>
            </w:r>
          </w:p>
          <w:p w14:paraId="1D18C0F8"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Embedded income</w:t>
            </w:r>
          </w:p>
          <w:p w14:paraId="59AF9C72"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lastRenderedPageBreak/>
              <w:t>Capital gains</w:t>
            </w:r>
          </w:p>
        </w:tc>
      </w:tr>
      <w:tr w:rsidR="008E6C3D" w:rsidRPr="008E6C3D" w14:paraId="4F3DCBB1" w14:textId="77777777" w:rsidTr="008E6C3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9DA25" w14:textId="77777777" w:rsidR="008E6C3D" w:rsidRPr="008E6C3D" w:rsidRDefault="008E6C3D">
            <w:pPr>
              <w:rPr>
                <w:rFonts w:ascii="Calibri Light" w:hAnsi="Calibri Light" w:cs="Calibri Light"/>
                <w:i/>
              </w:rPr>
            </w:pPr>
            <w:r w:rsidRPr="008E6C3D">
              <w:rPr>
                <w:rFonts w:ascii="Calibri Light" w:hAnsi="Calibri Light" w:cs="Calibri Light"/>
                <w:i/>
              </w:rPr>
              <w:lastRenderedPageBreak/>
              <w:t>China</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2AC69" w14:textId="77777777" w:rsidR="008E6C3D" w:rsidRPr="008E6C3D" w:rsidRDefault="008E6C3D">
            <w:pPr>
              <w:rPr>
                <w:rFonts w:ascii="Calibri Light" w:hAnsi="Calibri Light" w:cs="Calibri Light"/>
              </w:rPr>
            </w:pPr>
            <w:r w:rsidRPr="008E6C3D">
              <w:rPr>
                <w:rFonts w:ascii="Calibri Light" w:hAnsi="Calibri Light" w:cs="Calibri Light"/>
              </w:rPr>
              <w:t>15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D125C" w14:textId="77777777" w:rsidR="008E6C3D" w:rsidRPr="008E6C3D" w:rsidRDefault="008E6C3D">
            <w:pPr>
              <w:rPr>
                <w:rFonts w:ascii="Calibri Light" w:hAnsi="Calibri Light" w:cs="Calibri Light"/>
              </w:rPr>
            </w:pPr>
            <w:r w:rsidRPr="008E6C3D">
              <w:rPr>
                <w:rFonts w:ascii="Calibri Light" w:hAnsi="Calibri Light" w:cs="Calibri Light"/>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62192" w14:textId="77777777" w:rsidR="008E6C3D" w:rsidRPr="008E6C3D" w:rsidRDefault="008E6C3D">
            <w:pPr>
              <w:rPr>
                <w:rFonts w:ascii="Calibri Light" w:hAnsi="Calibri Light" w:cs="Calibri Light"/>
              </w:rPr>
            </w:pPr>
            <w:r w:rsidRPr="008E6C3D">
              <w:rPr>
                <w:rFonts w:ascii="Calibri Light" w:hAnsi="Calibri Light" w:cs="Calibri Light"/>
              </w:rPr>
              <w:t>10</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2C930"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Patents</w:t>
            </w:r>
          </w:p>
          <w:p w14:paraId="2C0D068A"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Software</w:t>
            </w:r>
          </w:p>
          <w:p w14:paraId="0AC09648"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Plant variety rights</w:t>
            </w:r>
          </w:p>
          <w:p w14:paraId="1951F9D6" w14:textId="77777777" w:rsidR="008E6C3D" w:rsidRPr="008E6C3D" w:rsidRDefault="008E6C3D" w:rsidP="00766C44">
            <w:pPr>
              <w:pStyle w:val="Bullet"/>
              <w:keepNext w:val="0"/>
              <w:numPr>
                <w:ilvl w:val="0"/>
                <w:numId w:val="33"/>
              </w:numPr>
              <w:rPr>
                <w:rFonts w:ascii="Calibri Light" w:hAnsi="Calibri Light" w:cs="Calibri Light"/>
              </w:rPr>
            </w:pPr>
            <w:r w:rsidRPr="008E6C3D">
              <w:rPr>
                <w:rFonts w:ascii="Calibri Light" w:hAnsi="Calibri Light" w:cs="Calibri Light"/>
              </w:rPr>
              <w:t>Circuit layouts</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A4AA0" w14:textId="77777777" w:rsidR="008E6C3D" w:rsidRPr="008E6C3D" w:rsidRDefault="008E6C3D">
            <w:pPr>
              <w:rPr>
                <w:rFonts w:ascii="Calibri Light" w:hAnsi="Calibri Light" w:cs="Calibri Light"/>
              </w:rPr>
            </w:pPr>
            <w:r w:rsidRPr="008E6C3D">
              <w:rPr>
                <w:rFonts w:ascii="Calibri Light" w:hAnsi="Calibri Light" w:cs="Calibri Light"/>
                <w:i/>
              </w:rPr>
              <w:t>-</w:t>
            </w:r>
          </w:p>
        </w:tc>
      </w:tr>
    </w:tbl>
    <w:p w14:paraId="10BC30FA" w14:textId="77777777" w:rsidR="008E6C3D" w:rsidRDefault="008E6C3D" w:rsidP="008E6C3D"/>
    <w:p w14:paraId="1EAF9AF9" w14:textId="77777777" w:rsidR="008E6C3D" w:rsidRDefault="008E6C3D" w:rsidP="008E6C3D"/>
    <w:p w14:paraId="33C426AC" w14:textId="77777777" w:rsidR="001F0D24" w:rsidRDefault="001F0D24" w:rsidP="00273BBF">
      <w:pPr>
        <w:sectPr w:rsidR="001F0D24" w:rsidSect="00B51EEE">
          <w:headerReference w:type="even" r:id="rId46"/>
          <w:headerReference w:type="default" r:id="rId47"/>
          <w:footerReference w:type="even" r:id="rId48"/>
          <w:footerReference w:type="default" r:id="rId49"/>
          <w:headerReference w:type="first" r:id="rId50"/>
          <w:footerReference w:type="first" r:id="rId51"/>
          <w:pgSz w:w="16838" w:h="11906" w:orient="landscape" w:code="9"/>
          <w:pgMar w:top="1304" w:right="1418" w:bottom="1304" w:left="1276" w:header="567" w:footer="567" w:gutter="0"/>
          <w:cols w:space="720"/>
          <w:titlePg/>
          <w:docGrid w:linePitch="360"/>
        </w:sectPr>
      </w:pPr>
    </w:p>
    <w:p w14:paraId="1CC30167" w14:textId="2836E50B" w:rsidR="008E6C3D" w:rsidRPr="001F0D24" w:rsidRDefault="001F0D24" w:rsidP="001F0D24">
      <w:pPr>
        <w:ind w:left="-709"/>
        <w:rPr>
          <w:rFonts w:ascii="Calibri" w:eastAsia="Calibri" w:hAnsi="Calibri" w:cs="Times New Roman"/>
          <w:b/>
          <w:bCs/>
        </w:rPr>
      </w:pPr>
      <w:r w:rsidRPr="001F0D24">
        <w:rPr>
          <w:rFonts w:ascii="Calibri" w:eastAsia="Calibri" w:hAnsi="Calibri" w:cs="Times New Roman"/>
          <w:b/>
          <w:bCs/>
        </w:rPr>
        <w:lastRenderedPageBreak/>
        <w:t>Attachment C – IP Australia patent fees</w:t>
      </w:r>
      <w:r>
        <w:rPr>
          <w:rFonts w:ascii="Calibri" w:eastAsia="Calibri" w:hAnsi="Calibri" w:cs="Times New Roman"/>
          <w:b/>
          <w:bCs/>
        </w:rPr>
        <w:t xml:space="preserve"> (IP Australia website)</w:t>
      </w:r>
    </w:p>
    <w:p w14:paraId="0D4F5B37"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Last updated: </w:t>
      </w:r>
    </w:p>
    <w:p w14:paraId="386B1776" w14:textId="77777777" w:rsidR="001F0D24" w:rsidRPr="006A6AD3" w:rsidRDefault="001F0D24" w:rsidP="001F0D24">
      <w:pPr>
        <w:spacing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 January 2022</w:t>
      </w:r>
    </w:p>
    <w:p w14:paraId="7F6FD278"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This page sets out some of the basic fees associated with patent applications. A full list of fees* is available in Schedule 7 of the </w:t>
      </w:r>
      <w:hyperlink r:id="rId52" w:tgtFrame="_blank" w:tooltip="external link (new window)" w:history="1">
        <w:r w:rsidRPr="006A6AD3">
          <w:rPr>
            <w:rFonts w:ascii="Times New Roman" w:eastAsia="Times New Roman" w:hAnsi="Times New Roman" w:cs="Times New Roman"/>
            <w:i/>
            <w:iCs/>
            <w:color w:val="015A96"/>
            <w:u w:val="single"/>
            <w:lang w:eastAsia="en-AU"/>
          </w:rPr>
          <w:t>Patent Regulations 1991</w:t>
        </w:r>
      </w:hyperlink>
      <w:r w:rsidRPr="006A6AD3">
        <w:rPr>
          <w:rFonts w:ascii="Times New Roman" w:eastAsia="Times New Roman" w:hAnsi="Times New Roman" w:cs="Times New Roman"/>
          <w:lang w:eastAsia="en-AU"/>
        </w:rPr>
        <w:t>.</w:t>
      </w:r>
    </w:p>
    <w:p w14:paraId="7FEA462B"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Fees are payable at different stages through the patent process and will depend on the type of application you are making.</w:t>
      </w:r>
    </w:p>
    <w:p w14:paraId="5992D422"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It is important to remember that these are the fees our office charges for each action. You should expect additional costs if you are using legal representation.</w:t>
      </w:r>
    </w:p>
    <w:p w14:paraId="70E10792"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Fees are subject to change. GST does not apply to these statutory fees under division 81 of the </w:t>
      </w:r>
      <w:hyperlink r:id="rId53" w:tgtFrame="_blank" w:tooltip="external link (new window) - GST Act 1999" w:history="1">
        <w:r w:rsidRPr="006A6AD3">
          <w:rPr>
            <w:rFonts w:ascii="Times New Roman" w:eastAsia="Times New Roman" w:hAnsi="Times New Roman" w:cs="Times New Roman"/>
            <w:i/>
            <w:iCs/>
            <w:color w:val="015A96"/>
            <w:u w:val="single"/>
            <w:lang w:eastAsia="en-AU"/>
          </w:rPr>
          <w:t>Goods and Services Act 1999</w:t>
        </w:r>
      </w:hyperlink>
      <w:r w:rsidRPr="006A6AD3">
        <w:rPr>
          <w:rFonts w:ascii="Times New Roman" w:eastAsia="Times New Roman" w:hAnsi="Times New Roman" w:cs="Times New Roman"/>
          <w:i/>
          <w:iCs/>
          <w:lang w:eastAsia="en-AU"/>
        </w:rPr>
        <w:t>.</w:t>
      </w:r>
    </w:p>
    <w:p w14:paraId="03EC6979"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Fees may vary depending on how you apply and your chosen payment method, with online filing channels and payment methods typically being cheaper. Different filing and payment options are offered to ensure our services remain available to everyone, regardless of their access to our online services. The distinction between these options is referred to as 'preferred or other means' and shown in the tables below as 'online services' and 'other means'. </w:t>
      </w:r>
      <w:hyperlink r:id="rId54" w:history="1">
        <w:r w:rsidRPr="006A6AD3">
          <w:rPr>
            <w:rFonts w:ascii="Times New Roman" w:eastAsia="Times New Roman" w:hAnsi="Times New Roman" w:cs="Times New Roman"/>
            <w:color w:val="015A96"/>
            <w:u w:val="single"/>
            <w:lang w:eastAsia="en-AU"/>
          </w:rPr>
          <w:t>More information on preferred or other means can be found here</w:t>
        </w:r>
      </w:hyperlink>
      <w:r w:rsidRPr="006A6AD3">
        <w:rPr>
          <w:rFonts w:ascii="Times New Roman" w:eastAsia="Times New Roman" w:hAnsi="Times New Roman" w:cs="Times New Roman"/>
          <w:lang w:eastAsia="en-AU"/>
        </w:rPr>
        <w:t>.</w:t>
      </w:r>
    </w:p>
    <w:p w14:paraId="1F96FD22" w14:textId="77777777" w:rsidR="001F0D24" w:rsidRPr="00AB7F77" w:rsidRDefault="001F0D24" w:rsidP="00AB7F77">
      <w:pPr>
        <w:spacing w:before="480" w:line="480" w:lineRule="auto"/>
        <w:rPr>
          <w:rFonts w:ascii="Times New Roman" w:eastAsia="Times New Roman" w:hAnsi="Times New Roman" w:cs="Times New Roman"/>
          <w:b/>
          <w:bCs/>
          <w:lang w:eastAsia="en-AU"/>
        </w:rPr>
      </w:pPr>
      <w:r w:rsidRPr="00AB7F77">
        <w:rPr>
          <w:rFonts w:ascii="Times New Roman" w:eastAsia="Times New Roman" w:hAnsi="Times New Roman" w:cs="Times New Roman"/>
          <w:b/>
          <w:bCs/>
          <w:lang w:eastAsia="en-AU"/>
        </w:rPr>
        <w:t>Application fees</w:t>
      </w:r>
    </w:p>
    <w:p w14:paraId="7E79C156"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The application fees you need to pay will depend on the type of patent you apply for.</w:t>
      </w:r>
    </w:p>
    <w:p w14:paraId="1FFB0518"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If you file an application and do not pay the filing fee within two months your application will lapse.</w:t>
      </w:r>
    </w:p>
    <w:p w14:paraId="7BFF1F24"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The first fee is if an application is filed through </w:t>
      </w:r>
      <w:hyperlink r:id="rId55" w:history="1">
        <w:r w:rsidRPr="006A6AD3">
          <w:rPr>
            <w:rFonts w:ascii="Times New Roman" w:eastAsia="Times New Roman" w:hAnsi="Times New Roman" w:cs="Times New Roman"/>
            <w:color w:val="015A96"/>
            <w:u w:val="single"/>
            <w:lang w:eastAsia="en-AU"/>
          </w:rPr>
          <w:t>online services</w:t>
        </w:r>
      </w:hyperlink>
      <w:r w:rsidRPr="006A6AD3">
        <w:rPr>
          <w:rFonts w:ascii="Times New Roman" w:eastAsia="Times New Roman" w:hAnsi="Times New Roman" w:cs="Times New Roman"/>
          <w:lang w:eastAsia="en-AU"/>
        </w:rPr>
        <w:t>. The second is if an application is filed by other means (</w:t>
      </w:r>
      <w:proofErr w:type="gramStart"/>
      <w:r w:rsidRPr="006A6AD3">
        <w:rPr>
          <w:rFonts w:ascii="Times New Roman" w:eastAsia="Times New Roman" w:hAnsi="Times New Roman" w:cs="Times New Roman"/>
          <w:lang w:eastAsia="en-AU"/>
        </w:rPr>
        <w:t>e.g.</w:t>
      </w:r>
      <w:proofErr w:type="gramEnd"/>
      <w:r w:rsidRPr="006A6AD3">
        <w:rPr>
          <w:rFonts w:ascii="Times New Roman" w:eastAsia="Times New Roman" w:hAnsi="Times New Roman" w:cs="Times New Roman"/>
          <w:lang w:eastAsia="en-AU"/>
        </w:rPr>
        <w:t> post).</w:t>
      </w:r>
    </w:p>
    <w:tbl>
      <w:tblPr>
        <w:tblW w:w="5000" w:type="pct"/>
        <w:tblCellMar>
          <w:left w:w="0" w:type="dxa"/>
          <w:right w:w="0" w:type="dxa"/>
        </w:tblCellMar>
        <w:tblLook w:val="04A0" w:firstRow="1" w:lastRow="0" w:firstColumn="1" w:lastColumn="0" w:noHBand="0" w:noVBand="1"/>
        <w:tblCaption w:val="IP Australia aplication  fees - check IP Australia website for details"/>
      </w:tblPr>
      <w:tblGrid>
        <w:gridCol w:w="1082"/>
        <w:gridCol w:w="1326"/>
        <w:gridCol w:w="3448"/>
        <w:gridCol w:w="3442"/>
      </w:tblGrid>
      <w:tr w:rsidR="001F0D24" w:rsidRPr="006A6AD3" w14:paraId="665F3F9A" w14:textId="77777777" w:rsidTr="001F0D24">
        <w:trPr>
          <w:tblHeader/>
        </w:trPr>
        <w:tc>
          <w:tcPr>
            <w:tcW w:w="0" w:type="auto"/>
            <w:shd w:val="clear" w:color="auto" w:fill="auto"/>
            <w:tcMar>
              <w:top w:w="75" w:type="dxa"/>
              <w:left w:w="119" w:type="dxa"/>
              <w:bottom w:w="75" w:type="dxa"/>
              <w:right w:w="119" w:type="dxa"/>
            </w:tcMar>
            <w:hideMark/>
          </w:tcPr>
          <w:p w14:paraId="055A957A"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Schedule 7 item</w:t>
            </w:r>
          </w:p>
        </w:tc>
        <w:tc>
          <w:tcPr>
            <w:tcW w:w="0" w:type="auto"/>
            <w:shd w:val="clear" w:color="auto" w:fill="auto"/>
            <w:tcMar>
              <w:top w:w="75" w:type="dxa"/>
              <w:left w:w="119" w:type="dxa"/>
              <w:bottom w:w="75" w:type="dxa"/>
              <w:right w:w="119" w:type="dxa"/>
            </w:tcMar>
            <w:hideMark/>
          </w:tcPr>
          <w:p w14:paraId="7F252449"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Action</w:t>
            </w:r>
          </w:p>
        </w:tc>
        <w:tc>
          <w:tcPr>
            <w:tcW w:w="3578" w:type="dxa"/>
            <w:shd w:val="clear" w:color="auto" w:fill="auto"/>
            <w:tcMar>
              <w:top w:w="75" w:type="dxa"/>
              <w:left w:w="119" w:type="dxa"/>
              <w:bottom w:w="75" w:type="dxa"/>
              <w:right w:w="119" w:type="dxa"/>
            </w:tcMar>
            <w:hideMark/>
          </w:tcPr>
          <w:p w14:paraId="4EEE02D9"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Fee (online services)</w:t>
            </w:r>
          </w:p>
        </w:tc>
        <w:tc>
          <w:tcPr>
            <w:tcW w:w="3578" w:type="dxa"/>
            <w:shd w:val="clear" w:color="auto" w:fill="auto"/>
            <w:tcMar>
              <w:top w:w="75" w:type="dxa"/>
              <w:left w:w="119" w:type="dxa"/>
              <w:bottom w:w="75" w:type="dxa"/>
              <w:right w:w="119" w:type="dxa"/>
            </w:tcMar>
            <w:hideMark/>
          </w:tcPr>
          <w:p w14:paraId="1BF02244"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Fee (other means)</w:t>
            </w:r>
          </w:p>
        </w:tc>
      </w:tr>
      <w:tr w:rsidR="001F0D24" w:rsidRPr="006A6AD3" w14:paraId="660D5046" w14:textId="77777777" w:rsidTr="001F0D24">
        <w:tc>
          <w:tcPr>
            <w:tcW w:w="0" w:type="auto"/>
            <w:shd w:val="clear" w:color="auto" w:fill="auto"/>
            <w:tcMar>
              <w:top w:w="75" w:type="dxa"/>
              <w:left w:w="119" w:type="dxa"/>
              <w:bottom w:w="75" w:type="dxa"/>
              <w:right w:w="119" w:type="dxa"/>
            </w:tcMar>
            <w:hideMark/>
          </w:tcPr>
          <w:p w14:paraId="6F17D9EC"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201</w:t>
            </w:r>
          </w:p>
        </w:tc>
        <w:tc>
          <w:tcPr>
            <w:tcW w:w="0" w:type="auto"/>
            <w:shd w:val="clear" w:color="auto" w:fill="auto"/>
            <w:tcMar>
              <w:top w:w="75" w:type="dxa"/>
              <w:left w:w="119" w:type="dxa"/>
              <w:bottom w:w="75" w:type="dxa"/>
              <w:right w:w="119" w:type="dxa"/>
            </w:tcMar>
            <w:hideMark/>
          </w:tcPr>
          <w:p w14:paraId="011030EB"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Provisional patent application</w:t>
            </w:r>
          </w:p>
        </w:tc>
        <w:tc>
          <w:tcPr>
            <w:tcW w:w="0" w:type="auto"/>
            <w:shd w:val="clear" w:color="auto" w:fill="auto"/>
            <w:tcMar>
              <w:top w:w="75" w:type="dxa"/>
              <w:left w:w="119" w:type="dxa"/>
              <w:bottom w:w="75" w:type="dxa"/>
              <w:right w:w="119" w:type="dxa"/>
            </w:tcMar>
            <w:hideMark/>
          </w:tcPr>
          <w:p w14:paraId="6531565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$110</w:t>
            </w:r>
          </w:p>
        </w:tc>
        <w:tc>
          <w:tcPr>
            <w:tcW w:w="0" w:type="auto"/>
            <w:shd w:val="clear" w:color="auto" w:fill="auto"/>
            <w:tcMar>
              <w:top w:w="75" w:type="dxa"/>
              <w:left w:w="119" w:type="dxa"/>
              <w:bottom w:w="75" w:type="dxa"/>
              <w:right w:w="119" w:type="dxa"/>
            </w:tcMar>
            <w:hideMark/>
          </w:tcPr>
          <w:p w14:paraId="30CA9044"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$210</w:t>
            </w:r>
          </w:p>
        </w:tc>
      </w:tr>
      <w:tr w:rsidR="001F0D24" w:rsidRPr="006A6AD3" w14:paraId="3CF70D82" w14:textId="77777777" w:rsidTr="001F0D24">
        <w:tc>
          <w:tcPr>
            <w:tcW w:w="0" w:type="auto"/>
            <w:shd w:val="clear" w:color="auto" w:fill="BFEEFF"/>
            <w:tcMar>
              <w:top w:w="75" w:type="dxa"/>
              <w:left w:w="119" w:type="dxa"/>
              <w:bottom w:w="75" w:type="dxa"/>
              <w:right w:w="119" w:type="dxa"/>
            </w:tcMar>
            <w:hideMark/>
          </w:tcPr>
          <w:p w14:paraId="27CD89E3"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203</w:t>
            </w:r>
          </w:p>
        </w:tc>
        <w:tc>
          <w:tcPr>
            <w:tcW w:w="0" w:type="auto"/>
            <w:shd w:val="clear" w:color="auto" w:fill="BFEEFF"/>
            <w:tcMar>
              <w:top w:w="75" w:type="dxa"/>
              <w:left w:w="119" w:type="dxa"/>
              <w:bottom w:w="75" w:type="dxa"/>
              <w:right w:w="119" w:type="dxa"/>
            </w:tcMar>
            <w:hideMark/>
          </w:tcPr>
          <w:p w14:paraId="132F97FE"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Standard patent application</w:t>
            </w:r>
          </w:p>
        </w:tc>
        <w:tc>
          <w:tcPr>
            <w:tcW w:w="0" w:type="auto"/>
            <w:shd w:val="clear" w:color="auto" w:fill="BFEEFF"/>
            <w:tcMar>
              <w:top w:w="75" w:type="dxa"/>
              <w:left w:w="119" w:type="dxa"/>
              <w:bottom w:w="75" w:type="dxa"/>
              <w:right w:w="119" w:type="dxa"/>
            </w:tcMar>
            <w:hideMark/>
          </w:tcPr>
          <w:p w14:paraId="23E6AC8A"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$370</w:t>
            </w:r>
          </w:p>
        </w:tc>
        <w:tc>
          <w:tcPr>
            <w:tcW w:w="0" w:type="auto"/>
            <w:shd w:val="clear" w:color="auto" w:fill="BFEEFF"/>
            <w:tcMar>
              <w:top w:w="75" w:type="dxa"/>
              <w:left w:w="119" w:type="dxa"/>
              <w:bottom w:w="75" w:type="dxa"/>
              <w:right w:w="119" w:type="dxa"/>
            </w:tcMar>
            <w:hideMark/>
          </w:tcPr>
          <w:p w14:paraId="6375E5A0"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$570</w:t>
            </w:r>
          </w:p>
        </w:tc>
      </w:tr>
      <w:tr w:rsidR="001F0D24" w:rsidRPr="006A6AD3" w14:paraId="786326E5" w14:textId="77777777" w:rsidTr="001F0D24">
        <w:tc>
          <w:tcPr>
            <w:tcW w:w="0" w:type="auto"/>
            <w:shd w:val="clear" w:color="auto" w:fill="auto"/>
            <w:tcMar>
              <w:top w:w="75" w:type="dxa"/>
              <w:left w:w="119" w:type="dxa"/>
              <w:bottom w:w="75" w:type="dxa"/>
              <w:right w:w="119" w:type="dxa"/>
            </w:tcMar>
            <w:hideMark/>
          </w:tcPr>
          <w:p w14:paraId="6CCDFAA8"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202</w:t>
            </w:r>
          </w:p>
        </w:tc>
        <w:tc>
          <w:tcPr>
            <w:tcW w:w="0" w:type="auto"/>
            <w:shd w:val="clear" w:color="auto" w:fill="auto"/>
            <w:tcMar>
              <w:top w:w="75" w:type="dxa"/>
              <w:left w:w="119" w:type="dxa"/>
              <w:bottom w:w="75" w:type="dxa"/>
              <w:right w:w="119" w:type="dxa"/>
            </w:tcMar>
            <w:hideMark/>
          </w:tcPr>
          <w:p w14:paraId="3515F558"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Innovation patent application (divisional only)</w:t>
            </w:r>
          </w:p>
        </w:tc>
        <w:tc>
          <w:tcPr>
            <w:tcW w:w="0" w:type="auto"/>
            <w:shd w:val="clear" w:color="auto" w:fill="auto"/>
            <w:tcMar>
              <w:top w:w="75" w:type="dxa"/>
              <w:left w:w="119" w:type="dxa"/>
              <w:bottom w:w="75" w:type="dxa"/>
              <w:right w:w="119" w:type="dxa"/>
            </w:tcMar>
            <w:hideMark/>
          </w:tcPr>
          <w:p w14:paraId="2672039E"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$180</w:t>
            </w:r>
          </w:p>
        </w:tc>
        <w:tc>
          <w:tcPr>
            <w:tcW w:w="0" w:type="auto"/>
            <w:shd w:val="clear" w:color="auto" w:fill="auto"/>
            <w:tcMar>
              <w:top w:w="75" w:type="dxa"/>
              <w:left w:w="119" w:type="dxa"/>
              <w:bottom w:w="75" w:type="dxa"/>
              <w:right w:w="119" w:type="dxa"/>
            </w:tcMar>
            <w:hideMark/>
          </w:tcPr>
          <w:p w14:paraId="7F018548"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$380</w:t>
            </w:r>
          </w:p>
        </w:tc>
      </w:tr>
      <w:tr w:rsidR="001F0D24" w:rsidRPr="006A6AD3" w14:paraId="252D4058" w14:textId="77777777" w:rsidTr="001F0D24">
        <w:tc>
          <w:tcPr>
            <w:tcW w:w="0" w:type="auto"/>
            <w:shd w:val="clear" w:color="auto" w:fill="BFEEFF"/>
            <w:tcMar>
              <w:top w:w="75" w:type="dxa"/>
              <w:left w:w="119" w:type="dxa"/>
              <w:bottom w:w="75" w:type="dxa"/>
              <w:right w:w="119" w:type="dxa"/>
            </w:tcMar>
            <w:hideMark/>
          </w:tcPr>
          <w:p w14:paraId="0ED8164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214A</w:t>
            </w:r>
          </w:p>
        </w:tc>
        <w:tc>
          <w:tcPr>
            <w:tcW w:w="0" w:type="auto"/>
            <w:shd w:val="clear" w:color="auto" w:fill="BFEEFF"/>
            <w:tcMar>
              <w:top w:w="75" w:type="dxa"/>
              <w:left w:w="119" w:type="dxa"/>
              <w:bottom w:w="75" w:type="dxa"/>
              <w:right w:w="119" w:type="dxa"/>
            </w:tcMar>
            <w:hideMark/>
          </w:tcPr>
          <w:p w14:paraId="12DA8738"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 xml:space="preserve">National phase entry (a standard patent application after going through the Patent </w:t>
            </w:r>
            <w:r w:rsidRPr="006A6AD3">
              <w:rPr>
                <w:rFonts w:ascii="Times New Roman" w:eastAsia="Times New Roman" w:hAnsi="Times New Roman" w:cs="Times New Roman"/>
                <w:lang w:eastAsia="en-AU"/>
              </w:rPr>
              <w:lastRenderedPageBreak/>
              <w:t>Cooperation Treaty application process)</w:t>
            </w:r>
          </w:p>
        </w:tc>
        <w:tc>
          <w:tcPr>
            <w:tcW w:w="0" w:type="auto"/>
            <w:shd w:val="clear" w:color="auto" w:fill="BFEEFF"/>
            <w:tcMar>
              <w:top w:w="75" w:type="dxa"/>
              <w:left w:w="119" w:type="dxa"/>
              <w:bottom w:w="75" w:type="dxa"/>
              <w:right w:w="119" w:type="dxa"/>
            </w:tcMar>
            <w:hideMark/>
          </w:tcPr>
          <w:p w14:paraId="64822D62"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lastRenderedPageBreak/>
              <w:t>$370</w:t>
            </w:r>
          </w:p>
        </w:tc>
        <w:tc>
          <w:tcPr>
            <w:tcW w:w="0" w:type="auto"/>
            <w:shd w:val="clear" w:color="auto" w:fill="BFEEFF"/>
            <w:tcMar>
              <w:top w:w="75" w:type="dxa"/>
              <w:left w:w="119" w:type="dxa"/>
              <w:bottom w:w="75" w:type="dxa"/>
              <w:right w:w="119" w:type="dxa"/>
            </w:tcMar>
            <w:hideMark/>
          </w:tcPr>
          <w:p w14:paraId="7113F1B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$570</w:t>
            </w:r>
          </w:p>
        </w:tc>
      </w:tr>
    </w:tbl>
    <w:p w14:paraId="540A2671" w14:textId="77777777" w:rsidR="001F0D24" w:rsidRPr="00AB7F77" w:rsidRDefault="001F0D24" w:rsidP="00AB7F77">
      <w:pPr>
        <w:spacing w:before="480" w:line="480" w:lineRule="auto"/>
        <w:rPr>
          <w:rFonts w:ascii="Times New Roman" w:eastAsia="Times New Roman" w:hAnsi="Times New Roman" w:cs="Times New Roman"/>
          <w:b/>
          <w:bCs/>
          <w:lang w:eastAsia="en-AU"/>
        </w:rPr>
      </w:pPr>
      <w:r w:rsidRPr="00AB7F77">
        <w:rPr>
          <w:rFonts w:ascii="Times New Roman" w:eastAsia="Times New Roman" w:hAnsi="Times New Roman" w:cs="Times New Roman"/>
          <w:b/>
          <w:bCs/>
          <w:lang w:eastAsia="en-AU"/>
        </w:rPr>
        <w:t>Renewal fees</w:t>
      </w:r>
    </w:p>
    <w:p w14:paraId="247198EA"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Annual renewal fees must be paid on all standard and innovation patent applications if you want them to remain in force. The cost will vary depending on the type of patent and the number of years that have passed since you filed it. These fees are usually due on or before the anniversary of the filing date of your application.</w:t>
      </w:r>
    </w:p>
    <w:p w14:paraId="35041702"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It is up to you to pay on time. Patent protection will stop if the renewal fee is not paid.</w:t>
      </w:r>
    </w:p>
    <w:p w14:paraId="78F384EF"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It is important that you keep your contact details up to date by using our </w:t>
      </w:r>
      <w:hyperlink r:id="rId56" w:history="1">
        <w:r w:rsidRPr="006A6AD3">
          <w:rPr>
            <w:rFonts w:ascii="Times New Roman" w:eastAsia="Times New Roman" w:hAnsi="Times New Roman" w:cs="Times New Roman"/>
            <w:color w:val="015A96"/>
            <w:u w:val="single"/>
            <w:lang w:eastAsia="en-AU"/>
          </w:rPr>
          <w:t>online services</w:t>
        </w:r>
      </w:hyperlink>
      <w:r w:rsidRPr="006A6AD3">
        <w:rPr>
          <w:rFonts w:ascii="Times New Roman" w:eastAsia="Times New Roman" w:hAnsi="Times New Roman" w:cs="Times New Roman"/>
          <w:lang w:eastAsia="en-AU"/>
        </w:rPr>
        <w:t>.</w:t>
      </w:r>
    </w:p>
    <w:p w14:paraId="313FC387" w14:textId="77777777" w:rsidR="001F0D24" w:rsidRPr="00AB7F77" w:rsidRDefault="001F0D24" w:rsidP="00AB7F77">
      <w:pPr>
        <w:spacing w:before="480" w:line="480" w:lineRule="auto"/>
        <w:rPr>
          <w:rFonts w:ascii="Times New Roman" w:eastAsia="Times New Roman" w:hAnsi="Times New Roman" w:cs="Times New Roman"/>
          <w:b/>
          <w:bCs/>
          <w:lang w:eastAsia="en-AU"/>
        </w:rPr>
      </w:pPr>
      <w:r w:rsidRPr="00AB7F77">
        <w:rPr>
          <w:rFonts w:ascii="Times New Roman" w:eastAsia="Times New Roman" w:hAnsi="Times New Roman" w:cs="Times New Roman"/>
          <w:b/>
          <w:bCs/>
          <w:lang w:eastAsia="en-AU"/>
        </w:rPr>
        <w:t>Standard patent renewals</w:t>
      </w:r>
    </w:p>
    <w:tbl>
      <w:tblPr>
        <w:tblW w:w="5000" w:type="pct"/>
        <w:tblCellMar>
          <w:left w:w="0" w:type="dxa"/>
          <w:right w:w="0" w:type="dxa"/>
        </w:tblCellMar>
        <w:tblLook w:val="04A0" w:firstRow="1" w:lastRow="0" w:firstColumn="1" w:lastColumn="0" w:noHBand="0" w:noVBand="1"/>
        <w:tblCaption w:val="IP Australia aplication  fees - check IP Australia website for details"/>
        <w:tblDescription w:val="IP Australia aplication  fees - check IP Australia website for details"/>
      </w:tblPr>
      <w:tblGrid>
        <w:gridCol w:w="1116"/>
        <w:gridCol w:w="3440"/>
        <w:gridCol w:w="2882"/>
        <w:gridCol w:w="1860"/>
      </w:tblGrid>
      <w:tr w:rsidR="001F0D24" w:rsidRPr="006A6AD3" w14:paraId="3708F182" w14:textId="77777777" w:rsidTr="001F0D24">
        <w:trPr>
          <w:tblHeader/>
        </w:trPr>
        <w:tc>
          <w:tcPr>
            <w:tcW w:w="600" w:type="pct"/>
            <w:shd w:val="clear" w:color="auto" w:fill="auto"/>
            <w:tcMar>
              <w:top w:w="75" w:type="dxa"/>
              <w:left w:w="119" w:type="dxa"/>
              <w:bottom w:w="75" w:type="dxa"/>
              <w:right w:w="119" w:type="dxa"/>
            </w:tcMar>
            <w:hideMark/>
          </w:tcPr>
          <w:p w14:paraId="763CF1E0"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Schedule 7 item</w:t>
            </w:r>
          </w:p>
        </w:tc>
        <w:tc>
          <w:tcPr>
            <w:tcW w:w="1850" w:type="pct"/>
            <w:shd w:val="clear" w:color="auto" w:fill="auto"/>
            <w:tcMar>
              <w:top w:w="75" w:type="dxa"/>
              <w:left w:w="119" w:type="dxa"/>
              <w:bottom w:w="75" w:type="dxa"/>
              <w:right w:w="119" w:type="dxa"/>
            </w:tcMar>
            <w:hideMark/>
          </w:tcPr>
          <w:p w14:paraId="1B18046E"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Action</w:t>
            </w:r>
          </w:p>
        </w:tc>
        <w:tc>
          <w:tcPr>
            <w:tcW w:w="1550" w:type="pct"/>
            <w:shd w:val="clear" w:color="auto" w:fill="auto"/>
            <w:tcMar>
              <w:top w:w="75" w:type="dxa"/>
              <w:left w:w="119" w:type="dxa"/>
              <w:bottom w:w="75" w:type="dxa"/>
              <w:right w:w="119" w:type="dxa"/>
            </w:tcMar>
            <w:hideMark/>
          </w:tcPr>
          <w:p w14:paraId="036EB2BA"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Fee (online services)</w:t>
            </w:r>
          </w:p>
        </w:tc>
        <w:tc>
          <w:tcPr>
            <w:tcW w:w="1000" w:type="pct"/>
            <w:shd w:val="clear" w:color="auto" w:fill="auto"/>
            <w:tcMar>
              <w:top w:w="75" w:type="dxa"/>
              <w:left w:w="119" w:type="dxa"/>
              <w:bottom w:w="75" w:type="dxa"/>
              <w:right w:w="119" w:type="dxa"/>
            </w:tcMar>
            <w:hideMark/>
          </w:tcPr>
          <w:p w14:paraId="48CB36FA"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Fee (other means)</w:t>
            </w:r>
          </w:p>
        </w:tc>
      </w:tr>
      <w:tr w:rsidR="001F0D24" w:rsidRPr="006A6AD3" w14:paraId="2D375BCD" w14:textId="77777777" w:rsidTr="001F0D24">
        <w:tc>
          <w:tcPr>
            <w:tcW w:w="0" w:type="auto"/>
            <w:shd w:val="clear" w:color="auto" w:fill="auto"/>
            <w:tcMar>
              <w:top w:w="75" w:type="dxa"/>
              <w:left w:w="119" w:type="dxa"/>
              <w:bottom w:w="75" w:type="dxa"/>
              <w:right w:w="119" w:type="dxa"/>
            </w:tcMar>
            <w:hideMark/>
          </w:tcPr>
          <w:p w14:paraId="6D25D626"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auto"/>
            <w:tcMar>
              <w:top w:w="75" w:type="dxa"/>
              <w:left w:w="119" w:type="dxa"/>
              <w:bottom w:w="75" w:type="dxa"/>
              <w:right w:w="119" w:type="dxa"/>
            </w:tcMar>
            <w:hideMark/>
          </w:tcPr>
          <w:p w14:paraId="5F956C6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4th anniversary</w:t>
            </w:r>
          </w:p>
        </w:tc>
        <w:tc>
          <w:tcPr>
            <w:tcW w:w="0" w:type="auto"/>
            <w:shd w:val="clear" w:color="auto" w:fill="auto"/>
            <w:tcMar>
              <w:top w:w="75" w:type="dxa"/>
              <w:left w:w="119" w:type="dxa"/>
              <w:bottom w:w="75" w:type="dxa"/>
              <w:right w:w="119" w:type="dxa"/>
            </w:tcMar>
            <w:hideMark/>
          </w:tcPr>
          <w:p w14:paraId="026CD4AF"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$300</w:t>
            </w:r>
          </w:p>
        </w:tc>
        <w:tc>
          <w:tcPr>
            <w:tcW w:w="0" w:type="auto"/>
            <w:shd w:val="clear" w:color="auto" w:fill="auto"/>
            <w:tcMar>
              <w:top w:w="75" w:type="dxa"/>
              <w:left w:w="119" w:type="dxa"/>
              <w:bottom w:w="75" w:type="dxa"/>
              <w:right w:w="119" w:type="dxa"/>
            </w:tcMar>
            <w:hideMark/>
          </w:tcPr>
          <w:p w14:paraId="2427FD9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$350</w:t>
            </w:r>
          </w:p>
        </w:tc>
      </w:tr>
      <w:tr w:rsidR="001F0D24" w:rsidRPr="006A6AD3" w14:paraId="7CC0C296" w14:textId="77777777" w:rsidTr="001F0D24">
        <w:tc>
          <w:tcPr>
            <w:tcW w:w="0" w:type="auto"/>
            <w:shd w:val="clear" w:color="auto" w:fill="BFEEFF"/>
            <w:tcMar>
              <w:top w:w="75" w:type="dxa"/>
              <w:left w:w="119" w:type="dxa"/>
              <w:bottom w:w="75" w:type="dxa"/>
              <w:right w:w="119" w:type="dxa"/>
            </w:tcMar>
            <w:hideMark/>
          </w:tcPr>
          <w:p w14:paraId="3FC993D3"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BFEEFF"/>
            <w:tcMar>
              <w:top w:w="75" w:type="dxa"/>
              <w:left w:w="119" w:type="dxa"/>
              <w:bottom w:w="75" w:type="dxa"/>
              <w:right w:w="119" w:type="dxa"/>
            </w:tcMar>
            <w:hideMark/>
          </w:tcPr>
          <w:p w14:paraId="3338E304"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5th anniversary</w:t>
            </w:r>
          </w:p>
        </w:tc>
        <w:tc>
          <w:tcPr>
            <w:tcW w:w="0" w:type="auto"/>
            <w:shd w:val="clear" w:color="auto" w:fill="BFEEFF"/>
            <w:tcMar>
              <w:top w:w="75" w:type="dxa"/>
              <w:left w:w="119" w:type="dxa"/>
              <w:bottom w:w="75" w:type="dxa"/>
              <w:right w:w="119" w:type="dxa"/>
            </w:tcMar>
            <w:hideMark/>
          </w:tcPr>
          <w:p w14:paraId="2869D05E"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$315</w:t>
            </w:r>
          </w:p>
        </w:tc>
        <w:tc>
          <w:tcPr>
            <w:tcW w:w="0" w:type="auto"/>
            <w:shd w:val="clear" w:color="auto" w:fill="BFEEFF"/>
            <w:tcMar>
              <w:top w:w="75" w:type="dxa"/>
              <w:left w:w="119" w:type="dxa"/>
              <w:bottom w:w="75" w:type="dxa"/>
              <w:right w:w="119" w:type="dxa"/>
            </w:tcMar>
            <w:hideMark/>
          </w:tcPr>
          <w:p w14:paraId="7E6B7DA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$365</w:t>
            </w:r>
          </w:p>
        </w:tc>
      </w:tr>
      <w:tr w:rsidR="001F0D24" w:rsidRPr="006A6AD3" w14:paraId="192AFAD0" w14:textId="77777777" w:rsidTr="001F0D24">
        <w:tc>
          <w:tcPr>
            <w:tcW w:w="0" w:type="auto"/>
            <w:shd w:val="clear" w:color="auto" w:fill="auto"/>
            <w:tcMar>
              <w:top w:w="75" w:type="dxa"/>
              <w:left w:w="119" w:type="dxa"/>
              <w:bottom w:w="75" w:type="dxa"/>
              <w:right w:w="119" w:type="dxa"/>
            </w:tcMar>
            <w:hideMark/>
          </w:tcPr>
          <w:p w14:paraId="09F600FD"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auto"/>
            <w:tcMar>
              <w:top w:w="75" w:type="dxa"/>
              <w:left w:w="119" w:type="dxa"/>
              <w:bottom w:w="75" w:type="dxa"/>
              <w:right w:w="119" w:type="dxa"/>
            </w:tcMar>
            <w:hideMark/>
          </w:tcPr>
          <w:p w14:paraId="3D908D34"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6th anniversary</w:t>
            </w:r>
          </w:p>
        </w:tc>
        <w:tc>
          <w:tcPr>
            <w:tcW w:w="0" w:type="auto"/>
            <w:shd w:val="clear" w:color="auto" w:fill="auto"/>
            <w:tcMar>
              <w:top w:w="75" w:type="dxa"/>
              <w:left w:w="119" w:type="dxa"/>
              <w:bottom w:w="75" w:type="dxa"/>
              <w:right w:w="119" w:type="dxa"/>
            </w:tcMar>
            <w:hideMark/>
          </w:tcPr>
          <w:p w14:paraId="6D85CC92"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$335</w:t>
            </w:r>
          </w:p>
        </w:tc>
        <w:tc>
          <w:tcPr>
            <w:tcW w:w="0" w:type="auto"/>
            <w:shd w:val="clear" w:color="auto" w:fill="auto"/>
            <w:tcMar>
              <w:top w:w="75" w:type="dxa"/>
              <w:left w:w="119" w:type="dxa"/>
              <w:bottom w:w="75" w:type="dxa"/>
              <w:right w:w="119" w:type="dxa"/>
            </w:tcMar>
            <w:hideMark/>
          </w:tcPr>
          <w:p w14:paraId="4105DE3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$385</w:t>
            </w:r>
          </w:p>
        </w:tc>
      </w:tr>
      <w:tr w:rsidR="001F0D24" w:rsidRPr="006A6AD3" w14:paraId="1938A644" w14:textId="77777777" w:rsidTr="001F0D24">
        <w:tc>
          <w:tcPr>
            <w:tcW w:w="0" w:type="auto"/>
            <w:shd w:val="clear" w:color="auto" w:fill="BFEEFF"/>
            <w:tcMar>
              <w:top w:w="75" w:type="dxa"/>
              <w:left w:w="119" w:type="dxa"/>
              <w:bottom w:w="75" w:type="dxa"/>
              <w:right w:w="119" w:type="dxa"/>
            </w:tcMar>
            <w:hideMark/>
          </w:tcPr>
          <w:p w14:paraId="20E4C9B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BFEEFF"/>
            <w:tcMar>
              <w:top w:w="75" w:type="dxa"/>
              <w:left w:w="119" w:type="dxa"/>
              <w:bottom w:w="75" w:type="dxa"/>
              <w:right w:w="119" w:type="dxa"/>
            </w:tcMar>
            <w:hideMark/>
          </w:tcPr>
          <w:p w14:paraId="041A53C3"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7th anniversary</w:t>
            </w:r>
          </w:p>
        </w:tc>
        <w:tc>
          <w:tcPr>
            <w:tcW w:w="0" w:type="auto"/>
            <w:shd w:val="clear" w:color="auto" w:fill="BFEEFF"/>
            <w:tcMar>
              <w:top w:w="75" w:type="dxa"/>
              <w:left w:w="119" w:type="dxa"/>
              <w:bottom w:w="75" w:type="dxa"/>
              <w:right w:w="119" w:type="dxa"/>
            </w:tcMar>
            <w:hideMark/>
          </w:tcPr>
          <w:p w14:paraId="010C05C2"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$360</w:t>
            </w:r>
          </w:p>
        </w:tc>
        <w:tc>
          <w:tcPr>
            <w:tcW w:w="0" w:type="auto"/>
            <w:shd w:val="clear" w:color="auto" w:fill="BFEEFF"/>
            <w:tcMar>
              <w:top w:w="75" w:type="dxa"/>
              <w:left w:w="119" w:type="dxa"/>
              <w:bottom w:w="75" w:type="dxa"/>
              <w:right w:w="119" w:type="dxa"/>
            </w:tcMar>
            <w:hideMark/>
          </w:tcPr>
          <w:p w14:paraId="4545938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$410</w:t>
            </w:r>
          </w:p>
        </w:tc>
      </w:tr>
      <w:tr w:rsidR="001F0D24" w:rsidRPr="006A6AD3" w14:paraId="2F6F366D" w14:textId="77777777" w:rsidTr="001F0D24">
        <w:tc>
          <w:tcPr>
            <w:tcW w:w="0" w:type="auto"/>
            <w:shd w:val="clear" w:color="auto" w:fill="auto"/>
            <w:tcMar>
              <w:top w:w="75" w:type="dxa"/>
              <w:left w:w="119" w:type="dxa"/>
              <w:bottom w:w="75" w:type="dxa"/>
              <w:right w:w="119" w:type="dxa"/>
            </w:tcMar>
            <w:hideMark/>
          </w:tcPr>
          <w:p w14:paraId="2D4F3AF2"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auto"/>
            <w:tcMar>
              <w:top w:w="75" w:type="dxa"/>
              <w:left w:w="119" w:type="dxa"/>
              <w:bottom w:w="75" w:type="dxa"/>
              <w:right w:w="119" w:type="dxa"/>
            </w:tcMar>
            <w:hideMark/>
          </w:tcPr>
          <w:p w14:paraId="53953140"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8th anniversary</w:t>
            </w:r>
          </w:p>
        </w:tc>
        <w:tc>
          <w:tcPr>
            <w:tcW w:w="0" w:type="auto"/>
            <w:shd w:val="clear" w:color="auto" w:fill="auto"/>
            <w:tcMar>
              <w:top w:w="75" w:type="dxa"/>
              <w:left w:w="119" w:type="dxa"/>
              <w:bottom w:w="75" w:type="dxa"/>
              <w:right w:w="119" w:type="dxa"/>
            </w:tcMar>
            <w:hideMark/>
          </w:tcPr>
          <w:p w14:paraId="1D8F4E33"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$390</w:t>
            </w:r>
          </w:p>
        </w:tc>
        <w:tc>
          <w:tcPr>
            <w:tcW w:w="0" w:type="auto"/>
            <w:shd w:val="clear" w:color="auto" w:fill="auto"/>
            <w:tcMar>
              <w:top w:w="75" w:type="dxa"/>
              <w:left w:w="119" w:type="dxa"/>
              <w:bottom w:w="75" w:type="dxa"/>
              <w:right w:w="119" w:type="dxa"/>
            </w:tcMar>
            <w:hideMark/>
          </w:tcPr>
          <w:p w14:paraId="1DB7CE3A"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$440</w:t>
            </w:r>
          </w:p>
        </w:tc>
      </w:tr>
      <w:tr w:rsidR="001F0D24" w:rsidRPr="006A6AD3" w14:paraId="3F8678A1" w14:textId="77777777" w:rsidTr="001F0D24">
        <w:tc>
          <w:tcPr>
            <w:tcW w:w="0" w:type="auto"/>
            <w:shd w:val="clear" w:color="auto" w:fill="BFEEFF"/>
            <w:tcMar>
              <w:top w:w="75" w:type="dxa"/>
              <w:left w:w="119" w:type="dxa"/>
              <w:bottom w:w="75" w:type="dxa"/>
              <w:right w:w="119" w:type="dxa"/>
            </w:tcMar>
            <w:hideMark/>
          </w:tcPr>
          <w:p w14:paraId="5887C5A5"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BFEEFF"/>
            <w:tcMar>
              <w:top w:w="75" w:type="dxa"/>
              <w:left w:w="119" w:type="dxa"/>
              <w:bottom w:w="75" w:type="dxa"/>
              <w:right w:w="119" w:type="dxa"/>
            </w:tcMar>
            <w:hideMark/>
          </w:tcPr>
          <w:p w14:paraId="6BB620CF"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9th anniversary</w:t>
            </w:r>
          </w:p>
        </w:tc>
        <w:tc>
          <w:tcPr>
            <w:tcW w:w="0" w:type="auto"/>
            <w:shd w:val="clear" w:color="auto" w:fill="BFEEFF"/>
            <w:tcMar>
              <w:top w:w="75" w:type="dxa"/>
              <w:left w:w="119" w:type="dxa"/>
              <w:bottom w:w="75" w:type="dxa"/>
              <w:right w:w="119" w:type="dxa"/>
            </w:tcMar>
            <w:hideMark/>
          </w:tcPr>
          <w:p w14:paraId="4515852F"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$425</w:t>
            </w:r>
          </w:p>
        </w:tc>
        <w:tc>
          <w:tcPr>
            <w:tcW w:w="0" w:type="auto"/>
            <w:shd w:val="clear" w:color="auto" w:fill="BFEEFF"/>
            <w:tcMar>
              <w:top w:w="75" w:type="dxa"/>
              <w:left w:w="119" w:type="dxa"/>
              <w:bottom w:w="75" w:type="dxa"/>
              <w:right w:w="119" w:type="dxa"/>
            </w:tcMar>
            <w:hideMark/>
          </w:tcPr>
          <w:p w14:paraId="65A329C6"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$475</w:t>
            </w:r>
          </w:p>
        </w:tc>
      </w:tr>
      <w:tr w:rsidR="001F0D24" w:rsidRPr="006A6AD3" w14:paraId="4C01D313" w14:textId="77777777" w:rsidTr="001F0D24">
        <w:tc>
          <w:tcPr>
            <w:tcW w:w="0" w:type="auto"/>
            <w:shd w:val="clear" w:color="auto" w:fill="auto"/>
            <w:tcMar>
              <w:top w:w="75" w:type="dxa"/>
              <w:left w:w="119" w:type="dxa"/>
              <w:bottom w:w="75" w:type="dxa"/>
              <w:right w:w="119" w:type="dxa"/>
            </w:tcMar>
            <w:hideMark/>
          </w:tcPr>
          <w:p w14:paraId="24CEA15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auto"/>
            <w:tcMar>
              <w:top w:w="75" w:type="dxa"/>
              <w:left w:w="119" w:type="dxa"/>
              <w:bottom w:w="75" w:type="dxa"/>
              <w:right w:w="119" w:type="dxa"/>
            </w:tcMar>
            <w:hideMark/>
          </w:tcPr>
          <w:p w14:paraId="260F5853"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10th anniversary</w:t>
            </w:r>
          </w:p>
        </w:tc>
        <w:tc>
          <w:tcPr>
            <w:tcW w:w="0" w:type="auto"/>
            <w:shd w:val="clear" w:color="auto" w:fill="auto"/>
            <w:tcMar>
              <w:top w:w="75" w:type="dxa"/>
              <w:left w:w="119" w:type="dxa"/>
              <w:bottom w:w="75" w:type="dxa"/>
              <w:right w:w="119" w:type="dxa"/>
            </w:tcMar>
            <w:hideMark/>
          </w:tcPr>
          <w:p w14:paraId="35BC2EF6"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$490</w:t>
            </w:r>
          </w:p>
        </w:tc>
        <w:tc>
          <w:tcPr>
            <w:tcW w:w="0" w:type="auto"/>
            <w:shd w:val="clear" w:color="auto" w:fill="auto"/>
            <w:tcMar>
              <w:top w:w="75" w:type="dxa"/>
              <w:left w:w="119" w:type="dxa"/>
              <w:bottom w:w="75" w:type="dxa"/>
              <w:right w:w="119" w:type="dxa"/>
            </w:tcMar>
            <w:hideMark/>
          </w:tcPr>
          <w:p w14:paraId="0F625FCC"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$540</w:t>
            </w:r>
          </w:p>
        </w:tc>
      </w:tr>
      <w:tr w:rsidR="001F0D24" w:rsidRPr="006A6AD3" w14:paraId="7C77D0A9" w14:textId="77777777" w:rsidTr="001F0D24">
        <w:tc>
          <w:tcPr>
            <w:tcW w:w="0" w:type="auto"/>
            <w:shd w:val="clear" w:color="auto" w:fill="BFEEFF"/>
            <w:tcMar>
              <w:top w:w="75" w:type="dxa"/>
              <w:left w:w="119" w:type="dxa"/>
              <w:bottom w:w="75" w:type="dxa"/>
              <w:right w:w="119" w:type="dxa"/>
            </w:tcMar>
            <w:hideMark/>
          </w:tcPr>
          <w:p w14:paraId="7D0B620E"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BFEEFF"/>
            <w:tcMar>
              <w:top w:w="75" w:type="dxa"/>
              <w:left w:w="119" w:type="dxa"/>
              <w:bottom w:w="75" w:type="dxa"/>
              <w:right w:w="119" w:type="dxa"/>
            </w:tcMar>
            <w:hideMark/>
          </w:tcPr>
          <w:p w14:paraId="38BDB157"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11th anniversary</w:t>
            </w:r>
          </w:p>
        </w:tc>
        <w:tc>
          <w:tcPr>
            <w:tcW w:w="0" w:type="auto"/>
            <w:shd w:val="clear" w:color="auto" w:fill="BFEEFF"/>
            <w:tcMar>
              <w:top w:w="75" w:type="dxa"/>
              <w:left w:w="119" w:type="dxa"/>
              <w:bottom w:w="75" w:type="dxa"/>
              <w:right w:w="119" w:type="dxa"/>
            </w:tcMar>
            <w:hideMark/>
          </w:tcPr>
          <w:p w14:paraId="604932FE"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$585</w:t>
            </w:r>
          </w:p>
        </w:tc>
        <w:tc>
          <w:tcPr>
            <w:tcW w:w="0" w:type="auto"/>
            <w:shd w:val="clear" w:color="auto" w:fill="BFEEFF"/>
            <w:tcMar>
              <w:top w:w="75" w:type="dxa"/>
              <w:left w:w="119" w:type="dxa"/>
              <w:bottom w:w="75" w:type="dxa"/>
              <w:right w:w="119" w:type="dxa"/>
            </w:tcMar>
            <w:hideMark/>
          </w:tcPr>
          <w:p w14:paraId="733612B0"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$635</w:t>
            </w:r>
          </w:p>
        </w:tc>
      </w:tr>
      <w:tr w:rsidR="001F0D24" w:rsidRPr="006A6AD3" w14:paraId="52E673B7" w14:textId="77777777" w:rsidTr="001F0D24">
        <w:tc>
          <w:tcPr>
            <w:tcW w:w="0" w:type="auto"/>
            <w:shd w:val="clear" w:color="auto" w:fill="auto"/>
            <w:tcMar>
              <w:top w:w="75" w:type="dxa"/>
              <w:left w:w="119" w:type="dxa"/>
              <w:bottom w:w="75" w:type="dxa"/>
              <w:right w:w="119" w:type="dxa"/>
            </w:tcMar>
            <w:hideMark/>
          </w:tcPr>
          <w:p w14:paraId="1B8CE4CC"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auto"/>
            <w:tcMar>
              <w:top w:w="75" w:type="dxa"/>
              <w:left w:w="119" w:type="dxa"/>
              <w:bottom w:w="75" w:type="dxa"/>
              <w:right w:w="119" w:type="dxa"/>
            </w:tcMar>
            <w:hideMark/>
          </w:tcPr>
          <w:p w14:paraId="07323443"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12th anniversary</w:t>
            </w:r>
          </w:p>
        </w:tc>
        <w:tc>
          <w:tcPr>
            <w:tcW w:w="0" w:type="auto"/>
            <w:shd w:val="clear" w:color="auto" w:fill="auto"/>
            <w:tcMar>
              <w:top w:w="75" w:type="dxa"/>
              <w:left w:w="119" w:type="dxa"/>
              <w:bottom w:w="75" w:type="dxa"/>
              <w:right w:w="119" w:type="dxa"/>
            </w:tcMar>
            <w:hideMark/>
          </w:tcPr>
          <w:p w14:paraId="2C0BB320"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$710</w:t>
            </w:r>
          </w:p>
        </w:tc>
        <w:tc>
          <w:tcPr>
            <w:tcW w:w="0" w:type="auto"/>
            <w:shd w:val="clear" w:color="auto" w:fill="auto"/>
            <w:tcMar>
              <w:top w:w="75" w:type="dxa"/>
              <w:left w:w="119" w:type="dxa"/>
              <w:bottom w:w="75" w:type="dxa"/>
              <w:right w:w="119" w:type="dxa"/>
            </w:tcMar>
            <w:hideMark/>
          </w:tcPr>
          <w:p w14:paraId="57E3A2B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$760</w:t>
            </w:r>
          </w:p>
        </w:tc>
      </w:tr>
      <w:tr w:rsidR="001F0D24" w:rsidRPr="006A6AD3" w14:paraId="0708AF71" w14:textId="77777777" w:rsidTr="001F0D24">
        <w:tc>
          <w:tcPr>
            <w:tcW w:w="0" w:type="auto"/>
            <w:shd w:val="clear" w:color="auto" w:fill="BFEEFF"/>
            <w:tcMar>
              <w:top w:w="75" w:type="dxa"/>
              <w:left w:w="119" w:type="dxa"/>
              <w:bottom w:w="75" w:type="dxa"/>
              <w:right w:w="119" w:type="dxa"/>
            </w:tcMar>
            <w:hideMark/>
          </w:tcPr>
          <w:p w14:paraId="6DF20B85"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BFEEFF"/>
            <w:tcMar>
              <w:top w:w="75" w:type="dxa"/>
              <w:left w:w="119" w:type="dxa"/>
              <w:bottom w:w="75" w:type="dxa"/>
              <w:right w:w="119" w:type="dxa"/>
            </w:tcMar>
            <w:hideMark/>
          </w:tcPr>
          <w:p w14:paraId="79B0D790"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13th anniversary</w:t>
            </w:r>
          </w:p>
        </w:tc>
        <w:tc>
          <w:tcPr>
            <w:tcW w:w="0" w:type="auto"/>
            <w:shd w:val="clear" w:color="auto" w:fill="BFEEFF"/>
            <w:tcMar>
              <w:top w:w="75" w:type="dxa"/>
              <w:left w:w="119" w:type="dxa"/>
              <w:bottom w:w="75" w:type="dxa"/>
              <w:right w:w="119" w:type="dxa"/>
            </w:tcMar>
            <w:hideMark/>
          </w:tcPr>
          <w:p w14:paraId="104A9F0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$865</w:t>
            </w:r>
          </w:p>
        </w:tc>
        <w:tc>
          <w:tcPr>
            <w:tcW w:w="0" w:type="auto"/>
            <w:shd w:val="clear" w:color="auto" w:fill="BFEEFF"/>
            <w:tcMar>
              <w:top w:w="75" w:type="dxa"/>
              <w:left w:w="119" w:type="dxa"/>
              <w:bottom w:w="75" w:type="dxa"/>
              <w:right w:w="119" w:type="dxa"/>
            </w:tcMar>
            <w:hideMark/>
          </w:tcPr>
          <w:p w14:paraId="19C3C927"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$915</w:t>
            </w:r>
          </w:p>
        </w:tc>
      </w:tr>
      <w:tr w:rsidR="001F0D24" w:rsidRPr="006A6AD3" w14:paraId="1BD6744F" w14:textId="77777777" w:rsidTr="001F0D24">
        <w:tc>
          <w:tcPr>
            <w:tcW w:w="0" w:type="auto"/>
            <w:shd w:val="clear" w:color="auto" w:fill="auto"/>
            <w:tcMar>
              <w:top w:w="75" w:type="dxa"/>
              <w:left w:w="119" w:type="dxa"/>
              <w:bottom w:w="75" w:type="dxa"/>
              <w:right w:w="119" w:type="dxa"/>
            </w:tcMar>
            <w:hideMark/>
          </w:tcPr>
          <w:p w14:paraId="733F4675"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auto"/>
            <w:tcMar>
              <w:top w:w="75" w:type="dxa"/>
              <w:left w:w="119" w:type="dxa"/>
              <w:bottom w:w="75" w:type="dxa"/>
              <w:right w:w="119" w:type="dxa"/>
            </w:tcMar>
            <w:hideMark/>
          </w:tcPr>
          <w:p w14:paraId="5D7EF07C"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14th anniversary</w:t>
            </w:r>
          </w:p>
        </w:tc>
        <w:tc>
          <w:tcPr>
            <w:tcW w:w="0" w:type="auto"/>
            <w:shd w:val="clear" w:color="auto" w:fill="auto"/>
            <w:tcMar>
              <w:top w:w="75" w:type="dxa"/>
              <w:left w:w="119" w:type="dxa"/>
              <w:bottom w:w="75" w:type="dxa"/>
              <w:right w:w="119" w:type="dxa"/>
            </w:tcMar>
            <w:hideMark/>
          </w:tcPr>
          <w:p w14:paraId="69DCBA28"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$1050</w:t>
            </w:r>
          </w:p>
        </w:tc>
        <w:tc>
          <w:tcPr>
            <w:tcW w:w="0" w:type="auto"/>
            <w:shd w:val="clear" w:color="auto" w:fill="auto"/>
            <w:tcMar>
              <w:top w:w="75" w:type="dxa"/>
              <w:left w:w="119" w:type="dxa"/>
              <w:bottom w:w="75" w:type="dxa"/>
              <w:right w:w="119" w:type="dxa"/>
            </w:tcMar>
            <w:hideMark/>
          </w:tcPr>
          <w:p w14:paraId="53DE8D10"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$1100</w:t>
            </w:r>
          </w:p>
        </w:tc>
      </w:tr>
      <w:tr w:rsidR="001F0D24" w:rsidRPr="006A6AD3" w14:paraId="24DB231D" w14:textId="77777777" w:rsidTr="001F0D24">
        <w:tc>
          <w:tcPr>
            <w:tcW w:w="0" w:type="auto"/>
            <w:shd w:val="clear" w:color="auto" w:fill="BFEEFF"/>
            <w:tcMar>
              <w:top w:w="75" w:type="dxa"/>
              <w:left w:w="119" w:type="dxa"/>
              <w:bottom w:w="75" w:type="dxa"/>
              <w:right w:w="119" w:type="dxa"/>
            </w:tcMar>
            <w:hideMark/>
          </w:tcPr>
          <w:p w14:paraId="0D38B7D8"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BFEEFF"/>
            <w:tcMar>
              <w:top w:w="75" w:type="dxa"/>
              <w:left w:w="119" w:type="dxa"/>
              <w:bottom w:w="75" w:type="dxa"/>
              <w:right w:w="119" w:type="dxa"/>
            </w:tcMar>
            <w:hideMark/>
          </w:tcPr>
          <w:p w14:paraId="53F19556"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15th anniversary</w:t>
            </w:r>
          </w:p>
        </w:tc>
        <w:tc>
          <w:tcPr>
            <w:tcW w:w="0" w:type="auto"/>
            <w:shd w:val="clear" w:color="auto" w:fill="BFEEFF"/>
            <w:tcMar>
              <w:top w:w="75" w:type="dxa"/>
              <w:left w:w="119" w:type="dxa"/>
              <w:bottom w:w="75" w:type="dxa"/>
              <w:right w:w="119" w:type="dxa"/>
            </w:tcMar>
            <w:hideMark/>
          </w:tcPr>
          <w:p w14:paraId="75FAE31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$1280</w:t>
            </w:r>
          </w:p>
        </w:tc>
        <w:tc>
          <w:tcPr>
            <w:tcW w:w="0" w:type="auto"/>
            <w:shd w:val="clear" w:color="auto" w:fill="BFEEFF"/>
            <w:tcMar>
              <w:top w:w="75" w:type="dxa"/>
              <w:left w:w="119" w:type="dxa"/>
              <w:bottom w:w="75" w:type="dxa"/>
              <w:right w:w="119" w:type="dxa"/>
            </w:tcMar>
            <w:hideMark/>
          </w:tcPr>
          <w:p w14:paraId="34E734A3"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$1330</w:t>
            </w:r>
          </w:p>
        </w:tc>
      </w:tr>
      <w:tr w:rsidR="001F0D24" w:rsidRPr="006A6AD3" w14:paraId="470D64E2" w14:textId="77777777" w:rsidTr="001F0D24">
        <w:tc>
          <w:tcPr>
            <w:tcW w:w="0" w:type="auto"/>
            <w:shd w:val="clear" w:color="auto" w:fill="auto"/>
            <w:tcMar>
              <w:top w:w="75" w:type="dxa"/>
              <w:left w:w="119" w:type="dxa"/>
              <w:bottom w:w="75" w:type="dxa"/>
              <w:right w:w="119" w:type="dxa"/>
            </w:tcMar>
            <w:hideMark/>
          </w:tcPr>
          <w:p w14:paraId="05DED778"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auto"/>
            <w:tcMar>
              <w:top w:w="75" w:type="dxa"/>
              <w:left w:w="119" w:type="dxa"/>
              <w:bottom w:w="75" w:type="dxa"/>
              <w:right w:w="119" w:type="dxa"/>
            </w:tcMar>
            <w:hideMark/>
          </w:tcPr>
          <w:p w14:paraId="50FCD874"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16th anniversary</w:t>
            </w:r>
          </w:p>
        </w:tc>
        <w:tc>
          <w:tcPr>
            <w:tcW w:w="0" w:type="auto"/>
            <w:shd w:val="clear" w:color="auto" w:fill="auto"/>
            <w:tcMar>
              <w:top w:w="75" w:type="dxa"/>
              <w:left w:w="119" w:type="dxa"/>
              <w:bottom w:w="75" w:type="dxa"/>
              <w:right w:w="119" w:type="dxa"/>
            </w:tcMar>
            <w:hideMark/>
          </w:tcPr>
          <w:p w14:paraId="0F08CD62"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$1555</w:t>
            </w:r>
          </w:p>
        </w:tc>
        <w:tc>
          <w:tcPr>
            <w:tcW w:w="0" w:type="auto"/>
            <w:shd w:val="clear" w:color="auto" w:fill="auto"/>
            <w:tcMar>
              <w:top w:w="75" w:type="dxa"/>
              <w:left w:w="119" w:type="dxa"/>
              <w:bottom w:w="75" w:type="dxa"/>
              <w:right w:w="119" w:type="dxa"/>
            </w:tcMar>
            <w:hideMark/>
          </w:tcPr>
          <w:p w14:paraId="5FBBEA03"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$1605</w:t>
            </w:r>
          </w:p>
        </w:tc>
      </w:tr>
      <w:tr w:rsidR="001F0D24" w:rsidRPr="006A6AD3" w14:paraId="5B7362ED" w14:textId="77777777" w:rsidTr="001F0D24">
        <w:tc>
          <w:tcPr>
            <w:tcW w:w="0" w:type="auto"/>
            <w:shd w:val="clear" w:color="auto" w:fill="BFEEFF"/>
            <w:tcMar>
              <w:top w:w="75" w:type="dxa"/>
              <w:left w:w="119" w:type="dxa"/>
              <w:bottom w:w="75" w:type="dxa"/>
              <w:right w:w="119" w:type="dxa"/>
            </w:tcMar>
            <w:hideMark/>
          </w:tcPr>
          <w:p w14:paraId="67E40C3D"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BFEEFF"/>
            <w:tcMar>
              <w:top w:w="75" w:type="dxa"/>
              <w:left w:w="119" w:type="dxa"/>
              <w:bottom w:w="75" w:type="dxa"/>
              <w:right w:w="119" w:type="dxa"/>
            </w:tcMar>
            <w:hideMark/>
          </w:tcPr>
          <w:p w14:paraId="32B66DB5"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17th anniversary</w:t>
            </w:r>
          </w:p>
        </w:tc>
        <w:tc>
          <w:tcPr>
            <w:tcW w:w="0" w:type="auto"/>
            <w:shd w:val="clear" w:color="auto" w:fill="BFEEFF"/>
            <w:tcMar>
              <w:top w:w="75" w:type="dxa"/>
              <w:left w:w="119" w:type="dxa"/>
              <w:bottom w:w="75" w:type="dxa"/>
              <w:right w:w="119" w:type="dxa"/>
            </w:tcMar>
            <w:hideMark/>
          </w:tcPr>
          <w:p w14:paraId="1B9B81A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$1875</w:t>
            </w:r>
          </w:p>
        </w:tc>
        <w:tc>
          <w:tcPr>
            <w:tcW w:w="0" w:type="auto"/>
            <w:shd w:val="clear" w:color="auto" w:fill="BFEEFF"/>
            <w:tcMar>
              <w:top w:w="75" w:type="dxa"/>
              <w:left w:w="119" w:type="dxa"/>
              <w:bottom w:w="75" w:type="dxa"/>
              <w:right w:w="119" w:type="dxa"/>
            </w:tcMar>
            <w:hideMark/>
          </w:tcPr>
          <w:p w14:paraId="37CA001E"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$1925</w:t>
            </w:r>
          </w:p>
        </w:tc>
      </w:tr>
      <w:tr w:rsidR="001F0D24" w:rsidRPr="006A6AD3" w14:paraId="6E5FDD24" w14:textId="77777777" w:rsidTr="001F0D24">
        <w:tc>
          <w:tcPr>
            <w:tcW w:w="0" w:type="auto"/>
            <w:shd w:val="clear" w:color="auto" w:fill="auto"/>
            <w:tcMar>
              <w:top w:w="75" w:type="dxa"/>
              <w:left w:w="119" w:type="dxa"/>
              <w:bottom w:w="75" w:type="dxa"/>
              <w:right w:w="119" w:type="dxa"/>
            </w:tcMar>
            <w:hideMark/>
          </w:tcPr>
          <w:p w14:paraId="74A70ABE"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auto"/>
            <w:tcMar>
              <w:top w:w="75" w:type="dxa"/>
              <w:left w:w="119" w:type="dxa"/>
              <w:bottom w:w="75" w:type="dxa"/>
              <w:right w:w="119" w:type="dxa"/>
            </w:tcMar>
            <w:hideMark/>
          </w:tcPr>
          <w:p w14:paraId="47540366"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18th anniversary</w:t>
            </w:r>
          </w:p>
        </w:tc>
        <w:tc>
          <w:tcPr>
            <w:tcW w:w="0" w:type="auto"/>
            <w:shd w:val="clear" w:color="auto" w:fill="auto"/>
            <w:tcMar>
              <w:top w:w="75" w:type="dxa"/>
              <w:left w:w="119" w:type="dxa"/>
              <w:bottom w:w="75" w:type="dxa"/>
              <w:right w:w="119" w:type="dxa"/>
            </w:tcMar>
            <w:hideMark/>
          </w:tcPr>
          <w:p w14:paraId="7D133AF0"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$2240</w:t>
            </w:r>
          </w:p>
        </w:tc>
        <w:tc>
          <w:tcPr>
            <w:tcW w:w="0" w:type="auto"/>
            <w:shd w:val="clear" w:color="auto" w:fill="auto"/>
            <w:tcMar>
              <w:top w:w="75" w:type="dxa"/>
              <w:left w:w="119" w:type="dxa"/>
              <w:bottom w:w="75" w:type="dxa"/>
              <w:right w:w="119" w:type="dxa"/>
            </w:tcMar>
            <w:hideMark/>
          </w:tcPr>
          <w:p w14:paraId="65C9160D"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$2290</w:t>
            </w:r>
          </w:p>
        </w:tc>
      </w:tr>
      <w:tr w:rsidR="001F0D24" w:rsidRPr="006A6AD3" w14:paraId="3A9EF748" w14:textId="77777777" w:rsidTr="001F0D24">
        <w:tc>
          <w:tcPr>
            <w:tcW w:w="0" w:type="auto"/>
            <w:shd w:val="clear" w:color="auto" w:fill="BFEEFF"/>
            <w:tcMar>
              <w:top w:w="75" w:type="dxa"/>
              <w:left w:w="119" w:type="dxa"/>
              <w:bottom w:w="75" w:type="dxa"/>
              <w:right w:w="119" w:type="dxa"/>
            </w:tcMar>
            <w:hideMark/>
          </w:tcPr>
          <w:p w14:paraId="6EB3A7E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BFEEFF"/>
            <w:tcMar>
              <w:top w:w="75" w:type="dxa"/>
              <w:left w:w="119" w:type="dxa"/>
              <w:bottom w:w="75" w:type="dxa"/>
              <w:right w:w="119" w:type="dxa"/>
            </w:tcMar>
            <w:hideMark/>
          </w:tcPr>
          <w:p w14:paraId="7D3D7CF8"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19th anniversary</w:t>
            </w:r>
          </w:p>
        </w:tc>
        <w:tc>
          <w:tcPr>
            <w:tcW w:w="0" w:type="auto"/>
            <w:shd w:val="clear" w:color="auto" w:fill="BFEEFF"/>
            <w:tcMar>
              <w:top w:w="75" w:type="dxa"/>
              <w:left w:w="119" w:type="dxa"/>
              <w:bottom w:w="75" w:type="dxa"/>
              <w:right w:w="119" w:type="dxa"/>
            </w:tcMar>
            <w:hideMark/>
          </w:tcPr>
          <w:p w14:paraId="3AF02284"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$2650</w:t>
            </w:r>
          </w:p>
        </w:tc>
        <w:tc>
          <w:tcPr>
            <w:tcW w:w="0" w:type="auto"/>
            <w:shd w:val="clear" w:color="auto" w:fill="BFEEFF"/>
            <w:tcMar>
              <w:top w:w="75" w:type="dxa"/>
              <w:left w:w="119" w:type="dxa"/>
              <w:bottom w:w="75" w:type="dxa"/>
              <w:right w:w="119" w:type="dxa"/>
            </w:tcMar>
            <w:hideMark/>
          </w:tcPr>
          <w:p w14:paraId="2968F580"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$2700</w:t>
            </w:r>
          </w:p>
        </w:tc>
      </w:tr>
      <w:tr w:rsidR="001F0D24" w:rsidRPr="006A6AD3" w14:paraId="35508219" w14:textId="77777777" w:rsidTr="001F0D24">
        <w:tc>
          <w:tcPr>
            <w:tcW w:w="0" w:type="auto"/>
            <w:shd w:val="clear" w:color="auto" w:fill="auto"/>
            <w:tcMar>
              <w:top w:w="75" w:type="dxa"/>
              <w:left w:w="119" w:type="dxa"/>
              <w:bottom w:w="75" w:type="dxa"/>
              <w:right w:w="119" w:type="dxa"/>
            </w:tcMar>
            <w:hideMark/>
          </w:tcPr>
          <w:p w14:paraId="7F815F7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auto"/>
            <w:tcMar>
              <w:top w:w="75" w:type="dxa"/>
              <w:left w:w="119" w:type="dxa"/>
              <w:bottom w:w="75" w:type="dxa"/>
              <w:right w:w="119" w:type="dxa"/>
            </w:tcMar>
            <w:hideMark/>
          </w:tcPr>
          <w:p w14:paraId="21376D8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20th anniversary (pharmaceutical patents only)</w:t>
            </w:r>
          </w:p>
        </w:tc>
        <w:tc>
          <w:tcPr>
            <w:tcW w:w="0" w:type="auto"/>
            <w:shd w:val="clear" w:color="auto" w:fill="auto"/>
            <w:tcMar>
              <w:top w:w="75" w:type="dxa"/>
              <w:left w:w="119" w:type="dxa"/>
              <w:bottom w:w="75" w:type="dxa"/>
              <w:right w:w="119" w:type="dxa"/>
            </w:tcMar>
            <w:hideMark/>
          </w:tcPr>
          <w:p w14:paraId="6671E16E"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$4000</w:t>
            </w:r>
          </w:p>
        </w:tc>
        <w:tc>
          <w:tcPr>
            <w:tcW w:w="0" w:type="auto"/>
            <w:shd w:val="clear" w:color="auto" w:fill="auto"/>
            <w:tcMar>
              <w:top w:w="75" w:type="dxa"/>
              <w:left w:w="119" w:type="dxa"/>
              <w:bottom w:w="75" w:type="dxa"/>
              <w:right w:w="119" w:type="dxa"/>
            </w:tcMar>
            <w:hideMark/>
          </w:tcPr>
          <w:p w14:paraId="39E22FCC"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$4050</w:t>
            </w:r>
          </w:p>
        </w:tc>
      </w:tr>
      <w:tr w:rsidR="001F0D24" w:rsidRPr="006A6AD3" w14:paraId="215353EF" w14:textId="77777777" w:rsidTr="001F0D24">
        <w:tc>
          <w:tcPr>
            <w:tcW w:w="0" w:type="auto"/>
            <w:shd w:val="clear" w:color="auto" w:fill="BFEEFF"/>
            <w:tcMar>
              <w:top w:w="75" w:type="dxa"/>
              <w:left w:w="119" w:type="dxa"/>
              <w:bottom w:w="75" w:type="dxa"/>
              <w:right w:w="119" w:type="dxa"/>
            </w:tcMar>
            <w:hideMark/>
          </w:tcPr>
          <w:p w14:paraId="6C9BBC84"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lastRenderedPageBreak/>
              <w:t>211</w:t>
            </w:r>
          </w:p>
        </w:tc>
        <w:tc>
          <w:tcPr>
            <w:tcW w:w="0" w:type="auto"/>
            <w:shd w:val="clear" w:color="auto" w:fill="BFEEFF"/>
            <w:tcMar>
              <w:top w:w="75" w:type="dxa"/>
              <w:left w:w="119" w:type="dxa"/>
              <w:bottom w:w="75" w:type="dxa"/>
              <w:right w:w="119" w:type="dxa"/>
            </w:tcMar>
            <w:hideMark/>
          </w:tcPr>
          <w:p w14:paraId="2D9C0013"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21st anniversary (pharmaceutical patents only)</w:t>
            </w:r>
          </w:p>
        </w:tc>
        <w:tc>
          <w:tcPr>
            <w:tcW w:w="0" w:type="auto"/>
            <w:shd w:val="clear" w:color="auto" w:fill="BFEEFF"/>
            <w:tcMar>
              <w:top w:w="75" w:type="dxa"/>
              <w:left w:w="119" w:type="dxa"/>
              <w:bottom w:w="75" w:type="dxa"/>
              <w:right w:w="119" w:type="dxa"/>
            </w:tcMar>
            <w:hideMark/>
          </w:tcPr>
          <w:p w14:paraId="54BBB6F0"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$5000</w:t>
            </w:r>
          </w:p>
        </w:tc>
        <w:tc>
          <w:tcPr>
            <w:tcW w:w="0" w:type="auto"/>
            <w:shd w:val="clear" w:color="auto" w:fill="BFEEFF"/>
            <w:tcMar>
              <w:top w:w="75" w:type="dxa"/>
              <w:left w:w="119" w:type="dxa"/>
              <w:bottom w:w="75" w:type="dxa"/>
              <w:right w:w="119" w:type="dxa"/>
            </w:tcMar>
            <w:hideMark/>
          </w:tcPr>
          <w:p w14:paraId="4065ED74"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$5050</w:t>
            </w:r>
          </w:p>
        </w:tc>
      </w:tr>
      <w:tr w:rsidR="001F0D24" w:rsidRPr="006A6AD3" w14:paraId="71EC4CAF" w14:textId="77777777" w:rsidTr="001F0D24">
        <w:tc>
          <w:tcPr>
            <w:tcW w:w="0" w:type="auto"/>
            <w:shd w:val="clear" w:color="auto" w:fill="auto"/>
            <w:tcMar>
              <w:top w:w="75" w:type="dxa"/>
              <w:left w:w="119" w:type="dxa"/>
              <w:bottom w:w="75" w:type="dxa"/>
              <w:right w:w="119" w:type="dxa"/>
            </w:tcMar>
            <w:hideMark/>
          </w:tcPr>
          <w:p w14:paraId="14C7B4AB"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auto"/>
            <w:tcMar>
              <w:top w:w="75" w:type="dxa"/>
              <w:left w:w="119" w:type="dxa"/>
              <w:bottom w:w="75" w:type="dxa"/>
              <w:right w:w="119" w:type="dxa"/>
            </w:tcMar>
            <w:hideMark/>
          </w:tcPr>
          <w:p w14:paraId="4C6ACA7A"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22nd anniversary (pharmaceutical patents only)</w:t>
            </w:r>
          </w:p>
        </w:tc>
        <w:tc>
          <w:tcPr>
            <w:tcW w:w="0" w:type="auto"/>
            <w:shd w:val="clear" w:color="auto" w:fill="auto"/>
            <w:tcMar>
              <w:top w:w="75" w:type="dxa"/>
              <w:left w:w="119" w:type="dxa"/>
              <w:bottom w:w="75" w:type="dxa"/>
              <w:right w:w="119" w:type="dxa"/>
            </w:tcMar>
            <w:hideMark/>
          </w:tcPr>
          <w:p w14:paraId="37E699AA"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$6000</w:t>
            </w:r>
          </w:p>
        </w:tc>
        <w:tc>
          <w:tcPr>
            <w:tcW w:w="0" w:type="auto"/>
            <w:shd w:val="clear" w:color="auto" w:fill="auto"/>
            <w:tcMar>
              <w:top w:w="75" w:type="dxa"/>
              <w:left w:w="119" w:type="dxa"/>
              <w:bottom w:w="75" w:type="dxa"/>
              <w:right w:w="119" w:type="dxa"/>
            </w:tcMar>
            <w:hideMark/>
          </w:tcPr>
          <w:p w14:paraId="24A1E574"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$6050</w:t>
            </w:r>
          </w:p>
        </w:tc>
      </w:tr>
      <w:tr w:rsidR="001F0D24" w:rsidRPr="006A6AD3" w14:paraId="6200D8E7" w14:textId="77777777" w:rsidTr="001F0D24">
        <w:tc>
          <w:tcPr>
            <w:tcW w:w="0" w:type="auto"/>
            <w:shd w:val="clear" w:color="auto" w:fill="BFEEFF"/>
            <w:tcMar>
              <w:top w:w="75" w:type="dxa"/>
              <w:left w:w="119" w:type="dxa"/>
              <w:bottom w:w="75" w:type="dxa"/>
              <w:right w:w="119" w:type="dxa"/>
            </w:tcMar>
            <w:hideMark/>
          </w:tcPr>
          <w:p w14:paraId="1146C29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BFEEFF"/>
            <w:tcMar>
              <w:top w:w="75" w:type="dxa"/>
              <w:left w:w="119" w:type="dxa"/>
              <w:bottom w:w="75" w:type="dxa"/>
              <w:right w:w="119" w:type="dxa"/>
            </w:tcMar>
            <w:hideMark/>
          </w:tcPr>
          <w:p w14:paraId="62A42625"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23rd anniversary (pharmaceutical patents only)</w:t>
            </w:r>
          </w:p>
        </w:tc>
        <w:tc>
          <w:tcPr>
            <w:tcW w:w="0" w:type="auto"/>
            <w:shd w:val="clear" w:color="auto" w:fill="BFEEFF"/>
            <w:tcMar>
              <w:top w:w="75" w:type="dxa"/>
              <w:left w:w="119" w:type="dxa"/>
              <w:bottom w:w="75" w:type="dxa"/>
              <w:right w:w="119" w:type="dxa"/>
            </w:tcMar>
            <w:hideMark/>
          </w:tcPr>
          <w:p w14:paraId="4E584CFB"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$7000</w:t>
            </w:r>
          </w:p>
        </w:tc>
        <w:tc>
          <w:tcPr>
            <w:tcW w:w="0" w:type="auto"/>
            <w:shd w:val="clear" w:color="auto" w:fill="BFEEFF"/>
            <w:tcMar>
              <w:top w:w="75" w:type="dxa"/>
              <w:left w:w="119" w:type="dxa"/>
              <w:bottom w:w="75" w:type="dxa"/>
              <w:right w:w="119" w:type="dxa"/>
            </w:tcMar>
            <w:hideMark/>
          </w:tcPr>
          <w:p w14:paraId="2C8E167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$7050</w:t>
            </w:r>
          </w:p>
        </w:tc>
      </w:tr>
      <w:tr w:rsidR="001F0D24" w:rsidRPr="006A6AD3" w14:paraId="3D004AF0" w14:textId="77777777" w:rsidTr="001F0D24">
        <w:tc>
          <w:tcPr>
            <w:tcW w:w="0" w:type="auto"/>
            <w:shd w:val="clear" w:color="auto" w:fill="auto"/>
            <w:tcMar>
              <w:top w:w="75" w:type="dxa"/>
              <w:left w:w="119" w:type="dxa"/>
              <w:bottom w:w="75" w:type="dxa"/>
              <w:right w:w="119" w:type="dxa"/>
            </w:tcMar>
            <w:hideMark/>
          </w:tcPr>
          <w:p w14:paraId="558DF18E"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auto"/>
            <w:tcMar>
              <w:top w:w="75" w:type="dxa"/>
              <w:left w:w="119" w:type="dxa"/>
              <w:bottom w:w="75" w:type="dxa"/>
              <w:right w:w="119" w:type="dxa"/>
            </w:tcMar>
            <w:hideMark/>
          </w:tcPr>
          <w:p w14:paraId="4178B40B"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24th anniversary (pharmaceutical patents only)</w:t>
            </w:r>
          </w:p>
        </w:tc>
        <w:tc>
          <w:tcPr>
            <w:tcW w:w="0" w:type="auto"/>
            <w:shd w:val="clear" w:color="auto" w:fill="auto"/>
            <w:tcMar>
              <w:top w:w="75" w:type="dxa"/>
              <w:left w:w="119" w:type="dxa"/>
              <w:bottom w:w="75" w:type="dxa"/>
              <w:right w:w="119" w:type="dxa"/>
            </w:tcMar>
            <w:hideMark/>
          </w:tcPr>
          <w:p w14:paraId="4E9FF392"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$8000</w:t>
            </w:r>
          </w:p>
        </w:tc>
        <w:tc>
          <w:tcPr>
            <w:tcW w:w="0" w:type="auto"/>
            <w:shd w:val="clear" w:color="auto" w:fill="auto"/>
            <w:tcMar>
              <w:top w:w="75" w:type="dxa"/>
              <w:left w:w="119" w:type="dxa"/>
              <w:bottom w:w="75" w:type="dxa"/>
              <w:right w:w="119" w:type="dxa"/>
            </w:tcMar>
            <w:hideMark/>
          </w:tcPr>
          <w:p w14:paraId="694FFF4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$8050</w:t>
            </w:r>
          </w:p>
        </w:tc>
      </w:tr>
      <w:tr w:rsidR="001F0D24" w:rsidRPr="006A6AD3" w14:paraId="6838C1CF" w14:textId="77777777" w:rsidTr="001F0D24">
        <w:tc>
          <w:tcPr>
            <w:tcW w:w="0" w:type="auto"/>
            <w:shd w:val="clear" w:color="auto" w:fill="BFEEFF"/>
            <w:tcMar>
              <w:top w:w="75" w:type="dxa"/>
              <w:left w:w="119" w:type="dxa"/>
              <w:bottom w:w="75" w:type="dxa"/>
              <w:right w:w="119" w:type="dxa"/>
            </w:tcMar>
            <w:hideMark/>
          </w:tcPr>
          <w:p w14:paraId="4F47A95C"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211</w:t>
            </w:r>
          </w:p>
        </w:tc>
        <w:tc>
          <w:tcPr>
            <w:tcW w:w="0" w:type="auto"/>
            <w:shd w:val="clear" w:color="auto" w:fill="BFEEFF"/>
            <w:tcMar>
              <w:top w:w="75" w:type="dxa"/>
              <w:left w:w="119" w:type="dxa"/>
              <w:bottom w:w="75" w:type="dxa"/>
              <w:right w:w="119" w:type="dxa"/>
            </w:tcMar>
            <w:hideMark/>
          </w:tcPr>
          <w:p w14:paraId="0B3915E7"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Renewal payment late fee</w:t>
            </w:r>
          </w:p>
        </w:tc>
        <w:tc>
          <w:tcPr>
            <w:tcW w:w="0" w:type="auto"/>
            <w:shd w:val="clear" w:color="auto" w:fill="BFEEFF"/>
            <w:tcMar>
              <w:top w:w="75" w:type="dxa"/>
              <w:left w:w="119" w:type="dxa"/>
              <w:bottom w:w="75" w:type="dxa"/>
              <w:right w:w="119" w:type="dxa"/>
            </w:tcMar>
            <w:hideMark/>
          </w:tcPr>
          <w:p w14:paraId="2809EC7A"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$100 for each month, or part thereof that the fee is late (up to six months).</w:t>
            </w:r>
          </w:p>
        </w:tc>
        <w:tc>
          <w:tcPr>
            <w:tcW w:w="0" w:type="auto"/>
            <w:shd w:val="clear" w:color="auto" w:fill="BFEEFF"/>
            <w:tcMar>
              <w:top w:w="75" w:type="dxa"/>
              <w:left w:w="119" w:type="dxa"/>
              <w:bottom w:w="75" w:type="dxa"/>
              <w:right w:w="119" w:type="dxa"/>
            </w:tcMar>
            <w:hideMark/>
          </w:tcPr>
          <w:p w14:paraId="1FC1C895"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 </w:t>
            </w:r>
          </w:p>
        </w:tc>
      </w:tr>
    </w:tbl>
    <w:p w14:paraId="64701F8D" w14:textId="77777777" w:rsidR="001F0D24" w:rsidRPr="00AB7F77" w:rsidRDefault="001F0D24" w:rsidP="00AB7F77">
      <w:pPr>
        <w:spacing w:before="480" w:line="480" w:lineRule="auto"/>
        <w:rPr>
          <w:rFonts w:ascii="Times New Roman" w:eastAsia="Times New Roman" w:hAnsi="Times New Roman" w:cs="Times New Roman"/>
          <w:b/>
          <w:bCs/>
          <w:lang w:eastAsia="en-AU"/>
        </w:rPr>
      </w:pPr>
      <w:r w:rsidRPr="00AB7F77">
        <w:rPr>
          <w:rFonts w:ascii="Times New Roman" w:eastAsia="Times New Roman" w:hAnsi="Times New Roman" w:cs="Times New Roman"/>
          <w:b/>
          <w:bCs/>
          <w:lang w:eastAsia="en-AU"/>
        </w:rPr>
        <w:t>Innovation patent renewals</w:t>
      </w:r>
    </w:p>
    <w:tbl>
      <w:tblPr>
        <w:tblW w:w="5000" w:type="pct"/>
        <w:tblCellMar>
          <w:left w:w="0" w:type="dxa"/>
          <w:right w:w="0" w:type="dxa"/>
        </w:tblCellMar>
        <w:tblLook w:val="04A0" w:firstRow="1" w:lastRow="0" w:firstColumn="1" w:lastColumn="0" w:noHBand="0" w:noVBand="1"/>
        <w:tblCaption w:val="IP Australia aplication  fees - check IP Australia website for details"/>
        <w:tblDescription w:val="IP Australia aplication  fees - check IP Australia website for details"/>
      </w:tblPr>
      <w:tblGrid>
        <w:gridCol w:w="1213"/>
        <w:gridCol w:w="2131"/>
        <w:gridCol w:w="4383"/>
        <w:gridCol w:w="1571"/>
      </w:tblGrid>
      <w:tr w:rsidR="001F0D24" w:rsidRPr="006A6AD3" w14:paraId="7C4383E9" w14:textId="77777777" w:rsidTr="001F0D24">
        <w:trPr>
          <w:tblHeader/>
        </w:trPr>
        <w:tc>
          <w:tcPr>
            <w:tcW w:w="1305" w:type="dxa"/>
            <w:shd w:val="clear" w:color="auto" w:fill="auto"/>
            <w:tcMar>
              <w:top w:w="75" w:type="dxa"/>
              <w:left w:w="119" w:type="dxa"/>
              <w:bottom w:w="75" w:type="dxa"/>
              <w:right w:w="119" w:type="dxa"/>
            </w:tcMar>
            <w:hideMark/>
          </w:tcPr>
          <w:p w14:paraId="3C776001"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Schedule 7 item</w:t>
            </w:r>
          </w:p>
        </w:tc>
        <w:tc>
          <w:tcPr>
            <w:tcW w:w="2070" w:type="dxa"/>
            <w:shd w:val="clear" w:color="auto" w:fill="auto"/>
            <w:tcMar>
              <w:top w:w="75" w:type="dxa"/>
              <w:left w:w="119" w:type="dxa"/>
              <w:bottom w:w="75" w:type="dxa"/>
              <w:right w:w="119" w:type="dxa"/>
            </w:tcMar>
            <w:hideMark/>
          </w:tcPr>
          <w:p w14:paraId="4AAAE2E6"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Action</w:t>
            </w:r>
          </w:p>
        </w:tc>
        <w:tc>
          <w:tcPr>
            <w:tcW w:w="4245" w:type="dxa"/>
            <w:shd w:val="clear" w:color="auto" w:fill="auto"/>
            <w:tcMar>
              <w:top w:w="75" w:type="dxa"/>
              <w:left w:w="119" w:type="dxa"/>
              <w:bottom w:w="75" w:type="dxa"/>
              <w:right w:w="119" w:type="dxa"/>
            </w:tcMar>
            <w:hideMark/>
          </w:tcPr>
          <w:p w14:paraId="18CF77E9"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Fee (online services)</w:t>
            </w:r>
          </w:p>
        </w:tc>
        <w:tc>
          <w:tcPr>
            <w:tcW w:w="2040" w:type="dxa"/>
            <w:shd w:val="clear" w:color="auto" w:fill="auto"/>
            <w:tcMar>
              <w:top w:w="75" w:type="dxa"/>
              <w:left w:w="119" w:type="dxa"/>
              <w:bottom w:w="75" w:type="dxa"/>
              <w:right w:w="119" w:type="dxa"/>
            </w:tcMar>
            <w:hideMark/>
          </w:tcPr>
          <w:p w14:paraId="6A37DDC3"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Fee (other means)</w:t>
            </w:r>
          </w:p>
        </w:tc>
      </w:tr>
      <w:tr w:rsidR="001F0D24" w:rsidRPr="006A6AD3" w14:paraId="3F1E460D" w14:textId="77777777" w:rsidTr="001F0D24">
        <w:tc>
          <w:tcPr>
            <w:tcW w:w="0" w:type="auto"/>
            <w:shd w:val="clear" w:color="auto" w:fill="auto"/>
            <w:tcMar>
              <w:top w:w="75" w:type="dxa"/>
              <w:left w:w="119" w:type="dxa"/>
              <w:bottom w:w="75" w:type="dxa"/>
              <w:right w:w="119" w:type="dxa"/>
            </w:tcMar>
            <w:hideMark/>
          </w:tcPr>
          <w:p w14:paraId="45288E6F"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212</w:t>
            </w:r>
          </w:p>
        </w:tc>
        <w:tc>
          <w:tcPr>
            <w:tcW w:w="0" w:type="auto"/>
            <w:shd w:val="clear" w:color="auto" w:fill="auto"/>
            <w:tcMar>
              <w:top w:w="75" w:type="dxa"/>
              <w:left w:w="119" w:type="dxa"/>
              <w:bottom w:w="75" w:type="dxa"/>
              <w:right w:w="119" w:type="dxa"/>
            </w:tcMar>
            <w:hideMark/>
          </w:tcPr>
          <w:p w14:paraId="3FED1DDA"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2nd to 4th anniversaries</w:t>
            </w:r>
          </w:p>
        </w:tc>
        <w:tc>
          <w:tcPr>
            <w:tcW w:w="0" w:type="auto"/>
            <w:shd w:val="clear" w:color="auto" w:fill="auto"/>
            <w:tcMar>
              <w:top w:w="75" w:type="dxa"/>
              <w:left w:w="119" w:type="dxa"/>
              <w:bottom w:w="75" w:type="dxa"/>
              <w:right w:w="119" w:type="dxa"/>
            </w:tcMar>
            <w:hideMark/>
          </w:tcPr>
          <w:p w14:paraId="069F12C2"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$110</w:t>
            </w:r>
          </w:p>
        </w:tc>
        <w:tc>
          <w:tcPr>
            <w:tcW w:w="0" w:type="auto"/>
            <w:shd w:val="clear" w:color="auto" w:fill="auto"/>
            <w:tcMar>
              <w:top w:w="75" w:type="dxa"/>
              <w:left w:w="119" w:type="dxa"/>
              <w:bottom w:w="75" w:type="dxa"/>
              <w:right w:w="119" w:type="dxa"/>
            </w:tcMar>
            <w:hideMark/>
          </w:tcPr>
          <w:p w14:paraId="1F9F58CC"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$160</w:t>
            </w:r>
          </w:p>
        </w:tc>
      </w:tr>
      <w:tr w:rsidR="001F0D24" w:rsidRPr="006A6AD3" w14:paraId="68ACA94C" w14:textId="77777777" w:rsidTr="001F0D24">
        <w:tc>
          <w:tcPr>
            <w:tcW w:w="0" w:type="auto"/>
            <w:shd w:val="clear" w:color="auto" w:fill="BFEEFF"/>
            <w:tcMar>
              <w:top w:w="75" w:type="dxa"/>
              <w:left w:w="119" w:type="dxa"/>
              <w:bottom w:w="75" w:type="dxa"/>
              <w:right w:w="119" w:type="dxa"/>
            </w:tcMar>
            <w:hideMark/>
          </w:tcPr>
          <w:p w14:paraId="0772468E"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212</w:t>
            </w:r>
          </w:p>
        </w:tc>
        <w:tc>
          <w:tcPr>
            <w:tcW w:w="0" w:type="auto"/>
            <w:shd w:val="clear" w:color="auto" w:fill="BFEEFF"/>
            <w:tcMar>
              <w:top w:w="75" w:type="dxa"/>
              <w:left w:w="119" w:type="dxa"/>
              <w:bottom w:w="75" w:type="dxa"/>
              <w:right w:w="119" w:type="dxa"/>
            </w:tcMar>
            <w:hideMark/>
          </w:tcPr>
          <w:p w14:paraId="4609634B"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5th to 7th anniversaries</w:t>
            </w:r>
          </w:p>
        </w:tc>
        <w:tc>
          <w:tcPr>
            <w:tcW w:w="0" w:type="auto"/>
            <w:shd w:val="clear" w:color="auto" w:fill="BFEEFF"/>
            <w:tcMar>
              <w:top w:w="75" w:type="dxa"/>
              <w:left w:w="119" w:type="dxa"/>
              <w:bottom w:w="75" w:type="dxa"/>
              <w:right w:w="119" w:type="dxa"/>
            </w:tcMar>
            <w:hideMark/>
          </w:tcPr>
          <w:p w14:paraId="7133067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$220</w:t>
            </w:r>
          </w:p>
        </w:tc>
        <w:tc>
          <w:tcPr>
            <w:tcW w:w="0" w:type="auto"/>
            <w:shd w:val="clear" w:color="auto" w:fill="BFEEFF"/>
            <w:tcMar>
              <w:top w:w="75" w:type="dxa"/>
              <w:left w:w="119" w:type="dxa"/>
              <w:bottom w:w="75" w:type="dxa"/>
              <w:right w:w="119" w:type="dxa"/>
            </w:tcMar>
            <w:hideMark/>
          </w:tcPr>
          <w:p w14:paraId="4D8B00DB"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$270</w:t>
            </w:r>
          </w:p>
        </w:tc>
      </w:tr>
      <w:tr w:rsidR="001F0D24" w:rsidRPr="006A6AD3" w14:paraId="0D3A3922" w14:textId="77777777" w:rsidTr="001F0D24">
        <w:tc>
          <w:tcPr>
            <w:tcW w:w="0" w:type="auto"/>
            <w:shd w:val="clear" w:color="auto" w:fill="auto"/>
            <w:tcMar>
              <w:top w:w="75" w:type="dxa"/>
              <w:left w:w="119" w:type="dxa"/>
              <w:bottom w:w="75" w:type="dxa"/>
              <w:right w:w="119" w:type="dxa"/>
            </w:tcMar>
            <w:hideMark/>
          </w:tcPr>
          <w:p w14:paraId="42E7BD5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212</w:t>
            </w:r>
          </w:p>
        </w:tc>
        <w:tc>
          <w:tcPr>
            <w:tcW w:w="0" w:type="auto"/>
            <w:shd w:val="clear" w:color="auto" w:fill="auto"/>
            <w:tcMar>
              <w:top w:w="75" w:type="dxa"/>
              <w:left w:w="119" w:type="dxa"/>
              <w:bottom w:w="75" w:type="dxa"/>
              <w:right w:w="119" w:type="dxa"/>
            </w:tcMar>
            <w:hideMark/>
          </w:tcPr>
          <w:p w14:paraId="4F57D905"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Renewal Payment Late Fee</w:t>
            </w:r>
          </w:p>
        </w:tc>
        <w:tc>
          <w:tcPr>
            <w:tcW w:w="0" w:type="auto"/>
            <w:shd w:val="clear" w:color="auto" w:fill="auto"/>
            <w:tcMar>
              <w:top w:w="75" w:type="dxa"/>
              <w:left w:w="119" w:type="dxa"/>
              <w:bottom w:w="75" w:type="dxa"/>
              <w:right w:w="119" w:type="dxa"/>
            </w:tcMar>
            <w:hideMark/>
          </w:tcPr>
          <w:p w14:paraId="782D7EE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$100 for each month, or part thereof that the fee is late (up to six months).</w:t>
            </w:r>
          </w:p>
        </w:tc>
        <w:tc>
          <w:tcPr>
            <w:tcW w:w="0" w:type="auto"/>
            <w:shd w:val="clear" w:color="auto" w:fill="auto"/>
            <w:tcMar>
              <w:top w:w="75" w:type="dxa"/>
              <w:left w:w="119" w:type="dxa"/>
              <w:bottom w:w="75" w:type="dxa"/>
              <w:right w:w="119" w:type="dxa"/>
            </w:tcMar>
            <w:hideMark/>
          </w:tcPr>
          <w:p w14:paraId="046AB8A5"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 </w:t>
            </w:r>
          </w:p>
        </w:tc>
      </w:tr>
    </w:tbl>
    <w:p w14:paraId="0DAE80C1" w14:textId="77777777" w:rsidR="001F0D24" w:rsidRPr="00AB7F77" w:rsidRDefault="001F0D24" w:rsidP="00AB7F77">
      <w:pPr>
        <w:spacing w:before="480" w:line="480" w:lineRule="auto"/>
        <w:rPr>
          <w:rFonts w:ascii="Times New Roman" w:eastAsia="Times New Roman" w:hAnsi="Times New Roman" w:cs="Times New Roman"/>
          <w:b/>
          <w:bCs/>
          <w:lang w:eastAsia="en-AU"/>
        </w:rPr>
      </w:pPr>
      <w:r w:rsidRPr="00AB7F77">
        <w:rPr>
          <w:rFonts w:ascii="Times New Roman" w:eastAsia="Times New Roman" w:hAnsi="Times New Roman" w:cs="Times New Roman"/>
          <w:b/>
          <w:bCs/>
          <w:lang w:eastAsia="en-AU"/>
        </w:rPr>
        <w:t>Examination and searches</w:t>
      </w:r>
    </w:p>
    <w:p w14:paraId="7A8E36D0"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Fees are payable for examination for both standard and innovation patent applications.</w:t>
      </w:r>
    </w:p>
    <w:tbl>
      <w:tblPr>
        <w:tblW w:w="5000" w:type="pct"/>
        <w:tblCellMar>
          <w:left w:w="0" w:type="dxa"/>
          <w:right w:w="0" w:type="dxa"/>
        </w:tblCellMar>
        <w:tblLook w:val="04A0" w:firstRow="1" w:lastRow="0" w:firstColumn="1" w:lastColumn="0" w:noHBand="0" w:noVBand="1"/>
        <w:tblCaption w:val="IP Australia aplication  fees - check IP Australia website for details"/>
        <w:tblDescription w:val="IP Australia aplication  fees - check IP Australia website for details"/>
      </w:tblPr>
      <w:tblGrid>
        <w:gridCol w:w="3095"/>
        <w:gridCol w:w="5525"/>
        <w:gridCol w:w="678"/>
      </w:tblGrid>
      <w:tr w:rsidR="001F0D24" w:rsidRPr="006A6AD3" w14:paraId="4A36A65D" w14:textId="77777777" w:rsidTr="001F0D24">
        <w:trPr>
          <w:tblHeader/>
        </w:trPr>
        <w:tc>
          <w:tcPr>
            <w:tcW w:w="3578" w:type="dxa"/>
            <w:shd w:val="clear" w:color="auto" w:fill="auto"/>
            <w:tcMar>
              <w:top w:w="75" w:type="dxa"/>
              <w:left w:w="119" w:type="dxa"/>
              <w:bottom w:w="75" w:type="dxa"/>
              <w:right w:w="119" w:type="dxa"/>
            </w:tcMar>
            <w:hideMark/>
          </w:tcPr>
          <w:p w14:paraId="3CD9CD70"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Schedule 7 item</w:t>
            </w:r>
          </w:p>
        </w:tc>
        <w:tc>
          <w:tcPr>
            <w:tcW w:w="4770" w:type="dxa"/>
            <w:shd w:val="clear" w:color="auto" w:fill="auto"/>
            <w:tcMar>
              <w:top w:w="75" w:type="dxa"/>
              <w:left w:w="119" w:type="dxa"/>
              <w:bottom w:w="75" w:type="dxa"/>
              <w:right w:w="119" w:type="dxa"/>
            </w:tcMar>
            <w:hideMark/>
          </w:tcPr>
          <w:p w14:paraId="0AAB0F8B"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Action</w:t>
            </w:r>
          </w:p>
        </w:tc>
        <w:tc>
          <w:tcPr>
            <w:tcW w:w="0" w:type="auto"/>
            <w:shd w:val="clear" w:color="auto" w:fill="auto"/>
            <w:tcMar>
              <w:top w:w="75" w:type="dxa"/>
              <w:left w:w="119" w:type="dxa"/>
              <w:bottom w:w="75" w:type="dxa"/>
              <w:right w:w="119" w:type="dxa"/>
            </w:tcMar>
            <w:hideMark/>
          </w:tcPr>
          <w:p w14:paraId="5F7FF068"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Fee</w:t>
            </w:r>
          </w:p>
        </w:tc>
      </w:tr>
      <w:tr w:rsidR="001F0D24" w:rsidRPr="006A6AD3" w14:paraId="31114FB8" w14:textId="77777777" w:rsidTr="001F0D24">
        <w:tc>
          <w:tcPr>
            <w:tcW w:w="0" w:type="auto"/>
            <w:shd w:val="clear" w:color="auto" w:fill="auto"/>
            <w:tcMar>
              <w:top w:w="75" w:type="dxa"/>
              <w:left w:w="119" w:type="dxa"/>
              <w:bottom w:w="75" w:type="dxa"/>
              <w:right w:w="119" w:type="dxa"/>
            </w:tcMar>
            <w:hideMark/>
          </w:tcPr>
          <w:p w14:paraId="2D991CCC"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 </w:t>
            </w:r>
          </w:p>
        </w:tc>
        <w:tc>
          <w:tcPr>
            <w:tcW w:w="0" w:type="auto"/>
            <w:shd w:val="clear" w:color="auto" w:fill="auto"/>
            <w:tcMar>
              <w:top w:w="75" w:type="dxa"/>
              <w:left w:w="119" w:type="dxa"/>
              <w:bottom w:w="75" w:type="dxa"/>
              <w:right w:w="119" w:type="dxa"/>
            </w:tcMar>
            <w:hideMark/>
          </w:tcPr>
          <w:p w14:paraId="65F27DDF"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Preliminary search and opinion (PSO)</w:t>
            </w:r>
          </w:p>
        </w:tc>
        <w:tc>
          <w:tcPr>
            <w:tcW w:w="0" w:type="auto"/>
            <w:shd w:val="clear" w:color="auto" w:fill="auto"/>
            <w:tcMar>
              <w:top w:w="75" w:type="dxa"/>
              <w:left w:w="119" w:type="dxa"/>
              <w:bottom w:w="75" w:type="dxa"/>
              <w:right w:w="119" w:type="dxa"/>
            </w:tcMar>
            <w:hideMark/>
          </w:tcPr>
          <w:p w14:paraId="22D3C3F5"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$950</w:t>
            </w:r>
          </w:p>
        </w:tc>
      </w:tr>
      <w:tr w:rsidR="001F0D24" w:rsidRPr="006A6AD3" w14:paraId="0103279E" w14:textId="77777777" w:rsidTr="001F0D24">
        <w:tc>
          <w:tcPr>
            <w:tcW w:w="0" w:type="auto"/>
            <w:shd w:val="clear" w:color="auto" w:fill="BFEEFF"/>
            <w:tcMar>
              <w:top w:w="75" w:type="dxa"/>
              <w:left w:w="119" w:type="dxa"/>
              <w:bottom w:w="75" w:type="dxa"/>
              <w:right w:w="119" w:type="dxa"/>
            </w:tcMar>
            <w:hideMark/>
          </w:tcPr>
          <w:p w14:paraId="002C04CA"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205</w:t>
            </w:r>
          </w:p>
        </w:tc>
        <w:tc>
          <w:tcPr>
            <w:tcW w:w="0" w:type="auto"/>
            <w:shd w:val="clear" w:color="auto" w:fill="BFEEFF"/>
            <w:tcMar>
              <w:top w:w="75" w:type="dxa"/>
              <w:left w:w="119" w:type="dxa"/>
              <w:bottom w:w="75" w:type="dxa"/>
              <w:right w:w="119" w:type="dxa"/>
            </w:tcMar>
            <w:hideMark/>
          </w:tcPr>
          <w:p w14:paraId="33C05CAD"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Standard patent examination request</w:t>
            </w:r>
          </w:p>
        </w:tc>
        <w:tc>
          <w:tcPr>
            <w:tcW w:w="0" w:type="auto"/>
            <w:shd w:val="clear" w:color="auto" w:fill="BFEEFF"/>
            <w:tcMar>
              <w:top w:w="75" w:type="dxa"/>
              <w:left w:w="119" w:type="dxa"/>
              <w:bottom w:w="75" w:type="dxa"/>
              <w:right w:w="119" w:type="dxa"/>
            </w:tcMar>
            <w:hideMark/>
          </w:tcPr>
          <w:p w14:paraId="75B02187"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$490</w:t>
            </w:r>
          </w:p>
        </w:tc>
      </w:tr>
      <w:tr w:rsidR="001F0D24" w:rsidRPr="006A6AD3" w14:paraId="1482CB81" w14:textId="77777777" w:rsidTr="001F0D24">
        <w:tc>
          <w:tcPr>
            <w:tcW w:w="0" w:type="auto"/>
            <w:shd w:val="clear" w:color="auto" w:fill="auto"/>
            <w:tcMar>
              <w:top w:w="75" w:type="dxa"/>
              <w:left w:w="119" w:type="dxa"/>
              <w:bottom w:w="75" w:type="dxa"/>
              <w:right w:w="119" w:type="dxa"/>
            </w:tcMar>
            <w:hideMark/>
          </w:tcPr>
          <w:p w14:paraId="71137757"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207</w:t>
            </w:r>
          </w:p>
        </w:tc>
        <w:tc>
          <w:tcPr>
            <w:tcW w:w="0" w:type="auto"/>
            <w:shd w:val="clear" w:color="auto" w:fill="auto"/>
            <w:tcMar>
              <w:top w:w="75" w:type="dxa"/>
              <w:left w:w="119" w:type="dxa"/>
              <w:bottom w:w="75" w:type="dxa"/>
              <w:right w:w="119" w:type="dxa"/>
            </w:tcMar>
            <w:hideMark/>
          </w:tcPr>
          <w:p w14:paraId="12D6457D"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Innovation patent examination request (applicant)</w:t>
            </w:r>
          </w:p>
        </w:tc>
        <w:tc>
          <w:tcPr>
            <w:tcW w:w="0" w:type="auto"/>
            <w:shd w:val="clear" w:color="auto" w:fill="auto"/>
            <w:tcMar>
              <w:top w:w="75" w:type="dxa"/>
              <w:left w:w="119" w:type="dxa"/>
              <w:bottom w:w="75" w:type="dxa"/>
              <w:right w:w="119" w:type="dxa"/>
            </w:tcMar>
            <w:hideMark/>
          </w:tcPr>
          <w:p w14:paraId="4134753F"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$500</w:t>
            </w:r>
          </w:p>
        </w:tc>
      </w:tr>
      <w:tr w:rsidR="001F0D24" w:rsidRPr="006A6AD3" w14:paraId="2F77B12F" w14:textId="77777777" w:rsidTr="001F0D24">
        <w:tc>
          <w:tcPr>
            <w:tcW w:w="0" w:type="auto"/>
            <w:shd w:val="clear" w:color="auto" w:fill="BFEEFF"/>
            <w:tcMar>
              <w:top w:w="75" w:type="dxa"/>
              <w:left w:w="119" w:type="dxa"/>
              <w:bottom w:w="75" w:type="dxa"/>
              <w:right w:w="119" w:type="dxa"/>
            </w:tcMar>
            <w:hideMark/>
          </w:tcPr>
          <w:p w14:paraId="78C5D0A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208(a)</w:t>
            </w:r>
          </w:p>
        </w:tc>
        <w:tc>
          <w:tcPr>
            <w:tcW w:w="0" w:type="auto"/>
            <w:shd w:val="clear" w:color="auto" w:fill="BFEEFF"/>
            <w:tcMar>
              <w:top w:w="75" w:type="dxa"/>
              <w:left w:w="119" w:type="dxa"/>
              <w:bottom w:w="75" w:type="dxa"/>
              <w:right w:w="119" w:type="dxa"/>
            </w:tcMar>
            <w:hideMark/>
          </w:tcPr>
          <w:p w14:paraId="57E1963D"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Innovation patent third party examination request (third party payment)</w:t>
            </w:r>
          </w:p>
        </w:tc>
        <w:tc>
          <w:tcPr>
            <w:tcW w:w="0" w:type="auto"/>
            <w:shd w:val="clear" w:color="auto" w:fill="BFEEFF"/>
            <w:tcMar>
              <w:top w:w="75" w:type="dxa"/>
              <w:left w:w="119" w:type="dxa"/>
              <w:bottom w:w="75" w:type="dxa"/>
              <w:right w:w="119" w:type="dxa"/>
            </w:tcMar>
            <w:hideMark/>
          </w:tcPr>
          <w:p w14:paraId="044D95C7"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$250</w:t>
            </w:r>
          </w:p>
        </w:tc>
      </w:tr>
      <w:tr w:rsidR="001F0D24" w:rsidRPr="006A6AD3" w14:paraId="5191A8D2" w14:textId="77777777" w:rsidTr="001F0D24">
        <w:tc>
          <w:tcPr>
            <w:tcW w:w="0" w:type="auto"/>
            <w:shd w:val="clear" w:color="auto" w:fill="auto"/>
            <w:tcMar>
              <w:top w:w="75" w:type="dxa"/>
              <w:left w:w="119" w:type="dxa"/>
              <w:bottom w:w="75" w:type="dxa"/>
              <w:right w:w="119" w:type="dxa"/>
            </w:tcMar>
            <w:hideMark/>
          </w:tcPr>
          <w:p w14:paraId="1DD53344"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208(b)</w:t>
            </w:r>
          </w:p>
        </w:tc>
        <w:tc>
          <w:tcPr>
            <w:tcW w:w="0" w:type="auto"/>
            <w:shd w:val="clear" w:color="auto" w:fill="auto"/>
            <w:tcMar>
              <w:top w:w="75" w:type="dxa"/>
              <w:left w:w="119" w:type="dxa"/>
              <w:bottom w:w="75" w:type="dxa"/>
              <w:right w:w="119" w:type="dxa"/>
            </w:tcMar>
            <w:hideMark/>
          </w:tcPr>
          <w:p w14:paraId="171C6D5B"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Innovation patent third party examination request (applicant payment)</w:t>
            </w:r>
          </w:p>
        </w:tc>
        <w:tc>
          <w:tcPr>
            <w:tcW w:w="0" w:type="auto"/>
            <w:shd w:val="clear" w:color="auto" w:fill="auto"/>
            <w:tcMar>
              <w:top w:w="75" w:type="dxa"/>
              <w:left w:w="119" w:type="dxa"/>
              <w:bottom w:w="75" w:type="dxa"/>
              <w:right w:w="119" w:type="dxa"/>
            </w:tcMar>
            <w:hideMark/>
          </w:tcPr>
          <w:p w14:paraId="389BF1A2"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$250</w:t>
            </w:r>
          </w:p>
        </w:tc>
      </w:tr>
      <w:tr w:rsidR="001F0D24" w:rsidRPr="006A6AD3" w14:paraId="4CEEA44B" w14:textId="77777777" w:rsidTr="001F0D24">
        <w:tc>
          <w:tcPr>
            <w:tcW w:w="0" w:type="auto"/>
            <w:shd w:val="clear" w:color="auto" w:fill="BFEEFF"/>
            <w:tcMar>
              <w:top w:w="75" w:type="dxa"/>
              <w:left w:w="119" w:type="dxa"/>
              <w:bottom w:w="75" w:type="dxa"/>
              <w:right w:w="119" w:type="dxa"/>
            </w:tcMar>
            <w:hideMark/>
          </w:tcPr>
          <w:p w14:paraId="5C06596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210</w:t>
            </w:r>
          </w:p>
        </w:tc>
        <w:tc>
          <w:tcPr>
            <w:tcW w:w="0" w:type="auto"/>
            <w:shd w:val="clear" w:color="auto" w:fill="BFEEFF"/>
            <w:tcMar>
              <w:top w:w="75" w:type="dxa"/>
              <w:left w:w="119" w:type="dxa"/>
              <w:bottom w:w="75" w:type="dxa"/>
              <w:right w:w="119" w:type="dxa"/>
            </w:tcMar>
            <w:hideMark/>
          </w:tcPr>
          <w:p w14:paraId="7A9FB6F3"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Re-examination request</w:t>
            </w:r>
          </w:p>
        </w:tc>
        <w:tc>
          <w:tcPr>
            <w:tcW w:w="0" w:type="auto"/>
            <w:shd w:val="clear" w:color="auto" w:fill="BFEEFF"/>
            <w:tcMar>
              <w:top w:w="75" w:type="dxa"/>
              <w:left w:w="119" w:type="dxa"/>
              <w:bottom w:w="75" w:type="dxa"/>
              <w:right w:w="119" w:type="dxa"/>
            </w:tcMar>
            <w:hideMark/>
          </w:tcPr>
          <w:p w14:paraId="5C3A8AE0"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$800</w:t>
            </w:r>
          </w:p>
        </w:tc>
      </w:tr>
    </w:tbl>
    <w:p w14:paraId="7A21A0D1" w14:textId="77777777" w:rsidR="001F0D24" w:rsidRPr="00AB7F77" w:rsidRDefault="001F0D24" w:rsidP="00AB7F77">
      <w:pPr>
        <w:spacing w:before="480" w:line="480" w:lineRule="auto"/>
        <w:rPr>
          <w:rFonts w:ascii="Times New Roman" w:eastAsia="Times New Roman" w:hAnsi="Times New Roman" w:cs="Times New Roman"/>
          <w:b/>
          <w:bCs/>
          <w:lang w:eastAsia="en-AU"/>
        </w:rPr>
      </w:pPr>
      <w:r w:rsidRPr="00AB7F77">
        <w:rPr>
          <w:rFonts w:ascii="Times New Roman" w:eastAsia="Times New Roman" w:hAnsi="Times New Roman" w:cs="Times New Roman"/>
          <w:b/>
          <w:bCs/>
          <w:lang w:eastAsia="en-AU"/>
        </w:rPr>
        <w:t>Innovation patents</w:t>
      </w:r>
    </w:p>
    <w:p w14:paraId="77236E61" w14:textId="77777777" w:rsidR="001F0D24" w:rsidRPr="006A6AD3" w:rsidRDefault="00004BC1" w:rsidP="001F0D24">
      <w:pPr>
        <w:spacing w:after="150" w:line="240" w:lineRule="auto"/>
        <w:rPr>
          <w:rFonts w:ascii="Times New Roman" w:eastAsia="Times New Roman" w:hAnsi="Times New Roman" w:cs="Times New Roman"/>
          <w:lang w:eastAsia="en-AU"/>
        </w:rPr>
      </w:pPr>
      <w:hyperlink r:id="rId57" w:anchor="innovation" w:tooltip="Innovation Patent" w:history="1">
        <w:r w:rsidR="001F0D24" w:rsidRPr="006A6AD3">
          <w:rPr>
            <w:rFonts w:ascii="Times New Roman" w:eastAsia="Times New Roman" w:hAnsi="Times New Roman" w:cs="Times New Roman"/>
            <w:color w:val="015A96"/>
            <w:u w:val="single"/>
            <w:lang w:eastAsia="en-AU"/>
          </w:rPr>
          <w:t>Innovation patents</w:t>
        </w:r>
      </w:hyperlink>
      <w:r w:rsidR="001F0D24" w:rsidRPr="006A6AD3">
        <w:rPr>
          <w:rFonts w:ascii="Times New Roman" w:eastAsia="Times New Roman" w:hAnsi="Times New Roman" w:cs="Times New Roman"/>
          <w:lang w:eastAsia="en-AU"/>
        </w:rPr>
        <w:t> do not have to be examined. You can choose to keep your patent as an unexamined innovation patent and never request examination. If competitors request examination of your innovation patent, they have to pay half of the examination fee and you will have to pay the other half. If you do not pay, your patent will cease.</w:t>
      </w:r>
    </w:p>
    <w:p w14:paraId="254E7434"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The Australian Government has begun the process of phasing out the innovation patent. Applicants can only apply for innovation patents in limited circumstances for the next 8 years. This includes through divisional applications and the conversion of a standard patent to an innovation patent. This can only occur if the parent application was filed before 26 August 2021. You can learn more about the phase out of the innovation patent </w:t>
      </w:r>
      <w:hyperlink r:id="rId58" w:history="1">
        <w:r w:rsidRPr="006A6AD3">
          <w:rPr>
            <w:rFonts w:ascii="Times New Roman" w:eastAsia="Times New Roman" w:hAnsi="Times New Roman" w:cs="Times New Roman"/>
            <w:color w:val="015A96"/>
            <w:u w:val="single"/>
            <w:lang w:eastAsia="en-AU"/>
          </w:rPr>
          <w:t>here</w:t>
        </w:r>
      </w:hyperlink>
      <w:r w:rsidRPr="006A6AD3">
        <w:rPr>
          <w:rFonts w:ascii="Times New Roman" w:eastAsia="Times New Roman" w:hAnsi="Times New Roman" w:cs="Times New Roman"/>
          <w:lang w:eastAsia="en-AU"/>
        </w:rPr>
        <w:t>.</w:t>
      </w:r>
    </w:p>
    <w:p w14:paraId="4DCCB732" w14:textId="77777777" w:rsidR="001F0D24" w:rsidRPr="00AB7F77" w:rsidRDefault="001F0D24" w:rsidP="00AB7F77">
      <w:pPr>
        <w:spacing w:before="480" w:line="480" w:lineRule="auto"/>
        <w:rPr>
          <w:rFonts w:ascii="Times New Roman" w:eastAsia="Times New Roman" w:hAnsi="Times New Roman" w:cs="Times New Roman"/>
          <w:b/>
          <w:bCs/>
          <w:lang w:eastAsia="en-AU"/>
        </w:rPr>
      </w:pPr>
      <w:r w:rsidRPr="00AB7F77">
        <w:rPr>
          <w:rFonts w:ascii="Times New Roman" w:eastAsia="Times New Roman" w:hAnsi="Times New Roman" w:cs="Times New Roman"/>
          <w:b/>
          <w:bCs/>
          <w:lang w:eastAsia="en-AU"/>
        </w:rPr>
        <w:t>Standard patents</w:t>
      </w:r>
    </w:p>
    <w:p w14:paraId="419CDDDE" w14:textId="77777777" w:rsidR="001F0D24" w:rsidRPr="006A6AD3" w:rsidRDefault="00004BC1" w:rsidP="001F0D24">
      <w:pPr>
        <w:spacing w:after="150" w:line="240" w:lineRule="auto"/>
        <w:rPr>
          <w:rFonts w:ascii="Times New Roman" w:eastAsia="Times New Roman" w:hAnsi="Times New Roman" w:cs="Times New Roman"/>
          <w:lang w:eastAsia="en-AU"/>
        </w:rPr>
      </w:pPr>
      <w:hyperlink r:id="rId59" w:anchor="standard" w:tooltip="Standard Patent" w:history="1">
        <w:r w:rsidR="001F0D24" w:rsidRPr="006A6AD3">
          <w:rPr>
            <w:rFonts w:ascii="Times New Roman" w:eastAsia="Times New Roman" w:hAnsi="Times New Roman" w:cs="Times New Roman"/>
            <w:color w:val="015A96"/>
            <w:u w:val="single"/>
            <w:lang w:eastAsia="en-AU"/>
          </w:rPr>
          <w:t>Standard patent</w:t>
        </w:r>
      </w:hyperlink>
      <w:r w:rsidR="001F0D24" w:rsidRPr="006A6AD3">
        <w:rPr>
          <w:rFonts w:ascii="Times New Roman" w:eastAsia="Times New Roman" w:hAnsi="Times New Roman" w:cs="Times New Roman"/>
          <w:lang w:eastAsia="en-AU"/>
        </w:rPr>
        <w:t xml:space="preserve"> applications must be examined. You must request examination and pay the examination fee within five years of your filing date. If you haven't requested examination yourself, you may be directed to request examination and pay the examination fee anywhere up to 55 months from your earliest priority date. In this case, you will be given two months to request examination. If you fail to request examination and pay the fee within the required </w:t>
      </w:r>
      <w:proofErr w:type="gramStart"/>
      <w:r w:rsidR="001F0D24" w:rsidRPr="006A6AD3">
        <w:rPr>
          <w:rFonts w:ascii="Times New Roman" w:eastAsia="Times New Roman" w:hAnsi="Times New Roman" w:cs="Times New Roman"/>
          <w:lang w:eastAsia="en-AU"/>
        </w:rPr>
        <w:t>period</w:t>
      </w:r>
      <w:proofErr w:type="gramEnd"/>
      <w:r w:rsidR="001F0D24" w:rsidRPr="006A6AD3">
        <w:rPr>
          <w:rFonts w:ascii="Times New Roman" w:eastAsia="Times New Roman" w:hAnsi="Times New Roman" w:cs="Times New Roman"/>
          <w:lang w:eastAsia="en-AU"/>
        </w:rPr>
        <w:t xml:space="preserve"> your application will lapse.</w:t>
      </w:r>
    </w:p>
    <w:p w14:paraId="39F86C49"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Both innovation and standard patents must be examined before you can enforce your rights.</w:t>
      </w:r>
    </w:p>
    <w:p w14:paraId="0A5EEFCF" w14:textId="77777777" w:rsidR="001F0D24" w:rsidRPr="00AB7F77" w:rsidRDefault="001F0D24" w:rsidP="00AB7F77">
      <w:pPr>
        <w:spacing w:before="480" w:line="480" w:lineRule="auto"/>
        <w:rPr>
          <w:rFonts w:ascii="Times New Roman" w:eastAsia="Times New Roman" w:hAnsi="Times New Roman" w:cs="Times New Roman"/>
          <w:b/>
          <w:bCs/>
          <w:lang w:eastAsia="en-AU"/>
        </w:rPr>
      </w:pPr>
      <w:r w:rsidRPr="00AB7F77">
        <w:rPr>
          <w:rFonts w:ascii="Times New Roman" w:eastAsia="Times New Roman" w:hAnsi="Times New Roman" w:cs="Times New Roman"/>
          <w:b/>
          <w:bCs/>
          <w:lang w:eastAsia="en-AU"/>
        </w:rPr>
        <w:t>Acceptance and excess claims</w:t>
      </w:r>
    </w:p>
    <w:p w14:paraId="77229005"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An acceptance fee is only applicable for a standard patent.</w:t>
      </w:r>
    </w:p>
    <w:tbl>
      <w:tblPr>
        <w:tblW w:w="5000" w:type="pct"/>
        <w:tblCellMar>
          <w:left w:w="0" w:type="dxa"/>
          <w:right w:w="0" w:type="dxa"/>
        </w:tblCellMar>
        <w:tblLook w:val="04A0" w:firstRow="1" w:lastRow="0" w:firstColumn="1" w:lastColumn="0" w:noHBand="0" w:noVBand="1"/>
        <w:tblCaption w:val="IP Australia aplication  fees - check IP Australia website for details"/>
        <w:tblDescription w:val="IP Australia aplication  fees - check IP Australia website for details"/>
      </w:tblPr>
      <w:tblGrid>
        <w:gridCol w:w="1410"/>
        <w:gridCol w:w="3632"/>
        <w:gridCol w:w="4256"/>
      </w:tblGrid>
      <w:tr w:rsidR="001F0D24" w:rsidRPr="006A6AD3" w14:paraId="4E4BBD7D" w14:textId="77777777" w:rsidTr="001F0D24">
        <w:trPr>
          <w:tblHeader/>
        </w:trPr>
        <w:tc>
          <w:tcPr>
            <w:tcW w:w="0" w:type="auto"/>
            <w:shd w:val="clear" w:color="auto" w:fill="auto"/>
            <w:tcMar>
              <w:top w:w="75" w:type="dxa"/>
              <w:left w:w="119" w:type="dxa"/>
              <w:bottom w:w="75" w:type="dxa"/>
              <w:right w:w="119" w:type="dxa"/>
            </w:tcMar>
            <w:hideMark/>
          </w:tcPr>
          <w:p w14:paraId="03FBF606"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Schedule 7 item</w:t>
            </w:r>
          </w:p>
        </w:tc>
        <w:tc>
          <w:tcPr>
            <w:tcW w:w="0" w:type="auto"/>
            <w:shd w:val="clear" w:color="auto" w:fill="auto"/>
            <w:tcMar>
              <w:top w:w="75" w:type="dxa"/>
              <w:left w:w="119" w:type="dxa"/>
              <w:bottom w:w="75" w:type="dxa"/>
              <w:right w:w="119" w:type="dxa"/>
            </w:tcMar>
            <w:hideMark/>
          </w:tcPr>
          <w:p w14:paraId="7419EE5D"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Action</w:t>
            </w:r>
          </w:p>
        </w:tc>
        <w:tc>
          <w:tcPr>
            <w:tcW w:w="0" w:type="auto"/>
            <w:shd w:val="clear" w:color="auto" w:fill="auto"/>
            <w:tcMar>
              <w:top w:w="75" w:type="dxa"/>
              <w:left w:w="119" w:type="dxa"/>
              <w:bottom w:w="75" w:type="dxa"/>
              <w:right w:w="119" w:type="dxa"/>
            </w:tcMar>
            <w:hideMark/>
          </w:tcPr>
          <w:p w14:paraId="21DA49BE"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Fee</w:t>
            </w:r>
          </w:p>
        </w:tc>
      </w:tr>
      <w:tr w:rsidR="001F0D24" w:rsidRPr="006A6AD3" w14:paraId="1511533D" w14:textId="77777777" w:rsidTr="001F0D24">
        <w:tc>
          <w:tcPr>
            <w:tcW w:w="0" w:type="auto"/>
            <w:shd w:val="clear" w:color="auto" w:fill="auto"/>
            <w:tcMar>
              <w:top w:w="75" w:type="dxa"/>
              <w:left w:w="119" w:type="dxa"/>
              <w:bottom w:w="75" w:type="dxa"/>
              <w:right w:w="119" w:type="dxa"/>
            </w:tcMar>
            <w:hideMark/>
          </w:tcPr>
          <w:p w14:paraId="4AB1387B"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213(a)</w:t>
            </w:r>
          </w:p>
        </w:tc>
        <w:tc>
          <w:tcPr>
            <w:tcW w:w="0" w:type="auto"/>
            <w:shd w:val="clear" w:color="auto" w:fill="auto"/>
            <w:tcMar>
              <w:top w:w="75" w:type="dxa"/>
              <w:left w:w="119" w:type="dxa"/>
              <w:bottom w:w="75" w:type="dxa"/>
              <w:right w:w="119" w:type="dxa"/>
            </w:tcMar>
            <w:hideMark/>
          </w:tcPr>
          <w:p w14:paraId="0BD098E2"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Standard patent acceptance</w:t>
            </w:r>
          </w:p>
        </w:tc>
        <w:tc>
          <w:tcPr>
            <w:tcW w:w="0" w:type="auto"/>
            <w:shd w:val="clear" w:color="auto" w:fill="auto"/>
            <w:tcMar>
              <w:top w:w="75" w:type="dxa"/>
              <w:left w:w="119" w:type="dxa"/>
              <w:bottom w:w="75" w:type="dxa"/>
              <w:right w:w="119" w:type="dxa"/>
            </w:tcMar>
            <w:hideMark/>
          </w:tcPr>
          <w:p w14:paraId="5C85D38B"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$250</w:t>
            </w:r>
          </w:p>
        </w:tc>
      </w:tr>
      <w:tr w:rsidR="001F0D24" w:rsidRPr="006A6AD3" w14:paraId="29008D5B" w14:textId="77777777" w:rsidTr="001F0D24">
        <w:tc>
          <w:tcPr>
            <w:tcW w:w="0" w:type="auto"/>
            <w:shd w:val="clear" w:color="auto" w:fill="BFEEFF"/>
            <w:tcMar>
              <w:top w:w="75" w:type="dxa"/>
              <w:left w:w="119" w:type="dxa"/>
              <w:bottom w:w="75" w:type="dxa"/>
              <w:right w:w="119" w:type="dxa"/>
            </w:tcMar>
            <w:hideMark/>
          </w:tcPr>
          <w:p w14:paraId="54B3198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213(b)</w:t>
            </w:r>
          </w:p>
        </w:tc>
        <w:tc>
          <w:tcPr>
            <w:tcW w:w="0" w:type="auto"/>
            <w:shd w:val="clear" w:color="auto" w:fill="BFEEFF"/>
            <w:tcMar>
              <w:top w:w="75" w:type="dxa"/>
              <w:left w:w="119" w:type="dxa"/>
              <w:bottom w:w="75" w:type="dxa"/>
              <w:right w:w="119" w:type="dxa"/>
            </w:tcMar>
            <w:hideMark/>
          </w:tcPr>
          <w:p w14:paraId="75E77675"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If the specification contains more than 20 claims at acceptance</w:t>
            </w:r>
          </w:p>
        </w:tc>
        <w:tc>
          <w:tcPr>
            <w:tcW w:w="0" w:type="auto"/>
            <w:shd w:val="clear" w:color="auto" w:fill="BFEEFF"/>
            <w:tcMar>
              <w:top w:w="75" w:type="dxa"/>
              <w:left w:w="119" w:type="dxa"/>
              <w:bottom w:w="75" w:type="dxa"/>
              <w:right w:w="119" w:type="dxa"/>
            </w:tcMar>
            <w:hideMark/>
          </w:tcPr>
          <w:p w14:paraId="4BB8509A"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The sum of:</w:t>
            </w:r>
          </w:p>
          <w:p w14:paraId="78F90593"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(a) $250; and</w:t>
            </w:r>
          </w:p>
          <w:p w14:paraId="0457CC3F"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(b) $125 for each claim in excess of 20, up to and including the 30th claim; and</w:t>
            </w:r>
          </w:p>
          <w:p w14:paraId="37433978"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(c) $250 for each claim in excess of 30 (if any)</w:t>
            </w:r>
          </w:p>
        </w:tc>
      </w:tr>
    </w:tbl>
    <w:p w14:paraId="153BB0F5" w14:textId="77777777" w:rsidR="001F0D24" w:rsidRPr="00AB7F77" w:rsidRDefault="001F0D24" w:rsidP="00AB7F77">
      <w:pPr>
        <w:spacing w:before="480" w:line="480" w:lineRule="auto"/>
        <w:rPr>
          <w:rFonts w:ascii="Times New Roman" w:eastAsia="Times New Roman" w:hAnsi="Times New Roman" w:cs="Times New Roman"/>
          <w:b/>
          <w:bCs/>
          <w:lang w:eastAsia="en-AU"/>
        </w:rPr>
      </w:pPr>
      <w:r w:rsidRPr="00AB7F77">
        <w:rPr>
          <w:rFonts w:ascii="Times New Roman" w:eastAsia="Times New Roman" w:hAnsi="Times New Roman" w:cs="Times New Roman"/>
          <w:b/>
          <w:bCs/>
          <w:lang w:eastAsia="en-AU"/>
        </w:rPr>
        <w:t>Voluntary amendments</w:t>
      </w:r>
    </w:p>
    <w:p w14:paraId="2E0052C3"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Amendments to a patent application will incur a fee if they are made at either of these stages:</w:t>
      </w:r>
    </w:p>
    <w:p w14:paraId="5D73DFAD" w14:textId="77777777" w:rsidR="001F0D24" w:rsidRPr="006A6AD3" w:rsidRDefault="001F0D24" w:rsidP="001F0D24">
      <w:pPr>
        <w:numPr>
          <w:ilvl w:val="0"/>
          <w:numId w:val="37"/>
        </w:numPr>
        <w:spacing w:before="100" w:beforeAutospacing="1" w:after="100" w:afterAutospacing="1"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before you request examination</w:t>
      </w:r>
    </w:p>
    <w:p w14:paraId="4158CBB6" w14:textId="77777777" w:rsidR="001F0D24" w:rsidRPr="006A6AD3" w:rsidRDefault="001F0D24" w:rsidP="001F0D24">
      <w:pPr>
        <w:numPr>
          <w:ilvl w:val="0"/>
          <w:numId w:val="37"/>
        </w:numPr>
        <w:spacing w:before="100" w:beforeAutospacing="1" w:after="100" w:afterAutospacing="1"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after the standard patent application has been accepted.</w:t>
      </w:r>
    </w:p>
    <w:p w14:paraId="068BD31F"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There is no fee for filing a voluntary amendment on a provisional application. It is also free to amend an innovation or standard patent application after examination has been requested.</w:t>
      </w:r>
    </w:p>
    <w:tbl>
      <w:tblPr>
        <w:tblW w:w="5000" w:type="pct"/>
        <w:tblCellMar>
          <w:left w:w="0" w:type="dxa"/>
          <w:right w:w="0" w:type="dxa"/>
        </w:tblCellMar>
        <w:tblLook w:val="04A0" w:firstRow="1" w:lastRow="0" w:firstColumn="1" w:lastColumn="0" w:noHBand="0" w:noVBand="1"/>
        <w:tblCaption w:val="IP Australia aplication  fees - check IP Australia website for details"/>
        <w:tblDescription w:val="IP Australia aplication  fees - check IP Australia website for details"/>
      </w:tblPr>
      <w:tblGrid>
        <w:gridCol w:w="1551"/>
        <w:gridCol w:w="6629"/>
        <w:gridCol w:w="1118"/>
      </w:tblGrid>
      <w:tr w:rsidR="001F0D24" w:rsidRPr="006A6AD3" w14:paraId="7914FB6A" w14:textId="77777777" w:rsidTr="001F0D24">
        <w:trPr>
          <w:tblHeader/>
        </w:trPr>
        <w:tc>
          <w:tcPr>
            <w:tcW w:w="0" w:type="auto"/>
            <w:shd w:val="clear" w:color="auto" w:fill="auto"/>
            <w:tcMar>
              <w:top w:w="75" w:type="dxa"/>
              <w:left w:w="119" w:type="dxa"/>
              <w:bottom w:w="75" w:type="dxa"/>
              <w:right w:w="119" w:type="dxa"/>
            </w:tcMar>
            <w:hideMark/>
          </w:tcPr>
          <w:p w14:paraId="3D2F031C"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lastRenderedPageBreak/>
              <w:t>Schedule 7 item</w:t>
            </w:r>
          </w:p>
        </w:tc>
        <w:tc>
          <w:tcPr>
            <w:tcW w:w="0" w:type="auto"/>
            <w:shd w:val="clear" w:color="auto" w:fill="auto"/>
            <w:tcMar>
              <w:top w:w="75" w:type="dxa"/>
              <w:left w:w="119" w:type="dxa"/>
              <w:bottom w:w="75" w:type="dxa"/>
              <w:right w:w="119" w:type="dxa"/>
            </w:tcMar>
            <w:hideMark/>
          </w:tcPr>
          <w:p w14:paraId="4F972183"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Action</w:t>
            </w:r>
          </w:p>
        </w:tc>
        <w:tc>
          <w:tcPr>
            <w:tcW w:w="500" w:type="pct"/>
            <w:shd w:val="clear" w:color="auto" w:fill="auto"/>
            <w:tcMar>
              <w:top w:w="75" w:type="dxa"/>
              <w:left w:w="119" w:type="dxa"/>
              <w:bottom w:w="75" w:type="dxa"/>
              <w:right w:w="119" w:type="dxa"/>
            </w:tcMar>
            <w:hideMark/>
          </w:tcPr>
          <w:p w14:paraId="73ED7E58"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Fee</w:t>
            </w:r>
          </w:p>
        </w:tc>
      </w:tr>
      <w:tr w:rsidR="001F0D24" w:rsidRPr="006A6AD3" w14:paraId="268A9A8B" w14:textId="77777777" w:rsidTr="001F0D24">
        <w:tc>
          <w:tcPr>
            <w:tcW w:w="0" w:type="auto"/>
            <w:shd w:val="clear" w:color="auto" w:fill="auto"/>
            <w:tcMar>
              <w:top w:w="75" w:type="dxa"/>
              <w:left w:w="119" w:type="dxa"/>
              <w:bottom w:w="75" w:type="dxa"/>
              <w:right w:w="119" w:type="dxa"/>
            </w:tcMar>
            <w:hideMark/>
          </w:tcPr>
          <w:p w14:paraId="34FDFEAE"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222</w:t>
            </w:r>
          </w:p>
        </w:tc>
        <w:tc>
          <w:tcPr>
            <w:tcW w:w="0" w:type="auto"/>
            <w:shd w:val="clear" w:color="auto" w:fill="auto"/>
            <w:tcMar>
              <w:top w:w="75" w:type="dxa"/>
              <w:left w:w="119" w:type="dxa"/>
              <w:bottom w:w="75" w:type="dxa"/>
              <w:right w:w="119" w:type="dxa"/>
            </w:tcMar>
            <w:hideMark/>
          </w:tcPr>
          <w:p w14:paraId="0F2025B7"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Amend standard patent specification before examination or after acceptance</w:t>
            </w:r>
          </w:p>
        </w:tc>
        <w:tc>
          <w:tcPr>
            <w:tcW w:w="0" w:type="auto"/>
            <w:shd w:val="clear" w:color="auto" w:fill="auto"/>
            <w:tcMar>
              <w:top w:w="75" w:type="dxa"/>
              <w:left w:w="119" w:type="dxa"/>
              <w:bottom w:w="75" w:type="dxa"/>
              <w:right w:w="119" w:type="dxa"/>
            </w:tcMar>
            <w:hideMark/>
          </w:tcPr>
          <w:p w14:paraId="5F53A26A"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$250</w:t>
            </w:r>
          </w:p>
        </w:tc>
      </w:tr>
      <w:tr w:rsidR="001F0D24" w:rsidRPr="006A6AD3" w14:paraId="1CC5F906" w14:textId="77777777" w:rsidTr="001F0D24">
        <w:tc>
          <w:tcPr>
            <w:tcW w:w="0" w:type="auto"/>
            <w:shd w:val="clear" w:color="auto" w:fill="BFEEFF"/>
            <w:tcMar>
              <w:top w:w="75" w:type="dxa"/>
              <w:left w:w="119" w:type="dxa"/>
              <w:bottom w:w="75" w:type="dxa"/>
              <w:right w:w="119" w:type="dxa"/>
            </w:tcMar>
            <w:hideMark/>
          </w:tcPr>
          <w:p w14:paraId="2E579EC3"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222A</w:t>
            </w:r>
          </w:p>
        </w:tc>
        <w:tc>
          <w:tcPr>
            <w:tcW w:w="0" w:type="auto"/>
            <w:shd w:val="clear" w:color="auto" w:fill="BFEEFF"/>
            <w:tcMar>
              <w:top w:w="75" w:type="dxa"/>
              <w:left w:w="119" w:type="dxa"/>
              <w:bottom w:w="75" w:type="dxa"/>
              <w:right w:w="119" w:type="dxa"/>
            </w:tcMar>
            <w:hideMark/>
          </w:tcPr>
          <w:p w14:paraId="727277A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Proposed amendment increases the claims in the complete specification and exceed 20 claims</w:t>
            </w:r>
          </w:p>
        </w:tc>
        <w:tc>
          <w:tcPr>
            <w:tcW w:w="0" w:type="auto"/>
            <w:shd w:val="clear" w:color="auto" w:fill="BFEEFF"/>
            <w:tcMar>
              <w:top w:w="75" w:type="dxa"/>
              <w:left w:w="119" w:type="dxa"/>
              <w:bottom w:w="75" w:type="dxa"/>
              <w:right w:w="119" w:type="dxa"/>
            </w:tcMar>
            <w:hideMark/>
          </w:tcPr>
          <w:p w14:paraId="2C643EB2"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$250 for each additional claim</w:t>
            </w:r>
          </w:p>
        </w:tc>
      </w:tr>
    </w:tbl>
    <w:p w14:paraId="71EF2428" w14:textId="77777777" w:rsidR="001F0D24" w:rsidRPr="00AB7F77" w:rsidRDefault="001F0D24" w:rsidP="00AB7F77">
      <w:pPr>
        <w:spacing w:before="480" w:line="480" w:lineRule="auto"/>
        <w:rPr>
          <w:rFonts w:ascii="Times New Roman" w:eastAsia="Times New Roman" w:hAnsi="Times New Roman" w:cs="Times New Roman"/>
          <w:b/>
          <w:bCs/>
          <w:lang w:eastAsia="en-AU"/>
        </w:rPr>
      </w:pPr>
      <w:r w:rsidRPr="00AB7F77">
        <w:rPr>
          <w:rFonts w:ascii="Times New Roman" w:eastAsia="Times New Roman" w:hAnsi="Times New Roman" w:cs="Times New Roman"/>
          <w:b/>
          <w:bCs/>
          <w:lang w:eastAsia="en-AU"/>
        </w:rPr>
        <w:t>International fees</w:t>
      </w:r>
    </w:p>
    <w:p w14:paraId="7E4B0F95"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Fees for patents overseas will vary depending on the country you apply in.</w:t>
      </w:r>
    </w:p>
    <w:p w14:paraId="20A1CD7A"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Filing separate patent applications in each country may be cost effective if you choose to file in only a few countries.</w:t>
      </w:r>
    </w:p>
    <w:p w14:paraId="7A548F05"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If you file an application under the </w:t>
      </w:r>
      <w:hyperlink r:id="rId60" w:anchor="international" w:tgtFrame="_blank" w:tooltip="&amp;lt; no link selected &amp;gt;" w:history="1">
        <w:r w:rsidRPr="006A6AD3">
          <w:rPr>
            <w:rFonts w:ascii="Times New Roman" w:eastAsia="Times New Roman" w:hAnsi="Times New Roman" w:cs="Times New Roman"/>
            <w:color w:val="015A96"/>
            <w:u w:val="single"/>
            <w:lang w:eastAsia="en-AU"/>
          </w:rPr>
          <w:t>Patent Cooperation Treaty</w:t>
        </w:r>
      </w:hyperlink>
      <w:r w:rsidRPr="006A6AD3">
        <w:rPr>
          <w:rFonts w:ascii="Times New Roman" w:eastAsia="Times New Roman" w:hAnsi="Times New Roman" w:cs="Times New Roman"/>
          <w:lang w:eastAsia="en-AU"/>
        </w:rPr>
        <w:t> (PCT), your application will have automatic effect in the 151 countries in the treaty. This gives you more time to decide whether you want to pursue patent protection and in which countries. Most countries require you to file a patent application within 30 months from your priority date. You have 31 months if you file in Australia. Please check each country's requirements to ensure the correct fees are paid on time.</w:t>
      </w:r>
    </w:p>
    <w:p w14:paraId="18FF9A85"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If you choose to pursue patent protection without professional advice you should take extreme care to understand the fees you will be required to pay and when you are required to pay them.</w:t>
      </w:r>
    </w:p>
    <w:p w14:paraId="20D7A2C8"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If you have filed an Australian provisional application with a view to filing a PCT application, you can pay for a </w:t>
      </w:r>
      <w:hyperlink r:id="rId61" w:tooltip="International type search" w:history="1">
        <w:r w:rsidRPr="006A6AD3">
          <w:rPr>
            <w:rFonts w:ascii="Times New Roman" w:eastAsia="Times New Roman" w:hAnsi="Times New Roman" w:cs="Times New Roman"/>
            <w:color w:val="015A96"/>
            <w:u w:val="single"/>
            <w:lang w:eastAsia="en-AU"/>
          </w:rPr>
          <w:t>patentability search</w:t>
        </w:r>
      </w:hyperlink>
      <w:r w:rsidRPr="006A6AD3">
        <w:rPr>
          <w:rFonts w:ascii="Times New Roman" w:eastAsia="Times New Roman" w:hAnsi="Times New Roman" w:cs="Times New Roman"/>
          <w:lang w:eastAsia="en-AU"/>
        </w:rPr>
        <w:t> to be carried out by us on your invention before you file your PCT application.</w:t>
      </w:r>
    </w:p>
    <w:p w14:paraId="0B8C8A8E"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When you file your PCT application you must pay the full international search fee. If we have already conducted a search for your provisional application, you may request a partial refund of the international search fee. The amount of the refund will depend on how much additional searching we need to do on your PCT application.</w:t>
      </w:r>
    </w:p>
    <w:p w14:paraId="29AC3065"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Fees must be paid for a PCT application within one month of filing the application. Failure to pay these fees will result in the application being withdrawn.</w:t>
      </w:r>
    </w:p>
    <w:p w14:paraId="4DC95F1E"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You will also need to pay various national fees in each country where you choose to begin the national phase. Failure to pay a fee can have serious consequences for the protection of your rights.</w:t>
      </w:r>
    </w:p>
    <w:tbl>
      <w:tblPr>
        <w:tblW w:w="5000" w:type="pct"/>
        <w:tblCellMar>
          <w:left w:w="0" w:type="dxa"/>
          <w:right w:w="0" w:type="dxa"/>
        </w:tblCellMar>
        <w:tblLook w:val="04A0" w:firstRow="1" w:lastRow="0" w:firstColumn="1" w:lastColumn="0" w:noHBand="0" w:noVBand="1"/>
        <w:tblCaption w:val="IP Australia aplication  fees - check IP Australia website for details"/>
        <w:tblDescription w:val="IP Australia aplication  fees - check IP Australia website for details"/>
      </w:tblPr>
      <w:tblGrid>
        <w:gridCol w:w="1969"/>
        <w:gridCol w:w="5388"/>
        <w:gridCol w:w="1941"/>
      </w:tblGrid>
      <w:tr w:rsidR="001F0D24" w:rsidRPr="006A6AD3" w14:paraId="1EFA0AAE" w14:textId="77777777" w:rsidTr="001F0D24">
        <w:trPr>
          <w:tblHeader/>
        </w:trPr>
        <w:tc>
          <w:tcPr>
            <w:tcW w:w="2250" w:type="dxa"/>
            <w:shd w:val="clear" w:color="auto" w:fill="auto"/>
            <w:tcMar>
              <w:top w:w="75" w:type="dxa"/>
              <w:left w:w="119" w:type="dxa"/>
              <w:bottom w:w="75" w:type="dxa"/>
              <w:right w:w="119" w:type="dxa"/>
            </w:tcMar>
            <w:hideMark/>
          </w:tcPr>
          <w:p w14:paraId="4152E63A"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Schedule 7 item</w:t>
            </w:r>
          </w:p>
        </w:tc>
        <w:tc>
          <w:tcPr>
            <w:tcW w:w="5655" w:type="dxa"/>
            <w:shd w:val="clear" w:color="auto" w:fill="auto"/>
            <w:tcMar>
              <w:top w:w="75" w:type="dxa"/>
              <w:left w:w="119" w:type="dxa"/>
              <w:bottom w:w="75" w:type="dxa"/>
              <w:right w:w="119" w:type="dxa"/>
            </w:tcMar>
            <w:hideMark/>
          </w:tcPr>
          <w:p w14:paraId="2457213A"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Action</w:t>
            </w:r>
          </w:p>
        </w:tc>
        <w:tc>
          <w:tcPr>
            <w:tcW w:w="2205" w:type="dxa"/>
            <w:shd w:val="clear" w:color="auto" w:fill="auto"/>
            <w:tcMar>
              <w:top w:w="75" w:type="dxa"/>
              <w:left w:w="119" w:type="dxa"/>
              <w:bottom w:w="75" w:type="dxa"/>
              <w:right w:w="119" w:type="dxa"/>
            </w:tcMar>
            <w:hideMark/>
          </w:tcPr>
          <w:p w14:paraId="3DA285F6"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Fee</w:t>
            </w:r>
          </w:p>
        </w:tc>
      </w:tr>
      <w:tr w:rsidR="001F0D24" w:rsidRPr="006A6AD3" w14:paraId="77A3D7E2" w14:textId="77777777" w:rsidTr="001F0D24">
        <w:tc>
          <w:tcPr>
            <w:tcW w:w="0" w:type="auto"/>
            <w:shd w:val="clear" w:color="auto" w:fill="auto"/>
            <w:tcMar>
              <w:top w:w="75" w:type="dxa"/>
              <w:left w:w="119" w:type="dxa"/>
              <w:bottom w:w="75" w:type="dxa"/>
              <w:right w:w="119" w:type="dxa"/>
            </w:tcMar>
            <w:hideMark/>
          </w:tcPr>
          <w:p w14:paraId="797886A8"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301</w:t>
            </w:r>
          </w:p>
        </w:tc>
        <w:tc>
          <w:tcPr>
            <w:tcW w:w="0" w:type="auto"/>
            <w:shd w:val="clear" w:color="auto" w:fill="auto"/>
            <w:tcMar>
              <w:top w:w="75" w:type="dxa"/>
              <w:left w:w="119" w:type="dxa"/>
              <w:bottom w:w="75" w:type="dxa"/>
              <w:right w:w="119" w:type="dxa"/>
            </w:tcMar>
            <w:hideMark/>
          </w:tcPr>
          <w:p w14:paraId="1FD2C5E2"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Transmittal fee</w:t>
            </w:r>
          </w:p>
        </w:tc>
        <w:tc>
          <w:tcPr>
            <w:tcW w:w="0" w:type="auto"/>
            <w:shd w:val="clear" w:color="auto" w:fill="auto"/>
            <w:tcMar>
              <w:top w:w="75" w:type="dxa"/>
              <w:left w:w="119" w:type="dxa"/>
              <w:bottom w:w="75" w:type="dxa"/>
              <w:right w:w="119" w:type="dxa"/>
            </w:tcMar>
            <w:hideMark/>
          </w:tcPr>
          <w:p w14:paraId="73FE237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$200</w:t>
            </w:r>
          </w:p>
        </w:tc>
      </w:tr>
      <w:tr w:rsidR="001F0D24" w:rsidRPr="006A6AD3" w14:paraId="4F48D531" w14:textId="77777777" w:rsidTr="001F0D24">
        <w:tc>
          <w:tcPr>
            <w:tcW w:w="0" w:type="auto"/>
            <w:shd w:val="clear" w:color="auto" w:fill="BFEEFF"/>
            <w:tcMar>
              <w:top w:w="75" w:type="dxa"/>
              <w:left w:w="119" w:type="dxa"/>
              <w:bottom w:w="75" w:type="dxa"/>
              <w:right w:w="119" w:type="dxa"/>
            </w:tcMar>
            <w:hideMark/>
          </w:tcPr>
          <w:p w14:paraId="639DEDEA"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302</w:t>
            </w:r>
          </w:p>
        </w:tc>
        <w:tc>
          <w:tcPr>
            <w:tcW w:w="0" w:type="auto"/>
            <w:shd w:val="clear" w:color="auto" w:fill="BFEEFF"/>
            <w:tcMar>
              <w:top w:w="75" w:type="dxa"/>
              <w:left w:w="119" w:type="dxa"/>
              <w:bottom w:w="75" w:type="dxa"/>
              <w:right w:w="119" w:type="dxa"/>
            </w:tcMar>
            <w:hideMark/>
          </w:tcPr>
          <w:p w14:paraId="3CBD0ABE"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International search fee </w:t>
            </w:r>
          </w:p>
        </w:tc>
        <w:tc>
          <w:tcPr>
            <w:tcW w:w="0" w:type="auto"/>
            <w:shd w:val="clear" w:color="auto" w:fill="BFEEFF"/>
            <w:tcMar>
              <w:top w:w="75" w:type="dxa"/>
              <w:left w:w="119" w:type="dxa"/>
              <w:bottom w:w="75" w:type="dxa"/>
              <w:right w:w="119" w:type="dxa"/>
            </w:tcMar>
            <w:hideMark/>
          </w:tcPr>
          <w:p w14:paraId="3B51E19B"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$2200</w:t>
            </w:r>
          </w:p>
        </w:tc>
      </w:tr>
      <w:tr w:rsidR="001F0D24" w:rsidRPr="006A6AD3" w14:paraId="549AC6A5" w14:textId="77777777" w:rsidTr="001F0D24">
        <w:tc>
          <w:tcPr>
            <w:tcW w:w="0" w:type="auto"/>
            <w:shd w:val="clear" w:color="auto" w:fill="auto"/>
            <w:tcMar>
              <w:top w:w="75" w:type="dxa"/>
              <w:left w:w="119" w:type="dxa"/>
              <w:bottom w:w="75" w:type="dxa"/>
              <w:right w:w="119" w:type="dxa"/>
            </w:tcMar>
            <w:hideMark/>
          </w:tcPr>
          <w:p w14:paraId="3827A97E"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236</w:t>
            </w:r>
          </w:p>
        </w:tc>
        <w:tc>
          <w:tcPr>
            <w:tcW w:w="0" w:type="auto"/>
            <w:shd w:val="clear" w:color="auto" w:fill="auto"/>
            <w:tcMar>
              <w:top w:w="75" w:type="dxa"/>
              <w:left w:w="119" w:type="dxa"/>
              <w:bottom w:w="75" w:type="dxa"/>
              <w:right w:w="119" w:type="dxa"/>
            </w:tcMar>
            <w:hideMark/>
          </w:tcPr>
          <w:p w14:paraId="649E27CE" w14:textId="77777777" w:rsidR="001F0D24" w:rsidRPr="006A6AD3" w:rsidRDefault="00004BC1" w:rsidP="001F0D24">
            <w:pPr>
              <w:spacing w:after="0" w:line="240" w:lineRule="auto"/>
              <w:rPr>
                <w:rFonts w:ascii="Times New Roman" w:eastAsia="Times New Roman" w:hAnsi="Times New Roman" w:cs="Times New Roman"/>
                <w:lang w:eastAsia="en-AU"/>
              </w:rPr>
            </w:pPr>
            <w:hyperlink r:id="rId62" w:history="1">
              <w:r w:rsidR="001F0D24" w:rsidRPr="006A6AD3">
                <w:rPr>
                  <w:rFonts w:ascii="Times New Roman" w:eastAsia="Times New Roman" w:hAnsi="Times New Roman" w:cs="Times New Roman"/>
                  <w:color w:val="015A96"/>
                  <w:u w:val="single"/>
                  <w:lang w:eastAsia="en-AU"/>
                </w:rPr>
                <w:t>International-type search request </w:t>
              </w:r>
            </w:hyperlink>
          </w:p>
        </w:tc>
        <w:tc>
          <w:tcPr>
            <w:tcW w:w="0" w:type="auto"/>
            <w:shd w:val="clear" w:color="auto" w:fill="auto"/>
            <w:tcMar>
              <w:top w:w="75" w:type="dxa"/>
              <w:left w:w="119" w:type="dxa"/>
              <w:bottom w:w="75" w:type="dxa"/>
              <w:right w:w="119" w:type="dxa"/>
            </w:tcMar>
            <w:hideMark/>
          </w:tcPr>
          <w:p w14:paraId="2269EC4B"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$950</w:t>
            </w:r>
          </w:p>
        </w:tc>
      </w:tr>
      <w:tr w:rsidR="001F0D24" w:rsidRPr="006A6AD3" w14:paraId="2F1CD68F" w14:textId="77777777" w:rsidTr="001F0D24">
        <w:tc>
          <w:tcPr>
            <w:tcW w:w="0" w:type="auto"/>
            <w:shd w:val="clear" w:color="auto" w:fill="BFEEFF"/>
            <w:tcMar>
              <w:top w:w="75" w:type="dxa"/>
              <w:left w:w="119" w:type="dxa"/>
              <w:bottom w:w="75" w:type="dxa"/>
              <w:right w:w="119" w:type="dxa"/>
            </w:tcMar>
            <w:hideMark/>
          </w:tcPr>
          <w:p w14:paraId="50C39A22"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401</w:t>
            </w:r>
          </w:p>
        </w:tc>
        <w:tc>
          <w:tcPr>
            <w:tcW w:w="0" w:type="auto"/>
            <w:shd w:val="clear" w:color="auto" w:fill="BFEEFF"/>
            <w:tcMar>
              <w:top w:w="75" w:type="dxa"/>
              <w:left w:w="119" w:type="dxa"/>
              <w:bottom w:w="75" w:type="dxa"/>
              <w:right w:w="119" w:type="dxa"/>
            </w:tcMar>
            <w:hideMark/>
          </w:tcPr>
          <w:p w14:paraId="7AFCDD4B"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International filing fee</w:t>
            </w:r>
            <w:r w:rsidRPr="006A6AD3">
              <w:rPr>
                <w:rFonts w:ascii="Times New Roman" w:eastAsia="Times New Roman" w:hAnsi="Times New Roman" w:cs="Times New Roman"/>
                <w:lang w:eastAsia="en-AU"/>
              </w:rPr>
              <w:br/>
              <w:t>If the application contains 30 Pages or less including the request form</w:t>
            </w:r>
          </w:p>
        </w:tc>
        <w:tc>
          <w:tcPr>
            <w:tcW w:w="0" w:type="auto"/>
            <w:shd w:val="clear" w:color="auto" w:fill="BFEEFF"/>
            <w:tcMar>
              <w:top w:w="75" w:type="dxa"/>
              <w:left w:w="119" w:type="dxa"/>
              <w:bottom w:w="75" w:type="dxa"/>
              <w:right w:w="119" w:type="dxa"/>
            </w:tcMar>
            <w:hideMark/>
          </w:tcPr>
          <w:p w14:paraId="51C2895F"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$1970</w:t>
            </w:r>
          </w:p>
        </w:tc>
      </w:tr>
      <w:tr w:rsidR="001F0D24" w:rsidRPr="006A6AD3" w14:paraId="132ECFF3" w14:textId="77777777" w:rsidTr="001F0D24">
        <w:tc>
          <w:tcPr>
            <w:tcW w:w="0" w:type="auto"/>
            <w:shd w:val="clear" w:color="auto" w:fill="auto"/>
            <w:tcMar>
              <w:top w:w="75" w:type="dxa"/>
              <w:left w:w="119" w:type="dxa"/>
              <w:bottom w:w="75" w:type="dxa"/>
              <w:right w:w="119" w:type="dxa"/>
            </w:tcMar>
            <w:hideMark/>
          </w:tcPr>
          <w:p w14:paraId="005FE5A6"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 </w:t>
            </w:r>
          </w:p>
        </w:tc>
        <w:tc>
          <w:tcPr>
            <w:tcW w:w="0" w:type="auto"/>
            <w:shd w:val="clear" w:color="auto" w:fill="auto"/>
            <w:tcMar>
              <w:top w:w="75" w:type="dxa"/>
              <w:left w:w="119" w:type="dxa"/>
              <w:bottom w:w="75" w:type="dxa"/>
              <w:right w:w="119" w:type="dxa"/>
            </w:tcMar>
            <w:hideMark/>
          </w:tcPr>
          <w:p w14:paraId="79F9BF88"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For each page in the application in excess of 30 Sheets</w:t>
            </w:r>
          </w:p>
        </w:tc>
        <w:tc>
          <w:tcPr>
            <w:tcW w:w="0" w:type="auto"/>
            <w:shd w:val="clear" w:color="auto" w:fill="auto"/>
            <w:tcMar>
              <w:top w:w="75" w:type="dxa"/>
              <w:left w:w="119" w:type="dxa"/>
              <w:bottom w:w="75" w:type="dxa"/>
              <w:right w:w="119" w:type="dxa"/>
            </w:tcMar>
            <w:hideMark/>
          </w:tcPr>
          <w:p w14:paraId="7D35C76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$22</w:t>
            </w:r>
          </w:p>
        </w:tc>
      </w:tr>
      <w:tr w:rsidR="001F0D24" w:rsidRPr="006A6AD3" w14:paraId="75430C03" w14:textId="77777777" w:rsidTr="001F0D24">
        <w:tc>
          <w:tcPr>
            <w:tcW w:w="0" w:type="auto"/>
            <w:shd w:val="clear" w:color="auto" w:fill="BFEEFF"/>
            <w:tcMar>
              <w:top w:w="75" w:type="dxa"/>
              <w:left w:w="119" w:type="dxa"/>
              <w:bottom w:w="75" w:type="dxa"/>
              <w:right w:w="119" w:type="dxa"/>
            </w:tcMar>
            <w:hideMark/>
          </w:tcPr>
          <w:p w14:paraId="05EC4C90"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403</w:t>
            </w:r>
          </w:p>
        </w:tc>
        <w:tc>
          <w:tcPr>
            <w:tcW w:w="0" w:type="auto"/>
            <w:shd w:val="clear" w:color="auto" w:fill="BFEEFF"/>
            <w:tcMar>
              <w:top w:w="75" w:type="dxa"/>
              <w:left w:w="119" w:type="dxa"/>
              <w:bottom w:w="75" w:type="dxa"/>
              <w:right w:w="119" w:type="dxa"/>
            </w:tcMar>
            <w:hideMark/>
          </w:tcPr>
          <w:p w14:paraId="5541D507"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Electronic filing discounts for:</w:t>
            </w:r>
          </w:p>
        </w:tc>
        <w:tc>
          <w:tcPr>
            <w:tcW w:w="0" w:type="auto"/>
            <w:shd w:val="clear" w:color="auto" w:fill="BFEEFF"/>
            <w:tcMar>
              <w:top w:w="75" w:type="dxa"/>
              <w:left w:w="119" w:type="dxa"/>
              <w:bottom w:w="75" w:type="dxa"/>
              <w:right w:w="119" w:type="dxa"/>
            </w:tcMar>
            <w:hideMark/>
          </w:tcPr>
          <w:p w14:paraId="59964788"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 </w:t>
            </w:r>
          </w:p>
        </w:tc>
      </w:tr>
      <w:tr w:rsidR="001F0D24" w:rsidRPr="006A6AD3" w14:paraId="0F96F296" w14:textId="77777777" w:rsidTr="001F0D24">
        <w:tc>
          <w:tcPr>
            <w:tcW w:w="0" w:type="auto"/>
            <w:shd w:val="clear" w:color="auto" w:fill="auto"/>
            <w:tcMar>
              <w:top w:w="75" w:type="dxa"/>
              <w:left w:w="119" w:type="dxa"/>
              <w:bottom w:w="75" w:type="dxa"/>
              <w:right w:w="119" w:type="dxa"/>
            </w:tcMar>
            <w:hideMark/>
          </w:tcPr>
          <w:p w14:paraId="2830C69A"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 </w:t>
            </w:r>
          </w:p>
        </w:tc>
        <w:tc>
          <w:tcPr>
            <w:tcW w:w="0" w:type="auto"/>
            <w:shd w:val="clear" w:color="auto" w:fill="auto"/>
            <w:tcMar>
              <w:top w:w="75" w:type="dxa"/>
              <w:left w:w="119" w:type="dxa"/>
              <w:bottom w:w="75" w:type="dxa"/>
              <w:right w:w="119" w:type="dxa"/>
            </w:tcMar>
            <w:hideMark/>
          </w:tcPr>
          <w:p w14:paraId="723FD0FE"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 xml:space="preserve">Using </w:t>
            </w:r>
            <w:proofErr w:type="spellStart"/>
            <w:r w:rsidRPr="006A6AD3">
              <w:rPr>
                <w:rFonts w:ascii="Times New Roman" w:eastAsia="Times New Roman" w:hAnsi="Times New Roman" w:cs="Times New Roman"/>
                <w:lang w:eastAsia="en-AU"/>
              </w:rPr>
              <w:t>ePCT</w:t>
            </w:r>
            <w:proofErr w:type="spellEnd"/>
            <w:r w:rsidRPr="006A6AD3">
              <w:rPr>
                <w:rFonts w:ascii="Times New Roman" w:eastAsia="Times New Roman" w:hAnsi="Times New Roman" w:cs="Times New Roman"/>
                <w:lang w:eastAsia="en-AU"/>
              </w:rPr>
              <w:t> filed in PDF format</w:t>
            </w:r>
          </w:p>
        </w:tc>
        <w:tc>
          <w:tcPr>
            <w:tcW w:w="0" w:type="auto"/>
            <w:shd w:val="clear" w:color="auto" w:fill="auto"/>
            <w:tcMar>
              <w:top w:w="75" w:type="dxa"/>
              <w:left w:w="119" w:type="dxa"/>
              <w:bottom w:w="75" w:type="dxa"/>
              <w:right w:w="119" w:type="dxa"/>
            </w:tcMar>
            <w:hideMark/>
          </w:tcPr>
          <w:p w14:paraId="1541925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$296</w:t>
            </w:r>
          </w:p>
        </w:tc>
      </w:tr>
      <w:tr w:rsidR="001F0D24" w:rsidRPr="006A6AD3" w14:paraId="63A5675E" w14:textId="77777777" w:rsidTr="001F0D24">
        <w:tc>
          <w:tcPr>
            <w:tcW w:w="0" w:type="auto"/>
            <w:shd w:val="clear" w:color="auto" w:fill="BFEEFF"/>
            <w:tcMar>
              <w:top w:w="75" w:type="dxa"/>
              <w:left w:w="119" w:type="dxa"/>
              <w:bottom w:w="75" w:type="dxa"/>
              <w:right w:w="119" w:type="dxa"/>
            </w:tcMar>
            <w:hideMark/>
          </w:tcPr>
          <w:p w14:paraId="2CE53112"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lastRenderedPageBreak/>
              <w:t> </w:t>
            </w:r>
          </w:p>
        </w:tc>
        <w:tc>
          <w:tcPr>
            <w:tcW w:w="0" w:type="auto"/>
            <w:shd w:val="clear" w:color="auto" w:fill="BFEEFF"/>
            <w:tcMar>
              <w:top w:w="75" w:type="dxa"/>
              <w:left w:w="119" w:type="dxa"/>
              <w:bottom w:w="75" w:type="dxa"/>
              <w:right w:w="119" w:type="dxa"/>
            </w:tcMar>
            <w:hideMark/>
          </w:tcPr>
          <w:p w14:paraId="6F984B70"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 xml:space="preserve">Using </w:t>
            </w:r>
            <w:proofErr w:type="spellStart"/>
            <w:r w:rsidRPr="006A6AD3">
              <w:rPr>
                <w:rFonts w:ascii="Times New Roman" w:eastAsia="Times New Roman" w:hAnsi="Times New Roman" w:cs="Times New Roman"/>
                <w:lang w:eastAsia="en-AU"/>
              </w:rPr>
              <w:t>ePCT</w:t>
            </w:r>
            <w:proofErr w:type="spellEnd"/>
            <w:r w:rsidRPr="006A6AD3">
              <w:rPr>
                <w:rFonts w:ascii="Times New Roman" w:eastAsia="Times New Roman" w:hAnsi="Times New Roman" w:cs="Times New Roman"/>
                <w:lang w:eastAsia="en-AU"/>
              </w:rPr>
              <w:t xml:space="preserve"> filed in XML format</w:t>
            </w:r>
          </w:p>
        </w:tc>
        <w:tc>
          <w:tcPr>
            <w:tcW w:w="0" w:type="auto"/>
            <w:shd w:val="clear" w:color="auto" w:fill="BFEEFF"/>
            <w:tcMar>
              <w:top w:w="75" w:type="dxa"/>
              <w:left w:w="119" w:type="dxa"/>
              <w:bottom w:w="75" w:type="dxa"/>
              <w:right w:w="119" w:type="dxa"/>
            </w:tcMar>
            <w:hideMark/>
          </w:tcPr>
          <w:p w14:paraId="409307F7"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$444</w:t>
            </w:r>
          </w:p>
        </w:tc>
      </w:tr>
      <w:tr w:rsidR="001F0D24" w:rsidRPr="006A6AD3" w14:paraId="28A3F5FE" w14:textId="77777777" w:rsidTr="001F0D24">
        <w:tc>
          <w:tcPr>
            <w:tcW w:w="0" w:type="auto"/>
            <w:shd w:val="clear" w:color="auto" w:fill="auto"/>
            <w:tcMar>
              <w:top w:w="75" w:type="dxa"/>
              <w:left w:w="119" w:type="dxa"/>
              <w:bottom w:w="75" w:type="dxa"/>
              <w:right w:w="119" w:type="dxa"/>
            </w:tcMar>
            <w:hideMark/>
          </w:tcPr>
          <w:p w14:paraId="5B7B7CC7"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 </w:t>
            </w:r>
          </w:p>
        </w:tc>
        <w:tc>
          <w:tcPr>
            <w:tcW w:w="0" w:type="auto"/>
            <w:shd w:val="clear" w:color="auto" w:fill="auto"/>
            <w:tcMar>
              <w:top w:w="75" w:type="dxa"/>
              <w:left w:w="119" w:type="dxa"/>
              <w:bottom w:w="75" w:type="dxa"/>
              <w:right w:w="119" w:type="dxa"/>
            </w:tcMar>
            <w:hideMark/>
          </w:tcPr>
          <w:p w14:paraId="2B6ED342"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Additional international search fee</w:t>
            </w:r>
          </w:p>
        </w:tc>
        <w:tc>
          <w:tcPr>
            <w:tcW w:w="0" w:type="auto"/>
            <w:shd w:val="clear" w:color="auto" w:fill="auto"/>
            <w:tcMar>
              <w:top w:w="75" w:type="dxa"/>
              <w:left w:w="119" w:type="dxa"/>
              <w:bottom w:w="75" w:type="dxa"/>
              <w:right w:w="119" w:type="dxa"/>
            </w:tcMar>
            <w:hideMark/>
          </w:tcPr>
          <w:p w14:paraId="55AB5335"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$2200</w:t>
            </w:r>
          </w:p>
        </w:tc>
      </w:tr>
      <w:tr w:rsidR="001F0D24" w:rsidRPr="006A6AD3" w14:paraId="2C405B7B" w14:textId="77777777" w:rsidTr="001F0D24">
        <w:tc>
          <w:tcPr>
            <w:tcW w:w="0" w:type="auto"/>
            <w:shd w:val="clear" w:color="auto" w:fill="BFEEFF"/>
            <w:tcMar>
              <w:top w:w="75" w:type="dxa"/>
              <w:left w:w="119" w:type="dxa"/>
              <w:bottom w:w="75" w:type="dxa"/>
              <w:right w:w="119" w:type="dxa"/>
            </w:tcMar>
            <w:hideMark/>
          </w:tcPr>
          <w:p w14:paraId="3520CDAB"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 </w:t>
            </w:r>
          </w:p>
        </w:tc>
        <w:tc>
          <w:tcPr>
            <w:tcW w:w="0" w:type="auto"/>
            <w:shd w:val="clear" w:color="auto" w:fill="BFEEFF"/>
            <w:tcMar>
              <w:top w:w="75" w:type="dxa"/>
              <w:left w:w="119" w:type="dxa"/>
              <w:bottom w:w="75" w:type="dxa"/>
              <w:right w:w="119" w:type="dxa"/>
            </w:tcMar>
            <w:hideMark/>
          </w:tcPr>
          <w:p w14:paraId="467EDC08"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Cost of preparing certified copy of Basic Document </w:t>
            </w:r>
          </w:p>
        </w:tc>
        <w:tc>
          <w:tcPr>
            <w:tcW w:w="0" w:type="auto"/>
            <w:shd w:val="clear" w:color="auto" w:fill="BFEEFF"/>
            <w:tcMar>
              <w:top w:w="75" w:type="dxa"/>
              <w:left w:w="119" w:type="dxa"/>
              <w:bottom w:w="75" w:type="dxa"/>
              <w:right w:w="119" w:type="dxa"/>
            </w:tcMar>
            <w:hideMark/>
          </w:tcPr>
          <w:p w14:paraId="0BCC009E"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$50 per document</w:t>
            </w:r>
          </w:p>
        </w:tc>
      </w:tr>
      <w:tr w:rsidR="001F0D24" w:rsidRPr="006A6AD3" w14:paraId="56A0F301" w14:textId="77777777" w:rsidTr="001F0D24">
        <w:tc>
          <w:tcPr>
            <w:tcW w:w="0" w:type="auto"/>
            <w:shd w:val="clear" w:color="auto" w:fill="auto"/>
            <w:tcMar>
              <w:top w:w="75" w:type="dxa"/>
              <w:left w:w="119" w:type="dxa"/>
              <w:bottom w:w="75" w:type="dxa"/>
              <w:right w:w="119" w:type="dxa"/>
            </w:tcMar>
            <w:hideMark/>
          </w:tcPr>
          <w:p w14:paraId="3C024C5C"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 </w:t>
            </w:r>
          </w:p>
        </w:tc>
        <w:tc>
          <w:tcPr>
            <w:tcW w:w="0" w:type="auto"/>
            <w:shd w:val="clear" w:color="auto" w:fill="auto"/>
            <w:tcMar>
              <w:top w:w="75" w:type="dxa"/>
              <w:left w:w="119" w:type="dxa"/>
              <w:bottom w:w="75" w:type="dxa"/>
              <w:right w:w="119" w:type="dxa"/>
            </w:tcMar>
            <w:hideMark/>
          </w:tcPr>
          <w:p w14:paraId="3F38349F"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Copies of </w:t>
            </w:r>
            <w:r w:rsidRPr="006A6AD3">
              <w:rPr>
                <w:rFonts w:ascii="Times New Roman" w:eastAsia="Times New Roman" w:hAnsi="Times New Roman" w:cs="Times New Roman"/>
                <w:b/>
                <w:bCs/>
                <w:lang w:eastAsia="en-AU"/>
              </w:rPr>
              <w:t>Specifications</w:t>
            </w:r>
            <w:r w:rsidRPr="006A6AD3">
              <w:rPr>
                <w:rFonts w:ascii="Times New Roman" w:eastAsia="Times New Roman" w:hAnsi="Times New Roman" w:cs="Times New Roman"/>
                <w:lang w:eastAsia="en-AU"/>
              </w:rPr>
              <w:t> cited in the International Search Report</w:t>
            </w:r>
          </w:p>
        </w:tc>
        <w:tc>
          <w:tcPr>
            <w:tcW w:w="0" w:type="auto"/>
            <w:shd w:val="clear" w:color="auto" w:fill="auto"/>
            <w:tcMar>
              <w:top w:w="75" w:type="dxa"/>
              <w:left w:w="119" w:type="dxa"/>
              <w:bottom w:w="75" w:type="dxa"/>
              <w:right w:w="119" w:type="dxa"/>
            </w:tcMar>
            <w:hideMark/>
          </w:tcPr>
          <w:p w14:paraId="6A479160"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$50 per copy</w:t>
            </w:r>
          </w:p>
        </w:tc>
      </w:tr>
      <w:tr w:rsidR="001F0D24" w:rsidRPr="006A6AD3" w14:paraId="0806EFBB" w14:textId="77777777" w:rsidTr="001F0D24">
        <w:tc>
          <w:tcPr>
            <w:tcW w:w="0" w:type="auto"/>
            <w:shd w:val="clear" w:color="auto" w:fill="BFEEFF"/>
            <w:tcMar>
              <w:top w:w="75" w:type="dxa"/>
              <w:left w:w="119" w:type="dxa"/>
              <w:bottom w:w="75" w:type="dxa"/>
              <w:right w:w="119" w:type="dxa"/>
            </w:tcMar>
            <w:hideMark/>
          </w:tcPr>
          <w:p w14:paraId="7797531D"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304(a)</w:t>
            </w:r>
          </w:p>
        </w:tc>
        <w:tc>
          <w:tcPr>
            <w:tcW w:w="0" w:type="auto"/>
            <w:shd w:val="clear" w:color="auto" w:fill="BFEEFF"/>
            <w:tcMar>
              <w:top w:w="75" w:type="dxa"/>
              <w:left w:w="119" w:type="dxa"/>
              <w:bottom w:w="75" w:type="dxa"/>
              <w:right w:w="119" w:type="dxa"/>
            </w:tcMar>
            <w:hideMark/>
          </w:tcPr>
          <w:p w14:paraId="035C730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PCT International preliminary exam (with Australian ISR)</w:t>
            </w:r>
          </w:p>
        </w:tc>
        <w:tc>
          <w:tcPr>
            <w:tcW w:w="0" w:type="auto"/>
            <w:shd w:val="clear" w:color="auto" w:fill="BFEEFF"/>
            <w:tcMar>
              <w:top w:w="75" w:type="dxa"/>
              <w:left w:w="119" w:type="dxa"/>
              <w:bottom w:w="75" w:type="dxa"/>
              <w:right w:w="119" w:type="dxa"/>
            </w:tcMar>
            <w:hideMark/>
          </w:tcPr>
          <w:p w14:paraId="0CB49D65"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$590</w:t>
            </w:r>
          </w:p>
        </w:tc>
      </w:tr>
      <w:tr w:rsidR="001F0D24" w:rsidRPr="006A6AD3" w14:paraId="2D74BA5A" w14:textId="77777777" w:rsidTr="001F0D24">
        <w:tc>
          <w:tcPr>
            <w:tcW w:w="0" w:type="auto"/>
            <w:shd w:val="clear" w:color="auto" w:fill="auto"/>
            <w:tcMar>
              <w:top w:w="75" w:type="dxa"/>
              <w:left w:w="119" w:type="dxa"/>
              <w:bottom w:w="75" w:type="dxa"/>
              <w:right w:w="119" w:type="dxa"/>
            </w:tcMar>
            <w:hideMark/>
          </w:tcPr>
          <w:p w14:paraId="0D2789B7"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304(b)</w:t>
            </w:r>
          </w:p>
        </w:tc>
        <w:tc>
          <w:tcPr>
            <w:tcW w:w="0" w:type="auto"/>
            <w:shd w:val="clear" w:color="auto" w:fill="auto"/>
            <w:tcMar>
              <w:top w:w="75" w:type="dxa"/>
              <w:left w:w="119" w:type="dxa"/>
              <w:bottom w:w="75" w:type="dxa"/>
              <w:right w:w="119" w:type="dxa"/>
            </w:tcMar>
            <w:hideMark/>
          </w:tcPr>
          <w:p w14:paraId="40DAEE79"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PCT International preliminary exam (without Australian ISR)</w:t>
            </w:r>
          </w:p>
        </w:tc>
        <w:tc>
          <w:tcPr>
            <w:tcW w:w="0" w:type="auto"/>
            <w:shd w:val="clear" w:color="auto" w:fill="auto"/>
            <w:tcMar>
              <w:top w:w="75" w:type="dxa"/>
              <w:left w:w="119" w:type="dxa"/>
              <w:bottom w:w="75" w:type="dxa"/>
              <w:right w:w="119" w:type="dxa"/>
            </w:tcMar>
            <w:hideMark/>
          </w:tcPr>
          <w:p w14:paraId="29FB6C4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$820</w:t>
            </w:r>
          </w:p>
        </w:tc>
      </w:tr>
      <w:tr w:rsidR="001F0D24" w:rsidRPr="006A6AD3" w14:paraId="19D48788" w14:textId="77777777" w:rsidTr="001F0D24">
        <w:tc>
          <w:tcPr>
            <w:tcW w:w="0" w:type="auto"/>
            <w:shd w:val="clear" w:color="auto" w:fill="BFEEFF"/>
            <w:tcMar>
              <w:top w:w="75" w:type="dxa"/>
              <w:left w:w="119" w:type="dxa"/>
              <w:bottom w:w="75" w:type="dxa"/>
              <w:right w:w="119" w:type="dxa"/>
            </w:tcMar>
            <w:hideMark/>
          </w:tcPr>
          <w:p w14:paraId="721DE622"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402</w:t>
            </w:r>
          </w:p>
        </w:tc>
        <w:tc>
          <w:tcPr>
            <w:tcW w:w="0" w:type="auto"/>
            <w:shd w:val="clear" w:color="auto" w:fill="BFEEFF"/>
            <w:tcMar>
              <w:top w:w="75" w:type="dxa"/>
              <w:left w:w="119" w:type="dxa"/>
              <w:bottom w:w="75" w:type="dxa"/>
              <w:right w:w="119" w:type="dxa"/>
            </w:tcMar>
            <w:hideMark/>
          </w:tcPr>
          <w:p w14:paraId="0012A596"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International preliminary examination handling fee</w:t>
            </w:r>
          </w:p>
        </w:tc>
        <w:tc>
          <w:tcPr>
            <w:tcW w:w="0" w:type="auto"/>
            <w:shd w:val="clear" w:color="auto" w:fill="BFEEFF"/>
            <w:tcMar>
              <w:top w:w="75" w:type="dxa"/>
              <w:left w:w="119" w:type="dxa"/>
              <w:bottom w:w="75" w:type="dxa"/>
              <w:right w:w="119" w:type="dxa"/>
            </w:tcMar>
            <w:hideMark/>
          </w:tcPr>
          <w:p w14:paraId="66670916"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$296</w:t>
            </w:r>
          </w:p>
        </w:tc>
      </w:tr>
    </w:tbl>
    <w:p w14:paraId="09603B29" w14:textId="77777777" w:rsidR="001F0D24" w:rsidRPr="00AB7F77" w:rsidRDefault="001F0D24" w:rsidP="00AB7F77">
      <w:pPr>
        <w:spacing w:before="480" w:line="480" w:lineRule="auto"/>
        <w:rPr>
          <w:rFonts w:ascii="Times New Roman" w:eastAsia="Times New Roman" w:hAnsi="Times New Roman" w:cs="Times New Roman"/>
          <w:b/>
          <w:bCs/>
          <w:lang w:eastAsia="en-AU"/>
        </w:rPr>
      </w:pPr>
      <w:r w:rsidRPr="00AB7F77">
        <w:rPr>
          <w:rFonts w:ascii="Times New Roman" w:eastAsia="Times New Roman" w:hAnsi="Times New Roman" w:cs="Times New Roman"/>
          <w:b/>
          <w:bCs/>
          <w:lang w:eastAsia="en-AU"/>
        </w:rPr>
        <w:t>Oppositions and hearings</w:t>
      </w:r>
    </w:p>
    <w:p w14:paraId="4BCA43B3"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Parties involved in patent oppositions and ownership disputes can give evidence in a hearing overseen by a delegate of the Commissioner for Patents.</w:t>
      </w:r>
    </w:p>
    <w:p w14:paraId="2993FF86"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Some of the costs involved in opposition proceedings are detailed below:</w:t>
      </w:r>
    </w:p>
    <w:tbl>
      <w:tblPr>
        <w:tblW w:w="5000" w:type="pct"/>
        <w:tblCellMar>
          <w:left w:w="0" w:type="dxa"/>
          <w:right w:w="0" w:type="dxa"/>
        </w:tblCellMar>
        <w:tblLook w:val="04A0" w:firstRow="1" w:lastRow="0" w:firstColumn="1" w:lastColumn="0" w:noHBand="0" w:noVBand="1"/>
        <w:tblCaption w:val="IP Australia aplication  fees - check IP Australia website for details"/>
        <w:tblDescription w:val="IP Australia aplication  fees - check IP Australia website for details"/>
      </w:tblPr>
      <w:tblGrid>
        <w:gridCol w:w="1438"/>
        <w:gridCol w:w="5655"/>
        <w:gridCol w:w="2205"/>
      </w:tblGrid>
      <w:tr w:rsidR="001F0D24" w:rsidRPr="006A6AD3" w14:paraId="5A08FDB0" w14:textId="77777777" w:rsidTr="001F0D24">
        <w:trPr>
          <w:tblHeader/>
        </w:trPr>
        <w:tc>
          <w:tcPr>
            <w:tcW w:w="0" w:type="auto"/>
            <w:shd w:val="clear" w:color="auto" w:fill="auto"/>
            <w:tcMar>
              <w:top w:w="75" w:type="dxa"/>
              <w:left w:w="119" w:type="dxa"/>
              <w:bottom w:w="75" w:type="dxa"/>
              <w:right w:w="119" w:type="dxa"/>
            </w:tcMar>
            <w:hideMark/>
          </w:tcPr>
          <w:p w14:paraId="2DBE74D3"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Schedule 7 item</w:t>
            </w:r>
          </w:p>
        </w:tc>
        <w:tc>
          <w:tcPr>
            <w:tcW w:w="5655" w:type="dxa"/>
            <w:shd w:val="clear" w:color="auto" w:fill="auto"/>
            <w:tcMar>
              <w:top w:w="75" w:type="dxa"/>
              <w:left w:w="119" w:type="dxa"/>
              <w:bottom w:w="75" w:type="dxa"/>
              <w:right w:w="119" w:type="dxa"/>
            </w:tcMar>
            <w:hideMark/>
          </w:tcPr>
          <w:p w14:paraId="7E947E84"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Action</w:t>
            </w:r>
          </w:p>
        </w:tc>
        <w:tc>
          <w:tcPr>
            <w:tcW w:w="2205" w:type="dxa"/>
            <w:shd w:val="clear" w:color="auto" w:fill="auto"/>
            <w:tcMar>
              <w:top w:w="75" w:type="dxa"/>
              <w:left w:w="119" w:type="dxa"/>
              <w:bottom w:w="75" w:type="dxa"/>
              <w:right w:w="119" w:type="dxa"/>
            </w:tcMar>
            <w:hideMark/>
          </w:tcPr>
          <w:p w14:paraId="21C6932E"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Fee</w:t>
            </w:r>
          </w:p>
        </w:tc>
      </w:tr>
      <w:tr w:rsidR="001F0D24" w:rsidRPr="006A6AD3" w14:paraId="39C82182" w14:textId="77777777" w:rsidTr="001F0D24">
        <w:tc>
          <w:tcPr>
            <w:tcW w:w="0" w:type="auto"/>
            <w:shd w:val="clear" w:color="auto" w:fill="auto"/>
            <w:tcMar>
              <w:top w:w="75" w:type="dxa"/>
              <w:left w:w="119" w:type="dxa"/>
              <w:bottom w:w="75" w:type="dxa"/>
              <w:right w:w="119" w:type="dxa"/>
            </w:tcMar>
            <w:hideMark/>
          </w:tcPr>
          <w:p w14:paraId="25F928B3"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216</w:t>
            </w:r>
          </w:p>
        </w:tc>
        <w:tc>
          <w:tcPr>
            <w:tcW w:w="0" w:type="auto"/>
            <w:shd w:val="clear" w:color="auto" w:fill="auto"/>
            <w:tcMar>
              <w:top w:w="75" w:type="dxa"/>
              <w:left w:w="119" w:type="dxa"/>
              <w:bottom w:w="75" w:type="dxa"/>
              <w:right w:w="119" w:type="dxa"/>
            </w:tcMar>
            <w:hideMark/>
          </w:tcPr>
          <w:p w14:paraId="629B13BF"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Filing a notice of opposition</w:t>
            </w:r>
          </w:p>
        </w:tc>
        <w:tc>
          <w:tcPr>
            <w:tcW w:w="0" w:type="auto"/>
            <w:shd w:val="clear" w:color="auto" w:fill="auto"/>
            <w:tcMar>
              <w:top w:w="75" w:type="dxa"/>
              <w:left w:w="119" w:type="dxa"/>
              <w:bottom w:w="75" w:type="dxa"/>
              <w:right w:w="119" w:type="dxa"/>
            </w:tcMar>
            <w:hideMark/>
          </w:tcPr>
          <w:p w14:paraId="7251737B"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$600</w:t>
            </w:r>
          </w:p>
        </w:tc>
      </w:tr>
      <w:tr w:rsidR="001F0D24" w:rsidRPr="006A6AD3" w14:paraId="48BE1DEF" w14:textId="77777777" w:rsidTr="001F0D24">
        <w:tc>
          <w:tcPr>
            <w:tcW w:w="0" w:type="auto"/>
            <w:shd w:val="clear" w:color="auto" w:fill="BFEEFF"/>
            <w:tcMar>
              <w:top w:w="75" w:type="dxa"/>
              <w:left w:w="119" w:type="dxa"/>
              <w:bottom w:w="75" w:type="dxa"/>
              <w:right w:w="119" w:type="dxa"/>
            </w:tcMar>
            <w:hideMark/>
          </w:tcPr>
          <w:p w14:paraId="4DBA3A63"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231</w:t>
            </w:r>
          </w:p>
        </w:tc>
        <w:tc>
          <w:tcPr>
            <w:tcW w:w="0" w:type="auto"/>
            <w:shd w:val="clear" w:color="auto" w:fill="BFEEFF"/>
            <w:tcMar>
              <w:top w:w="75" w:type="dxa"/>
              <w:left w:w="119" w:type="dxa"/>
              <w:bottom w:w="75" w:type="dxa"/>
              <w:right w:w="119" w:type="dxa"/>
            </w:tcMar>
            <w:hideMark/>
          </w:tcPr>
          <w:p w14:paraId="7C5ED0B6"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Appearing at a hearing</w:t>
            </w:r>
          </w:p>
        </w:tc>
        <w:tc>
          <w:tcPr>
            <w:tcW w:w="0" w:type="auto"/>
            <w:shd w:val="clear" w:color="auto" w:fill="BFEEFF"/>
            <w:tcMar>
              <w:top w:w="75" w:type="dxa"/>
              <w:left w:w="119" w:type="dxa"/>
              <w:bottom w:w="75" w:type="dxa"/>
              <w:right w:w="119" w:type="dxa"/>
            </w:tcMar>
            <w:hideMark/>
          </w:tcPr>
          <w:p w14:paraId="5C79D3C5"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$1000 per day</w:t>
            </w:r>
          </w:p>
        </w:tc>
      </w:tr>
      <w:tr w:rsidR="001F0D24" w:rsidRPr="006A6AD3" w14:paraId="5A538B78" w14:textId="77777777" w:rsidTr="001F0D24">
        <w:tc>
          <w:tcPr>
            <w:tcW w:w="0" w:type="auto"/>
            <w:shd w:val="clear" w:color="auto" w:fill="auto"/>
            <w:tcMar>
              <w:top w:w="75" w:type="dxa"/>
              <w:left w:w="119" w:type="dxa"/>
              <w:bottom w:w="75" w:type="dxa"/>
              <w:right w:w="119" w:type="dxa"/>
            </w:tcMar>
            <w:hideMark/>
          </w:tcPr>
          <w:p w14:paraId="408F2CD8"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231A</w:t>
            </w:r>
          </w:p>
        </w:tc>
        <w:tc>
          <w:tcPr>
            <w:tcW w:w="0" w:type="auto"/>
            <w:shd w:val="clear" w:color="auto" w:fill="auto"/>
            <w:tcMar>
              <w:top w:w="75" w:type="dxa"/>
              <w:left w:w="119" w:type="dxa"/>
              <w:bottom w:w="75" w:type="dxa"/>
              <w:right w:w="119" w:type="dxa"/>
            </w:tcMar>
            <w:hideMark/>
          </w:tcPr>
          <w:p w14:paraId="4FB83E33"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Hearing on the basis of written submissions only</w:t>
            </w:r>
          </w:p>
        </w:tc>
        <w:tc>
          <w:tcPr>
            <w:tcW w:w="0" w:type="auto"/>
            <w:shd w:val="clear" w:color="auto" w:fill="auto"/>
            <w:tcMar>
              <w:top w:w="75" w:type="dxa"/>
              <w:left w:w="119" w:type="dxa"/>
              <w:bottom w:w="75" w:type="dxa"/>
              <w:right w:w="119" w:type="dxa"/>
            </w:tcMar>
            <w:hideMark/>
          </w:tcPr>
          <w:p w14:paraId="6A36FB4C"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$600</w:t>
            </w:r>
          </w:p>
        </w:tc>
      </w:tr>
    </w:tbl>
    <w:p w14:paraId="521A53E8" w14:textId="77777777" w:rsidR="001F0D24" w:rsidRPr="00AB7F77" w:rsidRDefault="001F0D24" w:rsidP="00AB7F77">
      <w:pPr>
        <w:spacing w:before="480" w:line="480" w:lineRule="auto"/>
        <w:rPr>
          <w:rFonts w:ascii="Times New Roman" w:eastAsia="Times New Roman" w:hAnsi="Times New Roman" w:cs="Times New Roman"/>
          <w:b/>
          <w:bCs/>
          <w:lang w:eastAsia="en-AU"/>
        </w:rPr>
      </w:pPr>
      <w:r w:rsidRPr="00AB7F77">
        <w:rPr>
          <w:rFonts w:ascii="Times New Roman" w:eastAsia="Times New Roman" w:hAnsi="Times New Roman" w:cs="Times New Roman"/>
          <w:b/>
          <w:bCs/>
          <w:lang w:eastAsia="en-AU"/>
        </w:rPr>
        <w:t>Sale of documents</w:t>
      </w:r>
    </w:p>
    <w:p w14:paraId="5711D8E6"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Replacement certificates can be ordered via our </w:t>
      </w:r>
      <w:hyperlink r:id="rId63" w:history="1">
        <w:r w:rsidRPr="006A6AD3">
          <w:rPr>
            <w:rFonts w:ascii="Times New Roman" w:eastAsia="Times New Roman" w:hAnsi="Times New Roman" w:cs="Times New Roman"/>
            <w:color w:val="015A96"/>
            <w:u w:val="single"/>
            <w:lang w:eastAsia="en-AU"/>
          </w:rPr>
          <w:t>online services</w:t>
        </w:r>
      </w:hyperlink>
      <w:r w:rsidRPr="006A6AD3">
        <w:rPr>
          <w:rFonts w:ascii="Times New Roman" w:eastAsia="Times New Roman" w:hAnsi="Times New Roman" w:cs="Times New Roman"/>
          <w:lang w:eastAsia="en-AU"/>
        </w:rPr>
        <w:t xml:space="preserve">. Options </w:t>
      </w:r>
      <w:proofErr w:type="gramStart"/>
      <w:r w:rsidRPr="006A6AD3">
        <w:rPr>
          <w:rFonts w:ascii="Times New Roman" w:eastAsia="Times New Roman" w:hAnsi="Times New Roman" w:cs="Times New Roman"/>
          <w:lang w:eastAsia="en-AU"/>
        </w:rPr>
        <w:t>are:</w:t>
      </w:r>
      <w:proofErr w:type="gramEnd"/>
      <w:r w:rsidRPr="006A6AD3">
        <w:rPr>
          <w:rFonts w:ascii="Times New Roman" w:eastAsia="Times New Roman" w:hAnsi="Times New Roman" w:cs="Times New Roman"/>
          <w:lang w:eastAsia="en-AU"/>
        </w:rPr>
        <w:t xml:space="preserve"> photocopies, certified copies and duplicates. Depending on which option you select the cost will vary.</w:t>
      </w:r>
    </w:p>
    <w:p w14:paraId="62BAE5CA" w14:textId="77777777" w:rsidR="001F0D24" w:rsidRPr="006A6AD3" w:rsidRDefault="001F0D24" w:rsidP="001F0D24">
      <w:pPr>
        <w:spacing w:after="15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When ordering a document, an expedited post service is available if you require your document to be sent to you faster than normal postage timeframes. This fee will not increase IP Australia’s processing time for any document request.</w:t>
      </w:r>
    </w:p>
    <w:p w14:paraId="370E685A" w14:textId="77777777" w:rsidR="001F0D24" w:rsidRPr="006A6AD3" w:rsidRDefault="00004BC1" w:rsidP="001F0D24">
      <w:pPr>
        <w:spacing w:after="150" w:line="240" w:lineRule="auto"/>
        <w:rPr>
          <w:rFonts w:ascii="Times New Roman" w:eastAsia="Times New Roman" w:hAnsi="Times New Roman" w:cs="Times New Roman"/>
          <w:lang w:eastAsia="en-AU"/>
        </w:rPr>
      </w:pPr>
      <w:hyperlink r:id="rId64" w:tgtFrame="_blank" w:tooltip="external link (new window)" w:history="1">
        <w:r w:rsidR="001F0D24" w:rsidRPr="006A6AD3">
          <w:rPr>
            <w:rFonts w:ascii="Times New Roman" w:eastAsia="Times New Roman" w:hAnsi="Times New Roman" w:cs="Times New Roman"/>
            <w:color w:val="015A96"/>
            <w:u w:val="single"/>
            <w:lang w:eastAsia="en-AU"/>
          </w:rPr>
          <w:t>Commemorative certificates</w:t>
        </w:r>
      </w:hyperlink>
      <w:r w:rsidR="001F0D24" w:rsidRPr="006A6AD3">
        <w:rPr>
          <w:rFonts w:ascii="Times New Roman" w:eastAsia="Times New Roman" w:hAnsi="Times New Roman" w:cs="Times New Roman"/>
          <w:lang w:eastAsia="en-AU"/>
        </w:rPr>
        <w:t> can be purchased from a third-party provider. The price ranges from $80 plus GST (Certificate Only with domestic postage) to $240 plus GST (Certificate with Frame &amp; Mount Board with domestic postage). These can be used for display only and do not replace your certificate for legal purposes.</w:t>
      </w:r>
    </w:p>
    <w:tbl>
      <w:tblPr>
        <w:tblW w:w="5000" w:type="pct"/>
        <w:tblCellMar>
          <w:left w:w="0" w:type="dxa"/>
          <w:right w:w="0" w:type="dxa"/>
        </w:tblCellMar>
        <w:tblLook w:val="04A0" w:firstRow="1" w:lastRow="0" w:firstColumn="1" w:lastColumn="0" w:noHBand="0" w:noVBand="1"/>
        <w:tblCaption w:val="IP Australia aplication  fees - check IP Australia website for details"/>
        <w:tblDescription w:val="IP Australia aplication  fees - check IP Australia website for details"/>
      </w:tblPr>
      <w:tblGrid>
        <w:gridCol w:w="6973"/>
        <w:gridCol w:w="2325"/>
      </w:tblGrid>
      <w:tr w:rsidR="001F0D24" w:rsidRPr="006A6AD3" w14:paraId="09193602" w14:textId="77777777" w:rsidTr="001F0D24">
        <w:trPr>
          <w:tblHeader/>
        </w:trPr>
        <w:tc>
          <w:tcPr>
            <w:tcW w:w="3750" w:type="pct"/>
            <w:shd w:val="clear" w:color="auto" w:fill="auto"/>
            <w:tcMar>
              <w:top w:w="75" w:type="dxa"/>
              <w:left w:w="119" w:type="dxa"/>
              <w:bottom w:w="75" w:type="dxa"/>
              <w:right w:w="119" w:type="dxa"/>
            </w:tcMar>
            <w:hideMark/>
          </w:tcPr>
          <w:p w14:paraId="3EC602BD"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Number</w:t>
            </w:r>
          </w:p>
        </w:tc>
        <w:tc>
          <w:tcPr>
            <w:tcW w:w="1250" w:type="pct"/>
            <w:shd w:val="clear" w:color="auto" w:fill="auto"/>
            <w:tcMar>
              <w:top w:w="75" w:type="dxa"/>
              <w:left w:w="119" w:type="dxa"/>
              <w:bottom w:w="75" w:type="dxa"/>
              <w:right w:w="119" w:type="dxa"/>
            </w:tcMar>
            <w:hideMark/>
          </w:tcPr>
          <w:p w14:paraId="4D63CF6C" w14:textId="77777777" w:rsidR="001F0D24" w:rsidRPr="006A6AD3" w:rsidRDefault="001F0D24" w:rsidP="001F0D24">
            <w:pPr>
              <w:spacing w:after="0" w:line="240" w:lineRule="auto"/>
              <w:rPr>
                <w:rFonts w:ascii="Times New Roman" w:eastAsia="Times New Roman" w:hAnsi="Times New Roman" w:cs="Times New Roman"/>
                <w:b/>
                <w:bCs/>
                <w:lang w:eastAsia="en-AU"/>
              </w:rPr>
            </w:pPr>
            <w:r w:rsidRPr="006A6AD3">
              <w:rPr>
                <w:rFonts w:ascii="Times New Roman" w:eastAsia="Times New Roman" w:hAnsi="Times New Roman" w:cs="Times New Roman"/>
                <w:b/>
                <w:bCs/>
                <w:lang w:eastAsia="en-AU"/>
              </w:rPr>
              <w:t>Fee</w:t>
            </w:r>
          </w:p>
        </w:tc>
      </w:tr>
      <w:tr w:rsidR="001F0D24" w:rsidRPr="006A6AD3" w14:paraId="171DDF8D" w14:textId="77777777" w:rsidTr="001F0D24">
        <w:tc>
          <w:tcPr>
            <w:tcW w:w="3750" w:type="pct"/>
            <w:shd w:val="clear" w:color="auto" w:fill="auto"/>
            <w:tcMar>
              <w:top w:w="75" w:type="dxa"/>
              <w:left w:w="119" w:type="dxa"/>
              <w:bottom w:w="75" w:type="dxa"/>
              <w:right w:w="119" w:type="dxa"/>
            </w:tcMar>
            <w:hideMark/>
          </w:tcPr>
          <w:p w14:paraId="2739A10D"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Copy of one to three documents from the same file</w:t>
            </w:r>
          </w:p>
        </w:tc>
        <w:tc>
          <w:tcPr>
            <w:tcW w:w="1250" w:type="pct"/>
            <w:shd w:val="clear" w:color="auto" w:fill="auto"/>
            <w:tcMar>
              <w:top w:w="75" w:type="dxa"/>
              <w:left w:w="119" w:type="dxa"/>
              <w:bottom w:w="75" w:type="dxa"/>
              <w:right w:w="119" w:type="dxa"/>
            </w:tcMar>
            <w:hideMark/>
          </w:tcPr>
          <w:p w14:paraId="68E43DA5"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$50 each</w:t>
            </w:r>
          </w:p>
        </w:tc>
      </w:tr>
      <w:tr w:rsidR="001F0D24" w:rsidRPr="006A6AD3" w14:paraId="786789A9" w14:textId="77777777" w:rsidTr="001F0D24">
        <w:tc>
          <w:tcPr>
            <w:tcW w:w="0" w:type="auto"/>
            <w:shd w:val="clear" w:color="auto" w:fill="BFEEFF"/>
            <w:tcMar>
              <w:top w:w="75" w:type="dxa"/>
              <w:left w:w="119" w:type="dxa"/>
              <w:bottom w:w="75" w:type="dxa"/>
              <w:right w:w="119" w:type="dxa"/>
            </w:tcMar>
            <w:hideMark/>
          </w:tcPr>
          <w:p w14:paraId="7015DA5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Copy of four or more documents from the same file</w:t>
            </w:r>
          </w:p>
        </w:tc>
        <w:tc>
          <w:tcPr>
            <w:tcW w:w="0" w:type="auto"/>
            <w:shd w:val="clear" w:color="auto" w:fill="BFEEFF"/>
            <w:tcMar>
              <w:top w:w="75" w:type="dxa"/>
              <w:left w:w="119" w:type="dxa"/>
              <w:bottom w:w="75" w:type="dxa"/>
              <w:right w:w="119" w:type="dxa"/>
            </w:tcMar>
            <w:hideMark/>
          </w:tcPr>
          <w:p w14:paraId="11655B2D"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$200</w:t>
            </w:r>
          </w:p>
        </w:tc>
      </w:tr>
      <w:tr w:rsidR="001F0D24" w:rsidRPr="006A6AD3" w14:paraId="23ED8FA6" w14:textId="77777777" w:rsidTr="001F0D24">
        <w:tc>
          <w:tcPr>
            <w:tcW w:w="0" w:type="auto"/>
            <w:shd w:val="clear" w:color="auto" w:fill="auto"/>
            <w:tcMar>
              <w:top w:w="75" w:type="dxa"/>
              <w:left w:w="119" w:type="dxa"/>
              <w:bottom w:w="75" w:type="dxa"/>
              <w:right w:w="119" w:type="dxa"/>
            </w:tcMar>
            <w:hideMark/>
          </w:tcPr>
          <w:p w14:paraId="37192111"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Expedited post of a document request</w:t>
            </w:r>
          </w:p>
        </w:tc>
        <w:tc>
          <w:tcPr>
            <w:tcW w:w="0" w:type="auto"/>
            <w:shd w:val="clear" w:color="auto" w:fill="auto"/>
            <w:tcMar>
              <w:top w:w="75" w:type="dxa"/>
              <w:left w:w="119" w:type="dxa"/>
              <w:bottom w:w="75" w:type="dxa"/>
              <w:right w:w="119" w:type="dxa"/>
            </w:tcMar>
            <w:hideMark/>
          </w:tcPr>
          <w:p w14:paraId="5A1648A4" w14:textId="77777777" w:rsidR="001F0D24" w:rsidRPr="006A6AD3" w:rsidRDefault="001F0D24" w:rsidP="001F0D24">
            <w:pPr>
              <w:spacing w:after="0" w:line="240" w:lineRule="auto"/>
              <w:rPr>
                <w:rFonts w:ascii="Times New Roman" w:eastAsia="Times New Roman" w:hAnsi="Times New Roman" w:cs="Times New Roman"/>
                <w:lang w:eastAsia="en-AU"/>
              </w:rPr>
            </w:pPr>
            <w:r w:rsidRPr="006A6AD3">
              <w:rPr>
                <w:rFonts w:ascii="Times New Roman" w:eastAsia="Times New Roman" w:hAnsi="Times New Roman" w:cs="Times New Roman"/>
                <w:lang w:eastAsia="en-AU"/>
              </w:rPr>
              <w:t>$20 each</w:t>
            </w:r>
          </w:p>
        </w:tc>
      </w:tr>
    </w:tbl>
    <w:p w14:paraId="495A752E" w14:textId="77777777" w:rsidR="001F0D24" w:rsidRPr="006A6AD3" w:rsidRDefault="001F0D24" w:rsidP="00273BBF"/>
    <w:sectPr w:rsidR="001F0D24" w:rsidRPr="006A6AD3" w:rsidSect="001F0D24">
      <w:pgSz w:w="11906" w:h="16838" w:code="9"/>
      <w:pgMar w:top="1418" w:right="1304" w:bottom="1276" w:left="130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B2D3" w14:textId="77777777" w:rsidR="00D03FD1" w:rsidRDefault="00D03FD1" w:rsidP="005F100C">
      <w:pPr>
        <w:spacing w:after="0"/>
      </w:pPr>
      <w:r>
        <w:separator/>
      </w:r>
    </w:p>
  </w:endnote>
  <w:endnote w:type="continuationSeparator" w:id="0">
    <w:p w14:paraId="1DAF6084" w14:textId="77777777" w:rsidR="00D03FD1" w:rsidRDefault="00D03FD1" w:rsidP="005F100C">
      <w:pPr>
        <w:spacing w:after="0"/>
      </w:pPr>
      <w:r>
        <w:continuationSeparator/>
      </w:r>
    </w:p>
  </w:endnote>
  <w:endnote w:type="continuationNotice" w:id="1">
    <w:p w14:paraId="3544C884" w14:textId="77777777" w:rsidR="00D03FD1" w:rsidRDefault="00D03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600F" w14:textId="77777777" w:rsidR="00B17244" w:rsidRDefault="00B17244"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9378" w14:textId="5051E81C" w:rsidR="00B17244" w:rsidRDefault="00B17244"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21</w:t>
    </w:r>
    <w:r w:rsidRPr="00365C6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D575" w14:textId="7A0110BA" w:rsidR="00B17244" w:rsidRDefault="00B17244"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A5C2" w14:textId="77777777" w:rsidR="00B17244" w:rsidRDefault="00B17244">
    <w:pPr>
      <w:pStyle w:val="Footer"/>
    </w:pPr>
  </w:p>
  <w:p w14:paraId="449AF704" w14:textId="6685940C" w:rsidR="00B17244" w:rsidRDefault="00E03312" w:rsidP="00CA1887">
    <w:pPr>
      <w:pStyle w:val="SecurityClassificationFooter"/>
    </w:pPr>
    <w:r>
      <w:fldChar w:fldCharType="begin"/>
    </w:r>
    <w:r>
      <w:instrText xml:space="preserve"> DOCPROPERTY WorkingDocStatus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84936"/>
      <w:docPartObj>
        <w:docPartGallery w:val="Page Numbers (Bottom of Page)"/>
        <w:docPartUnique/>
      </w:docPartObj>
    </w:sdtPr>
    <w:sdtEndPr>
      <w:rPr>
        <w:noProof/>
      </w:rPr>
    </w:sdtEndPr>
    <w:sdtContent>
      <w:p w14:paraId="7D9DBEB5" w14:textId="1CD67EB3" w:rsidR="00B17244" w:rsidRDefault="00B17244">
        <w:pPr>
          <w:pStyle w:val="Footer"/>
        </w:pPr>
        <w:r>
          <w:fldChar w:fldCharType="begin"/>
        </w:r>
        <w:r>
          <w:instrText xml:space="preserve"> PAGE   \* MERGEFORMAT </w:instrText>
        </w:r>
        <w:r>
          <w:fldChar w:fldCharType="separate"/>
        </w:r>
        <w:r>
          <w:rPr>
            <w:noProof/>
          </w:rPr>
          <w:t>44</w:t>
        </w:r>
        <w:r>
          <w:rPr>
            <w:noProof/>
          </w:rPr>
          <w:fldChar w:fldCharType="end"/>
        </w:r>
      </w:p>
    </w:sdtContent>
  </w:sdt>
  <w:p w14:paraId="27AA1F84" w14:textId="77777777" w:rsidR="00B17244" w:rsidRDefault="00B172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D52F" w14:textId="77777777" w:rsidR="00B17244" w:rsidRDefault="00B17244">
    <w:pPr>
      <w:pStyle w:val="Footer"/>
    </w:pPr>
  </w:p>
  <w:p w14:paraId="3F8D623D" w14:textId="2D8D8ADE" w:rsidR="00B17244" w:rsidRDefault="00E03312" w:rsidP="00CA1887">
    <w:pPr>
      <w:pStyle w:val="SecurityClassificationFooter"/>
    </w:pPr>
    <w:r>
      <w:fldChar w:fldCharType="begin"/>
    </w:r>
    <w:r>
      <w:instrText xml:space="preserve"> DOCPROPERTY WorkingDocStatus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5821" w14:textId="77777777" w:rsidR="00D03FD1" w:rsidRDefault="00D03FD1" w:rsidP="005F100C">
      <w:pPr>
        <w:spacing w:after="0"/>
      </w:pPr>
      <w:r>
        <w:separator/>
      </w:r>
    </w:p>
  </w:footnote>
  <w:footnote w:type="continuationSeparator" w:id="0">
    <w:p w14:paraId="23E4BC7D" w14:textId="77777777" w:rsidR="00D03FD1" w:rsidRDefault="00D03FD1" w:rsidP="005F100C">
      <w:pPr>
        <w:spacing w:after="0"/>
      </w:pPr>
      <w:r>
        <w:continuationSeparator/>
      </w:r>
    </w:p>
  </w:footnote>
  <w:footnote w:type="continuationNotice" w:id="1">
    <w:p w14:paraId="755959B5" w14:textId="77777777" w:rsidR="00D03FD1" w:rsidRDefault="00D03FD1">
      <w:pPr>
        <w:spacing w:after="0" w:line="240" w:lineRule="auto"/>
      </w:pPr>
    </w:p>
  </w:footnote>
  <w:footnote w:id="2">
    <w:p w14:paraId="541D7B59" w14:textId="0AA9680A" w:rsidR="00B17244" w:rsidRDefault="00B17244">
      <w:pPr>
        <w:pStyle w:val="FootnoteText"/>
      </w:pPr>
      <w:r>
        <w:rPr>
          <w:rStyle w:val="FootnoteReference"/>
        </w:rPr>
        <w:footnoteRef/>
      </w:r>
      <w:r>
        <w:t xml:space="preserve"> However, we note that the fees of maintaining a patent in Australia are around $45,000 </w:t>
      </w:r>
      <w:r w:rsidR="00323E23">
        <w:t>ove</w:t>
      </w:r>
      <w:r w:rsidR="00BF63A2">
        <w:t>r</w:t>
      </w:r>
      <w:r>
        <w:t xml:space="preserve"> the life of a patent (refer to Attachment 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59DC" w14:textId="2CE89536" w:rsidR="00B17244" w:rsidRPr="00F012EA" w:rsidRDefault="00B17244" w:rsidP="00F012EA">
    <w:pPr>
      <w:pStyle w:val="Header"/>
    </w:pPr>
    <w:r>
      <w:rPr>
        <w:noProof/>
        <w:lang w:eastAsia="en-AU"/>
      </w:rPr>
      <w:drawing>
        <wp:anchor distT="0" distB="0" distL="114300" distR="114300" simplePos="0" relativeHeight="251658240" behindDoc="1" locked="0" layoutInCell="1" allowOverlap="1" wp14:anchorId="237D90C4" wp14:editId="251BF173">
          <wp:simplePos x="0" y="0"/>
          <wp:positionH relativeFrom="page">
            <wp:posOffset>182880</wp:posOffset>
          </wp:positionH>
          <wp:positionV relativeFrom="page">
            <wp:posOffset>434340</wp:posOffset>
          </wp:positionV>
          <wp:extent cx="7198995" cy="9921240"/>
          <wp:effectExtent l="0" t="0" r="1905"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8995" cy="9921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5ED1" w14:textId="77777777" w:rsidR="00B17244" w:rsidRDefault="00B17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610E" w14:textId="77777777" w:rsidR="00B17244" w:rsidRDefault="00B172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037E" w14:textId="77777777" w:rsidR="00B17244" w:rsidRPr="00096C34" w:rsidRDefault="00B17244" w:rsidP="00096C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92D5" w14:textId="529487C1" w:rsidR="00B17244" w:rsidRDefault="00E03312" w:rsidP="00CA1887">
    <w:pPr>
      <w:pStyle w:val="SecurityClassificationHeader"/>
    </w:pPr>
    <w:r>
      <w:fldChar w:fldCharType="begin"/>
    </w:r>
    <w:r>
      <w:instrText xml:space="preserve"> DOCPROPERTY WorkingDocStatus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68F5" w14:textId="2728E27D" w:rsidR="00B17244" w:rsidRDefault="00E03312" w:rsidP="00CA1887">
    <w:pPr>
      <w:pStyle w:val="SecurityClassificationHeader"/>
    </w:pPr>
    <w:r>
      <w:fldChar w:fldCharType="begin"/>
    </w:r>
    <w:r>
      <w:instrText xml:space="preserve"> DOCPROPERTY WorkingDocStatus \* MERGEFORMAT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8883" w14:textId="614BA3EF" w:rsidR="00B17244" w:rsidRPr="00096C34" w:rsidRDefault="00B17244" w:rsidP="00CA1887">
    <w:pPr>
      <w:pStyle w:val="SecurityClassification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691"/>
    <w:multiLevelType w:val="multilevel"/>
    <w:tmpl w:val="9E66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11869"/>
    <w:multiLevelType w:val="hybridMultilevel"/>
    <w:tmpl w:val="5FD01FA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 w15:restartNumberingAfterBreak="0">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82775B"/>
    <w:multiLevelType w:val="multilevel"/>
    <w:tmpl w:val="F6049D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CC4E5D"/>
    <w:multiLevelType w:val="multilevel"/>
    <w:tmpl w:val="D10E9CF6"/>
    <w:numStyleLink w:val="OneLevelList"/>
  </w:abstractNum>
  <w:abstractNum w:abstractNumId="8" w15:restartNumberingAfterBreak="0">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CD736D"/>
    <w:multiLevelType w:val="hybridMultilevel"/>
    <w:tmpl w:val="E66E9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15:restartNumberingAfterBreak="0">
    <w:nsid w:val="2C1857F3"/>
    <w:multiLevelType w:val="hybridMultilevel"/>
    <w:tmpl w:val="8172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5" w15:restartNumberingAfterBreak="0">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9F4600"/>
    <w:multiLevelType w:val="multilevel"/>
    <w:tmpl w:val="0CEAD9F4"/>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5A1AAD"/>
    <w:multiLevelType w:val="hybridMultilevel"/>
    <w:tmpl w:val="1F822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0" w15:restartNumberingAfterBreak="0">
    <w:nsid w:val="3E964611"/>
    <w:multiLevelType w:val="hybridMultilevel"/>
    <w:tmpl w:val="6C2AE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28E7E12"/>
    <w:multiLevelType w:val="multilevel"/>
    <w:tmpl w:val="CC80C16A"/>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5B0A7E"/>
    <w:multiLevelType w:val="multilevel"/>
    <w:tmpl w:val="EDEE4FB6"/>
    <w:numStyleLink w:val="RecommendationBulletList"/>
  </w:abstractNum>
  <w:abstractNum w:abstractNumId="24"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956019"/>
    <w:multiLevelType w:val="hybridMultilevel"/>
    <w:tmpl w:val="C11E2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0D2021"/>
    <w:multiLevelType w:val="multilevel"/>
    <w:tmpl w:val="72F8140E"/>
    <w:numStyleLink w:val="OutlineList"/>
  </w:abstractNum>
  <w:abstractNum w:abstractNumId="27" w15:restartNumberingAfterBreak="0">
    <w:nsid w:val="52275755"/>
    <w:multiLevelType w:val="hybridMultilevel"/>
    <w:tmpl w:val="3100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220032"/>
    <w:multiLevelType w:val="hybridMultilevel"/>
    <w:tmpl w:val="E4BEED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674513"/>
    <w:multiLevelType w:val="multilevel"/>
    <w:tmpl w:val="C9E610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5F73129"/>
    <w:multiLevelType w:val="multilevel"/>
    <w:tmpl w:val="D9A8A212"/>
    <w:numStyleLink w:val="RomanNumeralList"/>
  </w:abstractNum>
  <w:abstractNum w:abstractNumId="32" w15:restartNumberingAfterBreak="0">
    <w:nsid w:val="658618EE"/>
    <w:multiLevelType w:val="hybridMultilevel"/>
    <w:tmpl w:val="27CAB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4" w15:restartNumberingAfterBreak="0">
    <w:nsid w:val="689435EB"/>
    <w:multiLevelType w:val="hybridMultilevel"/>
    <w:tmpl w:val="C6D8EF82"/>
    <w:lvl w:ilvl="0" w:tplc="EFBCC88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D31401"/>
    <w:multiLevelType w:val="multilevel"/>
    <w:tmpl w:val="239E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05736A"/>
    <w:multiLevelType w:val="multilevel"/>
    <w:tmpl w:val="7254995E"/>
    <w:lvl w:ilvl="0">
      <w:start w:val="1"/>
      <w:numFmt w:val="bullet"/>
      <w:lvlText w:val="•"/>
      <w:lvlJc w:val="left"/>
      <w:pPr>
        <w:tabs>
          <w:tab w:val="num" w:pos="567"/>
        </w:tabs>
        <w:ind w:left="567" w:hanging="567"/>
      </w:pPr>
      <w:rPr>
        <w:rFonts w:ascii="Times New Roman" w:hAnsi="Times New Roman" w:cs="Times New Roman" w:hint="default"/>
        <w:sz w:val="20"/>
        <w:szCs w:val="20"/>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
  </w:num>
  <w:num w:numId="3">
    <w:abstractNumId w:val="24"/>
  </w:num>
  <w:num w:numId="4">
    <w:abstractNumId w:val="16"/>
  </w:num>
  <w:num w:numId="5">
    <w:abstractNumId w:val="5"/>
  </w:num>
  <w:num w:numId="6">
    <w:abstractNumId w:val="8"/>
  </w:num>
  <w:num w:numId="7">
    <w:abstractNumId w:val="4"/>
  </w:num>
  <w:num w:numId="8">
    <w:abstractNumId w:val="7"/>
  </w:num>
  <w:num w:numId="9">
    <w:abstractNumId w:val="26"/>
  </w:num>
  <w:num w:numId="10">
    <w:abstractNumId w:val="23"/>
  </w:num>
  <w:num w:numId="11">
    <w:abstractNumId w:val="31"/>
  </w:num>
  <w:num w:numId="12">
    <w:abstractNumId w:val="15"/>
  </w:num>
  <w:num w:numId="13">
    <w:abstractNumId w:val="30"/>
  </w:num>
  <w:num w:numId="14">
    <w:abstractNumId w:val="10"/>
  </w:num>
  <w:num w:numId="15">
    <w:abstractNumId w:val="21"/>
  </w:num>
  <w:num w:numId="16">
    <w:abstractNumId w:val="2"/>
  </w:num>
  <w:num w:numId="17">
    <w:abstractNumId w:val="33"/>
  </w:num>
  <w:num w:numId="18">
    <w:abstractNumId w:val="13"/>
  </w:num>
  <w:num w:numId="19">
    <w:abstractNumId w:val="19"/>
  </w:num>
  <w:num w:numId="20">
    <w:abstractNumId w:val="37"/>
  </w:num>
  <w:num w:numId="21">
    <w:abstractNumId w:val="6"/>
  </w:num>
  <w:num w:numId="22">
    <w:abstractNumId w:val="18"/>
  </w:num>
  <w:num w:numId="23">
    <w:abstractNumId w:val="25"/>
  </w:num>
  <w:num w:numId="24">
    <w:abstractNumId w:val="34"/>
  </w:num>
  <w:num w:numId="25">
    <w:abstractNumId w:val="20"/>
  </w:num>
  <w:num w:numId="26">
    <w:abstractNumId w:val="27"/>
  </w:num>
  <w:num w:numId="27">
    <w:abstractNumId w:val="1"/>
  </w:num>
  <w:num w:numId="28">
    <w:abstractNumId w:val="12"/>
  </w:num>
  <w:num w:numId="29">
    <w:abstractNumId w:val="36"/>
  </w:num>
  <w:num w:numId="30">
    <w:abstractNumId w:val="29"/>
  </w:num>
  <w:num w:numId="31">
    <w:abstractNumId w:val="9"/>
  </w:num>
  <w:num w:numId="32">
    <w:abstractNumId w:val="32"/>
  </w:num>
  <w:num w:numId="3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0"/>
  </w:num>
  <w:num w:numId="38">
    <w:abstractNumId w:val="28"/>
  </w:num>
  <w:num w:numId="39">
    <w:abstractNumId w:val="6"/>
  </w:num>
  <w:num w:numId="40">
    <w:abstractNumId w:val="6"/>
  </w:num>
  <w:num w:numId="41">
    <w:abstractNumId w:val="6"/>
  </w:num>
  <w:num w:numId="42">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suppressBottomSpacing/>
    <w:suppressTop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IClassificationInHeader" w:val="False"/>
    <w:docVar w:name="SecurityClassificationInHeader" w:val="False"/>
    <w:docVar w:name="SecurityDLMInHeader" w:val="False"/>
  </w:docVars>
  <w:rsids>
    <w:rsidRoot w:val="00B12319"/>
    <w:rsid w:val="00000872"/>
    <w:rsid w:val="00001399"/>
    <w:rsid w:val="00001680"/>
    <w:rsid w:val="0000169C"/>
    <w:rsid w:val="000016FD"/>
    <w:rsid w:val="00001DDC"/>
    <w:rsid w:val="00002378"/>
    <w:rsid w:val="00002E5E"/>
    <w:rsid w:val="000032EF"/>
    <w:rsid w:val="00003A5C"/>
    <w:rsid w:val="00003ACD"/>
    <w:rsid w:val="00003ED2"/>
    <w:rsid w:val="00004060"/>
    <w:rsid w:val="00004435"/>
    <w:rsid w:val="0000490D"/>
    <w:rsid w:val="00004BC1"/>
    <w:rsid w:val="00004D1C"/>
    <w:rsid w:val="00004FCE"/>
    <w:rsid w:val="00006358"/>
    <w:rsid w:val="00006373"/>
    <w:rsid w:val="0000664B"/>
    <w:rsid w:val="00006917"/>
    <w:rsid w:val="00006B06"/>
    <w:rsid w:val="00006EC9"/>
    <w:rsid w:val="00007CDE"/>
    <w:rsid w:val="000108B7"/>
    <w:rsid w:val="00011488"/>
    <w:rsid w:val="0001229B"/>
    <w:rsid w:val="00012C76"/>
    <w:rsid w:val="0001354D"/>
    <w:rsid w:val="000138E3"/>
    <w:rsid w:val="00013A56"/>
    <w:rsid w:val="00013BD6"/>
    <w:rsid w:val="00014070"/>
    <w:rsid w:val="00014615"/>
    <w:rsid w:val="00014AF0"/>
    <w:rsid w:val="000154C2"/>
    <w:rsid w:val="0001559E"/>
    <w:rsid w:val="000157CD"/>
    <w:rsid w:val="000160F4"/>
    <w:rsid w:val="000167A9"/>
    <w:rsid w:val="00016E27"/>
    <w:rsid w:val="00016EF8"/>
    <w:rsid w:val="00016F05"/>
    <w:rsid w:val="00017441"/>
    <w:rsid w:val="0001777B"/>
    <w:rsid w:val="00017CB4"/>
    <w:rsid w:val="00017DA2"/>
    <w:rsid w:val="000203A5"/>
    <w:rsid w:val="000207A0"/>
    <w:rsid w:val="000207D0"/>
    <w:rsid w:val="00020B5F"/>
    <w:rsid w:val="00020C4B"/>
    <w:rsid w:val="0002154D"/>
    <w:rsid w:val="00021659"/>
    <w:rsid w:val="00021DF3"/>
    <w:rsid w:val="000220F3"/>
    <w:rsid w:val="00023109"/>
    <w:rsid w:val="00023278"/>
    <w:rsid w:val="00023C82"/>
    <w:rsid w:val="00023EA0"/>
    <w:rsid w:val="00024780"/>
    <w:rsid w:val="00024B95"/>
    <w:rsid w:val="00025161"/>
    <w:rsid w:val="00025F6B"/>
    <w:rsid w:val="00026451"/>
    <w:rsid w:val="00026677"/>
    <w:rsid w:val="00031C58"/>
    <w:rsid w:val="00031D08"/>
    <w:rsid w:val="00032294"/>
    <w:rsid w:val="00032BC5"/>
    <w:rsid w:val="000337FA"/>
    <w:rsid w:val="000338D1"/>
    <w:rsid w:val="00033AAE"/>
    <w:rsid w:val="00034616"/>
    <w:rsid w:val="0003488D"/>
    <w:rsid w:val="00034928"/>
    <w:rsid w:val="00035A63"/>
    <w:rsid w:val="000363F4"/>
    <w:rsid w:val="00036E1F"/>
    <w:rsid w:val="00036F05"/>
    <w:rsid w:val="00037148"/>
    <w:rsid w:val="00037981"/>
    <w:rsid w:val="00037AAC"/>
    <w:rsid w:val="00037B73"/>
    <w:rsid w:val="00037C7E"/>
    <w:rsid w:val="000408EC"/>
    <w:rsid w:val="00040B35"/>
    <w:rsid w:val="000415A5"/>
    <w:rsid w:val="000415EA"/>
    <w:rsid w:val="00041EC4"/>
    <w:rsid w:val="00041F28"/>
    <w:rsid w:val="00041FDC"/>
    <w:rsid w:val="00042423"/>
    <w:rsid w:val="000424A5"/>
    <w:rsid w:val="000424BF"/>
    <w:rsid w:val="00042784"/>
    <w:rsid w:val="000428BE"/>
    <w:rsid w:val="00042C9D"/>
    <w:rsid w:val="00042FCA"/>
    <w:rsid w:val="000437FB"/>
    <w:rsid w:val="00043ABA"/>
    <w:rsid w:val="000440E5"/>
    <w:rsid w:val="00044398"/>
    <w:rsid w:val="00044459"/>
    <w:rsid w:val="00044CCF"/>
    <w:rsid w:val="0004580F"/>
    <w:rsid w:val="00045E0E"/>
    <w:rsid w:val="000464B6"/>
    <w:rsid w:val="00046E76"/>
    <w:rsid w:val="0004708D"/>
    <w:rsid w:val="000475AB"/>
    <w:rsid w:val="000479D3"/>
    <w:rsid w:val="000479D6"/>
    <w:rsid w:val="00050A9E"/>
    <w:rsid w:val="00050B56"/>
    <w:rsid w:val="000511E3"/>
    <w:rsid w:val="00051C2A"/>
    <w:rsid w:val="00051C46"/>
    <w:rsid w:val="00051F26"/>
    <w:rsid w:val="00051F7A"/>
    <w:rsid w:val="00051FCE"/>
    <w:rsid w:val="00052C18"/>
    <w:rsid w:val="0005358D"/>
    <w:rsid w:val="000538B3"/>
    <w:rsid w:val="00053D06"/>
    <w:rsid w:val="0005488C"/>
    <w:rsid w:val="00055697"/>
    <w:rsid w:val="00055981"/>
    <w:rsid w:val="000559D0"/>
    <w:rsid w:val="0005609F"/>
    <w:rsid w:val="0005641D"/>
    <w:rsid w:val="0005669B"/>
    <w:rsid w:val="0005703A"/>
    <w:rsid w:val="00057445"/>
    <w:rsid w:val="00057500"/>
    <w:rsid w:val="00057D49"/>
    <w:rsid w:val="000605FC"/>
    <w:rsid w:val="000608A6"/>
    <w:rsid w:val="00061BD6"/>
    <w:rsid w:val="00061FAD"/>
    <w:rsid w:val="000622B2"/>
    <w:rsid w:val="000625C4"/>
    <w:rsid w:val="00062736"/>
    <w:rsid w:val="00062F66"/>
    <w:rsid w:val="00064BEC"/>
    <w:rsid w:val="000659DB"/>
    <w:rsid w:val="0006661A"/>
    <w:rsid w:val="00067260"/>
    <w:rsid w:val="00067262"/>
    <w:rsid w:val="000673BD"/>
    <w:rsid w:val="000704ED"/>
    <w:rsid w:val="00070C16"/>
    <w:rsid w:val="00071028"/>
    <w:rsid w:val="000715FB"/>
    <w:rsid w:val="000718BA"/>
    <w:rsid w:val="00072516"/>
    <w:rsid w:val="00072F9A"/>
    <w:rsid w:val="00072FF6"/>
    <w:rsid w:val="000731B4"/>
    <w:rsid w:val="00073356"/>
    <w:rsid w:val="00073E01"/>
    <w:rsid w:val="00073F48"/>
    <w:rsid w:val="00075686"/>
    <w:rsid w:val="00075E8B"/>
    <w:rsid w:val="00076179"/>
    <w:rsid w:val="00076187"/>
    <w:rsid w:val="00076958"/>
    <w:rsid w:val="00076E0A"/>
    <w:rsid w:val="0007762A"/>
    <w:rsid w:val="00077C9A"/>
    <w:rsid w:val="00077D52"/>
    <w:rsid w:val="0008000C"/>
    <w:rsid w:val="000800A8"/>
    <w:rsid w:val="0008079F"/>
    <w:rsid w:val="00080C1B"/>
    <w:rsid w:val="000813D8"/>
    <w:rsid w:val="00081704"/>
    <w:rsid w:val="0008182B"/>
    <w:rsid w:val="00081868"/>
    <w:rsid w:val="00081B25"/>
    <w:rsid w:val="00081F38"/>
    <w:rsid w:val="00082219"/>
    <w:rsid w:val="0008236C"/>
    <w:rsid w:val="000828E6"/>
    <w:rsid w:val="00082CBD"/>
    <w:rsid w:val="00083446"/>
    <w:rsid w:val="000849BB"/>
    <w:rsid w:val="00085174"/>
    <w:rsid w:val="00085B10"/>
    <w:rsid w:val="000866B4"/>
    <w:rsid w:val="00086F18"/>
    <w:rsid w:val="0008712A"/>
    <w:rsid w:val="0008723C"/>
    <w:rsid w:val="00087A3B"/>
    <w:rsid w:val="0009071E"/>
    <w:rsid w:val="0009083E"/>
    <w:rsid w:val="00090DF8"/>
    <w:rsid w:val="00091054"/>
    <w:rsid w:val="000910EB"/>
    <w:rsid w:val="00091BDB"/>
    <w:rsid w:val="00093072"/>
    <w:rsid w:val="00093596"/>
    <w:rsid w:val="00093B57"/>
    <w:rsid w:val="0009412A"/>
    <w:rsid w:val="00094424"/>
    <w:rsid w:val="0009472D"/>
    <w:rsid w:val="00094761"/>
    <w:rsid w:val="00095671"/>
    <w:rsid w:val="00095C3F"/>
    <w:rsid w:val="00095FC6"/>
    <w:rsid w:val="00096250"/>
    <w:rsid w:val="000967E5"/>
    <w:rsid w:val="00096C34"/>
    <w:rsid w:val="00096D40"/>
    <w:rsid w:val="00097A7E"/>
    <w:rsid w:val="000A0543"/>
    <w:rsid w:val="000A10B7"/>
    <w:rsid w:val="000A12BC"/>
    <w:rsid w:val="000A13D5"/>
    <w:rsid w:val="000A162A"/>
    <w:rsid w:val="000A1CAA"/>
    <w:rsid w:val="000A2408"/>
    <w:rsid w:val="000A2468"/>
    <w:rsid w:val="000A2888"/>
    <w:rsid w:val="000A2E80"/>
    <w:rsid w:val="000A3159"/>
    <w:rsid w:val="000A3489"/>
    <w:rsid w:val="000A374F"/>
    <w:rsid w:val="000A39B9"/>
    <w:rsid w:val="000A3EA7"/>
    <w:rsid w:val="000A4E69"/>
    <w:rsid w:val="000A5141"/>
    <w:rsid w:val="000A6050"/>
    <w:rsid w:val="000A70F8"/>
    <w:rsid w:val="000A7D35"/>
    <w:rsid w:val="000B001E"/>
    <w:rsid w:val="000B02F3"/>
    <w:rsid w:val="000B05DE"/>
    <w:rsid w:val="000B0CC0"/>
    <w:rsid w:val="000B0D2F"/>
    <w:rsid w:val="000B1195"/>
    <w:rsid w:val="000B1233"/>
    <w:rsid w:val="000B13F6"/>
    <w:rsid w:val="000B16A1"/>
    <w:rsid w:val="000B2215"/>
    <w:rsid w:val="000B2368"/>
    <w:rsid w:val="000B3568"/>
    <w:rsid w:val="000B454B"/>
    <w:rsid w:val="000B45D6"/>
    <w:rsid w:val="000B48E6"/>
    <w:rsid w:val="000B5B53"/>
    <w:rsid w:val="000B6168"/>
    <w:rsid w:val="000B6BB1"/>
    <w:rsid w:val="000B72CE"/>
    <w:rsid w:val="000B74A3"/>
    <w:rsid w:val="000B7543"/>
    <w:rsid w:val="000B76B0"/>
    <w:rsid w:val="000B76C6"/>
    <w:rsid w:val="000C0913"/>
    <w:rsid w:val="000C0C20"/>
    <w:rsid w:val="000C0D34"/>
    <w:rsid w:val="000C1337"/>
    <w:rsid w:val="000C1893"/>
    <w:rsid w:val="000C24A7"/>
    <w:rsid w:val="000C277E"/>
    <w:rsid w:val="000C33D3"/>
    <w:rsid w:val="000C3438"/>
    <w:rsid w:val="000C381A"/>
    <w:rsid w:val="000C3B5D"/>
    <w:rsid w:val="000C3E5B"/>
    <w:rsid w:val="000C41EB"/>
    <w:rsid w:val="000C4FA2"/>
    <w:rsid w:val="000C52F2"/>
    <w:rsid w:val="000C5D4C"/>
    <w:rsid w:val="000C5DA9"/>
    <w:rsid w:val="000C5F94"/>
    <w:rsid w:val="000C617D"/>
    <w:rsid w:val="000C6268"/>
    <w:rsid w:val="000C669E"/>
    <w:rsid w:val="000C6782"/>
    <w:rsid w:val="000C6DB1"/>
    <w:rsid w:val="000C6FBA"/>
    <w:rsid w:val="000C7A55"/>
    <w:rsid w:val="000C7ED2"/>
    <w:rsid w:val="000D05D2"/>
    <w:rsid w:val="000D0D95"/>
    <w:rsid w:val="000D0EA9"/>
    <w:rsid w:val="000D27FF"/>
    <w:rsid w:val="000D292C"/>
    <w:rsid w:val="000D2DCF"/>
    <w:rsid w:val="000D313C"/>
    <w:rsid w:val="000D336C"/>
    <w:rsid w:val="000D3551"/>
    <w:rsid w:val="000D3ABE"/>
    <w:rsid w:val="000D3D2F"/>
    <w:rsid w:val="000D3FA3"/>
    <w:rsid w:val="000D45C1"/>
    <w:rsid w:val="000D474B"/>
    <w:rsid w:val="000D4AE3"/>
    <w:rsid w:val="000D546F"/>
    <w:rsid w:val="000D54F0"/>
    <w:rsid w:val="000D5797"/>
    <w:rsid w:val="000D59A5"/>
    <w:rsid w:val="000D5BFE"/>
    <w:rsid w:val="000D652A"/>
    <w:rsid w:val="000D702C"/>
    <w:rsid w:val="000D72FA"/>
    <w:rsid w:val="000D7943"/>
    <w:rsid w:val="000D7C65"/>
    <w:rsid w:val="000E0E33"/>
    <w:rsid w:val="000E144A"/>
    <w:rsid w:val="000E1688"/>
    <w:rsid w:val="000E1FC2"/>
    <w:rsid w:val="000E3354"/>
    <w:rsid w:val="000E35AD"/>
    <w:rsid w:val="000E3C73"/>
    <w:rsid w:val="000E44A9"/>
    <w:rsid w:val="000E4A08"/>
    <w:rsid w:val="000E508D"/>
    <w:rsid w:val="000E5241"/>
    <w:rsid w:val="000E66E1"/>
    <w:rsid w:val="000E6721"/>
    <w:rsid w:val="000E6F94"/>
    <w:rsid w:val="000E71C1"/>
    <w:rsid w:val="000E72FB"/>
    <w:rsid w:val="000F06F5"/>
    <w:rsid w:val="000F07B4"/>
    <w:rsid w:val="000F15DA"/>
    <w:rsid w:val="000F2998"/>
    <w:rsid w:val="000F3537"/>
    <w:rsid w:val="000F3A6C"/>
    <w:rsid w:val="000F3A74"/>
    <w:rsid w:val="000F3B24"/>
    <w:rsid w:val="000F3F6D"/>
    <w:rsid w:val="000F452A"/>
    <w:rsid w:val="000F4E00"/>
    <w:rsid w:val="000F52D5"/>
    <w:rsid w:val="000F5960"/>
    <w:rsid w:val="000F63A2"/>
    <w:rsid w:val="000F6E51"/>
    <w:rsid w:val="000F6F3C"/>
    <w:rsid w:val="000F7232"/>
    <w:rsid w:val="000F7BD8"/>
    <w:rsid w:val="000F7DED"/>
    <w:rsid w:val="0010021B"/>
    <w:rsid w:val="00100902"/>
    <w:rsid w:val="00100F1B"/>
    <w:rsid w:val="001010EB"/>
    <w:rsid w:val="001016A9"/>
    <w:rsid w:val="0010219D"/>
    <w:rsid w:val="00103926"/>
    <w:rsid w:val="001039AA"/>
    <w:rsid w:val="00103E28"/>
    <w:rsid w:val="00103FA0"/>
    <w:rsid w:val="00104168"/>
    <w:rsid w:val="001043C4"/>
    <w:rsid w:val="001044BF"/>
    <w:rsid w:val="0010499E"/>
    <w:rsid w:val="00104E56"/>
    <w:rsid w:val="00105C3D"/>
    <w:rsid w:val="00105F52"/>
    <w:rsid w:val="00105FF3"/>
    <w:rsid w:val="001060E1"/>
    <w:rsid w:val="00107B45"/>
    <w:rsid w:val="00110937"/>
    <w:rsid w:val="001110E5"/>
    <w:rsid w:val="001111C3"/>
    <w:rsid w:val="00111598"/>
    <w:rsid w:val="001129D3"/>
    <w:rsid w:val="0011312B"/>
    <w:rsid w:val="00113A44"/>
    <w:rsid w:val="00113B0F"/>
    <w:rsid w:val="0011405B"/>
    <w:rsid w:val="0011500A"/>
    <w:rsid w:val="0011504E"/>
    <w:rsid w:val="0011527B"/>
    <w:rsid w:val="00115341"/>
    <w:rsid w:val="0011549E"/>
    <w:rsid w:val="00115719"/>
    <w:rsid w:val="001158C0"/>
    <w:rsid w:val="00115AC4"/>
    <w:rsid w:val="00115D67"/>
    <w:rsid w:val="0011766F"/>
    <w:rsid w:val="0011780B"/>
    <w:rsid w:val="001178AE"/>
    <w:rsid w:val="00120396"/>
    <w:rsid w:val="00120923"/>
    <w:rsid w:val="00121B6F"/>
    <w:rsid w:val="00122568"/>
    <w:rsid w:val="00122DE4"/>
    <w:rsid w:val="0012311D"/>
    <w:rsid w:val="00123455"/>
    <w:rsid w:val="00123DF0"/>
    <w:rsid w:val="00123FBB"/>
    <w:rsid w:val="00124F34"/>
    <w:rsid w:val="0012547C"/>
    <w:rsid w:val="0012547E"/>
    <w:rsid w:val="00125499"/>
    <w:rsid w:val="00125807"/>
    <w:rsid w:val="00125D0C"/>
    <w:rsid w:val="00125E6B"/>
    <w:rsid w:val="0012609F"/>
    <w:rsid w:val="00126884"/>
    <w:rsid w:val="00126C9B"/>
    <w:rsid w:val="00126DA8"/>
    <w:rsid w:val="00127270"/>
    <w:rsid w:val="001273F7"/>
    <w:rsid w:val="001274C8"/>
    <w:rsid w:val="001274DC"/>
    <w:rsid w:val="00127EE9"/>
    <w:rsid w:val="001315CD"/>
    <w:rsid w:val="001321F7"/>
    <w:rsid w:val="00132983"/>
    <w:rsid w:val="00133376"/>
    <w:rsid w:val="001340EA"/>
    <w:rsid w:val="00134196"/>
    <w:rsid w:val="00134DCE"/>
    <w:rsid w:val="00134E66"/>
    <w:rsid w:val="00134F46"/>
    <w:rsid w:val="00135696"/>
    <w:rsid w:val="001356D2"/>
    <w:rsid w:val="001361C5"/>
    <w:rsid w:val="00136AA9"/>
    <w:rsid w:val="00137593"/>
    <w:rsid w:val="00137BC7"/>
    <w:rsid w:val="00137E74"/>
    <w:rsid w:val="001407A1"/>
    <w:rsid w:val="001408D2"/>
    <w:rsid w:val="00140B68"/>
    <w:rsid w:val="00140D23"/>
    <w:rsid w:val="001418D7"/>
    <w:rsid w:val="00141A29"/>
    <w:rsid w:val="0014220F"/>
    <w:rsid w:val="0014247B"/>
    <w:rsid w:val="00143013"/>
    <w:rsid w:val="00143834"/>
    <w:rsid w:val="00143C1A"/>
    <w:rsid w:val="00143CFB"/>
    <w:rsid w:val="00143E34"/>
    <w:rsid w:val="0014460F"/>
    <w:rsid w:val="00144DCF"/>
    <w:rsid w:val="00144E64"/>
    <w:rsid w:val="00144ED8"/>
    <w:rsid w:val="00145600"/>
    <w:rsid w:val="00145A7A"/>
    <w:rsid w:val="00145B17"/>
    <w:rsid w:val="00145EE1"/>
    <w:rsid w:val="00145F8F"/>
    <w:rsid w:val="00146080"/>
    <w:rsid w:val="00146691"/>
    <w:rsid w:val="001469C6"/>
    <w:rsid w:val="00146FC8"/>
    <w:rsid w:val="00147046"/>
    <w:rsid w:val="00147CBB"/>
    <w:rsid w:val="00147FDE"/>
    <w:rsid w:val="001502CB"/>
    <w:rsid w:val="00150537"/>
    <w:rsid w:val="00150E59"/>
    <w:rsid w:val="00151110"/>
    <w:rsid w:val="0015132F"/>
    <w:rsid w:val="00151388"/>
    <w:rsid w:val="0015228A"/>
    <w:rsid w:val="00153A6C"/>
    <w:rsid w:val="00153CD4"/>
    <w:rsid w:val="00153DD3"/>
    <w:rsid w:val="00154300"/>
    <w:rsid w:val="001543CD"/>
    <w:rsid w:val="001548A4"/>
    <w:rsid w:val="00154D65"/>
    <w:rsid w:val="00154DA9"/>
    <w:rsid w:val="001550CE"/>
    <w:rsid w:val="00155361"/>
    <w:rsid w:val="00155725"/>
    <w:rsid w:val="00155A2F"/>
    <w:rsid w:val="00155B40"/>
    <w:rsid w:val="00155D1D"/>
    <w:rsid w:val="00156470"/>
    <w:rsid w:val="00156729"/>
    <w:rsid w:val="00156C0C"/>
    <w:rsid w:val="00156E0C"/>
    <w:rsid w:val="00156F5D"/>
    <w:rsid w:val="00156F61"/>
    <w:rsid w:val="0015727A"/>
    <w:rsid w:val="00160435"/>
    <w:rsid w:val="00160480"/>
    <w:rsid w:val="001604AF"/>
    <w:rsid w:val="00160791"/>
    <w:rsid w:val="0016156E"/>
    <w:rsid w:val="00161693"/>
    <w:rsid w:val="00161712"/>
    <w:rsid w:val="00161A02"/>
    <w:rsid w:val="00161C53"/>
    <w:rsid w:val="00162733"/>
    <w:rsid w:val="00163314"/>
    <w:rsid w:val="00163D1D"/>
    <w:rsid w:val="0016562E"/>
    <w:rsid w:val="0016621C"/>
    <w:rsid w:val="0016678D"/>
    <w:rsid w:val="00166CEB"/>
    <w:rsid w:val="00166FF5"/>
    <w:rsid w:val="001673B0"/>
    <w:rsid w:val="00167A36"/>
    <w:rsid w:val="00167AB6"/>
    <w:rsid w:val="00167E9F"/>
    <w:rsid w:val="00170EB1"/>
    <w:rsid w:val="00170F26"/>
    <w:rsid w:val="0017112B"/>
    <w:rsid w:val="001715F6"/>
    <w:rsid w:val="00171714"/>
    <w:rsid w:val="0017196B"/>
    <w:rsid w:val="00171ADB"/>
    <w:rsid w:val="00172146"/>
    <w:rsid w:val="00172644"/>
    <w:rsid w:val="00172713"/>
    <w:rsid w:val="00172F6A"/>
    <w:rsid w:val="00173222"/>
    <w:rsid w:val="00173300"/>
    <w:rsid w:val="00173418"/>
    <w:rsid w:val="001736D4"/>
    <w:rsid w:val="00173A26"/>
    <w:rsid w:val="00173D4F"/>
    <w:rsid w:val="00173DBF"/>
    <w:rsid w:val="00173E15"/>
    <w:rsid w:val="00173E71"/>
    <w:rsid w:val="00173E73"/>
    <w:rsid w:val="0017460A"/>
    <w:rsid w:val="0017496B"/>
    <w:rsid w:val="00174BB3"/>
    <w:rsid w:val="001753C5"/>
    <w:rsid w:val="001755D5"/>
    <w:rsid w:val="001756DF"/>
    <w:rsid w:val="001759E9"/>
    <w:rsid w:val="0017652B"/>
    <w:rsid w:val="00176C54"/>
    <w:rsid w:val="001777E2"/>
    <w:rsid w:val="00177983"/>
    <w:rsid w:val="001779A3"/>
    <w:rsid w:val="00177AFB"/>
    <w:rsid w:val="00180606"/>
    <w:rsid w:val="00180676"/>
    <w:rsid w:val="00180C11"/>
    <w:rsid w:val="0018106A"/>
    <w:rsid w:val="00182281"/>
    <w:rsid w:val="0018262D"/>
    <w:rsid w:val="00182FDF"/>
    <w:rsid w:val="0018393E"/>
    <w:rsid w:val="00183A47"/>
    <w:rsid w:val="00183ABA"/>
    <w:rsid w:val="00184113"/>
    <w:rsid w:val="00184170"/>
    <w:rsid w:val="001849DD"/>
    <w:rsid w:val="00184C6E"/>
    <w:rsid w:val="00185BBD"/>
    <w:rsid w:val="00185E0A"/>
    <w:rsid w:val="0018635C"/>
    <w:rsid w:val="00186C2C"/>
    <w:rsid w:val="00187165"/>
    <w:rsid w:val="00187C84"/>
    <w:rsid w:val="00190394"/>
    <w:rsid w:val="00190400"/>
    <w:rsid w:val="001907EF"/>
    <w:rsid w:val="0019087B"/>
    <w:rsid w:val="0019160A"/>
    <w:rsid w:val="001918A6"/>
    <w:rsid w:val="001920C0"/>
    <w:rsid w:val="001924D2"/>
    <w:rsid w:val="00192EB6"/>
    <w:rsid w:val="0019349F"/>
    <w:rsid w:val="0019435A"/>
    <w:rsid w:val="0019499D"/>
    <w:rsid w:val="00194DB8"/>
    <w:rsid w:val="0019573F"/>
    <w:rsid w:val="001959DB"/>
    <w:rsid w:val="00195B3C"/>
    <w:rsid w:val="00195D80"/>
    <w:rsid w:val="001963DF"/>
    <w:rsid w:val="00196ECA"/>
    <w:rsid w:val="00196F33"/>
    <w:rsid w:val="001970B1"/>
    <w:rsid w:val="001A0AC1"/>
    <w:rsid w:val="001A0AF5"/>
    <w:rsid w:val="001A0C0B"/>
    <w:rsid w:val="001A0C9F"/>
    <w:rsid w:val="001A1078"/>
    <w:rsid w:val="001A2771"/>
    <w:rsid w:val="001A3482"/>
    <w:rsid w:val="001A3498"/>
    <w:rsid w:val="001A3672"/>
    <w:rsid w:val="001A420D"/>
    <w:rsid w:val="001A440A"/>
    <w:rsid w:val="001A4560"/>
    <w:rsid w:val="001A4C2B"/>
    <w:rsid w:val="001A4DF6"/>
    <w:rsid w:val="001A52F9"/>
    <w:rsid w:val="001A55E2"/>
    <w:rsid w:val="001A573F"/>
    <w:rsid w:val="001A6AE1"/>
    <w:rsid w:val="001B0929"/>
    <w:rsid w:val="001B146C"/>
    <w:rsid w:val="001B17E8"/>
    <w:rsid w:val="001B1927"/>
    <w:rsid w:val="001B2101"/>
    <w:rsid w:val="001B2450"/>
    <w:rsid w:val="001B25CD"/>
    <w:rsid w:val="001B2E7A"/>
    <w:rsid w:val="001B4E0A"/>
    <w:rsid w:val="001B4F2F"/>
    <w:rsid w:val="001B5316"/>
    <w:rsid w:val="001B568C"/>
    <w:rsid w:val="001B57AC"/>
    <w:rsid w:val="001B5D52"/>
    <w:rsid w:val="001B6108"/>
    <w:rsid w:val="001B62C3"/>
    <w:rsid w:val="001B6695"/>
    <w:rsid w:val="001B6B1F"/>
    <w:rsid w:val="001B6D93"/>
    <w:rsid w:val="001B6E5B"/>
    <w:rsid w:val="001B6F33"/>
    <w:rsid w:val="001B78EC"/>
    <w:rsid w:val="001C00E6"/>
    <w:rsid w:val="001C0664"/>
    <w:rsid w:val="001C07CF"/>
    <w:rsid w:val="001C0B45"/>
    <w:rsid w:val="001C0C5C"/>
    <w:rsid w:val="001C1F40"/>
    <w:rsid w:val="001C271D"/>
    <w:rsid w:val="001C2D6E"/>
    <w:rsid w:val="001C47FA"/>
    <w:rsid w:val="001C485F"/>
    <w:rsid w:val="001C6D78"/>
    <w:rsid w:val="001C751D"/>
    <w:rsid w:val="001C7549"/>
    <w:rsid w:val="001C7A63"/>
    <w:rsid w:val="001D1A1B"/>
    <w:rsid w:val="001D1E6D"/>
    <w:rsid w:val="001D271C"/>
    <w:rsid w:val="001D2897"/>
    <w:rsid w:val="001D31B9"/>
    <w:rsid w:val="001D3352"/>
    <w:rsid w:val="001D3AD6"/>
    <w:rsid w:val="001D45D1"/>
    <w:rsid w:val="001D46C0"/>
    <w:rsid w:val="001D5432"/>
    <w:rsid w:val="001D5774"/>
    <w:rsid w:val="001D5D4A"/>
    <w:rsid w:val="001D622F"/>
    <w:rsid w:val="001D7DEB"/>
    <w:rsid w:val="001E0215"/>
    <w:rsid w:val="001E0498"/>
    <w:rsid w:val="001E0947"/>
    <w:rsid w:val="001E0C80"/>
    <w:rsid w:val="001E1128"/>
    <w:rsid w:val="001E1D66"/>
    <w:rsid w:val="001E1F1E"/>
    <w:rsid w:val="001E2041"/>
    <w:rsid w:val="001E21A6"/>
    <w:rsid w:val="001E21AD"/>
    <w:rsid w:val="001E2976"/>
    <w:rsid w:val="001E2A05"/>
    <w:rsid w:val="001E2B59"/>
    <w:rsid w:val="001E3157"/>
    <w:rsid w:val="001E34FE"/>
    <w:rsid w:val="001E3BDB"/>
    <w:rsid w:val="001E4124"/>
    <w:rsid w:val="001E4F69"/>
    <w:rsid w:val="001E5090"/>
    <w:rsid w:val="001E592B"/>
    <w:rsid w:val="001E664D"/>
    <w:rsid w:val="001E6D33"/>
    <w:rsid w:val="001E723E"/>
    <w:rsid w:val="001E737E"/>
    <w:rsid w:val="001E77F4"/>
    <w:rsid w:val="001F028B"/>
    <w:rsid w:val="001F0576"/>
    <w:rsid w:val="001F0B23"/>
    <w:rsid w:val="001F0D24"/>
    <w:rsid w:val="001F121E"/>
    <w:rsid w:val="001F1C83"/>
    <w:rsid w:val="001F3554"/>
    <w:rsid w:val="001F42A7"/>
    <w:rsid w:val="001F42D1"/>
    <w:rsid w:val="001F49C2"/>
    <w:rsid w:val="001F50D8"/>
    <w:rsid w:val="001F51FE"/>
    <w:rsid w:val="001F5CC4"/>
    <w:rsid w:val="001F67C4"/>
    <w:rsid w:val="001F6FDA"/>
    <w:rsid w:val="001F744C"/>
    <w:rsid w:val="001F758F"/>
    <w:rsid w:val="001F7E07"/>
    <w:rsid w:val="001F7E29"/>
    <w:rsid w:val="001F7FF2"/>
    <w:rsid w:val="00200841"/>
    <w:rsid w:val="00200CB1"/>
    <w:rsid w:val="00200DD5"/>
    <w:rsid w:val="00200ED9"/>
    <w:rsid w:val="00201399"/>
    <w:rsid w:val="002015AB"/>
    <w:rsid w:val="002019E3"/>
    <w:rsid w:val="00201B50"/>
    <w:rsid w:val="00202295"/>
    <w:rsid w:val="00202702"/>
    <w:rsid w:val="0020290E"/>
    <w:rsid w:val="002031C5"/>
    <w:rsid w:val="002032C0"/>
    <w:rsid w:val="002036D2"/>
    <w:rsid w:val="0020477B"/>
    <w:rsid w:val="002048A3"/>
    <w:rsid w:val="00205CB4"/>
    <w:rsid w:val="00206624"/>
    <w:rsid w:val="00206832"/>
    <w:rsid w:val="00207494"/>
    <w:rsid w:val="00207A61"/>
    <w:rsid w:val="00210642"/>
    <w:rsid w:val="00211545"/>
    <w:rsid w:val="002119BB"/>
    <w:rsid w:val="00211B6F"/>
    <w:rsid w:val="00212208"/>
    <w:rsid w:val="00212CE6"/>
    <w:rsid w:val="0021312C"/>
    <w:rsid w:val="00213297"/>
    <w:rsid w:val="00213EA6"/>
    <w:rsid w:val="00215649"/>
    <w:rsid w:val="00216346"/>
    <w:rsid w:val="002167AB"/>
    <w:rsid w:val="0021683D"/>
    <w:rsid w:val="00217064"/>
    <w:rsid w:val="0021789C"/>
    <w:rsid w:val="002205B2"/>
    <w:rsid w:val="00220D8D"/>
    <w:rsid w:val="00221B9A"/>
    <w:rsid w:val="00221BB9"/>
    <w:rsid w:val="00221D62"/>
    <w:rsid w:val="002221C0"/>
    <w:rsid w:val="00223C98"/>
    <w:rsid w:val="002249D2"/>
    <w:rsid w:val="00224C10"/>
    <w:rsid w:val="00224F3F"/>
    <w:rsid w:val="002255EF"/>
    <w:rsid w:val="002258F6"/>
    <w:rsid w:val="00225AFC"/>
    <w:rsid w:val="00225F7E"/>
    <w:rsid w:val="002269B2"/>
    <w:rsid w:val="002270DC"/>
    <w:rsid w:val="002271BB"/>
    <w:rsid w:val="00227E95"/>
    <w:rsid w:val="00227F8D"/>
    <w:rsid w:val="00227F98"/>
    <w:rsid w:val="002302B2"/>
    <w:rsid w:val="002308CA"/>
    <w:rsid w:val="00231611"/>
    <w:rsid w:val="00231AB6"/>
    <w:rsid w:val="00231B26"/>
    <w:rsid w:val="00231CEF"/>
    <w:rsid w:val="00232384"/>
    <w:rsid w:val="002323E5"/>
    <w:rsid w:val="00232ACF"/>
    <w:rsid w:val="002330AC"/>
    <w:rsid w:val="00233B45"/>
    <w:rsid w:val="00234252"/>
    <w:rsid w:val="00234286"/>
    <w:rsid w:val="00234F5E"/>
    <w:rsid w:val="002352AA"/>
    <w:rsid w:val="002357FB"/>
    <w:rsid w:val="00235E12"/>
    <w:rsid w:val="00236318"/>
    <w:rsid w:val="00236BA2"/>
    <w:rsid w:val="002373AA"/>
    <w:rsid w:val="00237C66"/>
    <w:rsid w:val="00237D94"/>
    <w:rsid w:val="00237D98"/>
    <w:rsid w:val="00240186"/>
    <w:rsid w:val="00240665"/>
    <w:rsid w:val="002408B0"/>
    <w:rsid w:val="00240F54"/>
    <w:rsid w:val="0024114C"/>
    <w:rsid w:val="002412CD"/>
    <w:rsid w:val="00241713"/>
    <w:rsid w:val="002420AB"/>
    <w:rsid w:val="0024247E"/>
    <w:rsid w:val="00242BE7"/>
    <w:rsid w:val="0024380B"/>
    <w:rsid w:val="002438CB"/>
    <w:rsid w:val="00243A22"/>
    <w:rsid w:val="00243DAB"/>
    <w:rsid w:val="002443B0"/>
    <w:rsid w:val="002443D6"/>
    <w:rsid w:val="002449CC"/>
    <w:rsid w:val="00244AAB"/>
    <w:rsid w:val="00244DED"/>
    <w:rsid w:val="00245005"/>
    <w:rsid w:val="002455ED"/>
    <w:rsid w:val="002462B9"/>
    <w:rsid w:val="00246BDA"/>
    <w:rsid w:val="00247741"/>
    <w:rsid w:val="00247F0C"/>
    <w:rsid w:val="0025002D"/>
    <w:rsid w:val="002503D5"/>
    <w:rsid w:val="00250C6B"/>
    <w:rsid w:val="002518CC"/>
    <w:rsid w:val="00251B05"/>
    <w:rsid w:val="002529CA"/>
    <w:rsid w:val="00253EDD"/>
    <w:rsid w:val="00253F48"/>
    <w:rsid w:val="002564E8"/>
    <w:rsid w:val="00256819"/>
    <w:rsid w:val="00256926"/>
    <w:rsid w:val="00256F5A"/>
    <w:rsid w:val="002573D8"/>
    <w:rsid w:val="00257A2D"/>
    <w:rsid w:val="002603B4"/>
    <w:rsid w:val="0026246E"/>
    <w:rsid w:val="0026254F"/>
    <w:rsid w:val="00262869"/>
    <w:rsid w:val="002629A5"/>
    <w:rsid w:val="00262F81"/>
    <w:rsid w:val="002630BE"/>
    <w:rsid w:val="0026319D"/>
    <w:rsid w:val="0026321F"/>
    <w:rsid w:val="002635AC"/>
    <w:rsid w:val="00263BB4"/>
    <w:rsid w:val="00263CFD"/>
    <w:rsid w:val="00263E8B"/>
    <w:rsid w:val="00265557"/>
    <w:rsid w:val="00267755"/>
    <w:rsid w:val="002706BB"/>
    <w:rsid w:val="00271343"/>
    <w:rsid w:val="00271ED8"/>
    <w:rsid w:val="002733FC"/>
    <w:rsid w:val="002734FB"/>
    <w:rsid w:val="00273BBF"/>
    <w:rsid w:val="00274357"/>
    <w:rsid w:val="00274713"/>
    <w:rsid w:val="00274D4D"/>
    <w:rsid w:val="00275009"/>
    <w:rsid w:val="002754A0"/>
    <w:rsid w:val="00275EAD"/>
    <w:rsid w:val="002763CC"/>
    <w:rsid w:val="00276626"/>
    <w:rsid w:val="002768B3"/>
    <w:rsid w:val="002779BC"/>
    <w:rsid w:val="00277CCA"/>
    <w:rsid w:val="00277F9D"/>
    <w:rsid w:val="002800AB"/>
    <w:rsid w:val="00280167"/>
    <w:rsid w:val="0028022C"/>
    <w:rsid w:val="0028045B"/>
    <w:rsid w:val="00280D28"/>
    <w:rsid w:val="002810D6"/>
    <w:rsid w:val="00281144"/>
    <w:rsid w:val="00281E8C"/>
    <w:rsid w:val="00281F1A"/>
    <w:rsid w:val="00282D20"/>
    <w:rsid w:val="002837F7"/>
    <w:rsid w:val="00283B38"/>
    <w:rsid w:val="0028462F"/>
    <w:rsid w:val="00284735"/>
    <w:rsid w:val="00284CFE"/>
    <w:rsid w:val="0028510A"/>
    <w:rsid w:val="002856A2"/>
    <w:rsid w:val="002859EA"/>
    <w:rsid w:val="00285DED"/>
    <w:rsid w:val="00285FBF"/>
    <w:rsid w:val="002868F1"/>
    <w:rsid w:val="00286EFA"/>
    <w:rsid w:val="00287A7F"/>
    <w:rsid w:val="00290452"/>
    <w:rsid w:val="00290DC6"/>
    <w:rsid w:val="0029151B"/>
    <w:rsid w:val="0029154B"/>
    <w:rsid w:val="00291896"/>
    <w:rsid w:val="00291937"/>
    <w:rsid w:val="00292DD4"/>
    <w:rsid w:val="00293057"/>
    <w:rsid w:val="00293070"/>
    <w:rsid w:val="00293139"/>
    <w:rsid w:val="0029323F"/>
    <w:rsid w:val="00293A55"/>
    <w:rsid w:val="00293B56"/>
    <w:rsid w:val="002944D4"/>
    <w:rsid w:val="00294686"/>
    <w:rsid w:val="00294FB8"/>
    <w:rsid w:val="00295167"/>
    <w:rsid w:val="002964E0"/>
    <w:rsid w:val="00296D43"/>
    <w:rsid w:val="00296F02"/>
    <w:rsid w:val="00297063"/>
    <w:rsid w:val="002974F0"/>
    <w:rsid w:val="00297C46"/>
    <w:rsid w:val="00297EF2"/>
    <w:rsid w:val="00297F67"/>
    <w:rsid w:val="002A0A77"/>
    <w:rsid w:val="002A0F73"/>
    <w:rsid w:val="002A18BC"/>
    <w:rsid w:val="002A193D"/>
    <w:rsid w:val="002A2071"/>
    <w:rsid w:val="002A32BC"/>
    <w:rsid w:val="002A3829"/>
    <w:rsid w:val="002A46C1"/>
    <w:rsid w:val="002A4A40"/>
    <w:rsid w:val="002A4C7C"/>
    <w:rsid w:val="002A5028"/>
    <w:rsid w:val="002A50C3"/>
    <w:rsid w:val="002A50FA"/>
    <w:rsid w:val="002A522D"/>
    <w:rsid w:val="002A52CF"/>
    <w:rsid w:val="002A5402"/>
    <w:rsid w:val="002A6077"/>
    <w:rsid w:val="002A614B"/>
    <w:rsid w:val="002A643E"/>
    <w:rsid w:val="002A65BD"/>
    <w:rsid w:val="002A6902"/>
    <w:rsid w:val="002A6B39"/>
    <w:rsid w:val="002A6B53"/>
    <w:rsid w:val="002A7059"/>
    <w:rsid w:val="002A7D02"/>
    <w:rsid w:val="002B0568"/>
    <w:rsid w:val="002B0D80"/>
    <w:rsid w:val="002B167C"/>
    <w:rsid w:val="002B227F"/>
    <w:rsid w:val="002B22E7"/>
    <w:rsid w:val="002B2A0F"/>
    <w:rsid w:val="002B2D32"/>
    <w:rsid w:val="002B3359"/>
    <w:rsid w:val="002B3A89"/>
    <w:rsid w:val="002B3FEA"/>
    <w:rsid w:val="002B4505"/>
    <w:rsid w:val="002B4E7A"/>
    <w:rsid w:val="002B51A4"/>
    <w:rsid w:val="002B53E2"/>
    <w:rsid w:val="002B559E"/>
    <w:rsid w:val="002B5D1F"/>
    <w:rsid w:val="002B657B"/>
    <w:rsid w:val="002B670A"/>
    <w:rsid w:val="002B6D00"/>
    <w:rsid w:val="002B6EB1"/>
    <w:rsid w:val="002B7255"/>
    <w:rsid w:val="002B76DD"/>
    <w:rsid w:val="002B794F"/>
    <w:rsid w:val="002C1205"/>
    <w:rsid w:val="002C13D3"/>
    <w:rsid w:val="002C2EB5"/>
    <w:rsid w:val="002C3075"/>
    <w:rsid w:val="002C3379"/>
    <w:rsid w:val="002C343F"/>
    <w:rsid w:val="002C3CA7"/>
    <w:rsid w:val="002C42B8"/>
    <w:rsid w:val="002C4A24"/>
    <w:rsid w:val="002C5398"/>
    <w:rsid w:val="002C61A0"/>
    <w:rsid w:val="002C6B3B"/>
    <w:rsid w:val="002C6C96"/>
    <w:rsid w:val="002C6CB4"/>
    <w:rsid w:val="002C7250"/>
    <w:rsid w:val="002C7560"/>
    <w:rsid w:val="002C7C77"/>
    <w:rsid w:val="002D1000"/>
    <w:rsid w:val="002D1972"/>
    <w:rsid w:val="002D1D28"/>
    <w:rsid w:val="002D257B"/>
    <w:rsid w:val="002D277F"/>
    <w:rsid w:val="002D2901"/>
    <w:rsid w:val="002D2CA3"/>
    <w:rsid w:val="002D2DA0"/>
    <w:rsid w:val="002D316D"/>
    <w:rsid w:val="002D324E"/>
    <w:rsid w:val="002D374F"/>
    <w:rsid w:val="002D3C54"/>
    <w:rsid w:val="002D4149"/>
    <w:rsid w:val="002D4192"/>
    <w:rsid w:val="002D45E8"/>
    <w:rsid w:val="002D4A16"/>
    <w:rsid w:val="002D53AC"/>
    <w:rsid w:val="002D54F1"/>
    <w:rsid w:val="002D58A7"/>
    <w:rsid w:val="002D6127"/>
    <w:rsid w:val="002D6596"/>
    <w:rsid w:val="002D7C8B"/>
    <w:rsid w:val="002D7CA4"/>
    <w:rsid w:val="002E04DE"/>
    <w:rsid w:val="002E097C"/>
    <w:rsid w:val="002E0ED1"/>
    <w:rsid w:val="002E100E"/>
    <w:rsid w:val="002E13DF"/>
    <w:rsid w:val="002E198D"/>
    <w:rsid w:val="002E1998"/>
    <w:rsid w:val="002E1AD6"/>
    <w:rsid w:val="002E28B0"/>
    <w:rsid w:val="002E2A19"/>
    <w:rsid w:val="002E2B28"/>
    <w:rsid w:val="002E2E33"/>
    <w:rsid w:val="002E30C3"/>
    <w:rsid w:val="002E392A"/>
    <w:rsid w:val="002E4366"/>
    <w:rsid w:val="002E5530"/>
    <w:rsid w:val="002E57B7"/>
    <w:rsid w:val="002E57E7"/>
    <w:rsid w:val="002E5BE0"/>
    <w:rsid w:val="002E5F5C"/>
    <w:rsid w:val="002E65F5"/>
    <w:rsid w:val="002E681B"/>
    <w:rsid w:val="002E6820"/>
    <w:rsid w:val="002E6AF4"/>
    <w:rsid w:val="002E706B"/>
    <w:rsid w:val="002E7295"/>
    <w:rsid w:val="002E7527"/>
    <w:rsid w:val="002E7BDD"/>
    <w:rsid w:val="002E7C41"/>
    <w:rsid w:val="002E7EB5"/>
    <w:rsid w:val="002F02B1"/>
    <w:rsid w:val="002F062A"/>
    <w:rsid w:val="002F190A"/>
    <w:rsid w:val="002F1A33"/>
    <w:rsid w:val="002F203A"/>
    <w:rsid w:val="002F23E5"/>
    <w:rsid w:val="002F2DC3"/>
    <w:rsid w:val="002F325E"/>
    <w:rsid w:val="002F3907"/>
    <w:rsid w:val="002F3DFC"/>
    <w:rsid w:val="002F4551"/>
    <w:rsid w:val="002F58A1"/>
    <w:rsid w:val="002F5E36"/>
    <w:rsid w:val="002F6476"/>
    <w:rsid w:val="002F6CDD"/>
    <w:rsid w:val="002F73DF"/>
    <w:rsid w:val="002F7A9A"/>
    <w:rsid w:val="002F7FBB"/>
    <w:rsid w:val="0030059A"/>
    <w:rsid w:val="00300E64"/>
    <w:rsid w:val="00301436"/>
    <w:rsid w:val="0030180E"/>
    <w:rsid w:val="00301A2A"/>
    <w:rsid w:val="00301A52"/>
    <w:rsid w:val="003044C1"/>
    <w:rsid w:val="00305763"/>
    <w:rsid w:val="00305963"/>
    <w:rsid w:val="00305B9C"/>
    <w:rsid w:val="00307006"/>
    <w:rsid w:val="003105D3"/>
    <w:rsid w:val="003105FB"/>
    <w:rsid w:val="00310D1E"/>
    <w:rsid w:val="00310DFA"/>
    <w:rsid w:val="00310F35"/>
    <w:rsid w:val="0031119E"/>
    <w:rsid w:val="003113F4"/>
    <w:rsid w:val="00311A96"/>
    <w:rsid w:val="00311B04"/>
    <w:rsid w:val="00311E96"/>
    <w:rsid w:val="00312EC0"/>
    <w:rsid w:val="00313414"/>
    <w:rsid w:val="00313497"/>
    <w:rsid w:val="003137D0"/>
    <w:rsid w:val="00313CCD"/>
    <w:rsid w:val="003147E1"/>
    <w:rsid w:val="00314A8A"/>
    <w:rsid w:val="00314F7F"/>
    <w:rsid w:val="0031536B"/>
    <w:rsid w:val="00315D0E"/>
    <w:rsid w:val="003163B7"/>
    <w:rsid w:val="0031684F"/>
    <w:rsid w:val="003175A5"/>
    <w:rsid w:val="00317724"/>
    <w:rsid w:val="00317977"/>
    <w:rsid w:val="00317DBC"/>
    <w:rsid w:val="00317F8C"/>
    <w:rsid w:val="003203BB"/>
    <w:rsid w:val="003204EB"/>
    <w:rsid w:val="003209BF"/>
    <w:rsid w:val="00320CC0"/>
    <w:rsid w:val="003210C0"/>
    <w:rsid w:val="00321152"/>
    <w:rsid w:val="0032124D"/>
    <w:rsid w:val="003220E8"/>
    <w:rsid w:val="0032216D"/>
    <w:rsid w:val="00322437"/>
    <w:rsid w:val="00323216"/>
    <w:rsid w:val="003233CF"/>
    <w:rsid w:val="00323847"/>
    <w:rsid w:val="00323B6C"/>
    <w:rsid w:val="00323E23"/>
    <w:rsid w:val="00324888"/>
    <w:rsid w:val="00324B17"/>
    <w:rsid w:val="00324B28"/>
    <w:rsid w:val="00324DEF"/>
    <w:rsid w:val="003251C6"/>
    <w:rsid w:val="003255DA"/>
    <w:rsid w:val="00326575"/>
    <w:rsid w:val="003272A0"/>
    <w:rsid w:val="00327F1D"/>
    <w:rsid w:val="003306B6"/>
    <w:rsid w:val="00330FDF"/>
    <w:rsid w:val="00331255"/>
    <w:rsid w:val="003319D4"/>
    <w:rsid w:val="00331DC4"/>
    <w:rsid w:val="00331EFA"/>
    <w:rsid w:val="003320DB"/>
    <w:rsid w:val="003326C6"/>
    <w:rsid w:val="00332A27"/>
    <w:rsid w:val="0033357A"/>
    <w:rsid w:val="00333828"/>
    <w:rsid w:val="003338D0"/>
    <w:rsid w:val="00333C15"/>
    <w:rsid w:val="00334335"/>
    <w:rsid w:val="003348F2"/>
    <w:rsid w:val="00335101"/>
    <w:rsid w:val="0033523E"/>
    <w:rsid w:val="00335862"/>
    <w:rsid w:val="003359CE"/>
    <w:rsid w:val="00335E86"/>
    <w:rsid w:val="00336342"/>
    <w:rsid w:val="00336DE7"/>
    <w:rsid w:val="003373F9"/>
    <w:rsid w:val="00337767"/>
    <w:rsid w:val="00337C17"/>
    <w:rsid w:val="00337D41"/>
    <w:rsid w:val="0034013B"/>
    <w:rsid w:val="0034040A"/>
    <w:rsid w:val="003406DF"/>
    <w:rsid w:val="00340D10"/>
    <w:rsid w:val="00340F07"/>
    <w:rsid w:val="00341516"/>
    <w:rsid w:val="0034186E"/>
    <w:rsid w:val="00341A50"/>
    <w:rsid w:val="00341B7E"/>
    <w:rsid w:val="00341C39"/>
    <w:rsid w:val="003422EA"/>
    <w:rsid w:val="003427D5"/>
    <w:rsid w:val="00342BB0"/>
    <w:rsid w:val="00342FA7"/>
    <w:rsid w:val="003431D3"/>
    <w:rsid w:val="00343357"/>
    <w:rsid w:val="00343BBE"/>
    <w:rsid w:val="00343EBC"/>
    <w:rsid w:val="00343F81"/>
    <w:rsid w:val="0034519A"/>
    <w:rsid w:val="00345926"/>
    <w:rsid w:val="00345B31"/>
    <w:rsid w:val="003471F9"/>
    <w:rsid w:val="0034768B"/>
    <w:rsid w:val="003476D1"/>
    <w:rsid w:val="0034799F"/>
    <w:rsid w:val="0035093D"/>
    <w:rsid w:val="00350BA3"/>
    <w:rsid w:val="00351726"/>
    <w:rsid w:val="00351972"/>
    <w:rsid w:val="00351D36"/>
    <w:rsid w:val="003523A6"/>
    <w:rsid w:val="00352AC5"/>
    <w:rsid w:val="00352AF1"/>
    <w:rsid w:val="003531C4"/>
    <w:rsid w:val="003534F9"/>
    <w:rsid w:val="00353E7C"/>
    <w:rsid w:val="0035425B"/>
    <w:rsid w:val="00354544"/>
    <w:rsid w:val="00354DDF"/>
    <w:rsid w:val="00355BF1"/>
    <w:rsid w:val="00356121"/>
    <w:rsid w:val="003563E1"/>
    <w:rsid w:val="003567C4"/>
    <w:rsid w:val="003569B6"/>
    <w:rsid w:val="00356A95"/>
    <w:rsid w:val="00356F5D"/>
    <w:rsid w:val="00357CEE"/>
    <w:rsid w:val="003600B6"/>
    <w:rsid w:val="00360239"/>
    <w:rsid w:val="00360E3C"/>
    <w:rsid w:val="00361B1E"/>
    <w:rsid w:val="00361FAE"/>
    <w:rsid w:val="00362AC5"/>
    <w:rsid w:val="00363767"/>
    <w:rsid w:val="00363F41"/>
    <w:rsid w:val="003641BA"/>
    <w:rsid w:val="00364A9D"/>
    <w:rsid w:val="00365166"/>
    <w:rsid w:val="00365570"/>
    <w:rsid w:val="003659BF"/>
    <w:rsid w:val="00365C6D"/>
    <w:rsid w:val="003666AD"/>
    <w:rsid w:val="00366D26"/>
    <w:rsid w:val="003675BD"/>
    <w:rsid w:val="003676B8"/>
    <w:rsid w:val="00370D81"/>
    <w:rsid w:val="00371CAF"/>
    <w:rsid w:val="00371D38"/>
    <w:rsid w:val="00372D18"/>
    <w:rsid w:val="00372EF9"/>
    <w:rsid w:val="003732C0"/>
    <w:rsid w:val="00374F40"/>
    <w:rsid w:val="00375138"/>
    <w:rsid w:val="00375700"/>
    <w:rsid w:val="00375C64"/>
    <w:rsid w:val="00375ED0"/>
    <w:rsid w:val="00375F4E"/>
    <w:rsid w:val="00376BE9"/>
    <w:rsid w:val="0037705E"/>
    <w:rsid w:val="0037770A"/>
    <w:rsid w:val="00377CB4"/>
    <w:rsid w:val="0038096F"/>
    <w:rsid w:val="003809EA"/>
    <w:rsid w:val="003814BF"/>
    <w:rsid w:val="00381F6F"/>
    <w:rsid w:val="00382F5D"/>
    <w:rsid w:val="00383130"/>
    <w:rsid w:val="00383C99"/>
    <w:rsid w:val="0038465E"/>
    <w:rsid w:val="00384D06"/>
    <w:rsid w:val="00385601"/>
    <w:rsid w:val="0038583C"/>
    <w:rsid w:val="00385CE5"/>
    <w:rsid w:val="00385E07"/>
    <w:rsid w:val="00387979"/>
    <w:rsid w:val="00387D9C"/>
    <w:rsid w:val="00390452"/>
    <w:rsid w:val="00390529"/>
    <w:rsid w:val="00390936"/>
    <w:rsid w:val="00390C3E"/>
    <w:rsid w:val="00392AC2"/>
    <w:rsid w:val="00393048"/>
    <w:rsid w:val="00393578"/>
    <w:rsid w:val="00393A94"/>
    <w:rsid w:val="00393CE6"/>
    <w:rsid w:val="003952C3"/>
    <w:rsid w:val="00395665"/>
    <w:rsid w:val="00395E24"/>
    <w:rsid w:val="00395FCF"/>
    <w:rsid w:val="00396736"/>
    <w:rsid w:val="00396DCA"/>
    <w:rsid w:val="00396F44"/>
    <w:rsid w:val="003972F2"/>
    <w:rsid w:val="003973E0"/>
    <w:rsid w:val="00397966"/>
    <w:rsid w:val="00397AC3"/>
    <w:rsid w:val="003A0329"/>
    <w:rsid w:val="003A0D17"/>
    <w:rsid w:val="003A0F0B"/>
    <w:rsid w:val="003A114D"/>
    <w:rsid w:val="003A1A88"/>
    <w:rsid w:val="003A1D35"/>
    <w:rsid w:val="003A1FF9"/>
    <w:rsid w:val="003A22AE"/>
    <w:rsid w:val="003A2403"/>
    <w:rsid w:val="003A2864"/>
    <w:rsid w:val="003A2AAB"/>
    <w:rsid w:val="003A2BE8"/>
    <w:rsid w:val="003A4361"/>
    <w:rsid w:val="003A4712"/>
    <w:rsid w:val="003A4A59"/>
    <w:rsid w:val="003A4A7D"/>
    <w:rsid w:val="003A4E08"/>
    <w:rsid w:val="003A56D3"/>
    <w:rsid w:val="003A5EEC"/>
    <w:rsid w:val="003A615B"/>
    <w:rsid w:val="003A6809"/>
    <w:rsid w:val="003A6DC4"/>
    <w:rsid w:val="003A74A3"/>
    <w:rsid w:val="003A755A"/>
    <w:rsid w:val="003A7DF4"/>
    <w:rsid w:val="003B0501"/>
    <w:rsid w:val="003B05C5"/>
    <w:rsid w:val="003B0A25"/>
    <w:rsid w:val="003B10F9"/>
    <w:rsid w:val="003B157E"/>
    <w:rsid w:val="003B1865"/>
    <w:rsid w:val="003B238C"/>
    <w:rsid w:val="003B2AE1"/>
    <w:rsid w:val="003B2D00"/>
    <w:rsid w:val="003B3058"/>
    <w:rsid w:val="003B3F0D"/>
    <w:rsid w:val="003B409E"/>
    <w:rsid w:val="003B4468"/>
    <w:rsid w:val="003B57A0"/>
    <w:rsid w:val="003B59D1"/>
    <w:rsid w:val="003B5A3E"/>
    <w:rsid w:val="003B647F"/>
    <w:rsid w:val="003B6A46"/>
    <w:rsid w:val="003B6A7B"/>
    <w:rsid w:val="003B7322"/>
    <w:rsid w:val="003B7951"/>
    <w:rsid w:val="003B7BFC"/>
    <w:rsid w:val="003C0126"/>
    <w:rsid w:val="003C0BB3"/>
    <w:rsid w:val="003C0BC9"/>
    <w:rsid w:val="003C0F8B"/>
    <w:rsid w:val="003C15F2"/>
    <w:rsid w:val="003C165F"/>
    <w:rsid w:val="003C3388"/>
    <w:rsid w:val="003C3496"/>
    <w:rsid w:val="003C357B"/>
    <w:rsid w:val="003C36A2"/>
    <w:rsid w:val="003C687F"/>
    <w:rsid w:val="003C6C34"/>
    <w:rsid w:val="003C6D55"/>
    <w:rsid w:val="003C6F30"/>
    <w:rsid w:val="003C720F"/>
    <w:rsid w:val="003C7765"/>
    <w:rsid w:val="003D02B0"/>
    <w:rsid w:val="003D0442"/>
    <w:rsid w:val="003D0535"/>
    <w:rsid w:val="003D0E5E"/>
    <w:rsid w:val="003D104B"/>
    <w:rsid w:val="003D1666"/>
    <w:rsid w:val="003D17E5"/>
    <w:rsid w:val="003D19BB"/>
    <w:rsid w:val="003D1D00"/>
    <w:rsid w:val="003D1D28"/>
    <w:rsid w:val="003D22C5"/>
    <w:rsid w:val="003D2412"/>
    <w:rsid w:val="003D2605"/>
    <w:rsid w:val="003D27B3"/>
    <w:rsid w:val="003D296C"/>
    <w:rsid w:val="003D3DC9"/>
    <w:rsid w:val="003D42F0"/>
    <w:rsid w:val="003D4655"/>
    <w:rsid w:val="003D497F"/>
    <w:rsid w:val="003D4BF3"/>
    <w:rsid w:val="003D543A"/>
    <w:rsid w:val="003D556F"/>
    <w:rsid w:val="003D5DF3"/>
    <w:rsid w:val="003D629A"/>
    <w:rsid w:val="003D68B0"/>
    <w:rsid w:val="003D6D89"/>
    <w:rsid w:val="003D7BDF"/>
    <w:rsid w:val="003E0469"/>
    <w:rsid w:val="003E0E7B"/>
    <w:rsid w:val="003E13A6"/>
    <w:rsid w:val="003E181D"/>
    <w:rsid w:val="003E191C"/>
    <w:rsid w:val="003E1ABD"/>
    <w:rsid w:val="003E1DC3"/>
    <w:rsid w:val="003E3374"/>
    <w:rsid w:val="003E34BA"/>
    <w:rsid w:val="003E352A"/>
    <w:rsid w:val="003E3769"/>
    <w:rsid w:val="003E3848"/>
    <w:rsid w:val="003E3A8A"/>
    <w:rsid w:val="003E4110"/>
    <w:rsid w:val="003E4BC7"/>
    <w:rsid w:val="003E5024"/>
    <w:rsid w:val="003E585B"/>
    <w:rsid w:val="003E59D4"/>
    <w:rsid w:val="003E5C87"/>
    <w:rsid w:val="003E5D19"/>
    <w:rsid w:val="003E61A1"/>
    <w:rsid w:val="003E61DF"/>
    <w:rsid w:val="003E63D2"/>
    <w:rsid w:val="003E668A"/>
    <w:rsid w:val="003E6AF4"/>
    <w:rsid w:val="003E6B90"/>
    <w:rsid w:val="003E75C2"/>
    <w:rsid w:val="003E7764"/>
    <w:rsid w:val="003F01E2"/>
    <w:rsid w:val="003F02C8"/>
    <w:rsid w:val="003F113C"/>
    <w:rsid w:val="003F165C"/>
    <w:rsid w:val="003F1A3D"/>
    <w:rsid w:val="003F1CC9"/>
    <w:rsid w:val="003F1ECC"/>
    <w:rsid w:val="003F1F10"/>
    <w:rsid w:val="003F2074"/>
    <w:rsid w:val="003F20A5"/>
    <w:rsid w:val="003F316C"/>
    <w:rsid w:val="003F340B"/>
    <w:rsid w:val="003F356E"/>
    <w:rsid w:val="003F3737"/>
    <w:rsid w:val="003F3A86"/>
    <w:rsid w:val="003F3C2B"/>
    <w:rsid w:val="003F4013"/>
    <w:rsid w:val="003F43D8"/>
    <w:rsid w:val="003F576C"/>
    <w:rsid w:val="003F5AA1"/>
    <w:rsid w:val="003F5E8A"/>
    <w:rsid w:val="003F621E"/>
    <w:rsid w:val="003F6629"/>
    <w:rsid w:val="003F72DA"/>
    <w:rsid w:val="003F766E"/>
    <w:rsid w:val="003F7A82"/>
    <w:rsid w:val="00400342"/>
    <w:rsid w:val="00400452"/>
    <w:rsid w:val="00401A25"/>
    <w:rsid w:val="00402BC2"/>
    <w:rsid w:val="0040480D"/>
    <w:rsid w:val="0040582F"/>
    <w:rsid w:val="00406016"/>
    <w:rsid w:val="00406230"/>
    <w:rsid w:val="0040659A"/>
    <w:rsid w:val="0040669A"/>
    <w:rsid w:val="00406E52"/>
    <w:rsid w:val="0040704E"/>
    <w:rsid w:val="00407599"/>
    <w:rsid w:val="00407743"/>
    <w:rsid w:val="00407A15"/>
    <w:rsid w:val="00410AE3"/>
    <w:rsid w:val="004110B7"/>
    <w:rsid w:val="00412F74"/>
    <w:rsid w:val="0041339A"/>
    <w:rsid w:val="004133B4"/>
    <w:rsid w:val="004133E6"/>
    <w:rsid w:val="00413A71"/>
    <w:rsid w:val="00413E08"/>
    <w:rsid w:val="004148AE"/>
    <w:rsid w:val="00414DCC"/>
    <w:rsid w:val="00415FE2"/>
    <w:rsid w:val="004164D4"/>
    <w:rsid w:val="00416643"/>
    <w:rsid w:val="00416C9D"/>
    <w:rsid w:val="00416E7C"/>
    <w:rsid w:val="00416E7D"/>
    <w:rsid w:val="00417C11"/>
    <w:rsid w:val="00420C86"/>
    <w:rsid w:val="00420EBF"/>
    <w:rsid w:val="004217C1"/>
    <w:rsid w:val="00423871"/>
    <w:rsid w:val="00424047"/>
    <w:rsid w:val="00424486"/>
    <w:rsid w:val="004251F7"/>
    <w:rsid w:val="004257F2"/>
    <w:rsid w:val="004258AC"/>
    <w:rsid w:val="00425F40"/>
    <w:rsid w:val="00426145"/>
    <w:rsid w:val="00426351"/>
    <w:rsid w:val="00426940"/>
    <w:rsid w:val="00426B96"/>
    <w:rsid w:val="00426CC1"/>
    <w:rsid w:val="004276AA"/>
    <w:rsid w:val="00430236"/>
    <w:rsid w:val="0043119B"/>
    <w:rsid w:val="004318B5"/>
    <w:rsid w:val="00432294"/>
    <w:rsid w:val="0043277C"/>
    <w:rsid w:val="004327D6"/>
    <w:rsid w:val="00432B9E"/>
    <w:rsid w:val="00432BF8"/>
    <w:rsid w:val="00433027"/>
    <w:rsid w:val="00433B67"/>
    <w:rsid w:val="0043473A"/>
    <w:rsid w:val="0043494B"/>
    <w:rsid w:val="004349E0"/>
    <w:rsid w:val="00435B86"/>
    <w:rsid w:val="004362D7"/>
    <w:rsid w:val="00436396"/>
    <w:rsid w:val="0043641F"/>
    <w:rsid w:val="00436933"/>
    <w:rsid w:val="00436C57"/>
    <w:rsid w:val="00436D19"/>
    <w:rsid w:val="004370F4"/>
    <w:rsid w:val="0044051B"/>
    <w:rsid w:val="00440E16"/>
    <w:rsid w:val="004413BD"/>
    <w:rsid w:val="00441716"/>
    <w:rsid w:val="004417B6"/>
    <w:rsid w:val="00443023"/>
    <w:rsid w:val="00443515"/>
    <w:rsid w:val="00443CFD"/>
    <w:rsid w:val="00443F35"/>
    <w:rsid w:val="004441C4"/>
    <w:rsid w:val="004448FC"/>
    <w:rsid w:val="00444E34"/>
    <w:rsid w:val="00444F7D"/>
    <w:rsid w:val="00445C7D"/>
    <w:rsid w:val="004465F9"/>
    <w:rsid w:val="00446752"/>
    <w:rsid w:val="00446CD0"/>
    <w:rsid w:val="00447127"/>
    <w:rsid w:val="00447429"/>
    <w:rsid w:val="0044750C"/>
    <w:rsid w:val="00447A9B"/>
    <w:rsid w:val="00447CB6"/>
    <w:rsid w:val="00447D57"/>
    <w:rsid w:val="0045012E"/>
    <w:rsid w:val="004501B6"/>
    <w:rsid w:val="00450B5C"/>
    <w:rsid w:val="00452303"/>
    <w:rsid w:val="00452BCC"/>
    <w:rsid w:val="00452EE9"/>
    <w:rsid w:val="00453930"/>
    <w:rsid w:val="0045423F"/>
    <w:rsid w:val="00454F97"/>
    <w:rsid w:val="00454FC6"/>
    <w:rsid w:val="00455060"/>
    <w:rsid w:val="00455353"/>
    <w:rsid w:val="00455358"/>
    <w:rsid w:val="00455455"/>
    <w:rsid w:val="00455D16"/>
    <w:rsid w:val="00456A74"/>
    <w:rsid w:val="00456F9D"/>
    <w:rsid w:val="00457AC1"/>
    <w:rsid w:val="00457BDE"/>
    <w:rsid w:val="0046009B"/>
    <w:rsid w:val="00460338"/>
    <w:rsid w:val="00460A29"/>
    <w:rsid w:val="00460AF3"/>
    <w:rsid w:val="00460C65"/>
    <w:rsid w:val="00460F09"/>
    <w:rsid w:val="00461C49"/>
    <w:rsid w:val="0046283D"/>
    <w:rsid w:val="00462B4D"/>
    <w:rsid w:val="00464072"/>
    <w:rsid w:val="004644F0"/>
    <w:rsid w:val="00464603"/>
    <w:rsid w:val="004646C8"/>
    <w:rsid w:val="00466144"/>
    <w:rsid w:val="004662DE"/>
    <w:rsid w:val="00466CD1"/>
    <w:rsid w:val="00466D48"/>
    <w:rsid w:val="00467DD5"/>
    <w:rsid w:val="00467F59"/>
    <w:rsid w:val="00470579"/>
    <w:rsid w:val="004710B8"/>
    <w:rsid w:val="004711B6"/>
    <w:rsid w:val="0047189A"/>
    <w:rsid w:val="00471E03"/>
    <w:rsid w:val="00472600"/>
    <w:rsid w:val="00472BC5"/>
    <w:rsid w:val="00473995"/>
    <w:rsid w:val="00473EF6"/>
    <w:rsid w:val="0047440F"/>
    <w:rsid w:val="00475382"/>
    <w:rsid w:val="0047565E"/>
    <w:rsid w:val="004759F8"/>
    <w:rsid w:val="00475B1F"/>
    <w:rsid w:val="00475B9D"/>
    <w:rsid w:val="00475CB5"/>
    <w:rsid w:val="00475D41"/>
    <w:rsid w:val="00476204"/>
    <w:rsid w:val="00476436"/>
    <w:rsid w:val="0048065B"/>
    <w:rsid w:val="0048096E"/>
    <w:rsid w:val="00480DB0"/>
    <w:rsid w:val="00481E58"/>
    <w:rsid w:val="0048274D"/>
    <w:rsid w:val="0048368E"/>
    <w:rsid w:val="00483900"/>
    <w:rsid w:val="00483935"/>
    <w:rsid w:val="00483A1F"/>
    <w:rsid w:val="00484066"/>
    <w:rsid w:val="0048449F"/>
    <w:rsid w:val="004848CA"/>
    <w:rsid w:val="00485000"/>
    <w:rsid w:val="004853B7"/>
    <w:rsid w:val="0048683D"/>
    <w:rsid w:val="00486F73"/>
    <w:rsid w:val="00487C6D"/>
    <w:rsid w:val="00487EED"/>
    <w:rsid w:val="00487F50"/>
    <w:rsid w:val="00490408"/>
    <w:rsid w:val="00491747"/>
    <w:rsid w:val="00491AAC"/>
    <w:rsid w:val="004929A9"/>
    <w:rsid w:val="004938E6"/>
    <w:rsid w:val="00494268"/>
    <w:rsid w:val="004942A1"/>
    <w:rsid w:val="00494DE6"/>
    <w:rsid w:val="00495074"/>
    <w:rsid w:val="004951D3"/>
    <w:rsid w:val="00495B81"/>
    <w:rsid w:val="0049656C"/>
    <w:rsid w:val="0049695B"/>
    <w:rsid w:val="0049696C"/>
    <w:rsid w:val="004971E6"/>
    <w:rsid w:val="0049740A"/>
    <w:rsid w:val="00497B46"/>
    <w:rsid w:val="004A0219"/>
    <w:rsid w:val="004A1009"/>
    <w:rsid w:val="004A32FD"/>
    <w:rsid w:val="004A41F8"/>
    <w:rsid w:val="004A480D"/>
    <w:rsid w:val="004A4954"/>
    <w:rsid w:val="004A4FDD"/>
    <w:rsid w:val="004A6101"/>
    <w:rsid w:val="004A6503"/>
    <w:rsid w:val="004A65A9"/>
    <w:rsid w:val="004A6906"/>
    <w:rsid w:val="004A6C19"/>
    <w:rsid w:val="004A6F77"/>
    <w:rsid w:val="004A783F"/>
    <w:rsid w:val="004B00BC"/>
    <w:rsid w:val="004B03AB"/>
    <w:rsid w:val="004B03AC"/>
    <w:rsid w:val="004B07A5"/>
    <w:rsid w:val="004B0CC7"/>
    <w:rsid w:val="004B0E81"/>
    <w:rsid w:val="004B1109"/>
    <w:rsid w:val="004B1340"/>
    <w:rsid w:val="004B180F"/>
    <w:rsid w:val="004B1BBE"/>
    <w:rsid w:val="004B2211"/>
    <w:rsid w:val="004B2784"/>
    <w:rsid w:val="004B2E83"/>
    <w:rsid w:val="004B3004"/>
    <w:rsid w:val="004B35D6"/>
    <w:rsid w:val="004B46AA"/>
    <w:rsid w:val="004B49E9"/>
    <w:rsid w:val="004B5318"/>
    <w:rsid w:val="004B5D5E"/>
    <w:rsid w:val="004B6606"/>
    <w:rsid w:val="004B69AD"/>
    <w:rsid w:val="004B6D9B"/>
    <w:rsid w:val="004B6DDD"/>
    <w:rsid w:val="004B71D6"/>
    <w:rsid w:val="004B74AE"/>
    <w:rsid w:val="004B7BBF"/>
    <w:rsid w:val="004B7D47"/>
    <w:rsid w:val="004C0106"/>
    <w:rsid w:val="004C045C"/>
    <w:rsid w:val="004C0911"/>
    <w:rsid w:val="004C0C48"/>
    <w:rsid w:val="004C167F"/>
    <w:rsid w:val="004C1DCF"/>
    <w:rsid w:val="004C1F6A"/>
    <w:rsid w:val="004C203B"/>
    <w:rsid w:val="004C26A4"/>
    <w:rsid w:val="004C2A27"/>
    <w:rsid w:val="004C2A48"/>
    <w:rsid w:val="004C2C4D"/>
    <w:rsid w:val="004C2DB1"/>
    <w:rsid w:val="004C2EB5"/>
    <w:rsid w:val="004C37C7"/>
    <w:rsid w:val="004C396E"/>
    <w:rsid w:val="004C3BB2"/>
    <w:rsid w:val="004C3C20"/>
    <w:rsid w:val="004C3D47"/>
    <w:rsid w:val="004C526A"/>
    <w:rsid w:val="004C5EE9"/>
    <w:rsid w:val="004C6E0A"/>
    <w:rsid w:val="004C6F10"/>
    <w:rsid w:val="004C758A"/>
    <w:rsid w:val="004D0071"/>
    <w:rsid w:val="004D13C3"/>
    <w:rsid w:val="004D15C0"/>
    <w:rsid w:val="004D15EC"/>
    <w:rsid w:val="004D1703"/>
    <w:rsid w:val="004D17A5"/>
    <w:rsid w:val="004D17D7"/>
    <w:rsid w:val="004D19C9"/>
    <w:rsid w:val="004D1D98"/>
    <w:rsid w:val="004D1FC7"/>
    <w:rsid w:val="004D2B37"/>
    <w:rsid w:val="004D2DB6"/>
    <w:rsid w:val="004D2EC2"/>
    <w:rsid w:val="004D306D"/>
    <w:rsid w:val="004D32FA"/>
    <w:rsid w:val="004D3736"/>
    <w:rsid w:val="004D3F8A"/>
    <w:rsid w:val="004D49F2"/>
    <w:rsid w:val="004D4DD4"/>
    <w:rsid w:val="004D4E3A"/>
    <w:rsid w:val="004D54D2"/>
    <w:rsid w:val="004D5EDC"/>
    <w:rsid w:val="004D5F09"/>
    <w:rsid w:val="004D6274"/>
    <w:rsid w:val="004D6976"/>
    <w:rsid w:val="004D6FDA"/>
    <w:rsid w:val="004E050E"/>
    <w:rsid w:val="004E124D"/>
    <w:rsid w:val="004E1599"/>
    <w:rsid w:val="004E2F1E"/>
    <w:rsid w:val="004E38C1"/>
    <w:rsid w:val="004E3C9A"/>
    <w:rsid w:val="004E4ABC"/>
    <w:rsid w:val="004E4BC4"/>
    <w:rsid w:val="004E72DA"/>
    <w:rsid w:val="004E7725"/>
    <w:rsid w:val="004E7872"/>
    <w:rsid w:val="004E7F3C"/>
    <w:rsid w:val="004F0401"/>
    <w:rsid w:val="004F05A1"/>
    <w:rsid w:val="004F0841"/>
    <w:rsid w:val="004F0D5A"/>
    <w:rsid w:val="004F0FF1"/>
    <w:rsid w:val="004F112B"/>
    <w:rsid w:val="004F1A93"/>
    <w:rsid w:val="004F20BD"/>
    <w:rsid w:val="004F2108"/>
    <w:rsid w:val="004F21BB"/>
    <w:rsid w:val="004F2786"/>
    <w:rsid w:val="004F2B63"/>
    <w:rsid w:val="004F2F9C"/>
    <w:rsid w:val="004F3AE4"/>
    <w:rsid w:val="004F3D78"/>
    <w:rsid w:val="004F4EE7"/>
    <w:rsid w:val="004F4F7D"/>
    <w:rsid w:val="004F53C5"/>
    <w:rsid w:val="004F5C2A"/>
    <w:rsid w:val="004F67B5"/>
    <w:rsid w:val="004F69EB"/>
    <w:rsid w:val="004F6A3F"/>
    <w:rsid w:val="004F6D17"/>
    <w:rsid w:val="004F71FE"/>
    <w:rsid w:val="004F7E94"/>
    <w:rsid w:val="00500704"/>
    <w:rsid w:val="0050098F"/>
    <w:rsid w:val="00500E8A"/>
    <w:rsid w:val="00500EF4"/>
    <w:rsid w:val="00501248"/>
    <w:rsid w:val="00501EAB"/>
    <w:rsid w:val="0050209D"/>
    <w:rsid w:val="005025E3"/>
    <w:rsid w:val="0050293B"/>
    <w:rsid w:val="00502A07"/>
    <w:rsid w:val="00502D04"/>
    <w:rsid w:val="005035A3"/>
    <w:rsid w:val="00503A9E"/>
    <w:rsid w:val="00504AA5"/>
    <w:rsid w:val="00505652"/>
    <w:rsid w:val="005061F9"/>
    <w:rsid w:val="00506961"/>
    <w:rsid w:val="00507E45"/>
    <w:rsid w:val="0051014F"/>
    <w:rsid w:val="005102E2"/>
    <w:rsid w:val="00510623"/>
    <w:rsid w:val="005109C7"/>
    <w:rsid w:val="00510FD4"/>
    <w:rsid w:val="0051251F"/>
    <w:rsid w:val="00512BDA"/>
    <w:rsid w:val="005137CD"/>
    <w:rsid w:val="005143DA"/>
    <w:rsid w:val="00514B15"/>
    <w:rsid w:val="00514D43"/>
    <w:rsid w:val="00515024"/>
    <w:rsid w:val="005157C0"/>
    <w:rsid w:val="0051596A"/>
    <w:rsid w:val="00515AB6"/>
    <w:rsid w:val="00516076"/>
    <w:rsid w:val="005162B1"/>
    <w:rsid w:val="00516AF9"/>
    <w:rsid w:val="00516B69"/>
    <w:rsid w:val="00516BBA"/>
    <w:rsid w:val="00517108"/>
    <w:rsid w:val="00517380"/>
    <w:rsid w:val="005178E1"/>
    <w:rsid w:val="00517C43"/>
    <w:rsid w:val="00517C74"/>
    <w:rsid w:val="00520F83"/>
    <w:rsid w:val="0052143E"/>
    <w:rsid w:val="00521C8D"/>
    <w:rsid w:val="00521F31"/>
    <w:rsid w:val="0052279F"/>
    <w:rsid w:val="00522B58"/>
    <w:rsid w:val="00523318"/>
    <w:rsid w:val="00523422"/>
    <w:rsid w:val="0052373E"/>
    <w:rsid w:val="0052435C"/>
    <w:rsid w:val="00525790"/>
    <w:rsid w:val="00526970"/>
    <w:rsid w:val="00526BEF"/>
    <w:rsid w:val="00526C29"/>
    <w:rsid w:val="005270AC"/>
    <w:rsid w:val="00527C35"/>
    <w:rsid w:val="00530821"/>
    <w:rsid w:val="0053135A"/>
    <w:rsid w:val="00531B17"/>
    <w:rsid w:val="00531CF1"/>
    <w:rsid w:val="00532554"/>
    <w:rsid w:val="00532592"/>
    <w:rsid w:val="00532D34"/>
    <w:rsid w:val="00533013"/>
    <w:rsid w:val="0053475C"/>
    <w:rsid w:val="00535157"/>
    <w:rsid w:val="00535BF5"/>
    <w:rsid w:val="00536B85"/>
    <w:rsid w:val="00536F05"/>
    <w:rsid w:val="0054024F"/>
    <w:rsid w:val="0054093E"/>
    <w:rsid w:val="00540C01"/>
    <w:rsid w:val="0054103E"/>
    <w:rsid w:val="00541BCB"/>
    <w:rsid w:val="00541C94"/>
    <w:rsid w:val="0054213F"/>
    <w:rsid w:val="00542368"/>
    <w:rsid w:val="005426E3"/>
    <w:rsid w:val="00542863"/>
    <w:rsid w:val="00542AB1"/>
    <w:rsid w:val="00542B79"/>
    <w:rsid w:val="00543AE8"/>
    <w:rsid w:val="00543B74"/>
    <w:rsid w:val="00543E49"/>
    <w:rsid w:val="00544574"/>
    <w:rsid w:val="0054461C"/>
    <w:rsid w:val="00544D2D"/>
    <w:rsid w:val="00545507"/>
    <w:rsid w:val="00546521"/>
    <w:rsid w:val="00546CA7"/>
    <w:rsid w:val="00546D91"/>
    <w:rsid w:val="00546DC6"/>
    <w:rsid w:val="00547461"/>
    <w:rsid w:val="00547709"/>
    <w:rsid w:val="0055012F"/>
    <w:rsid w:val="0055018C"/>
    <w:rsid w:val="0055057F"/>
    <w:rsid w:val="00550D73"/>
    <w:rsid w:val="005514C2"/>
    <w:rsid w:val="0055164C"/>
    <w:rsid w:val="005522A7"/>
    <w:rsid w:val="005529E5"/>
    <w:rsid w:val="00553967"/>
    <w:rsid w:val="0055407C"/>
    <w:rsid w:val="0055479B"/>
    <w:rsid w:val="0055483F"/>
    <w:rsid w:val="00554BB6"/>
    <w:rsid w:val="0055510C"/>
    <w:rsid w:val="0055583A"/>
    <w:rsid w:val="00555B0A"/>
    <w:rsid w:val="00555DF5"/>
    <w:rsid w:val="00556727"/>
    <w:rsid w:val="005568DD"/>
    <w:rsid w:val="00556B0B"/>
    <w:rsid w:val="00556D48"/>
    <w:rsid w:val="00556D7B"/>
    <w:rsid w:val="00557324"/>
    <w:rsid w:val="0055755B"/>
    <w:rsid w:val="00557881"/>
    <w:rsid w:val="00557CF6"/>
    <w:rsid w:val="00557DA9"/>
    <w:rsid w:val="00560053"/>
    <w:rsid w:val="00560135"/>
    <w:rsid w:val="005601F6"/>
    <w:rsid w:val="005604D8"/>
    <w:rsid w:val="005613A4"/>
    <w:rsid w:val="00561995"/>
    <w:rsid w:val="00562051"/>
    <w:rsid w:val="0056238E"/>
    <w:rsid w:val="00562609"/>
    <w:rsid w:val="00562A0A"/>
    <w:rsid w:val="00562EFB"/>
    <w:rsid w:val="0056326D"/>
    <w:rsid w:val="005633B0"/>
    <w:rsid w:val="00563ADB"/>
    <w:rsid w:val="00563D7A"/>
    <w:rsid w:val="0056442F"/>
    <w:rsid w:val="00564FCA"/>
    <w:rsid w:val="0056544D"/>
    <w:rsid w:val="005657E5"/>
    <w:rsid w:val="00565C95"/>
    <w:rsid w:val="00566C46"/>
    <w:rsid w:val="00566EED"/>
    <w:rsid w:val="0056753F"/>
    <w:rsid w:val="005677B6"/>
    <w:rsid w:val="00567A20"/>
    <w:rsid w:val="00570174"/>
    <w:rsid w:val="0057074A"/>
    <w:rsid w:val="005710B1"/>
    <w:rsid w:val="00572494"/>
    <w:rsid w:val="00572D87"/>
    <w:rsid w:val="0057307D"/>
    <w:rsid w:val="00573620"/>
    <w:rsid w:val="00573690"/>
    <w:rsid w:val="00573917"/>
    <w:rsid w:val="00574FD2"/>
    <w:rsid w:val="00574FEC"/>
    <w:rsid w:val="005760DD"/>
    <w:rsid w:val="00576AB8"/>
    <w:rsid w:val="0057719F"/>
    <w:rsid w:val="0057762B"/>
    <w:rsid w:val="005807B0"/>
    <w:rsid w:val="0058082F"/>
    <w:rsid w:val="00581C92"/>
    <w:rsid w:val="00581FD9"/>
    <w:rsid w:val="0058298C"/>
    <w:rsid w:val="00582BE8"/>
    <w:rsid w:val="00582CBD"/>
    <w:rsid w:val="005831A7"/>
    <w:rsid w:val="0058326B"/>
    <w:rsid w:val="005836DC"/>
    <w:rsid w:val="00584807"/>
    <w:rsid w:val="005851AD"/>
    <w:rsid w:val="005862BA"/>
    <w:rsid w:val="00586A10"/>
    <w:rsid w:val="005904CD"/>
    <w:rsid w:val="00590977"/>
    <w:rsid w:val="00590C15"/>
    <w:rsid w:val="0059134B"/>
    <w:rsid w:val="00591658"/>
    <w:rsid w:val="005917F0"/>
    <w:rsid w:val="00592625"/>
    <w:rsid w:val="00592B6D"/>
    <w:rsid w:val="005943A9"/>
    <w:rsid w:val="00594E76"/>
    <w:rsid w:val="0059538B"/>
    <w:rsid w:val="00595462"/>
    <w:rsid w:val="005969B2"/>
    <w:rsid w:val="00596C4B"/>
    <w:rsid w:val="00596F36"/>
    <w:rsid w:val="00597B6F"/>
    <w:rsid w:val="005A0512"/>
    <w:rsid w:val="005A0D6A"/>
    <w:rsid w:val="005A13C5"/>
    <w:rsid w:val="005A163C"/>
    <w:rsid w:val="005A1FF7"/>
    <w:rsid w:val="005A22AC"/>
    <w:rsid w:val="005A2340"/>
    <w:rsid w:val="005A253D"/>
    <w:rsid w:val="005A264E"/>
    <w:rsid w:val="005A265C"/>
    <w:rsid w:val="005A274E"/>
    <w:rsid w:val="005A31B7"/>
    <w:rsid w:val="005A3224"/>
    <w:rsid w:val="005A3D59"/>
    <w:rsid w:val="005A42F5"/>
    <w:rsid w:val="005A432F"/>
    <w:rsid w:val="005A4AFB"/>
    <w:rsid w:val="005A5150"/>
    <w:rsid w:val="005A542F"/>
    <w:rsid w:val="005A5C5E"/>
    <w:rsid w:val="005A6B4E"/>
    <w:rsid w:val="005A6DB4"/>
    <w:rsid w:val="005A7127"/>
    <w:rsid w:val="005A715F"/>
    <w:rsid w:val="005A7404"/>
    <w:rsid w:val="005A7A5E"/>
    <w:rsid w:val="005A7BD9"/>
    <w:rsid w:val="005B0660"/>
    <w:rsid w:val="005B089F"/>
    <w:rsid w:val="005B09AA"/>
    <w:rsid w:val="005B0FCD"/>
    <w:rsid w:val="005B11D3"/>
    <w:rsid w:val="005B1440"/>
    <w:rsid w:val="005B1C52"/>
    <w:rsid w:val="005B1D15"/>
    <w:rsid w:val="005B29FA"/>
    <w:rsid w:val="005B3047"/>
    <w:rsid w:val="005B35F8"/>
    <w:rsid w:val="005B3C67"/>
    <w:rsid w:val="005B45F2"/>
    <w:rsid w:val="005B4A56"/>
    <w:rsid w:val="005B4C92"/>
    <w:rsid w:val="005B4CBD"/>
    <w:rsid w:val="005B52C6"/>
    <w:rsid w:val="005B6173"/>
    <w:rsid w:val="005B6ED6"/>
    <w:rsid w:val="005B7180"/>
    <w:rsid w:val="005B7768"/>
    <w:rsid w:val="005B77AB"/>
    <w:rsid w:val="005B796B"/>
    <w:rsid w:val="005B7EF5"/>
    <w:rsid w:val="005C0D1E"/>
    <w:rsid w:val="005C0D8A"/>
    <w:rsid w:val="005C1094"/>
    <w:rsid w:val="005C27A4"/>
    <w:rsid w:val="005C2B82"/>
    <w:rsid w:val="005C2C44"/>
    <w:rsid w:val="005C31B0"/>
    <w:rsid w:val="005C4F8E"/>
    <w:rsid w:val="005C536F"/>
    <w:rsid w:val="005C5475"/>
    <w:rsid w:val="005C58D0"/>
    <w:rsid w:val="005C5960"/>
    <w:rsid w:val="005C6916"/>
    <w:rsid w:val="005C6DD0"/>
    <w:rsid w:val="005C75F3"/>
    <w:rsid w:val="005C7932"/>
    <w:rsid w:val="005C7A98"/>
    <w:rsid w:val="005C7CED"/>
    <w:rsid w:val="005C7FF8"/>
    <w:rsid w:val="005D0022"/>
    <w:rsid w:val="005D02B0"/>
    <w:rsid w:val="005D0519"/>
    <w:rsid w:val="005D083E"/>
    <w:rsid w:val="005D084C"/>
    <w:rsid w:val="005D22DC"/>
    <w:rsid w:val="005D30F2"/>
    <w:rsid w:val="005D3C67"/>
    <w:rsid w:val="005D3DAD"/>
    <w:rsid w:val="005D476B"/>
    <w:rsid w:val="005D4A8A"/>
    <w:rsid w:val="005D4B35"/>
    <w:rsid w:val="005D532A"/>
    <w:rsid w:val="005D5A17"/>
    <w:rsid w:val="005D74DC"/>
    <w:rsid w:val="005D7649"/>
    <w:rsid w:val="005D79A1"/>
    <w:rsid w:val="005D7E95"/>
    <w:rsid w:val="005E01C9"/>
    <w:rsid w:val="005E0425"/>
    <w:rsid w:val="005E0C4F"/>
    <w:rsid w:val="005E116B"/>
    <w:rsid w:val="005E1AB4"/>
    <w:rsid w:val="005E1C9A"/>
    <w:rsid w:val="005E3C55"/>
    <w:rsid w:val="005E42FC"/>
    <w:rsid w:val="005E4E2B"/>
    <w:rsid w:val="005E57A9"/>
    <w:rsid w:val="005E6445"/>
    <w:rsid w:val="005E6C26"/>
    <w:rsid w:val="005E6C80"/>
    <w:rsid w:val="005E7204"/>
    <w:rsid w:val="005E7C50"/>
    <w:rsid w:val="005F004F"/>
    <w:rsid w:val="005F0558"/>
    <w:rsid w:val="005F059A"/>
    <w:rsid w:val="005F100C"/>
    <w:rsid w:val="005F1181"/>
    <w:rsid w:val="005F2CC3"/>
    <w:rsid w:val="005F2E08"/>
    <w:rsid w:val="005F2FF0"/>
    <w:rsid w:val="005F3085"/>
    <w:rsid w:val="005F3149"/>
    <w:rsid w:val="005F3297"/>
    <w:rsid w:val="005F3390"/>
    <w:rsid w:val="005F3DB6"/>
    <w:rsid w:val="005F46B0"/>
    <w:rsid w:val="005F4B7B"/>
    <w:rsid w:val="005F5653"/>
    <w:rsid w:val="005F5C90"/>
    <w:rsid w:val="005F6185"/>
    <w:rsid w:val="005F66EC"/>
    <w:rsid w:val="005F687B"/>
    <w:rsid w:val="005F690D"/>
    <w:rsid w:val="005F6EA2"/>
    <w:rsid w:val="005F7DA6"/>
    <w:rsid w:val="00600BA0"/>
    <w:rsid w:val="00600D89"/>
    <w:rsid w:val="00601744"/>
    <w:rsid w:val="00601CC6"/>
    <w:rsid w:val="00601E19"/>
    <w:rsid w:val="00602022"/>
    <w:rsid w:val="006023C8"/>
    <w:rsid w:val="00602CF1"/>
    <w:rsid w:val="00603A1D"/>
    <w:rsid w:val="00603ADE"/>
    <w:rsid w:val="00603FE0"/>
    <w:rsid w:val="006047F5"/>
    <w:rsid w:val="006048F6"/>
    <w:rsid w:val="00604ED4"/>
    <w:rsid w:val="00605454"/>
    <w:rsid w:val="00605BCC"/>
    <w:rsid w:val="00606BB9"/>
    <w:rsid w:val="00606C73"/>
    <w:rsid w:val="0060773F"/>
    <w:rsid w:val="00607AFB"/>
    <w:rsid w:val="00610A29"/>
    <w:rsid w:val="00611374"/>
    <w:rsid w:val="00611540"/>
    <w:rsid w:val="0061256B"/>
    <w:rsid w:val="00612C3A"/>
    <w:rsid w:val="00613B2C"/>
    <w:rsid w:val="00613DCD"/>
    <w:rsid w:val="00613E50"/>
    <w:rsid w:val="00614900"/>
    <w:rsid w:val="006149DB"/>
    <w:rsid w:val="00614BAC"/>
    <w:rsid w:val="00614F22"/>
    <w:rsid w:val="00615D15"/>
    <w:rsid w:val="006161DA"/>
    <w:rsid w:val="006168AF"/>
    <w:rsid w:val="00620D56"/>
    <w:rsid w:val="0062139B"/>
    <w:rsid w:val="00621CAF"/>
    <w:rsid w:val="00621EF3"/>
    <w:rsid w:val="006234B5"/>
    <w:rsid w:val="00623914"/>
    <w:rsid w:val="006239C2"/>
    <w:rsid w:val="006245A4"/>
    <w:rsid w:val="006246DB"/>
    <w:rsid w:val="0062473D"/>
    <w:rsid w:val="00624979"/>
    <w:rsid w:val="00624F06"/>
    <w:rsid w:val="006250B2"/>
    <w:rsid w:val="006253A0"/>
    <w:rsid w:val="0062594B"/>
    <w:rsid w:val="00625C3C"/>
    <w:rsid w:val="00625E5B"/>
    <w:rsid w:val="00625EE4"/>
    <w:rsid w:val="0062677C"/>
    <w:rsid w:val="00626F5A"/>
    <w:rsid w:val="00627393"/>
    <w:rsid w:val="00627558"/>
    <w:rsid w:val="00627DE7"/>
    <w:rsid w:val="0063034E"/>
    <w:rsid w:val="006306E5"/>
    <w:rsid w:val="00630A32"/>
    <w:rsid w:val="00632087"/>
    <w:rsid w:val="00632125"/>
    <w:rsid w:val="0063293D"/>
    <w:rsid w:val="00633360"/>
    <w:rsid w:val="00633407"/>
    <w:rsid w:val="006335A4"/>
    <w:rsid w:val="00633B2C"/>
    <w:rsid w:val="0063416D"/>
    <w:rsid w:val="00634463"/>
    <w:rsid w:val="00634A3C"/>
    <w:rsid w:val="0063582D"/>
    <w:rsid w:val="006359FB"/>
    <w:rsid w:val="00636599"/>
    <w:rsid w:val="00636961"/>
    <w:rsid w:val="00636E59"/>
    <w:rsid w:val="00637627"/>
    <w:rsid w:val="00637693"/>
    <w:rsid w:val="00637A0D"/>
    <w:rsid w:val="0064024F"/>
    <w:rsid w:val="006403C9"/>
    <w:rsid w:val="00640AE5"/>
    <w:rsid w:val="00641011"/>
    <w:rsid w:val="00641594"/>
    <w:rsid w:val="00641932"/>
    <w:rsid w:val="00642BD3"/>
    <w:rsid w:val="006436ED"/>
    <w:rsid w:val="00643C26"/>
    <w:rsid w:val="00643E7D"/>
    <w:rsid w:val="00643EB4"/>
    <w:rsid w:val="00644295"/>
    <w:rsid w:val="00644A0E"/>
    <w:rsid w:val="006456B9"/>
    <w:rsid w:val="006457CC"/>
    <w:rsid w:val="00646D0B"/>
    <w:rsid w:val="00647500"/>
    <w:rsid w:val="006479A7"/>
    <w:rsid w:val="00650439"/>
    <w:rsid w:val="00650766"/>
    <w:rsid w:val="00650A58"/>
    <w:rsid w:val="00651969"/>
    <w:rsid w:val="00651A1C"/>
    <w:rsid w:val="00651B18"/>
    <w:rsid w:val="006523D1"/>
    <w:rsid w:val="00652852"/>
    <w:rsid w:val="006531CC"/>
    <w:rsid w:val="00653FCB"/>
    <w:rsid w:val="006543F7"/>
    <w:rsid w:val="00654532"/>
    <w:rsid w:val="006546B8"/>
    <w:rsid w:val="006548B1"/>
    <w:rsid w:val="00654D90"/>
    <w:rsid w:val="0065547E"/>
    <w:rsid w:val="00655974"/>
    <w:rsid w:val="00655987"/>
    <w:rsid w:val="00655D23"/>
    <w:rsid w:val="00655F32"/>
    <w:rsid w:val="00656782"/>
    <w:rsid w:val="0065773D"/>
    <w:rsid w:val="00657D54"/>
    <w:rsid w:val="00657F69"/>
    <w:rsid w:val="00660A55"/>
    <w:rsid w:val="00660A78"/>
    <w:rsid w:val="00660BEC"/>
    <w:rsid w:val="00660CFE"/>
    <w:rsid w:val="0066106F"/>
    <w:rsid w:val="0066142A"/>
    <w:rsid w:val="00661551"/>
    <w:rsid w:val="0066181C"/>
    <w:rsid w:val="006619C6"/>
    <w:rsid w:val="00661E1B"/>
    <w:rsid w:val="00662372"/>
    <w:rsid w:val="0066289A"/>
    <w:rsid w:val="006628A5"/>
    <w:rsid w:val="00662BA4"/>
    <w:rsid w:val="006637A2"/>
    <w:rsid w:val="00663E8D"/>
    <w:rsid w:val="00663EB1"/>
    <w:rsid w:val="00664554"/>
    <w:rsid w:val="006649E9"/>
    <w:rsid w:val="00664BA1"/>
    <w:rsid w:val="00665632"/>
    <w:rsid w:val="00665778"/>
    <w:rsid w:val="006666A0"/>
    <w:rsid w:val="006666DB"/>
    <w:rsid w:val="00666CFD"/>
    <w:rsid w:val="00667023"/>
    <w:rsid w:val="00667999"/>
    <w:rsid w:val="006705B0"/>
    <w:rsid w:val="00670627"/>
    <w:rsid w:val="00670D03"/>
    <w:rsid w:val="00670D1F"/>
    <w:rsid w:val="00670F0C"/>
    <w:rsid w:val="00672387"/>
    <w:rsid w:val="00672A89"/>
    <w:rsid w:val="00672DC3"/>
    <w:rsid w:val="00672ED6"/>
    <w:rsid w:val="00673797"/>
    <w:rsid w:val="00674213"/>
    <w:rsid w:val="0067606B"/>
    <w:rsid w:val="006767EF"/>
    <w:rsid w:val="00676B7F"/>
    <w:rsid w:val="006801EF"/>
    <w:rsid w:val="0068194C"/>
    <w:rsid w:val="00681E06"/>
    <w:rsid w:val="00682097"/>
    <w:rsid w:val="006825DB"/>
    <w:rsid w:val="006828B8"/>
    <w:rsid w:val="00682B2F"/>
    <w:rsid w:val="00682F57"/>
    <w:rsid w:val="006834C7"/>
    <w:rsid w:val="00683561"/>
    <w:rsid w:val="0068401B"/>
    <w:rsid w:val="006842E2"/>
    <w:rsid w:val="00684C3A"/>
    <w:rsid w:val="00684EB3"/>
    <w:rsid w:val="006851E5"/>
    <w:rsid w:val="006852C8"/>
    <w:rsid w:val="00685747"/>
    <w:rsid w:val="00685CC7"/>
    <w:rsid w:val="00685DF7"/>
    <w:rsid w:val="00685E2A"/>
    <w:rsid w:val="006865EC"/>
    <w:rsid w:val="00686685"/>
    <w:rsid w:val="00687398"/>
    <w:rsid w:val="00687A55"/>
    <w:rsid w:val="00690191"/>
    <w:rsid w:val="00690525"/>
    <w:rsid w:val="00690995"/>
    <w:rsid w:val="00690E3A"/>
    <w:rsid w:val="00691312"/>
    <w:rsid w:val="00691416"/>
    <w:rsid w:val="00692EF4"/>
    <w:rsid w:val="00693864"/>
    <w:rsid w:val="00693961"/>
    <w:rsid w:val="006940DD"/>
    <w:rsid w:val="00694249"/>
    <w:rsid w:val="00694C96"/>
    <w:rsid w:val="00695AA7"/>
    <w:rsid w:val="00696A5E"/>
    <w:rsid w:val="00696E0F"/>
    <w:rsid w:val="00697256"/>
    <w:rsid w:val="00697622"/>
    <w:rsid w:val="006978F7"/>
    <w:rsid w:val="00697A47"/>
    <w:rsid w:val="006A006F"/>
    <w:rsid w:val="006A0106"/>
    <w:rsid w:val="006A1345"/>
    <w:rsid w:val="006A1E62"/>
    <w:rsid w:val="006A1F9E"/>
    <w:rsid w:val="006A209F"/>
    <w:rsid w:val="006A2A8C"/>
    <w:rsid w:val="006A30A5"/>
    <w:rsid w:val="006A350E"/>
    <w:rsid w:val="006A3A50"/>
    <w:rsid w:val="006A3F1B"/>
    <w:rsid w:val="006A4433"/>
    <w:rsid w:val="006A48A4"/>
    <w:rsid w:val="006A4D90"/>
    <w:rsid w:val="006A61D6"/>
    <w:rsid w:val="006A680D"/>
    <w:rsid w:val="006A6AD3"/>
    <w:rsid w:val="006A6AFF"/>
    <w:rsid w:val="006A7AB2"/>
    <w:rsid w:val="006A7D3E"/>
    <w:rsid w:val="006A7F26"/>
    <w:rsid w:val="006B07AB"/>
    <w:rsid w:val="006B0FA1"/>
    <w:rsid w:val="006B13ED"/>
    <w:rsid w:val="006B142A"/>
    <w:rsid w:val="006B1BC8"/>
    <w:rsid w:val="006B1C74"/>
    <w:rsid w:val="006B26BF"/>
    <w:rsid w:val="006B2FC2"/>
    <w:rsid w:val="006B309D"/>
    <w:rsid w:val="006B3306"/>
    <w:rsid w:val="006B40D8"/>
    <w:rsid w:val="006B465E"/>
    <w:rsid w:val="006B50DA"/>
    <w:rsid w:val="006B530A"/>
    <w:rsid w:val="006B6DB2"/>
    <w:rsid w:val="006B70B2"/>
    <w:rsid w:val="006B7579"/>
    <w:rsid w:val="006C066C"/>
    <w:rsid w:val="006C144A"/>
    <w:rsid w:val="006C1AAA"/>
    <w:rsid w:val="006C20B1"/>
    <w:rsid w:val="006C267D"/>
    <w:rsid w:val="006C313E"/>
    <w:rsid w:val="006C38D5"/>
    <w:rsid w:val="006C3E32"/>
    <w:rsid w:val="006C412D"/>
    <w:rsid w:val="006C5533"/>
    <w:rsid w:val="006C62F9"/>
    <w:rsid w:val="006C67D8"/>
    <w:rsid w:val="006C6987"/>
    <w:rsid w:val="006C6A62"/>
    <w:rsid w:val="006C7086"/>
    <w:rsid w:val="006C72F3"/>
    <w:rsid w:val="006C7AB1"/>
    <w:rsid w:val="006C7C16"/>
    <w:rsid w:val="006D0043"/>
    <w:rsid w:val="006D011F"/>
    <w:rsid w:val="006D0145"/>
    <w:rsid w:val="006D11AC"/>
    <w:rsid w:val="006D1AD8"/>
    <w:rsid w:val="006D29E7"/>
    <w:rsid w:val="006D2DF9"/>
    <w:rsid w:val="006D3AF2"/>
    <w:rsid w:val="006D4D16"/>
    <w:rsid w:val="006D553D"/>
    <w:rsid w:val="006D59C6"/>
    <w:rsid w:val="006D5DCE"/>
    <w:rsid w:val="006D5E83"/>
    <w:rsid w:val="006D6023"/>
    <w:rsid w:val="006D680D"/>
    <w:rsid w:val="006D6AC3"/>
    <w:rsid w:val="006D7647"/>
    <w:rsid w:val="006D7F06"/>
    <w:rsid w:val="006E151D"/>
    <w:rsid w:val="006E1622"/>
    <w:rsid w:val="006E2271"/>
    <w:rsid w:val="006E2738"/>
    <w:rsid w:val="006E2B5F"/>
    <w:rsid w:val="006E2BDA"/>
    <w:rsid w:val="006E3165"/>
    <w:rsid w:val="006E3702"/>
    <w:rsid w:val="006E4047"/>
    <w:rsid w:val="006E4211"/>
    <w:rsid w:val="006E4318"/>
    <w:rsid w:val="006E5404"/>
    <w:rsid w:val="006E582E"/>
    <w:rsid w:val="006E5965"/>
    <w:rsid w:val="006E6223"/>
    <w:rsid w:val="006E63F8"/>
    <w:rsid w:val="006E6838"/>
    <w:rsid w:val="006E69A2"/>
    <w:rsid w:val="006E6F16"/>
    <w:rsid w:val="006E74F7"/>
    <w:rsid w:val="006F01E3"/>
    <w:rsid w:val="006F0323"/>
    <w:rsid w:val="006F06B8"/>
    <w:rsid w:val="006F0D17"/>
    <w:rsid w:val="006F0F0C"/>
    <w:rsid w:val="006F138D"/>
    <w:rsid w:val="006F2D04"/>
    <w:rsid w:val="006F2E27"/>
    <w:rsid w:val="006F3897"/>
    <w:rsid w:val="006F3C2E"/>
    <w:rsid w:val="006F3E0E"/>
    <w:rsid w:val="006F4107"/>
    <w:rsid w:val="006F433F"/>
    <w:rsid w:val="006F444D"/>
    <w:rsid w:val="006F4969"/>
    <w:rsid w:val="006F5D14"/>
    <w:rsid w:val="006F6B52"/>
    <w:rsid w:val="006F6B70"/>
    <w:rsid w:val="006F71E3"/>
    <w:rsid w:val="006F7644"/>
    <w:rsid w:val="006F7F7E"/>
    <w:rsid w:val="00700320"/>
    <w:rsid w:val="00700AC0"/>
    <w:rsid w:val="00700B5F"/>
    <w:rsid w:val="007019E9"/>
    <w:rsid w:val="007035F0"/>
    <w:rsid w:val="00703DAC"/>
    <w:rsid w:val="00704893"/>
    <w:rsid w:val="00704935"/>
    <w:rsid w:val="00704CA3"/>
    <w:rsid w:val="00705AB8"/>
    <w:rsid w:val="00706BCC"/>
    <w:rsid w:val="007075D8"/>
    <w:rsid w:val="00707969"/>
    <w:rsid w:val="00707B1D"/>
    <w:rsid w:val="00707DC6"/>
    <w:rsid w:val="00710AE0"/>
    <w:rsid w:val="00711D4C"/>
    <w:rsid w:val="00712011"/>
    <w:rsid w:val="00712682"/>
    <w:rsid w:val="00712B9B"/>
    <w:rsid w:val="007130E4"/>
    <w:rsid w:val="00713E60"/>
    <w:rsid w:val="00714153"/>
    <w:rsid w:val="0071497C"/>
    <w:rsid w:val="0071516F"/>
    <w:rsid w:val="00715784"/>
    <w:rsid w:val="00716357"/>
    <w:rsid w:val="00716CE5"/>
    <w:rsid w:val="00716EBA"/>
    <w:rsid w:val="0071705B"/>
    <w:rsid w:val="00717061"/>
    <w:rsid w:val="0071706E"/>
    <w:rsid w:val="007174F7"/>
    <w:rsid w:val="00720E01"/>
    <w:rsid w:val="00720E63"/>
    <w:rsid w:val="00721079"/>
    <w:rsid w:val="00722475"/>
    <w:rsid w:val="00722B95"/>
    <w:rsid w:val="0072453D"/>
    <w:rsid w:val="00724918"/>
    <w:rsid w:val="00724981"/>
    <w:rsid w:val="00724DC7"/>
    <w:rsid w:val="00724ECE"/>
    <w:rsid w:val="00725772"/>
    <w:rsid w:val="00725984"/>
    <w:rsid w:val="00725D4E"/>
    <w:rsid w:val="00726202"/>
    <w:rsid w:val="00726277"/>
    <w:rsid w:val="00726555"/>
    <w:rsid w:val="00727071"/>
    <w:rsid w:val="00727083"/>
    <w:rsid w:val="0072766F"/>
    <w:rsid w:val="0073040A"/>
    <w:rsid w:val="00730932"/>
    <w:rsid w:val="00731208"/>
    <w:rsid w:val="007313A5"/>
    <w:rsid w:val="00731915"/>
    <w:rsid w:val="00731A39"/>
    <w:rsid w:val="00731BE6"/>
    <w:rsid w:val="0073251E"/>
    <w:rsid w:val="00732695"/>
    <w:rsid w:val="0073297D"/>
    <w:rsid w:val="00732CA2"/>
    <w:rsid w:val="00733A29"/>
    <w:rsid w:val="00733C8C"/>
    <w:rsid w:val="00734D75"/>
    <w:rsid w:val="00734D7B"/>
    <w:rsid w:val="00735DC4"/>
    <w:rsid w:val="00735FCF"/>
    <w:rsid w:val="00736B11"/>
    <w:rsid w:val="00737079"/>
    <w:rsid w:val="007372E5"/>
    <w:rsid w:val="00737A91"/>
    <w:rsid w:val="00737E5A"/>
    <w:rsid w:val="00740A7F"/>
    <w:rsid w:val="00740D60"/>
    <w:rsid w:val="00741865"/>
    <w:rsid w:val="00742018"/>
    <w:rsid w:val="00742BD8"/>
    <w:rsid w:val="00742E1A"/>
    <w:rsid w:val="00743DA5"/>
    <w:rsid w:val="00744450"/>
    <w:rsid w:val="00744474"/>
    <w:rsid w:val="00744529"/>
    <w:rsid w:val="00744B81"/>
    <w:rsid w:val="00745136"/>
    <w:rsid w:val="00745973"/>
    <w:rsid w:val="00745FD1"/>
    <w:rsid w:val="007461D3"/>
    <w:rsid w:val="007464A4"/>
    <w:rsid w:val="0074663F"/>
    <w:rsid w:val="0074692B"/>
    <w:rsid w:val="00747F1F"/>
    <w:rsid w:val="007509BF"/>
    <w:rsid w:val="00750E0F"/>
    <w:rsid w:val="007514F0"/>
    <w:rsid w:val="0075159A"/>
    <w:rsid w:val="00754097"/>
    <w:rsid w:val="007540E5"/>
    <w:rsid w:val="00754558"/>
    <w:rsid w:val="00754E62"/>
    <w:rsid w:val="00754E73"/>
    <w:rsid w:val="00755454"/>
    <w:rsid w:val="00755902"/>
    <w:rsid w:val="007561D6"/>
    <w:rsid w:val="007562EB"/>
    <w:rsid w:val="0075681A"/>
    <w:rsid w:val="00756842"/>
    <w:rsid w:val="007569E5"/>
    <w:rsid w:val="00756A13"/>
    <w:rsid w:val="00756FAF"/>
    <w:rsid w:val="00757463"/>
    <w:rsid w:val="00761454"/>
    <w:rsid w:val="00761B90"/>
    <w:rsid w:val="00761D63"/>
    <w:rsid w:val="0076295F"/>
    <w:rsid w:val="00762976"/>
    <w:rsid w:val="00762B60"/>
    <w:rsid w:val="00762D7D"/>
    <w:rsid w:val="00763026"/>
    <w:rsid w:val="0076394D"/>
    <w:rsid w:val="00763DDD"/>
    <w:rsid w:val="007640A1"/>
    <w:rsid w:val="0076478B"/>
    <w:rsid w:val="00764D21"/>
    <w:rsid w:val="00764D81"/>
    <w:rsid w:val="00765282"/>
    <w:rsid w:val="007652A1"/>
    <w:rsid w:val="0076577B"/>
    <w:rsid w:val="00765E71"/>
    <w:rsid w:val="00766161"/>
    <w:rsid w:val="00766C44"/>
    <w:rsid w:val="007670F2"/>
    <w:rsid w:val="007677DC"/>
    <w:rsid w:val="007678C9"/>
    <w:rsid w:val="00767F36"/>
    <w:rsid w:val="007700D9"/>
    <w:rsid w:val="00770371"/>
    <w:rsid w:val="00771003"/>
    <w:rsid w:val="00771518"/>
    <w:rsid w:val="00771A04"/>
    <w:rsid w:val="007722CC"/>
    <w:rsid w:val="0077267D"/>
    <w:rsid w:val="0077270B"/>
    <w:rsid w:val="00773279"/>
    <w:rsid w:val="00773C4E"/>
    <w:rsid w:val="00773DDE"/>
    <w:rsid w:val="00774CEE"/>
    <w:rsid w:val="00774F6C"/>
    <w:rsid w:val="00775E2C"/>
    <w:rsid w:val="00775FF4"/>
    <w:rsid w:val="007760DA"/>
    <w:rsid w:val="00776477"/>
    <w:rsid w:val="007776B2"/>
    <w:rsid w:val="00777C21"/>
    <w:rsid w:val="00777C7C"/>
    <w:rsid w:val="00777D8B"/>
    <w:rsid w:val="00780527"/>
    <w:rsid w:val="00780A26"/>
    <w:rsid w:val="00780C0C"/>
    <w:rsid w:val="0078122F"/>
    <w:rsid w:val="0078185D"/>
    <w:rsid w:val="007819CD"/>
    <w:rsid w:val="00782855"/>
    <w:rsid w:val="0078304B"/>
    <w:rsid w:val="00783AD0"/>
    <w:rsid w:val="00783E51"/>
    <w:rsid w:val="00785603"/>
    <w:rsid w:val="007858A1"/>
    <w:rsid w:val="00785F62"/>
    <w:rsid w:val="007863AD"/>
    <w:rsid w:val="007864EC"/>
    <w:rsid w:val="0078788C"/>
    <w:rsid w:val="00790A17"/>
    <w:rsid w:val="00791411"/>
    <w:rsid w:val="00791B6B"/>
    <w:rsid w:val="00791EC0"/>
    <w:rsid w:val="00792AA9"/>
    <w:rsid w:val="00792CFC"/>
    <w:rsid w:val="0079398D"/>
    <w:rsid w:val="00793BC1"/>
    <w:rsid w:val="0079425B"/>
    <w:rsid w:val="00794301"/>
    <w:rsid w:val="007943DD"/>
    <w:rsid w:val="0079488B"/>
    <w:rsid w:val="00794D08"/>
    <w:rsid w:val="00795392"/>
    <w:rsid w:val="00795BED"/>
    <w:rsid w:val="00795E73"/>
    <w:rsid w:val="00796350"/>
    <w:rsid w:val="00796608"/>
    <w:rsid w:val="00796624"/>
    <w:rsid w:val="00797171"/>
    <w:rsid w:val="00797186"/>
    <w:rsid w:val="00797AB0"/>
    <w:rsid w:val="007A1BAE"/>
    <w:rsid w:val="007A1C72"/>
    <w:rsid w:val="007A1D08"/>
    <w:rsid w:val="007A2199"/>
    <w:rsid w:val="007A2271"/>
    <w:rsid w:val="007A26A9"/>
    <w:rsid w:val="007A27C1"/>
    <w:rsid w:val="007A2A61"/>
    <w:rsid w:val="007A2ACB"/>
    <w:rsid w:val="007A327E"/>
    <w:rsid w:val="007A4FC5"/>
    <w:rsid w:val="007A5873"/>
    <w:rsid w:val="007A62DC"/>
    <w:rsid w:val="007A6746"/>
    <w:rsid w:val="007A6F43"/>
    <w:rsid w:val="007A775D"/>
    <w:rsid w:val="007B0636"/>
    <w:rsid w:val="007B0C23"/>
    <w:rsid w:val="007B0F1B"/>
    <w:rsid w:val="007B1823"/>
    <w:rsid w:val="007B187C"/>
    <w:rsid w:val="007B2021"/>
    <w:rsid w:val="007B2C1B"/>
    <w:rsid w:val="007B3019"/>
    <w:rsid w:val="007B3073"/>
    <w:rsid w:val="007B3239"/>
    <w:rsid w:val="007B3490"/>
    <w:rsid w:val="007B38C4"/>
    <w:rsid w:val="007B3C34"/>
    <w:rsid w:val="007B40B0"/>
    <w:rsid w:val="007B4C1D"/>
    <w:rsid w:val="007B5E38"/>
    <w:rsid w:val="007B60AF"/>
    <w:rsid w:val="007B6F87"/>
    <w:rsid w:val="007B7213"/>
    <w:rsid w:val="007B7291"/>
    <w:rsid w:val="007B7817"/>
    <w:rsid w:val="007C0A5D"/>
    <w:rsid w:val="007C0BDF"/>
    <w:rsid w:val="007C0E5F"/>
    <w:rsid w:val="007C1412"/>
    <w:rsid w:val="007C2756"/>
    <w:rsid w:val="007C2D03"/>
    <w:rsid w:val="007C32F5"/>
    <w:rsid w:val="007C33F9"/>
    <w:rsid w:val="007C355E"/>
    <w:rsid w:val="007C4697"/>
    <w:rsid w:val="007C48F0"/>
    <w:rsid w:val="007C4919"/>
    <w:rsid w:val="007C55CF"/>
    <w:rsid w:val="007C6018"/>
    <w:rsid w:val="007C61D2"/>
    <w:rsid w:val="007C6A75"/>
    <w:rsid w:val="007C6F54"/>
    <w:rsid w:val="007C7485"/>
    <w:rsid w:val="007C748A"/>
    <w:rsid w:val="007C7C64"/>
    <w:rsid w:val="007C7D2D"/>
    <w:rsid w:val="007D019C"/>
    <w:rsid w:val="007D0576"/>
    <w:rsid w:val="007D082E"/>
    <w:rsid w:val="007D08DE"/>
    <w:rsid w:val="007D0BD3"/>
    <w:rsid w:val="007D1267"/>
    <w:rsid w:val="007D1463"/>
    <w:rsid w:val="007D1A0A"/>
    <w:rsid w:val="007D1FD5"/>
    <w:rsid w:val="007D230C"/>
    <w:rsid w:val="007D24E2"/>
    <w:rsid w:val="007D268C"/>
    <w:rsid w:val="007D2E02"/>
    <w:rsid w:val="007D3047"/>
    <w:rsid w:val="007D32F2"/>
    <w:rsid w:val="007D3591"/>
    <w:rsid w:val="007D377B"/>
    <w:rsid w:val="007D3D08"/>
    <w:rsid w:val="007D4018"/>
    <w:rsid w:val="007D504D"/>
    <w:rsid w:val="007D529F"/>
    <w:rsid w:val="007D53E1"/>
    <w:rsid w:val="007D6847"/>
    <w:rsid w:val="007E0530"/>
    <w:rsid w:val="007E076A"/>
    <w:rsid w:val="007E0AC3"/>
    <w:rsid w:val="007E207A"/>
    <w:rsid w:val="007E2876"/>
    <w:rsid w:val="007E2A9B"/>
    <w:rsid w:val="007E2B63"/>
    <w:rsid w:val="007E36EA"/>
    <w:rsid w:val="007E3748"/>
    <w:rsid w:val="007E38CF"/>
    <w:rsid w:val="007E3A22"/>
    <w:rsid w:val="007E4466"/>
    <w:rsid w:val="007E471D"/>
    <w:rsid w:val="007E492C"/>
    <w:rsid w:val="007E5C9B"/>
    <w:rsid w:val="007E6047"/>
    <w:rsid w:val="007E66B2"/>
    <w:rsid w:val="007E6A9F"/>
    <w:rsid w:val="007E6AE5"/>
    <w:rsid w:val="007E7184"/>
    <w:rsid w:val="007F03B2"/>
    <w:rsid w:val="007F0CF7"/>
    <w:rsid w:val="007F0EF6"/>
    <w:rsid w:val="007F106E"/>
    <w:rsid w:val="007F1459"/>
    <w:rsid w:val="007F20AD"/>
    <w:rsid w:val="007F315E"/>
    <w:rsid w:val="007F412B"/>
    <w:rsid w:val="007F5B21"/>
    <w:rsid w:val="007F6769"/>
    <w:rsid w:val="007F749A"/>
    <w:rsid w:val="007F7DE2"/>
    <w:rsid w:val="00801A72"/>
    <w:rsid w:val="008021E4"/>
    <w:rsid w:val="008025DC"/>
    <w:rsid w:val="00802C34"/>
    <w:rsid w:val="0080319C"/>
    <w:rsid w:val="008037CF"/>
    <w:rsid w:val="00803A7D"/>
    <w:rsid w:val="00803B2A"/>
    <w:rsid w:val="00804E82"/>
    <w:rsid w:val="00805CC3"/>
    <w:rsid w:val="00806536"/>
    <w:rsid w:val="00807879"/>
    <w:rsid w:val="00807A00"/>
    <w:rsid w:val="008105F9"/>
    <w:rsid w:val="00811738"/>
    <w:rsid w:val="00811843"/>
    <w:rsid w:val="00811B4A"/>
    <w:rsid w:val="00811FCA"/>
    <w:rsid w:val="00812433"/>
    <w:rsid w:val="00812538"/>
    <w:rsid w:val="00812B84"/>
    <w:rsid w:val="008131BB"/>
    <w:rsid w:val="00814B83"/>
    <w:rsid w:val="008150F1"/>
    <w:rsid w:val="00815796"/>
    <w:rsid w:val="008158F1"/>
    <w:rsid w:val="008159F4"/>
    <w:rsid w:val="00815ABF"/>
    <w:rsid w:val="00815CFA"/>
    <w:rsid w:val="0081609E"/>
    <w:rsid w:val="00816120"/>
    <w:rsid w:val="00816668"/>
    <w:rsid w:val="00820000"/>
    <w:rsid w:val="0082065E"/>
    <w:rsid w:val="0082097D"/>
    <w:rsid w:val="008211C0"/>
    <w:rsid w:val="00821676"/>
    <w:rsid w:val="00821E74"/>
    <w:rsid w:val="00822590"/>
    <w:rsid w:val="008226A9"/>
    <w:rsid w:val="00822DC1"/>
    <w:rsid w:val="0082327D"/>
    <w:rsid w:val="0082412E"/>
    <w:rsid w:val="008242EA"/>
    <w:rsid w:val="0082549B"/>
    <w:rsid w:val="00825634"/>
    <w:rsid w:val="00825B43"/>
    <w:rsid w:val="00825DE4"/>
    <w:rsid w:val="008261EF"/>
    <w:rsid w:val="00826526"/>
    <w:rsid w:val="0082658C"/>
    <w:rsid w:val="008269FB"/>
    <w:rsid w:val="00826DCE"/>
    <w:rsid w:val="00827612"/>
    <w:rsid w:val="00827A4F"/>
    <w:rsid w:val="0083078E"/>
    <w:rsid w:val="00831408"/>
    <w:rsid w:val="00831533"/>
    <w:rsid w:val="0083188E"/>
    <w:rsid w:val="008322DE"/>
    <w:rsid w:val="0083244A"/>
    <w:rsid w:val="00832539"/>
    <w:rsid w:val="00832F9F"/>
    <w:rsid w:val="00833576"/>
    <w:rsid w:val="00833945"/>
    <w:rsid w:val="00833BCB"/>
    <w:rsid w:val="00833F3A"/>
    <w:rsid w:val="008345A4"/>
    <w:rsid w:val="00835046"/>
    <w:rsid w:val="00835ADC"/>
    <w:rsid w:val="00835C55"/>
    <w:rsid w:val="00836A06"/>
    <w:rsid w:val="00837580"/>
    <w:rsid w:val="00837828"/>
    <w:rsid w:val="0083784B"/>
    <w:rsid w:val="00837D89"/>
    <w:rsid w:val="008405DC"/>
    <w:rsid w:val="00840F2E"/>
    <w:rsid w:val="00841E5B"/>
    <w:rsid w:val="00841EE1"/>
    <w:rsid w:val="0084202E"/>
    <w:rsid w:val="00842511"/>
    <w:rsid w:val="008427D0"/>
    <w:rsid w:val="00842CDB"/>
    <w:rsid w:val="00842D29"/>
    <w:rsid w:val="008431C1"/>
    <w:rsid w:val="008434C8"/>
    <w:rsid w:val="00843DE8"/>
    <w:rsid w:val="00844193"/>
    <w:rsid w:val="00844266"/>
    <w:rsid w:val="0084470A"/>
    <w:rsid w:val="00845679"/>
    <w:rsid w:val="008459D3"/>
    <w:rsid w:val="008461C5"/>
    <w:rsid w:val="00846658"/>
    <w:rsid w:val="008469D5"/>
    <w:rsid w:val="008479B0"/>
    <w:rsid w:val="00847F4A"/>
    <w:rsid w:val="008500C6"/>
    <w:rsid w:val="008501DD"/>
    <w:rsid w:val="008507E6"/>
    <w:rsid w:val="008516A0"/>
    <w:rsid w:val="00851A0C"/>
    <w:rsid w:val="00852642"/>
    <w:rsid w:val="00852737"/>
    <w:rsid w:val="0085288A"/>
    <w:rsid w:val="00852D97"/>
    <w:rsid w:val="008533BF"/>
    <w:rsid w:val="008536A7"/>
    <w:rsid w:val="00853D7E"/>
    <w:rsid w:val="00854EA7"/>
    <w:rsid w:val="00854F37"/>
    <w:rsid w:val="008550B0"/>
    <w:rsid w:val="0085550F"/>
    <w:rsid w:val="008561B2"/>
    <w:rsid w:val="00856D0C"/>
    <w:rsid w:val="00856D29"/>
    <w:rsid w:val="00856FCC"/>
    <w:rsid w:val="00857296"/>
    <w:rsid w:val="00857712"/>
    <w:rsid w:val="008603DD"/>
    <w:rsid w:val="00860BA7"/>
    <w:rsid w:val="00860C4D"/>
    <w:rsid w:val="00860DAA"/>
    <w:rsid w:val="008614EB"/>
    <w:rsid w:val="00861E95"/>
    <w:rsid w:val="00861FA8"/>
    <w:rsid w:val="00862505"/>
    <w:rsid w:val="008627B1"/>
    <w:rsid w:val="00863939"/>
    <w:rsid w:val="00863FDB"/>
    <w:rsid w:val="00864490"/>
    <w:rsid w:val="008645ED"/>
    <w:rsid w:val="00864CE8"/>
    <w:rsid w:val="00864D1D"/>
    <w:rsid w:val="00865220"/>
    <w:rsid w:val="0086691F"/>
    <w:rsid w:val="00866E67"/>
    <w:rsid w:val="008677CF"/>
    <w:rsid w:val="00870133"/>
    <w:rsid w:val="00870407"/>
    <w:rsid w:val="00870751"/>
    <w:rsid w:val="00870812"/>
    <w:rsid w:val="00870BA7"/>
    <w:rsid w:val="00870BED"/>
    <w:rsid w:val="00872060"/>
    <w:rsid w:val="00873262"/>
    <w:rsid w:val="008736E3"/>
    <w:rsid w:val="00873BB7"/>
    <w:rsid w:val="00873F85"/>
    <w:rsid w:val="008744D9"/>
    <w:rsid w:val="00874E2D"/>
    <w:rsid w:val="008751FA"/>
    <w:rsid w:val="0087589E"/>
    <w:rsid w:val="008770A0"/>
    <w:rsid w:val="00877333"/>
    <w:rsid w:val="0087753F"/>
    <w:rsid w:val="00877DBE"/>
    <w:rsid w:val="00880741"/>
    <w:rsid w:val="00880A39"/>
    <w:rsid w:val="00880ADB"/>
    <w:rsid w:val="00881A1A"/>
    <w:rsid w:val="00882852"/>
    <w:rsid w:val="0088299F"/>
    <w:rsid w:val="008834A5"/>
    <w:rsid w:val="00883CF6"/>
    <w:rsid w:val="00883EF1"/>
    <w:rsid w:val="00884671"/>
    <w:rsid w:val="008847CC"/>
    <w:rsid w:val="00884E96"/>
    <w:rsid w:val="00884F32"/>
    <w:rsid w:val="00885953"/>
    <w:rsid w:val="00885B06"/>
    <w:rsid w:val="008867A7"/>
    <w:rsid w:val="008868CA"/>
    <w:rsid w:val="00887483"/>
    <w:rsid w:val="00887552"/>
    <w:rsid w:val="00887810"/>
    <w:rsid w:val="00887DDD"/>
    <w:rsid w:val="00887F5C"/>
    <w:rsid w:val="0089004C"/>
    <w:rsid w:val="00890378"/>
    <w:rsid w:val="00890EE7"/>
    <w:rsid w:val="00891290"/>
    <w:rsid w:val="00891772"/>
    <w:rsid w:val="008919BF"/>
    <w:rsid w:val="00891A78"/>
    <w:rsid w:val="00891C17"/>
    <w:rsid w:val="008925FC"/>
    <w:rsid w:val="00892670"/>
    <w:rsid w:val="00893188"/>
    <w:rsid w:val="00893820"/>
    <w:rsid w:val="00893CB6"/>
    <w:rsid w:val="00894F9F"/>
    <w:rsid w:val="00895240"/>
    <w:rsid w:val="00895F15"/>
    <w:rsid w:val="008974E2"/>
    <w:rsid w:val="008A0762"/>
    <w:rsid w:val="008A095F"/>
    <w:rsid w:val="008A0E72"/>
    <w:rsid w:val="008A1249"/>
    <w:rsid w:val="008A1968"/>
    <w:rsid w:val="008A1E63"/>
    <w:rsid w:val="008A422D"/>
    <w:rsid w:val="008A47E8"/>
    <w:rsid w:val="008A4C78"/>
    <w:rsid w:val="008A4DF6"/>
    <w:rsid w:val="008A5148"/>
    <w:rsid w:val="008A5692"/>
    <w:rsid w:val="008A61C0"/>
    <w:rsid w:val="008A63DE"/>
    <w:rsid w:val="008A6B9F"/>
    <w:rsid w:val="008A6C69"/>
    <w:rsid w:val="008A6D91"/>
    <w:rsid w:val="008A6E62"/>
    <w:rsid w:val="008A74FC"/>
    <w:rsid w:val="008A7A61"/>
    <w:rsid w:val="008A7C3D"/>
    <w:rsid w:val="008A7EB4"/>
    <w:rsid w:val="008A7EDB"/>
    <w:rsid w:val="008B04A1"/>
    <w:rsid w:val="008B0614"/>
    <w:rsid w:val="008B0A36"/>
    <w:rsid w:val="008B0BC9"/>
    <w:rsid w:val="008B0F10"/>
    <w:rsid w:val="008B138A"/>
    <w:rsid w:val="008B14D4"/>
    <w:rsid w:val="008B1824"/>
    <w:rsid w:val="008B2307"/>
    <w:rsid w:val="008B23B2"/>
    <w:rsid w:val="008B25ED"/>
    <w:rsid w:val="008B2EC4"/>
    <w:rsid w:val="008B37DA"/>
    <w:rsid w:val="008B3B68"/>
    <w:rsid w:val="008B3D9D"/>
    <w:rsid w:val="008B41FE"/>
    <w:rsid w:val="008B4C39"/>
    <w:rsid w:val="008B4D06"/>
    <w:rsid w:val="008B5249"/>
    <w:rsid w:val="008B5842"/>
    <w:rsid w:val="008B6E71"/>
    <w:rsid w:val="008B7DF8"/>
    <w:rsid w:val="008C00E3"/>
    <w:rsid w:val="008C0336"/>
    <w:rsid w:val="008C0793"/>
    <w:rsid w:val="008C0C78"/>
    <w:rsid w:val="008C1101"/>
    <w:rsid w:val="008C1883"/>
    <w:rsid w:val="008C1B00"/>
    <w:rsid w:val="008C1CC0"/>
    <w:rsid w:val="008C2803"/>
    <w:rsid w:val="008C28A9"/>
    <w:rsid w:val="008C2917"/>
    <w:rsid w:val="008C3BC0"/>
    <w:rsid w:val="008C43CC"/>
    <w:rsid w:val="008C47F4"/>
    <w:rsid w:val="008C4B5E"/>
    <w:rsid w:val="008C4E45"/>
    <w:rsid w:val="008C4FE8"/>
    <w:rsid w:val="008C51D7"/>
    <w:rsid w:val="008C57B6"/>
    <w:rsid w:val="008C596B"/>
    <w:rsid w:val="008C7ED8"/>
    <w:rsid w:val="008D03D0"/>
    <w:rsid w:val="008D08BE"/>
    <w:rsid w:val="008D0DFD"/>
    <w:rsid w:val="008D0FC2"/>
    <w:rsid w:val="008D13BE"/>
    <w:rsid w:val="008D18A9"/>
    <w:rsid w:val="008D2045"/>
    <w:rsid w:val="008D22FD"/>
    <w:rsid w:val="008D24CC"/>
    <w:rsid w:val="008D31A2"/>
    <w:rsid w:val="008D36AC"/>
    <w:rsid w:val="008D381A"/>
    <w:rsid w:val="008D3D6B"/>
    <w:rsid w:val="008D5664"/>
    <w:rsid w:val="008D5F39"/>
    <w:rsid w:val="008D6927"/>
    <w:rsid w:val="008D6DDA"/>
    <w:rsid w:val="008D76A3"/>
    <w:rsid w:val="008D774F"/>
    <w:rsid w:val="008D77A4"/>
    <w:rsid w:val="008D7B98"/>
    <w:rsid w:val="008E1148"/>
    <w:rsid w:val="008E1426"/>
    <w:rsid w:val="008E14B5"/>
    <w:rsid w:val="008E18F6"/>
    <w:rsid w:val="008E1A11"/>
    <w:rsid w:val="008E1AE7"/>
    <w:rsid w:val="008E2212"/>
    <w:rsid w:val="008E2718"/>
    <w:rsid w:val="008E2DFF"/>
    <w:rsid w:val="008E3833"/>
    <w:rsid w:val="008E3E2D"/>
    <w:rsid w:val="008E4A97"/>
    <w:rsid w:val="008E4BD4"/>
    <w:rsid w:val="008E4E0B"/>
    <w:rsid w:val="008E5320"/>
    <w:rsid w:val="008E539E"/>
    <w:rsid w:val="008E6B8D"/>
    <w:rsid w:val="008E6C3D"/>
    <w:rsid w:val="008E7517"/>
    <w:rsid w:val="008E7905"/>
    <w:rsid w:val="008E7975"/>
    <w:rsid w:val="008E7C15"/>
    <w:rsid w:val="008F00E1"/>
    <w:rsid w:val="008F031D"/>
    <w:rsid w:val="008F0556"/>
    <w:rsid w:val="008F0AE2"/>
    <w:rsid w:val="008F17C5"/>
    <w:rsid w:val="008F1A04"/>
    <w:rsid w:val="008F1ACC"/>
    <w:rsid w:val="008F2469"/>
    <w:rsid w:val="008F27DA"/>
    <w:rsid w:val="008F2D01"/>
    <w:rsid w:val="008F373B"/>
    <w:rsid w:val="008F3C43"/>
    <w:rsid w:val="008F4264"/>
    <w:rsid w:val="008F42D6"/>
    <w:rsid w:val="008F520C"/>
    <w:rsid w:val="008F530A"/>
    <w:rsid w:val="008F53D0"/>
    <w:rsid w:val="008F680B"/>
    <w:rsid w:val="008F6F1D"/>
    <w:rsid w:val="008F73E4"/>
    <w:rsid w:val="008F774A"/>
    <w:rsid w:val="008F7EB8"/>
    <w:rsid w:val="00900BD2"/>
    <w:rsid w:val="0090129B"/>
    <w:rsid w:val="00901390"/>
    <w:rsid w:val="009016A0"/>
    <w:rsid w:val="00902D24"/>
    <w:rsid w:val="0090339D"/>
    <w:rsid w:val="00903620"/>
    <w:rsid w:val="009039EF"/>
    <w:rsid w:val="00903BA2"/>
    <w:rsid w:val="00904A13"/>
    <w:rsid w:val="00904B04"/>
    <w:rsid w:val="00904E2C"/>
    <w:rsid w:val="00905A33"/>
    <w:rsid w:val="009101D6"/>
    <w:rsid w:val="0091020E"/>
    <w:rsid w:val="00910653"/>
    <w:rsid w:val="0091068C"/>
    <w:rsid w:val="00910B63"/>
    <w:rsid w:val="0091134D"/>
    <w:rsid w:val="00912A66"/>
    <w:rsid w:val="00913488"/>
    <w:rsid w:val="00913555"/>
    <w:rsid w:val="00913833"/>
    <w:rsid w:val="00913CF3"/>
    <w:rsid w:val="009141E9"/>
    <w:rsid w:val="00914A30"/>
    <w:rsid w:val="0091590D"/>
    <w:rsid w:val="00915A59"/>
    <w:rsid w:val="00916058"/>
    <w:rsid w:val="009165E5"/>
    <w:rsid w:val="00916F04"/>
    <w:rsid w:val="00916FD2"/>
    <w:rsid w:val="009171F5"/>
    <w:rsid w:val="00917A76"/>
    <w:rsid w:val="00917CA4"/>
    <w:rsid w:val="00920E36"/>
    <w:rsid w:val="00920E43"/>
    <w:rsid w:val="009212DF"/>
    <w:rsid w:val="009212F8"/>
    <w:rsid w:val="00921C04"/>
    <w:rsid w:val="00921F07"/>
    <w:rsid w:val="009220ED"/>
    <w:rsid w:val="00922159"/>
    <w:rsid w:val="009226E8"/>
    <w:rsid w:val="00922DFF"/>
    <w:rsid w:val="00923279"/>
    <w:rsid w:val="0092340E"/>
    <w:rsid w:val="0092354D"/>
    <w:rsid w:val="00923FB4"/>
    <w:rsid w:val="00924247"/>
    <w:rsid w:val="00924B30"/>
    <w:rsid w:val="009250F1"/>
    <w:rsid w:val="00925884"/>
    <w:rsid w:val="00925A5E"/>
    <w:rsid w:val="00925B7E"/>
    <w:rsid w:val="00927BA0"/>
    <w:rsid w:val="00930BF6"/>
    <w:rsid w:val="00931182"/>
    <w:rsid w:val="009317BD"/>
    <w:rsid w:val="00932438"/>
    <w:rsid w:val="0093250E"/>
    <w:rsid w:val="00932A0A"/>
    <w:rsid w:val="00932AD7"/>
    <w:rsid w:val="00932F28"/>
    <w:rsid w:val="00933111"/>
    <w:rsid w:val="0093322B"/>
    <w:rsid w:val="00933B0B"/>
    <w:rsid w:val="009345B5"/>
    <w:rsid w:val="00934DE4"/>
    <w:rsid w:val="009350A9"/>
    <w:rsid w:val="009355C8"/>
    <w:rsid w:val="00935BC3"/>
    <w:rsid w:val="00936238"/>
    <w:rsid w:val="009364C9"/>
    <w:rsid w:val="00936E65"/>
    <w:rsid w:val="009370DC"/>
    <w:rsid w:val="00937D03"/>
    <w:rsid w:val="00937E40"/>
    <w:rsid w:val="0094037C"/>
    <w:rsid w:val="0094064C"/>
    <w:rsid w:val="00940AD0"/>
    <w:rsid w:val="00940B08"/>
    <w:rsid w:val="00940E87"/>
    <w:rsid w:val="00941034"/>
    <w:rsid w:val="00941873"/>
    <w:rsid w:val="0094194E"/>
    <w:rsid w:val="009419D4"/>
    <w:rsid w:val="00942129"/>
    <w:rsid w:val="009422F4"/>
    <w:rsid w:val="009431AB"/>
    <w:rsid w:val="009433E7"/>
    <w:rsid w:val="0094396B"/>
    <w:rsid w:val="009441FD"/>
    <w:rsid w:val="009448C1"/>
    <w:rsid w:val="00944B15"/>
    <w:rsid w:val="00944F4B"/>
    <w:rsid w:val="00945165"/>
    <w:rsid w:val="0094564F"/>
    <w:rsid w:val="00946AD3"/>
    <w:rsid w:val="00946DB7"/>
    <w:rsid w:val="00946E55"/>
    <w:rsid w:val="009471E5"/>
    <w:rsid w:val="0094770A"/>
    <w:rsid w:val="009501A7"/>
    <w:rsid w:val="00950CAE"/>
    <w:rsid w:val="00950E42"/>
    <w:rsid w:val="00951272"/>
    <w:rsid w:val="009516A6"/>
    <w:rsid w:val="00951709"/>
    <w:rsid w:val="009518AC"/>
    <w:rsid w:val="00951D33"/>
    <w:rsid w:val="00952408"/>
    <w:rsid w:val="00952462"/>
    <w:rsid w:val="00952B7B"/>
    <w:rsid w:val="00952BF3"/>
    <w:rsid w:val="0095301C"/>
    <w:rsid w:val="00953325"/>
    <w:rsid w:val="00953E15"/>
    <w:rsid w:val="00953ED5"/>
    <w:rsid w:val="00953EFE"/>
    <w:rsid w:val="00954541"/>
    <w:rsid w:val="009546B9"/>
    <w:rsid w:val="009550CC"/>
    <w:rsid w:val="0095562B"/>
    <w:rsid w:val="00955D6E"/>
    <w:rsid w:val="00955F84"/>
    <w:rsid w:val="00956B29"/>
    <w:rsid w:val="00956BDE"/>
    <w:rsid w:val="00957085"/>
    <w:rsid w:val="009578E0"/>
    <w:rsid w:val="00957A19"/>
    <w:rsid w:val="00957ACE"/>
    <w:rsid w:val="00960627"/>
    <w:rsid w:val="009607F0"/>
    <w:rsid w:val="00960A05"/>
    <w:rsid w:val="00960FC9"/>
    <w:rsid w:val="009610D1"/>
    <w:rsid w:val="009610ED"/>
    <w:rsid w:val="00961250"/>
    <w:rsid w:val="00961610"/>
    <w:rsid w:val="00961C5E"/>
    <w:rsid w:val="009624C2"/>
    <w:rsid w:val="009629F9"/>
    <w:rsid w:val="00962AD4"/>
    <w:rsid w:val="00962B66"/>
    <w:rsid w:val="0096361C"/>
    <w:rsid w:val="00964647"/>
    <w:rsid w:val="00965611"/>
    <w:rsid w:val="00965874"/>
    <w:rsid w:val="00965F26"/>
    <w:rsid w:val="00966009"/>
    <w:rsid w:val="0096659F"/>
    <w:rsid w:val="00966CDF"/>
    <w:rsid w:val="00966F30"/>
    <w:rsid w:val="00966F58"/>
    <w:rsid w:val="009672C7"/>
    <w:rsid w:val="0096737B"/>
    <w:rsid w:val="009676C2"/>
    <w:rsid w:val="00967922"/>
    <w:rsid w:val="0097007D"/>
    <w:rsid w:val="00970DB4"/>
    <w:rsid w:val="00970EBA"/>
    <w:rsid w:val="00971312"/>
    <w:rsid w:val="009724D6"/>
    <w:rsid w:val="0097280B"/>
    <w:rsid w:val="00972BE0"/>
    <w:rsid w:val="00973BCE"/>
    <w:rsid w:val="009745FE"/>
    <w:rsid w:val="00974995"/>
    <w:rsid w:val="0097512F"/>
    <w:rsid w:val="0097523C"/>
    <w:rsid w:val="00975517"/>
    <w:rsid w:val="00975604"/>
    <w:rsid w:val="00975A5B"/>
    <w:rsid w:val="00975BFE"/>
    <w:rsid w:val="009766DA"/>
    <w:rsid w:val="0098052C"/>
    <w:rsid w:val="00980CDB"/>
    <w:rsid w:val="00981383"/>
    <w:rsid w:val="00981501"/>
    <w:rsid w:val="00981828"/>
    <w:rsid w:val="00982290"/>
    <w:rsid w:val="0098242B"/>
    <w:rsid w:val="00983D11"/>
    <w:rsid w:val="00984579"/>
    <w:rsid w:val="0098577C"/>
    <w:rsid w:val="009862D1"/>
    <w:rsid w:val="00986AC4"/>
    <w:rsid w:val="00986C3E"/>
    <w:rsid w:val="00986F60"/>
    <w:rsid w:val="0099057E"/>
    <w:rsid w:val="00990829"/>
    <w:rsid w:val="00991260"/>
    <w:rsid w:val="00991357"/>
    <w:rsid w:val="00991D38"/>
    <w:rsid w:val="0099283B"/>
    <w:rsid w:val="00993641"/>
    <w:rsid w:val="00993A24"/>
    <w:rsid w:val="00993AB4"/>
    <w:rsid w:val="00993BA5"/>
    <w:rsid w:val="00994815"/>
    <w:rsid w:val="00994C96"/>
    <w:rsid w:val="009956DC"/>
    <w:rsid w:val="00995AE6"/>
    <w:rsid w:val="00996277"/>
    <w:rsid w:val="009965D9"/>
    <w:rsid w:val="00996C03"/>
    <w:rsid w:val="009976BF"/>
    <w:rsid w:val="009A10B2"/>
    <w:rsid w:val="009A1D9C"/>
    <w:rsid w:val="009A1E2B"/>
    <w:rsid w:val="009A27E3"/>
    <w:rsid w:val="009A2FE3"/>
    <w:rsid w:val="009A3347"/>
    <w:rsid w:val="009A3362"/>
    <w:rsid w:val="009A477D"/>
    <w:rsid w:val="009A685F"/>
    <w:rsid w:val="009A6C4B"/>
    <w:rsid w:val="009A73C7"/>
    <w:rsid w:val="009A74DA"/>
    <w:rsid w:val="009A7733"/>
    <w:rsid w:val="009B0A2D"/>
    <w:rsid w:val="009B11BA"/>
    <w:rsid w:val="009B12D7"/>
    <w:rsid w:val="009B1C81"/>
    <w:rsid w:val="009B3169"/>
    <w:rsid w:val="009B36AB"/>
    <w:rsid w:val="009B38E5"/>
    <w:rsid w:val="009B4168"/>
    <w:rsid w:val="009B4B80"/>
    <w:rsid w:val="009B4D86"/>
    <w:rsid w:val="009B56E6"/>
    <w:rsid w:val="009B585F"/>
    <w:rsid w:val="009B5A19"/>
    <w:rsid w:val="009B5CEE"/>
    <w:rsid w:val="009B682F"/>
    <w:rsid w:val="009B6BE1"/>
    <w:rsid w:val="009B75BD"/>
    <w:rsid w:val="009B792B"/>
    <w:rsid w:val="009B7972"/>
    <w:rsid w:val="009C0200"/>
    <w:rsid w:val="009C1116"/>
    <w:rsid w:val="009C1C9D"/>
    <w:rsid w:val="009C265A"/>
    <w:rsid w:val="009C281B"/>
    <w:rsid w:val="009C3462"/>
    <w:rsid w:val="009C3B8A"/>
    <w:rsid w:val="009C3ED2"/>
    <w:rsid w:val="009C438B"/>
    <w:rsid w:val="009C532F"/>
    <w:rsid w:val="009C57C2"/>
    <w:rsid w:val="009C66D1"/>
    <w:rsid w:val="009C71D0"/>
    <w:rsid w:val="009C729D"/>
    <w:rsid w:val="009C7E17"/>
    <w:rsid w:val="009D00B2"/>
    <w:rsid w:val="009D0790"/>
    <w:rsid w:val="009D1A5B"/>
    <w:rsid w:val="009D2CFC"/>
    <w:rsid w:val="009D2FCC"/>
    <w:rsid w:val="009D33F9"/>
    <w:rsid w:val="009D3896"/>
    <w:rsid w:val="009D3C7B"/>
    <w:rsid w:val="009D4380"/>
    <w:rsid w:val="009D43C0"/>
    <w:rsid w:val="009D5463"/>
    <w:rsid w:val="009D5F66"/>
    <w:rsid w:val="009D6855"/>
    <w:rsid w:val="009D6D37"/>
    <w:rsid w:val="009D74CE"/>
    <w:rsid w:val="009D7A75"/>
    <w:rsid w:val="009E10C8"/>
    <w:rsid w:val="009E1194"/>
    <w:rsid w:val="009E16DB"/>
    <w:rsid w:val="009E35AE"/>
    <w:rsid w:val="009E3A3F"/>
    <w:rsid w:val="009E3A85"/>
    <w:rsid w:val="009E4405"/>
    <w:rsid w:val="009E4AA1"/>
    <w:rsid w:val="009E4BD0"/>
    <w:rsid w:val="009E5209"/>
    <w:rsid w:val="009E543E"/>
    <w:rsid w:val="009E5615"/>
    <w:rsid w:val="009E6ADA"/>
    <w:rsid w:val="009E6F7D"/>
    <w:rsid w:val="009E74BD"/>
    <w:rsid w:val="009E7D9C"/>
    <w:rsid w:val="009F02E8"/>
    <w:rsid w:val="009F081E"/>
    <w:rsid w:val="009F1BD8"/>
    <w:rsid w:val="009F2607"/>
    <w:rsid w:val="009F28B1"/>
    <w:rsid w:val="009F2C57"/>
    <w:rsid w:val="009F2CB3"/>
    <w:rsid w:val="009F2CD2"/>
    <w:rsid w:val="009F3428"/>
    <w:rsid w:val="009F36E1"/>
    <w:rsid w:val="009F4317"/>
    <w:rsid w:val="009F47EF"/>
    <w:rsid w:val="009F6209"/>
    <w:rsid w:val="009F68EF"/>
    <w:rsid w:val="009F6FDB"/>
    <w:rsid w:val="00A00247"/>
    <w:rsid w:val="00A012C8"/>
    <w:rsid w:val="00A01ADC"/>
    <w:rsid w:val="00A01C29"/>
    <w:rsid w:val="00A01F1A"/>
    <w:rsid w:val="00A02045"/>
    <w:rsid w:val="00A029F1"/>
    <w:rsid w:val="00A02F0F"/>
    <w:rsid w:val="00A03F43"/>
    <w:rsid w:val="00A040C3"/>
    <w:rsid w:val="00A04284"/>
    <w:rsid w:val="00A0429F"/>
    <w:rsid w:val="00A0456B"/>
    <w:rsid w:val="00A04723"/>
    <w:rsid w:val="00A05899"/>
    <w:rsid w:val="00A058E2"/>
    <w:rsid w:val="00A061EF"/>
    <w:rsid w:val="00A06B7E"/>
    <w:rsid w:val="00A06E29"/>
    <w:rsid w:val="00A07A29"/>
    <w:rsid w:val="00A07B2C"/>
    <w:rsid w:val="00A07CA8"/>
    <w:rsid w:val="00A1062F"/>
    <w:rsid w:val="00A116C2"/>
    <w:rsid w:val="00A130C2"/>
    <w:rsid w:val="00A13B70"/>
    <w:rsid w:val="00A1475E"/>
    <w:rsid w:val="00A1480A"/>
    <w:rsid w:val="00A14CA7"/>
    <w:rsid w:val="00A14CD9"/>
    <w:rsid w:val="00A15294"/>
    <w:rsid w:val="00A15554"/>
    <w:rsid w:val="00A1593F"/>
    <w:rsid w:val="00A1658C"/>
    <w:rsid w:val="00A167A6"/>
    <w:rsid w:val="00A17A37"/>
    <w:rsid w:val="00A17C22"/>
    <w:rsid w:val="00A2017A"/>
    <w:rsid w:val="00A20429"/>
    <w:rsid w:val="00A20E67"/>
    <w:rsid w:val="00A225B9"/>
    <w:rsid w:val="00A22736"/>
    <w:rsid w:val="00A22763"/>
    <w:rsid w:val="00A228CF"/>
    <w:rsid w:val="00A22F21"/>
    <w:rsid w:val="00A23F20"/>
    <w:rsid w:val="00A2407B"/>
    <w:rsid w:val="00A2450E"/>
    <w:rsid w:val="00A249AB"/>
    <w:rsid w:val="00A24CD2"/>
    <w:rsid w:val="00A2525D"/>
    <w:rsid w:val="00A25430"/>
    <w:rsid w:val="00A25585"/>
    <w:rsid w:val="00A2599E"/>
    <w:rsid w:val="00A26B0E"/>
    <w:rsid w:val="00A27368"/>
    <w:rsid w:val="00A273BF"/>
    <w:rsid w:val="00A277A4"/>
    <w:rsid w:val="00A27828"/>
    <w:rsid w:val="00A30073"/>
    <w:rsid w:val="00A30BD2"/>
    <w:rsid w:val="00A31E12"/>
    <w:rsid w:val="00A31E5C"/>
    <w:rsid w:val="00A3220D"/>
    <w:rsid w:val="00A3287A"/>
    <w:rsid w:val="00A32B70"/>
    <w:rsid w:val="00A33897"/>
    <w:rsid w:val="00A3413C"/>
    <w:rsid w:val="00A3513E"/>
    <w:rsid w:val="00A35B64"/>
    <w:rsid w:val="00A3608C"/>
    <w:rsid w:val="00A3644E"/>
    <w:rsid w:val="00A36B71"/>
    <w:rsid w:val="00A372D2"/>
    <w:rsid w:val="00A379BD"/>
    <w:rsid w:val="00A406A3"/>
    <w:rsid w:val="00A410A9"/>
    <w:rsid w:val="00A4174D"/>
    <w:rsid w:val="00A41786"/>
    <w:rsid w:val="00A4180A"/>
    <w:rsid w:val="00A41AD3"/>
    <w:rsid w:val="00A41AF2"/>
    <w:rsid w:val="00A422BA"/>
    <w:rsid w:val="00A42367"/>
    <w:rsid w:val="00A4257E"/>
    <w:rsid w:val="00A42E41"/>
    <w:rsid w:val="00A42F49"/>
    <w:rsid w:val="00A4362B"/>
    <w:rsid w:val="00A436CB"/>
    <w:rsid w:val="00A44201"/>
    <w:rsid w:val="00A4459C"/>
    <w:rsid w:val="00A446D6"/>
    <w:rsid w:val="00A448CC"/>
    <w:rsid w:val="00A45683"/>
    <w:rsid w:val="00A4657F"/>
    <w:rsid w:val="00A466DA"/>
    <w:rsid w:val="00A46E2B"/>
    <w:rsid w:val="00A472AF"/>
    <w:rsid w:val="00A47445"/>
    <w:rsid w:val="00A505CA"/>
    <w:rsid w:val="00A506BD"/>
    <w:rsid w:val="00A52169"/>
    <w:rsid w:val="00A537E0"/>
    <w:rsid w:val="00A53FE8"/>
    <w:rsid w:val="00A542B5"/>
    <w:rsid w:val="00A54342"/>
    <w:rsid w:val="00A54A5D"/>
    <w:rsid w:val="00A55BB3"/>
    <w:rsid w:val="00A55DAE"/>
    <w:rsid w:val="00A55E2A"/>
    <w:rsid w:val="00A55F52"/>
    <w:rsid w:val="00A562F0"/>
    <w:rsid w:val="00A570BB"/>
    <w:rsid w:val="00A57106"/>
    <w:rsid w:val="00A5735A"/>
    <w:rsid w:val="00A57848"/>
    <w:rsid w:val="00A57D7B"/>
    <w:rsid w:val="00A60286"/>
    <w:rsid w:val="00A60769"/>
    <w:rsid w:val="00A60EFF"/>
    <w:rsid w:val="00A614DB"/>
    <w:rsid w:val="00A61CEC"/>
    <w:rsid w:val="00A62072"/>
    <w:rsid w:val="00A62B3F"/>
    <w:rsid w:val="00A63267"/>
    <w:rsid w:val="00A638E3"/>
    <w:rsid w:val="00A63F95"/>
    <w:rsid w:val="00A63FD6"/>
    <w:rsid w:val="00A6468E"/>
    <w:rsid w:val="00A647C0"/>
    <w:rsid w:val="00A64A28"/>
    <w:rsid w:val="00A6554E"/>
    <w:rsid w:val="00A65C17"/>
    <w:rsid w:val="00A66226"/>
    <w:rsid w:val="00A6643E"/>
    <w:rsid w:val="00A664BE"/>
    <w:rsid w:val="00A66952"/>
    <w:rsid w:val="00A67785"/>
    <w:rsid w:val="00A703E3"/>
    <w:rsid w:val="00A70BC4"/>
    <w:rsid w:val="00A713F4"/>
    <w:rsid w:val="00A72B7E"/>
    <w:rsid w:val="00A73034"/>
    <w:rsid w:val="00A73276"/>
    <w:rsid w:val="00A73409"/>
    <w:rsid w:val="00A73565"/>
    <w:rsid w:val="00A73A47"/>
    <w:rsid w:val="00A73E41"/>
    <w:rsid w:val="00A74602"/>
    <w:rsid w:val="00A74797"/>
    <w:rsid w:val="00A74893"/>
    <w:rsid w:val="00A74937"/>
    <w:rsid w:val="00A74ABF"/>
    <w:rsid w:val="00A7529B"/>
    <w:rsid w:val="00A752EC"/>
    <w:rsid w:val="00A755E8"/>
    <w:rsid w:val="00A75A87"/>
    <w:rsid w:val="00A75F04"/>
    <w:rsid w:val="00A75F0E"/>
    <w:rsid w:val="00A763BE"/>
    <w:rsid w:val="00A76528"/>
    <w:rsid w:val="00A76C79"/>
    <w:rsid w:val="00A779E3"/>
    <w:rsid w:val="00A80AAE"/>
    <w:rsid w:val="00A80BC3"/>
    <w:rsid w:val="00A8105C"/>
    <w:rsid w:val="00A812EC"/>
    <w:rsid w:val="00A814B3"/>
    <w:rsid w:val="00A83043"/>
    <w:rsid w:val="00A8375F"/>
    <w:rsid w:val="00A83937"/>
    <w:rsid w:val="00A83BC8"/>
    <w:rsid w:val="00A84144"/>
    <w:rsid w:val="00A8434B"/>
    <w:rsid w:val="00A8453F"/>
    <w:rsid w:val="00A84908"/>
    <w:rsid w:val="00A85263"/>
    <w:rsid w:val="00A858AB"/>
    <w:rsid w:val="00A85F04"/>
    <w:rsid w:val="00A86142"/>
    <w:rsid w:val="00A86F88"/>
    <w:rsid w:val="00A90588"/>
    <w:rsid w:val="00A9069E"/>
    <w:rsid w:val="00A909CB"/>
    <w:rsid w:val="00A909D6"/>
    <w:rsid w:val="00A90B48"/>
    <w:rsid w:val="00A90FE6"/>
    <w:rsid w:val="00A914D4"/>
    <w:rsid w:val="00A91D02"/>
    <w:rsid w:val="00A921E9"/>
    <w:rsid w:val="00A9316C"/>
    <w:rsid w:val="00A93A3B"/>
    <w:rsid w:val="00A93CC2"/>
    <w:rsid w:val="00A9424A"/>
    <w:rsid w:val="00A955AB"/>
    <w:rsid w:val="00A9572D"/>
    <w:rsid w:val="00A958CA"/>
    <w:rsid w:val="00A95935"/>
    <w:rsid w:val="00A95BD5"/>
    <w:rsid w:val="00A95E3C"/>
    <w:rsid w:val="00A964C6"/>
    <w:rsid w:val="00A96B3A"/>
    <w:rsid w:val="00A97263"/>
    <w:rsid w:val="00A97996"/>
    <w:rsid w:val="00A97D62"/>
    <w:rsid w:val="00AA067B"/>
    <w:rsid w:val="00AA0B47"/>
    <w:rsid w:val="00AA0C2D"/>
    <w:rsid w:val="00AA193A"/>
    <w:rsid w:val="00AA2DA9"/>
    <w:rsid w:val="00AA398B"/>
    <w:rsid w:val="00AA3F29"/>
    <w:rsid w:val="00AA4528"/>
    <w:rsid w:val="00AA476D"/>
    <w:rsid w:val="00AA49C1"/>
    <w:rsid w:val="00AA4D48"/>
    <w:rsid w:val="00AA4F24"/>
    <w:rsid w:val="00AA5534"/>
    <w:rsid w:val="00AA5657"/>
    <w:rsid w:val="00AA5688"/>
    <w:rsid w:val="00AA5C0C"/>
    <w:rsid w:val="00AA5C30"/>
    <w:rsid w:val="00AA652B"/>
    <w:rsid w:val="00AA66C7"/>
    <w:rsid w:val="00AA69A7"/>
    <w:rsid w:val="00AA6A23"/>
    <w:rsid w:val="00AA6A58"/>
    <w:rsid w:val="00AA6C58"/>
    <w:rsid w:val="00AA6EA0"/>
    <w:rsid w:val="00AA7DEA"/>
    <w:rsid w:val="00AA7F92"/>
    <w:rsid w:val="00AB02A7"/>
    <w:rsid w:val="00AB0368"/>
    <w:rsid w:val="00AB10FD"/>
    <w:rsid w:val="00AB236A"/>
    <w:rsid w:val="00AB2676"/>
    <w:rsid w:val="00AB28F6"/>
    <w:rsid w:val="00AB368A"/>
    <w:rsid w:val="00AB3D16"/>
    <w:rsid w:val="00AB426E"/>
    <w:rsid w:val="00AB4C5C"/>
    <w:rsid w:val="00AB4E5F"/>
    <w:rsid w:val="00AB525B"/>
    <w:rsid w:val="00AB541D"/>
    <w:rsid w:val="00AB5426"/>
    <w:rsid w:val="00AB5544"/>
    <w:rsid w:val="00AB585F"/>
    <w:rsid w:val="00AB5E52"/>
    <w:rsid w:val="00AB6000"/>
    <w:rsid w:val="00AB623E"/>
    <w:rsid w:val="00AB68E6"/>
    <w:rsid w:val="00AB73DE"/>
    <w:rsid w:val="00AB78B6"/>
    <w:rsid w:val="00AB7F5E"/>
    <w:rsid w:val="00AB7F77"/>
    <w:rsid w:val="00AC01EF"/>
    <w:rsid w:val="00AC0799"/>
    <w:rsid w:val="00AC0CF2"/>
    <w:rsid w:val="00AC121F"/>
    <w:rsid w:val="00AC13C8"/>
    <w:rsid w:val="00AC1E47"/>
    <w:rsid w:val="00AC1F7B"/>
    <w:rsid w:val="00AC2286"/>
    <w:rsid w:val="00AC24BC"/>
    <w:rsid w:val="00AC2A3B"/>
    <w:rsid w:val="00AC2D8D"/>
    <w:rsid w:val="00AC41B0"/>
    <w:rsid w:val="00AC45CC"/>
    <w:rsid w:val="00AC59BC"/>
    <w:rsid w:val="00AC5E1F"/>
    <w:rsid w:val="00AC60C0"/>
    <w:rsid w:val="00AC656F"/>
    <w:rsid w:val="00AC6824"/>
    <w:rsid w:val="00AC6AC7"/>
    <w:rsid w:val="00AC7F5D"/>
    <w:rsid w:val="00AD0A49"/>
    <w:rsid w:val="00AD0B7D"/>
    <w:rsid w:val="00AD0CDD"/>
    <w:rsid w:val="00AD1169"/>
    <w:rsid w:val="00AD246D"/>
    <w:rsid w:val="00AD2684"/>
    <w:rsid w:val="00AD27DF"/>
    <w:rsid w:val="00AD3BF2"/>
    <w:rsid w:val="00AD4014"/>
    <w:rsid w:val="00AD4EDB"/>
    <w:rsid w:val="00AD5525"/>
    <w:rsid w:val="00AD5A00"/>
    <w:rsid w:val="00AD638C"/>
    <w:rsid w:val="00AD664A"/>
    <w:rsid w:val="00AD6761"/>
    <w:rsid w:val="00AD6A03"/>
    <w:rsid w:val="00AD6DB1"/>
    <w:rsid w:val="00AD7082"/>
    <w:rsid w:val="00AD75AB"/>
    <w:rsid w:val="00AD7CE0"/>
    <w:rsid w:val="00AE089E"/>
    <w:rsid w:val="00AE12EC"/>
    <w:rsid w:val="00AE20C2"/>
    <w:rsid w:val="00AE30C2"/>
    <w:rsid w:val="00AE4140"/>
    <w:rsid w:val="00AE4251"/>
    <w:rsid w:val="00AE431C"/>
    <w:rsid w:val="00AE4709"/>
    <w:rsid w:val="00AE5680"/>
    <w:rsid w:val="00AE5A64"/>
    <w:rsid w:val="00AE5CF0"/>
    <w:rsid w:val="00AE5F13"/>
    <w:rsid w:val="00AE60E3"/>
    <w:rsid w:val="00AE6691"/>
    <w:rsid w:val="00AE6DC6"/>
    <w:rsid w:val="00AE707D"/>
    <w:rsid w:val="00AE75AD"/>
    <w:rsid w:val="00AE7962"/>
    <w:rsid w:val="00AE79B4"/>
    <w:rsid w:val="00AF1E55"/>
    <w:rsid w:val="00AF2279"/>
    <w:rsid w:val="00AF2332"/>
    <w:rsid w:val="00AF256A"/>
    <w:rsid w:val="00AF2CD6"/>
    <w:rsid w:val="00AF3572"/>
    <w:rsid w:val="00AF3CA3"/>
    <w:rsid w:val="00AF3E77"/>
    <w:rsid w:val="00AF3EB9"/>
    <w:rsid w:val="00AF40B5"/>
    <w:rsid w:val="00AF5688"/>
    <w:rsid w:val="00AF5BB4"/>
    <w:rsid w:val="00AF5D9A"/>
    <w:rsid w:val="00AF619C"/>
    <w:rsid w:val="00AF671D"/>
    <w:rsid w:val="00AF7619"/>
    <w:rsid w:val="00AF784C"/>
    <w:rsid w:val="00AF7ED0"/>
    <w:rsid w:val="00B00F18"/>
    <w:rsid w:val="00B00F83"/>
    <w:rsid w:val="00B0197C"/>
    <w:rsid w:val="00B0218F"/>
    <w:rsid w:val="00B02F5F"/>
    <w:rsid w:val="00B034CC"/>
    <w:rsid w:val="00B03D09"/>
    <w:rsid w:val="00B047CE"/>
    <w:rsid w:val="00B04B8F"/>
    <w:rsid w:val="00B04FA7"/>
    <w:rsid w:val="00B05306"/>
    <w:rsid w:val="00B06921"/>
    <w:rsid w:val="00B06BD4"/>
    <w:rsid w:val="00B070AD"/>
    <w:rsid w:val="00B10E25"/>
    <w:rsid w:val="00B1109E"/>
    <w:rsid w:val="00B11AB2"/>
    <w:rsid w:val="00B11C0B"/>
    <w:rsid w:val="00B12319"/>
    <w:rsid w:val="00B12A92"/>
    <w:rsid w:val="00B12C84"/>
    <w:rsid w:val="00B13DE2"/>
    <w:rsid w:val="00B143E1"/>
    <w:rsid w:val="00B14637"/>
    <w:rsid w:val="00B14913"/>
    <w:rsid w:val="00B14949"/>
    <w:rsid w:val="00B15167"/>
    <w:rsid w:val="00B151CA"/>
    <w:rsid w:val="00B15C50"/>
    <w:rsid w:val="00B15FD0"/>
    <w:rsid w:val="00B16649"/>
    <w:rsid w:val="00B1722C"/>
    <w:rsid w:val="00B17244"/>
    <w:rsid w:val="00B178AB"/>
    <w:rsid w:val="00B17F01"/>
    <w:rsid w:val="00B2042A"/>
    <w:rsid w:val="00B20A9E"/>
    <w:rsid w:val="00B218B0"/>
    <w:rsid w:val="00B21B9F"/>
    <w:rsid w:val="00B21F0D"/>
    <w:rsid w:val="00B22716"/>
    <w:rsid w:val="00B22884"/>
    <w:rsid w:val="00B22C7C"/>
    <w:rsid w:val="00B23BFB"/>
    <w:rsid w:val="00B2404F"/>
    <w:rsid w:val="00B24140"/>
    <w:rsid w:val="00B249CE"/>
    <w:rsid w:val="00B24FC6"/>
    <w:rsid w:val="00B25FB1"/>
    <w:rsid w:val="00B26524"/>
    <w:rsid w:val="00B26542"/>
    <w:rsid w:val="00B2673C"/>
    <w:rsid w:val="00B27008"/>
    <w:rsid w:val="00B271F3"/>
    <w:rsid w:val="00B27ADD"/>
    <w:rsid w:val="00B27DCB"/>
    <w:rsid w:val="00B30977"/>
    <w:rsid w:val="00B30D40"/>
    <w:rsid w:val="00B3117D"/>
    <w:rsid w:val="00B31813"/>
    <w:rsid w:val="00B31CB2"/>
    <w:rsid w:val="00B31D77"/>
    <w:rsid w:val="00B321E4"/>
    <w:rsid w:val="00B32917"/>
    <w:rsid w:val="00B338A0"/>
    <w:rsid w:val="00B341BB"/>
    <w:rsid w:val="00B34928"/>
    <w:rsid w:val="00B3498F"/>
    <w:rsid w:val="00B34BAA"/>
    <w:rsid w:val="00B34E1B"/>
    <w:rsid w:val="00B350F7"/>
    <w:rsid w:val="00B351DE"/>
    <w:rsid w:val="00B35D48"/>
    <w:rsid w:val="00B35D98"/>
    <w:rsid w:val="00B36128"/>
    <w:rsid w:val="00B3617E"/>
    <w:rsid w:val="00B366BA"/>
    <w:rsid w:val="00B3689F"/>
    <w:rsid w:val="00B36A3D"/>
    <w:rsid w:val="00B36CB8"/>
    <w:rsid w:val="00B37536"/>
    <w:rsid w:val="00B378E9"/>
    <w:rsid w:val="00B378F3"/>
    <w:rsid w:val="00B40702"/>
    <w:rsid w:val="00B40D77"/>
    <w:rsid w:val="00B42095"/>
    <w:rsid w:val="00B421C7"/>
    <w:rsid w:val="00B42287"/>
    <w:rsid w:val="00B42499"/>
    <w:rsid w:val="00B42E7A"/>
    <w:rsid w:val="00B42FDB"/>
    <w:rsid w:val="00B43675"/>
    <w:rsid w:val="00B43A9D"/>
    <w:rsid w:val="00B43D3D"/>
    <w:rsid w:val="00B44E5B"/>
    <w:rsid w:val="00B45EB9"/>
    <w:rsid w:val="00B46552"/>
    <w:rsid w:val="00B46ACF"/>
    <w:rsid w:val="00B47499"/>
    <w:rsid w:val="00B47BE7"/>
    <w:rsid w:val="00B47DA7"/>
    <w:rsid w:val="00B50467"/>
    <w:rsid w:val="00B50634"/>
    <w:rsid w:val="00B507DC"/>
    <w:rsid w:val="00B50F8E"/>
    <w:rsid w:val="00B511BA"/>
    <w:rsid w:val="00B51780"/>
    <w:rsid w:val="00B51EEE"/>
    <w:rsid w:val="00B52FE8"/>
    <w:rsid w:val="00B53466"/>
    <w:rsid w:val="00B53B5D"/>
    <w:rsid w:val="00B55137"/>
    <w:rsid w:val="00B555F1"/>
    <w:rsid w:val="00B557CE"/>
    <w:rsid w:val="00B55CD3"/>
    <w:rsid w:val="00B55F57"/>
    <w:rsid w:val="00B5608C"/>
    <w:rsid w:val="00B56432"/>
    <w:rsid w:val="00B569C5"/>
    <w:rsid w:val="00B5704B"/>
    <w:rsid w:val="00B5715F"/>
    <w:rsid w:val="00B57BAB"/>
    <w:rsid w:val="00B6061F"/>
    <w:rsid w:val="00B60E51"/>
    <w:rsid w:val="00B611CC"/>
    <w:rsid w:val="00B6139E"/>
    <w:rsid w:val="00B613EE"/>
    <w:rsid w:val="00B61965"/>
    <w:rsid w:val="00B61FD1"/>
    <w:rsid w:val="00B625A5"/>
    <w:rsid w:val="00B6278C"/>
    <w:rsid w:val="00B62FF1"/>
    <w:rsid w:val="00B63486"/>
    <w:rsid w:val="00B63F00"/>
    <w:rsid w:val="00B64AB3"/>
    <w:rsid w:val="00B65697"/>
    <w:rsid w:val="00B65763"/>
    <w:rsid w:val="00B658CD"/>
    <w:rsid w:val="00B665FB"/>
    <w:rsid w:val="00B667BF"/>
    <w:rsid w:val="00B667DB"/>
    <w:rsid w:val="00B673C4"/>
    <w:rsid w:val="00B6772A"/>
    <w:rsid w:val="00B7008E"/>
    <w:rsid w:val="00B7094E"/>
    <w:rsid w:val="00B70E26"/>
    <w:rsid w:val="00B71002"/>
    <w:rsid w:val="00B71B90"/>
    <w:rsid w:val="00B71EA7"/>
    <w:rsid w:val="00B72A52"/>
    <w:rsid w:val="00B72C1C"/>
    <w:rsid w:val="00B72E52"/>
    <w:rsid w:val="00B73447"/>
    <w:rsid w:val="00B7470F"/>
    <w:rsid w:val="00B75411"/>
    <w:rsid w:val="00B75415"/>
    <w:rsid w:val="00B75561"/>
    <w:rsid w:val="00B7573E"/>
    <w:rsid w:val="00B765FE"/>
    <w:rsid w:val="00B7679C"/>
    <w:rsid w:val="00B76BDD"/>
    <w:rsid w:val="00B76DAB"/>
    <w:rsid w:val="00B771FB"/>
    <w:rsid w:val="00B774A6"/>
    <w:rsid w:val="00B7769F"/>
    <w:rsid w:val="00B77D42"/>
    <w:rsid w:val="00B77EA3"/>
    <w:rsid w:val="00B77F0B"/>
    <w:rsid w:val="00B804EF"/>
    <w:rsid w:val="00B8117D"/>
    <w:rsid w:val="00B816E8"/>
    <w:rsid w:val="00B81DDA"/>
    <w:rsid w:val="00B8341A"/>
    <w:rsid w:val="00B8369A"/>
    <w:rsid w:val="00B83744"/>
    <w:rsid w:val="00B84DC3"/>
    <w:rsid w:val="00B84EE8"/>
    <w:rsid w:val="00B85037"/>
    <w:rsid w:val="00B850AB"/>
    <w:rsid w:val="00B8524E"/>
    <w:rsid w:val="00B85867"/>
    <w:rsid w:val="00B85A76"/>
    <w:rsid w:val="00B85C8F"/>
    <w:rsid w:val="00B86136"/>
    <w:rsid w:val="00B86413"/>
    <w:rsid w:val="00B86734"/>
    <w:rsid w:val="00B86F46"/>
    <w:rsid w:val="00B873F4"/>
    <w:rsid w:val="00B9020C"/>
    <w:rsid w:val="00B9171D"/>
    <w:rsid w:val="00B91D61"/>
    <w:rsid w:val="00B9280E"/>
    <w:rsid w:val="00B92D69"/>
    <w:rsid w:val="00B932AB"/>
    <w:rsid w:val="00B93826"/>
    <w:rsid w:val="00B9400D"/>
    <w:rsid w:val="00B94116"/>
    <w:rsid w:val="00B94710"/>
    <w:rsid w:val="00B9494C"/>
    <w:rsid w:val="00B949BD"/>
    <w:rsid w:val="00B94C1C"/>
    <w:rsid w:val="00B94C27"/>
    <w:rsid w:val="00B95049"/>
    <w:rsid w:val="00B95507"/>
    <w:rsid w:val="00B95B2C"/>
    <w:rsid w:val="00B95FC4"/>
    <w:rsid w:val="00B96020"/>
    <w:rsid w:val="00B9629C"/>
    <w:rsid w:val="00B969E2"/>
    <w:rsid w:val="00B96A82"/>
    <w:rsid w:val="00B96D95"/>
    <w:rsid w:val="00B972CB"/>
    <w:rsid w:val="00B97956"/>
    <w:rsid w:val="00B97B9C"/>
    <w:rsid w:val="00BA066B"/>
    <w:rsid w:val="00BA0858"/>
    <w:rsid w:val="00BA1163"/>
    <w:rsid w:val="00BA1286"/>
    <w:rsid w:val="00BA160F"/>
    <w:rsid w:val="00BA18C9"/>
    <w:rsid w:val="00BA497A"/>
    <w:rsid w:val="00BA5082"/>
    <w:rsid w:val="00BA5452"/>
    <w:rsid w:val="00BA5523"/>
    <w:rsid w:val="00BA5C99"/>
    <w:rsid w:val="00BA5D24"/>
    <w:rsid w:val="00BA602A"/>
    <w:rsid w:val="00BA6212"/>
    <w:rsid w:val="00BA6BF3"/>
    <w:rsid w:val="00BA6D3F"/>
    <w:rsid w:val="00BA6E1D"/>
    <w:rsid w:val="00BA7A86"/>
    <w:rsid w:val="00BB044F"/>
    <w:rsid w:val="00BB0760"/>
    <w:rsid w:val="00BB10A1"/>
    <w:rsid w:val="00BB1136"/>
    <w:rsid w:val="00BB17BB"/>
    <w:rsid w:val="00BB18C3"/>
    <w:rsid w:val="00BB1BCB"/>
    <w:rsid w:val="00BB1DDB"/>
    <w:rsid w:val="00BB232A"/>
    <w:rsid w:val="00BB3278"/>
    <w:rsid w:val="00BB35BD"/>
    <w:rsid w:val="00BB3D4E"/>
    <w:rsid w:val="00BB3FD7"/>
    <w:rsid w:val="00BB4898"/>
    <w:rsid w:val="00BB4D53"/>
    <w:rsid w:val="00BB5609"/>
    <w:rsid w:val="00BB5DE1"/>
    <w:rsid w:val="00BB62E8"/>
    <w:rsid w:val="00BB67FF"/>
    <w:rsid w:val="00BB7420"/>
    <w:rsid w:val="00BC0015"/>
    <w:rsid w:val="00BC0772"/>
    <w:rsid w:val="00BC1EF7"/>
    <w:rsid w:val="00BC2580"/>
    <w:rsid w:val="00BC29A6"/>
    <w:rsid w:val="00BC3D25"/>
    <w:rsid w:val="00BC3F11"/>
    <w:rsid w:val="00BC45A4"/>
    <w:rsid w:val="00BC4ADF"/>
    <w:rsid w:val="00BC5040"/>
    <w:rsid w:val="00BC535D"/>
    <w:rsid w:val="00BC5A10"/>
    <w:rsid w:val="00BC6527"/>
    <w:rsid w:val="00BC7266"/>
    <w:rsid w:val="00BC74B0"/>
    <w:rsid w:val="00BC75FA"/>
    <w:rsid w:val="00BC78E5"/>
    <w:rsid w:val="00BC7B59"/>
    <w:rsid w:val="00BC7C29"/>
    <w:rsid w:val="00BD0B3C"/>
    <w:rsid w:val="00BD1566"/>
    <w:rsid w:val="00BD157A"/>
    <w:rsid w:val="00BD1BF5"/>
    <w:rsid w:val="00BD1D4F"/>
    <w:rsid w:val="00BD1ECC"/>
    <w:rsid w:val="00BD2000"/>
    <w:rsid w:val="00BD219A"/>
    <w:rsid w:val="00BD2664"/>
    <w:rsid w:val="00BD3323"/>
    <w:rsid w:val="00BD3459"/>
    <w:rsid w:val="00BD3826"/>
    <w:rsid w:val="00BD440F"/>
    <w:rsid w:val="00BD465E"/>
    <w:rsid w:val="00BD491D"/>
    <w:rsid w:val="00BD55F5"/>
    <w:rsid w:val="00BD6048"/>
    <w:rsid w:val="00BD6B49"/>
    <w:rsid w:val="00BD73B5"/>
    <w:rsid w:val="00BD7539"/>
    <w:rsid w:val="00BD7673"/>
    <w:rsid w:val="00BD76F3"/>
    <w:rsid w:val="00BD7AFB"/>
    <w:rsid w:val="00BD7F73"/>
    <w:rsid w:val="00BE0A7D"/>
    <w:rsid w:val="00BE2248"/>
    <w:rsid w:val="00BE27D4"/>
    <w:rsid w:val="00BE2AC5"/>
    <w:rsid w:val="00BE32D2"/>
    <w:rsid w:val="00BE3316"/>
    <w:rsid w:val="00BE36F9"/>
    <w:rsid w:val="00BE3FE1"/>
    <w:rsid w:val="00BE41AF"/>
    <w:rsid w:val="00BE4663"/>
    <w:rsid w:val="00BE48DE"/>
    <w:rsid w:val="00BE4B6E"/>
    <w:rsid w:val="00BE518A"/>
    <w:rsid w:val="00BE599A"/>
    <w:rsid w:val="00BE59DB"/>
    <w:rsid w:val="00BE6075"/>
    <w:rsid w:val="00BE628F"/>
    <w:rsid w:val="00BE6418"/>
    <w:rsid w:val="00BE64F8"/>
    <w:rsid w:val="00BE719A"/>
    <w:rsid w:val="00BE759F"/>
    <w:rsid w:val="00BF0C1A"/>
    <w:rsid w:val="00BF0EAB"/>
    <w:rsid w:val="00BF0EAC"/>
    <w:rsid w:val="00BF14D9"/>
    <w:rsid w:val="00BF17F1"/>
    <w:rsid w:val="00BF19AF"/>
    <w:rsid w:val="00BF1F5B"/>
    <w:rsid w:val="00BF274A"/>
    <w:rsid w:val="00BF351F"/>
    <w:rsid w:val="00BF353B"/>
    <w:rsid w:val="00BF3BB9"/>
    <w:rsid w:val="00BF3F99"/>
    <w:rsid w:val="00BF47FF"/>
    <w:rsid w:val="00BF5283"/>
    <w:rsid w:val="00BF5636"/>
    <w:rsid w:val="00BF569A"/>
    <w:rsid w:val="00BF63A2"/>
    <w:rsid w:val="00BF6508"/>
    <w:rsid w:val="00BF6F72"/>
    <w:rsid w:val="00BF70D7"/>
    <w:rsid w:val="00BF7103"/>
    <w:rsid w:val="00BF7558"/>
    <w:rsid w:val="00BF761C"/>
    <w:rsid w:val="00BF7CCD"/>
    <w:rsid w:val="00C004B2"/>
    <w:rsid w:val="00C00660"/>
    <w:rsid w:val="00C00EB6"/>
    <w:rsid w:val="00C0106C"/>
    <w:rsid w:val="00C01653"/>
    <w:rsid w:val="00C02872"/>
    <w:rsid w:val="00C02ABB"/>
    <w:rsid w:val="00C03BCF"/>
    <w:rsid w:val="00C046AC"/>
    <w:rsid w:val="00C04E36"/>
    <w:rsid w:val="00C05177"/>
    <w:rsid w:val="00C051DC"/>
    <w:rsid w:val="00C053A9"/>
    <w:rsid w:val="00C05901"/>
    <w:rsid w:val="00C05970"/>
    <w:rsid w:val="00C05CB1"/>
    <w:rsid w:val="00C05D54"/>
    <w:rsid w:val="00C0635D"/>
    <w:rsid w:val="00C0688A"/>
    <w:rsid w:val="00C06DB6"/>
    <w:rsid w:val="00C07793"/>
    <w:rsid w:val="00C07F94"/>
    <w:rsid w:val="00C10AB9"/>
    <w:rsid w:val="00C116B6"/>
    <w:rsid w:val="00C11A46"/>
    <w:rsid w:val="00C11A6F"/>
    <w:rsid w:val="00C120AD"/>
    <w:rsid w:val="00C12359"/>
    <w:rsid w:val="00C13040"/>
    <w:rsid w:val="00C137C2"/>
    <w:rsid w:val="00C1390C"/>
    <w:rsid w:val="00C140E0"/>
    <w:rsid w:val="00C14658"/>
    <w:rsid w:val="00C146C2"/>
    <w:rsid w:val="00C14853"/>
    <w:rsid w:val="00C15661"/>
    <w:rsid w:val="00C156BB"/>
    <w:rsid w:val="00C15797"/>
    <w:rsid w:val="00C159AE"/>
    <w:rsid w:val="00C15B22"/>
    <w:rsid w:val="00C1698D"/>
    <w:rsid w:val="00C17848"/>
    <w:rsid w:val="00C17E10"/>
    <w:rsid w:val="00C205EA"/>
    <w:rsid w:val="00C2105A"/>
    <w:rsid w:val="00C21699"/>
    <w:rsid w:val="00C228B7"/>
    <w:rsid w:val="00C22A93"/>
    <w:rsid w:val="00C22C06"/>
    <w:rsid w:val="00C22F94"/>
    <w:rsid w:val="00C23608"/>
    <w:rsid w:val="00C25223"/>
    <w:rsid w:val="00C26351"/>
    <w:rsid w:val="00C268DE"/>
    <w:rsid w:val="00C269CC"/>
    <w:rsid w:val="00C273F0"/>
    <w:rsid w:val="00C27459"/>
    <w:rsid w:val="00C30656"/>
    <w:rsid w:val="00C3069B"/>
    <w:rsid w:val="00C30E5A"/>
    <w:rsid w:val="00C31270"/>
    <w:rsid w:val="00C3182E"/>
    <w:rsid w:val="00C319D1"/>
    <w:rsid w:val="00C31CE8"/>
    <w:rsid w:val="00C31F98"/>
    <w:rsid w:val="00C325C2"/>
    <w:rsid w:val="00C327DC"/>
    <w:rsid w:val="00C32EA6"/>
    <w:rsid w:val="00C33EBD"/>
    <w:rsid w:val="00C33FBD"/>
    <w:rsid w:val="00C34A55"/>
    <w:rsid w:val="00C34BFA"/>
    <w:rsid w:val="00C351C9"/>
    <w:rsid w:val="00C35255"/>
    <w:rsid w:val="00C355AE"/>
    <w:rsid w:val="00C355F7"/>
    <w:rsid w:val="00C3567B"/>
    <w:rsid w:val="00C35DB5"/>
    <w:rsid w:val="00C3739E"/>
    <w:rsid w:val="00C37ED9"/>
    <w:rsid w:val="00C414ED"/>
    <w:rsid w:val="00C41648"/>
    <w:rsid w:val="00C418BB"/>
    <w:rsid w:val="00C41D7F"/>
    <w:rsid w:val="00C4403E"/>
    <w:rsid w:val="00C44A8E"/>
    <w:rsid w:val="00C44C53"/>
    <w:rsid w:val="00C44ECE"/>
    <w:rsid w:val="00C4557F"/>
    <w:rsid w:val="00C4613B"/>
    <w:rsid w:val="00C46206"/>
    <w:rsid w:val="00C4622D"/>
    <w:rsid w:val="00C4662B"/>
    <w:rsid w:val="00C46768"/>
    <w:rsid w:val="00C4744D"/>
    <w:rsid w:val="00C4791A"/>
    <w:rsid w:val="00C5027B"/>
    <w:rsid w:val="00C51582"/>
    <w:rsid w:val="00C51814"/>
    <w:rsid w:val="00C523D5"/>
    <w:rsid w:val="00C526CB"/>
    <w:rsid w:val="00C52A0A"/>
    <w:rsid w:val="00C52A2B"/>
    <w:rsid w:val="00C53008"/>
    <w:rsid w:val="00C534D0"/>
    <w:rsid w:val="00C539FF"/>
    <w:rsid w:val="00C53C72"/>
    <w:rsid w:val="00C53DA6"/>
    <w:rsid w:val="00C546A2"/>
    <w:rsid w:val="00C54E6D"/>
    <w:rsid w:val="00C550C6"/>
    <w:rsid w:val="00C557CD"/>
    <w:rsid w:val="00C55C0C"/>
    <w:rsid w:val="00C55E10"/>
    <w:rsid w:val="00C55EFC"/>
    <w:rsid w:val="00C570D8"/>
    <w:rsid w:val="00C57CBC"/>
    <w:rsid w:val="00C6027C"/>
    <w:rsid w:val="00C60AE8"/>
    <w:rsid w:val="00C6103D"/>
    <w:rsid w:val="00C6104D"/>
    <w:rsid w:val="00C6124D"/>
    <w:rsid w:val="00C61E3C"/>
    <w:rsid w:val="00C6294E"/>
    <w:rsid w:val="00C634A4"/>
    <w:rsid w:val="00C634C6"/>
    <w:rsid w:val="00C635B0"/>
    <w:rsid w:val="00C635B3"/>
    <w:rsid w:val="00C63723"/>
    <w:rsid w:val="00C63763"/>
    <w:rsid w:val="00C6394C"/>
    <w:rsid w:val="00C63AE8"/>
    <w:rsid w:val="00C63FC3"/>
    <w:rsid w:val="00C64104"/>
    <w:rsid w:val="00C64D27"/>
    <w:rsid w:val="00C64E8C"/>
    <w:rsid w:val="00C660D6"/>
    <w:rsid w:val="00C6611D"/>
    <w:rsid w:val="00C66285"/>
    <w:rsid w:val="00C6692C"/>
    <w:rsid w:val="00C67976"/>
    <w:rsid w:val="00C67B81"/>
    <w:rsid w:val="00C702C2"/>
    <w:rsid w:val="00C704DC"/>
    <w:rsid w:val="00C717A7"/>
    <w:rsid w:val="00C71DF2"/>
    <w:rsid w:val="00C72F58"/>
    <w:rsid w:val="00C72FE3"/>
    <w:rsid w:val="00C734D6"/>
    <w:rsid w:val="00C739FB"/>
    <w:rsid w:val="00C73CB5"/>
    <w:rsid w:val="00C74A81"/>
    <w:rsid w:val="00C74BA8"/>
    <w:rsid w:val="00C74F36"/>
    <w:rsid w:val="00C75F17"/>
    <w:rsid w:val="00C76544"/>
    <w:rsid w:val="00C772D7"/>
    <w:rsid w:val="00C7771B"/>
    <w:rsid w:val="00C77DAF"/>
    <w:rsid w:val="00C80AB1"/>
    <w:rsid w:val="00C80F32"/>
    <w:rsid w:val="00C810D2"/>
    <w:rsid w:val="00C814E5"/>
    <w:rsid w:val="00C8172D"/>
    <w:rsid w:val="00C828FE"/>
    <w:rsid w:val="00C8403B"/>
    <w:rsid w:val="00C842C6"/>
    <w:rsid w:val="00C84C39"/>
    <w:rsid w:val="00C84FE6"/>
    <w:rsid w:val="00C8554A"/>
    <w:rsid w:val="00C85C19"/>
    <w:rsid w:val="00C86465"/>
    <w:rsid w:val="00C86B38"/>
    <w:rsid w:val="00C86FDF"/>
    <w:rsid w:val="00C8767F"/>
    <w:rsid w:val="00C87BF1"/>
    <w:rsid w:val="00C9052B"/>
    <w:rsid w:val="00C911C1"/>
    <w:rsid w:val="00C914B0"/>
    <w:rsid w:val="00C918B9"/>
    <w:rsid w:val="00C91A24"/>
    <w:rsid w:val="00C930C9"/>
    <w:rsid w:val="00C930CF"/>
    <w:rsid w:val="00C932E2"/>
    <w:rsid w:val="00C93761"/>
    <w:rsid w:val="00C957A6"/>
    <w:rsid w:val="00C95975"/>
    <w:rsid w:val="00C962B4"/>
    <w:rsid w:val="00C9744F"/>
    <w:rsid w:val="00C9799F"/>
    <w:rsid w:val="00C97CA8"/>
    <w:rsid w:val="00CA0129"/>
    <w:rsid w:val="00CA15FC"/>
    <w:rsid w:val="00CA1887"/>
    <w:rsid w:val="00CA1E4C"/>
    <w:rsid w:val="00CA25E3"/>
    <w:rsid w:val="00CA2820"/>
    <w:rsid w:val="00CA2B59"/>
    <w:rsid w:val="00CA338D"/>
    <w:rsid w:val="00CA3C65"/>
    <w:rsid w:val="00CA4F94"/>
    <w:rsid w:val="00CA526F"/>
    <w:rsid w:val="00CA5662"/>
    <w:rsid w:val="00CA58D6"/>
    <w:rsid w:val="00CA5EC3"/>
    <w:rsid w:val="00CA6B92"/>
    <w:rsid w:val="00CA6BE2"/>
    <w:rsid w:val="00CA75C5"/>
    <w:rsid w:val="00CA7C75"/>
    <w:rsid w:val="00CB1E5D"/>
    <w:rsid w:val="00CB1F31"/>
    <w:rsid w:val="00CB1F32"/>
    <w:rsid w:val="00CB1F82"/>
    <w:rsid w:val="00CB2127"/>
    <w:rsid w:val="00CB224A"/>
    <w:rsid w:val="00CB22C1"/>
    <w:rsid w:val="00CB2900"/>
    <w:rsid w:val="00CB2BF3"/>
    <w:rsid w:val="00CB3CCE"/>
    <w:rsid w:val="00CB4740"/>
    <w:rsid w:val="00CB47FB"/>
    <w:rsid w:val="00CB5A28"/>
    <w:rsid w:val="00CB5C1D"/>
    <w:rsid w:val="00CB6A52"/>
    <w:rsid w:val="00CB6AA7"/>
    <w:rsid w:val="00CB755C"/>
    <w:rsid w:val="00CB75D2"/>
    <w:rsid w:val="00CB7BD0"/>
    <w:rsid w:val="00CB7EB5"/>
    <w:rsid w:val="00CC0094"/>
    <w:rsid w:val="00CC0425"/>
    <w:rsid w:val="00CC086B"/>
    <w:rsid w:val="00CC0F28"/>
    <w:rsid w:val="00CC1A8A"/>
    <w:rsid w:val="00CC2066"/>
    <w:rsid w:val="00CC2405"/>
    <w:rsid w:val="00CC25D4"/>
    <w:rsid w:val="00CC26B2"/>
    <w:rsid w:val="00CC287D"/>
    <w:rsid w:val="00CC2C97"/>
    <w:rsid w:val="00CC3DEE"/>
    <w:rsid w:val="00CC4C38"/>
    <w:rsid w:val="00CC53B0"/>
    <w:rsid w:val="00CC57F8"/>
    <w:rsid w:val="00CC6032"/>
    <w:rsid w:val="00CC67EF"/>
    <w:rsid w:val="00CC6EFB"/>
    <w:rsid w:val="00CC755F"/>
    <w:rsid w:val="00CD0015"/>
    <w:rsid w:val="00CD0120"/>
    <w:rsid w:val="00CD0431"/>
    <w:rsid w:val="00CD07BC"/>
    <w:rsid w:val="00CD091A"/>
    <w:rsid w:val="00CD0A8A"/>
    <w:rsid w:val="00CD1196"/>
    <w:rsid w:val="00CD2534"/>
    <w:rsid w:val="00CD30CE"/>
    <w:rsid w:val="00CD398E"/>
    <w:rsid w:val="00CD3B3D"/>
    <w:rsid w:val="00CD476B"/>
    <w:rsid w:val="00CD47D0"/>
    <w:rsid w:val="00CD4979"/>
    <w:rsid w:val="00CD53F1"/>
    <w:rsid w:val="00CD54E2"/>
    <w:rsid w:val="00CD558D"/>
    <w:rsid w:val="00CD5A25"/>
    <w:rsid w:val="00CD5B37"/>
    <w:rsid w:val="00CD60FD"/>
    <w:rsid w:val="00CD68CC"/>
    <w:rsid w:val="00CD6D3D"/>
    <w:rsid w:val="00CD6E01"/>
    <w:rsid w:val="00CD7626"/>
    <w:rsid w:val="00CD79AE"/>
    <w:rsid w:val="00CE1716"/>
    <w:rsid w:val="00CE2988"/>
    <w:rsid w:val="00CE375C"/>
    <w:rsid w:val="00CE48E7"/>
    <w:rsid w:val="00CE4AC4"/>
    <w:rsid w:val="00CE4AE2"/>
    <w:rsid w:val="00CE500D"/>
    <w:rsid w:val="00CE54C8"/>
    <w:rsid w:val="00CE56ED"/>
    <w:rsid w:val="00CE67BD"/>
    <w:rsid w:val="00CE6E10"/>
    <w:rsid w:val="00CE6F9B"/>
    <w:rsid w:val="00CE7654"/>
    <w:rsid w:val="00CE7673"/>
    <w:rsid w:val="00CE7928"/>
    <w:rsid w:val="00CE7B99"/>
    <w:rsid w:val="00CE7C8F"/>
    <w:rsid w:val="00CF013A"/>
    <w:rsid w:val="00CF043B"/>
    <w:rsid w:val="00CF0660"/>
    <w:rsid w:val="00CF0FD5"/>
    <w:rsid w:val="00CF0FE6"/>
    <w:rsid w:val="00CF2DFC"/>
    <w:rsid w:val="00CF30A4"/>
    <w:rsid w:val="00CF3B37"/>
    <w:rsid w:val="00CF4095"/>
    <w:rsid w:val="00CF44FA"/>
    <w:rsid w:val="00CF45C4"/>
    <w:rsid w:val="00CF4D29"/>
    <w:rsid w:val="00CF4E9D"/>
    <w:rsid w:val="00CF533A"/>
    <w:rsid w:val="00CF6035"/>
    <w:rsid w:val="00CF6083"/>
    <w:rsid w:val="00CF6B41"/>
    <w:rsid w:val="00D00B19"/>
    <w:rsid w:val="00D013FC"/>
    <w:rsid w:val="00D018E3"/>
    <w:rsid w:val="00D01AC7"/>
    <w:rsid w:val="00D0208B"/>
    <w:rsid w:val="00D0239B"/>
    <w:rsid w:val="00D023B9"/>
    <w:rsid w:val="00D026A2"/>
    <w:rsid w:val="00D02864"/>
    <w:rsid w:val="00D03C32"/>
    <w:rsid w:val="00D03EF4"/>
    <w:rsid w:val="00D03FD1"/>
    <w:rsid w:val="00D044EA"/>
    <w:rsid w:val="00D04918"/>
    <w:rsid w:val="00D04A87"/>
    <w:rsid w:val="00D04DF6"/>
    <w:rsid w:val="00D04FCD"/>
    <w:rsid w:val="00D05589"/>
    <w:rsid w:val="00D0596C"/>
    <w:rsid w:val="00D061DE"/>
    <w:rsid w:val="00D069A8"/>
    <w:rsid w:val="00D06A1B"/>
    <w:rsid w:val="00D07A43"/>
    <w:rsid w:val="00D10B3C"/>
    <w:rsid w:val="00D10EA5"/>
    <w:rsid w:val="00D11517"/>
    <w:rsid w:val="00D124B4"/>
    <w:rsid w:val="00D12703"/>
    <w:rsid w:val="00D12A39"/>
    <w:rsid w:val="00D133EE"/>
    <w:rsid w:val="00D14D0A"/>
    <w:rsid w:val="00D15286"/>
    <w:rsid w:val="00D152CA"/>
    <w:rsid w:val="00D154CB"/>
    <w:rsid w:val="00D15A80"/>
    <w:rsid w:val="00D1611B"/>
    <w:rsid w:val="00D16178"/>
    <w:rsid w:val="00D16BAE"/>
    <w:rsid w:val="00D17048"/>
    <w:rsid w:val="00D174C1"/>
    <w:rsid w:val="00D1758C"/>
    <w:rsid w:val="00D17835"/>
    <w:rsid w:val="00D17B98"/>
    <w:rsid w:val="00D17F6E"/>
    <w:rsid w:val="00D21215"/>
    <w:rsid w:val="00D21283"/>
    <w:rsid w:val="00D21379"/>
    <w:rsid w:val="00D21A3F"/>
    <w:rsid w:val="00D21B31"/>
    <w:rsid w:val="00D21CD9"/>
    <w:rsid w:val="00D22910"/>
    <w:rsid w:val="00D22DE1"/>
    <w:rsid w:val="00D23085"/>
    <w:rsid w:val="00D23893"/>
    <w:rsid w:val="00D23B0A"/>
    <w:rsid w:val="00D23B31"/>
    <w:rsid w:val="00D24BDE"/>
    <w:rsid w:val="00D25186"/>
    <w:rsid w:val="00D25A79"/>
    <w:rsid w:val="00D25CE3"/>
    <w:rsid w:val="00D2658F"/>
    <w:rsid w:val="00D268C4"/>
    <w:rsid w:val="00D2781C"/>
    <w:rsid w:val="00D27EA0"/>
    <w:rsid w:val="00D31244"/>
    <w:rsid w:val="00D31585"/>
    <w:rsid w:val="00D31919"/>
    <w:rsid w:val="00D31E23"/>
    <w:rsid w:val="00D328EE"/>
    <w:rsid w:val="00D32DAB"/>
    <w:rsid w:val="00D32ED2"/>
    <w:rsid w:val="00D331CB"/>
    <w:rsid w:val="00D3454F"/>
    <w:rsid w:val="00D34D80"/>
    <w:rsid w:val="00D35032"/>
    <w:rsid w:val="00D355D7"/>
    <w:rsid w:val="00D35BCF"/>
    <w:rsid w:val="00D3640D"/>
    <w:rsid w:val="00D3736F"/>
    <w:rsid w:val="00D37810"/>
    <w:rsid w:val="00D40036"/>
    <w:rsid w:val="00D4005D"/>
    <w:rsid w:val="00D41313"/>
    <w:rsid w:val="00D4151B"/>
    <w:rsid w:val="00D42A3D"/>
    <w:rsid w:val="00D42D55"/>
    <w:rsid w:val="00D4307A"/>
    <w:rsid w:val="00D43B02"/>
    <w:rsid w:val="00D43F3D"/>
    <w:rsid w:val="00D43F59"/>
    <w:rsid w:val="00D440DE"/>
    <w:rsid w:val="00D4420C"/>
    <w:rsid w:val="00D44C98"/>
    <w:rsid w:val="00D4509B"/>
    <w:rsid w:val="00D45D74"/>
    <w:rsid w:val="00D46171"/>
    <w:rsid w:val="00D46334"/>
    <w:rsid w:val="00D464B8"/>
    <w:rsid w:val="00D46746"/>
    <w:rsid w:val="00D46798"/>
    <w:rsid w:val="00D46CF4"/>
    <w:rsid w:val="00D47063"/>
    <w:rsid w:val="00D47467"/>
    <w:rsid w:val="00D503E7"/>
    <w:rsid w:val="00D50CB4"/>
    <w:rsid w:val="00D511B0"/>
    <w:rsid w:val="00D51CF1"/>
    <w:rsid w:val="00D51E6B"/>
    <w:rsid w:val="00D5288E"/>
    <w:rsid w:val="00D52B74"/>
    <w:rsid w:val="00D53856"/>
    <w:rsid w:val="00D53A50"/>
    <w:rsid w:val="00D53CF6"/>
    <w:rsid w:val="00D53F6F"/>
    <w:rsid w:val="00D54317"/>
    <w:rsid w:val="00D54D40"/>
    <w:rsid w:val="00D55441"/>
    <w:rsid w:val="00D5610F"/>
    <w:rsid w:val="00D5673A"/>
    <w:rsid w:val="00D56918"/>
    <w:rsid w:val="00D5721F"/>
    <w:rsid w:val="00D57415"/>
    <w:rsid w:val="00D5762B"/>
    <w:rsid w:val="00D57683"/>
    <w:rsid w:val="00D609E8"/>
    <w:rsid w:val="00D60D71"/>
    <w:rsid w:val="00D60FC9"/>
    <w:rsid w:val="00D6179D"/>
    <w:rsid w:val="00D620F4"/>
    <w:rsid w:val="00D623AC"/>
    <w:rsid w:val="00D6257B"/>
    <w:rsid w:val="00D62781"/>
    <w:rsid w:val="00D62E92"/>
    <w:rsid w:val="00D62F66"/>
    <w:rsid w:val="00D63926"/>
    <w:rsid w:val="00D651F6"/>
    <w:rsid w:val="00D6549E"/>
    <w:rsid w:val="00D65FE1"/>
    <w:rsid w:val="00D6663B"/>
    <w:rsid w:val="00D678E7"/>
    <w:rsid w:val="00D67FE8"/>
    <w:rsid w:val="00D70526"/>
    <w:rsid w:val="00D7203F"/>
    <w:rsid w:val="00D725E3"/>
    <w:rsid w:val="00D7287A"/>
    <w:rsid w:val="00D729B7"/>
    <w:rsid w:val="00D72C78"/>
    <w:rsid w:val="00D731A3"/>
    <w:rsid w:val="00D731F8"/>
    <w:rsid w:val="00D734F7"/>
    <w:rsid w:val="00D73641"/>
    <w:rsid w:val="00D737CF"/>
    <w:rsid w:val="00D73B26"/>
    <w:rsid w:val="00D73B75"/>
    <w:rsid w:val="00D74952"/>
    <w:rsid w:val="00D76052"/>
    <w:rsid w:val="00D7653C"/>
    <w:rsid w:val="00D76C0C"/>
    <w:rsid w:val="00D76EEC"/>
    <w:rsid w:val="00D772AB"/>
    <w:rsid w:val="00D77404"/>
    <w:rsid w:val="00D80026"/>
    <w:rsid w:val="00D801E8"/>
    <w:rsid w:val="00D80795"/>
    <w:rsid w:val="00D81864"/>
    <w:rsid w:val="00D82C65"/>
    <w:rsid w:val="00D83627"/>
    <w:rsid w:val="00D83BB3"/>
    <w:rsid w:val="00D83C2C"/>
    <w:rsid w:val="00D850CC"/>
    <w:rsid w:val="00D856B1"/>
    <w:rsid w:val="00D86643"/>
    <w:rsid w:val="00D87DCC"/>
    <w:rsid w:val="00D90B1F"/>
    <w:rsid w:val="00D912A3"/>
    <w:rsid w:val="00D9188D"/>
    <w:rsid w:val="00D919D3"/>
    <w:rsid w:val="00D91E11"/>
    <w:rsid w:val="00D92123"/>
    <w:rsid w:val="00D92159"/>
    <w:rsid w:val="00D9221A"/>
    <w:rsid w:val="00D9231E"/>
    <w:rsid w:val="00D92B99"/>
    <w:rsid w:val="00D92C49"/>
    <w:rsid w:val="00D93079"/>
    <w:rsid w:val="00D943CD"/>
    <w:rsid w:val="00D94423"/>
    <w:rsid w:val="00D94795"/>
    <w:rsid w:val="00D94AD1"/>
    <w:rsid w:val="00D950DB"/>
    <w:rsid w:val="00D95831"/>
    <w:rsid w:val="00D9724A"/>
    <w:rsid w:val="00D976EF"/>
    <w:rsid w:val="00D97C39"/>
    <w:rsid w:val="00DA07AB"/>
    <w:rsid w:val="00DA112F"/>
    <w:rsid w:val="00DA16CE"/>
    <w:rsid w:val="00DA193A"/>
    <w:rsid w:val="00DA1B50"/>
    <w:rsid w:val="00DA1BD4"/>
    <w:rsid w:val="00DA2A0C"/>
    <w:rsid w:val="00DA2C2C"/>
    <w:rsid w:val="00DA3C18"/>
    <w:rsid w:val="00DA4131"/>
    <w:rsid w:val="00DA4246"/>
    <w:rsid w:val="00DA42C1"/>
    <w:rsid w:val="00DA4F6E"/>
    <w:rsid w:val="00DA526C"/>
    <w:rsid w:val="00DA5622"/>
    <w:rsid w:val="00DA5734"/>
    <w:rsid w:val="00DA5CED"/>
    <w:rsid w:val="00DA5D8C"/>
    <w:rsid w:val="00DA658B"/>
    <w:rsid w:val="00DB0602"/>
    <w:rsid w:val="00DB075F"/>
    <w:rsid w:val="00DB1089"/>
    <w:rsid w:val="00DB1A9C"/>
    <w:rsid w:val="00DB1B91"/>
    <w:rsid w:val="00DB1CEF"/>
    <w:rsid w:val="00DB1DF7"/>
    <w:rsid w:val="00DB2759"/>
    <w:rsid w:val="00DB2E48"/>
    <w:rsid w:val="00DB2FAC"/>
    <w:rsid w:val="00DB329F"/>
    <w:rsid w:val="00DB350E"/>
    <w:rsid w:val="00DB371A"/>
    <w:rsid w:val="00DB3B11"/>
    <w:rsid w:val="00DB4A82"/>
    <w:rsid w:val="00DB4BEE"/>
    <w:rsid w:val="00DB4F45"/>
    <w:rsid w:val="00DB4FDE"/>
    <w:rsid w:val="00DB5791"/>
    <w:rsid w:val="00DB5ACF"/>
    <w:rsid w:val="00DB5C06"/>
    <w:rsid w:val="00DB7454"/>
    <w:rsid w:val="00DB77CC"/>
    <w:rsid w:val="00DB7A6F"/>
    <w:rsid w:val="00DB7F90"/>
    <w:rsid w:val="00DC015E"/>
    <w:rsid w:val="00DC0718"/>
    <w:rsid w:val="00DC0BCC"/>
    <w:rsid w:val="00DC1BE1"/>
    <w:rsid w:val="00DC257A"/>
    <w:rsid w:val="00DC305A"/>
    <w:rsid w:val="00DC340C"/>
    <w:rsid w:val="00DC3619"/>
    <w:rsid w:val="00DC4F04"/>
    <w:rsid w:val="00DC5BEB"/>
    <w:rsid w:val="00DC6201"/>
    <w:rsid w:val="00DC639A"/>
    <w:rsid w:val="00DC7380"/>
    <w:rsid w:val="00DC78C2"/>
    <w:rsid w:val="00DC7E7B"/>
    <w:rsid w:val="00DC7FA8"/>
    <w:rsid w:val="00DD0C19"/>
    <w:rsid w:val="00DD0E93"/>
    <w:rsid w:val="00DD1404"/>
    <w:rsid w:val="00DD1C50"/>
    <w:rsid w:val="00DD1D96"/>
    <w:rsid w:val="00DD2017"/>
    <w:rsid w:val="00DD2262"/>
    <w:rsid w:val="00DD26D6"/>
    <w:rsid w:val="00DD2D51"/>
    <w:rsid w:val="00DD318D"/>
    <w:rsid w:val="00DD3726"/>
    <w:rsid w:val="00DD3731"/>
    <w:rsid w:val="00DD388F"/>
    <w:rsid w:val="00DD3A8A"/>
    <w:rsid w:val="00DD3FA2"/>
    <w:rsid w:val="00DD41A2"/>
    <w:rsid w:val="00DD4202"/>
    <w:rsid w:val="00DD46E1"/>
    <w:rsid w:val="00DD4923"/>
    <w:rsid w:val="00DD5029"/>
    <w:rsid w:val="00DD5543"/>
    <w:rsid w:val="00DD5B78"/>
    <w:rsid w:val="00DD6995"/>
    <w:rsid w:val="00DD6E12"/>
    <w:rsid w:val="00DD76C5"/>
    <w:rsid w:val="00DD7BFB"/>
    <w:rsid w:val="00DD7C33"/>
    <w:rsid w:val="00DD7F45"/>
    <w:rsid w:val="00DD7FAC"/>
    <w:rsid w:val="00DE03BA"/>
    <w:rsid w:val="00DE2262"/>
    <w:rsid w:val="00DE2350"/>
    <w:rsid w:val="00DE24E8"/>
    <w:rsid w:val="00DE2B14"/>
    <w:rsid w:val="00DE2B87"/>
    <w:rsid w:val="00DE3450"/>
    <w:rsid w:val="00DE3C8E"/>
    <w:rsid w:val="00DE4449"/>
    <w:rsid w:val="00DE4B99"/>
    <w:rsid w:val="00DE58C9"/>
    <w:rsid w:val="00DE680F"/>
    <w:rsid w:val="00DE75BE"/>
    <w:rsid w:val="00DF1364"/>
    <w:rsid w:val="00DF1A69"/>
    <w:rsid w:val="00DF1BD5"/>
    <w:rsid w:val="00DF2405"/>
    <w:rsid w:val="00DF3FC2"/>
    <w:rsid w:val="00DF42F2"/>
    <w:rsid w:val="00DF4385"/>
    <w:rsid w:val="00DF4540"/>
    <w:rsid w:val="00DF4A19"/>
    <w:rsid w:val="00DF4B49"/>
    <w:rsid w:val="00DF4F94"/>
    <w:rsid w:val="00DF5247"/>
    <w:rsid w:val="00DF59B0"/>
    <w:rsid w:val="00DF5F0E"/>
    <w:rsid w:val="00DF690D"/>
    <w:rsid w:val="00DF6ECF"/>
    <w:rsid w:val="00DF771F"/>
    <w:rsid w:val="00DF7889"/>
    <w:rsid w:val="00DF7F88"/>
    <w:rsid w:val="00E0008F"/>
    <w:rsid w:val="00E001E0"/>
    <w:rsid w:val="00E0031E"/>
    <w:rsid w:val="00E00520"/>
    <w:rsid w:val="00E00A2E"/>
    <w:rsid w:val="00E00A53"/>
    <w:rsid w:val="00E00F3E"/>
    <w:rsid w:val="00E01612"/>
    <w:rsid w:val="00E019E0"/>
    <w:rsid w:val="00E02372"/>
    <w:rsid w:val="00E02C13"/>
    <w:rsid w:val="00E03312"/>
    <w:rsid w:val="00E03367"/>
    <w:rsid w:val="00E041F2"/>
    <w:rsid w:val="00E042E7"/>
    <w:rsid w:val="00E04316"/>
    <w:rsid w:val="00E043AE"/>
    <w:rsid w:val="00E04EF3"/>
    <w:rsid w:val="00E05448"/>
    <w:rsid w:val="00E0681C"/>
    <w:rsid w:val="00E06CC1"/>
    <w:rsid w:val="00E06DAB"/>
    <w:rsid w:val="00E07677"/>
    <w:rsid w:val="00E07F6F"/>
    <w:rsid w:val="00E107D6"/>
    <w:rsid w:val="00E1088C"/>
    <w:rsid w:val="00E1190E"/>
    <w:rsid w:val="00E11E01"/>
    <w:rsid w:val="00E12BE8"/>
    <w:rsid w:val="00E13147"/>
    <w:rsid w:val="00E1360E"/>
    <w:rsid w:val="00E137C7"/>
    <w:rsid w:val="00E13AE9"/>
    <w:rsid w:val="00E13B71"/>
    <w:rsid w:val="00E13E12"/>
    <w:rsid w:val="00E1415C"/>
    <w:rsid w:val="00E14233"/>
    <w:rsid w:val="00E142A8"/>
    <w:rsid w:val="00E15E90"/>
    <w:rsid w:val="00E16080"/>
    <w:rsid w:val="00E16355"/>
    <w:rsid w:val="00E177C9"/>
    <w:rsid w:val="00E20041"/>
    <w:rsid w:val="00E20245"/>
    <w:rsid w:val="00E202C1"/>
    <w:rsid w:val="00E2077B"/>
    <w:rsid w:val="00E2079A"/>
    <w:rsid w:val="00E21693"/>
    <w:rsid w:val="00E221C0"/>
    <w:rsid w:val="00E22900"/>
    <w:rsid w:val="00E22C21"/>
    <w:rsid w:val="00E22CFB"/>
    <w:rsid w:val="00E231DC"/>
    <w:rsid w:val="00E234E7"/>
    <w:rsid w:val="00E2425F"/>
    <w:rsid w:val="00E24905"/>
    <w:rsid w:val="00E2499A"/>
    <w:rsid w:val="00E257EF"/>
    <w:rsid w:val="00E259A8"/>
    <w:rsid w:val="00E26EE4"/>
    <w:rsid w:val="00E274D7"/>
    <w:rsid w:val="00E27AC0"/>
    <w:rsid w:val="00E27DC6"/>
    <w:rsid w:val="00E30227"/>
    <w:rsid w:val="00E31119"/>
    <w:rsid w:val="00E320B7"/>
    <w:rsid w:val="00E325E4"/>
    <w:rsid w:val="00E32EC4"/>
    <w:rsid w:val="00E32EC6"/>
    <w:rsid w:val="00E335E2"/>
    <w:rsid w:val="00E343EF"/>
    <w:rsid w:val="00E348D7"/>
    <w:rsid w:val="00E35114"/>
    <w:rsid w:val="00E35741"/>
    <w:rsid w:val="00E35A35"/>
    <w:rsid w:val="00E35AFF"/>
    <w:rsid w:val="00E37E1D"/>
    <w:rsid w:val="00E42003"/>
    <w:rsid w:val="00E42418"/>
    <w:rsid w:val="00E42958"/>
    <w:rsid w:val="00E43F19"/>
    <w:rsid w:val="00E44260"/>
    <w:rsid w:val="00E44668"/>
    <w:rsid w:val="00E4534F"/>
    <w:rsid w:val="00E454A0"/>
    <w:rsid w:val="00E45556"/>
    <w:rsid w:val="00E45794"/>
    <w:rsid w:val="00E462BB"/>
    <w:rsid w:val="00E467D0"/>
    <w:rsid w:val="00E46F1E"/>
    <w:rsid w:val="00E47ECC"/>
    <w:rsid w:val="00E5008A"/>
    <w:rsid w:val="00E50428"/>
    <w:rsid w:val="00E509F9"/>
    <w:rsid w:val="00E51877"/>
    <w:rsid w:val="00E521A4"/>
    <w:rsid w:val="00E52426"/>
    <w:rsid w:val="00E52909"/>
    <w:rsid w:val="00E52D4B"/>
    <w:rsid w:val="00E52EAF"/>
    <w:rsid w:val="00E537F5"/>
    <w:rsid w:val="00E53F65"/>
    <w:rsid w:val="00E544DD"/>
    <w:rsid w:val="00E54BA2"/>
    <w:rsid w:val="00E54DB4"/>
    <w:rsid w:val="00E54DF3"/>
    <w:rsid w:val="00E55137"/>
    <w:rsid w:val="00E5530A"/>
    <w:rsid w:val="00E5568B"/>
    <w:rsid w:val="00E5620E"/>
    <w:rsid w:val="00E56339"/>
    <w:rsid w:val="00E56875"/>
    <w:rsid w:val="00E56DA7"/>
    <w:rsid w:val="00E56FF5"/>
    <w:rsid w:val="00E603B4"/>
    <w:rsid w:val="00E604DE"/>
    <w:rsid w:val="00E60917"/>
    <w:rsid w:val="00E60CEB"/>
    <w:rsid w:val="00E60EDD"/>
    <w:rsid w:val="00E619E4"/>
    <w:rsid w:val="00E62222"/>
    <w:rsid w:val="00E626CE"/>
    <w:rsid w:val="00E6388B"/>
    <w:rsid w:val="00E65870"/>
    <w:rsid w:val="00E661DF"/>
    <w:rsid w:val="00E66D27"/>
    <w:rsid w:val="00E673C6"/>
    <w:rsid w:val="00E67A72"/>
    <w:rsid w:val="00E67FB9"/>
    <w:rsid w:val="00E70616"/>
    <w:rsid w:val="00E706EC"/>
    <w:rsid w:val="00E70928"/>
    <w:rsid w:val="00E70A7C"/>
    <w:rsid w:val="00E72599"/>
    <w:rsid w:val="00E72ADA"/>
    <w:rsid w:val="00E731AE"/>
    <w:rsid w:val="00E73617"/>
    <w:rsid w:val="00E737FA"/>
    <w:rsid w:val="00E73B36"/>
    <w:rsid w:val="00E7460B"/>
    <w:rsid w:val="00E7465C"/>
    <w:rsid w:val="00E748E4"/>
    <w:rsid w:val="00E74FE5"/>
    <w:rsid w:val="00E7520D"/>
    <w:rsid w:val="00E75259"/>
    <w:rsid w:val="00E7567A"/>
    <w:rsid w:val="00E758F2"/>
    <w:rsid w:val="00E75F6D"/>
    <w:rsid w:val="00E769DC"/>
    <w:rsid w:val="00E77EA4"/>
    <w:rsid w:val="00E80023"/>
    <w:rsid w:val="00E80318"/>
    <w:rsid w:val="00E80806"/>
    <w:rsid w:val="00E81509"/>
    <w:rsid w:val="00E8264B"/>
    <w:rsid w:val="00E827CA"/>
    <w:rsid w:val="00E829F9"/>
    <w:rsid w:val="00E8365F"/>
    <w:rsid w:val="00E8418C"/>
    <w:rsid w:val="00E844F4"/>
    <w:rsid w:val="00E84976"/>
    <w:rsid w:val="00E856CB"/>
    <w:rsid w:val="00E85793"/>
    <w:rsid w:val="00E85A4A"/>
    <w:rsid w:val="00E85C74"/>
    <w:rsid w:val="00E85CF1"/>
    <w:rsid w:val="00E86154"/>
    <w:rsid w:val="00E86355"/>
    <w:rsid w:val="00E86369"/>
    <w:rsid w:val="00E864DE"/>
    <w:rsid w:val="00E872C7"/>
    <w:rsid w:val="00E87866"/>
    <w:rsid w:val="00E8789E"/>
    <w:rsid w:val="00E87957"/>
    <w:rsid w:val="00E87A04"/>
    <w:rsid w:val="00E904EA"/>
    <w:rsid w:val="00E90A3C"/>
    <w:rsid w:val="00E90BED"/>
    <w:rsid w:val="00E90CAF"/>
    <w:rsid w:val="00E91540"/>
    <w:rsid w:val="00E91989"/>
    <w:rsid w:val="00E91A08"/>
    <w:rsid w:val="00E91BDB"/>
    <w:rsid w:val="00E92147"/>
    <w:rsid w:val="00E92B48"/>
    <w:rsid w:val="00E92F3C"/>
    <w:rsid w:val="00E934EC"/>
    <w:rsid w:val="00E93666"/>
    <w:rsid w:val="00E9371E"/>
    <w:rsid w:val="00E93E5C"/>
    <w:rsid w:val="00E93F30"/>
    <w:rsid w:val="00E94847"/>
    <w:rsid w:val="00E94A01"/>
    <w:rsid w:val="00E958E8"/>
    <w:rsid w:val="00E9657C"/>
    <w:rsid w:val="00E96603"/>
    <w:rsid w:val="00E967CB"/>
    <w:rsid w:val="00E96C21"/>
    <w:rsid w:val="00E96C2C"/>
    <w:rsid w:val="00E975B9"/>
    <w:rsid w:val="00E97758"/>
    <w:rsid w:val="00EA099B"/>
    <w:rsid w:val="00EA0C86"/>
    <w:rsid w:val="00EA1163"/>
    <w:rsid w:val="00EA18AB"/>
    <w:rsid w:val="00EA217C"/>
    <w:rsid w:val="00EA38D9"/>
    <w:rsid w:val="00EA3A7A"/>
    <w:rsid w:val="00EA3EAF"/>
    <w:rsid w:val="00EA4C11"/>
    <w:rsid w:val="00EA5957"/>
    <w:rsid w:val="00EA65D1"/>
    <w:rsid w:val="00EA666C"/>
    <w:rsid w:val="00EA724D"/>
    <w:rsid w:val="00EA7C6F"/>
    <w:rsid w:val="00EA7DCE"/>
    <w:rsid w:val="00EA7F8E"/>
    <w:rsid w:val="00EB0406"/>
    <w:rsid w:val="00EB0ACB"/>
    <w:rsid w:val="00EB1016"/>
    <w:rsid w:val="00EB1117"/>
    <w:rsid w:val="00EB140B"/>
    <w:rsid w:val="00EB151E"/>
    <w:rsid w:val="00EB169C"/>
    <w:rsid w:val="00EB1958"/>
    <w:rsid w:val="00EB3F4C"/>
    <w:rsid w:val="00EB4ED4"/>
    <w:rsid w:val="00EB5F0E"/>
    <w:rsid w:val="00EB634B"/>
    <w:rsid w:val="00EB6465"/>
    <w:rsid w:val="00EB7632"/>
    <w:rsid w:val="00EB7A95"/>
    <w:rsid w:val="00EB7F26"/>
    <w:rsid w:val="00EB7FBD"/>
    <w:rsid w:val="00EC09AF"/>
    <w:rsid w:val="00EC1206"/>
    <w:rsid w:val="00EC145E"/>
    <w:rsid w:val="00EC246A"/>
    <w:rsid w:val="00EC24F7"/>
    <w:rsid w:val="00EC3818"/>
    <w:rsid w:val="00EC3B61"/>
    <w:rsid w:val="00EC3BE0"/>
    <w:rsid w:val="00EC48D8"/>
    <w:rsid w:val="00EC566A"/>
    <w:rsid w:val="00EC59FA"/>
    <w:rsid w:val="00EC5B22"/>
    <w:rsid w:val="00EC627D"/>
    <w:rsid w:val="00EC6623"/>
    <w:rsid w:val="00EC6E0D"/>
    <w:rsid w:val="00EC7323"/>
    <w:rsid w:val="00ED062F"/>
    <w:rsid w:val="00ED072F"/>
    <w:rsid w:val="00ED0D64"/>
    <w:rsid w:val="00ED1973"/>
    <w:rsid w:val="00ED1A45"/>
    <w:rsid w:val="00ED1AAD"/>
    <w:rsid w:val="00ED1CDD"/>
    <w:rsid w:val="00ED2117"/>
    <w:rsid w:val="00ED22F5"/>
    <w:rsid w:val="00ED2AA6"/>
    <w:rsid w:val="00ED2C09"/>
    <w:rsid w:val="00ED2C9F"/>
    <w:rsid w:val="00ED3719"/>
    <w:rsid w:val="00ED51DF"/>
    <w:rsid w:val="00ED53CD"/>
    <w:rsid w:val="00ED5891"/>
    <w:rsid w:val="00ED58C7"/>
    <w:rsid w:val="00ED6BF5"/>
    <w:rsid w:val="00ED6D5F"/>
    <w:rsid w:val="00EE08B0"/>
    <w:rsid w:val="00EE1210"/>
    <w:rsid w:val="00EE1B4F"/>
    <w:rsid w:val="00EE1BB9"/>
    <w:rsid w:val="00EE206C"/>
    <w:rsid w:val="00EE29DE"/>
    <w:rsid w:val="00EE3309"/>
    <w:rsid w:val="00EE3F32"/>
    <w:rsid w:val="00EE4BC8"/>
    <w:rsid w:val="00EE518F"/>
    <w:rsid w:val="00EE5AF2"/>
    <w:rsid w:val="00EE5BDA"/>
    <w:rsid w:val="00EE5D88"/>
    <w:rsid w:val="00EE67D6"/>
    <w:rsid w:val="00EE6F94"/>
    <w:rsid w:val="00EF0F1A"/>
    <w:rsid w:val="00EF12C5"/>
    <w:rsid w:val="00EF1983"/>
    <w:rsid w:val="00EF1B05"/>
    <w:rsid w:val="00EF1BA5"/>
    <w:rsid w:val="00EF1D6E"/>
    <w:rsid w:val="00EF25B8"/>
    <w:rsid w:val="00EF303B"/>
    <w:rsid w:val="00EF3730"/>
    <w:rsid w:val="00EF3B43"/>
    <w:rsid w:val="00EF3C9C"/>
    <w:rsid w:val="00EF3D81"/>
    <w:rsid w:val="00EF3E90"/>
    <w:rsid w:val="00EF3EFA"/>
    <w:rsid w:val="00EF466A"/>
    <w:rsid w:val="00EF4933"/>
    <w:rsid w:val="00EF5123"/>
    <w:rsid w:val="00EF5D56"/>
    <w:rsid w:val="00EF5FA2"/>
    <w:rsid w:val="00EF63F5"/>
    <w:rsid w:val="00EF6685"/>
    <w:rsid w:val="00EF6B98"/>
    <w:rsid w:val="00F00172"/>
    <w:rsid w:val="00F0055D"/>
    <w:rsid w:val="00F0062E"/>
    <w:rsid w:val="00F00653"/>
    <w:rsid w:val="00F00742"/>
    <w:rsid w:val="00F00AE5"/>
    <w:rsid w:val="00F01278"/>
    <w:rsid w:val="00F012EA"/>
    <w:rsid w:val="00F02077"/>
    <w:rsid w:val="00F024E5"/>
    <w:rsid w:val="00F026D5"/>
    <w:rsid w:val="00F029F6"/>
    <w:rsid w:val="00F02D60"/>
    <w:rsid w:val="00F03109"/>
    <w:rsid w:val="00F0319D"/>
    <w:rsid w:val="00F036EF"/>
    <w:rsid w:val="00F03DE2"/>
    <w:rsid w:val="00F04082"/>
    <w:rsid w:val="00F06325"/>
    <w:rsid w:val="00F0647E"/>
    <w:rsid w:val="00F0649C"/>
    <w:rsid w:val="00F0658B"/>
    <w:rsid w:val="00F06ACD"/>
    <w:rsid w:val="00F06E75"/>
    <w:rsid w:val="00F0745B"/>
    <w:rsid w:val="00F07DE0"/>
    <w:rsid w:val="00F07DF7"/>
    <w:rsid w:val="00F10331"/>
    <w:rsid w:val="00F1035B"/>
    <w:rsid w:val="00F1036A"/>
    <w:rsid w:val="00F10822"/>
    <w:rsid w:val="00F1086E"/>
    <w:rsid w:val="00F11C2B"/>
    <w:rsid w:val="00F12146"/>
    <w:rsid w:val="00F12206"/>
    <w:rsid w:val="00F126E1"/>
    <w:rsid w:val="00F12948"/>
    <w:rsid w:val="00F13F3C"/>
    <w:rsid w:val="00F146A7"/>
    <w:rsid w:val="00F14C87"/>
    <w:rsid w:val="00F14EC8"/>
    <w:rsid w:val="00F1578D"/>
    <w:rsid w:val="00F157C8"/>
    <w:rsid w:val="00F15E82"/>
    <w:rsid w:val="00F15F05"/>
    <w:rsid w:val="00F1693E"/>
    <w:rsid w:val="00F1711B"/>
    <w:rsid w:val="00F209B1"/>
    <w:rsid w:val="00F20D75"/>
    <w:rsid w:val="00F218E4"/>
    <w:rsid w:val="00F21B6E"/>
    <w:rsid w:val="00F22064"/>
    <w:rsid w:val="00F22125"/>
    <w:rsid w:val="00F22F21"/>
    <w:rsid w:val="00F230D0"/>
    <w:rsid w:val="00F232F7"/>
    <w:rsid w:val="00F23F29"/>
    <w:rsid w:val="00F24AE5"/>
    <w:rsid w:val="00F253B2"/>
    <w:rsid w:val="00F256C6"/>
    <w:rsid w:val="00F25A40"/>
    <w:rsid w:val="00F2649F"/>
    <w:rsid w:val="00F264DD"/>
    <w:rsid w:val="00F26B04"/>
    <w:rsid w:val="00F27065"/>
    <w:rsid w:val="00F27117"/>
    <w:rsid w:val="00F274DB"/>
    <w:rsid w:val="00F27658"/>
    <w:rsid w:val="00F3023C"/>
    <w:rsid w:val="00F3035E"/>
    <w:rsid w:val="00F30C66"/>
    <w:rsid w:val="00F314CD"/>
    <w:rsid w:val="00F31A4C"/>
    <w:rsid w:val="00F31F5C"/>
    <w:rsid w:val="00F32CAF"/>
    <w:rsid w:val="00F33342"/>
    <w:rsid w:val="00F335DD"/>
    <w:rsid w:val="00F338F2"/>
    <w:rsid w:val="00F33A1E"/>
    <w:rsid w:val="00F33A6A"/>
    <w:rsid w:val="00F33BC7"/>
    <w:rsid w:val="00F3413F"/>
    <w:rsid w:val="00F3544B"/>
    <w:rsid w:val="00F35B26"/>
    <w:rsid w:val="00F35D51"/>
    <w:rsid w:val="00F366C1"/>
    <w:rsid w:val="00F36DAC"/>
    <w:rsid w:val="00F3702E"/>
    <w:rsid w:val="00F37139"/>
    <w:rsid w:val="00F375F3"/>
    <w:rsid w:val="00F37EDD"/>
    <w:rsid w:val="00F402E7"/>
    <w:rsid w:val="00F40C0D"/>
    <w:rsid w:val="00F40CB2"/>
    <w:rsid w:val="00F41E30"/>
    <w:rsid w:val="00F42047"/>
    <w:rsid w:val="00F421B9"/>
    <w:rsid w:val="00F429DF"/>
    <w:rsid w:val="00F43378"/>
    <w:rsid w:val="00F44151"/>
    <w:rsid w:val="00F44687"/>
    <w:rsid w:val="00F44A1D"/>
    <w:rsid w:val="00F44EFE"/>
    <w:rsid w:val="00F44F86"/>
    <w:rsid w:val="00F450DA"/>
    <w:rsid w:val="00F451BC"/>
    <w:rsid w:val="00F45798"/>
    <w:rsid w:val="00F458D7"/>
    <w:rsid w:val="00F45F91"/>
    <w:rsid w:val="00F460CC"/>
    <w:rsid w:val="00F4610D"/>
    <w:rsid w:val="00F46112"/>
    <w:rsid w:val="00F4675B"/>
    <w:rsid w:val="00F47436"/>
    <w:rsid w:val="00F476AD"/>
    <w:rsid w:val="00F47766"/>
    <w:rsid w:val="00F4787B"/>
    <w:rsid w:val="00F47AE0"/>
    <w:rsid w:val="00F47F9B"/>
    <w:rsid w:val="00F47FB0"/>
    <w:rsid w:val="00F50284"/>
    <w:rsid w:val="00F50662"/>
    <w:rsid w:val="00F50FEE"/>
    <w:rsid w:val="00F51384"/>
    <w:rsid w:val="00F51B7F"/>
    <w:rsid w:val="00F52E3F"/>
    <w:rsid w:val="00F52F66"/>
    <w:rsid w:val="00F5358F"/>
    <w:rsid w:val="00F53F2E"/>
    <w:rsid w:val="00F53FFA"/>
    <w:rsid w:val="00F547CA"/>
    <w:rsid w:val="00F54EA7"/>
    <w:rsid w:val="00F55D87"/>
    <w:rsid w:val="00F5707E"/>
    <w:rsid w:val="00F57A80"/>
    <w:rsid w:val="00F60530"/>
    <w:rsid w:val="00F60DCF"/>
    <w:rsid w:val="00F6123D"/>
    <w:rsid w:val="00F61976"/>
    <w:rsid w:val="00F62196"/>
    <w:rsid w:val="00F62743"/>
    <w:rsid w:val="00F627A1"/>
    <w:rsid w:val="00F62999"/>
    <w:rsid w:val="00F62EDF"/>
    <w:rsid w:val="00F62FDE"/>
    <w:rsid w:val="00F63364"/>
    <w:rsid w:val="00F64272"/>
    <w:rsid w:val="00F645E6"/>
    <w:rsid w:val="00F64D91"/>
    <w:rsid w:val="00F64E2F"/>
    <w:rsid w:val="00F65667"/>
    <w:rsid w:val="00F6598E"/>
    <w:rsid w:val="00F65A26"/>
    <w:rsid w:val="00F66035"/>
    <w:rsid w:val="00F661C7"/>
    <w:rsid w:val="00F66275"/>
    <w:rsid w:val="00F67D3F"/>
    <w:rsid w:val="00F70305"/>
    <w:rsid w:val="00F703DE"/>
    <w:rsid w:val="00F707A1"/>
    <w:rsid w:val="00F7190F"/>
    <w:rsid w:val="00F71A73"/>
    <w:rsid w:val="00F7277F"/>
    <w:rsid w:val="00F73051"/>
    <w:rsid w:val="00F73064"/>
    <w:rsid w:val="00F7379A"/>
    <w:rsid w:val="00F7391F"/>
    <w:rsid w:val="00F74714"/>
    <w:rsid w:val="00F74E5E"/>
    <w:rsid w:val="00F751A4"/>
    <w:rsid w:val="00F755F1"/>
    <w:rsid w:val="00F75841"/>
    <w:rsid w:val="00F763A8"/>
    <w:rsid w:val="00F7650E"/>
    <w:rsid w:val="00F76625"/>
    <w:rsid w:val="00F766ED"/>
    <w:rsid w:val="00F76D49"/>
    <w:rsid w:val="00F773AC"/>
    <w:rsid w:val="00F802E9"/>
    <w:rsid w:val="00F803A6"/>
    <w:rsid w:val="00F805AB"/>
    <w:rsid w:val="00F80913"/>
    <w:rsid w:val="00F80B90"/>
    <w:rsid w:val="00F80CC2"/>
    <w:rsid w:val="00F81046"/>
    <w:rsid w:val="00F8215B"/>
    <w:rsid w:val="00F82204"/>
    <w:rsid w:val="00F82638"/>
    <w:rsid w:val="00F82777"/>
    <w:rsid w:val="00F82D8C"/>
    <w:rsid w:val="00F8311B"/>
    <w:rsid w:val="00F8312E"/>
    <w:rsid w:val="00F834E3"/>
    <w:rsid w:val="00F835F8"/>
    <w:rsid w:val="00F84155"/>
    <w:rsid w:val="00F8477B"/>
    <w:rsid w:val="00F84E0B"/>
    <w:rsid w:val="00F859A0"/>
    <w:rsid w:val="00F8675B"/>
    <w:rsid w:val="00F87048"/>
    <w:rsid w:val="00F90417"/>
    <w:rsid w:val="00F905C2"/>
    <w:rsid w:val="00F91093"/>
    <w:rsid w:val="00F913A3"/>
    <w:rsid w:val="00F913DE"/>
    <w:rsid w:val="00F91D98"/>
    <w:rsid w:val="00F92D16"/>
    <w:rsid w:val="00F937DE"/>
    <w:rsid w:val="00F93938"/>
    <w:rsid w:val="00F93E3A"/>
    <w:rsid w:val="00F9482B"/>
    <w:rsid w:val="00F95108"/>
    <w:rsid w:val="00F9560A"/>
    <w:rsid w:val="00F956F2"/>
    <w:rsid w:val="00F95DF1"/>
    <w:rsid w:val="00F95F6C"/>
    <w:rsid w:val="00F960CE"/>
    <w:rsid w:val="00F96A25"/>
    <w:rsid w:val="00F96EFC"/>
    <w:rsid w:val="00F971D9"/>
    <w:rsid w:val="00F974ED"/>
    <w:rsid w:val="00F97521"/>
    <w:rsid w:val="00F979BE"/>
    <w:rsid w:val="00F97D29"/>
    <w:rsid w:val="00FA06BD"/>
    <w:rsid w:val="00FA0751"/>
    <w:rsid w:val="00FA0B26"/>
    <w:rsid w:val="00FA0D2B"/>
    <w:rsid w:val="00FA34F2"/>
    <w:rsid w:val="00FA3E18"/>
    <w:rsid w:val="00FA495A"/>
    <w:rsid w:val="00FA5447"/>
    <w:rsid w:val="00FA70E1"/>
    <w:rsid w:val="00FB012F"/>
    <w:rsid w:val="00FB06BE"/>
    <w:rsid w:val="00FB1A53"/>
    <w:rsid w:val="00FB1CE8"/>
    <w:rsid w:val="00FB35DC"/>
    <w:rsid w:val="00FB3628"/>
    <w:rsid w:val="00FB3FED"/>
    <w:rsid w:val="00FB3FF2"/>
    <w:rsid w:val="00FB437D"/>
    <w:rsid w:val="00FB45E7"/>
    <w:rsid w:val="00FB4E2D"/>
    <w:rsid w:val="00FB4E72"/>
    <w:rsid w:val="00FB59AE"/>
    <w:rsid w:val="00FB5CB7"/>
    <w:rsid w:val="00FB5E1B"/>
    <w:rsid w:val="00FB6141"/>
    <w:rsid w:val="00FB6DB7"/>
    <w:rsid w:val="00FB7EF0"/>
    <w:rsid w:val="00FC0490"/>
    <w:rsid w:val="00FC0A39"/>
    <w:rsid w:val="00FC0C06"/>
    <w:rsid w:val="00FC22F5"/>
    <w:rsid w:val="00FC2720"/>
    <w:rsid w:val="00FC27E2"/>
    <w:rsid w:val="00FC33F5"/>
    <w:rsid w:val="00FC3BFC"/>
    <w:rsid w:val="00FC44E7"/>
    <w:rsid w:val="00FC5CA8"/>
    <w:rsid w:val="00FC6814"/>
    <w:rsid w:val="00FC6D5D"/>
    <w:rsid w:val="00FC7C88"/>
    <w:rsid w:val="00FD0964"/>
    <w:rsid w:val="00FD1439"/>
    <w:rsid w:val="00FD1447"/>
    <w:rsid w:val="00FD1FFD"/>
    <w:rsid w:val="00FD2FD1"/>
    <w:rsid w:val="00FD308B"/>
    <w:rsid w:val="00FD309D"/>
    <w:rsid w:val="00FD38DD"/>
    <w:rsid w:val="00FD4060"/>
    <w:rsid w:val="00FD55A2"/>
    <w:rsid w:val="00FD655D"/>
    <w:rsid w:val="00FD67DE"/>
    <w:rsid w:val="00FD695A"/>
    <w:rsid w:val="00FD7351"/>
    <w:rsid w:val="00FD7C11"/>
    <w:rsid w:val="00FD7F90"/>
    <w:rsid w:val="00FE067B"/>
    <w:rsid w:val="00FE091E"/>
    <w:rsid w:val="00FE11BE"/>
    <w:rsid w:val="00FE2686"/>
    <w:rsid w:val="00FE2A4C"/>
    <w:rsid w:val="00FE328E"/>
    <w:rsid w:val="00FE3DBA"/>
    <w:rsid w:val="00FE41AE"/>
    <w:rsid w:val="00FE47B0"/>
    <w:rsid w:val="00FE4A51"/>
    <w:rsid w:val="00FE5052"/>
    <w:rsid w:val="00FE5417"/>
    <w:rsid w:val="00FE55B9"/>
    <w:rsid w:val="00FE5A12"/>
    <w:rsid w:val="00FE5B90"/>
    <w:rsid w:val="00FE5D97"/>
    <w:rsid w:val="00FE60B5"/>
    <w:rsid w:val="00FE6332"/>
    <w:rsid w:val="00FE698F"/>
    <w:rsid w:val="00FE6AE7"/>
    <w:rsid w:val="00FE729E"/>
    <w:rsid w:val="00FF04AE"/>
    <w:rsid w:val="00FF1C08"/>
    <w:rsid w:val="00FF282F"/>
    <w:rsid w:val="00FF2EF8"/>
    <w:rsid w:val="00FF369C"/>
    <w:rsid w:val="00FF36C0"/>
    <w:rsid w:val="00FF3A4D"/>
    <w:rsid w:val="00FF3B0A"/>
    <w:rsid w:val="00FF3C17"/>
    <w:rsid w:val="00FF4227"/>
    <w:rsid w:val="00FF4845"/>
    <w:rsid w:val="00FF4A8A"/>
    <w:rsid w:val="00FF4B06"/>
    <w:rsid w:val="00FF4B54"/>
    <w:rsid w:val="00FF4FD6"/>
    <w:rsid w:val="00FF5661"/>
    <w:rsid w:val="00FF5940"/>
    <w:rsid w:val="00FF5E71"/>
    <w:rsid w:val="00FF61C3"/>
    <w:rsid w:val="00FF6F00"/>
    <w:rsid w:val="00FF77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7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98"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2319"/>
  </w:style>
  <w:style w:type="paragraph" w:styleId="Heading1">
    <w:name w:val="heading 1"/>
    <w:basedOn w:val="Normal"/>
    <w:next w:val="Normal"/>
    <w:link w:val="Heading1Char"/>
    <w:uiPriority w:val="9"/>
    <w:qFormat/>
    <w:rsid w:val="00B12319"/>
    <w:pPr>
      <w:keepNext/>
      <w:keepLines/>
      <w:numPr>
        <w:numId w:val="2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12319"/>
    <w:pPr>
      <w:keepNext/>
      <w:keepLines/>
      <w:numPr>
        <w:ilvl w:val="1"/>
        <w:numId w:val="2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12319"/>
    <w:pPr>
      <w:keepNext/>
      <w:keepLines/>
      <w:numPr>
        <w:ilvl w:val="2"/>
        <w:numId w:val="2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B12319"/>
    <w:pPr>
      <w:keepNext/>
      <w:keepLines/>
      <w:numPr>
        <w:ilvl w:val="3"/>
        <w:numId w:val="2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B12319"/>
    <w:pPr>
      <w:keepNext/>
      <w:keepLines/>
      <w:numPr>
        <w:ilvl w:val="4"/>
        <w:numId w:val="21"/>
      </w:numPr>
      <w:spacing w:before="200" w:after="0"/>
      <w:ind w:left="3600" w:hanging="360"/>
      <w:outlineLvl w:val="4"/>
    </w:pPr>
    <w:rPr>
      <w:rFonts w:asciiTheme="majorHAnsi" w:eastAsiaTheme="majorEastAsia" w:hAnsiTheme="majorHAnsi" w:cstheme="majorBidi"/>
      <w:color w:val="474747" w:themeColor="text2" w:themeShade="BF"/>
    </w:rPr>
  </w:style>
  <w:style w:type="paragraph" w:styleId="Heading6">
    <w:name w:val="heading 6"/>
    <w:basedOn w:val="Normal"/>
    <w:next w:val="Normal"/>
    <w:link w:val="Heading6Char"/>
    <w:uiPriority w:val="9"/>
    <w:unhideWhenUsed/>
    <w:qFormat/>
    <w:rsid w:val="00B12319"/>
    <w:pPr>
      <w:keepNext/>
      <w:keepLines/>
      <w:numPr>
        <w:ilvl w:val="5"/>
        <w:numId w:val="21"/>
      </w:numPr>
      <w:spacing w:before="200" w:after="0"/>
      <w:ind w:left="4320" w:hanging="360"/>
      <w:outlineLvl w:val="5"/>
    </w:pPr>
    <w:rPr>
      <w:rFonts w:asciiTheme="majorHAnsi" w:eastAsiaTheme="majorEastAsia" w:hAnsiTheme="majorHAnsi" w:cstheme="majorBidi"/>
      <w:i/>
      <w:iCs/>
      <w:color w:val="474747" w:themeColor="text2" w:themeShade="BF"/>
    </w:rPr>
  </w:style>
  <w:style w:type="paragraph" w:styleId="Heading7">
    <w:name w:val="heading 7"/>
    <w:basedOn w:val="Normal"/>
    <w:next w:val="Normal"/>
    <w:link w:val="Heading7Char"/>
    <w:uiPriority w:val="9"/>
    <w:unhideWhenUsed/>
    <w:qFormat/>
    <w:rsid w:val="00B12319"/>
    <w:pPr>
      <w:keepNext/>
      <w:keepLines/>
      <w:numPr>
        <w:ilvl w:val="6"/>
        <w:numId w:val="21"/>
      </w:numPr>
      <w:spacing w:before="200" w:after="0"/>
      <w:ind w:left="5040" w:hanging="36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12319"/>
    <w:pPr>
      <w:keepNext/>
      <w:keepLines/>
      <w:numPr>
        <w:ilvl w:val="7"/>
        <w:numId w:val="21"/>
      </w:numPr>
      <w:spacing w:before="200" w:after="0"/>
      <w:ind w:left="5760" w:hanging="36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12319"/>
    <w:pPr>
      <w:keepNext/>
      <w:keepLines/>
      <w:numPr>
        <w:ilvl w:val="8"/>
        <w:numId w:val="21"/>
      </w:numPr>
      <w:spacing w:before="200" w:after="0"/>
      <w:ind w:left="6480" w:hanging="3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849BB"/>
    <w:pPr>
      <w:keepNext/>
      <w:spacing w:after="0" w:line="240" w:lineRule="auto"/>
    </w:pPr>
    <w:rPr>
      <w:rFonts w:asciiTheme="majorHAnsi" w:eastAsia="Times New Roman" w:hAnsiTheme="majorHAnsi" w:cs="Times New Roman"/>
      <w:color w:val="002C47" w:themeColor="accent1"/>
      <w:sz w:val="20"/>
      <w:szCs w:val="20"/>
      <w:lang w:eastAsia="en-AU"/>
    </w:rPr>
  </w:style>
  <w:style w:type="character" w:customStyle="1" w:styleId="Heading1Char">
    <w:name w:val="Heading 1 Char"/>
    <w:basedOn w:val="DefaultParagraphFont"/>
    <w:link w:val="Heading1"/>
    <w:uiPriority w:val="9"/>
    <w:rsid w:val="00B1231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B1231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B1231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B1231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B12319"/>
    <w:rPr>
      <w:rFonts w:asciiTheme="majorHAnsi" w:eastAsiaTheme="majorEastAsia" w:hAnsiTheme="majorHAnsi" w:cstheme="majorBidi"/>
      <w:color w:val="474747" w:themeColor="text2" w:themeShade="BF"/>
    </w:rPr>
  </w:style>
  <w:style w:type="character" w:customStyle="1" w:styleId="Heading6Char">
    <w:name w:val="Heading 6 Char"/>
    <w:basedOn w:val="DefaultParagraphFont"/>
    <w:link w:val="Heading6"/>
    <w:uiPriority w:val="9"/>
    <w:rsid w:val="00B12319"/>
    <w:rPr>
      <w:rFonts w:asciiTheme="majorHAnsi" w:eastAsiaTheme="majorEastAsia" w:hAnsiTheme="majorHAnsi" w:cstheme="majorBidi"/>
      <w:i/>
      <w:iCs/>
      <w:color w:val="474747" w:themeColor="text2" w:themeShade="BF"/>
    </w:rPr>
  </w:style>
  <w:style w:type="character" w:customStyle="1" w:styleId="Heading7Char">
    <w:name w:val="Heading 7 Char"/>
    <w:basedOn w:val="DefaultParagraphFont"/>
    <w:link w:val="Heading7"/>
    <w:uiPriority w:val="9"/>
    <w:rsid w:val="00B123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123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12319"/>
    <w:rPr>
      <w:rFonts w:asciiTheme="majorHAnsi" w:eastAsiaTheme="majorEastAsia" w:hAnsiTheme="majorHAnsi" w:cstheme="majorBidi"/>
      <w:i/>
      <w:iCs/>
      <w:color w:val="404040" w:themeColor="text1" w:themeTint="BF"/>
      <w:sz w:val="20"/>
      <w:szCs w:val="20"/>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rsid w:val="00B12319"/>
    <w:pPr>
      <w:numPr>
        <w:numId w:val="3"/>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2"/>
      </w:numPr>
    </w:pPr>
  </w:style>
  <w:style w:type="paragraph" w:customStyle="1" w:styleId="BoxDash">
    <w:name w:val="Box Dash"/>
    <w:basedOn w:val="Normal"/>
    <w:rsid w:val="005F5653"/>
    <w:pPr>
      <w:numPr>
        <w:ilvl w:val="1"/>
        <w:numId w:val="2"/>
      </w:numPr>
    </w:pPr>
  </w:style>
  <w:style w:type="paragraph" w:customStyle="1" w:styleId="BoxDoubleDot">
    <w:name w:val="Box Double Dot"/>
    <w:basedOn w:val="BoxTextBase"/>
    <w:rsid w:val="005F5653"/>
    <w:pPr>
      <w:numPr>
        <w:ilvl w:val="2"/>
        <w:numId w:val="2"/>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aliases w:val="b,b + line,b1,Body,level 1,Bullet + line"/>
    <w:basedOn w:val="Normal"/>
    <w:link w:val="BulletChar"/>
    <w:qFormat/>
    <w:rsid w:val="00F73064"/>
    <w:pPr>
      <w:keepNext/>
      <w:numPr>
        <w:numId w:val="18"/>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link w:val="DashChar"/>
    <w:qFormat/>
    <w:rsid w:val="00F73064"/>
    <w:pPr>
      <w:numPr>
        <w:ilvl w:val="1"/>
        <w:numId w:val="18"/>
      </w:numPr>
    </w:pPr>
  </w:style>
  <w:style w:type="paragraph" w:customStyle="1" w:styleId="DoubleDot">
    <w:name w:val="Double Dot"/>
    <w:basedOn w:val="Dash"/>
    <w:qFormat/>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B55137"/>
  </w:style>
  <w:style w:type="paragraph" w:customStyle="1" w:styleId="FooterOdd">
    <w:name w:val="Footer Odd"/>
    <w:basedOn w:val="Footer"/>
    <w:rsid w:val="00B55137"/>
  </w:style>
  <w:style w:type="character" w:styleId="FootnoteReference">
    <w:name w:val="footnote reference"/>
    <w:basedOn w:val="DefaultParagraphFont"/>
    <w:rsid w:val="00F73064"/>
    <w:rPr>
      <w:vertAlign w:val="superscript"/>
    </w:rPr>
  </w:style>
  <w:style w:type="paragraph" w:styleId="FootnoteText">
    <w:name w:val="footnote text"/>
    <w:basedOn w:val="Normal"/>
    <w:link w:val="FootnoteTextChar"/>
    <w:rsid w:val="00A57848"/>
    <w:pPr>
      <w:tabs>
        <w:tab w:val="left" w:pos="567"/>
      </w:tabs>
      <w:spacing w:after="0"/>
      <w:ind w:left="567" w:hanging="567"/>
    </w:pPr>
  </w:style>
  <w:style w:type="character" w:customStyle="1" w:styleId="FootnoteTextChar">
    <w:name w:val="Footnote Text Char"/>
    <w:basedOn w:val="DefaultParagraphFont"/>
    <w:link w:val="FootnoteText"/>
    <w:rsid w:val="00A57848"/>
    <w:rPr>
      <w:rFonts w:ascii="Calibri" w:hAnsi="Calibri"/>
      <w:color w:val="000000" w:themeColor="text1"/>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uiPriority w:val="98"/>
    <w:rsid w:val="00F73064"/>
    <w:pPr>
      <w:jc w:val="center"/>
    </w:pPr>
    <w:rPr>
      <w:sz w:val="18"/>
    </w:rPr>
  </w:style>
  <w:style w:type="character" w:customStyle="1" w:styleId="HeaderChar">
    <w:name w:val="Header Char"/>
    <w:basedOn w:val="DefaultParagraphFont"/>
    <w:link w:val="Header"/>
    <w:uiPriority w:val="98"/>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uiPriority w:val="99"/>
    <w:rsid w:val="000849BB"/>
    <w:rPr>
      <w:color w:val="3A6FAF" w:themeColor="accent2"/>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9"/>
      </w:numPr>
    </w:pPr>
  </w:style>
  <w:style w:type="paragraph" w:customStyle="1" w:styleId="OneLevelNumberedParagraph">
    <w:name w:val="One Level Numbered Paragraph"/>
    <w:basedOn w:val="Normal"/>
    <w:rsid w:val="003E0E7B"/>
    <w:pPr>
      <w:numPr>
        <w:numId w:val="8"/>
      </w:numPr>
    </w:pPr>
  </w:style>
  <w:style w:type="paragraph" w:customStyle="1" w:styleId="OutlineNumbered2">
    <w:name w:val="Outline Numbered 2"/>
    <w:basedOn w:val="Normal"/>
    <w:rsid w:val="003E0E7B"/>
    <w:pPr>
      <w:numPr>
        <w:ilvl w:val="1"/>
        <w:numId w:val="9"/>
      </w:numPr>
    </w:pPr>
  </w:style>
  <w:style w:type="paragraph" w:customStyle="1" w:styleId="OutlineNumbered3">
    <w:name w:val="Outline Numbered 3"/>
    <w:basedOn w:val="Normal"/>
    <w:rsid w:val="003E0E7B"/>
    <w:pPr>
      <w:numPr>
        <w:ilvl w:val="2"/>
        <w:numId w:val="9"/>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10"/>
      </w:numPr>
    </w:pPr>
  </w:style>
  <w:style w:type="paragraph" w:customStyle="1" w:styleId="RecommendationDash">
    <w:name w:val="Recommendation Dash"/>
    <w:basedOn w:val="RecommendationTextBase"/>
    <w:rsid w:val="00301A52"/>
    <w:pPr>
      <w:numPr>
        <w:ilvl w:val="1"/>
        <w:numId w:val="10"/>
      </w:numPr>
    </w:pPr>
  </w:style>
  <w:style w:type="paragraph" w:customStyle="1" w:styleId="RecommendationDoubleDot">
    <w:name w:val="Recommendation Double Dot"/>
    <w:basedOn w:val="RecommendationTextBase"/>
    <w:rsid w:val="00301A52"/>
    <w:pPr>
      <w:numPr>
        <w:ilvl w:val="2"/>
        <w:numId w:val="10"/>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11"/>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uiPriority w:val="39"/>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uiPriority w:val="39"/>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uiPriority w:val="39"/>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uiPriority w:val="39"/>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iPriority w:val="35"/>
    <w:unhideWhenUsed/>
    <w:qFormat/>
    <w:rsid w:val="00B12319"/>
    <w:pPr>
      <w:spacing w:after="200" w:line="240" w:lineRule="auto"/>
    </w:pPr>
    <w:rPr>
      <w:i/>
      <w:iCs/>
      <w:color w:val="5F5F5F" w:themeColor="text2"/>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5"/>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uiPriority w:val="39"/>
    <w:rsid w:val="00F73064"/>
    <w:pPr>
      <w:ind w:left="1040"/>
    </w:pPr>
  </w:style>
  <w:style w:type="paragraph" w:styleId="TOC6">
    <w:name w:val="toc 6"/>
    <w:basedOn w:val="Normal"/>
    <w:next w:val="Normal"/>
    <w:autoRedefine/>
    <w:uiPriority w:val="39"/>
    <w:rsid w:val="00F73064"/>
    <w:pPr>
      <w:ind w:left="1300"/>
    </w:pPr>
  </w:style>
  <w:style w:type="paragraph" w:styleId="TOC7">
    <w:name w:val="toc 7"/>
    <w:basedOn w:val="Normal"/>
    <w:next w:val="Normal"/>
    <w:autoRedefine/>
    <w:uiPriority w:val="39"/>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uiPriority w:val="39"/>
    <w:rsid w:val="00F73064"/>
    <w:pPr>
      <w:tabs>
        <w:tab w:val="right" w:leader="dot" w:pos="7711"/>
      </w:tabs>
      <w:spacing w:after="0"/>
      <w:ind w:left="1134"/>
    </w:pPr>
    <w:rPr>
      <w:noProof/>
    </w:rPr>
  </w:style>
  <w:style w:type="paragraph" w:styleId="TOC9">
    <w:name w:val="toc 9"/>
    <w:basedOn w:val="Normal"/>
    <w:next w:val="Normal"/>
    <w:autoRedefine/>
    <w:uiPriority w:val="39"/>
    <w:rsid w:val="00F73064"/>
    <w:pPr>
      <w:ind w:left="208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5F5653"/>
    <w:pPr>
      <w:numPr>
        <w:numId w:val="2"/>
      </w:numPr>
    </w:pPr>
  </w:style>
  <w:style w:type="numbering" w:customStyle="1" w:styleId="AlphaParagraphList">
    <w:name w:val="Alpha Paragraph List"/>
    <w:uiPriority w:val="99"/>
    <w:rsid w:val="009D0790"/>
    <w:pPr>
      <w:numPr>
        <w:numId w:val="3"/>
      </w:numPr>
    </w:pPr>
  </w:style>
  <w:style w:type="numbering" w:customStyle="1" w:styleId="OneLevelList">
    <w:name w:val="OneLevelList"/>
    <w:uiPriority w:val="99"/>
    <w:rsid w:val="003E0E7B"/>
    <w:pPr>
      <w:numPr>
        <w:numId w:val="4"/>
      </w:numPr>
    </w:pPr>
  </w:style>
  <w:style w:type="numbering" w:customStyle="1" w:styleId="RecommendationBulletList">
    <w:name w:val="RecommendationBulletList"/>
    <w:uiPriority w:val="99"/>
    <w:rsid w:val="00301A52"/>
    <w:pPr>
      <w:numPr>
        <w:numId w:val="6"/>
      </w:numPr>
    </w:pPr>
  </w:style>
  <w:style w:type="numbering" w:customStyle="1" w:styleId="RomanNumeralList">
    <w:name w:val="RomanNumeralList"/>
    <w:uiPriority w:val="99"/>
    <w:rsid w:val="009C7E17"/>
    <w:pPr>
      <w:numPr>
        <w:numId w:val="7"/>
      </w:numPr>
    </w:pPr>
  </w:style>
  <w:style w:type="numbering" w:customStyle="1" w:styleId="ChartandTableFootnoteAlphaList">
    <w:name w:val="ChartandTableFootnoteAlphaList"/>
    <w:uiPriority w:val="99"/>
    <w:rsid w:val="009862D1"/>
    <w:pPr>
      <w:numPr>
        <w:numId w:val="12"/>
      </w:numPr>
    </w:pPr>
  </w:style>
  <w:style w:type="paragraph" w:customStyle="1" w:styleId="TableTextBullet">
    <w:name w:val="Table Text Bullet"/>
    <w:basedOn w:val="TableTextBase"/>
    <w:rsid w:val="002271BB"/>
    <w:pPr>
      <w:numPr>
        <w:numId w:val="14"/>
      </w:numPr>
    </w:pPr>
  </w:style>
  <w:style w:type="numbering" w:customStyle="1" w:styleId="TableTestBulletList">
    <w:name w:val="Table Test Bullet List"/>
    <w:uiPriority w:val="99"/>
    <w:rsid w:val="00E177C9"/>
    <w:pPr>
      <w:numPr>
        <w:numId w:val="13"/>
      </w:numPr>
    </w:pPr>
  </w:style>
  <w:style w:type="numbering" w:customStyle="1" w:styleId="TableTextBulletList">
    <w:name w:val="Table Text Bullet List"/>
    <w:uiPriority w:val="99"/>
    <w:rsid w:val="005F3390"/>
    <w:pPr>
      <w:numPr>
        <w:numId w:val="14"/>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C47"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C47"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C47"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C47"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C47"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C47"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C47"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C47"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Normal"/>
    <w:next w:val="Normal"/>
    <w:link w:val="TitleChar"/>
    <w:uiPriority w:val="10"/>
    <w:qFormat/>
    <w:rsid w:val="00B1231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1231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1231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12319"/>
    <w:rPr>
      <w:color w:val="5A5A5A" w:themeColor="text1" w:themeTint="A5"/>
      <w:spacing w:val="1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rsid w:val="00B12319"/>
  </w:style>
  <w:style w:type="character" w:customStyle="1" w:styleId="AbstractChar">
    <w:name w:val="Abstract Char"/>
    <w:basedOn w:val="DefaultParagraphFont"/>
    <w:link w:val="Abstract"/>
    <w:rsid w:val="00B12319"/>
    <w:rPr>
      <w:rFonts w:ascii="Calibri" w:hAnsi="Calibri"/>
      <w:color w:val="000000" w:themeColor="text1"/>
    </w:rPr>
  </w:style>
  <w:style w:type="paragraph" w:customStyle="1" w:styleId="AppendixHeadingLevel2NotNumbered">
    <w:name w:val="Appendix Heading Level 2 Not Numbered"/>
    <w:basedOn w:val="Normal"/>
    <w:rsid w:val="00B12319"/>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15"/>
      </w:numPr>
    </w:pPr>
  </w:style>
  <w:style w:type="paragraph" w:customStyle="1" w:styleId="HeadingBaseStyle">
    <w:name w:val="HeadingBaseStyle"/>
    <w:basedOn w:val="Normal"/>
    <w:rsid w:val="000849BB"/>
    <w:pPr>
      <w:keepNext/>
      <w:spacing w:after="0"/>
    </w:pPr>
    <w:rPr>
      <w:rFonts w:ascii="Arial" w:hAnsi="Arial"/>
      <w:color w:val="002C47" w:themeColor="accent1"/>
    </w:rPr>
  </w:style>
  <w:style w:type="paragraph" w:customStyle="1" w:styleId="AppendixHeadingNotNumbered">
    <w:name w:val="Appendix Heading Not Numbered"/>
    <w:basedOn w:val="HeadingBaseStyle"/>
    <w:rsid w:val="00F73064"/>
    <w:pPr>
      <w:numPr>
        <w:numId w:val="16"/>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numId w:val="16"/>
      </w:numPr>
    </w:pPr>
  </w:style>
  <w:style w:type="paragraph" w:customStyle="1" w:styleId="AppendixHeadingLevel4">
    <w:name w:val="Appendix Heading Level 4"/>
    <w:basedOn w:val="Heading4"/>
    <w:next w:val="Normal"/>
    <w:rsid w:val="00F73064"/>
    <w:pPr>
      <w:numPr>
        <w:numId w:val="16"/>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17"/>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qFormat/>
    <w:rsid w:val="00B12319"/>
    <w:pPr>
      <w:spacing w:after="0" w:line="240" w:lineRule="auto"/>
    </w:pPr>
  </w:style>
  <w:style w:type="character" w:customStyle="1" w:styleId="NoSpacingChar">
    <w:name w:val="No Spacing Char"/>
    <w:basedOn w:val="DefaultParagraphFont"/>
    <w:link w:val="NoSpacing"/>
    <w:uiPriority w:val="1"/>
    <w:rsid w:val="00F73064"/>
  </w:style>
  <w:style w:type="paragraph" w:customStyle="1" w:styleId="Caption1">
    <w:name w:val="Caption1"/>
    <w:basedOn w:val="NoSpacing"/>
    <w:link w:val="Caption1Char"/>
    <w:rsid w:val="00B12319"/>
    <w:pPr>
      <w:keepNext/>
      <w:tabs>
        <w:tab w:val="left" w:pos="4438"/>
      </w:tabs>
      <w:jc w:val="center"/>
    </w:pPr>
    <w:rPr>
      <w:rFonts w:ascii="Arial" w:hAnsi="Arial"/>
      <w:color w:val="003157"/>
      <w:sz w:val="24"/>
      <w:szCs w:val="24"/>
      <w:lang w:eastAsia="en-AU"/>
    </w:rPr>
  </w:style>
  <w:style w:type="character" w:customStyle="1" w:styleId="Caption1Char">
    <w:name w:val="Caption1 Char"/>
    <w:basedOn w:val="NoSpacingChar"/>
    <w:link w:val="Caption1"/>
    <w:rsid w:val="00B12319"/>
    <w:rPr>
      <w:rFonts w:ascii="Arial" w:hAnsi="Arial"/>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uiPriority w:val="20"/>
    <w:qFormat/>
    <w:rsid w:val="00B12319"/>
    <w:rPr>
      <w:i/>
      <w:iCs/>
      <w:color w:val="auto"/>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19"/>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0849BB"/>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qFormat/>
    <w:rsid w:val="00B1231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12319"/>
    <w:rPr>
      <w:color w:val="000000" w:themeColor="text1"/>
      <w:shd w:val="clear" w:color="auto" w:fill="F2F2F2" w:themeFill="background1" w:themeFillShade="F2"/>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20"/>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Heading1">
    <w:name w:val="Table Heading 1"/>
    <w:basedOn w:val="HeadingBaseStyle"/>
    <w:next w:val="Normal"/>
    <w:rsid w:val="00F73064"/>
    <w:pPr>
      <w:spacing w:before="120" w:after="20"/>
      <w:jc w:val="center"/>
    </w:pPr>
    <w:rPr>
      <w:sz w:val="24"/>
    </w:rPr>
  </w:style>
  <w:style w:type="paragraph" w:customStyle="1" w:styleId="Tableheading2">
    <w:name w:val="Table heading 2"/>
    <w:basedOn w:val="TableHeading1"/>
    <w:next w:val="Normal"/>
    <w:rsid w:val="00F73064"/>
    <w:pPr>
      <w:spacing w:before="0"/>
    </w:pPr>
    <w:rPr>
      <w:sz w:val="22"/>
    </w:rPr>
  </w:style>
  <w:style w:type="paragraph" w:customStyle="1" w:styleId="TableHeadingcontinued">
    <w:name w:val="Table Heading continued"/>
    <w:basedOn w:val="HeadingBaseStyle"/>
    <w:next w:val="Normal"/>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character" w:styleId="Strong">
    <w:name w:val="Strong"/>
    <w:basedOn w:val="DefaultParagraphFont"/>
    <w:uiPriority w:val="22"/>
    <w:qFormat/>
    <w:rsid w:val="00B12319"/>
    <w:rPr>
      <w:b/>
      <w:bCs/>
      <w:color w:val="000000" w:themeColor="text1"/>
    </w:rPr>
  </w:style>
  <w:style w:type="paragraph" w:styleId="Quote">
    <w:name w:val="Quote"/>
    <w:basedOn w:val="Normal"/>
    <w:next w:val="Normal"/>
    <w:link w:val="QuoteChar"/>
    <w:uiPriority w:val="29"/>
    <w:qFormat/>
    <w:rsid w:val="00B12319"/>
    <w:pPr>
      <w:spacing w:before="160"/>
      <w:ind w:left="720" w:right="720"/>
    </w:pPr>
    <w:rPr>
      <w:i/>
      <w:iCs/>
      <w:color w:val="000000" w:themeColor="text1"/>
    </w:rPr>
  </w:style>
  <w:style w:type="character" w:customStyle="1" w:styleId="QuoteChar">
    <w:name w:val="Quote Char"/>
    <w:basedOn w:val="DefaultParagraphFont"/>
    <w:link w:val="Quote"/>
    <w:uiPriority w:val="29"/>
    <w:rsid w:val="00B12319"/>
    <w:rPr>
      <w:i/>
      <w:iCs/>
      <w:color w:val="000000" w:themeColor="text1"/>
    </w:rPr>
  </w:style>
  <w:style w:type="character" w:styleId="SubtleEmphasis">
    <w:name w:val="Subtle Emphasis"/>
    <w:basedOn w:val="DefaultParagraphFont"/>
    <w:uiPriority w:val="19"/>
    <w:qFormat/>
    <w:rsid w:val="00B12319"/>
    <w:rPr>
      <w:i/>
      <w:iCs/>
      <w:color w:val="404040" w:themeColor="text1" w:themeTint="BF"/>
    </w:rPr>
  </w:style>
  <w:style w:type="character" w:styleId="IntenseEmphasis">
    <w:name w:val="Intense Emphasis"/>
    <w:basedOn w:val="DefaultParagraphFont"/>
    <w:uiPriority w:val="21"/>
    <w:qFormat/>
    <w:rsid w:val="00B12319"/>
    <w:rPr>
      <w:b/>
      <w:bCs/>
      <w:i/>
      <w:iCs/>
      <w:caps/>
    </w:rPr>
  </w:style>
  <w:style w:type="character" w:styleId="SubtleReference">
    <w:name w:val="Subtle Reference"/>
    <w:basedOn w:val="DefaultParagraphFont"/>
    <w:uiPriority w:val="31"/>
    <w:qFormat/>
    <w:rsid w:val="00B1231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12319"/>
    <w:rPr>
      <w:b/>
      <w:bCs/>
      <w:smallCaps/>
      <w:u w:val="single"/>
    </w:rPr>
  </w:style>
  <w:style w:type="character" w:styleId="BookTitle">
    <w:name w:val="Book Title"/>
    <w:basedOn w:val="DefaultParagraphFont"/>
    <w:uiPriority w:val="33"/>
    <w:qFormat/>
    <w:rsid w:val="00B12319"/>
    <w:rPr>
      <w:b w:val="0"/>
      <w:bCs w:val="0"/>
      <w:smallCaps/>
      <w:spacing w:val="5"/>
    </w:rPr>
  </w:style>
  <w:style w:type="paragraph" w:styleId="TOCHeading">
    <w:name w:val="TOC Heading"/>
    <w:basedOn w:val="Heading1"/>
    <w:next w:val="Normal"/>
    <w:uiPriority w:val="39"/>
    <w:unhideWhenUsed/>
    <w:qFormat/>
    <w:rsid w:val="00B12319"/>
    <w:pPr>
      <w:outlineLvl w:val="9"/>
    </w:pPr>
  </w:style>
  <w:style w:type="paragraph" w:customStyle="1" w:styleId="H1Opensans">
    <w:name w:val="H1 Opensans"/>
    <w:basedOn w:val="Heading1"/>
    <w:link w:val="H1OpensansChar"/>
    <w:qFormat/>
    <w:rsid w:val="00363767"/>
    <w:rPr>
      <w:rFonts w:ascii="Open Sans" w:hAnsi="Open Sans" w:cs="Open Sans"/>
      <w:color w:val="00818F" w:themeColor="accent5"/>
      <w:sz w:val="48"/>
    </w:rPr>
  </w:style>
  <w:style w:type="paragraph" w:customStyle="1" w:styleId="H2Opensans">
    <w:name w:val="H2 Opensans"/>
    <w:basedOn w:val="Heading2"/>
    <w:link w:val="H2OpensansChar"/>
    <w:qFormat/>
    <w:rsid w:val="0014220F"/>
    <w:rPr>
      <w:rFonts w:ascii="Open Sans" w:hAnsi="Open Sans" w:cs="Open Sans"/>
      <w:color w:val="00818F" w:themeColor="accent5"/>
      <w:sz w:val="32"/>
    </w:rPr>
  </w:style>
  <w:style w:type="character" w:customStyle="1" w:styleId="H1OpensansChar">
    <w:name w:val="H1 Opensans Char"/>
    <w:basedOn w:val="Heading1Char"/>
    <w:link w:val="H1Opensans"/>
    <w:rsid w:val="00363767"/>
    <w:rPr>
      <w:rFonts w:ascii="Open Sans" w:eastAsiaTheme="majorEastAsia" w:hAnsi="Open Sans" w:cs="Open Sans"/>
      <w:b/>
      <w:bCs/>
      <w:smallCaps/>
      <w:color w:val="00818F" w:themeColor="accent5"/>
      <w:sz w:val="48"/>
      <w:szCs w:val="36"/>
    </w:rPr>
  </w:style>
  <w:style w:type="paragraph" w:customStyle="1" w:styleId="H3Opensans">
    <w:name w:val="H3 Opensans"/>
    <w:basedOn w:val="Heading3"/>
    <w:link w:val="H3OpensansChar"/>
    <w:qFormat/>
    <w:rsid w:val="00B350F7"/>
    <w:rPr>
      <w:rFonts w:ascii="Open Sans" w:hAnsi="Open Sans" w:cs="Open Sans"/>
      <w:color w:val="00818F" w:themeColor="accent5"/>
    </w:rPr>
  </w:style>
  <w:style w:type="character" w:customStyle="1" w:styleId="H2OpensansChar">
    <w:name w:val="H2 Opensans Char"/>
    <w:basedOn w:val="Heading2Char"/>
    <w:link w:val="H2Opensans"/>
    <w:rsid w:val="0014220F"/>
    <w:rPr>
      <w:rFonts w:ascii="Open Sans" w:eastAsiaTheme="majorEastAsia" w:hAnsi="Open Sans" w:cs="Open Sans"/>
      <w:b/>
      <w:bCs/>
      <w:smallCaps/>
      <w:color w:val="00818F" w:themeColor="accent5"/>
      <w:sz w:val="32"/>
      <w:szCs w:val="28"/>
    </w:rPr>
  </w:style>
  <w:style w:type="paragraph" w:customStyle="1" w:styleId="H4Opensans">
    <w:name w:val="H4 Opensans"/>
    <w:basedOn w:val="Heading4"/>
    <w:link w:val="H4OpensansChar"/>
    <w:qFormat/>
    <w:rsid w:val="00B350F7"/>
    <w:rPr>
      <w:rFonts w:ascii="Open Sans" w:hAnsi="Open Sans" w:cs="Open Sans"/>
      <w:color w:val="00818F" w:themeColor="accent5"/>
    </w:rPr>
  </w:style>
  <w:style w:type="character" w:customStyle="1" w:styleId="H3OpensansChar">
    <w:name w:val="H3 Opensans Char"/>
    <w:basedOn w:val="Heading3Char"/>
    <w:link w:val="H3Opensans"/>
    <w:rsid w:val="00B350F7"/>
    <w:rPr>
      <w:rFonts w:ascii="Open Sans" w:eastAsiaTheme="majorEastAsia" w:hAnsi="Open Sans" w:cs="Open Sans"/>
      <w:b/>
      <w:bCs/>
      <w:color w:val="00818F" w:themeColor="accent5"/>
    </w:rPr>
  </w:style>
  <w:style w:type="paragraph" w:customStyle="1" w:styleId="TextOpensans">
    <w:name w:val="Text Opensans"/>
    <w:basedOn w:val="Normal"/>
    <w:link w:val="TextOpensansChar"/>
    <w:qFormat/>
    <w:rsid w:val="005862BA"/>
    <w:rPr>
      <w:rFonts w:ascii="Open Sans" w:hAnsi="Open Sans" w:cs="Open Sans"/>
    </w:rPr>
  </w:style>
  <w:style w:type="character" w:customStyle="1" w:styleId="H4OpensansChar">
    <w:name w:val="H4 Opensans Char"/>
    <w:basedOn w:val="Heading4Char"/>
    <w:link w:val="H4Opensans"/>
    <w:rsid w:val="00B350F7"/>
    <w:rPr>
      <w:rFonts w:ascii="Open Sans" w:eastAsiaTheme="majorEastAsia" w:hAnsi="Open Sans" w:cs="Open Sans"/>
      <w:b/>
      <w:bCs/>
      <w:i/>
      <w:iCs/>
      <w:color w:val="00818F" w:themeColor="accent5"/>
    </w:rPr>
  </w:style>
  <w:style w:type="character" w:customStyle="1" w:styleId="TextOpensansChar">
    <w:name w:val="Text Opensans Char"/>
    <w:basedOn w:val="DefaultParagraphFont"/>
    <w:link w:val="TextOpensans"/>
    <w:rsid w:val="005862BA"/>
    <w:rPr>
      <w:rFonts w:ascii="Open Sans" w:hAnsi="Open Sans" w:cs="Open Sans"/>
    </w:rPr>
  </w:style>
  <w:style w:type="character" w:customStyle="1" w:styleId="UnresolvedMention1">
    <w:name w:val="Unresolved Mention1"/>
    <w:basedOn w:val="DefaultParagraphFont"/>
    <w:uiPriority w:val="99"/>
    <w:semiHidden/>
    <w:unhideWhenUsed/>
    <w:rsid w:val="009956DC"/>
    <w:rPr>
      <w:color w:val="605E5C"/>
      <w:shd w:val="clear" w:color="auto" w:fill="E1DFDD"/>
    </w:rPr>
  </w:style>
  <w:style w:type="paragraph" w:styleId="ListParagraph">
    <w:name w:val="List Paragraph"/>
    <w:basedOn w:val="Normal"/>
    <w:uiPriority w:val="34"/>
    <w:qFormat/>
    <w:rsid w:val="00860BA7"/>
    <w:pPr>
      <w:spacing w:after="0" w:line="240" w:lineRule="auto"/>
      <w:ind w:left="720"/>
    </w:pPr>
    <w:rPr>
      <w:rFonts w:ascii="Calibri" w:eastAsiaTheme="minorHAnsi" w:hAnsi="Calibri" w:cs="Calibri"/>
    </w:rPr>
  </w:style>
  <w:style w:type="paragraph" w:styleId="BodyText">
    <w:name w:val="Body Text"/>
    <w:basedOn w:val="Normal"/>
    <w:link w:val="BodyTextChar"/>
    <w:uiPriority w:val="99"/>
    <w:unhideWhenUsed/>
    <w:rsid w:val="00B95B2C"/>
    <w:pPr>
      <w:spacing w:after="120"/>
    </w:pPr>
  </w:style>
  <w:style w:type="character" w:customStyle="1" w:styleId="BodyTextChar">
    <w:name w:val="Body Text Char"/>
    <w:basedOn w:val="DefaultParagraphFont"/>
    <w:link w:val="BodyText"/>
    <w:uiPriority w:val="99"/>
    <w:rsid w:val="00B95B2C"/>
  </w:style>
  <w:style w:type="character" w:customStyle="1" w:styleId="DashChar">
    <w:name w:val="Dash Char"/>
    <w:basedOn w:val="DefaultParagraphFont"/>
    <w:link w:val="Dash"/>
    <w:rsid w:val="0071705B"/>
  </w:style>
  <w:style w:type="paragraph" w:customStyle="1" w:styleId="CABH2Info">
    <w:name w:val="CAB H2 Info"/>
    <w:basedOn w:val="Heading2"/>
    <w:uiPriority w:val="98"/>
    <w:qFormat/>
    <w:rsid w:val="00756FAF"/>
    <w:pPr>
      <w:numPr>
        <w:ilvl w:val="0"/>
        <w:numId w:val="0"/>
      </w:numPr>
      <w:spacing w:before="200" w:line="240" w:lineRule="auto"/>
    </w:pPr>
    <w:rPr>
      <w:rFonts w:ascii="Arial" w:hAnsi="Arial"/>
      <w:smallCaps w:val="0"/>
      <w:color w:val="auto"/>
      <w:sz w:val="24"/>
      <w:szCs w:val="32"/>
    </w:rPr>
  </w:style>
  <w:style w:type="table" w:styleId="LightGrid-Accent2">
    <w:name w:val="Light Grid Accent 2"/>
    <w:basedOn w:val="TableNormal"/>
    <w:uiPriority w:val="62"/>
    <w:rsid w:val="00FA495A"/>
    <w:pPr>
      <w:spacing w:after="0" w:line="240" w:lineRule="auto"/>
    </w:pPr>
    <w:rPr>
      <w:sz w:val="24"/>
      <w:szCs w:val="24"/>
    </w:rPr>
    <w:tblPr>
      <w:tblStyleRowBandSize w:val="1"/>
      <w:tblStyleColBandSize w:val="1"/>
      <w:tblBorders>
        <w:top w:val="single" w:sz="8" w:space="0" w:color="3A6FAF" w:themeColor="accent2"/>
        <w:left w:val="single" w:sz="8" w:space="0" w:color="3A6FAF" w:themeColor="accent2"/>
        <w:bottom w:val="single" w:sz="8" w:space="0" w:color="3A6FAF" w:themeColor="accent2"/>
        <w:right w:val="single" w:sz="8" w:space="0" w:color="3A6FAF" w:themeColor="accent2"/>
        <w:insideH w:val="single" w:sz="8" w:space="0" w:color="3A6FAF" w:themeColor="accent2"/>
        <w:insideV w:val="single" w:sz="8" w:space="0" w:color="3A6FAF"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6FAF" w:themeColor="accent2"/>
          <w:left w:val="single" w:sz="8" w:space="0" w:color="3A6FAF" w:themeColor="accent2"/>
          <w:bottom w:val="single" w:sz="8" w:space="0" w:color="3A6FAF" w:themeColor="accent2"/>
          <w:right w:val="single" w:sz="8" w:space="0" w:color="3A6FAF" w:themeColor="accent2"/>
          <w:insideH w:val="nil"/>
          <w:insideV w:val="single" w:sz="8" w:space="0" w:color="3A6F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6FAF" w:themeColor="accent2"/>
          <w:left w:val="single" w:sz="8" w:space="0" w:color="3A6FAF" w:themeColor="accent2"/>
          <w:bottom w:val="single" w:sz="8" w:space="0" w:color="3A6FAF" w:themeColor="accent2"/>
          <w:right w:val="single" w:sz="8" w:space="0" w:color="3A6FAF" w:themeColor="accent2"/>
        </w:tcBorders>
      </w:tcPr>
    </w:tblStylePr>
    <w:tblStylePr w:type="band2Horz">
      <w:tblPr/>
      <w:tcPr>
        <w:tcBorders>
          <w:top w:val="single" w:sz="8" w:space="0" w:color="3A6FAF" w:themeColor="accent2"/>
          <w:left w:val="single" w:sz="8" w:space="0" w:color="3A6FAF" w:themeColor="accent2"/>
          <w:bottom w:val="single" w:sz="8" w:space="0" w:color="3A6FAF" w:themeColor="accent2"/>
          <w:right w:val="single" w:sz="8" w:space="0" w:color="3A6FAF" w:themeColor="accent2"/>
          <w:insideV w:val="single" w:sz="8" w:space="0" w:color="3A6FAF" w:themeColor="accent2"/>
        </w:tcBorders>
      </w:tcPr>
    </w:tblStylePr>
  </w:style>
  <w:style w:type="paragraph" w:customStyle="1" w:styleId="TableText">
    <w:name w:val="TableText"/>
    <w:basedOn w:val="Normal"/>
    <w:qFormat/>
    <w:rsid w:val="00FA495A"/>
    <w:pPr>
      <w:spacing w:before="120" w:after="120" w:line="240" w:lineRule="auto"/>
    </w:pPr>
    <w:rPr>
      <w:rFonts w:ascii="Arial" w:eastAsiaTheme="majorEastAsia" w:hAnsi="Arial" w:cs="Arial"/>
      <w:bCs/>
      <w:sz w:val="20"/>
      <w:szCs w:val="20"/>
    </w:rPr>
  </w:style>
  <w:style w:type="character" w:customStyle="1" w:styleId="BulletChar">
    <w:name w:val="Bullet Char"/>
    <w:aliases w:val="b Char,b + line Char Char,b Char Char,b1 Char,b + line Char,Body Char,L Char,List Paragraph Char,List Paragraph1 Char,List Paragraph11 Char,Number Char,Recommendation Char,level 1 Char,Bullet + line Char,List Paragraph2 Char,Bullets Char"/>
    <w:basedOn w:val="DefaultParagraphFont"/>
    <w:link w:val="Bullet"/>
    <w:qFormat/>
    <w:rsid w:val="00887F5C"/>
  </w:style>
  <w:style w:type="paragraph" w:styleId="Revision">
    <w:name w:val="Revision"/>
    <w:hidden/>
    <w:uiPriority w:val="99"/>
    <w:semiHidden/>
    <w:rsid w:val="00BB4898"/>
    <w:pPr>
      <w:spacing w:after="0" w:line="240" w:lineRule="auto"/>
    </w:pPr>
  </w:style>
  <w:style w:type="paragraph" w:customStyle="1" w:styleId="Default">
    <w:name w:val="Default"/>
    <w:rsid w:val="007D1267"/>
    <w:pPr>
      <w:autoSpaceDE w:val="0"/>
      <w:autoSpaceDN w:val="0"/>
      <w:adjustRightInd w:val="0"/>
      <w:spacing w:after="0" w:line="240" w:lineRule="auto"/>
    </w:pPr>
    <w:rPr>
      <w:rFonts w:ascii="Times New Roman" w:hAnsi="Times New Roman" w:cs="Times New Roman"/>
      <w:color w:val="000000"/>
      <w:sz w:val="24"/>
      <w:szCs w:val="24"/>
    </w:rPr>
  </w:style>
  <w:style w:type="table" w:styleId="PlainTable5">
    <w:name w:val="Plain Table 5"/>
    <w:basedOn w:val="TableNormal"/>
    <w:uiPriority w:val="45"/>
    <w:rsid w:val="006905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1E737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3BBE"/>
    <w:rPr>
      <w:color w:val="605E5C"/>
      <w:shd w:val="clear" w:color="auto" w:fill="E1DFDD"/>
    </w:rPr>
  </w:style>
  <w:style w:type="table" w:styleId="GridTable1Light">
    <w:name w:val="Grid Table 1 Light"/>
    <w:basedOn w:val="TableNormal"/>
    <w:uiPriority w:val="46"/>
    <w:rsid w:val="00143C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780">
      <w:bodyDiv w:val="1"/>
      <w:marLeft w:val="0"/>
      <w:marRight w:val="0"/>
      <w:marTop w:val="0"/>
      <w:marBottom w:val="0"/>
      <w:divBdr>
        <w:top w:val="none" w:sz="0" w:space="0" w:color="auto"/>
        <w:left w:val="none" w:sz="0" w:space="0" w:color="auto"/>
        <w:bottom w:val="none" w:sz="0" w:space="0" w:color="auto"/>
        <w:right w:val="none" w:sz="0" w:space="0" w:color="auto"/>
      </w:divBdr>
    </w:div>
    <w:div w:id="31274737">
      <w:bodyDiv w:val="1"/>
      <w:marLeft w:val="0"/>
      <w:marRight w:val="0"/>
      <w:marTop w:val="0"/>
      <w:marBottom w:val="0"/>
      <w:divBdr>
        <w:top w:val="none" w:sz="0" w:space="0" w:color="auto"/>
        <w:left w:val="none" w:sz="0" w:space="0" w:color="auto"/>
        <w:bottom w:val="none" w:sz="0" w:space="0" w:color="auto"/>
        <w:right w:val="none" w:sz="0" w:space="0" w:color="auto"/>
      </w:divBdr>
    </w:div>
    <w:div w:id="119959120">
      <w:bodyDiv w:val="1"/>
      <w:marLeft w:val="0"/>
      <w:marRight w:val="0"/>
      <w:marTop w:val="0"/>
      <w:marBottom w:val="0"/>
      <w:divBdr>
        <w:top w:val="none" w:sz="0" w:space="0" w:color="auto"/>
        <w:left w:val="none" w:sz="0" w:space="0" w:color="auto"/>
        <w:bottom w:val="none" w:sz="0" w:space="0" w:color="auto"/>
        <w:right w:val="none" w:sz="0" w:space="0" w:color="auto"/>
      </w:divBdr>
    </w:div>
    <w:div w:id="343437600">
      <w:bodyDiv w:val="1"/>
      <w:marLeft w:val="0"/>
      <w:marRight w:val="0"/>
      <w:marTop w:val="0"/>
      <w:marBottom w:val="0"/>
      <w:divBdr>
        <w:top w:val="none" w:sz="0" w:space="0" w:color="auto"/>
        <w:left w:val="none" w:sz="0" w:space="0" w:color="auto"/>
        <w:bottom w:val="none" w:sz="0" w:space="0" w:color="auto"/>
        <w:right w:val="none" w:sz="0" w:space="0" w:color="auto"/>
      </w:divBdr>
    </w:div>
    <w:div w:id="490680662">
      <w:bodyDiv w:val="1"/>
      <w:marLeft w:val="0"/>
      <w:marRight w:val="0"/>
      <w:marTop w:val="0"/>
      <w:marBottom w:val="0"/>
      <w:divBdr>
        <w:top w:val="none" w:sz="0" w:space="0" w:color="auto"/>
        <w:left w:val="none" w:sz="0" w:space="0" w:color="auto"/>
        <w:bottom w:val="none" w:sz="0" w:space="0" w:color="auto"/>
        <w:right w:val="none" w:sz="0" w:space="0" w:color="auto"/>
      </w:divBdr>
    </w:div>
    <w:div w:id="593438804">
      <w:bodyDiv w:val="1"/>
      <w:marLeft w:val="0"/>
      <w:marRight w:val="0"/>
      <w:marTop w:val="0"/>
      <w:marBottom w:val="0"/>
      <w:divBdr>
        <w:top w:val="none" w:sz="0" w:space="0" w:color="auto"/>
        <w:left w:val="none" w:sz="0" w:space="0" w:color="auto"/>
        <w:bottom w:val="none" w:sz="0" w:space="0" w:color="auto"/>
        <w:right w:val="none" w:sz="0" w:space="0" w:color="auto"/>
      </w:divBdr>
    </w:div>
    <w:div w:id="655230054">
      <w:bodyDiv w:val="1"/>
      <w:marLeft w:val="0"/>
      <w:marRight w:val="0"/>
      <w:marTop w:val="0"/>
      <w:marBottom w:val="0"/>
      <w:divBdr>
        <w:top w:val="none" w:sz="0" w:space="0" w:color="auto"/>
        <w:left w:val="none" w:sz="0" w:space="0" w:color="auto"/>
        <w:bottom w:val="none" w:sz="0" w:space="0" w:color="auto"/>
        <w:right w:val="none" w:sz="0" w:space="0" w:color="auto"/>
      </w:divBdr>
    </w:div>
    <w:div w:id="727843136">
      <w:bodyDiv w:val="1"/>
      <w:marLeft w:val="0"/>
      <w:marRight w:val="0"/>
      <w:marTop w:val="0"/>
      <w:marBottom w:val="0"/>
      <w:divBdr>
        <w:top w:val="none" w:sz="0" w:space="0" w:color="auto"/>
        <w:left w:val="none" w:sz="0" w:space="0" w:color="auto"/>
        <w:bottom w:val="none" w:sz="0" w:space="0" w:color="auto"/>
        <w:right w:val="none" w:sz="0" w:space="0" w:color="auto"/>
      </w:divBdr>
    </w:div>
    <w:div w:id="783620849">
      <w:bodyDiv w:val="1"/>
      <w:marLeft w:val="0"/>
      <w:marRight w:val="0"/>
      <w:marTop w:val="0"/>
      <w:marBottom w:val="0"/>
      <w:divBdr>
        <w:top w:val="none" w:sz="0" w:space="0" w:color="auto"/>
        <w:left w:val="none" w:sz="0" w:space="0" w:color="auto"/>
        <w:bottom w:val="none" w:sz="0" w:space="0" w:color="auto"/>
        <w:right w:val="none" w:sz="0" w:space="0" w:color="auto"/>
      </w:divBdr>
    </w:div>
    <w:div w:id="1080252509">
      <w:bodyDiv w:val="1"/>
      <w:marLeft w:val="0"/>
      <w:marRight w:val="0"/>
      <w:marTop w:val="0"/>
      <w:marBottom w:val="0"/>
      <w:divBdr>
        <w:top w:val="none" w:sz="0" w:space="0" w:color="auto"/>
        <w:left w:val="none" w:sz="0" w:space="0" w:color="auto"/>
        <w:bottom w:val="none" w:sz="0" w:space="0" w:color="auto"/>
        <w:right w:val="none" w:sz="0" w:space="0" w:color="auto"/>
      </w:divBdr>
    </w:div>
    <w:div w:id="1104616291">
      <w:bodyDiv w:val="1"/>
      <w:marLeft w:val="0"/>
      <w:marRight w:val="0"/>
      <w:marTop w:val="0"/>
      <w:marBottom w:val="0"/>
      <w:divBdr>
        <w:top w:val="none" w:sz="0" w:space="0" w:color="auto"/>
        <w:left w:val="none" w:sz="0" w:space="0" w:color="auto"/>
        <w:bottom w:val="none" w:sz="0" w:space="0" w:color="auto"/>
        <w:right w:val="none" w:sz="0" w:space="0" w:color="auto"/>
      </w:divBdr>
    </w:div>
    <w:div w:id="1125001651">
      <w:bodyDiv w:val="1"/>
      <w:marLeft w:val="0"/>
      <w:marRight w:val="0"/>
      <w:marTop w:val="0"/>
      <w:marBottom w:val="0"/>
      <w:divBdr>
        <w:top w:val="none" w:sz="0" w:space="0" w:color="auto"/>
        <w:left w:val="none" w:sz="0" w:space="0" w:color="auto"/>
        <w:bottom w:val="none" w:sz="0" w:space="0" w:color="auto"/>
        <w:right w:val="none" w:sz="0" w:space="0" w:color="auto"/>
      </w:divBdr>
    </w:div>
    <w:div w:id="1271473657">
      <w:bodyDiv w:val="1"/>
      <w:marLeft w:val="0"/>
      <w:marRight w:val="0"/>
      <w:marTop w:val="0"/>
      <w:marBottom w:val="0"/>
      <w:divBdr>
        <w:top w:val="none" w:sz="0" w:space="0" w:color="auto"/>
        <w:left w:val="none" w:sz="0" w:space="0" w:color="auto"/>
        <w:bottom w:val="none" w:sz="0" w:space="0" w:color="auto"/>
        <w:right w:val="none" w:sz="0" w:space="0" w:color="auto"/>
      </w:divBdr>
      <w:divsChild>
        <w:div w:id="226381485">
          <w:marLeft w:val="0"/>
          <w:marRight w:val="0"/>
          <w:marTop w:val="0"/>
          <w:marBottom w:val="0"/>
          <w:divBdr>
            <w:top w:val="none" w:sz="0" w:space="0" w:color="auto"/>
            <w:left w:val="none" w:sz="0" w:space="0" w:color="auto"/>
            <w:bottom w:val="none" w:sz="0" w:space="0" w:color="auto"/>
            <w:right w:val="none" w:sz="0" w:space="0" w:color="auto"/>
          </w:divBdr>
          <w:divsChild>
            <w:div w:id="106778346">
              <w:marLeft w:val="0"/>
              <w:marRight w:val="0"/>
              <w:marTop w:val="0"/>
              <w:marBottom w:val="0"/>
              <w:divBdr>
                <w:top w:val="none" w:sz="0" w:space="0" w:color="auto"/>
                <w:left w:val="none" w:sz="0" w:space="0" w:color="auto"/>
                <w:bottom w:val="none" w:sz="0" w:space="0" w:color="auto"/>
                <w:right w:val="none" w:sz="0" w:space="0" w:color="auto"/>
              </w:divBdr>
            </w:div>
          </w:divsChild>
        </w:div>
        <w:div w:id="522523895">
          <w:marLeft w:val="0"/>
          <w:marRight w:val="0"/>
          <w:marTop w:val="0"/>
          <w:marBottom w:val="0"/>
          <w:divBdr>
            <w:top w:val="none" w:sz="0" w:space="0" w:color="auto"/>
            <w:left w:val="none" w:sz="0" w:space="0" w:color="auto"/>
            <w:bottom w:val="none" w:sz="0" w:space="0" w:color="auto"/>
            <w:right w:val="none" w:sz="0" w:space="0" w:color="auto"/>
          </w:divBdr>
          <w:divsChild>
            <w:div w:id="1033119002">
              <w:marLeft w:val="0"/>
              <w:marRight w:val="0"/>
              <w:marTop w:val="48"/>
              <w:marBottom w:val="240"/>
              <w:divBdr>
                <w:top w:val="none" w:sz="0" w:space="0" w:color="auto"/>
                <w:left w:val="none" w:sz="0" w:space="0" w:color="auto"/>
                <w:bottom w:val="none" w:sz="0" w:space="0" w:color="auto"/>
                <w:right w:val="none" w:sz="0" w:space="0" w:color="auto"/>
              </w:divBdr>
              <w:divsChild>
                <w:div w:id="1901211268">
                  <w:marLeft w:val="0"/>
                  <w:marRight w:val="0"/>
                  <w:marTop w:val="0"/>
                  <w:marBottom w:val="0"/>
                  <w:divBdr>
                    <w:top w:val="none" w:sz="0" w:space="0" w:color="auto"/>
                    <w:left w:val="none" w:sz="0" w:space="0" w:color="auto"/>
                    <w:bottom w:val="none" w:sz="0" w:space="0" w:color="auto"/>
                    <w:right w:val="none" w:sz="0" w:space="0" w:color="auto"/>
                  </w:divBdr>
                </w:div>
                <w:div w:id="1873301224">
                  <w:marLeft w:val="0"/>
                  <w:marRight w:val="0"/>
                  <w:marTop w:val="0"/>
                  <w:marBottom w:val="0"/>
                  <w:divBdr>
                    <w:top w:val="none" w:sz="0" w:space="0" w:color="auto"/>
                    <w:left w:val="none" w:sz="0" w:space="0" w:color="auto"/>
                    <w:bottom w:val="none" w:sz="0" w:space="0" w:color="auto"/>
                    <w:right w:val="none" w:sz="0" w:space="0" w:color="auto"/>
                  </w:divBdr>
                  <w:divsChild>
                    <w:div w:id="4093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7173">
              <w:marLeft w:val="0"/>
              <w:marRight w:val="0"/>
              <w:marTop w:val="0"/>
              <w:marBottom w:val="0"/>
              <w:divBdr>
                <w:top w:val="none" w:sz="0" w:space="0" w:color="auto"/>
                <w:left w:val="none" w:sz="0" w:space="0" w:color="auto"/>
                <w:bottom w:val="none" w:sz="0" w:space="0" w:color="auto"/>
                <w:right w:val="none" w:sz="0" w:space="0" w:color="auto"/>
              </w:divBdr>
              <w:divsChild>
                <w:div w:id="2008828330">
                  <w:marLeft w:val="0"/>
                  <w:marRight w:val="0"/>
                  <w:marTop w:val="0"/>
                  <w:marBottom w:val="0"/>
                  <w:divBdr>
                    <w:top w:val="none" w:sz="0" w:space="0" w:color="auto"/>
                    <w:left w:val="none" w:sz="0" w:space="0" w:color="auto"/>
                    <w:bottom w:val="none" w:sz="0" w:space="0" w:color="auto"/>
                    <w:right w:val="none" w:sz="0" w:space="0" w:color="auto"/>
                  </w:divBdr>
                  <w:divsChild>
                    <w:div w:id="7119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50243">
      <w:bodyDiv w:val="1"/>
      <w:marLeft w:val="0"/>
      <w:marRight w:val="0"/>
      <w:marTop w:val="0"/>
      <w:marBottom w:val="0"/>
      <w:divBdr>
        <w:top w:val="none" w:sz="0" w:space="0" w:color="auto"/>
        <w:left w:val="none" w:sz="0" w:space="0" w:color="auto"/>
        <w:bottom w:val="none" w:sz="0" w:space="0" w:color="auto"/>
        <w:right w:val="none" w:sz="0" w:space="0" w:color="auto"/>
      </w:divBdr>
    </w:div>
    <w:div w:id="1503348987">
      <w:bodyDiv w:val="1"/>
      <w:marLeft w:val="0"/>
      <w:marRight w:val="0"/>
      <w:marTop w:val="0"/>
      <w:marBottom w:val="0"/>
      <w:divBdr>
        <w:top w:val="none" w:sz="0" w:space="0" w:color="auto"/>
        <w:left w:val="none" w:sz="0" w:space="0" w:color="auto"/>
        <w:bottom w:val="none" w:sz="0" w:space="0" w:color="auto"/>
        <w:right w:val="none" w:sz="0" w:space="0" w:color="auto"/>
      </w:divBdr>
    </w:div>
    <w:div w:id="1568300427">
      <w:bodyDiv w:val="1"/>
      <w:marLeft w:val="0"/>
      <w:marRight w:val="0"/>
      <w:marTop w:val="0"/>
      <w:marBottom w:val="0"/>
      <w:divBdr>
        <w:top w:val="none" w:sz="0" w:space="0" w:color="auto"/>
        <w:left w:val="none" w:sz="0" w:space="0" w:color="auto"/>
        <w:bottom w:val="none" w:sz="0" w:space="0" w:color="auto"/>
        <w:right w:val="none" w:sz="0" w:space="0" w:color="auto"/>
      </w:divBdr>
    </w:div>
    <w:div w:id="1574512230">
      <w:bodyDiv w:val="1"/>
      <w:marLeft w:val="0"/>
      <w:marRight w:val="0"/>
      <w:marTop w:val="0"/>
      <w:marBottom w:val="0"/>
      <w:divBdr>
        <w:top w:val="none" w:sz="0" w:space="0" w:color="auto"/>
        <w:left w:val="none" w:sz="0" w:space="0" w:color="auto"/>
        <w:bottom w:val="none" w:sz="0" w:space="0" w:color="auto"/>
        <w:right w:val="none" w:sz="0" w:space="0" w:color="auto"/>
      </w:divBdr>
    </w:div>
    <w:div w:id="1652326209">
      <w:bodyDiv w:val="1"/>
      <w:marLeft w:val="0"/>
      <w:marRight w:val="0"/>
      <w:marTop w:val="0"/>
      <w:marBottom w:val="0"/>
      <w:divBdr>
        <w:top w:val="none" w:sz="0" w:space="0" w:color="auto"/>
        <w:left w:val="none" w:sz="0" w:space="0" w:color="auto"/>
        <w:bottom w:val="none" w:sz="0" w:space="0" w:color="auto"/>
        <w:right w:val="none" w:sz="0" w:space="0" w:color="auto"/>
      </w:divBdr>
    </w:div>
    <w:div w:id="1662004324">
      <w:bodyDiv w:val="1"/>
      <w:marLeft w:val="0"/>
      <w:marRight w:val="0"/>
      <w:marTop w:val="0"/>
      <w:marBottom w:val="0"/>
      <w:divBdr>
        <w:top w:val="none" w:sz="0" w:space="0" w:color="auto"/>
        <w:left w:val="none" w:sz="0" w:space="0" w:color="auto"/>
        <w:bottom w:val="none" w:sz="0" w:space="0" w:color="auto"/>
        <w:right w:val="none" w:sz="0" w:space="0" w:color="auto"/>
      </w:divBdr>
    </w:div>
    <w:div w:id="1666202841">
      <w:bodyDiv w:val="1"/>
      <w:marLeft w:val="0"/>
      <w:marRight w:val="0"/>
      <w:marTop w:val="0"/>
      <w:marBottom w:val="0"/>
      <w:divBdr>
        <w:top w:val="none" w:sz="0" w:space="0" w:color="auto"/>
        <w:left w:val="none" w:sz="0" w:space="0" w:color="auto"/>
        <w:bottom w:val="none" w:sz="0" w:space="0" w:color="auto"/>
        <w:right w:val="none" w:sz="0" w:space="0" w:color="auto"/>
      </w:divBdr>
    </w:div>
    <w:div w:id="1726101495">
      <w:bodyDiv w:val="1"/>
      <w:marLeft w:val="0"/>
      <w:marRight w:val="0"/>
      <w:marTop w:val="0"/>
      <w:marBottom w:val="0"/>
      <w:divBdr>
        <w:top w:val="none" w:sz="0" w:space="0" w:color="auto"/>
        <w:left w:val="none" w:sz="0" w:space="0" w:color="auto"/>
        <w:bottom w:val="none" w:sz="0" w:space="0" w:color="auto"/>
        <w:right w:val="none" w:sz="0" w:space="0" w:color="auto"/>
      </w:divBdr>
    </w:div>
    <w:div w:id="1764640773">
      <w:bodyDiv w:val="1"/>
      <w:marLeft w:val="0"/>
      <w:marRight w:val="0"/>
      <w:marTop w:val="0"/>
      <w:marBottom w:val="0"/>
      <w:divBdr>
        <w:top w:val="none" w:sz="0" w:space="0" w:color="auto"/>
        <w:left w:val="none" w:sz="0" w:space="0" w:color="auto"/>
        <w:bottom w:val="none" w:sz="0" w:space="0" w:color="auto"/>
        <w:right w:val="none" w:sz="0" w:space="0" w:color="auto"/>
      </w:divBdr>
    </w:div>
    <w:div w:id="1828355499">
      <w:bodyDiv w:val="1"/>
      <w:marLeft w:val="0"/>
      <w:marRight w:val="0"/>
      <w:marTop w:val="0"/>
      <w:marBottom w:val="0"/>
      <w:divBdr>
        <w:top w:val="none" w:sz="0" w:space="0" w:color="auto"/>
        <w:left w:val="none" w:sz="0" w:space="0" w:color="auto"/>
        <w:bottom w:val="none" w:sz="0" w:space="0" w:color="auto"/>
        <w:right w:val="none" w:sz="0" w:space="0" w:color="auto"/>
      </w:divBdr>
    </w:div>
    <w:div w:id="1831629830">
      <w:bodyDiv w:val="1"/>
      <w:marLeft w:val="0"/>
      <w:marRight w:val="0"/>
      <w:marTop w:val="0"/>
      <w:marBottom w:val="0"/>
      <w:divBdr>
        <w:top w:val="none" w:sz="0" w:space="0" w:color="auto"/>
        <w:left w:val="none" w:sz="0" w:space="0" w:color="auto"/>
        <w:bottom w:val="none" w:sz="0" w:space="0" w:color="auto"/>
        <w:right w:val="none" w:sz="0" w:space="0" w:color="auto"/>
      </w:divBdr>
    </w:div>
    <w:div w:id="1832135873">
      <w:bodyDiv w:val="1"/>
      <w:marLeft w:val="0"/>
      <w:marRight w:val="0"/>
      <w:marTop w:val="0"/>
      <w:marBottom w:val="0"/>
      <w:divBdr>
        <w:top w:val="none" w:sz="0" w:space="0" w:color="auto"/>
        <w:left w:val="none" w:sz="0" w:space="0" w:color="auto"/>
        <w:bottom w:val="none" w:sz="0" w:space="0" w:color="auto"/>
        <w:right w:val="none" w:sz="0" w:space="0" w:color="auto"/>
      </w:divBdr>
    </w:div>
    <w:div w:id="1917472215">
      <w:bodyDiv w:val="1"/>
      <w:marLeft w:val="0"/>
      <w:marRight w:val="0"/>
      <w:marTop w:val="0"/>
      <w:marBottom w:val="0"/>
      <w:divBdr>
        <w:top w:val="none" w:sz="0" w:space="0" w:color="auto"/>
        <w:left w:val="none" w:sz="0" w:space="0" w:color="auto"/>
        <w:bottom w:val="none" w:sz="0" w:space="0" w:color="auto"/>
        <w:right w:val="none" w:sz="0" w:space="0" w:color="auto"/>
      </w:divBdr>
      <w:divsChild>
        <w:div w:id="1201892371">
          <w:marLeft w:val="0"/>
          <w:marRight w:val="0"/>
          <w:marTop w:val="0"/>
          <w:marBottom w:val="0"/>
          <w:divBdr>
            <w:top w:val="none" w:sz="0" w:space="0" w:color="auto"/>
            <w:left w:val="none" w:sz="0" w:space="0" w:color="auto"/>
            <w:bottom w:val="none" w:sz="0" w:space="0" w:color="auto"/>
            <w:right w:val="none" w:sz="0" w:space="0" w:color="auto"/>
          </w:divBdr>
          <w:divsChild>
            <w:div w:id="60182272">
              <w:marLeft w:val="0"/>
              <w:marRight w:val="0"/>
              <w:marTop w:val="0"/>
              <w:marBottom w:val="0"/>
              <w:divBdr>
                <w:top w:val="none" w:sz="0" w:space="0" w:color="auto"/>
                <w:left w:val="none" w:sz="0" w:space="0" w:color="auto"/>
                <w:bottom w:val="none" w:sz="0" w:space="0" w:color="auto"/>
                <w:right w:val="none" w:sz="0" w:space="0" w:color="auto"/>
              </w:divBdr>
            </w:div>
          </w:divsChild>
        </w:div>
        <w:div w:id="199586987">
          <w:marLeft w:val="0"/>
          <w:marRight w:val="0"/>
          <w:marTop w:val="0"/>
          <w:marBottom w:val="0"/>
          <w:divBdr>
            <w:top w:val="none" w:sz="0" w:space="0" w:color="auto"/>
            <w:left w:val="none" w:sz="0" w:space="0" w:color="auto"/>
            <w:bottom w:val="none" w:sz="0" w:space="0" w:color="auto"/>
            <w:right w:val="none" w:sz="0" w:space="0" w:color="auto"/>
          </w:divBdr>
          <w:divsChild>
            <w:div w:id="977034992">
              <w:marLeft w:val="0"/>
              <w:marRight w:val="0"/>
              <w:marTop w:val="48"/>
              <w:marBottom w:val="240"/>
              <w:divBdr>
                <w:top w:val="none" w:sz="0" w:space="0" w:color="auto"/>
                <w:left w:val="none" w:sz="0" w:space="0" w:color="auto"/>
                <w:bottom w:val="none" w:sz="0" w:space="0" w:color="auto"/>
                <w:right w:val="none" w:sz="0" w:space="0" w:color="auto"/>
              </w:divBdr>
              <w:divsChild>
                <w:div w:id="776212688">
                  <w:marLeft w:val="0"/>
                  <w:marRight w:val="0"/>
                  <w:marTop w:val="0"/>
                  <w:marBottom w:val="0"/>
                  <w:divBdr>
                    <w:top w:val="none" w:sz="0" w:space="0" w:color="auto"/>
                    <w:left w:val="none" w:sz="0" w:space="0" w:color="auto"/>
                    <w:bottom w:val="none" w:sz="0" w:space="0" w:color="auto"/>
                    <w:right w:val="none" w:sz="0" w:space="0" w:color="auto"/>
                  </w:divBdr>
                </w:div>
                <w:div w:id="671764594">
                  <w:marLeft w:val="0"/>
                  <w:marRight w:val="0"/>
                  <w:marTop w:val="0"/>
                  <w:marBottom w:val="0"/>
                  <w:divBdr>
                    <w:top w:val="none" w:sz="0" w:space="0" w:color="auto"/>
                    <w:left w:val="none" w:sz="0" w:space="0" w:color="auto"/>
                    <w:bottom w:val="none" w:sz="0" w:space="0" w:color="auto"/>
                    <w:right w:val="none" w:sz="0" w:space="0" w:color="auto"/>
                  </w:divBdr>
                  <w:divsChild>
                    <w:div w:id="1805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1684">
              <w:marLeft w:val="0"/>
              <w:marRight w:val="0"/>
              <w:marTop w:val="0"/>
              <w:marBottom w:val="0"/>
              <w:divBdr>
                <w:top w:val="none" w:sz="0" w:space="0" w:color="auto"/>
                <w:left w:val="none" w:sz="0" w:space="0" w:color="auto"/>
                <w:bottom w:val="none" w:sz="0" w:space="0" w:color="auto"/>
                <w:right w:val="none" w:sz="0" w:space="0" w:color="auto"/>
              </w:divBdr>
              <w:divsChild>
                <w:div w:id="370999450">
                  <w:marLeft w:val="0"/>
                  <w:marRight w:val="0"/>
                  <w:marTop w:val="0"/>
                  <w:marBottom w:val="0"/>
                  <w:divBdr>
                    <w:top w:val="none" w:sz="0" w:space="0" w:color="auto"/>
                    <w:left w:val="none" w:sz="0" w:space="0" w:color="auto"/>
                    <w:bottom w:val="none" w:sz="0" w:space="0" w:color="auto"/>
                    <w:right w:val="none" w:sz="0" w:space="0" w:color="auto"/>
                  </w:divBdr>
                  <w:divsChild>
                    <w:div w:id="382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01161">
      <w:bodyDiv w:val="1"/>
      <w:marLeft w:val="0"/>
      <w:marRight w:val="0"/>
      <w:marTop w:val="0"/>
      <w:marBottom w:val="0"/>
      <w:divBdr>
        <w:top w:val="none" w:sz="0" w:space="0" w:color="auto"/>
        <w:left w:val="none" w:sz="0" w:space="0" w:color="auto"/>
        <w:bottom w:val="none" w:sz="0" w:space="0" w:color="auto"/>
        <w:right w:val="none" w:sz="0" w:space="0" w:color="auto"/>
      </w:divBdr>
    </w:div>
    <w:div w:id="205534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reasury.gov.au/sites/default/files/2021-07/c2021_177849.pdf" TargetMode="External"/><Relationship Id="rId21" Type="http://schemas.openxmlformats.org/officeDocument/2006/relationships/hyperlink" Target="https://assets.publishing.service.gov.uk/government/uploads/system/uploads/attachment_data/file/934265/Evaluation_report_-_Patent_Box.pdf" TargetMode="External"/><Relationship Id="rId42" Type="http://schemas.openxmlformats.org/officeDocument/2006/relationships/hyperlink" Target="https://www.rentschpartner.ch/en/expertise/startups/257-articles/patent-box" TargetMode="External"/><Relationship Id="rId47" Type="http://schemas.openxmlformats.org/officeDocument/2006/relationships/header" Target="header6.xml"/><Relationship Id="rId63" Type="http://schemas.openxmlformats.org/officeDocument/2006/relationships/hyperlink" Target="https://services.ipaustralia.gov.au/ssoda/" TargetMode="External"/><Relationship Id="rId68" Type="http://schemas.openxmlformats.org/officeDocument/2006/relationships/customXml" Target="../customXml/item2.xml"/><Relationship Id="rId7" Type="http://schemas.openxmlformats.org/officeDocument/2006/relationships/footer" Target="footer1.xml"/><Relationship Id="rId71"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hart" Target="charts/chart1.xml"/><Relationship Id="rId29" Type="http://schemas.openxmlformats.org/officeDocument/2006/relationships/hyperlink" Target="https://www.csiro.au/en/work-with-us/services/consultancy-strategic-advice-services/CSIRO-futures/Futures-reports/Quantifying-Australias-returns-to-innovation" TargetMode="External"/><Relationship Id="rId11" Type="http://schemas.openxmlformats.org/officeDocument/2006/relationships/hyperlink" Target="http://creativecommons.org/licenses/by/3.0/au/legalcode" TargetMode="External"/><Relationship Id="rId24" Type="http://schemas.openxmlformats.org/officeDocument/2006/relationships/hyperlink" Target="https://papers.ssrn.com/sol3/papers.cfm?abstract_id=2943435" TargetMode="External"/><Relationship Id="rId32" Type="http://schemas.openxmlformats.org/officeDocument/2006/relationships/header" Target="header4.xml"/><Relationship Id="rId37" Type="http://schemas.openxmlformats.org/officeDocument/2006/relationships/hyperlink" Target="https://www2.deloitte.com/content/dam/Deloitte/global/Documents/Tax/dttl-tax-survey-of-global-investment-and-innovation-incentives-switzerland-2020.pdf" TargetMode="External"/><Relationship Id="rId40" Type="http://schemas.openxmlformats.org/officeDocument/2006/relationships/hyperlink" Target="https://www.edb.gov.sg/content/dam/edb-en/how-we-help/incentive-and-schemes/PC%20and%20DEI%20Brochure.pdf" TargetMode="External"/><Relationship Id="rId45" Type="http://schemas.openxmlformats.org/officeDocument/2006/relationships/hyperlink" Target="https://www.edb.gov.sg/content/dam/edb-en/how-we-help/incentive-and-schemes/IDI%20circular%20(Jan2020).pdf" TargetMode="External"/><Relationship Id="rId53" Type="http://schemas.openxmlformats.org/officeDocument/2006/relationships/hyperlink" Target="https://www.legislation.gov.au/Series/C2004A00446" TargetMode="External"/><Relationship Id="rId58" Type="http://schemas.openxmlformats.org/officeDocument/2006/relationships/hyperlink" Target="https://www.ipaustralia.gov.au/patents/applying-patent/innovation-patent-application-process/phase-out-innovation-patent"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ipaustralia.gov.au/node/61846" TargetMode="External"/><Relationship Id="rId19" Type="http://schemas.openxmlformats.org/officeDocument/2006/relationships/hyperlink" Target="https://treasury.gov.au/sites/default/files/2021-07/c2021_177849.pdf" TargetMode="External"/><Relationship Id="rId14" Type="http://schemas.openxmlformats.org/officeDocument/2006/relationships/hyperlink" Target="http://www.pmc.gov.au/government/commonwealth-coat-arms" TargetMode="External"/><Relationship Id="rId22" Type="http://schemas.openxmlformats.org/officeDocument/2006/relationships/hyperlink" Target="https://www.sciencedirect.com/science/article/abs/pii/S0048733320302043" TargetMode="External"/><Relationship Id="rId27" Type="http://schemas.openxmlformats.org/officeDocument/2006/relationships/hyperlink" Target="https://treasury.gov.au/consultation/c2021-177849" TargetMode="External"/><Relationship Id="rId30" Type="http://schemas.openxmlformats.org/officeDocument/2006/relationships/header" Target="header2.xml"/><Relationship Id="rId35" Type="http://schemas.openxmlformats.org/officeDocument/2006/relationships/hyperlink" Target="http://tweb/sites/lbtax/ctw/Income%20Tax%20(Concessionary%20Rate%20of%20Tax%20for%20Intellectual%20Property%20Income)%20Regulations%202021%20(Regulations)." TargetMode="External"/><Relationship Id="rId43" Type="http://schemas.openxmlformats.org/officeDocument/2006/relationships/hyperlink" Target="https://sso.agc.gov.sg/Act/ITA1947?ProvIds=pr43ZI-&amp;ViewType=Advance&amp;Any=3+Factories+Persons+In+Charge+Regulations&amp;WiAl=1" TargetMode="External"/><Relationship Id="rId48" Type="http://schemas.openxmlformats.org/officeDocument/2006/relationships/footer" Target="footer4.xml"/><Relationship Id="rId56" Type="http://schemas.openxmlformats.org/officeDocument/2006/relationships/hyperlink" Target="https://services.ipaustralia.gov.au/ssoda/" TargetMode="External"/><Relationship Id="rId64" Type="http://schemas.openxmlformats.org/officeDocument/2006/relationships/hyperlink" Target="http://www.freshcreative.net.au/ip-certificate" TargetMode="External"/><Relationship Id="rId69" Type="http://schemas.openxmlformats.org/officeDocument/2006/relationships/customXml" Target="../customXml/item3.xml"/><Relationship Id="rId8" Type="http://schemas.openxmlformats.org/officeDocument/2006/relationships/footer" Target="footer2.xml"/><Relationship Id="rId51"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3.png"/><Relationship Id="rId25" Type="http://schemas.openxmlformats.org/officeDocument/2006/relationships/hyperlink" Target="https://www.industry.gov.au/sites/default/files/May%202018/document/pdf/patent_box_policies.pdf?acsf_files_redirect" TargetMode="External"/><Relationship Id="rId33" Type="http://schemas.openxmlformats.org/officeDocument/2006/relationships/footer" Target="footer3.xml"/><Relationship Id="rId38" Type="http://schemas.openxmlformats.org/officeDocument/2006/relationships/hyperlink" Target="https://www.internationaltaxreview.com/article/b1k6lk6hld5x1l/locating-intangibles-in-a-post-reform-switzerland-tax-incentives-and-transfer-pricing-consistency" TargetMode="External"/><Relationship Id="rId46" Type="http://schemas.openxmlformats.org/officeDocument/2006/relationships/header" Target="header5.xml"/><Relationship Id="rId59" Type="http://schemas.openxmlformats.org/officeDocument/2006/relationships/hyperlink" Target="https://www.ipaustralia.gov.au/patents/understanding-patents/types-patents" TargetMode="External"/><Relationship Id="rId20" Type="http://schemas.openxmlformats.org/officeDocument/2006/relationships/hyperlink" Target="https://www.oecd.org/sti/rd-tax-stats.htm" TargetMode="External"/><Relationship Id="rId41" Type="http://schemas.openxmlformats.org/officeDocument/2006/relationships/hyperlink" Target="https://www.jdsupra.com/legalnews/singapore-budget-2019-tax-developments-97958/" TargetMode="External"/><Relationship Id="rId54" Type="http://schemas.openxmlformats.org/officeDocument/2006/relationships/hyperlink" Target="https://www.ipaustralia.gov.au/about-us/legislation/ip-legislation" TargetMode="External"/><Relationship Id="rId62" Type="http://schemas.openxmlformats.org/officeDocument/2006/relationships/hyperlink" Target="https://www.ipaustralia.gov.au/node/61846" TargetMode="External"/><Relationship Id="rId7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media@treasury.gov.au" TargetMode="External"/><Relationship Id="rId23" Type="http://schemas.openxmlformats.org/officeDocument/2006/relationships/hyperlink" Target="https://ifs.org.uk/bns/bn112.pdf" TargetMode="External"/><Relationship Id="rId28" Type="http://schemas.openxmlformats.org/officeDocument/2006/relationships/hyperlink" Target="https://www.pc.gov.au/research/supporting/research-development-econometric-modelling/economicmodelling.pdf" TargetMode="External"/><Relationship Id="rId36" Type="http://schemas.openxmlformats.org/officeDocument/2006/relationships/hyperlink" Target="https://www.google.com/url?sa=t&amp;rct=j&amp;q=&amp;esrc=s&amp;source=web&amp;cd=&amp;ved=2ahUKEwisos_osIXyAhXLUn0KHcZTBm8QFjADegQIBRAD&amp;url=https%3A%2F%2Fassets.ey.com%2Fcontent%2Fdam%2Fey-sites%2Fey-com%2Fen_sg%2Ftopics%2Fsingapore-tax-alert%2Fey-subsidiary-legislation-on-intellectual-property-development-incentive.pdf%3Fdownload&amp;usg=AOvVaw0PQYSbZkya5ZM6XSYCb0Xi" TargetMode="External"/><Relationship Id="rId49" Type="http://schemas.openxmlformats.org/officeDocument/2006/relationships/footer" Target="footer5.xml"/><Relationship Id="rId57" Type="http://schemas.openxmlformats.org/officeDocument/2006/relationships/hyperlink" Target="https://www.ipaustralia.gov.au/patents/understanding-patents/types-patents" TargetMode="External"/><Relationship Id="rId10" Type="http://schemas.openxmlformats.org/officeDocument/2006/relationships/hyperlink" Target="http://creativecommons.org/licenses/by/3.0/au/deed.en" TargetMode="External"/><Relationship Id="rId31" Type="http://schemas.openxmlformats.org/officeDocument/2006/relationships/header" Target="header3.xml"/><Relationship Id="rId44" Type="http://schemas.openxmlformats.org/officeDocument/2006/relationships/hyperlink" Target="http://tweb/sites/lbtax/ctw/Income%20Tax%20(Concessionary%20Rate%20of%20Tax%20for%20Intellectual%20Property%20Income)%20Regulations%202021%20(Regulations)." TargetMode="External"/><Relationship Id="rId52" Type="http://schemas.openxmlformats.org/officeDocument/2006/relationships/hyperlink" Target="https://www.legislation.gov.au/Details/F2020C00984" TargetMode="External"/><Relationship Id="rId60" Type="http://schemas.openxmlformats.org/officeDocument/2006/relationships/hyperlink" Target="https://www.ipaustralia.gov.au/patents/understanding-patents/types-patents"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creativecommons.org/licenses/by/3.0/au/deed.en" TargetMode="External"/><Relationship Id="rId18" Type="http://schemas.openxmlformats.org/officeDocument/2006/relationships/image" Target="media/image4.png"/><Relationship Id="rId39" Type="http://schemas.openxmlformats.org/officeDocument/2006/relationships/hyperlink" Target="https://assets.kpmg/content/dam/kpmg/sg/pdf/2017/12/incentive-Snippets-201703.pdf" TargetMode="External"/><Relationship Id="rId34" Type="http://schemas.openxmlformats.org/officeDocument/2006/relationships/hyperlink" Target="https://sso.agc.gov.sg/Act/ITA1947?ProvIds=pr43ZI-&amp;ViewType=Advance&amp;Any=3+Factories+Persons+In+Charge+Regulations&amp;WiAl=1" TargetMode="External"/><Relationship Id="rId50" Type="http://schemas.openxmlformats.org/officeDocument/2006/relationships/header" Target="header7.xml"/><Relationship Id="rId55" Type="http://schemas.openxmlformats.org/officeDocument/2006/relationships/hyperlink" Target="https://portal.ipaustralia.gov.au/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oleObject" Target="http://tweb/sites/rg/citd/corptaxsys/01CompanyTaxRate/Company%20Tax%20Rate%20Documents%20-%202016-17/Data/OECD%20countries%20corporate%20tax%20rateV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xMode val="edge"/>
          <c:yMode val="edge"/>
          <c:x val="1.1379928315412187E-2"/>
          <c:y val="3.9687500000000001E-2"/>
          <c:w val="0.98862007168458776"/>
          <c:h val="0.88015624999999997"/>
        </c:manualLayout>
      </c:layout>
      <c:barChart>
        <c:barDir val="col"/>
        <c:grouping val="clustered"/>
        <c:varyColors val="0"/>
        <c:ser>
          <c:idx val="0"/>
          <c:order val="0"/>
          <c:tx>
            <c:v>Current rates</c:v>
          </c:tx>
          <c:invertIfNegative val="0"/>
          <c:dPt>
            <c:idx val="2"/>
            <c:invertIfNegative val="0"/>
            <c:bubble3D val="0"/>
            <c:spPr>
              <a:solidFill>
                <a:schemeClr val="accent1"/>
              </a:solidFill>
            </c:spPr>
            <c:extLst>
              <c:ext xmlns:c16="http://schemas.microsoft.com/office/drawing/2014/chart" uri="{C3380CC4-5D6E-409C-BE32-E72D297353CC}">
                <c16:uniqueId val="{00000001-BEE6-4450-84CF-0C7E780864F9}"/>
              </c:ext>
            </c:extLst>
          </c:dPt>
          <c:dPt>
            <c:idx val="3"/>
            <c:invertIfNegative val="0"/>
            <c:bubble3D val="0"/>
            <c:spPr>
              <a:solidFill>
                <a:srgbClr val="0070C0"/>
              </a:solidFill>
            </c:spPr>
            <c:extLst>
              <c:ext xmlns:c16="http://schemas.microsoft.com/office/drawing/2014/chart" uri="{C3380CC4-5D6E-409C-BE32-E72D297353CC}">
                <c16:uniqueId val="{00000003-BEE6-4450-84CF-0C7E780864F9}"/>
              </c:ext>
            </c:extLst>
          </c:dPt>
          <c:dPt>
            <c:idx val="11"/>
            <c:invertIfNegative val="0"/>
            <c:bubble3D val="0"/>
            <c:spPr>
              <a:solidFill>
                <a:schemeClr val="accent1"/>
              </a:solidFill>
            </c:spPr>
            <c:extLst>
              <c:ext xmlns:c16="http://schemas.microsoft.com/office/drawing/2014/chart" uri="{C3380CC4-5D6E-409C-BE32-E72D297353CC}">
                <c16:uniqueId val="{00000005-BEE6-4450-84CF-0C7E780864F9}"/>
              </c:ext>
            </c:extLst>
          </c:dPt>
          <c:dPt>
            <c:idx val="16"/>
            <c:invertIfNegative val="0"/>
            <c:bubble3D val="0"/>
            <c:spPr>
              <a:solidFill>
                <a:schemeClr val="accent1"/>
              </a:solidFill>
            </c:spPr>
            <c:extLst>
              <c:ext xmlns:c16="http://schemas.microsoft.com/office/drawing/2014/chart" uri="{C3380CC4-5D6E-409C-BE32-E72D297353CC}">
                <c16:uniqueId val="{00000007-BEE6-4450-84CF-0C7E780864F9}"/>
              </c:ext>
            </c:extLst>
          </c:dPt>
          <c:dPt>
            <c:idx val="17"/>
            <c:invertIfNegative val="0"/>
            <c:bubble3D val="0"/>
            <c:spPr>
              <a:solidFill>
                <a:schemeClr val="accent1"/>
              </a:solidFill>
            </c:spPr>
            <c:extLst>
              <c:ext xmlns:c16="http://schemas.microsoft.com/office/drawing/2014/chart" uri="{C3380CC4-5D6E-409C-BE32-E72D297353CC}">
                <c16:uniqueId val="{00000009-BEE6-4450-84CF-0C7E780864F9}"/>
              </c:ext>
            </c:extLst>
          </c:dPt>
          <c:dPt>
            <c:idx val="18"/>
            <c:invertIfNegative val="0"/>
            <c:bubble3D val="0"/>
            <c:spPr>
              <a:solidFill>
                <a:schemeClr val="accent1"/>
              </a:solidFill>
            </c:spPr>
            <c:extLst>
              <c:ext xmlns:c16="http://schemas.microsoft.com/office/drawing/2014/chart" uri="{C3380CC4-5D6E-409C-BE32-E72D297353CC}">
                <c16:uniqueId val="{0000000B-BEE6-4450-84CF-0C7E780864F9}"/>
              </c:ext>
            </c:extLst>
          </c:dPt>
          <c:dPt>
            <c:idx val="19"/>
            <c:invertIfNegative val="0"/>
            <c:bubble3D val="0"/>
            <c:spPr>
              <a:solidFill>
                <a:schemeClr val="accent1"/>
              </a:solidFill>
            </c:spPr>
            <c:extLst>
              <c:ext xmlns:c16="http://schemas.microsoft.com/office/drawing/2014/chart" uri="{C3380CC4-5D6E-409C-BE32-E72D297353CC}">
                <c16:uniqueId val="{0000000D-BEE6-4450-84CF-0C7E780864F9}"/>
              </c:ext>
            </c:extLst>
          </c:dPt>
          <c:dPt>
            <c:idx val="20"/>
            <c:invertIfNegative val="0"/>
            <c:bubble3D val="0"/>
            <c:spPr>
              <a:solidFill>
                <a:schemeClr val="accent1"/>
              </a:solidFill>
            </c:spPr>
            <c:extLst>
              <c:ext xmlns:c16="http://schemas.microsoft.com/office/drawing/2014/chart" uri="{C3380CC4-5D6E-409C-BE32-E72D297353CC}">
                <c16:uniqueId val="{0000000F-BEE6-4450-84CF-0C7E780864F9}"/>
              </c:ext>
            </c:extLst>
          </c:dPt>
          <c:dPt>
            <c:idx val="24"/>
            <c:invertIfNegative val="0"/>
            <c:bubble3D val="0"/>
            <c:spPr>
              <a:solidFill>
                <a:schemeClr val="accent1"/>
              </a:solidFill>
            </c:spPr>
            <c:extLst>
              <c:ext xmlns:c16="http://schemas.microsoft.com/office/drawing/2014/chart" uri="{C3380CC4-5D6E-409C-BE32-E72D297353CC}">
                <c16:uniqueId val="{00000011-BEE6-4450-84CF-0C7E780864F9}"/>
              </c:ext>
            </c:extLst>
          </c:dPt>
          <c:dPt>
            <c:idx val="27"/>
            <c:invertIfNegative val="0"/>
            <c:bubble3D val="0"/>
            <c:extLst>
              <c:ext xmlns:c16="http://schemas.microsoft.com/office/drawing/2014/chart" uri="{C3380CC4-5D6E-409C-BE32-E72D297353CC}">
                <c16:uniqueId val="{00000012-BEE6-4450-84CF-0C7E780864F9}"/>
              </c:ext>
            </c:extLst>
          </c:dPt>
          <c:dPt>
            <c:idx val="28"/>
            <c:invertIfNegative val="0"/>
            <c:bubble3D val="0"/>
            <c:spPr>
              <a:solidFill>
                <a:schemeClr val="accent1"/>
              </a:solidFill>
            </c:spPr>
            <c:extLst>
              <c:ext xmlns:c16="http://schemas.microsoft.com/office/drawing/2014/chart" uri="{C3380CC4-5D6E-409C-BE32-E72D297353CC}">
                <c16:uniqueId val="{00000014-BEE6-4450-84CF-0C7E780864F9}"/>
              </c:ext>
            </c:extLst>
          </c:dPt>
          <c:dPt>
            <c:idx val="29"/>
            <c:invertIfNegative val="0"/>
            <c:bubble3D val="0"/>
            <c:spPr>
              <a:solidFill>
                <a:schemeClr val="accent1"/>
              </a:solidFill>
            </c:spPr>
            <c:extLst>
              <c:ext xmlns:c16="http://schemas.microsoft.com/office/drawing/2014/chart" uri="{C3380CC4-5D6E-409C-BE32-E72D297353CC}">
                <c16:uniqueId val="{00000016-BEE6-4450-84CF-0C7E780864F9}"/>
              </c:ext>
            </c:extLst>
          </c:dPt>
          <c:dPt>
            <c:idx val="30"/>
            <c:invertIfNegative val="0"/>
            <c:bubble3D val="0"/>
            <c:spPr>
              <a:solidFill>
                <a:schemeClr val="accent1"/>
              </a:solidFill>
            </c:spPr>
            <c:extLst>
              <c:ext xmlns:c16="http://schemas.microsoft.com/office/drawing/2014/chart" uri="{C3380CC4-5D6E-409C-BE32-E72D297353CC}">
                <c16:uniqueId val="{00000018-BEE6-4450-84CF-0C7E780864F9}"/>
              </c:ext>
            </c:extLst>
          </c:dPt>
          <c:dPt>
            <c:idx val="31"/>
            <c:invertIfNegative val="0"/>
            <c:bubble3D val="0"/>
            <c:spPr>
              <a:solidFill>
                <a:schemeClr val="accent1"/>
              </a:solidFill>
            </c:spPr>
            <c:extLst>
              <c:ext xmlns:c16="http://schemas.microsoft.com/office/drawing/2014/chart" uri="{C3380CC4-5D6E-409C-BE32-E72D297353CC}">
                <c16:uniqueId val="{0000001A-BEE6-4450-84CF-0C7E780864F9}"/>
              </c:ext>
            </c:extLst>
          </c:dPt>
          <c:dPt>
            <c:idx val="32"/>
            <c:invertIfNegative val="0"/>
            <c:bubble3D val="0"/>
            <c:spPr>
              <a:solidFill>
                <a:schemeClr val="accent1"/>
              </a:solidFill>
            </c:spPr>
            <c:extLst>
              <c:ext xmlns:c16="http://schemas.microsoft.com/office/drawing/2014/chart" uri="{C3380CC4-5D6E-409C-BE32-E72D297353CC}">
                <c16:uniqueId val="{0000001C-BEE6-4450-84CF-0C7E780864F9}"/>
              </c:ext>
            </c:extLst>
          </c:dPt>
          <c:dPt>
            <c:idx val="33"/>
            <c:invertIfNegative val="0"/>
            <c:bubble3D val="0"/>
            <c:spPr>
              <a:solidFill>
                <a:schemeClr val="accent1"/>
              </a:solidFill>
            </c:spPr>
            <c:extLst>
              <c:ext xmlns:c16="http://schemas.microsoft.com/office/drawing/2014/chart" uri="{C3380CC4-5D6E-409C-BE32-E72D297353CC}">
                <c16:uniqueId val="{0000001E-BEE6-4450-84CF-0C7E780864F9}"/>
              </c:ext>
            </c:extLst>
          </c:dPt>
          <c:dPt>
            <c:idx val="35"/>
            <c:invertIfNegative val="0"/>
            <c:bubble3D val="0"/>
            <c:spPr>
              <a:solidFill>
                <a:srgbClr val="FF0000"/>
              </a:solidFill>
            </c:spPr>
            <c:extLst>
              <c:ext xmlns:c16="http://schemas.microsoft.com/office/drawing/2014/chart" uri="{C3380CC4-5D6E-409C-BE32-E72D297353CC}">
                <c16:uniqueId val="{00000020-BEE6-4450-84CF-0C7E780864F9}"/>
              </c:ext>
            </c:extLst>
          </c:dPt>
          <c:dPt>
            <c:idx val="36"/>
            <c:invertIfNegative val="0"/>
            <c:bubble3D val="0"/>
            <c:spPr>
              <a:solidFill>
                <a:schemeClr val="accent1"/>
              </a:solidFill>
            </c:spPr>
            <c:extLst>
              <c:ext xmlns:c16="http://schemas.microsoft.com/office/drawing/2014/chart" uri="{C3380CC4-5D6E-409C-BE32-E72D297353CC}">
                <c16:uniqueId val="{00000022-BEE6-4450-84CF-0C7E780864F9}"/>
              </c:ext>
            </c:extLst>
          </c:dPt>
          <c:cat>
            <c:strRef>
              <c:f>'170615 Data with Trump plan'!$A$3:$A$40</c:f>
              <c:strCache>
                <c:ptCount val="38"/>
                <c:pt idx="0">
                  <c:v>Hungary</c:v>
                </c:pt>
                <c:pt idx="1">
                  <c:v>Chile</c:v>
                </c:pt>
                <c:pt idx="2">
                  <c:v>Ireland</c:v>
                </c:pt>
                <c:pt idx="3">
                  <c:v>Lithuania</c:v>
                </c:pt>
                <c:pt idx="4">
                  <c:v>Czech Republic</c:v>
                </c:pt>
                <c:pt idx="5">
                  <c:v>Poland</c:v>
                </c:pt>
                <c:pt idx="6">
                  <c:v>Slovenia</c:v>
                </c:pt>
                <c:pt idx="7">
                  <c:v>United Kingdom</c:v>
                </c:pt>
                <c:pt idx="8">
                  <c:v>Switzerland</c:v>
                </c:pt>
                <c:pt idx="9">
                  <c:v>Estonia</c:v>
                </c:pt>
                <c:pt idx="10">
                  <c:v>Finland</c:v>
                </c:pt>
                <c:pt idx="11">
                  <c:v>Iceland</c:v>
                </c:pt>
                <c:pt idx="12">
                  <c:v>Latvia</c:v>
                </c:pt>
                <c:pt idx="13">
                  <c:v>Sweden</c:v>
                </c:pt>
                <c:pt idx="14">
                  <c:v>Slovak Republic</c:v>
                </c:pt>
                <c:pt idx="15">
                  <c:v>Denmark</c:v>
                </c:pt>
                <c:pt idx="16">
                  <c:v>Norway</c:v>
                </c:pt>
                <c:pt idx="17">
                  <c:v>Israel</c:v>
                </c:pt>
                <c:pt idx="18">
                  <c:v>Greece</c:v>
                </c:pt>
                <c:pt idx="19">
                  <c:v>Luxembourg</c:v>
                </c:pt>
                <c:pt idx="20">
                  <c:v>Austria</c:v>
                </c:pt>
                <c:pt idx="21">
                  <c:v>Belgium</c:v>
                </c:pt>
                <c:pt idx="22">
                  <c:v>Netherlands</c:v>
                </c:pt>
                <c:pt idx="23">
                  <c:v>Spain</c:v>
                </c:pt>
                <c:pt idx="24">
                  <c:v>Turkey</c:v>
                </c:pt>
                <c:pt idx="25">
                  <c:v>United States</c:v>
                </c:pt>
                <c:pt idx="26">
                  <c:v>Canada</c:v>
                </c:pt>
                <c:pt idx="27">
                  <c:v>Korea</c:v>
                </c:pt>
                <c:pt idx="28">
                  <c:v>Italy</c:v>
                </c:pt>
                <c:pt idx="29">
                  <c:v>New Zealand</c:v>
                </c:pt>
                <c:pt idx="30">
                  <c:v>France</c:v>
                </c:pt>
                <c:pt idx="31">
                  <c:v>Japan</c:v>
                </c:pt>
                <c:pt idx="32">
                  <c:v>Germany</c:v>
                </c:pt>
                <c:pt idx="33">
                  <c:v>Mexico</c:v>
                </c:pt>
                <c:pt idx="34">
                  <c:v>Costa Rica</c:v>
                </c:pt>
                <c:pt idx="35">
                  <c:v>Australia</c:v>
                </c:pt>
                <c:pt idx="36">
                  <c:v>Colombia</c:v>
                </c:pt>
                <c:pt idx="37">
                  <c:v>Portugal</c:v>
                </c:pt>
              </c:strCache>
            </c:strRef>
          </c:cat>
          <c:val>
            <c:numRef>
              <c:f>'170615 Data with Trump plan'!$B$3:$B$40</c:f>
              <c:numCache>
                <c:formatCode>#,##0.0_ ;\-#,##0.0\ </c:formatCode>
                <c:ptCount val="38"/>
                <c:pt idx="0">
                  <c:v>9</c:v>
                </c:pt>
                <c:pt idx="1">
                  <c:v>10</c:v>
                </c:pt>
                <c:pt idx="2">
                  <c:v>12.5</c:v>
                </c:pt>
                <c:pt idx="3">
                  <c:v>15</c:v>
                </c:pt>
                <c:pt idx="4">
                  <c:v>19</c:v>
                </c:pt>
                <c:pt idx="5">
                  <c:v>19</c:v>
                </c:pt>
                <c:pt idx="6">
                  <c:v>19</c:v>
                </c:pt>
                <c:pt idx="7">
                  <c:v>19</c:v>
                </c:pt>
                <c:pt idx="8">
                  <c:v>19.699000000000002</c:v>
                </c:pt>
                <c:pt idx="9">
                  <c:v>20</c:v>
                </c:pt>
                <c:pt idx="10">
                  <c:v>20</c:v>
                </c:pt>
                <c:pt idx="11">
                  <c:v>20</c:v>
                </c:pt>
                <c:pt idx="12">
                  <c:v>20</c:v>
                </c:pt>
                <c:pt idx="13">
                  <c:v>20.6</c:v>
                </c:pt>
                <c:pt idx="14">
                  <c:v>21</c:v>
                </c:pt>
                <c:pt idx="15">
                  <c:v>22</c:v>
                </c:pt>
                <c:pt idx="16">
                  <c:v>22</c:v>
                </c:pt>
                <c:pt idx="17">
                  <c:v>23</c:v>
                </c:pt>
                <c:pt idx="18">
                  <c:v>24</c:v>
                </c:pt>
                <c:pt idx="19">
                  <c:v>24.94</c:v>
                </c:pt>
                <c:pt idx="20">
                  <c:v>25</c:v>
                </c:pt>
                <c:pt idx="21">
                  <c:v>25</c:v>
                </c:pt>
                <c:pt idx="22">
                  <c:v>25</c:v>
                </c:pt>
                <c:pt idx="23">
                  <c:v>25</c:v>
                </c:pt>
                <c:pt idx="24">
                  <c:v>25</c:v>
                </c:pt>
                <c:pt idx="25">
                  <c:v>25.754999999999999</c:v>
                </c:pt>
                <c:pt idx="26">
                  <c:v>26.15</c:v>
                </c:pt>
                <c:pt idx="27">
                  <c:v>27.5</c:v>
                </c:pt>
                <c:pt idx="28">
                  <c:v>27.81</c:v>
                </c:pt>
                <c:pt idx="29">
                  <c:v>28</c:v>
                </c:pt>
                <c:pt idx="30">
                  <c:v>28.408000000000001</c:v>
                </c:pt>
                <c:pt idx="31">
                  <c:v>29.74</c:v>
                </c:pt>
                <c:pt idx="32">
                  <c:v>29.937999999999999</c:v>
                </c:pt>
                <c:pt idx="33">
                  <c:v>30</c:v>
                </c:pt>
                <c:pt idx="34">
                  <c:v>30</c:v>
                </c:pt>
                <c:pt idx="35">
                  <c:v>30</c:v>
                </c:pt>
                <c:pt idx="36">
                  <c:v>31</c:v>
                </c:pt>
                <c:pt idx="37">
                  <c:v>31.5</c:v>
                </c:pt>
              </c:numCache>
            </c:numRef>
          </c:val>
          <c:extLst>
            <c:ext xmlns:c16="http://schemas.microsoft.com/office/drawing/2014/chart" uri="{C3380CC4-5D6E-409C-BE32-E72D297353CC}">
              <c16:uniqueId val="{00000023-BEE6-4450-84CF-0C7E780864F9}"/>
            </c:ext>
          </c:extLst>
        </c:ser>
        <c:dLbls>
          <c:showLegendKey val="0"/>
          <c:showVal val="0"/>
          <c:showCatName val="0"/>
          <c:showSerName val="0"/>
          <c:showPercent val="0"/>
          <c:showBubbleSize val="0"/>
        </c:dLbls>
        <c:gapWidth val="69"/>
        <c:axId val="199754496"/>
        <c:axId val="199756416"/>
      </c:barChart>
      <c:lineChart>
        <c:grouping val="standard"/>
        <c:varyColors val="0"/>
        <c:ser>
          <c:idx val="1"/>
          <c:order val="1"/>
          <c:tx>
            <c:v>Current OECD Average</c:v>
          </c:tx>
          <c:spPr>
            <a:ln w="31750">
              <a:solidFill>
                <a:sysClr val="windowText" lastClr="000000"/>
              </a:solidFill>
            </a:ln>
          </c:spPr>
          <c:marker>
            <c:symbol val="none"/>
          </c:marker>
          <c:cat>
            <c:strRef>
              <c:f>'170615 Data with Trump plan'!$A$3:$A$40</c:f>
              <c:strCache>
                <c:ptCount val="38"/>
                <c:pt idx="0">
                  <c:v>Hungary</c:v>
                </c:pt>
                <c:pt idx="1">
                  <c:v>Chile</c:v>
                </c:pt>
                <c:pt idx="2">
                  <c:v>Ireland</c:v>
                </c:pt>
                <c:pt idx="3">
                  <c:v>Lithuania</c:v>
                </c:pt>
                <c:pt idx="4">
                  <c:v>Czech Republic</c:v>
                </c:pt>
                <c:pt idx="5">
                  <c:v>Poland</c:v>
                </c:pt>
                <c:pt idx="6">
                  <c:v>Slovenia</c:v>
                </c:pt>
                <c:pt idx="7">
                  <c:v>United Kingdom</c:v>
                </c:pt>
                <c:pt idx="8">
                  <c:v>Switzerland</c:v>
                </c:pt>
                <c:pt idx="9">
                  <c:v>Estonia</c:v>
                </c:pt>
                <c:pt idx="10">
                  <c:v>Finland</c:v>
                </c:pt>
                <c:pt idx="11">
                  <c:v>Iceland</c:v>
                </c:pt>
                <c:pt idx="12">
                  <c:v>Latvia</c:v>
                </c:pt>
                <c:pt idx="13">
                  <c:v>Sweden</c:v>
                </c:pt>
                <c:pt idx="14">
                  <c:v>Slovak Republic</c:v>
                </c:pt>
                <c:pt idx="15">
                  <c:v>Denmark</c:v>
                </c:pt>
                <c:pt idx="16">
                  <c:v>Norway</c:v>
                </c:pt>
                <c:pt idx="17">
                  <c:v>Israel</c:v>
                </c:pt>
                <c:pt idx="18">
                  <c:v>Greece</c:v>
                </c:pt>
                <c:pt idx="19">
                  <c:v>Luxembourg</c:v>
                </c:pt>
                <c:pt idx="20">
                  <c:v>Austria</c:v>
                </c:pt>
                <c:pt idx="21">
                  <c:v>Belgium</c:v>
                </c:pt>
                <c:pt idx="22">
                  <c:v>Netherlands</c:v>
                </c:pt>
                <c:pt idx="23">
                  <c:v>Spain</c:v>
                </c:pt>
                <c:pt idx="24">
                  <c:v>Turkey</c:v>
                </c:pt>
                <c:pt idx="25">
                  <c:v>United States</c:v>
                </c:pt>
                <c:pt idx="26">
                  <c:v>Canada</c:v>
                </c:pt>
                <c:pt idx="27">
                  <c:v>Korea</c:v>
                </c:pt>
                <c:pt idx="28">
                  <c:v>Italy</c:v>
                </c:pt>
                <c:pt idx="29">
                  <c:v>New Zealand</c:v>
                </c:pt>
                <c:pt idx="30">
                  <c:v>France</c:v>
                </c:pt>
                <c:pt idx="31">
                  <c:v>Japan</c:v>
                </c:pt>
                <c:pt idx="32">
                  <c:v>Germany</c:v>
                </c:pt>
                <c:pt idx="33">
                  <c:v>Mexico</c:v>
                </c:pt>
                <c:pt idx="34">
                  <c:v>Costa Rica</c:v>
                </c:pt>
                <c:pt idx="35">
                  <c:v>Australia</c:v>
                </c:pt>
                <c:pt idx="36">
                  <c:v>Colombia</c:v>
                </c:pt>
                <c:pt idx="37">
                  <c:v>Portugal</c:v>
                </c:pt>
              </c:strCache>
            </c:strRef>
          </c:cat>
          <c:val>
            <c:numRef>
              <c:f>'170615 Data with Trump plan'!$C$3:$C$40</c:f>
              <c:numCache>
                <c:formatCode>0.0</c:formatCode>
                <c:ptCount val="38"/>
                <c:pt idx="0">
                  <c:v>23.172105263157892</c:v>
                </c:pt>
                <c:pt idx="1">
                  <c:v>23.172105263157892</c:v>
                </c:pt>
                <c:pt idx="2">
                  <c:v>23.172105263157892</c:v>
                </c:pt>
                <c:pt idx="3">
                  <c:v>23.172105263157892</c:v>
                </c:pt>
                <c:pt idx="4">
                  <c:v>23.172105263157892</c:v>
                </c:pt>
                <c:pt idx="5">
                  <c:v>23.172105263157892</c:v>
                </c:pt>
                <c:pt idx="6">
                  <c:v>23.172105263157892</c:v>
                </c:pt>
                <c:pt idx="7">
                  <c:v>23.172105263157892</c:v>
                </c:pt>
                <c:pt idx="8">
                  <c:v>23.172105263157892</c:v>
                </c:pt>
                <c:pt idx="9">
                  <c:v>23.172105263157892</c:v>
                </c:pt>
                <c:pt idx="10">
                  <c:v>23.172105263157892</c:v>
                </c:pt>
                <c:pt idx="11">
                  <c:v>23.172105263157892</c:v>
                </c:pt>
                <c:pt idx="12">
                  <c:v>23.172105263157892</c:v>
                </c:pt>
                <c:pt idx="13">
                  <c:v>23.172105263157892</c:v>
                </c:pt>
                <c:pt idx="14">
                  <c:v>23.172105263157892</c:v>
                </c:pt>
                <c:pt idx="15">
                  <c:v>23.172105263157892</c:v>
                </c:pt>
                <c:pt idx="16">
                  <c:v>23.172105263157892</c:v>
                </c:pt>
                <c:pt idx="17">
                  <c:v>23.172105263157892</c:v>
                </c:pt>
                <c:pt idx="18">
                  <c:v>23.172105263157892</c:v>
                </c:pt>
                <c:pt idx="19">
                  <c:v>23.172105263157892</c:v>
                </c:pt>
                <c:pt idx="20">
                  <c:v>23.172105263157892</c:v>
                </c:pt>
                <c:pt idx="21">
                  <c:v>23.172105263157892</c:v>
                </c:pt>
                <c:pt idx="22">
                  <c:v>23.172105263157892</c:v>
                </c:pt>
                <c:pt idx="23">
                  <c:v>23.172105263157892</c:v>
                </c:pt>
                <c:pt idx="24">
                  <c:v>23.172105263157892</c:v>
                </c:pt>
                <c:pt idx="25">
                  <c:v>23.172105263157892</c:v>
                </c:pt>
                <c:pt idx="26">
                  <c:v>23.172105263157892</c:v>
                </c:pt>
                <c:pt idx="27">
                  <c:v>23.172105263157892</c:v>
                </c:pt>
                <c:pt idx="28">
                  <c:v>23.172105263157892</c:v>
                </c:pt>
                <c:pt idx="29">
                  <c:v>23.172105263157892</c:v>
                </c:pt>
                <c:pt idx="30">
                  <c:v>23.172105263157892</c:v>
                </c:pt>
                <c:pt idx="31">
                  <c:v>23.172105263157892</c:v>
                </c:pt>
                <c:pt idx="32">
                  <c:v>23.172105263157892</c:v>
                </c:pt>
                <c:pt idx="33">
                  <c:v>23.172105263157892</c:v>
                </c:pt>
                <c:pt idx="34">
                  <c:v>23.172105263157892</c:v>
                </c:pt>
                <c:pt idx="35">
                  <c:v>23.172105263157892</c:v>
                </c:pt>
                <c:pt idx="36">
                  <c:v>23.172105263157892</c:v>
                </c:pt>
                <c:pt idx="37">
                  <c:v>23.172105263157892</c:v>
                </c:pt>
              </c:numCache>
            </c:numRef>
          </c:val>
          <c:smooth val="0"/>
          <c:extLst>
            <c:ext xmlns:c16="http://schemas.microsoft.com/office/drawing/2014/chart" uri="{C3380CC4-5D6E-409C-BE32-E72D297353CC}">
              <c16:uniqueId val="{00000024-BEE6-4450-84CF-0C7E780864F9}"/>
            </c:ext>
          </c:extLst>
        </c:ser>
        <c:ser>
          <c:idx val="3"/>
          <c:order val="2"/>
          <c:tx>
            <c:v>2000 rates</c:v>
          </c:tx>
          <c:spPr>
            <a:ln>
              <a:noFill/>
            </a:ln>
          </c:spPr>
          <c:marker>
            <c:symbol val="circle"/>
            <c:size val="5"/>
            <c:spPr>
              <a:solidFill>
                <a:schemeClr val="accent1">
                  <a:lumMod val="20000"/>
                  <a:lumOff val="80000"/>
                </a:schemeClr>
              </a:solidFill>
            </c:spPr>
          </c:marker>
          <c:cat>
            <c:strRef>
              <c:f>'170615 Data with Trump plan'!$A$3:$A$40</c:f>
              <c:strCache>
                <c:ptCount val="38"/>
                <c:pt idx="0">
                  <c:v>Hungary</c:v>
                </c:pt>
                <c:pt idx="1">
                  <c:v>Chile</c:v>
                </c:pt>
                <c:pt idx="2">
                  <c:v>Ireland</c:v>
                </c:pt>
                <c:pt idx="3">
                  <c:v>Lithuania</c:v>
                </c:pt>
                <c:pt idx="4">
                  <c:v>Czech Republic</c:v>
                </c:pt>
                <c:pt idx="5">
                  <c:v>Poland</c:v>
                </c:pt>
                <c:pt idx="6">
                  <c:v>Slovenia</c:v>
                </c:pt>
                <c:pt idx="7">
                  <c:v>United Kingdom</c:v>
                </c:pt>
                <c:pt idx="8">
                  <c:v>Switzerland</c:v>
                </c:pt>
                <c:pt idx="9">
                  <c:v>Estonia</c:v>
                </c:pt>
                <c:pt idx="10">
                  <c:v>Finland</c:v>
                </c:pt>
                <c:pt idx="11">
                  <c:v>Iceland</c:v>
                </c:pt>
                <c:pt idx="12">
                  <c:v>Latvia</c:v>
                </c:pt>
                <c:pt idx="13">
                  <c:v>Sweden</c:v>
                </c:pt>
                <c:pt idx="14">
                  <c:v>Slovak Republic</c:v>
                </c:pt>
                <c:pt idx="15">
                  <c:v>Denmark</c:v>
                </c:pt>
                <c:pt idx="16">
                  <c:v>Norway</c:v>
                </c:pt>
                <c:pt idx="17">
                  <c:v>Israel</c:v>
                </c:pt>
                <c:pt idx="18">
                  <c:v>Greece</c:v>
                </c:pt>
                <c:pt idx="19">
                  <c:v>Luxembourg</c:v>
                </c:pt>
                <c:pt idx="20">
                  <c:v>Austria</c:v>
                </c:pt>
                <c:pt idx="21">
                  <c:v>Belgium</c:v>
                </c:pt>
                <c:pt idx="22">
                  <c:v>Netherlands</c:v>
                </c:pt>
                <c:pt idx="23">
                  <c:v>Spain</c:v>
                </c:pt>
                <c:pt idx="24">
                  <c:v>Turkey</c:v>
                </c:pt>
                <c:pt idx="25">
                  <c:v>United States</c:v>
                </c:pt>
                <c:pt idx="26">
                  <c:v>Canada</c:v>
                </c:pt>
                <c:pt idx="27">
                  <c:v>Korea</c:v>
                </c:pt>
                <c:pt idx="28">
                  <c:v>Italy</c:v>
                </c:pt>
                <c:pt idx="29">
                  <c:v>New Zealand</c:v>
                </c:pt>
                <c:pt idx="30">
                  <c:v>France</c:v>
                </c:pt>
                <c:pt idx="31">
                  <c:v>Japan</c:v>
                </c:pt>
                <c:pt idx="32">
                  <c:v>Germany</c:v>
                </c:pt>
                <c:pt idx="33">
                  <c:v>Mexico</c:v>
                </c:pt>
                <c:pt idx="34">
                  <c:v>Costa Rica</c:v>
                </c:pt>
                <c:pt idx="35">
                  <c:v>Australia</c:v>
                </c:pt>
                <c:pt idx="36">
                  <c:v>Colombia</c:v>
                </c:pt>
                <c:pt idx="37">
                  <c:v>Portugal</c:v>
                </c:pt>
              </c:strCache>
            </c:strRef>
          </c:cat>
          <c:val>
            <c:numRef>
              <c:f>'170615 Data with Trump plan'!$D$3:$D$40</c:f>
              <c:numCache>
                <c:formatCode>General</c:formatCode>
                <c:ptCount val="38"/>
                <c:pt idx="0">
                  <c:v>18</c:v>
                </c:pt>
                <c:pt idx="1">
                  <c:v>15</c:v>
                </c:pt>
                <c:pt idx="2">
                  <c:v>24</c:v>
                </c:pt>
                <c:pt idx="3">
                  <c:v>24</c:v>
                </c:pt>
                <c:pt idx="4">
                  <c:v>31</c:v>
                </c:pt>
                <c:pt idx="5">
                  <c:v>30</c:v>
                </c:pt>
                <c:pt idx="6">
                  <c:v>25</c:v>
                </c:pt>
                <c:pt idx="7">
                  <c:v>30</c:v>
                </c:pt>
                <c:pt idx="8">
                  <c:v>24.925488999999999</c:v>
                </c:pt>
                <c:pt idx="9">
                  <c:v>26</c:v>
                </c:pt>
                <c:pt idx="10">
                  <c:v>29</c:v>
                </c:pt>
                <c:pt idx="11">
                  <c:v>30</c:v>
                </c:pt>
                <c:pt idx="12">
                  <c:v>25</c:v>
                </c:pt>
                <c:pt idx="13">
                  <c:v>28</c:v>
                </c:pt>
                <c:pt idx="14">
                  <c:v>29</c:v>
                </c:pt>
                <c:pt idx="15">
                  <c:v>32</c:v>
                </c:pt>
                <c:pt idx="16">
                  <c:v>28</c:v>
                </c:pt>
                <c:pt idx="17">
                  <c:v>36</c:v>
                </c:pt>
                <c:pt idx="18">
                  <c:v>40</c:v>
                </c:pt>
                <c:pt idx="19">
                  <c:v>37.450000000000003</c:v>
                </c:pt>
                <c:pt idx="20">
                  <c:v>34</c:v>
                </c:pt>
                <c:pt idx="21">
                  <c:v>40.17</c:v>
                </c:pt>
                <c:pt idx="22">
                  <c:v>35</c:v>
                </c:pt>
                <c:pt idx="23">
                  <c:v>35</c:v>
                </c:pt>
                <c:pt idx="24">
                  <c:v>33</c:v>
                </c:pt>
                <c:pt idx="25">
                  <c:v>39.340000000000003</c:v>
                </c:pt>
                <c:pt idx="26">
                  <c:v>42.43</c:v>
                </c:pt>
                <c:pt idx="27">
                  <c:v>30.8</c:v>
                </c:pt>
                <c:pt idx="28">
                  <c:v>41.25</c:v>
                </c:pt>
                <c:pt idx="29">
                  <c:v>33</c:v>
                </c:pt>
                <c:pt idx="30">
                  <c:v>37.762889999999999</c:v>
                </c:pt>
                <c:pt idx="31">
                  <c:v>40.869999999999997</c:v>
                </c:pt>
                <c:pt idx="32">
                  <c:v>52.033194999999999</c:v>
                </c:pt>
                <c:pt idx="33">
                  <c:v>35</c:v>
                </c:pt>
                <c:pt idx="34">
                  <c:v>30</c:v>
                </c:pt>
                <c:pt idx="35">
                  <c:v>34</c:v>
                </c:pt>
                <c:pt idx="36">
                  <c:v>35</c:v>
                </c:pt>
                <c:pt idx="37">
                  <c:v>35.200000000000003</c:v>
                </c:pt>
              </c:numCache>
            </c:numRef>
          </c:val>
          <c:smooth val="0"/>
          <c:extLst>
            <c:ext xmlns:c16="http://schemas.microsoft.com/office/drawing/2014/chart" uri="{C3380CC4-5D6E-409C-BE32-E72D297353CC}">
              <c16:uniqueId val="{00000025-BEE6-4450-84CF-0C7E780864F9}"/>
            </c:ext>
          </c:extLst>
        </c:ser>
        <c:dLbls>
          <c:showLegendKey val="0"/>
          <c:showVal val="0"/>
          <c:showCatName val="0"/>
          <c:showSerName val="0"/>
          <c:showPercent val="0"/>
          <c:showBubbleSize val="0"/>
        </c:dLbls>
        <c:marker val="1"/>
        <c:smooth val="0"/>
        <c:axId val="199760512"/>
        <c:axId val="199758592"/>
      </c:lineChart>
      <c:catAx>
        <c:axId val="199754496"/>
        <c:scaling>
          <c:orientation val="minMax"/>
        </c:scaling>
        <c:delete val="0"/>
        <c:axPos val="b"/>
        <c:numFmt formatCode="General" sourceLinked="0"/>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99756416"/>
        <c:crosses val="autoZero"/>
        <c:auto val="1"/>
        <c:lblAlgn val="ctr"/>
        <c:lblOffset val="100"/>
        <c:noMultiLvlLbl val="0"/>
      </c:catAx>
      <c:valAx>
        <c:axId val="199756416"/>
        <c:scaling>
          <c:orientation val="minMax"/>
          <c:max val="40"/>
        </c:scaling>
        <c:delete val="0"/>
        <c:axPos val="l"/>
        <c:title>
          <c:tx>
            <c:rich>
              <a:bodyPr rot="0" vert="horz"/>
              <a:lstStyle/>
              <a:p>
                <a:pPr>
                  <a:defRPr sz="800" b="0" i="0">
                    <a:solidFill>
                      <a:srgbClr val="000000"/>
                    </a:solidFill>
                    <a:latin typeface="Arial"/>
                    <a:ea typeface="Arial"/>
                    <a:cs typeface="Arial"/>
                  </a:defRPr>
                </a:pPr>
                <a:r>
                  <a:rPr lang="en-US"/>
                  <a:t>per cent</a:t>
                </a:r>
              </a:p>
            </c:rich>
          </c:tx>
          <c:layout>
            <c:manualLayout>
              <c:xMode val="edge"/>
              <c:yMode val="edge"/>
              <c:x val="4.5519713261648748E-2"/>
              <c:y val="0"/>
            </c:manualLayout>
          </c:layout>
          <c:overlay val="0"/>
        </c:title>
        <c:numFmt formatCode="#,##0.0_ ;\-#,##0.0\ " sourceLinked="1"/>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99754496"/>
        <c:crosses val="autoZero"/>
        <c:crossBetween val="between"/>
      </c:valAx>
      <c:valAx>
        <c:axId val="199758592"/>
        <c:scaling>
          <c:orientation val="minMax"/>
          <c:max val="40"/>
        </c:scaling>
        <c:delete val="0"/>
        <c:axPos val="r"/>
        <c:title>
          <c:tx>
            <c:rich>
              <a:bodyPr rot="0" vert="horz"/>
              <a:lstStyle/>
              <a:p>
                <a:pPr>
                  <a:defRPr sz="800" b="0" i="0">
                    <a:solidFill>
                      <a:srgbClr val="000000"/>
                    </a:solidFill>
                    <a:latin typeface="Arial"/>
                    <a:ea typeface="Arial"/>
                    <a:cs typeface="Arial"/>
                  </a:defRPr>
                </a:pPr>
                <a:r>
                  <a:rPr lang="en-US"/>
                  <a:t>per cent</a:t>
                </a:r>
              </a:p>
            </c:rich>
          </c:tx>
          <c:layout>
            <c:manualLayout>
              <c:xMode val="edge"/>
              <c:yMode val="edge"/>
              <c:x val="0.88828584229390684"/>
              <c:y val="0"/>
            </c:manualLayout>
          </c:layout>
          <c:overlay val="0"/>
        </c:title>
        <c:numFmt formatCode="General"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199760512"/>
        <c:crosses val="max"/>
        <c:crossBetween val="between"/>
        <c:majorUnit val="5"/>
        <c:minorUnit val="1"/>
      </c:valAx>
      <c:catAx>
        <c:axId val="199760512"/>
        <c:scaling>
          <c:orientation val="minMax"/>
        </c:scaling>
        <c:delete val="1"/>
        <c:axPos val="b"/>
        <c:numFmt formatCode="General" sourceLinked="1"/>
        <c:majorTickMark val="out"/>
        <c:minorTickMark val="none"/>
        <c:tickLblPos val="nextTo"/>
        <c:crossAx val="199758592"/>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legend>
      <c:legendPos val="b"/>
      <c:overlay val="0"/>
      <c:spPr>
        <a:noFill/>
        <a:ln w="25400">
          <a:noFill/>
        </a:ln>
      </c:spPr>
      <c:txPr>
        <a:bodyPr/>
        <a:lstStyle/>
        <a:p>
          <a:pPr>
            <a:defRPr sz="800">
              <a:latin typeface="Arial"/>
              <a:ea typeface="Arial"/>
              <a:cs typeface="Arial"/>
            </a:defRPr>
          </a:pPr>
          <a:endParaRPr lang="en-US"/>
        </a:p>
      </c:txPr>
    </c:legend>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2">
    <c:autoUpdate val="0"/>
  </c:externalData>
</c:chartSpace>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Treasury PowerPoint">
    <a:dk1>
      <a:sysClr val="windowText" lastClr="000000"/>
    </a:dk1>
    <a:lt1>
      <a:sysClr val="window" lastClr="FFFFFF"/>
    </a:lt1>
    <a:dk2>
      <a:srgbClr val="16325C"/>
    </a:dk2>
    <a:lt2>
      <a:srgbClr val="004A80"/>
    </a:lt2>
    <a:accent1>
      <a:srgbClr val="0074BD"/>
    </a:accent1>
    <a:accent2>
      <a:srgbClr val="F06252"/>
    </a:accent2>
    <a:accent3>
      <a:srgbClr val="128E6D"/>
    </a:accent3>
    <a:accent4>
      <a:srgbClr val="404A8F"/>
    </a:accent4>
    <a:accent5>
      <a:srgbClr val="C8DD6B"/>
    </a:accent5>
    <a:accent6>
      <a:srgbClr val="00ABBD"/>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Enterprise Document" ma:contentTypeID="0x01010079842B7BE5DD8E409B7EECD6B050253D0053FA30F414DD71429CE91331F27E6537" ma:contentTypeVersion="9454" ma:contentTypeDescription="" ma:contentTypeScope="" ma:versionID="8e4d1425dfe1c810505abbf2ef2cb157">
  <xsd:schema xmlns:xsd="http://www.w3.org/2001/XMLSchema" xmlns:xs="http://www.w3.org/2001/XMLSchema" xmlns:p="http://schemas.microsoft.com/office/2006/metadata/properties" xmlns:ns2="0f563589-9cf9-4143-b1eb-fb0534803d38" xmlns:ns3="23908122-21e5-4849-9a84-a6d940efecb9" targetNamespace="http://schemas.microsoft.com/office/2006/metadata/properties" ma:root="true" ma:fieldsID="c72c1a62fd4c67923b610257f5c9d0b6" ns2:_="" ns3:_="">
    <xsd:import namespace="0f563589-9cf9-4143-b1eb-fb0534803d38"/>
    <xsd:import namespace="23908122-21e5-4849-9a84-a6d940efecb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01cfe90be52474b8e18e3381839b0e5" minOccurs="0"/>
                <xsd:element ref="ns2:bd15a34e52e3468a87b49920a3b7dd6b" minOccurs="0"/>
                <xsd:element ref="ns3:f188dc5528d44b99a3d5884e965015d4" minOccurs="0"/>
                <xsd:element ref="ns3:id0ea6ba05604696bb35b67743c4d46b" minOccurs="0"/>
                <xsd:element ref="ns3:kbee140578994363bc3abafec32235cf" minOccurs="0"/>
                <xsd:element ref="ns3:p37d436020c64807a35c4f4356124e78" minOccurs="0"/>
                <xsd:element ref="ns3:l7ebafe80ed84afeab0e9ba9497f53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89fe055-ab3c-4a02-8ca9-781ec1a47357}" ma:internalName="TaxCatchAll" ma:showField="CatchAllData" ma:web="23908122-21e5-4849-9a84-a6d940efecb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89fe055-ab3c-4a02-8ca9-781ec1a47357}" ma:internalName="TaxCatchAllLabel" ma:readOnly="true" ma:showField="CatchAllDataLabel" ma:web="23908122-21e5-4849-9a84-a6d940efecb9">
      <xsd:complexType>
        <xsd:complexContent>
          <xsd:extension base="dms:MultiChoiceLookup">
            <xsd:sequence>
              <xsd:element name="Value" type="dms:Lookup" maxOccurs="unbounded" minOccurs="0" nillable="true"/>
            </xsd:sequence>
          </xsd:extension>
        </xsd:complexContent>
      </xsd:complexType>
    </xsd:element>
    <xsd:element name="b01cfe90be52474b8e18e3381839b0e5" ma:index="13" ma:taxonomy="true" ma:internalName="b01cfe90be52474b8e18e3381839b0e5" ma:taxonomyFieldName="eTheme_x002F_Activity_x002F_Document_x0020_Type" ma:displayName="Theme/Activity/Document Type" ma:readOnly="false" ma:default="" ma:fieldId="{b01cfe90-be52-474b-8e18-e3381839b0e5}" ma:sspId="77b7a547-5880-464f-83f8-cefe583c3af4" ma:termSetId="3c0d1693-3b42-49b7-bddf-28e823765e04" ma:anchorId="1b3b7c1b-9485-4367-8561-4cb69628a6db" ma:open="false" ma:isKeyword="false">
      <xsd:complexType>
        <xsd:sequence>
          <xsd:element ref="pc:Terms" minOccurs="0" maxOccurs="1"/>
        </xsd:sequence>
      </xsd:complexType>
    </xsd:element>
    <xsd:element name="bd15a34e52e3468a87b49920a3b7dd6b" ma:index="15" ma:taxonomy="true" ma:internalName="bd15a34e52e3468a87b49920a3b7dd6b" ma:taxonomyFieldName="eTheme_x002F_Topic" ma:displayName="Theme/Topic" ma:readOnly="false" ma:default="" ma:fieldId="{bd15a34e-52e3-468a-87b4-9920a3b7dd6b}" ma:taxonomyMulti="true" ma:sspId="77b7a547-5880-464f-83f8-cefe583c3af4" ma:termSetId="fe275d3b-acbf-4477-98d4-b06bbe13079d" ma:anchorId="85fbd047-6214-442b-a9f8-d5cdb7c0d6b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908122-21e5-4849-9a84-a6d940efecb9" elementFormDefault="qualified">
    <xsd:import namespace="http://schemas.microsoft.com/office/2006/documentManagement/types"/>
    <xsd:import namespace="http://schemas.microsoft.com/office/infopath/2007/PartnerControls"/>
    <xsd:element name="f188dc5528d44b99a3d5884e965015d4" ma:index="18" nillable="true" ma:taxonomy="true" ma:internalName="f188dc5528d44b99a3d5884e965015d4" ma:taxonomyFieldName="Stakeholders" ma:displayName="Stakeholders" ma:readOnly="false" ma:fieldId="{f188dc55-28d4-4b99-a3d5-884e965015d4}" ma:taxonomyMulti="true" ma:sspId="77b7a547-5880-464f-83f8-cefe583c3af4" ma:termSetId="e92fb597-bb93-4ccd-bdbe-818fb0895031" ma:anchorId="00000000-0000-0000-0000-000000000000" ma:open="false" ma:isKeyword="false">
      <xsd:complexType>
        <xsd:sequence>
          <xsd:element ref="pc:Terms" minOccurs="0" maxOccurs="1"/>
        </xsd:sequence>
      </xsd:complexType>
    </xsd:element>
    <xsd:element name="id0ea6ba05604696bb35b67743c4d46b" ma:index="20" nillable="true" ma:taxonomy="true" ma:internalName="id0ea6ba05604696bb35b67743c4d46b" ma:taxonomyFieldName="International_x0020_Forum" ma:displayName="International Forum" ma:readOnly="false" ma:fieldId="{2d0ea6ba-0560-4696-bb35-b67743c4d46b}" ma:taxonomyMulti="true" ma:sspId="77b7a547-5880-464f-83f8-cefe583c3af4" ma:termSetId="7b23d059-8361-4d60-bec1-99508f43f4c7" ma:anchorId="00000000-0000-0000-0000-000000000000" ma:open="false" ma:isKeyword="false">
      <xsd:complexType>
        <xsd:sequence>
          <xsd:element ref="pc:Terms" minOccurs="0" maxOccurs="1"/>
        </xsd:sequence>
      </xsd:complexType>
    </xsd:element>
    <xsd:element name="kbee140578994363bc3abafec32235cf" ma:index="22" nillable="true" ma:taxonomy="true" ma:internalName="kbee140578994363bc3abafec32235cf" ma:taxonomyFieldName="Input" ma:displayName="Input" ma:readOnly="false" ma:fieldId="{4bee1405-7899-4363-bc3a-bafec32235cf}" ma:taxonomyMulti="true" ma:sspId="77b7a547-5880-464f-83f8-cefe583c3af4" ma:termSetId="4a3f4583-c785-45cf-8738-b16180904d39" ma:anchorId="00000000-0000-0000-0000-000000000000" ma:open="false" ma:isKeyword="false">
      <xsd:complexType>
        <xsd:sequence>
          <xsd:element ref="pc:Terms" minOccurs="0" maxOccurs="1"/>
        </xsd:sequence>
      </xsd:complexType>
    </xsd:element>
    <xsd:element name="p37d436020c64807a35c4f4356124e78" ma:index="24" nillable="true" ma:taxonomy="true" ma:internalName="p37d436020c64807a35c4f4356124e78" ma:taxonomyFieldName="Sector" ma:displayName="Sector" ma:readOnly="false" ma:fieldId="{937d4360-20c6-4807-a35c-4f4356124e78}" ma:taxonomyMulti="true" ma:sspId="77b7a547-5880-464f-83f8-cefe583c3af4" ma:termSetId="a1c5240d-9700-402b-9793-d19f3d0a3795" ma:anchorId="00000000-0000-0000-0000-000000000000" ma:open="false" ma:isKeyword="false">
      <xsd:complexType>
        <xsd:sequence>
          <xsd:element ref="pc:Terms" minOccurs="0" maxOccurs="1"/>
        </xsd:sequence>
      </xsd:complexType>
    </xsd:element>
    <xsd:element name="l7ebafe80ed84afeab0e9ba9497f53aa" ma:index="26" nillable="true" ma:taxonomy="true" ma:internalName="l7ebafe80ed84afeab0e9ba9497f53aa" ma:taxonomyFieldName="Sub_x002d_topics" ma:displayName="Sub-topics" ma:readOnly="false" ma:default="" ma:fieldId="{57ebafe8-0ed8-4afe-ab0e-9ba9497f53aa}" ma:taxonomyMulti="true" ma:sspId="77b7a547-5880-464f-83f8-cefe583c3af4" ma:termSetId="33f32e57-0e7d-42eb-b403-39de4ca557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1" ma:contentTypeDescription="Create a new document." ma:contentTypeScope="" ma:versionID="59e167facbd9e776d6599421bbce5fe9">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77a0628d3abd3daff5cf9c84b73c7fc9"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DOCID-322795542-10832</_dlc_DocId>
    <_dlc_DocIdUrl xmlns="4195ad5f-cdf2-4c4a-8d9b-b7944a108e98">
      <Url>https://pmc01.sharepoint.com/sites/CRMOBPR/_layouts/15/DocIdRedir.aspx?ID=DOCID-322795542-10832</Url>
      <Description>DOCID-322795542-10832</Description>
    </_dlc_DocIdUrl>
  </documentManagement>
</p:properties>
</file>

<file path=customXml/itemProps1.xml><?xml version="1.0" encoding="utf-8"?>
<ds:datastoreItem xmlns:ds="http://schemas.openxmlformats.org/officeDocument/2006/customXml" ds:itemID="{33627FD6-2AC4-404A-9921-367DAA7A1248}"/>
</file>

<file path=customXml/itemProps2.xml><?xml version="1.0" encoding="utf-8"?>
<ds:datastoreItem xmlns:ds="http://schemas.openxmlformats.org/officeDocument/2006/customXml" ds:itemID="{6711E59C-765C-42D0-9342-BC94AA2A75DF}"/>
</file>

<file path=customXml/itemProps3.xml><?xml version="1.0" encoding="utf-8"?>
<ds:datastoreItem xmlns:ds="http://schemas.openxmlformats.org/officeDocument/2006/customXml" ds:itemID="{B3F4EF50-7854-44A6-837F-387011FC41F6}"/>
</file>

<file path=customXml/itemProps4.xml><?xml version="1.0" encoding="utf-8"?>
<ds:datastoreItem xmlns:ds="http://schemas.openxmlformats.org/officeDocument/2006/customXml" ds:itemID="{DD8C1984-2FA9-4582-9855-FC425FA467CF}"/>
</file>

<file path=customXml/itemProps5.xml><?xml version="1.0" encoding="utf-8"?>
<ds:datastoreItem xmlns:ds="http://schemas.openxmlformats.org/officeDocument/2006/customXml" ds:itemID="{5AEF8329-7533-460C-80AF-92B2A5B6A929}"/>
</file>

<file path=docProps/app.xml><?xml version="1.0" encoding="utf-8"?>
<Properties xmlns="http://schemas.openxmlformats.org/officeDocument/2006/extended-properties" xmlns:vt="http://schemas.openxmlformats.org/officeDocument/2006/docPropsVTypes">
  <Template>Normal.dotm</Template>
  <TotalTime>0</TotalTime>
  <Pages>56</Pages>
  <Words>19019</Words>
  <Characters>108411</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2022-03-10T05:20:00Z</dcterms:created>
  <dcterms:modified xsi:type="dcterms:W3CDTF">2022-03-10T05:31:00Z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65B4B6F1F11C183D2B9D7143C75A26499BBDDD68</vt:lpwstr>
  </property>
  <property fmtid="{D5CDD505-2E9C-101B-9397-08002B2CF9AE}" pid="3" name="PM_ProtectiveMarkingImage_Header">
    <vt:lpwstr>C:\Program Files (x86)\Common Files\janusNET Shared\janusSEAL\Images\DocumentSlashBlue.png</vt:lpwstr>
  </property>
  <property fmtid="{D5CDD505-2E9C-101B-9397-08002B2CF9AE}" pid="4" name="ContentTypeId">
    <vt:lpwstr>0x0101009CA239676470E04B809DDC4E24CF2322</vt:lpwstr>
  </property>
  <property fmtid="{D5CDD505-2E9C-101B-9397-08002B2CF9AE}" pid="5" name="Stakeholders">
    <vt:lpwstr/>
  </property>
  <property fmtid="{D5CDD505-2E9C-101B-9397-08002B2CF9AE}" pid="6" name="Input">
    <vt:lpwstr/>
  </property>
  <property fmtid="{D5CDD505-2E9C-101B-9397-08002B2CF9AE}" pid="7" name="SecurityClassification">
    <vt:lpwstr>Protected</vt:lpwstr>
  </property>
  <property fmtid="{D5CDD505-2E9C-101B-9397-08002B2CF9AE}" pid="8" name="PM_Caveats_Count">
    <vt:lpwstr>0</vt:lpwstr>
  </property>
  <property fmtid="{D5CDD505-2E9C-101B-9397-08002B2CF9AE}" pid="9" name="PM_Note">
    <vt:lpwstr/>
  </property>
  <property fmtid="{D5CDD505-2E9C-101B-9397-08002B2CF9AE}" pid="10" name="PM_Markers">
    <vt:lpwstr/>
  </property>
  <property fmtid="{D5CDD505-2E9C-101B-9397-08002B2CF9AE}" pid="11" name="PM_Namespace">
    <vt:lpwstr>gov.au</vt:lpwstr>
  </property>
  <property fmtid="{D5CDD505-2E9C-101B-9397-08002B2CF9AE}" pid="12" name="eTheme">
    <vt:lpwstr>31;#Taxation|e53aff8a-4a1a-4486-a4fc-f40489d68897</vt:lpwstr>
  </property>
  <property fmtid="{D5CDD505-2E9C-101B-9397-08002B2CF9AE}" pid="13" name="ceb8c4f4647046198a38a633d14483c1">
    <vt:lpwstr>Taxation|e53aff8a-4a1a-4486-a4fc-f40489d68897</vt:lpwstr>
  </property>
  <property fmtid="{D5CDD505-2E9C-101B-9397-08002B2CF9AE}" pid="14" name="TSYRecordClass">
    <vt:lpwstr>6;#TSY RA-9241 - Retain as national archives|f92f0150-6021-43b5-a30c-415e02490674</vt:lpwstr>
  </property>
  <property fmtid="{D5CDD505-2E9C-101B-9397-08002B2CF9AE}" pid="15" name="PM_ProtectiveMarkingImage_Footer">
    <vt:lpwstr>C:\Program Files (x86)\Common Files\janusNET Shared\janusSEAL\Images\DocumentSlashBlue.png</vt:lpwstr>
  </property>
  <property fmtid="{D5CDD505-2E9C-101B-9397-08002B2CF9AE}" pid="16" name="aec7340661804c61a5c6d3d18e9a3b44">
    <vt:lpwstr>Digital Economy Taxation|bcd99714-e322-4231-bcb9-a008a8535fe3</vt:lpwstr>
  </property>
  <property fmtid="{D5CDD505-2E9C-101B-9397-08002B2CF9AE}" pid="17" name="PM_DisplayValueSecClassificationWithQualifier">
    <vt:lpwstr/>
  </property>
  <property fmtid="{D5CDD505-2E9C-101B-9397-08002B2CF9AE}" pid="18" name="PM_ProtectiveMarkingValue_Header">
    <vt:lpwstr/>
  </property>
  <property fmtid="{D5CDD505-2E9C-101B-9397-08002B2CF9AE}" pid="19" name="PM_Hash_Version">
    <vt:lpwstr>2018.0</vt:lpwstr>
  </property>
  <property fmtid="{D5CDD505-2E9C-101B-9397-08002B2CF9AE}" pid="20" name="PM_Qualifier_Prev">
    <vt:lpwstr/>
  </property>
  <property fmtid="{D5CDD505-2E9C-101B-9397-08002B2CF9AE}" pid="21" name="International Forum">
    <vt:lpwstr/>
  </property>
  <property fmtid="{D5CDD505-2E9C-101B-9397-08002B2CF9AE}" pid="22" name="DLMSecurityClassification">
    <vt:lpwstr>Sensitive</vt:lpwstr>
  </property>
  <property fmtid="{D5CDD505-2E9C-101B-9397-08002B2CF9AE}" pid="23" name="PM_Hash_SHA1">
    <vt:lpwstr>C761174D032061C67D591093F9871C5B09D15182</vt:lpwstr>
  </property>
  <property fmtid="{D5CDD505-2E9C-101B-9397-08002B2CF9AE}" pid="24" name="PM_Originating_FileId">
    <vt:lpwstr>AACA4B89572A4532BE14E1F45397B116</vt:lpwstr>
  </property>
  <property fmtid="{D5CDD505-2E9C-101B-9397-08002B2CF9AE}" pid="25" name="eTheme/Topic">
    <vt:lpwstr>1138;#Concessions and Incentives|f404a4fa-1caf-40c4-8e39-70e5c4c99675</vt:lpwstr>
  </property>
  <property fmtid="{D5CDD505-2E9C-101B-9397-08002B2CF9AE}" pid="26" name="n0adeebb38644e3a8c7de3f8fea0418e">
    <vt:lpwstr>Regulation Impact Statement|3aebfa41-609f-4053-89bf-d50c80b1e781</vt:lpwstr>
  </property>
  <property fmtid="{D5CDD505-2E9C-101B-9397-08002B2CF9AE}" pid="27" name="_dlc_DocIdItemGuid">
    <vt:lpwstr>3869d003-8695-44b3-ab12-68dc0cf80204</vt:lpwstr>
  </property>
  <property fmtid="{D5CDD505-2E9C-101B-9397-08002B2CF9AE}" pid="28" name="PM_Version">
    <vt:lpwstr>2018.1</vt:lpwstr>
  </property>
  <property fmtid="{D5CDD505-2E9C-101B-9397-08002B2CF9AE}" pid="29" name="PM_Hash_Salt_Prev">
    <vt:lpwstr>A756B502D6DB8AB54EF0AF80A83372A9</vt:lpwstr>
  </property>
  <property fmtid="{D5CDD505-2E9C-101B-9397-08002B2CF9AE}" pid="30" name="n5b5f1cefb2e4f15823921d1c3115a95">
    <vt:lpwstr>Policy Development|3c21fa22-a311-4c7a-a8b0-1d9dee90bb01</vt:lpwstr>
  </property>
  <property fmtid="{D5CDD505-2E9C-101B-9397-08002B2CF9AE}" pid="31" name="PM_Qualifier">
    <vt:lpwstr/>
  </property>
  <property fmtid="{D5CDD505-2E9C-101B-9397-08002B2CF9AE}" pid="32" name="PM_SecurityClassification_Prev">
    <vt:lpwstr>OFFICIAL</vt:lpwstr>
  </property>
  <property fmtid="{D5CDD505-2E9C-101B-9397-08002B2CF9AE}" pid="33" name="eTopic">
    <vt:lpwstr>373;#Concessions and Incentives|c24da2db-3fe1-444a-b3fe-9f822f716029</vt:lpwstr>
  </property>
  <property fmtid="{D5CDD505-2E9C-101B-9397-08002B2CF9AE}" pid="34" name="Sub-topics">
    <vt:lpwstr/>
  </property>
  <property fmtid="{D5CDD505-2E9C-101B-9397-08002B2CF9AE}" pid="35" name="WorkingDocStatus">
    <vt:lpwstr/>
  </property>
  <property fmtid="{D5CDD505-2E9C-101B-9397-08002B2CF9AE}" pid="36" name="PM_ProtectiveMarkingValue_Footer">
    <vt:lpwstr/>
  </property>
  <property fmtid="{D5CDD505-2E9C-101B-9397-08002B2CF9AE}" pid="37" name="PM_InsertionValue">
    <vt:lpwstr/>
  </property>
  <property fmtid="{D5CDD505-2E9C-101B-9397-08002B2CF9AE}" pid="38" name="Sector">
    <vt:lpwstr/>
  </property>
  <property fmtid="{D5CDD505-2E9C-101B-9397-08002B2CF9AE}" pid="39" name="eDocument Type">
    <vt:lpwstr>181;#Regulation Impact Statement|3aebfa41-609f-4053-89bf-d50c80b1e781</vt:lpwstr>
  </property>
  <property fmtid="{D5CDD505-2E9C-101B-9397-08002B2CF9AE}" pid="40" name="eActivity">
    <vt:lpwstr>34;#Analysis|1c05f84f-a96d-4b64-970a-14a4c22445cc</vt:lpwstr>
  </property>
  <property fmtid="{D5CDD505-2E9C-101B-9397-08002B2CF9AE}" pid="41" name="Language">
    <vt:lpwstr>English</vt:lpwstr>
  </property>
  <property fmtid="{D5CDD505-2E9C-101B-9397-08002B2CF9AE}" pid="42" name="eDocument_x0020_Type">
    <vt:lpwstr>181;#Regulation Impact Statement|3aebfa41-609f-4053-89bf-d50c80b1e781</vt:lpwstr>
  </property>
  <property fmtid="{D5CDD505-2E9C-101B-9397-08002B2CF9AE}" pid="43" name="PM_SecurityClassification">
    <vt:lpwstr/>
  </property>
  <property fmtid="{D5CDD505-2E9C-101B-9397-08002B2CF9AE}" pid="44" name="PM_OriginationTimeStamp">
    <vt:lpwstr>2020-08-10T08:03:37Z</vt:lpwstr>
  </property>
  <property fmtid="{D5CDD505-2E9C-101B-9397-08002B2CF9AE}" pid="45" name="PM_Hash_Salt">
    <vt:lpwstr>AD8678A2C70BDC6057274921645447C1</vt:lpwstr>
  </property>
  <property fmtid="{D5CDD505-2E9C-101B-9397-08002B2CF9AE}" pid="46" name="eTheme/Activity/Document Type">
    <vt:lpwstr>1276;#Regulation Impact Statement|4d477050-2cb4-4437-aa05-6d262300f45d</vt:lpwstr>
  </property>
</Properties>
</file>