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C0A4E" w14:textId="4CCEE128" w:rsidR="00BE0B40" w:rsidRPr="00257CB7" w:rsidRDefault="00BE0B40" w:rsidP="00696CA9">
      <w:pPr>
        <w:overflowPunct/>
        <w:autoSpaceDE/>
        <w:adjustRightInd/>
        <w:spacing w:before="120" w:after="960" w:line="256" w:lineRule="auto"/>
        <w:rPr>
          <w:iCs/>
          <w:szCs w:val="22"/>
        </w:rPr>
      </w:pPr>
      <w:bookmarkStart w:id="0" w:name="_Ref152644852"/>
      <w:bookmarkEnd w:id="0"/>
      <w:r w:rsidRPr="00F538E9">
        <w:rPr>
          <w:noProof/>
        </w:rPr>
        <w:drawing>
          <wp:inline distT="0" distB="0" distL="0" distR="0" wp14:anchorId="37A09C57" wp14:editId="279A8328">
            <wp:extent cx="3543749" cy="756000"/>
            <wp:effectExtent l="0" t="0" r="0" b="0"/>
            <wp:docPr id="6"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43749" cy="756000"/>
                    </a:xfrm>
                    <a:prstGeom prst="rect">
                      <a:avLst/>
                    </a:prstGeom>
                    <a:noFill/>
                    <a:ln>
                      <a:noFill/>
                    </a:ln>
                  </pic:spPr>
                </pic:pic>
              </a:graphicData>
            </a:graphic>
          </wp:inline>
        </w:drawing>
      </w:r>
    </w:p>
    <w:p w14:paraId="2FE5B846" w14:textId="2DB1CE5E" w:rsidR="00D11AF9" w:rsidRPr="00257CB7" w:rsidRDefault="00257CB7" w:rsidP="00D11AF9">
      <w:pPr>
        <w:overflowPunct/>
        <w:autoSpaceDE/>
        <w:adjustRightInd/>
        <w:spacing w:before="120" w:after="160" w:line="256" w:lineRule="auto"/>
        <w:jc w:val="right"/>
        <w:rPr>
          <w:iCs/>
          <w:szCs w:val="22"/>
        </w:rPr>
      </w:pPr>
      <w:r w:rsidRPr="00257CB7">
        <w:rPr>
          <w:iCs/>
          <w:szCs w:val="22"/>
        </w:rPr>
        <w:t>4</w:t>
      </w:r>
      <w:r w:rsidR="00F34730" w:rsidRPr="00257CB7">
        <w:rPr>
          <w:iCs/>
          <w:szCs w:val="22"/>
        </w:rPr>
        <w:t xml:space="preserve"> </w:t>
      </w:r>
      <w:r w:rsidR="006437AA" w:rsidRPr="00257CB7">
        <w:rPr>
          <w:iCs/>
          <w:szCs w:val="22"/>
        </w:rPr>
        <w:t>Octo</w:t>
      </w:r>
      <w:r w:rsidR="00D11AF9" w:rsidRPr="00257CB7">
        <w:rPr>
          <w:iCs/>
          <w:szCs w:val="22"/>
        </w:rPr>
        <w:t>ber 2021</w:t>
      </w:r>
    </w:p>
    <w:p w14:paraId="649A6848" w14:textId="7BE7E186" w:rsidR="00D11AF9" w:rsidRDefault="00D11AF9" w:rsidP="00357304">
      <w:pPr>
        <w:pStyle w:val="RIAH1"/>
      </w:pPr>
      <w:r w:rsidRPr="00257CB7">
        <w:t xml:space="preserve">Estimate of regulatory compliance burden of </w:t>
      </w:r>
      <w:r w:rsidR="007C368B" w:rsidRPr="00257CB7">
        <w:t>m</w:t>
      </w:r>
      <w:r w:rsidRPr="00257CB7">
        <w:t xml:space="preserve">arket </w:t>
      </w:r>
      <w:r w:rsidR="007C368B" w:rsidRPr="00257CB7">
        <w:t>i</w:t>
      </w:r>
      <w:r w:rsidRPr="00257CB7">
        <w:t xml:space="preserve">ntegrity </w:t>
      </w:r>
      <w:r w:rsidR="007C368B" w:rsidRPr="00257CB7">
        <w:t>r</w:t>
      </w:r>
      <w:r w:rsidRPr="00257CB7">
        <w:t xml:space="preserve">ules for </w:t>
      </w:r>
      <w:r w:rsidR="007C368B" w:rsidRPr="00257CB7">
        <w:t>t</w:t>
      </w:r>
      <w:r w:rsidRPr="00257CB7">
        <w:t>echnological and</w:t>
      </w:r>
      <w:r>
        <w:t xml:space="preserve"> </w:t>
      </w:r>
      <w:r w:rsidR="007C368B">
        <w:t>o</w:t>
      </w:r>
      <w:r>
        <w:t xml:space="preserve">perational </w:t>
      </w:r>
      <w:r w:rsidR="007C368B">
        <w:t>r</w:t>
      </w:r>
      <w:r>
        <w:t>esilience</w:t>
      </w:r>
    </w:p>
    <w:p w14:paraId="09FEDD44" w14:textId="09C3BC4F" w:rsidR="00EA5A6C" w:rsidRPr="00F34730" w:rsidRDefault="006437AA" w:rsidP="00357304">
      <w:pPr>
        <w:pStyle w:val="BodyText1"/>
      </w:pPr>
      <w:r>
        <w:t xml:space="preserve">In June 2019, </w:t>
      </w:r>
      <w:r w:rsidR="00B524FF">
        <w:t>the Australian Securities and Investments Commission (ASIC)</w:t>
      </w:r>
      <w:r>
        <w:t xml:space="preserve"> </w:t>
      </w:r>
      <w:r w:rsidR="001B2D06">
        <w:t xml:space="preserve">proposed </w:t>
      </w:r>
      <w:r w:rsidR="001B2D06" w:rsidRPr="001B2D06">
        <w:t xml:space="preserve">market integrity rules </w:t>
      </w:r>
      <w:r w:rsidR="001B2D06">
        <w:t xml:space="preserve">for </w:t>
      </w:r>
      <w:r w:rsidR="001B2D06" w:rsidRPr="001B2D06">
        <w:t>market operators and market participants to ensure their technological and operational resilience (</w:t>
      </w:r>
      <w:r w:rsidRPr="00696CA9">
        <w:t>p</w:t>
      </w:r>
      <w:r w:rsidR="001B2D06" w:rsidRPr="00696CA9">
        <w:t xml:space="preserve">roposed </w:t>
      </w:r>
      <w:r w:rsidRPr="00696CA9">
        <w:t>r</w:t>
      </w:r>
      <w:r w:rsidR="001B2D06" w:rsidRPr="00696CA9">
        <w:t>ules</w:t>
      </w:r>
      <w:r w:rsidR="001B2D06" w:rsidRPr="001B2D06">
        <w:t>)</w:t>
      </w:r>
      <w:r w:rsidR="00BA2D3D">
        <w:t xml:space="preserve">. </w:t>
      </w:r>
      <w:r>
        <w:t>We have estimated the regulatory compliance burden of the proposed rules. We prepared t</w:t>
      </w:r>
      <w:r w:rsidR="00EA5A6C" w:rsidRPr="00F34730">
        <w:t>he estimates</w:t>
      </w:r>
      <w:r w:rsidR="00C11869" w:rsidDel="00BA2D3D">
        <w:t xml:space="preserve"> </w:t>
      </w:r>
      <w:r w:rsidR="00EA5A6C" w:rsidRPr="00F34730">
        <w:t>under the Regulatory Impact Analysis (</w:t>
      </w:r>
      <w:r w:rsidR="00EA5A6C" w:rsidRPr="00696CA9">
        <w:t>RIA</w:t>
      </w:r>
      <w:r w:rsidR="00EA5A6C" w:rsidRPr="00F34730">
        <w:t>) framework, administered by the Office of Best Practice Regulation, a branch of the Department of Prime Minister and Cabinet.</w:t>
      </w:r>
    </w:p>
    <w:p w14:paraId="3D790E3D" w14:textId="351BD906" w:rsidR="00D11AF9" w:rsidRPr="00F34730" w:rsidRDefault="00D11AF9" w:rsidP="00357304">
      <w:pPr>
        <w:pStyle w:val="BodyText1"/>
      </w:pPr>
      <w:r w:rsidRPr="00F34730">
        <w:t>Under the RIA framework, the Regulatory Burden Measurement (</w:t>
      </w:r>
      <w:r w:rsidRPr="00696CA9">
        <w:t>RBM</w:t>
      </w:r>
      <w:r w:rsidRPr="00F34730">
        <w:t>) framework must be used by policy makers to estimate the regulatory compliance burden of policy proposals (a subset of the broader costs in an assessment). The RBM framework is a standardised method for calculating the compliance costs (administrative and substantive) and delay costs of regulation.</w:t>
      </w:r>
    </w:p>
    <w:p w14:paraId="7A89E35F" w14:textId="0C9B9AC4" w:rsidR="00F83439" w:rsidRDefault="00D11AF9" w:rsidP="00357304">
      <w:pPr>
        <w:pStyle w:val="RIAH2"/>
      </w:pPr>
      <w:bookmarkStart w:id="1" w:name="_Hlk82359425"/>
      <w:r w:rsidRPr="00F34730">
        <w:t xml:space="preserve">Summary of policy options assessed under the RIA framework </w:t>
      </w:r>
    </w:p>
    <w:p w14:paraId="76AC153F" w14:textId="02AAA08E" w:rsidR="007A27C5" w:rsidRPr="00324F2E" w:rsidRDefault="007A27C5" w:rsidP="007A27C5">
      <w:pPr>
        <w:pStyle w:val="BodyText1"/>
      </w:pPr>
      <w:r>
        <w:t xml:space="preserve">We summarise the policy option set out in </w:t>
      </w:r>
      <w:hyperlink r:id="rId12" w:history="1">
        <w:r w:rsidRPr="00B524FF">
          <w:rPr>
            <w:rStyle w:val="Hyperlink"/>
          </w:rPr>
          <w:t>Consultation Paper 314</w:t>
        </w:r>
      </w:hyperlink>
      <w:r w:rsidRPr="00F34730">
        <w:t xml:space="preserve"> </w:t>
      </w:r>
      <w:r w:rsidRPr="00F34730">
        <w:rPr>
          <w:i/>
          <w:lang w:val="en-GB"/>
        </w:rPr>
        <w:t xml:space="preserve">Market integrity rules for technological and operational resilience </w:t>
      </w:r>
      <w:r w:rsidRPr="00F34730">
        <w:rPr>
          <w:lang w:val="en-GB"/>
        </w:rPr>
        <w:t>(</w:t>
      </w:r>
      <w:r>
        <w:rPr>
          <w:lang w:val="en-GB"/>
        </w:rPr>
        <w:t xml:space="preserve">CP 314) at paragraphs </w:t>
      </w:r>
      <w:r>
        <w:rPr>
          <w:lang w:val="en-GB"/>
        </w:rPr>
        <w:fldChar w:fldCharType="begin"/>
      </w:r>
      <w:r>
        <w:rPr>
          <w:lang w:val="en-GB"/>
        </w:rPr>
        <w:instrText xml:space="preserve"> REF _Ref84336740 \r \h </w:instrText>
      </w:r>
      <w:r>
        <w:rPr>
          <w:lang w:val="en-GB"/>
        </w:rPr>
      </w:r>
      <w:r>
        <w:rPr>
          <w:lang w:val="en-GB"/>
        </w:rPr>
        <w:fldChar w:fldCharType="separate"/>
      </w:r>
      <w:r w:rsidR="0052771B">
        <w:rPr>
          <w:lang w:val="en-GB"/>
        </w:rPr>
        <w:t>4</w:t>
      </w:r>
      <w:r>
        <w:rPr>
          <w:lang w:val="en-GB"/>
        </w:rPr>
        <w:fldChar w:fldCharType="end"/>
      </w:r>
      <w:r>
        <w:rPr>
          <w:lang w:val="en-GB"/>
        </w:rPr>
        <w:t>–</w:t>
      </w:r>
      <w:r>
        <w:rPr>
          <w:lang w:val="en-GB"/>
        </w:rPr>
        <w:fldChar w:fldCharType="begin"/>
      </w:r>
      <w:r>
        <w:rPr>
          <w:lang w:val="en-GB"/>
        </w:rPr>
        <w:instrText xml:space="preserve"> REF _Ref84336744 \r \h </w:instrText>
      </w:r>
      <w:r>
        <w:rPr>
          <w:lang w:val="en-GB"/>
        </w:rPr>
      </w:r>
      <w:r>
        <w:rPr>
          <w:lang w:val="en-GB"/>
        </w:rPr>
        <w:fldChar w:fldCharType="separate"/>
      </w:r>
      <w:r w:rsidR="0052771B">
        <w:rPr>
          <w:lang w:val="en-GB"/>
        </w:rPr>
        <w:t>6</w:t>
      </w:r>
      <w:r>
        <w:rPr>
          <w:lang w:val="en-GB"/>
        </w:rPr>
        <w:fldChar w:fldCharType="end"/>
      </w:r>
      <w:r>
        <w:rPr>
          <w:lang w:val="en-GB"/>
        </w:rPr>
        <w:t xml:space="preserve">. </w:t>
      </w:r>
      <w:r>
        <w:t>W</w:t>
      </w:r>
      <w:r w:rsidRPr="00324F2E">
        <w:t>e</w:t>
      </w:r>
      <w:r>
        <w:t xml:space="preserve"> also</w:t>
      </w:r>
      <w:r w:rsidRPr="00324F2E">
        <w:t xml:space="preserve"> assessed </w:t>
      </w:r>
      <w:r>
        <w:t>two</w:t>
      </w:r>
      <w:r w:rsidRPr="00324F2E">
        <w:t xml:space="preserve"> further policy options under the RIA framework</w:t>
      </w:r>
      <w:r>
        <w:t xml:space="preserve">, and these are summarised at paragraphs </w:t>
      </w:r>
      <w:r>
        <w:fldChar w:fldCharType="begin"/>
      </w:r>
      <w:r>
        <w:instrText xml:space="preserve"> REF _Ref84336789 \r \h </w:instrText>
      </w:r>
      <w:r>
        <w:fldChar w:fldCharType="separate"/>
      </w:r>
      <w:r w:rsidR="0052771B">
        <w:t>7</w:t>
      </w:r>
      <w:r>
        <w:fldChar w:fldCharType="end"/>
      </w:r>
      <w:r>
        <w:t xml:space="preserve"> (Option 2) and </w:t>
      </w:r>
      <w:r>
        <w:fldChar w:fldCharType="begin"/>
      </w:r>
      <w:r>
        <w:instrText xml:space="preserve"> REF _Ref84336791 \r \h </w:instrText>
      </w:r>
      <w:r>
        <w:fldChar w:fldCharType="separate"/>
      </w:r>
      <w:r w:rsidR="0052771B">
        <w:t>8</w:t>
      </w:r>
      <w:r>
        <w:fldChar w:fldCharType="end"/>
      </w:r>
      <w:r>
        <w:t xml:space="preserve"> (Option 3).</w:t>
      </w:r>
    </w:p>
    <w:bookmarkEnd w:id="1"/>
    <w:p w14:paraId="283D13D1" w14:textId="4B294949" w:rsidR="005D6DEB" w:rsidRPr="000772DA" w:rsidRDefault="005D6DEB" w:rsidP="00357304">
      <w:pPr>
        <w:pStyle w:val="RIAH3"/>
        <w:rPr>
          <w:bCs/>
          <w:iCs/>
        </w:rPr>
      </w:pPr>
      <w:r w:rsidRPr="000772DA">
        <w:t xml:space="preserve">Option 1 (recommended): </w:t>
      </w:r>
      <w:r w:rsidR="00D7493C" w:rsidRPr="000772DA">
        <w:t>Implement</w:t>
      </w:r>
      <w:r w:rsidR="00BA2D3D" w:rsidRPr="000772DA">
        <w:t xml:space="preserve"> the </w:t>
      </w:r>
      <w:r w:rsidR="00C257E0">
        <w:t>p</w:t>
      </w:r>
      <w:r w:rsidR="00BA2D3D" w:rsidRPr="000772DA">
        <w:t xml:space="preserve">roposed </w:t>
      </w:r>
      <w:r w:rsidR="00C257E0">
        <w:t>r</w:t>
      </w:r>
      <w:r w:rsidR="00BA2D3D" w:rsidRPr="000772DA">
        <w:t>ules</w:t>
      </w:r>
    </w:p>
    <w:p w14:paraId="7C95DCE6" w14:textId="5CBD815A" w:rsidR="009E2A7B" w:rsidRPr="00D7493C" w:rsidRDefault="005612CB" w:rsidP="00357304">
      <w:pPr>
        <w:pStyle w:val="BodyText1"/>
      </w:pPr>
      <w:bookmarkStart w:id="2" w:name="_Ref84336740"/>
      <w:r>
        <w:rPr>
          <w:lang w:val="en-GB"/>
        </w:rPr>
        <w:t xml:space="preserve">On 27 June 2019, </w:t>
      </w:r>
      <w:r w:rsidR="0038267F">
        <w:rPr>
          <w:lang w:val="en-GB"/>
        </w:rPr>
        <w:t>we</w:t>
      </w:r>
      <w:r>
        <w:rPr>
          <w:lang w:val="en-GB"/>
        </w:rPr>
        <w:t xml:space="preserve"> published </w:t>
      </w:r>
      <w:r w:rsidRPr="00696CA9">
        <w:rPr>
          <w:lang w:val="en-GB"/>
        </w:rPr>
        <w:t>CP 314</w:t>
      </w:r>
      <w:r>
        <w:rPr>
          <w:lang w:val="en-GB"/>
        </w:rPr>
        <w:t xml:space="preserve">, in which </w:t>
      </w:r>
      <w:r w:rsidR="0038267F">
        <w:rPr>
          <w:lang w:val="en-GB"/>
        </w:rPr>
        <w:t xml:space="preserve">we </w:t>
      </w:r>
      <w:r w:rsidRPr="00F34730">
        <w:rPr>
          <w:lang w:val="en-GB"/>
        </w:rPr>
        <w:t xml:space="preserve">sought feedback on </w:t>
      </w:r>
      <w:r w:rsidR="0038267F">
        <w:rPr>
          <w:lang w:val="en-GB"/>
        </w:rPr>
        <w:t>eight</w:t>
      </w:r>
      <w:r>
        <w:rPr>
          <w:lang w:val="en-GB"/>
        </w:rPr>
        <w:t xml:space="preserve"> proposals and corresponding rules</w:t>
      </w:r>
      <w:r w:rsidR="00640119">
        <w:rPr>
          <w:lang w:val="en-GB" w:eastAsia="en-AU"/>
        </w:rPr>
        <w:t xml:space="preserve">. </w:t>
      </w:r>
      <w:r w:rsidR="0038267F">
        <w:rPr>
          <w:lang w:val="en-GB"/>
        </w:rPr>
        <w:t>We</w:t>
      </w:r>
      <w:r w:rsidR="0038267F" w:rsidRPr="00D7493C">
        <w:rPr>
          <w:lang w:val="en-GB"/>
        </w:rPr>
        <w:t xml:space="preserve"> </w:t>
      </w:r>
      <w:r w:rsidR="009E2A7B" w:rsidRPr="00D7493C">
        <w:rPr>
          <w:lang w:val="en-GB"/>
        </w:rPr>
        <w:t>received 22 submissions from market operators, market participants, industry bodies and associations, service providers and the public.</w:t>
      </w:r>
      <w:bookmarkEnd w:id="2"/>
      <w:r w:rsidR="009E2A7B" w:rsidRPr="00640119">
        <w:rPr>
          <w:lang w:val="en-GB" w:eastAsia="en-AU"/>
        </w:rPr>
        <w:t xml:space="preserve"> </w:t>
      </w:r>
    </w:p>
    <w:p w14:paraId="2CBFB804" w14:textId="54367978" w:rsidR="00D7493C" w:rsidRPr="00257CB7" w:rsidRDefault="0038267F" w:rsidP="00357304">
      <w:pPr>
        <w:pStyle w:val="BodyText1"/>
        <w:rPr>
          <w:lang w:val="en-GB"/>
        </w:rPr>
      </w:pPr>
      <w:r>
        <w:rPr>
          <w:lang w:val="en-GB"/>
        </w:rPr>
        <w:t xml:space="preserve">We </w:t>
      </w:r>
      <w:r w:rsidRPr="001130EB">
        <w:rPr>
          <w:lang w:val="en-GB"/>
        </w:rPr>
        <w:t>have amended t</w:t>
      </w:r>
      <w:r w:rsidR="00D7493C" w:rsidRPr="001130EB">
        <w:rPr>
          <w:lang w:val="en-GB"/>
        </w:rPr>
        <w:t xml:space="preserve">he </w:t>
      </w:r>
      <w:r w:rsidRPr="001130EB">
        <w:rPr>
          <w:lang w:val="en-GB"/>
        </w:rPr>
        <w:t>p</w:t>
      </w:r>
      <w:r w:rsidR="00D7493C" w:rsidRPr="001130EB">
        <w:rPr>
          <w:lang w:val="en-GB"/>
        </w:rPr>
        <w:t xml:space="preserve">roposed </w:t>
      </w:r>
      <w:r w:rsidRPr="001130EB">
        <w:rPr>
          <w:lang w:val="en-GB"/>
        </w:rPr>
        <w:t>r</w:t>
      </w:r>
      <w:r w:rsidR="00D7493C" w:rsidRPr="001130EB">
        <w:rPr>
          <w:lang w:val="en-GB"/>
        </w:rPr>
        <w:t xml:space="preserve">ules </w:t>
      </w:r>
      <w:r w:rsidR="00BA39FD" w:rsidRPr="001130EB">
        <w:rPr>
          <w:lang w:val="en-GB"/>
        </w:rPr>
        <w:t>in response to th</w:t>
      </w:r>
      <w:r w:rsidR="00A83515" w:rsidRPr="001130EB">
        <w:rPr>
          <w:lang w:val="en-GB"/>
        </w:rPr>
        <w:t>e</w:t>
      </w:r>
      <w:r w:rsidR="00BA39FD" w:rsidRPr="001130EB">
        <w:rPr>
          <w:lang w:val="en-GB"/>
        </w:rPr>
        <w:t xml:space="preserve"> feedback </w:t>
      </w:r>
      <w:r w:rsidRPr="001130EB">
        <w:rPr>
          <w:lang w:val="en-GB"/>
        </w:rPr>
        <w:t xml:space="preserve">we received </w:t>
      </w:r>
      <w:r w:rsidR="00BA39FD" w:rsidRPr="001130EB">
        <w:rPr>
          <w:lang w:val="en-GB"/>
        </w:rPr>
        <w:t>on</w:t>
      </w:r>
      <w:r w:rsidR="00570B97" w:rsidRPr="001130EB">
        <w:rPr>
          <w:lang w:val="en-GB"/>
        </w:rPr>
        <w:t xml:space="preserve"> </w:t>
      </w:r>
      <w:r w:rsidR="00D7493C" w:rsidRPr="001130EB">
        <w:rPr>
          <w:lang w:val="en-GB"/>
        </w:rPr>
        <w:t>th</w:t>
      </w:r>
      <w:r w:rsidR="00570B97" w:rsidRPr="001130EB">
        <w:rPr>
          <w:lang w:val="en-GB"/>
        </w:rPr>
        <w:t xml:space="preserve">e </w:t>
      </w:r>
      <w:r w:rsidR="00D7493C" w:rsidRPr="001130EB">
        <w:rPr>
          <w:lang w:val="en-GB"/>
        </w:rPr>
        <w:t xml:space="preserve">proposals </w:t>
      </w:r>
      <w:r w:rsidR="00570B97" w:rsidRPr="001130EB">
        <w:rPr>
          <w:lang w:val="en-GB"/>
        </w:rPr>
        <w:t>in CP 314</w:t>
      </w:r>
      <w:r w:rsidR="00BA39FD" w:rsidRPr="001130EB">
        <w:rPr>
          <w:lang w:val="en-GB"/>
        </w:rPr>
        <w:t>. The</w:t>
      </w:r>
      <w:r w:rsidR="001C1B78" w:rsidRPr="001130EB">
        <w:rPr>
          <w:lang w:val="en-GB"/>
        </w:rPr>
        <w:t xml:space="preserve">se are detailed </w:t>
      </w:r>
      <w:r w:rsidR="001C1B78" w:rsidRPr="00257CB7">
        <w:rPr>
          <w:lang w:val="en-GB"/>
        </w:rPr>
        <w:t xml:space="preserve">in </w:t>
      </w:r>
      <w:r w:rsidRPr="00257CB7">
        <w:rPr>
          <w:lang w:val="en-GB"/>
        </w:rPr>
        <w:t xml:space="preserve">Report 000 </w:t>
      </w:r>
      <w:r w:rsidRPr="00257CB7">
        <w:rPr>
          <w:i/>
          <w:lang w:val="en-GB"/>
        </w:rPr>
        <w:t xml:space="preserve">Response to submissions on CP 314 Market integrity rules for technological and operational resilience </w:t>
      </w:r>
      <w:r w:rsidRPr="00257CB7">
        <w:rPr>
          <w:lang w:val="en-GB"/>
        </w:rPr>
        <w:t>(REP 000),</w:t>
      </w:r>
      <w:r w:rsidR="00BA39FD" w:rsidRPr="00257CB7">
        <w:rPr>
          <w:lang w:val="en-GB"/>
        </w:rPr>
        <w:t xml:space="preserve"> </w:t>
      </w:r>
      <w:r w:rsidR="00C6159C" w:rsidRPr="00257CB7">
        <w:rPr>
          <w:lang w:val="en-GB"/>
        </w:rPr>
        <w:t xml:space="preserve">which highlights the key issues arising from consultation and </w:t>
      </w:r>
      <w:r w:rsidRPr="00257CB7">
        <w:rPr>
          <w:lang w:val="en-GB"/>
        </w:rPr>
        <w:t>our</w:t>
      </w:r>
      <w:r w:rsidR="00C6159C" w:rsidRPr="00257CB7">
        <w:rPr>
          <w:lang w:val="en-GB"/>
        </w:rPr>
        <w:t xml:space="preserve"> response to </w:t>
      </w:r>
      <w:r w:rsidRPr="00257CB7">
        <w:rPr>
          <w:lang w:val="en-GB"/>
        </w:rPr>
        <w:t>those issue</w:t>
      </w:r>
      <w:r w:rsidR="00C6159C" w:rsidRPr="00257CB7">
        <w:rPr>
          <w:lang w:val="en-GB"/>
        </w:rPr>
        <w:t>.</w:t>
      </w:r>
      <w:r w:rsidR="00D7493C" w:rsidRPr="00257CB7">
        <w:rPr>
          <w:lang w:val="en-GB"/>
        </w:rPr>
        <w:t xml:space="preserve"> </w:t>
      </w:r>
    </w:p>
    <w:p w14:paraId="32821EF6" w14:textId="104D09F9" w:rsidR="00F46986" w:rsidRPr="009E574C" w:rsidRDefault="00357304" w:rsidP="00696CA9">
      <w:pPr>
        <w:pStyle w:val="Caption"/>
      </w:pPr>
      <w:r>
        <w:lastRenderedPageBreak/>
        <w:t xml:space="preserve">Table </w:t>
      </w:r>
      <w:fldSimple w:instr=" SEQ Table \* ARABIC ">
        <w:r w:rsidR="0052771B">
          <w:rPr>
            <w:noProof/>
          </w:rPr>
          <w:t>1</w:t>
        </w:r>
      </w:fldSimple>
      <w:r w:rsidR="00F46986" w:rsidRPr="009E574C">
        <w:t xml:space="preserve">: Option 1 – Summary of the </w:t>
      </w:r>
      <w:r w:rsidR="0038267F">
        <w:t>p</w:t>
      </w:r>
      <w:r w:rsidR="00F46986" w:rsidRPr="009E574C">
        <w:t xml:space="preserve">roposed </w:t>
      </w:r>
      <w:r w:rsidR="0038267F">
        <w:t>r</w:t>
      </w:r>
      <w:r w:rsidR="00F46986" w:rsidRPr="009E574C">
        <w:t>ules</w:t>
      </w:r>
    </w:p>
    <w:tbl>
      <w:tblPr>
        <w:tblStyle w:val="TableGrid1"/>
        <w:tblW w:w="8364" w:type="dxa"/>
        <w:tblInd w:w="562" w:type="dxa"/>
        <w:tblBorders>
          <w:top w:val="single" w:sz="4" w:space="0" w:color="999999"/>
          <w:left w:val="none" w:sz="0" w:space="0" w:color="auto"/>
          <w:bottom w:val="single" w:sz="4" w:space="0" w:color="999999"/>
          <w:right w:val="none" w:sz="0" w:space="0" w:color="auto"/>
          <w:insideH w:val="single" w:sz="4" w:space="0" w:color="999999"/>
          <w:insideV w:val="none" w:sz="0" w:space="0" w:color="auto"/>
        </w:tblBorders>
        <w:tblCellMar>
          <w:bottom w:w="113" w:type="dxa"/>
        </w:tblCellMar>
        <w:tblLook w:val="0480" w:firstRow="0" w:lastRow="0" w:firstColumn="1" w:lastColumn="0" w:noHBand="0" w:noVBand="1"/>
      </w:tblPr>
      <w:tblGrid>
        <w:gridCol w:w="2405"/>
        <w:gridCol w:w="5959"/>
      </w:tblGrid>
      <w:tr w:rsidR="00F46986" w:rsidRPr="00F46986" w14:paraId="48AAC612" w14:textId="77777777" w:rsidTr="00696CA9">
        <w:trPr>
          <w:cantSplit/>
        </w:trPr>
        <w:tc>
          <w:tcPr>
            <w:tcW w:w="2405" w:type="dxa"/>
            <w:shd w:val="clear" w:color="auto" w:fill="C2E3FF"/>
          </w:tcPr>
          <w:p w14:paraId="000C7AE8" w14:textId="60AF70A0" w:rsidR="00F46986" w:rsidRPr="00F46986" w:rsidRDefault="00F46986" w:rsidP="00696CA9">
            <w:pPr>
              <w:pStyle w:val="tablehead"/>
              <w:keepNext w:val="0"/>
            </w:pPr>
            <w:r w:rsidRPr="00F678FD">
              <w:t>Critical business services arrangements</w:t>
            </w:r>
          </w:p>
        </w:tc>
        <w:tc>
          <w:tcPr>
            <w:tcW w:w="5959" w:type="dxa"/>
          </w:tcPr>
          <w:p w14:paraId="5FBBF4CA" w14:textId="21DBE22A" w:rsidR="00F46986" w:rsidRPr="00F46986" w:rsidRDefault="009B00FE" w:rsidP="00696CA9">
            <w:pPr>
              <w:pStyle w:val="tbltext"/>
              <w:rPr>
                <w:rFonts w:eastAsiaTheme="minorHAnsi"/>
                <w:lang w:val="en-GB"/>
              </w:rPr>
            </w:pPr>
            <w:r w:rsidRPr="00F678FD">
              <w:rPr>
                <w:rFonts w:eastAsiaTheme="minorHAnsi"/>
                <w:lang w:val="en-GB"/>
              </w:rPr>
              <w:t>M</w:t>
            </w:r>
            <w:r w:rsidR="00F46986" w:rsidRPr="00F678FD">
              <w:rPr>
                <w:rFonts w:eastAsiaTheme="minorHAnsi"/>
                <w:lang w:val="en-GB"/>
              </w:rPr>
              <w:t>arket operators and market participants have adequate arrangements in place to ensure the resilience, reliability, integrity and security of their critical business services.</w:t>
            </w:r>
          </w:p>
        </w:tc>
      </w:tr>
      <w:tr w:rsidR="00F46986" w:rsidRPr="00F678FD" w14:paraId="7C9AA620" w14:textId="77777777" w:rsidTr="00696CA9">
        <w:trPr>
          <w:cantSplit/>
        </w:trPr>
        <w:tc>
          <w:tcPr>
            <w:tcW w:w="2405" w:type="dxa"/>
            <w:shd w:val="clear" w:color="auto" w:fill="C2E3FF"/>
          </w:tcPr>
          <w:p w14:paraId="552DF466" w14:textId="2AC75621" w:rsidR="00F46986" w:rsidRPr="00357304" w:rsidRDefault="00F46986" w:rsidP="00696CA9">
            <w:pPr>
              <w:pStyle w:val="tablehead"/>
              <w:keepNext w:val="0"/>
            </w:pPr>
            <w:r w:rsidRPr="00F678FD">
              <w:t xml:space="preserve">Change </w:t>
            </w:r>
            <w:r w:rsidR="0038267F">
              <w:t>m</w:t>
            </w:r>
            <w:r w:rsidRPr="00F678FD">
              <w:t>anagement</w:t>
            </w:r>
            <w:r w:rsidRPr="00357304">
              <w:rPr>
                <w:rFonts w:cs="Times New Roman"/>
              </w:rPr>
              <w:t xml:space="preserve"> </w:t>
            </w:r>
            <w:r w:rsidR="0038267F">
              <w:t xml:space="preserve">of critical </w:t>
            </w:r>
            <w:r w:rsidR="001128D5">
              <w:t>business services</w:t>
            </w:r>
          </w:p>
        </w:tc>
        <w:tc>
          <w:tcPr>
            <w:tcW w:w="5959" w:type="dxa"/>
          </w:tcPr>
          <w:p w14:paraId="5F05CD1C" w14:textId="157EC666" w:rsidR="00F46986" w:rsidRPr="00F678FD" w:rsidRDefault="009B00FE" w:rsidP="00696CA9">
            <w:pPr>
              <w:pStyle w:val="tbltext"/>
              <w:rPr>
                <w:rFonts w:eastAsiaTheme="minorHAnsi"/>
                <w:lang w:val="en-GB"/>
              </w:rPr>
            </w:pPr>
            <w:r w:rsidRPr="00F678FD">
              <w:rPr>
                <w:rFonts w:eastAsiaTheme="minorHAnsi"/>
                <w:lang w:val="en-GB"/>
              </w:rPr>
              <w:t xml:space="preserve">Market </w:t>
            </w:r>
            <w:r w:rsidR="00F46986" w:rsidRPr="00F678FD">
              <w:rPr>
                <w:rFonts w:eastAsiaTheme="minorHAnsi"/>
                <w:lang w:val="en-GB"/>
              </w:rPr>
              <w:t xml:space="preserve">operators and market participants ensure their arrangements for critical </w:t>
            </w:r>
            <w:r w:rsidR="001128D5">
              <w:rPr>
                <w:rFonts w:eastAsiaTheme="minorHAnsi"/>
                <w:lang w:val="en-GB"/>
              </w:rPr>
              <w:t>business services</w:t>
            </w:r>
            <w:r w:rsidR="00F46986" w:rsidRPr="00F678FD">
              <w:rPr>
                <w:rFonts w:eastAsiaTheme="minorHAnsi"/>
                <w:lang w:val="en-GB"/>
              </w:rPr>
              <w:t xml:space="preserve"> continue to remain adequate following the implementation of new critical business services or material changes to existing critical business services.</w:t>
            </w:r>
          </w:p>
        </w:tc>
      </w:tr>
      <w:tr w:rsidR="00F46986" w:rsidRPr="00F46986" w14:paraId="7FC99740" w14:textId="77777777" w:rsidTr="00696CA9">
        <w:trPr>
          <w:cantSplit/>
        </w:trPr>
        <w:tc>
          <w:tcPr>
            <w:tcW w:w="2405" w:type="dxa"/>
            <w:shd w:val="clear" w:color="auto" w:fill="C2E3FF"/>
          </w:tcPr>
          <w:p w14:paraId="5A7D6E77" w14:textId="29ED54C1" w:rsidR="00F46986" w:rsidRPr="00F46986" w:rsidRDefault="00F46986" w:rsidP="00696CA9">
            <w:pPr>
              <w:pStyle w:val="tablehead"/>
              <w:keepNext w:val="0"/>
            </w:pPr>
            <w:r w:rsidRPr="00F678FD">
              <w:t xml:space="preserve">Outsourcing </w:t>
            </w:r>
            <w:r w:rsidR="0038267F">
              <w:t xml:space="preserve">critical </w:t>
            </w:r>
            <w:r w:rsidR="001128D5">
              <w:t>business services</w:t>
            </w:r>
          </w:p>
        </w:tc>
        <w:tc>
          <w:tcPr>
            <w:tcW w:w="5959" w:type="dxa"/>
          </w:tcPr>
          <w:p w14:paraId="3B567B6B" w14:textId="50806650" w:rsidR="00F46986" w:rsidRPr="00357304" w:rsidRDefault="009B00FE" w:rsidP="00696CA9">
            <w:pPr>
              <w:pStyle w:val="tbltext"/>
              <w:rPr>
                <w:rFonts w:eastAsiaTheme="minorHAnsi"/>
                <w:lang w:val="en-GB"/>
              </w:rPr>
            </w:pPr>
            <w:r w:rsidRPr="00357304">
              <w:rPr>
                <w:rFonts w:eastAsiaTheme="minorHAnsi"/>
                <w:lang w:val="en-GB"/>
              </w:rPr>
              <w:t>Market operators and market participants ensure that outsourcing arrangements in relation to their critical business services include appropriate controls.</w:t>
            </w:r>
          </w:p>
        </w:tc>
      </w:tr>
      <w:tr w:rsidR="00F46986" w:rsidRPr="00F46986" w14:paraId="19C59F76" w14:textId="77777777" w:rsidTr="00696CA9">
        <w:trPr>
          <w:cantSplit/>
        </w:trPr>
        <w:tc>
          <w:tcPr>
            <w:tcW w:w="2405" w:type="dxa"/>
            <w:shd w:val="clear" w:color="auto" w:fill="C2E3FF"/>
          </w:tcPr>
          <w:p w14:paraId="73BC7B37" w14:textId="126F2148" w:rsidR="00F46986" w:rsidRPr="00F46986" w:rsidRDefault="0038267F" w:rsidP="00696CA9">
            <w:pPr>
              <w:pStyle w:val="tablehead"/>
              <w:keepNext w:val="0"/>
            </w:pPr>
            <w:r>
              <w:t>Risk management – Data and cyber risk</w:t>
            </w:r>
          </w:p>
        </w:tc>
        <w:tc>
          <w:tcPr>
            <w:tcW w:w="5959" w:type="dxa"/>
          </w:tcPr>
          <w:p w14:paraId="6404733C" w14:textId="57D7F670" w:rsidR="00F46986" w:rsidRPr="00357304" w:rsidRDefault="009B00FE" w:rsidP="00696CA9">
            <w:pPr>
              <w:pStyle w:val="tbltext"/>
              <w:rPr>
                <w:rFonts w:eastAsiaTheme="minorHAnsi"/>
                <w:lang w:val="en-GB"/>
              </w:rPr>
            </w:pPr>
            <w:r w:rsidRPr="00357304">
              <w:rPr>
                <w:rFonts w:eastAsiaTheme="minorHAnsi"/>
                <w:lang w:val="en-GB"/>
              </w:rPr>
              <w:t>Market operators and market participants have adequate arrangements to ensure the confidentiality, integrity and availability of information obtained, held or used.</w:t>
            </w:r>
          </w:p>
        </w:tc>
      </w:tr>
      <w:tr w:rsidR="00F46986" w:rsidRPr="00F46986" w14:paraId="6447A7D4" w14:textId="77777777" w:rsidTr="00696CA9">
        <w:trPr>
          <w:cantSplit/>
        </w:trPr>
        <w:tc>
          <w:tcPr>
            <w:tcW w:w="2405" w:type="dxa"/>
            <w:shd w:val="clear" w:color="auto" w:fill="C2E3FF"/>
          </w:tcPr>
          <w:p w14:paraId="4D834377" w14:textId="78496C80" w:rsidR="00F46986" w:rsidRPr="00F46986" w:rsidRDefault="00C257E0" w:rsidP="00696CA9">
            <w:pPr>
              <w:pStyle w:val="tablehead"/>
              <w:keepNext w:val="0"/>
            </w:pPr>
            <w:r>
              <w:t>Incident management and b</w:t>
            </w:r>
            <w:r w:rsidR="00F46986" w:rsidRPr="00F678FD">
              <w:t xml:space="preserve">usiness </w:t>
            </w:r>
            <w:r>
              <w:t>c</w:t>
            </w:r>
            <w:r w:rsidR="00F46986" w:rsidRPr="00F678FD">
              <w:t xml:space="preserve">ontinuity </w:t>
            </w:r>
            <w:r>
              <w:t>arrangements</w:t>
            </w:r>
          </w:p>
        </w:tc>
        <w:tc>
          <w:tcPr>
            <w:tcW w:w="5959" w:type="dxa"/>
          </w:tcPr>
          <w:p w14:paraId="43991F04" w14:textId="25D22D5F" w:rsidR="00F46986" w:rsidRPr="00357304" w:rsidRDefault="009B00FE" w:rsidP="00696CA9">
            <w:pPr>
              <w:pStyle w:val="tbltext"/>
              <w:rPr>
                <w:rFonts w:eastAsiaTheme="minorHAnsi"/>
                <w:lang w:val="en-GB"/>
              </w:rPr>
            </w:pPr>
            <w:r w:rsidRPr="00357304">
              <w:rPr>
                <w:rFonts w:eastAsiaTheme="minorHAnsi"/>
                <w:lang w:val="en-GB"/>
              </w:rPr>
              <w:t>Market operators and market participants establish, maintain and implement plans for effectively responding to an event that would or would be likely to cause significant disruption to operations and services.</w:t>
            </w:r>
          </w:p>
        </w:tc>
      </w:tr>
      <w:tr w:rsidR="00F46986" w:rsidRPr="00F46986" w14:paraId="50D5F0B6" w14:textId="77777777" w:rsidTr="00696CA9">
        <w:trPr>
          <w:cantSplit/>
        </w:trPr>
        <w:tc>
          <w:tcPr>
            <w:tcW w:w="2405" w:type="dxa"/>
            <w:shd w:val="clear" w:color="auto" w:fill="C2E3FF"/>
          </w:tcPr>
          <w:p w14:paraId="2BFE65E1" w14:textId="06DFBF74" w:rsidR="00F46986" w:rsidRPr="00F46986" w:rsidRDefault="00F46986" w:rsidP="00696CA9">
            <w:pPr>
              <w:pStyle w:val="tablehead"/>
              <w:keepNext w:val="0"/>
            </w:pPr>
            <w:r w:rsidRPr="00F678FD">
              <w:t>Governance</w:t>
            </w:r>
            <w:r w:rsidR="00C257E0">
              <w:t xml:space="preserve"> arrangements</w:t>
            </w:r>
            <w:r w:rsidRPr="00F678FD">
              <w:t xml:space="preserve"> and </w:t>
            </w:r>
            <w:r w:rsidR="00C257E0">
              <w:t xml:space="preserve">adequate </w:t>
            </w:r>
            <w:r w:rsidRPr="00F678FD">
              <w:t xml:space="preserve">resourcing </w:t>
            </w:r>
          </w:p>
        </w:tc>
        <w:tc>
          <w:tcPr>
            <w:tcW w:w="5959" w:type="dxa"/>
          </w:tcPr>
          <w:p w14:paraId="1946EBEF" w14:textId="0E2EA33E" w:rsidR="00F46986" w:rsidRPr="00357304" w:rsidRDefault="009B00FE" w:rsidP="00696CA9">
            <w:pPr>
              <w:pStyle w:val="tbltext"/>
              <w:rPr>
                <w:rFonts w:eastAsiaTheme="minorHAnsi"/>
                <w:lang w:val="en-GB"/>
              </w:rPr>
            </w:pPr>
            <w:r w:rsidRPr="00357304">
              <w:rPr>
                <w:rFonts w:eastAsiaTheme="minorHAnsi"/>
                <w:lang w:val="en-GB"/>
              </w:rPr>
              <w:t>Market operators and market participants have appropriate governance arrangements and adequate financial, technological and human resources to support the arrangements contained in the above proposals.</w:t>
            </w:r>
          </w:p>
        </w:tc>
      </w:tr>
      <w:tr w:rsidR="00F46986" w:rsidRPr="00F46986" w14:paraId="17FD729D" w14:textId="77777777" w:rsidTr="00696CA9">
        <w:trPr>
          <w:cantSplit/>
        </w:trPr>
        <w:tc>
          <w:tcPr>
            <w:tcW w:w="2405" w:type="dxa"/>
            <w:shd w:val="clear" w:color="auto" w:fill="C2E3FF"/>
          </w:tcPr>
          <w:p w14:paraId="3A805B7F" w14:textId="69076CBB" w:rsidR="00F46986" w:rsidRPr="00F46986" w:rsidRDefault="009B00FE" w:rsidP="00696CA9">
            <w:pPr>
              <w:pStyle w:val="tablehead"/>
              <w:keepNext w:val="0"/>
            </w:pPr>
            <w:r w:rsidRPr="00F678FD">
              <w:t>Trading controls</w:t>
            </w:r>
            <w:r w:rsidR="00C257E0">
              <w:t xml:space="preserve"> – Market operator rule only</w:t>
            </w:r>
          </w:p>
        </w:tc>
        <w:tc>
          <w:tcPr>
            <w:tcW w:w="5959" w:type="dxa"/>
          </w:tcPr>
          <w:p w14:paraId="46C1E866" w14:textId="33D45F04" w:rsidR="00F46986" w:rsidRPr="00357304" w:rsidRDefault="009B00FE" w:rsidP="00696CA9">
            <w:pPr>
              <w:pStyle w:val="tbltext"/>
              <w:rPr>
                <w:rFonts w:eastAsiaTheme="minorHAnsi"/>
                <w:lang w:val="en-GB"/>
              </w:rPr>
            </w:pPr>
            <w:r w:rsidRPr="00357304">
              <w:rPr>
                <w:rFonts w:eastAsiaTheme="minorHAnsi"/>
                <w:lang w:val="en-GB"/>
              </w:rPr>
              <w:t>Market operators have controls that enable immediate suspension, limitation or prohibition of the entry by a market participant of trading messages.</w:t>
            </w:r>
          </w:p>
        </w:tc>
      </w:tr>
    </w:tbl>
    <w:p w14:paraId="7C3E01CF" w14:textId="5F11DECA" w:rsidR="00F34730" w:rsidRPr="00F34730" w:rsidRDefault="00570B97" w:rsidP="00357304">
      <w:pPr>
        <w:pStyle w:val="BodyText1"/>
        <w:rPr>
          <w:lang w:val="en-GB" w:eastAsia="en-AU"/>
        </w:rPr>
      </w:pPr>
      <w:bookmarkStart w:id="3" w:name="_Ref84336744"/>
      <w:r>
        <w:rPr>
          <w:lang w:val="en-GB" w:eastAsia="en-AU"/>
        </w:rPr>
        <w:t>Option 1</w:t>
      </w:r>
      <w:r w:rsidR="00592F80" w:rsidRPr="00592F80" w:rsidDel="009E2A7B">
        <w:rPr>
          <w:lang w:val="en-GB" w:eastAsia="en-AU"/>
        </w:rPr>
        <w:t xml:space="preserve"> is our recommended option. </w:t>
      </w:r>
      <w:r w:rsidR="005D6DEB" w:rsidRPr="00F34730">
        <w:rPr>
          <w:lang w:val="en-GB" w:eastAsia="en-AU"/>
        </w:rPr>
        <w:t>The feedback we received</w:t>
      </w:r>
      <w:r w:rsidR="00F34730" w:rsidRPr="00F34730">
        <w:rPr>
          <w:lang w:val="en-GB" w:eastAsia="en-AU"/>
        </w:rPr>
        <w:t xml:space="preserve"> in response to CP 314</w:t>
      </w:r>
      <w:r w:rsidR="005D6DEB" w:rsidRPr="00F34730">
        <w:rPr>
          <w:lang w:val="en-GB" w:eastAsia="en-AU"/>
        </w:rPr>
        <w:t xml:space="preserve"> indicated that</w:t>
      </w:r>
      <w:r w:rsidR="00F34730" w:rsidRPr="00F34730">
        <w:rPr>
          <w:lang w:val="en-GB" w:eastAsia="en-AU"/>
        </w:rPr>
        <w:t xml:space="preserve"> </w:t>
      </w:r>
      <w:r w:rsidR="00384B20">
        <w:rPr>
          <w:lang w:val="en-GB" w:eastAsia="en-AU"/>
        </w:rPr>
        <w:t>industry</w:t>
      </w:r>
      <w:r w:rsidR="00F34730" w:rsidRPr="00F34730">
        <w:rPr>
          <w:lang w:val="en-GB" w:eastAsia="en-AU"/>
        </w:rPr>
        <w:t>:</w:t>
      </w:r>
      <w:bookmarkEnd w:id="3"/>
    </w:p>
    <w:p w14:paraId="0D582078" w14:textId="398D66A1" w:rsidR="00F34730" w:rsidRPr="00F34730" w:rsidRDefault="00D90D30" w:rsidP="00357304">
      <w:pPr>
        <w:pStyle w:val="subpara"/>
      </w:pPr>
      <w:r>
        <w:t>is</w:t>
      </w:r>
      <w:r w:rsidRPr="00F34730">
        <w:t xml:space="preserve"> </w:t>
      </w:r>
      <w:r w:rsidR="005D6DEB" w:rsidRPr="00F34730">
        <w:t xml:space="preserve">broadly supportive of the </w:t>
      </w:r>
      <w:r w:rsidR="00C257E0">
        <w:t>p</w:t>
      </w:r>
      <w:r w:rsidR="005D6DEB" w:rsidRPr="00F34730">
        <w:t xml:space="preserve">roposed </w:t>
      </w:r>
      <w:r w:rsidR="00C257E0">
        <w:t>r</w:t>
      </w:r>
      <w:r w:rsidR="005D6DEB" w:rsidRPr="00F34730">
        <w:t>ules and recognise</w:t>
      </w:r>
      <w:r>
        <w:t>s</w:t>
      </w:r>
      <w:r w:rsidR="005D6DEB" w:rsidRPr="00F34730">
        <w:t xml:space="preserve"> the importance of </w:t>
      </w:r>
      <w:r w:rsidR="000B3EEF">
        <w:t xml:space="preserve">ensuring </w:t>
      </w:r>
      <w:r w:rsidR="00570B97">
        <w:t xml:space="preserve">technologically and operationally </w:t>
      </w:r>
      <w:r w:rsidR="000B3EEF">
        <w:t xml:space="preserve">resilient market operators and </w:t>
      </w:r>
      <w:r w:rsidR="009235EB">
        <w:t xml:space="preserve">market </w:t>
      </w:r>
      <w:r w:rsidR="000B3EEF">
        <w:t>participants</w:t>
      </w:r>
    </w:p>
    <w:p w14:paraId="46E84B0C" w14:textId="16C453CC" w:rsidR="005D6DEB" w:rsidRDefault="00D90D30" w:rsidP="00357304">
      <w:pPr>
        <w:pStyle w:val="BodyText1"/>
        <w:numPr>
          <w:ilvl w:val="1"/>
          <w:numId w:val="2"/>
        </w:numPr>
        <w:rPr>
          <w:lang w:val="en-GB" w:eastAsia="en-AU"/>
        </w:rPr>
      </w:pPr>
      <w:r>
        <w:rPr>
          <w:lang w:val="en-GB" w:eastAsia="en-AU"/>
        </w:rPr>
        <w:t xml:space="preserve">is </w:t>
      </w:r>
      <w:r w:rsidR="005D6DEB" w:rsidRPr="00F34730">
        <w:rPr>
          <w:lang w:val="en-GB" w:eastAsia="en-AU"/>
        </w:rPr>
        <w:t xml:space="preserve">already </w:t>
      </w:r>
      <w:r w:rsidR="00570B97">
        <w:rPr>
          <w:lang w:val="en-GB" w:eastAsia="en-AU"/>
        </w:rPr>
        <w:t xml:space="preserve">compliant with most of the </w:t>
      </w:r>
      <w:r w:rsidR="00C257E0">
        <w:rPr>
          <w:lang w:val="en-GB" w:eastAsia="en-AU"/>
        </w:rPr>
        <w:t>p</w:t>
      </w:r>
      <w:r w:rsidR="00570B97">
        <w:rPr>
          <w:lang w:val="en-GB" w:eastAsia="en-AU"/>
        </w:rPr>
        <w:t xml:space="preserve">roposed </w:t>
      </w:r>
      <w:r w:rsidR="00C257E0">
        <w:rPr>
          <w:lang w:val="en-GB" w:eastAsia="en-AU"/>
        </w:rPr>
        <w:t>r</w:t>
      </w:r>
      <w:r w:rsidR="00570B97">
        <w:rPr>
          <w:lang w:val="en-GB" w:eastAsia="en-AU"/>
        </w:rPr>
        <w:t>ules</w:t>
      </w:r>
      <w:r w:rsidR="00F34730" w:rsidRPr="00F34730">
        <w:rPr>
          <w:lang w:val="en-GB" w:eastAsia="en-AU"/>
        </w:rPr>
        <w:t>.</w:t>
      </w:r>
    </w:p>
    <w:p w14:paraId="7C8A9C08" w14:textId="4308CDC8" w:rsidR="00A1307F" w:rsidRPr="007D09DC" w:rsidRDefault="00A1307F" w:rsidP="00357304">
      <w:pPr>
        <w:pStyle w:val="RIAH3"/>
        <w:rPr>
          <w:bCs/>
        </w:rPr>
      </w:pPr>
      <w:r w:rsidRPr="007D09DC">
        <w:t xml:space="preserve">Option 2: Strengthen </w:t>
      </w:r>
      <w:r w:rsidR="00640119" w:rsidRPr="007D09DC">
        <w:t xml:space="preserve">existing </w:t>
      </w:r>
      <w:r w:rsidRPr="00B72FC0">
        <w:t>regulatory guidance</w:t>
      </w:r>
    </w:p>
    <w:p w14:paraId="54F063F9" w14:textId="19A7FAB5" w:rsidR="00640119" w:rsidRPr="000772DA" w:rsidRDefault="00A1307F" w:rsidP="00357304">
      <w:pPr>
        <w:pStyle w:val="BodyText1"/>
      </w:pPr>
      <w:bookmarkStart w:id="4" w:name="_Ref84336789"/>
      <w:r w:rsidRPr="00F34730">
        <w:t xml:space="preserve">Under this option, </w:t>
      </w:r>
      <w:r w:rsidR="00627C7C">
        <w:t>the</w:t>
      </w:r>
      <w:r w:rsidR="00A66E15">
        <w:t xml:space="preserve"> </w:t>
      </w:r>
      <w:r w:rsidR="00B10FF4">
        <w:t>p</w:t>
      </w:r>
      <w:r w:rsidR="007D09DC">
        <w:t xml:space="preserve">roposed </w:t>
      </w:r>
      <w:r w:rsidR="00B10FF4">
        <w:t>r</w:t>
      </w:r>
      <w:r w:rsidR="007D09DC">
        <w:t xml:space="preserve">ules would not be implemented. </w:t>
      </w:r>
      <w:r w:rsidR="00F83439">
        <w:t xml:space="preserve">ASIC would </w:t>
      </w:r>
      <w:r w:rsidR="00B72FC0">
        <w:t>amend</w:t>
      </w:r>
      <w:r w:rsidR="00B10FF4">
        <w:t xml:space="preserve"> our</w:t>
      </w:r>
      <w:r w:rsidR="00B72FC0">
        <w:t xml:space="preserve"> </w:t>
      </w:r>
      <w:r w:rsidR="00F83439" w:rsidRPr="00324F2E">
        <w:t xml:space="preserve">existing </w:t>
      </w:r>
      <w:r w:rsidR="00B10FF4">
        <w:t>r</w:t>
      </w:r>
      <w:r w:rsidR="00F83439" w:rsidRPr="00324F2E">
        <w:t xml:space="preserve">egulatory </w:t>
      </w:r>
      <w:r w:rsidR="00B10FF4">
        <w:t>g</w:t>
      </w:r>
      <w:r w:rsidR="00F83439" w:rsidRPr="00324F2E">
        <w:t xml:space="preserve">uides to include more detailed guidance on </w:t>
      </w:r>
      <w:r w:rsidR="00B10FF4">
        <w:t>our</w:t>
      </w:r>
      <w:r w:rsidR="00F83439" w:rsidRPr="00324F2E">
        <w:t xml:space="preserve"> expectations in relation to existing obligations </w:t>
      </w:r>
      <w:r w:rsidR="00F83439">
        <w:t>for market operators and market participants</w:t>
      </w:r>
      <w:r w:rsidR="00F83439">
        <w:rPr>
          <w:rFonts w:eastAsia="Century Gothic,Times New Roman" w:cs="Century Gothic,Times New Roman"/>
        </w:rPr>
        <w:t xml:space="preserve"> </w:t>
      </w:r>
      <w:r w:rsidR="00F83439" w:rsidRPr="003C2F23">
        <w:t xml:space="preserve">under the ASIC </w:t>
      </w:r>
      <w:r w:rsidR="00B10FF4">
        <w:t>m</w:t>
      </w:r>
      <w:r w:rsidR="00F83439" w:rsidRPr="003C2F23">
        <w:t xml:space="preserve">arket </w:t>
      </w:r>
      <w:r w:rsidR="00B10FF4">
        <w:t>i</w:t>
      </w:r>
      <w:r w:rsidR="00F83439" w:rsidRPr="003C2F23">
        <w:t xml:space="preserve">ntegrity </w:t>
      </w:r>
      <w:r w:rsidR="00B10FF4">
        <w:t>r</w:t>
      </w:r>
      <w:r w:rsidR="00F83439" w:rsidRPr="003C2F23">
        <w:t xml:space="preserve">ules and the </w:t>
      </w:r>
      <w:r w:rsidR="00F83439" w:rsidRPr="00696CA9">
        <w:rPr>
          <w:i/>
        </w:rPr>
        <w:t>Corporations Act 2001</w:t>
      </w:r>
      <w:r w:rsidR="00F83439" w:rsidRPr="003C2F23">
        <w:t xml:space="preserve"> (</w:t>
      </w:r>
      <w:r w:rsidR="00B10FF4">
        <w:t>Corporations</w:t>
      </w:r>
      <w:r w:rsidR="00F83439" w:rsidRPr="00F237B5">
        <w:rPr>
          <w:b/>
        </w:rPr>
        <w:t xml:space="preserve"> </w:t>
      </w:r>
      <w:r w:rsidR="00F83439" w:rsidRPr="00696CA9">
        <w:t>Act</w:t>
      </w:r>
      <w:r w:rsidR="00F83439" w:rsidRPr="003C2F23">
        <w:t>).</w:t>
      </w:r>
      <w:r w:rsidR="00F83439" w:rsidRPr="005970BC">
        <w:rPr>
          <w:rFonts w:eastAsia="Century Gothic,Times New Roman" w:cs="Century Gothic,Times New Roman"/>
        </w:rPr>
        <w:t xml:space="preserve"> </w:t>
      </w:r>
      <w:r w:rsidR="003C2F23" w:rsidRPr="00FF3AEA">
        <w:t xml:space="preserve">More information about </w:t>
      </w:r>
      <w:r w:rsidR="00F237B5">
        <w:t>m</w:t>
      </w:r>
      <w:r w:rsidR="003C2F23" w:rsidRPr="00FF3AEA">
        <w:t xml:space="preserve">arket </w:t>
      </w:r>
      <w:r w:rsidR="00F237B5">
        <w:t>o</w:t>
      </w:r>
      <w:r w:rsidR="003C2F23" w:rsidRPr="00FF3AEA">
        <w:t>perators</w:t>
      </w:r>
      <w:r w:rsidR="00E47E5A">
        <w:t>’</w:t>
      </w:r>
      <w:r w:rsidR="003C2F23" w:rsidRPr="00FF3AEA">
        <w:t xml:space="preserve"> and </w:t>
      </w:r>
      <w:r w:rsidR="00F237B5">
        <w:t>m</w:t>
      </w:r>
      <w:r w:rsidR="003C2F23" w:rsidRPr="00FF3AEA">
        <w:t xml:space="preserve">arket </w:t>
      </w:r>
      <w:r w:rsidR="00F237B5">
        <w:t>p</w:t>
      </w:r>
      <w:r w:rsidR="003C2F23" w:rsidRPr="00FF3AEA">
        <w:t>articipants</w:t>
      </w:r>
      <w:r w:rsidR="00E47E5A">
        <w:t>’</w:t>
      </w:r>
      <w:r w:rsidR="003C2F23" w:rsidRPr="00FF3AEA">
        <w:t xml:space="preserve"> existing obligations</w:t>
      </w:r>
      <w:r w:rsidR="00FF3AEA" w:rsidRPr="00FF3AEA">
        <w:t xml:space="preserve">, and current ASIC guidance </w:t>
      </w:r>
      <w:r w:rsidR="00D90D30">
        <w:t>that</w:t>
      </w:r>
      <w:r w:rsidR="00D90D30" w:rsidRPr="00FF3AEA">
        <w:t xml:space="preserve"> </w:t>
      </w:r>
      <w:r w:rsidR="00FF3AEA" w:rsidRPr="00FF3AEA">
        <w:t>details specific expectations around those obligations</w:t>
      </w:r>
      <w:r w:rsidR="00F237B5">
        <w:t>,</w:t>
      </w:r>
      <w:r w:rsidR="00FF3AEA" w:rsidRPr="00FF3AEA">
        <w:t xml:space="preserve"> is contained in </w:t>
      </w:r>
      <w:hyperlink r:id="rId13" w:history="1">
        <w:r w:rsidR="00FF3AEA" w:rsidRPr="00B524FF">
          <w:rPr>
            <w:rStyle w:val="Hyperlink"/>
          </w:rPr>
          <w:t>CP 314</w:t>
        </w:r>
      </w:hyperlink>
      <w:r w:rsidR="00FF3AEA" w:rsidRPr="00FF3AEA">
        <w:t>.</w:t>
      </w:r>
      <w:bookmarkEnd w:id="4"/>
      <w:r w:rsidR="00F83439" w:rsidRPr="005970BC">
        <w:rPr>
          <w:rFonts w:eastAsia="Century Gothic,Times New Roman" w:cs="Century Gothic,Times New Roman"/>
        </w:rPr>
        <w:t xml:space="preserve"> </w:t>
      </w:r>
    </w:p>
    <w:p w14:paraId="766573CB" w14:textId="072A5883" w:rsidR="00724B1C" w:rsidRPr="000772DA" w:rsidRDefault="00724B1C" w:rsidP="00357304">
      <w:pPr>
        <w:pStyle w:val="RIAH3"/>
        <w:rPr>
          <w:bCs/>
        </w:rPr>
      </w:pPr>
      <w:r w:rsidRPr="000772DA">
        <w:lastRenderedPageBreak/>
        <w:t xml:space="preserve">Option 3: </w:t>
      </w:r>
      <w:r w:rsidR="009E2A7B" w:rsidRPr="000772DA">
        <w:t xml:space="preserve">Do nothing, maintain the </w:t>
      </w:r>
      <w:r w:rsidR="008B325B">
        <w:t>s</w:t>
      </w:r>
      <w:r w:rsidRPr="000772DA">
        <w:t>tatus quo</w:t>
      </w:r>
    </w:p>
    <w:p w14:paraId="452E680C" w14:textId="7EA42312" w:rsidR="00A57D1E" w:rsidRPr="000772DA" w:rsidRDefault="00A1307F" w:rsidP="00357304">
      <w:pPr>
        <w:pStyle w:val="BodyText1"/>
      </w:pPr>
      <w:bookmarkStart w:id="5" w:name="_Ref84336791"/>
      <w:r w:rsidRPr="000772DA">
        <w:t xml:space="preserve">Under this option, </w:t>
      </w:r>
      <w:r w:rsidR="00B10FF4">
        <w:t>we</w:t>
      </w:r>
      <w:r w:rsidR="00A57D1E" w:rsidRPr="000772DA">
        <w:t xml:space="preserve"> would </w:t>
      </w:r>
      <w:r w:rsidR="0078420A" w:rsidRPr="000772DA">
        <w:t>make no policy change</w:t>
      </w:r>
      <w:r w:rsidR="00F83439" w:rsidRPr="000772DA">
        <w:t xml:space="preserve">. </w:t>
      </w:r>
      <w:r w:rsidR="00B10FF4">
        <w:t>We</w:t>
      </w:r>
      <w:r w:rsidR="00B72FC0" w:rsidRPr="000772DA">
        <w:t xml:space="preserve"> would rely </w:t>
      </w:r>
      <w:r w:rsidR="0099227A" w:rsidRPr="000772DA">
        <w:t>on existing</w:t>
      </w:r>
      <w:r w:rsidRPr="000772DA">
        <w:t xml:space="preserve"> </w:t>
      </w:r>
      <w:r w:rsidR="008C29BC" w:rsidRPr="000772DA">
        <w:t>obligations</w:t>
      </w:r>
      <w:r w:rsidR="004B150C" w:rsidRPr="000772DA">
        <w:t xml:space="preserve"> under the </w:t>
      </w:r>
      <w:r w:rsidR="00B10FF4">
        <w:t>ASIC m</w:t>
      </w:r>
      <w:r w:rsidR="004B150C" w:rsidRPr="000772DA">
        <w:t xml:space="preserve">arket </w:t>
      </w:r>
      <w:r w:rsidR="00B10FF4">
        <w:t>i</w:t>
      </w:r>
      <w:r w:rsidR="004B150C" w:rsidRPr="000772DA">
        <w:t xml:space="preserve">ntegrity </w:t>
      </w:r>
      <w:r w:rsidR="00456B1A">
        <w:t>r</w:t>
      </w:r>
      <w:r w:rsidR="004B150C" w:rsidRPr="000772DA">
        <w:t xml:space="preserve">ules and </w:t>
      </w:r>
      <w:r w:rsidR="00600AFD">
        <w:t>the</w:t>
      </w:r>
      <w:r w:rsidR="00B10FF4">
        <w:t xml:space="preserve"> Corporations</w:t>
      </w:r>
      <w:r w:rsidR="00A57D1E" w:rsidRPr="000772DA">
        <w:t xml:space="preserve"> Act</w:t>
      </w:r>
      <w:r w:rsidR="00456B1A">
        <w:t>,</w:t>
      </w:r>
      <w:r w:rsidR="00A57D1E" w:rsidRPr="000772DA">
        <w:t xml:space="preserve"> </w:t>
      </w:r>
      <w:r w:rsidR="008C29BC" w:rsidRPr="000772DA" w:rsidDel="00F83439">
        <w:t xml:space="preserve">and </w:t>
      </w:r>
      <w:r w:rsidR="00A57D1E" w:rsidRPr="000772DA" w:rsidDel="00F83439">
        <w:t xml:space="preserve">existing </w:t>
      </w:r>
      <w:r w:rsidR="00640119" w:rsidRPr="000772DA">
        <w:t xml:space="preserve">ASIC </w:t>
      </w:r>
      <w:r w:rsidR="00A57D1E" w:rsidRPr="000772DA">
        <w:t>guidance</w:t>
      </w:r>
      <w:r w:rsidR="00A57D1E" w:rsidRPr="000772DA" w:rsidDel="00F83439">
        <w:t xml:space="preserve"> </w:t>
      </w:r>
      <w:r w:rsidR="00D90D30">
        <w:t>on</w:t>
      </w:r>
      <w:r w:rsidR="00B72FC0" w:rsidRPr="000772DA">
        <w:t xml:space="preserve"> manag</w:t>
      </w:r>
      <w:r w:rsidR="00D90D30">
        <w:t>ing</w:t>
      </w:r>
      <w:r w:rsidR="00B72FC0" w:rsidRPr="000772DA">
        <w:t xml:space="preserve"> technological and operational risks.</w:t>
      </w:r>
      <w:bookmarkEnd w:id="5"/>
    </w:p>
    <w:p w14:paraId="4341A9E2" w14:textId="7549F1CA" w:rsidR="00A06E90" w:rsidRPr="000B3EEF" w:rsidRDefault="00AC1F1C" w:rsidP="00357304">
      <w:pPr>
        <w:pStyle w:val="RIAH2"/>
        <w:rPr>
          <w:lang w:val="en-GB" w:eastAsia="en-AU"/>
        </w:rPr>
      </w:pPr>
      <w:r w:rsidRPr="00F34730">
        <w:t>Assessment</w:t>
      </w:r>
      <w:r w:rsidRPr="00F34730">
        <w:rPr>
          <w:lang w:val="en-GB" w:eastAsia="en-AU"/>
        </w:rPr>
        <w:t xml:space="preserve"> of regulatory compliance burden</w:t>
      </w:r>
    </w:p>
    <w:p w14:paraId="469F3843" w14:textId="3364B9FB" w:rsidR="00640119" w:rsidRPr="00D7493C" w:rsidRDefault="00640119" w:rsidP="00357304">
      <w:pPr>
        <w:pStyle w:val="BodyText1"/>
        <w:rPr>
          <w:lang w:val="en-GB"/>
        </w:rPr>
      </w:pPr>
      <w:r w:rsidRPr="00D7493C">
        <w:rPr>
          <w:lang w:val="en-GB"/>
        </w:rPr>
        <w:t xml:space="preserve">As part of </w:t>
      </w:r>
      <w:r w:rsidR="00B10FF4">
        <w:rPr>
          <w:lang w:val="en-GB"/>
        </w:rPr>
        <w:t>our</w:t>
      </w:r>
      <w:r w:rsidRPr="00D7493C">
        <w:rPr>
          <w:lang w:val="en-GB"/>
        </w:rPr>
        <w:t xml:space="preserve"> public consultation, </w:t>
      </w:r>
      <w:r w:rsidR="00B10FF4">
        <w:rPr>
          <w:lang w:val="en-GB"/>
        </w:rPr>
        <w:t>we</w:t>
      </w:r>
      <w:r w:rsidRPr="00D7493C">
        <w:rPr>
          <w:lang w:val="en-GB"/>
        </w:rPr>
        <w:t xml:space="preserve"> requested information about </w:t>
      </w:r>
      <w:r w:rsidR="00B10FF4">
        <w:rPr>
          <w:lang w:val="en-GB"/>
        </w:rPr>
        <w:t>how our</w:t>
      </w:r>
      <w:r w:rsidRPr="00D7493C">
        <w:rPr>
          <w:lang w:val="en-GB"/>
        </w:rPr>
        <w:t xml:space="preserve"> proposals</w:t>
      </w:r>
      <w:r w:rsidR="00B10FF4">
        <w:rPr>
          <w:lang w:val="en-GB"/>
        </w:rPr>
        <w:t xml:space="preserve"> would affect respondents,</w:t>
      </w:r>
      <w:r w:rsidRPr="00D7493C">
        <w:rPr>
          <w:lang w:val="en-GB"/>
        </w:rPr>
        <w:t xml:space="preserve"> including the likely compliance costs, the likely effect on competition and other impacts, costs and benefits.</w:t>
      </w:r>
      <w:r w:rsidR="00B10FF4">
        <w:rPr>
          <w:lang w:val="en-GB"/>
        </w:rPr>
        <w:t xml:space="preserve"> We also asked respondents to set out this information for</w:t>
      </w:r>
      <w:r w:rsidR="00B10FF4" w:rsidRPr="00D7493C">
        <w:rPr>
          <w:lang w:val="en-GB"/>
        </w:rPr>
        <w:t xml:space="preserve"> any alternative approaches</w:t>
      </w:r>
      <w:r w:rsidR="00456B1A">
        <w:rPr>
          <w:lang w:val="en-GB"/>
        </w:rPr>
        <w:t xml:space="preserve"> they proposed</w:t>
      </w:r>
      <w:r w:rsidR="00B10FF4">
        <w:rPr>
          <w:lang w:val="en-GB"/>
        </w:rPr>
        <w:t>.</w:t>
      </w:r>
    </w:p>
    <w:p w14:paraId="0207DA71" w14:textId="3F79CDEA" w:rsidR="004B150C" w:rsidRDefault="00B10FF4" w:rsidP="00357304">
      <w:pPr>
        <w:pStyle w:val="BodyText1"/>
        <w:rPr>
          <w:lang w:val="en-GB"/>
        </w:rPr>
      </w:pPr>
      <w:r>
        <w:rPr>
          <w:lang w:val="en-GB"/>
        </w:rPr>
        <w:t>We</w:t>
      </w:r>
      <w:r w:rsidR="00640119">
        <w:rPr>
          <w:lang w:val="en-GB"/>
        </w:rPr>
        <w:t xml:space="preserve"> </w:t>
      </w:r>
      <w:r w:rsidR="00AC1F1C" w:rsidRPr="00F34730">
        <w:rPr>
          <w:lang w:val="en-GB"/>
        </w:rPr>
        <w:t xml:space="preserve">undertook further bilateral consultation with industry associations, market operators and market participants </w:t>
      </w:r>
      <w:r w:rsidR="00D90D30">
        <w:rPr>
          <w:lang w:val="en-GB"/>
        </w:rPr>
        <w:t>that</w:t>
      </w:r>
      <w:r w:rsidR="00D90D30" w:rsidRPr="00F34730">
        <w:rPr>
          <w:lang w:val="en-GB"/>
        </w:rPr>
        <w:t xml:space="preserve"> </w:t>
      </w:r>
      <w:r w:rsidR="00AC1F1C" w:rsidRPr="00F34730">
        <w:rPr>
          <w:lang w:val="en-GB"/>
        </w:rPr>
        <w:t xml:space="preserve">responded to </w:t>
      </w:r>
      <w:hyperlink r:id="rId14" w:history="1">
        <w:r w:rsidR="00AC1F1C" w:rsidRPr="00B524FF">
          <w:rPr>
            <w:rStyle w:val="Hyperlink"/>
            <w:lang w:val="en-GB"/>
          </w:rPr>
          <w:t>CP 314</w:t>
        </w:r>
      </w:hyperlink>
      <w:r w:rsidR="00AC1F1C" w:rsidRPr="00F34730">
        <w:rPr>
          <w:lang w:val="en-GB"/>
        </w:rPr>
        <w:t>.</w:t>
      </w:r>
    </w:p>
    <w:p w14:paraId="58690F68" w14:textId="76D1F0F0" w:rsidR="003C7057" w:rsidRPr="00570B97" w:rsidRDefault="00640119" w:rsidP="00357304">
      <w:pPr>
        <w:pStyle w:val="BodyText1"/>
        <w:rPr>
          <w:lang w:val="en-GB"/>
        </w:rPr>
      </w:pPr>
      <w:r w:rsidRPr="00D7493C">
        <w:rPr>
          <w:lang w:val="en-GB"/>
        </w:rPr>
        <w:t>We have estimated the regulatory compliance burden of Options 1–</w:t>
      </w:r>
      <w:r>
        <w:rPr>
          <w:lang w:val="en-GB"/>
        </w:rPr>
        <w:t>3</w:t>
      </w:r>
      <w:r w:rsidRPr="00D7493C">
        <w:rPr>
          <w:lang w:val="en-GB"/>
        </w:rPr>
        <w:t xml:space="preserve"> under the RBM framework</w:t>
      </w:r>
      <w:r w:rsidR="00B10FF4">
        <w:rPr>
          <w:lang w:val="en-GB"/>
        </w:rPr>
        <w:t>,</w:t>
      </w:r>
      <w:r w:rsidRPr="00D7493C">
        <w:rPr>
          <w:lang w:val="en-GB"/>
        </w:rPr>
        <w:t xml:space="preserve"> using </w:t>
      </w:r>
      <w:r w:rsidR="00B10FF4">
        <w:rPr>
          <w:lang w:val="en-GB"/>
        </w:rPr>
        <w:t xml:space="preserve">the </w:t>
      </w:r>
      <w:r w:rsidRPr="00D7493C">
        <w:rPr>
          <w:lang w:val="en-GB"/>
        </w:rPr>
        <w:t xml:space="preserve">compliance cost estimates </w:t>
      </w:r>
      <w:r w:rsidR="00B10FF4">
        <w:rPr>
          <w:lang w:val="en-GB"/>
        </w:rPr>
        <w:t xml:space="preserve">respondents </w:t>
      </w:r>
      <w:r w:rsidRPr="00D7493C">
        <w:rPr>
          <w:lang w:val="en-GB"/>
        </w:rPr>
        <w:t>provided</w:t>
      </w:r>
      <w:r>
        <w:rPr>
          <w:lang w:val="en-GB"/>
        </w:rPr>
        <w:t xml:space="preserve"> during </w:t>
      </w:r>
      <w:r w:rsidR="00B10FF4">
        <w:rPr>
          <w:lang w:val="en-GB"/>
        </w:rPr>
        <w:t>our</w:t>
      </w:r>
      <w:r>
        <w:rPr>
          <w:lang w:val="en-GB"/>
        </w:rPr>
        <w:t xml:space="preserve"> consultation.</w:t>
      </w:r>
      <w:r w:rsidR="003C7057" w:rsidRPr="00570B97">
        <w:rPr>
          <w:lang w:val="en-GB"/>
        </w:rPr>
        <w:t xml:space="preserve"> </w:t>
      </w:r>
      <w:r w:rsidR="00B10FF4">
        <w:rPr>
          <w:lang w:val="en-GB"/>
        </w:rPr>
        <w:t>We used t</w:t>
      </w:r>
      <w:r w:rsidR="003C7057" w:rsidRPr="00570B97">
        <w:rPr>
          <w:lang w:val="en-GB"/>
        </w:rPr>
        <w:t>he estimated costs as a baseline</w:t>
      </w:r>
      <w:r w:rsidR="00B10FF4">
        <w:rPr>
          <w:lang w:val="en-GB"/>
        </w:rPr>
        <w:t>,</w:t>
      </w:r>
      <w:r w:rsidR="003C7057" w:rsidRPr="00570B97">
        <w:rPr>
          <w:lang w:val="en-GB"/>
        </w:rPr>
        <w:t xml:space="preserve"> to determine</w:t>
      </w:r>
      <w:r w:rsidR="00570B97">
        <w:rPr>
          <w:lang w:val="en-GB"/>
        </w:rPr>
        <w:t xml:space="preserve"> the estimated</w:t>
      </w:r>
      <w:r w:rsidR="003C7057" w:rsidRPr="00570B97">
        <w:rPr>
          <w:lang w:val="en-GB"/>
        </w:rPr>
        <w:t xml:space="preserve"> costs to the entire industry</w:t>
      </w:r>
      <w:r w:rsidR="001C1B78">
        <w:rPr>
          <w:lang w:val="en-GB"/>
        </w:rPr>
        <w:t xml:space="preserve"> (</w:t>
      </w:r>
      <w:r w:rsidR="00AB1A23">
        <w:rPr>
          <w:lang w:val="en-GB"/>
        </w:rPr>
        <w:t xml:space="preserve">a total of </w:t>
      </w:r>
      <w:r w:rsidR="006F0BE8">
        <w:rPr>
          <w:lang w:val="en-GB"/>
        </w:rPr>
        <w:t>91</w:t>
      </w:r>
      <w:r w:rsidR="001C1B78">
        <w:rPr>
          <w:lang w:val="en-GB"/>
        </w:rPr>
        <w:t xml:space="preserve"> market </w:t>
      </w:r>
      <w:r w:rsidR="00BA7768">
        <w:rPr>
          <w:lang w:val="en-GB"/>
        </w:rPr>
        <w:t>participants</w:t>
      </w:r>
      <w:r w:rsidR="00AB1A23">
        <w:rPr>
          <w:lang w:val="en-GB"/>
        </w:rPr>
        <w:t xml:space="preserve"> and</w:t>
      </w:r>
      <w:r w:rsidR="00AB1A23" w:rsidRPr="00AB1A23">
        <w:rPr>
          <w:lang w:val="en-GB"/>
        </w:rPr>
        <w:t xml:space="preserve"> </w:t>
      </w:r>
      <w:r w:rsidR="00AB1A23">
        <w:rPr>
          <w:lang w:val="en-GB"/>
        </w:rPr>
        <w:t>6 market operators</w:t>
      </w:r>
      <w:r w:rsidR="001C1B78">
        <w:rPr>
          <w:lang w:val="en-GB"/>
        </w:rPr>
        <w:t>)</w:t>
      </w:r>
      <w:r w:rsidR="00923C97">
        <w:rPr>
          <w:lang w:val="en-GB"/>
        </w:rPr>
        <w:t xml:space="preserve">. In doing so, we </w:t>
      </w:r>
      <w:bookmarkStart w:id="6" w:name="_Hlk83151284"/>
      <w:r w:rsidR="005970BC">
        <w:rPr>
          <w:lang w:val="en-GB"/>
        </w:rPr>
        <w:t>considered</w:t>
      </w:r>
      <w:r w:rsidR="003C7057" w:rsidRPr="00570B97">
        <w:rPr>
          <w:lang w:val="en-GB"/>
        </w:rPr>
        <w:t xml:space="preserve"> various factors</w:t>
      </w:r>
      <w:r w:rsidR="00B10FF4">
        <w:rPr>
          <w:lang w:val="en-GB"/>
        </w:rPr>
        <w:t>,</w:t>
      </w:r>
      <w:r w:rsidR="003C7057" w:rsidRPr="00570B97">
        <w:rPr>
          <w:lang w:val="en-GB"/>
        </w:rPr>
        <w:t xml:space="preserve"> such as the size of entities and the extent </w:t>
      </w:r>
      <w:bookmarkEnd w:id="6"/>
      <w:r w:rsidR="003C7057" w:rsidRPr="00570B97">
        <w:rPr>
          <w:lang w:val="en-GB"/>
        </w:rPr>
        <w:t xml:space="preserve">to which </w:t>
      </w:r>
      <w:r w:rsidR="00AB1A23">
        <w:rPr>
          <w:lang w:val="en-GB"/>
        </w:rPr>
        <w:t>businesses</w:t>
      </w:r>
      <w:r w:rsidR="003C7057" w:rsidRPr="00570B97">
        <w:rPr>
          <w:lang w:val="en-GB"/>
        </w:rPr>
        <w:t xml:space="preserve"> have advised they are already compliant with the </w:t>
      </w:r>
      <w:r w:rsidR="00B10FF4">
        <w:rPr>
          <w:lang w:val="en-GB"/>
        </w:rPr>
        <w:t>p</w:t>
      </w:r>
      <w:r w:rsidR="003C7057" w:rsidRPr="00570B97">
        <w:rPr>
          <w:lang w:val="en-GB"/>
        </w:rPr>
        <w:t xml:space="preserve">roposed </w:t>
      </w:r>
      <w:r w:rsidR="00B10FF4">
        <w:rPr>
          <w:lang w:val="en-GB"/>
        </w:rPr>
        <w:t>r</w:t>
      </w:r>
      <w:r w:rsidR="003C7057" w:rsidRPr="00570B97">
        <w:rPr>
          <w:lang w:val="en-GB"/>
        </w:rPr>
        <w:t xml:space="preserve">ules. </w:t>
      </w:r>
    </w:p>
    <w:p w14:paraId="0B81175E" w14:textId="0656D252" w:rsidR="003C7057" w:rsidRDefault="003C7057" w:rsidP="00357304">
      <w:pPr>
        <w:pStyle w:val="BodyText1"/>
      </w:pPr>
      <w:r>
        <w:t>F</w:t>
      </w:r>
      <w:r w:rsidRPr="00F34730">
        <w:t>eedback</w:t>
      </w:r>
      <w:r>
        <w:t xml:space="preserve"> received</w:t>
      </w:r>
      <w:r w:rsidRPr="00F34730">
        <w:t xml:space="preserve"> </w:t>
      </w:r>
      <w:r>
        <w:t xml:space="preserve">from industry indicated </w:t>
      </w:r>
      <w:r w:rsidRPr="00F34730">
        <w:t xml:space="preserve">that </w:t>
      </w:r>
      <w:r>
        <w:t>many businesses were</w:t>
      </w:r>
      <w:r w:rsidRPr="00F34730">
        <w:t xml:space="preserve"> already mostly compliant with the obligations </w:t>
      </w:r>
      <w:r w:rsidR="00570B97">
        <w:t xml:space="preserve">that would be </w:t>
      </w:r>
      <w:r w:rsidRPr="00F34730">
        <w:t xml:space="preserve">imposed by the </w:t>
      </w:r>
      <w:r w:rsidR="001817F4">
        <w:t>p</w:t>
      </w:r>
      <w:r>
        <w:t xml:space="preserve">roposed </w:t>
      </w:r>
      <w:r w:rsidR="001817F4">
        <w:t>r</w:t>
      </w:r>
      <w:r>
        <w:t>ules</w:t>
      </w:r>
      <w:r w:rsidRPr="00F34730">
        <w:t xml:space="preserve">. In particular, there </w:t>
      </w:r>
      <w:r w:rsidR="00DA253A">
        <w:t xml:space="preserve">are </w:t>
      </w:r>
      <w:r w:rsidR="00543EB7">
        <w:t>2</w:t>
      </w:r>
      <w:r w:rsidR="007215FB">
        <w:t>1</w:t>
      </w:r>
      <w:r w:rsidRPr="00F34730">
        <w:t xml:space="preserve"> </w:t>
      </w:r>
      <w:r w:rsidR="00643F01">
        <w:t xml:space="preserve">market participants </w:t>
      </w:r>
      <w:r w:rsidR="00FD3057">
        <w:t>(or related bod</w:t>
      </w:r>
      <w:r w:rsidR="00643F01">
        <w:t>ies)</w:t>
      </w:r>
      <w:r w:rsidR="00FD3057">
        <w:t xml:space="preserve"> that</w:t>
      </w:r>
      <w:r w:rsidR="00643F01">
        <w:t xml:space="preserve"> are also </w:t>
      </w:r>
      <w:r w:rsidRPr="00F34730">
        <w:t>regulated</w:t>
      </w:r>
      <w:r w:rsidR="00643F01">
        <w:t xml:space="preserve"> by the </w:t>
      </w:r>
      <w:r w:rsidR="00643F01" w:rsidRPr="00643F01">
        <w:t>Australian Prudential Regulation Authority</w:t>
      </w:r>
      <w:r w:rsidR="00643F01">
        <w:t xml:space="preserve"> (APRA)</w:t>
      </w:r>
      <w:r w:rsidR="00257CB7">
        <w:t xml:space="preserve">. These market participants should </w:t>
      </w:r>
      <w:r w:rsidRPr="00F34730">
        <w:t xml:space="preserve">already </w:t>
      </w:r>
      <w:r w:rsidR="00257CB7">
        <w:t xml:space="preserve">be </w:t>
      </w:r>
      <w:r w:rsidRPr="00F34730">
        <w:t xml:space="preserve">compliant with similar requirements imposed under </w:t>
      </w:r>
      <w:r w:rsidR="001817F4">
        <w:t xml:space="preserve">the </w:t>
      </w:r>
      <w:bookmarkStart w:id="7" w:name="_Hlk84499711"/>
      <w:r w:rsidR="00643F01">
        <w:t xml:space="preserve">APRA </w:t>
      </w:r>
      <w:bookmarkEnd w:id="7"/>
      <w:r w:rsidRPr="00F34730">
        <w:t xml:space="preserve">prudential standards. </w:t>
      </w:r>
    </w:p>
    <w:p w14:paraId="26B41B45" w14:textId="3A9ACB2F" w:rsidR="00A06E90" w:rsidRDefault="00CB3A00" w:rsidP="00357304">
      <w:pPr>
        <w:pStyle w:val="RIAH3"/>
        <w:rPr>
          <w:bCs/>
        </w:rPr>
      </w:pPr>
      <w:r w:rsidRPr="00F34730">
        <w:t>Option 1</w:t>
      </w:r>
      <w:r w:rsidR="00640119">
        <w:t xml:space="preserve">: Implement the </w:t>
      </w:r>
      <w:r w:rsidR="00AA260F">
        <w:t>p</w:t>
      </w:r>
      <w:r w:rsidR="00640119">
        <w:t xml:space="preserve">roposed </w:t>
      </w:r>
      <w:r w:rsidR="00AA260F">
        <w:t>r</w:t>
      </w:r>
      <w:r w:rsidR="00640119">
        <w:t>ules</w:t>
      </w:r>
    </w:p>
    <w:bookmarkStart w:id="8" w:name="_Ref84334566"/>
    <w:p w14:paraId="4ED6E143" w14:textId="1D76EE19" w:rsidR="00316E70" w:rsidRPr="00F34730" w:rsidRDefault="00E7422B" w:rsidP="00316E70">
      <w:pPr>
        <w:pStyle w:val="BodyText1"/>
      </w:pPr>
      <w:r>
        <w:fldChar w:fldCharType="begin"/>
      </w:r>
      <w:r>
        <w:instrText xml:space="preserve"> REF _Ref84426339 \h </w:instrText>
      </w:r>
      <w:r>
        <w:fldChar w:fldCharType="separate"/>
      </w:r>
      <w:r w:rsidR="0052771B">
        <w:t xml:space="preserve">Table </w:t>
      </w:r>
      <w:r w:rsidR="0052771B">
        <w:rPr>
          <w:noProof/>
        </w:rPr>
        <w:t>2</w:t>
      </w:r>
      <w:r>
        <w:fldChar w:fldCharType="end"/>
      </w:r>
      <w:r>
        <w:t xml:space="preserve"> </w:t>
      </w:r>
      <w:r w:rsidR="00316E70" w:rsidRPr="00F34730">
        <w:t xml:space="preserve">sets out the </w:t>
      </w:r>
      <w:r w:rsidR="00316E70" w:rsidRPr="00727742">
        <w:t>regulatory burden estimate for implementing Option 1.</w:t>
      </w:r>
      <w:r w:rsidR="00316E70" w:rsidRPr="00727742" w:rsidDel="009F4BF1">
        <w:t xml:space="preserve"> </w:t>
      </w:r>
      <w:r w:rsidR="00316E70" w:rsidRPr="00727742">
        <w:t xml:space="preserve">It would represent an approximate change in annual regulatory costs of </w:t>
      </w:r>
      <w:r w:rsidR="00316E70" w:rsidRPr="00E47F82">
        <w:t>$</w:t>
      </w:r>
      <w:r w:rsidR="00316E70">
        <w:t>3.</w:t>
      </w:r>
      <w:r w:rsidR="003877DB">
        <w:t>392</w:t>
      </w:r>
      <w:r w:rsidR="00316E70">
        <w:t> </w:t>
      </w:r>
      <w:r w:rsidR="00316E70" w:rsidRPr="00E47F82">
        <w:t>million</w:t>
      </w:r>
      <w:r w:rsidR="00316E70" w:rsidRPr="00727742">
        <w:t xml:space="preserve"> per year</w:t>
      </w:r>
      <w:r w:rsidR="00316E70">
        <w:t>,</w:t>
      </w:r>
      <w:r w:rsidR="00316E70" w:rsidRPr="00727742">
        <w:t xml:space="preserve"> averaged over a </w:t>
      </w:r>
      <w:r w:rsidR="00316E70">
        <w:t>10-</w:t>
      </w:r>
      <w:r w:rsidR="00316E70" w:rsidRPr="00727742">
        <w:t>year period</w:t>
      </w:r>
      <w:r w:rsidR="003877DB">
        <w:t>. This is the estimated cost to the entire industry.</w:t>
      </w:r>
    </w:p>
    <w:p w14:paraId="764F6320" w14:textId="6AF1A93A" w:rsidR="007B3091" w:rsidRPr="00357304" w:rsidRDefault="00357304" w:rsidP="001E2FF4">
      <w:pPr>
        <w:pStyle w:val="Caption"/>
        <w:rPr>
          <w:szCs w:val="22"/>
        </w:rPr>
      </w:pPr>
      <w:bookmarkStart w:id="9" w:name="_Ref84426339"/>
      <w:r>
        <w:t xml:space="preserve">Table </w:t>
      </w:r>
      <w:fldSimple w:instr=" SEQ Table \* ARABIC ">
        <w:r w:rsidR="0052771B">
          <w:rPr>
            <w:noProof/>
          </w:rPr>
          <w:t>2</w:t>
        </w:r>
      </w:fldSimple>
      <w:bookmarkEnd w:id="8"/>
      <w:bookmarkEnd w:id="9"/>
      <w:r w:rsidR="007B3091" w:rsidRPr="00357304">
        <w:t>:</w:t>
      </w:r>
      <w:r w:rsidR="007B3091" w:rsidRPr="00357304">
        <w:tab/>
        <w:t>Annual regulatory costs</w:t>
      </w:r>
      <w:r w:rsidR="00B75B90" w:rsidRPr="00357304">
        <w:t xml:space="preserve"> </w:t>
      </w:r>
      <w:r w:rsidR="009E574C" w:rsidRPr="00357304">
        <w:t>for Option 1</w:t>
      </w:r>
      <w:r w:rsidR="001817F4" w:rsidRPr="00357304">
        <w:t>, averaged over 10 years</w:t>
      </w:r>
    </w:p>
    <w:tbl>
      <w:tblPr>
        <w:tblW w:w="3455" w:type="pct"/>
        <w:tblInd w:w="567"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4536"/>
        <w:gridCol w:w="1701"/>
      </w:tblGrid>
      <w:tr w:rsidR="001817F4" w:rsidRPr="00A06E90" w14:paraId="16C629DF" w14:textId="77777777" w:rsidTr="00696CA9">
        <w:trPr>
          <w:cantSplit/>
        </w:trPr>
        <w:tc>
          <w:tcPr>
            <w:tcW w:w="3636" w:type="pct"/>
            <w:shd w:val="clear" w:color="auto" w:fill="C2E3FF"/>
          </w:tcPr>
          <w:p w14:paraId="67B32818" w14:textId="648EBF85" w:rsidR="001817F4" w:rsidRPr="001C1509" w:rsidRDefault="001817F4" w:rsidP="00696CA9">
            <w:pPr>
              <w:pStyle w:val="tablehead"/>
            </w:pPr>
            <w:r w:rsidRPr="001C1509">
              <w:t>Sector</w:t>
            </w:r>
          </w:p>
        </w:tc>
        <w:tc>
          <w:tcPr>
            <w:tcW w:w="1364" w:type="pct"/>
            <w:shd w:val="clear" w:color="auto" w:fill="C2E3FF"/>
          </w:tcPr>
          <w:p w14:paraId="5F1601C0" w14:textId="53564CCC" w:rsidR="001817F4" w:rsidRPr="00A06E90" w:rsidRDefault="001817F4" w:rsidP="00696CA9">
            <w:pPr>
              <w:pStyle w:val="tablehead"/>
              <w:jc w:val="right"/>
            </w:pPr>
            <w:r>
              <w:t>C</w:t>
            </w:r>
            <w:r w:rsidRPr="0025311B">
              <w:t>hange in cost</w:t>
            </w:r>
            <w:r w:rsidR="00316E70">
              <w:t>s</w:t>
            </w:r>
          </w:p>
        </w:tc>
      </w:tr>
      <w:tr w:rsidR="001817F4" w:rsidRPr="00A06E90" w14:paraId="6AA62D14" w14:textId="77777777" w:rsidTr="00696CA9">
        <w:trPr>
          <w:cantSplit/>
        </w:trPr>
        <w:tc>
          <w:tcPr>
            <w:tcW w:w="3636" w:type="pct"/>
            <w:shd w:val="clear" w:color="auto" w:fill="auto"/>
          </w:tcPr>
          <w:p w14:paraId="4B410669" w14:textId="0363FE6D" w:rsidR="001817F4" w:rsidRPr="00357304" w:rsidRDefault="001817F4" w:rsidP="00B524FF">
            <w:pPr>
              <w:pStyle w:val="tbltext"/>
            </w:pPr>
            <w:r w:rsidRPr="00696CA9">
              <w:t>Business</w:t>
            </w:r>
          </w:p>
        </w:tc>
        <w:tc>
          <w:tcPr>
            <w:tcW w:w="1364" w:type="pct"/>
          </w:tcPr>
          <w:p w14:paraId="189FBF0B" w14:textId="4801AD71" w:rsidR="001817F4" w:rsidRPr="00A06E90" w:rsidRDefault="001817F4" w:rsidP="00696CA9">
            <w:pPr>
              <w:pStyle w:val="tbltext"/>
              <w:jc w:val="right"/>
            </w:pPr>
            <w:r>
              <w:t>$3.</w:t>
            </w:r>
            <w:r w:rsidR="00CB1F7D">
              <w:t>392</w:t>
            </w:r>
            <w:r>
              <w:t xml:space="preserve"> m</w:t>
            </w:r>
          </w:p>
        </w:tc>
      </w:tr>
      <w:tr w:rsidR="001817F4" w:rsidRPr="00A06E90" w14:paraId="48C3D31C" w14:textId="77777777" w:rsidTr="00696CA9">
        <w:trPr>
          <w:cantSplit/>
        </w:trPr>
        <w:tc>
          <w:tcPr>
            <w:tcW w:w="3636" w:type="pct"/>
            <w:shd w:val="clear" w:color="auto" w:fill="auto"/>
          </w:tcPr>
          <w:p w14:paraId="1AA7D7AB" w14:textId="45FF8F04" w:rsidR="001817F4" w:rsidRPr="00696CA9" w:rsidDel="001817F4" w:rsidRDefault="001817F4" w:rsidP="00B524FF">
            <w:pPr>
              <w:pStyle w:val="tbltext"/>
            </w:pPr>
            <w:r w:rsidRPr="002516A5">
              <w:t>Community organisations</w:t>
            </w:r>
          </w:p>
        </w:tc>
        <w:tc>
          <w:tcPr>
            <w:tcW w:w="1364" w:type="pct"/>
          </w:tcPr>
          <w:p w14:paraId="34096B73" w14:textId="7FACA249" w:rsidR="001817F4" w:rsidRDefault="001817F4" w:rsidP="00696CA9">
            <w:pPr>
              <w:pStyle w:val="tbltext"/>
              <w:jc w:val="right"/>
            </w:pPr>
            <w:r>
              <w:t>$</w:t>
            </w:r>
            <w:r w:rsidRPr="00A06E90">
              <w:t>0</w:t>
            </w:r>
          </w:p>
        </w:tc>
      </w:tr>
      <w:tr w:rsidR="001817F4" w:rsidRPr="00A06E90" w14:paraId="696EE3A3" w14:textId="77777777" w:rsidTr="00696CA9">
        <w:trPr>
          <w:cantSplit/>
        </w:trPr>
        <w:tc>
          <w:tcPr>
            <w:tcW w:w="3636" w:type="pct"/>
            <w:shd w:val="clear" w:color="auto" w:fill="auto"/>
          </w:tcPr>
          <w:p w14:paraId="36CA8E9D" w14:textId="2751CF6A" w:rsidR="001817F4" w:rsidRPr="00696CA9" w:rsidDel="001817F4" w:rsidRDefault="001817F4" w:rsidP="00B524FF">
            <w:pPr>
              <w:pStyle w:val="tbltext"/>
            </w:pPr>
            <w:r w:rsidRPr="002516A5">
              <w:t>Individuals</w:t>
            </w:r>
          </w:p>
        </w:tc>
        <w:tc>
          <w:tcPr>
            <w:tcW w:w="1364" w:type="pct"/>
          </w:tcPr>
          <w:p w14:paraId="13CDFF6B" w14:textId="1CDABCCA" w:rsidR="001817F4" w:rsidRDefault="001817F4" w:rsidP="00696CA9">
            <w:pPr>
              <w:pStyle w:val="tbltext"/>
              <w:jc w:val="right"/>
            </w:pPr>
            <w:r>
              <w:t>$</w:t>
            </w:r>
            <w:r w:rsidRPr="00A06E90">
              <w:t>0</w:t>
            </w:r>
          </w:p>
        </w:tc>
      </w:tr>
      <w:tr w:rsidR="001817F4" w:rsidRPr="00A06E90" w14:paraId="579F453E" w14:textId="77777777" w:rsidTr="00696CA9">
        <w:trPr>
          <w:cantSplit/>
        </w:trPr>
        <w:tc>
          <w:tcPr>
            <w:tcW w:w="3636" w:type="pct"/>
            <w:shd w:val="clear" w:color="auto" w:fill="auto"/>
          </w:tcPr>
          <w:p w14:paraId="0B84D692" w14:textId="14303CB5" w:rsidR="001817F4" w:rsidRPr="00696CA9" w:rsidRDefault="001817F4" w:rsidP="00B524FF">
            <w:pPr>
              <w:pStyle w:val="tbltext"/>
              <w:rPr>
                <w:b/>
                <w:bCs/>
              </w:rPr>
            </w:pPr>
            <w:r w:rsidRPr="00696CA9">
              <w:rPr>
                <w:b/>
                <w:bCs/>
              </w:rPr>
              <w:t>Total change in costs</w:t>
            </w:r>
          </w:p>
        </w:tc>
        <w:tc>
          <w:tcPr>
            <w:tcW w:w="1364" w:type="pct"/>
          </w:tcPr>
          <w:p w14:paraId="02285A89" w14:textId="7B57B490" w:rsidR="001817F4" w:rsidRPr="00696CA9" w:rsidRDefault="001817F4" w:rsidP="00696CA9">
            <w:pPr>
              <w:pStyle w:val="tbltext"/>
              <w:jc w:val="right"/>
              <w:rPr>
                <w:b/>
                <w:bCs/>
              </w:rPr>
            </w:pPr>
            <w:r w:rsidRPr="00696CA9">
              <w:rPr>
                <w:b/>
                <w:bCs/>
              </w:rPr>
              <w:t>$3.</w:t>
            </w:r>
            <w:r w:rsidR="00CB1F7D">
              <w:rPr>
                <w:b/>
                <w:bCs/>
              </w:rPr>
              <w:t>392</w:t>
            </w:r>
            <w:r w:rsidRPr="00696CA9">
              <w:rPr>
                <w:b/>
                <w:bCs/>
              </w:rPr>
              <w:t xml:space="preserve"> m</w:t>
            </w:r>
          </w:p>
        </w:tc>
      </w:tr>
    </w:tbl>
    <w:p w14:paraId="7907FD26" w14:textId="29DC3516" w:rsidR="00A4120F" w:rsidRPr="00E85F63" w:rsidRDefault="001817F4" w:rsidP="00357304">
      <w:pPr>
        <w:pStyle w:val="BodyText1"/>
      </w:pPr>
      <w:bookmarkStart w:id="10" w:name="_Ref84326862"/>
      <w:r>
        <w:lastRenderedPageBreak/>
        <w:t>We</w:t>
      </w:r>
      <w:r w:rsidR="008E7C78" w:rsidRPr="00F34730">
        <w:t xml:space="preserve"> expect costs in the first year to be </w:t>
      </w:r>
      <w:r w:rsidR="008D11F5">
        <w:t>the highest</w:t>
      </w:r>
      <w:r>
        <w:t>,</w:t>
      </w:r>
      <w:r w:rsidR="00E85F63">
        <w:t xml:space="preserve"> due to one-off implementation costs</w:t>
      </w:r>
      <w:r>
        <w:t>.</w:t>
      </w:r>
      <w:r w:rsidR="008D11F5">
        <w:t xml:space="preserve"> </w:t>
      </w:r>
      <w:r>
        <w:t>For example, this</w:t>
      </w:r>
      <w:r w:rsidR="00E85F63">
        <w:t xml:space="preserve"> </w:t>
      </w:r>
      <w:r w:rsidR="00600AFD">
        <w:t>could</w:t>
      </w:r>
      <w:r w:rsidR="00E85F63">
        <w:t xml:space="preserve"> include</w:t>
      </w:r>
      <w:r w:rsidR="00600AFD" w:rsidRPr="00600AFD">
        <w:t xml:space="preserve"> </w:t>
      </w:r>
      <w:r w:rsidR="00600AFD">
        <w:t>o</w:t>
      </w:r>
      <w:r w:rsidR="00600AFD" w:rsidRPr="00F34730">
        <w:t xml:space="preserve">nboarding </w:t>
      </w:r>
      <w:r w:rsidR="00600AFD">
        <w:t>of additional</w:t>
      </w:r>
      <w:r w:rsidR="00600AFD" w:rsidRPr="00F34730">
        <w:t xml:space="preserve"> staff </w:t>
      </w:r>
      <w:r w:rsidR="00600AFD">
        <w:t>to</w:t>
      </w:r>
      <w:r w:rsidR="00307411" w:rsidRPr="00E85F63">
        <w:t>:</w:t>
      </w:r>
      <w:bookmarkEnd w:id="10"/>
    </w:p>
    <w:p w14:paraId="73F5776D" w14:textId="3CEAAD1F" w:rsidR="008C7C32" w:rsidRPr="00357304" w:rsidRDefault="008C7C32" w:rsidP="00357304">
      <w:pPr>
        <w:pStyle w:val="subpara"/>
      </w:pPr>
      <w:r w:rsidRPr="008C7C32">
        <w:t>review existing arrangements to determine whether any add</w:t>
      </w:r>
      <w:r w:rsidRPr="00357304">
        <w:t xml:space="preserve">itional arrangements </w:t>
      </w:r>
      <w:r w:rsidR="00DA253A" w:rsidRPr="00357304">
        <w:t>are needed</w:t>
      </w:r>
      <w:r w:rsidRPr="00357304">
        <w:t xml:space="preserve"> to ensure compliance with the </w:t>
      </w:r>
      <w:r w:rsidR="001817F4">
        <w:t>p</w:t>
      </w:r>
      <w:r w:rsidRPr="00357304">
        <w:t xml:space="preserve">roposed </w:t>
      </w:r>
      <w:r w:rsidR="001817F4">
        <w:t>r</w:t>
      </w:r>
      <w:r w:rsidRPr="00357304">
        <w:t>ules</w:t>
      </w:r>
    </w:p>
    <w:p w14:paraId="2424E9D7" w14:textId="4FA74E43" w:rsidR="00255C94" w:rsidRPr="00357304" w:rsidRDefault="00255C94" w:rsidP="00357304">
      <w:pPr>
        <w:pStyle w:val="subpara"/>
      </w:pPr>
      <w:r w:rsidRPr="00357304">
        <w:t xml:space="preserve">implement </w:t>
      </w:r>
      <w:r w:rsidR="007138DD" w:rsidRPr="00357304">
        <w:t>any</w:t>
      </w:r>
      <w:r w:rsidRPr="00357304">
        <w:t xml:space="preserve"> required changes</w:t>
      </w:r>
      <w:r w:rsidR="00A4120F" w:rsidRPr="00357304">
        <w:t xml:space="preserve"> to </w:t>
      </w:r>
      <w:r w:rsidR="00527913" w:rsidRPr="00357304">
        <w:t xml:space="preserve">ensure compliance with the </w:t>
      </w:r>
      <w:r w:rsidR="001817F4">
        <w:t>p</w:t>
      </w:r>
      <w:r w:rsidR="00527913" w:rsidRPr="00357304">
        <w:t xml:space="preserve">roposed </w:t>
      </w:r>
      <w:r w:rsidR="001817F4">
        <w:t>r</w:t>
      </w:r>
      <w:r w:rsidR="00527913" w:rsidRPr="00357304">
        <w:t>ules</w:t>
      </w:r>
    </w:p>
    <w:p w14:paraId="0AEDAEFC" w14:textId="60723E60" w:rsidR="00C95BAD" w:rsidRPr="00357304" w:rsidRDefault="006B6C40" w:rsidP="00357304">
      <w:pPr>
        <w:pStyle w:val="subpara"/>
      </w:pPr>
      <w:r w:rsidRPr="00357304">
        <w:t>n</w:t>
      </w:r>
      <w:r w:rsidR="00C95BAD" w:rsidRPr="00357304">
        <w:t>egotiat</w:t>
      </w:r>
      <w:r w:rsidR="00600AFD" w:rsidRPr="00357304">
        <w:t>e</w:t>
      </w:r>
      <w:r w:rsidR="00C95BAD" w:rsidRPr="00357304">
        <w:t xml:space="preserve"> new contract</w:t>
      </w:r>
      <w:r w:rsidR="00DA253A" w:rsidRPr="00357304">
        <w:t>s</w:t>
      </w:r>
      <w:r w:rsidR="00C95BAD" w:rsidRPr="00357304">
        <w:t xml:space="preserve"> </w:t>
      </w:r>
      <w:r w:rsidR="00DA253A" w:rsidRPr="00357304">
        <w:t xml:space="preserve">relating to </w:t>
      </w:r>
      <w:r w:rsidR="00C95BAD" w:rsidRPr="00357304">
        <w:t>outsourcing</w:t>
      </w:r>
      <w:r w:rsidR="00DA253A" w:rsidRPr="00357304">
        <w:t xml:space="preserve"> arrangements</w:t>
      </w:r>
      <w:r w:rsidR="00C95BAD" w:rsidRPr="00357304">
        <w:t xml:space="preserve"> </w:t>
      </w:r>
    </w:p>
    <w:p w14:paraId="61F2F40C" w14:textId="3A585AE0" w:rsidR="00A4120F" w:rsidRPr="00255C94" w:rsidRDefault="006B6C40" w:rsidP="00357304">
      <w:pPr>
        <w:pStyle w:val="subpara"/>
      </w:pPr>
      <w:r w:rsidRPr="00357304">
        <w:t>u</w:t>
      </w:r>
      <w:r w:rsidR="00255C94" w:rsidRPr="00357304">
        <w:t>pdat</w:t>
      </w:r>
      <w:r w:rsidR="00600AFD" w:rsidRPr="00357304">
        <w:t>e</w:t>
      </w:r>
      <w:r w:rsidR="00255C94" w:rsidRPr="00357304">
        <w:t xml:space="preserve"> </w:t>
      </w:r>
      <w:r w:rsidR="00DA253A">
        <w:t>relevant</w:t>
      </w:r>
      <w:r w:rsidR="00255C94">
        <w:t xml:space="preserve"> polic</w:t>
      </w:r>
      <w:r w:rsidR="00DA253A">
        <w:t>ies</w:t>
      </w:r>
      <w:r w:rsidR="00255C94">
        <w:t xml:space="preserve"> and procedures</w:t>
      </w:r>
      <w:r w:rsidR="00C95BAD">
        <w:t>.</w:t>
      </w:r>
    </w:p>
    <w:p w14:paraId="49B0426D" w14:textId="72ED6CEA" w:rsidR="00A4120F" w:rsidRPr="00F34730" w:rsidRDefault="00E85F63" w:rsidP="00357304">
      <w:pPr>
        <w:pStyle w:val="BodyText1"/>
      </w:pPr>
      <w:bookmarkStart w:id="11" w:name="_Ref84326866"/>
      <w:r>
        <w:t>We expect these costs to</w:t>
      </w:r>
      <w:r w:rsidRPr="00F34730">
        <w:t xml:space="preserve"> taper off as entities embed the</w:t>
      </w:r>
      <w:r w:rsidR="006B6C40">
        <w:t xml:space="preserve"> obligations under the</w:t>
      </w:r>
      <w:r w:rsidRPr="00F34730">
        <w:t xml:space="preserve"> </w:t>
      </w:r>
      <w:r w:rsidR="001817F4">
        <w:t>p</w:t>
      </w:r>
      <w:r w:rsidR="006B6C40">
        <w:t xml:space="preserve">roposed </w:t>
      </w:r>
      <w:r w:rsidR="001817F4">
        <w:t>r</w:t>
      </w:r>
      <w:r w:rsidR="006B6C40">
        <w:t xml:space="preserve">ules </w:t>
      </w:r>
      <w:r w:rsidRPr="00F34730">
        <w:t>into their business</w:t>
      </w:r>
      <w:r>
        <w:t>. However, we recognise</w:t>
      </w:r>
      <w:r w:rsidR="00307411">
        <w:t xml:space="preserve"> </w:t>
      </w:r>
      <w:r w:rsidR="00600AFD">
        <w:t>some</w:t>
      </w:r>
      <w:r w:rsidR="00307411" w:rsidRPr="00F34730">
        <w:t xml:space="preserve"> </w:t>
      </w:r>
      <w:r>
        <w:t>business</w:t>
      </w:r>
      <w:r w:rsidR="00600AFD">
        <w:t>es</w:t>
      </w:r>
      <w:r w:rsidR="00307411" w:rsidRPr="00F34730">
        <w:t xml:space="preserve"> </w:t>
      </w:r>
      <w:r w:rsidR="006B6C40">
        <w:t>may</w:t>
      </w:r>
      <w:r w:rsidR="00307411" w:rsidRPr="00F34730">
        <w:t xml:space="preserve"> incur </w:t>
      </w:r>
      <w:r w:rsidR="00600AFD">
        <w:t xml:space="preserve">some small </w:t>
      </w:r>
      <w:r w:rsidR="00307411" w:rsidRPr="00F34730">
        <w:t xml:space="preserve">ongoing </w:t>
      </w:r>
      <w:r>
        <w:t>compliance costs</w:t>
      </w:r>
      <w:r w:rsidR="001817F4">
        <w:t>.</w:t>
      </w:r>
      <w:r>
        <w:t xml:space="preserve"> </w:t>
      </w:r>
      <w:r w:rsidR="001817F4">
        <w:t>For example, these</w:t>
      </w:r>
      <w:r w:rsidR="00307411" w:rsidRPr="00F34730">
        <w:t xml:space="preserve"> may </w:t>
      </w:r>
      <w:r>
        <w:t>include</w:t>
      </w:r>
      <w:r w:rsidR="00307411" w:rsidRPr="00F34730">
        <w:t>:</w:t>
      </w:r>
      <w:bookmarkEnd w:id="11"/>
    </w:p>
    <w:p w14:paraId="2B4355CB" w14:textId="4F04B172" w:rsidR="00A4120F" w:rsidRPr="00357304" w:rsidRDefault="006B6C40" w:rsidP="00357304">
      <w:pPr>
        <w:pStyle w:val="subpara"/>
      </w:pPr>
      <w:r>
        <w:t>m</w:t>
      </w:r>
      <w:r w:rsidR="00307411" w:rsidRPr="00357304">
        <w:t>aintenance costs</w:t>
      </w:r>
      <w:r w:rsidR="001817F4">
        <w:t>,</w:t>
      </w:r>
      <w:r w:rsidR="00307411" w:rsidRPr="00357304">
        <w:t xml:space="preserve"> such as ongoing monitoring of </w:t>
      </w:r>
      <w:r w:rsidR="00527913" w:rsidRPr="00357304">
        <w:t xml:space="preserve">compliance with the </w:t>
      </w:r>
      <w:r w:rsidR="001817F4">
        <w:t>p</w:t>
      </w:r>
      <w:r w:rsidR="00527913" w:rsidRPr="00357304">
        <w:t xml:space="preserve">roposed </w:t>
      </w:r>
      <w:r w:rsidR="001817F4">
        <w:t>r</w:t>
      </w:r>
      <w:r w:rsidR="00527913" w:rsidRPr="00357304">
        <w:t>ules</w:t>
      </w:r>
      <w:r w:rsidR="009F1BE7" w:rsidRPr="00357304">
        <w:t xml:space="preserve"> and detecting any breaches (as well as notifying ASIC where required)</w:t>
      </w:r>
    </w:p>
    <w:p w14:paraId="5E2A7F33" w14:textId="021844CD" w:rsidR="00307411" w:rsidRPr="00357304" w:rsidRDefault="006B6C40" w:rsidP="00357304">
      <w:pPr>
        <w:pStyle w:val="subpara"/>
      </w:pPr>
      <w:r w:rsidRPr="00357304">
        <w:t>r</w:t>
      </w:r>
      <w:r w:rsidR="009F1BE7" w:rsidRPr="00357304">
        <w:t xml:space="preserve">eviewing and testing </w:t>
      </w:r>
      <w:r w:rsidR="00307411" w:rsidRPr="00357304">
        <w:t>business continuity plans</w:t>
      </w:r>
      <w:r w:rsidR="009F1BE7" w:rsidRPr="00357304">
        <w:t>, arrangements</w:t>
      </w:r>
      <w:r w:rsidR="00307411" w:rsidRPr="00357304">
        <w:t xml:space="preserve"> and other system capabilities</w:t>
      </w:r>
      <w:r w:rsidR="001817F4">
        <w:t>,</w:t>
      </w:r>
      <w:r w:rsidR="009F1BE7" w:rsidRPr="00357304">
        <w:t xml:space="preserve"> and </w:t>
      </w:r>
      <w:r w:rsidR="00DA253A" w:rsidRPr="00357304">
        <w:t xml:space="preserve">ascertaining </w:t>
      </w:r>
      <w:r w:rsidR="009F1BE7" w:rsidRPr="00357304">
        <w:t xml:space="preserve">any </w:t>
      </w:r>
      <w:r w:rsidR="00DA253A" w:rsidRPr="00357304">
        <w:t xml:space="preserve">required </w:t>
      </w:r>
      <w:r w:rsidR="009F1BE7" w:rsidRPr="00357304">
        <w:t>enhancements</w:t>
      </w:r>
    </w:p>
    <w:p w14:paraId="0086E92C" w14:textId="615DAAAD" w:rsidR="00C95BAD" w:rsidRPr="00357304" w:rsidRDefault="006B6C40" w:rsidP="00357304">
      <w:pPr>
        <w:pStyle w:val="subpara"/>
      </w:pPr>
      <w:r w:rsidRPr="00357304">
        <w:t>o</w:t>
      </w:r>
      <w:r w:rsidR="00307411" w:rsidRPr="00357304">
        <w:t>ngoing compliance costs</w:t>
      </w:r>
      <w:r w:rsidR="001817F4">
        <w:t>,</w:t>
      </w:r>
      <w:r w:rsidR="00307411" w:rsidRPr="00357304">
        <w:t xml:space="preserve"> such as regular internal training provided to staff. </w:t>
      </w:r>
    </w:p>
    <w:p w14:paraId="5397201B" w14:textId="78140C8A" w:rsidR="006B6C40" w:rsidRDefault="00CA6A9A" w:rsidP="00357304">
      <w:pPr>
        <w:pStyle w:val="BodyText1"/>
      </w:pPr>
      <w:r w:rsidRPr="000772DA">
        <w:t xml:space="preserve">It is </w:t>
      </w:r>
      <w:r w:rsidR="001817F4">
        <w:t>our</w:t>
      </w:r>
      <w:r w:rsidR="001817F4" w:rsidRPr="000772DA">
        <w:t xml:space="preserve"> </w:t>
      </w:r>
      <w:r w:rsidRPr="000772DA">
        <w:t xml:space="preserve">view that the regulatory benefits of implementing Option 1 outweigh the </w:t>
      </w:r>
      <w:r>
        <w:t xml:space="preserve">estimated regulatory </w:t>
      </w:r>
      <w:r w:rsidRPr="000772DA">
        <w:t xml:space="preserve">costs to </w:t>
      </w:r>
      <w:r>
        <w:t>i</w:t>
      </w:r>
      <w:r w:rsidRPr="000772DA">
        <w:t xml:space="preserve">ndustry. </w:t>
      </w:r>
    </w:p>
    <w:p w14:paraId="69D17E23" w14:textId="0955C862" w:rsidR="003C1AED" w:rsidRDefault="00CB3A00" w:rsidP="00357304">
      <w:pPr>
        <w:pStyle w:val="RIAH3"/>
        <w:rPr>
          <w:bCs/>
        </w:rPr>
      </w:pPr>
      <w:r w:rsidRPr="00F34730">
        <w:t>Option 2: Strengthen</w:t>
      </w:r>
      <w:r w:rsidR="006B6C40">
        <w:t xml:space="preserve"> existing</w:t>
      </w:r>
      <w:r w:rsidRPr="00F34730">
        <w:t xml:space="preserve"> regulatory guidance </w:t>
      </w:r>
    </w:p>
    <w:bookmarkStart w:id="12" w:name="_Ref84334573"/>
    <w:p w14:paraId="10854714" w14:textId="665AF11A" w:rsidR="003877DB" w:rsidRPr="00F34730" w:rsidRDefault="00AD7D99" w:rsidP="003877DB">
      <w:pPr>
        <w:pStyle w:val="BodyText1"/>
      </w:pPr>
      <w:r>
        <w:fldChar w:fldCharType="begin"/>
      </w:r>
      <w:r>
        <w:instrText xml:space="preserve"> REF _Ref84426516 \h </w:instrText>
      </w:r>
      <w:r>
        <w:fldChar w:fldCharType="separate"/>
      </w:r>
      <w:r w:rsidR="0052771B">
        <w:t xml:space="preserve">Table </w:t>
      </w:r>
      <w:r w:rsidR="0052771B">
        <w:rPr>
          <w:noProof/>
        </w:rPr>
        <w:t>3</w:t>
      </w:r>
      <w:r>
        <w:fldChar w:fldCharType="end"/>
      </w:r>
      <w:r w:rsidR="00316E70" w:rsidRPr="00F34730">
        <w:t xml:space="preserve"> sets out the regulatory burden estimate</w:t>
      </w:r>
      <w:r w:rsidR="00316E70">
        <w:t xml:space="preserve"> if ASIC were </w:t>
      </w:r>
      <w:r w:rsidR="00316E70" w:rsidRPr="00F34730">
        <w:t xml:space="preserve">to </w:t>
      </w:r>
      <w:r w:rsidR="00316E70">
        <w:t xml:space="preserve">implement Option 2. </w:t>
      </w:r>
      <w:r w:rsidR="00316E70" w:rsidRPr="00F34730">
        <w:t xml:space="preserve">It would represent an approximate change in annual regulatory costs </w:t>
      </w:r>
      <w:r w:rsidR="00316E70" w:rsidRPr="00727742">
        <w:t>of $</w:t>
      </w:r>
      <w:r w:rsidR="00316E70" w:rsidRPr="00E47F82">
        <w:t>0.</w:t>
      </w:r>
      <w:r w:rsidR="00316E70">
        <w:t>7</w:t>
      </w:r>
      <w:r w:rsidR="00BC1FAC">
        <w:t>1</w:t>
      </w:r>
      <w:r w:rsidR="00316E70">
        <w:t>4</w:t>
      </w:r>
      <w:r w:rsidR="00316E70" w:rsidRPr="00E47F82">
        <w:t xml:space="preserve"> million</w:t>
      </w:r>
      <w:r w:rsidR="00316E70" w:rsidRPr="00F34730">
        <w:t xml:space="preserve"> per year</w:t>
      </w:r>
      <w:r w:rsidR="00316E70">
        <w:t>,</w:t>
      </w:r>
      <w:r w:rsidR="00316E70" w:rsidRPr="00F34730">
        <w:t xml:space="preserve"> averaged over a </w:t>
      </w:r>
      <w:r w:rsidR="00316E70">
        <w:t>10-</w:t>
      </w:r>
      <w:r w:rsidR="00316E70" w:rsidRPr="00F34730">
        <w:t>year period</w:t>
      </w:r>
      <w:r w:rsidR="003877DB">
        <w:t>. This is the estimated cost to the entire industry.</w:t>
      </w:r>
    </w:p>
    <w:p w14:paraId="02DE21F3" w14:textId="1F318B4C" w:rsidR="007B3091" w:rsidRPr="003C1AED" w:rsidRDefault="00357304" w:rsidP="001E2FF4">
      <w:pPr>
        <w:pStyle w:val="Caption"/>
        <w:rPr>
          <w:szCs w:val="22"/>
        </w:rPr>
      </w:pPr>
      <w:bookmarkStart w:id="13" w:name="_Ref84426516"/>
      <w:r>
        <w:t xml:space="preserve">Table </w:t>
      </w:r>
      <w:fldSimple w:instr=" SEQ Table \* ARABIC ">
        <w:r w:rsidR="0052771B">
          <w:rPr>
            <w:noProof/>
          </w:rPr>
          <w:t>3</w:t>
        </w:r>
      </w:fldSimple>
      <w:bookmarkEnd w:id="12"/>
      <w:bookmarkEnd w:id="13"/>
      <w:r w:rsidR="007B3091" w:rsidRPr="003C1AED">
        <w:t>:</w:t>
      </w:r>
      <w:r w:rsidR="007B3091" w:rsidRPr="003C1AED">
        <w:tab/>
        <w:t>Annual regulatory costs</w:t>
      </w:r>
      <w:r w:rsidR="009E574C">
        <w:t xml:space="preserve"> for Option 2</w:t>
      </w:r>
      <w:r w:rsidR="002516A5">
        <w:t>, averaged over 10 years</w:t>
      </w:r>
    </w:p>
    <w:tbl>
      <w:tblPr>
        <w:tblW w:w="3455" w:type="pct"/>
        <w:tblInd w:w="567"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4536"/>
        <w:gridCol w:w="1701"/>
      </w:tblGrid>
      <w:tr w:rsidR="002516A5" w:rsidRPr="00A06E90" w14:paraId="72D8AF00" w14:textId="77777777" w:rsidTr="00696CA9">
        <w:trPr>
          <w:cantSplit/>
        </w:trPr>
        <w:tc>
          <w:tcPr>
            <w:tcW w:w="3636" w:type="pct"/>
            <w:shd w:val="clear" w:color="auto" w:fill="C2E3FF"/>
          </w:tcPr>
          <w:p w14:paraId="26C3CDFD" w14:textId="77777777" w:rsidR="002516A5" w:rsidRPr="0025311B" w:rsidRDefault="002516A5" w:rsidP="00696CA9">
            <w:pPr>
              <w:pStyle w:val="tablehead"/>
            </w:pPr>
            <w:r>
              <w:t>Sector</w:t>
            </w:r>
          </w:p>
        </w:tc>
        <w:tc>
          <w:tcPr>
            <w:tcW w:w="1364" w:type="pct"/>
            <w:shd w:val="clear" w:color="auto" w:fill="C2E3FF"/>
          </w:tcPr>
          <w:p w14:paraId="40C22380" w14:textId="7052814A" w:rsidR="002516A5" w:rsidRPr="00A06E90" w:rsidRDefault="002516A5" w:rsidP="00696CA9">
            <w:pPr>
              <w:pStyle w:val="tablehead"/>
              <w:jc w:val="right"/>
            </w:pPr>
            <w:r>
              <w:t>C</w:t>
            </w:r>
            <w:r w:rsidRPr="0025311B">
              <w:t>hange in cost</w:t>
            </w:r>
            <w:r>
              <w:t>s</w:t>
            </w:r>
          </w:p>
        </w:tc>
      </w:tr>
      <w:tr w:rsidR="002516A5" w:rsidRPr="00A06E90" w14:paraId="639DA42B" w14:textId="77777777" w:rsidTr="00696CA9">
        <w:trPr>
          <w:cantSplit/>
        </w:trPr>
        <w:tc>
          <w:tcPr>
            <w:tcW w:w="3636" w:type="pct"/>
            <w:shd w:val="clear" w:color="auto" w:fill="auto"/>
          </w:tcPr>
          <w:p w14:paraId="7DBE9A78" w14:textId="77777777" w:rsidR="002516A5" w:rsidRPr="0025311B" w:rsidRDefault="002516A5" w:rsidP="00B524FF">
            <w:pPr>
              <w:pStyle w:val="tbltext"/>
            </w:pPr>
            <w:r w:rsidRPr="0025311B">
              <w:t>Business</w:t>
            </w:r>
          </w:p>
        </w:tc>
        <w:tc>
          <w:tcPr>
            <w:tcW w:w="1364" w:type="pct"/>
          </w:tcPr>
          <w:p w14:paraId="1438D705" w14:textId="056E821C" w:rsidR="002516A5" w:rsidRPr="00A06E90" w:rsidRDefault="002516A5" w:rsidP="00696CA9">
            <w:pPr>
              <w:pStyle w:val="tbltext"/>
              <w:jc w:val="right"/>
            </w:pPr>
            <w:r>
              <w:t>$</w:t>
            </w:r>
            <w:r w:rsidRPr="00E47F82">
              <w:t>0.</w:t>
            </w:r>
            <w:r>
              <w:t>7</w:t>
            </w:r>
            <w:r w:rsidR="00BC1FAC">
              <w:t>1</w:t>
            </w:r>
            <w:r>
              <w:t>4 m</w:t>
            </w:r>
          </w:p>
        </w:tc>
      </w:tr>
      <w:tr w:rsidR="002516A5" w:rsidRPr="00A06E90" w14:paraId="6E481645" w14:textId="77777777" w:rsidTr="00696CA9">
        <w:trPr>
          <w:cantSplit/>
        </w:trPr>
        <w:tc>
          <w:tcPr>
            <w:tcW w:w="3636" w:type="pct"/>
            <w:shd w:val="clear" w:color="auto" w:fill="auto"/>
          </w:tcPr>
          <w:p w14:paraId="31AFFF28" w14:textId="77777777" w:rsidR="002516A5" w:rsidRPr="0025311B" w:rsidDel="001817F4" w:rsidRDefault="002516A5" w:rsidP="00B524FF">
            <w:pPr>
              <w:pStyle w:val="tbltext"/>
            </w:pPr>
            <w:r w:rsidRPr="0025311B">
              <w:t>Community organisations</w:t>
            </w:r>
          </w:p>
        </w:tc>
        <w:tc>
          <w:tcPr>
            <w:tcW w:w="1364" w:type="pct"/>
          </w:tcPr>
          <w:p w14:paraId="47DC6CD6" w14:textId="77777777" w:rsidR="002516A5" w:rsidRDefault="002516A5" w:rsidP="00696CA9">
            <w:pPr>
              <w:pStyle w:val="tbltext"/>
              <w:jc w:val="right"/>
            </w:pPr>
            <w:r>
              <w:t>$</w:t>
            </w:r>
            <w:r w:rsidRPr="00A06E90">
              <w:t>0</w:t>
            </w:r>
          </w:p>
        </w:tc>
      </w:tr>
      <w:tr w:rsidR="002516A5" w:rsidRPr="00A06E90" w14:paraId="7E77EA8A" w14:textId="77777777" w:rsidTr="00696CA9">
        <w:trPr>
          <w:cantSplit/>
        </w:trPr>
        <w:tc>
          <w:tcPr>
            <w:tcW w:w="3636" w:type="pct"/>
            <w:shd w:val="clear" w:color="auto" w:fill="auto"/>
          </w:tcPr>
          <w:p w14:paraId="5E8B4EAC" w14:textId="77777777" w:rsidR="002516A5" w:rsidRPr="0025311B" w:rsidDel="001817F4" w:rsidRDefault="002516A5" w:rsidP="00B524FF">
            <w:pPr>
              <w:pStyle w:val="tbltext"/>
            </w:pPr>
            <w:r w:rsidRPr="0025311B">
              <w:t>Individuals</w:t>
            </w:r>
          </w:p>
        </w:tc>
        <w:tc>
          <w:tcPr>
            <w:tcW w:w="1364" w:type="pct"/>
          </w:tcPr>
          <w:p w14:paraId="21561532" w14:textId="77777777" w:rsidR="002516A5" w:rsidRDefault="002516A5" w:rsidP="00696CA9">
            <w:pPr>
              <w:pStyle w:val="tbltext"/>
              <w:jc w:val="right"/>
            </w:pPr>
            <w:r>
              <w:t>$</w:t>
            </w:r>
            <w:r w:rsidRPr="00A06E90">
              <w:t>0</w:t>
            </w:r>
          </w:p>
        </w:tc>
      </w:tr>
      <w:tr w:rsidR="002516A5" w:rsidRPr="00A06E90" w14:paraId="545B495B" w14:textId="77777777" w:rsidTr="00696CA9">
        <w:trPr>
          <w:cantSplit/>
        </w:trPr>
        <w:tc>
          <w:tcPr>
            <w:tcW w:w="3636" w:type="pct"/>
            <w:shd w:val="clear" w:color="auto" w:fill="auto"/>
          </w:tcPr>
          <w:p w14:paraId="596DA5FE" w14:textId="77777777" w:rsidR="002516A5" w:rsidRPr="00696CA9" w:rsidRDefault="002516A5" w:rsidP="00B524FF">
            <w:pPr>
              <w:pStyle w:val="tbltext"/>
              <w:rPr>
                <w:b/>
                <w:bCs/>
              </w:rPr>
            </w:pPr>
            <w:r w:rsidRPr="00696CA9">
              <w:rPr>
                <w:b/>
                <w:bCs/>
              </w:rPr>
              <w:t>Total change in costs</w:t>
            </w:r>
          </w:p>
        </w:tc>
        <w:tc>
          <w:tcPr>
            <w:tcW w:w="1364" w:type="pct"/>
          </w:tcPr>
          <w:p w14:paraId="5E85F6D6" w14:textId="56A719D5" w:rsidR="002516A5" w:rsidRPr="00696CA9" w:rsidRDefault="002516A5" w:rsidP="00696CA9">
            <w:pPr>
              <w:pStyle w:val="tbltext"/>
              <w:jc w:val="right"/>
              <w:rPr>
                <w:b/>
                <w:bCs/>
              </w:rPr>
            </w:pPr>
            <w:r w:rsidRPr="00696CA9">
              <w:rPr>
                <w:b/>
                <w:bCs/>
              </w:rPr>
              <w:t>$0.7</w:t>
            </w:r>
            <w:r w:rsidR="00BC1FAC">
              <w:rPr>
                <w:b/>
                <w:bCs/>
              </w:rPr>
              <w:t>1</w:t>
            </w:r>
            <w:r w:rsidRPr="00696CA9">
              <w:rPr>
                <w:b/>
                <w:bCs/>
              </w:rPr>
              <w:t>4 m</w:t>
            </w:r>
          </w:p>
        </w:tc>
      </w:tr>
    </w:tbl>
    <w:p w14:paraId="20D54AC4" w14:textId="2DC7A37A" w:rsidR="00431E34" w:rsidRPr="000772DA" w:rsidRDefault="00431E34" w:rsidP="00357304">
      <w:pPr>
        <w:pStyle w:val="BodyText1"/>
      </w:pPr>
      <w:r>
        <w:rPr>
          <w:lang w:eastAsia="en-AU"/>
        </w:rPr>
        <w:t xml:space="preserve">Implementation of ASIC guidance would incur </w:t>
      </w:r>
      <w:r>
        <w:rPr>
          <w:rFonts w:eastAsia="Century Gothic,Times New Roman" w:cs="Century Gothic,Times New Roman"/>
        </w:rPr>
        <w:t>one-off implementation costs</w:t>
      </w:r>
      <w:r w:rsidDel="00431E34">
        <w:rPr>
          <w:lang w:val="en-GB" w:eastAsia="en-AU"/>
        </w:rPr>
        <w:t xml:space="preserve"> </w:t>
      </w:r>
      <w:r>
        <w:rPr>
          <w:lang w:val="en-GB" w:eastAsia="en-AU"/>
        </w:rPr>
        <w:t>and ongoing compliance costs</w:t>
      </w:r>
      <w:r w:rsidR="002516A5">
        <w:rPr>
          <w:lang w:val="en-GB" w:eastAsia="en-AU"/>
        </w:rPr>
        <w:t xml:space="preserve">, </w:t>
      </w:r>
      <w:proofErr w:type="gramStart"/>
      <w:r w:rsidR="002516A5">
        <w:rPr>
          <w:lang w:val="en-GB" w:eastAsia="en-AU"/>
        </w:rPr>
        <w:t>similar to</w:t>
      </w:r>
      <w:proofErr w:type="gramEnd"/>
      <w:r>
        <w:rPr>
          <w:lang w:val="en-GB" w:eastAsia="en-AU"/>
        </w:rPr>
        <w:t xml:space="preserve"> Option 1</w:t>
      </w:r>
      <w:r w:rsidR="002516A5">
        <w:rPr>
          <w:lang w:val="en-GB" w:eastAsia="en-AU"/>
        </w:rPr>
        <w:t>:</w:t>
      </w:r>
      <w:r w:rsidR="009F4BF1">
        <w:rPr>
          <w:lang w:val="en-GB" w:eastAsia="en-AU"/>
        </w:rPr>
        <w:t xml:space="preserve"> see para</w:t>
      </w:r>
      <w:r w:rsidR="002516A5">
        <w:rPr>
          <w:lang w:val="en-GB" w:eastAsia="en-AU"/>
        </w:rPr>
        <w:t>graph</w:t>
      </w:r>
      <w:r w:rsidR="009F4BF1">
        <w:rPr>
          <w:lang w:val="en-GB" w:eastAsia="en-AU"/>
        </w:rPr>
        <w:t xml:space="preserve">s </w:t>
      </w:r>
      <w:r w:rsidR="002516A5">
        <w:rPr>
          <w:lang w:val="en-GB" w:eastAsia="en-AU"/>
        </w:rPr>
        <w:fldChar w:fldCharType="begin"/>
      </w:r>
      <w:r w:rsidR="002516A5">
        <w:rPr>
          <w:lang w:val="en-GB" w:eastAsia="en-AU"/>
        </w:rPr>
        <w:instrText xml:space="preserve"> REF _Ref84326862 \r \h </w:instrText>
      </w:r>
      <w:r w:rsidR="002516A5">
        <w:rPr>
          <w:lang w:val="en-GB" w:eastAsia="en-AU"/>
        </w:rPr>
      </w:r>
      <w:r w:rsidR="002516A5">
        <w:rPr>
          <w:lang w:val="en-GB" w:eastAsia="en-AU"/>
        </w:rPr>
        <w:fldChar w:fldCharType="separate"/>
      </w:r>
      <w:r w:rsidR="0052771B">
        <w:rPr>
          <w:lang w:val="en-GB" w:eastAsia="en-AU"/>
        </w:rPr>
        <w:t>14</w:t>
      </w:r>
      <w:r w:rsidR="002516A5">
        <w:rPr>
          <w:lang w:val="en-GB" w:eastAsia="en-AU"/>
        </w:rPr>
        <w:fldChar w:fldCharType="end"/>
      </w:r>
      <w:r w:rsidR="002516A5">
        <w:rPr>
          <w:lang w:val="en-GB" w:eastAsia="en-AU"/>
        </w:rPr>
        <w:t>–</w:t>
      </w:r>
      <w:r w:rsidR="002516A5">
        <w:rPr>
          <w:lang w:val="en-GB" w:eastAsia="en-AU"/>
        </w:rPr>
        <w:fldChar w:fldCharType="begin"/>
      </w:r>
      <w:r w:rsidR="002516A5">
        <w:rPr>
          <w:lang w:val="en-GB" w:eastAsia="en-AU"/>
        </w:rPr>
        <w:instrText xml:space="preserve"> REF _Ref84326866 \r \h </w:instrText>
      </w:r>
      <w:r w:rsidR="002516A5">
        <w:rPr>
          <w:lang w:val="en-GB" w:eastAsia="en-AU"/>
        </w:rPr>
      </w:r>
      <w:r w:rsidR="002516A5">
        <w:rPr>
          <w:lang w:val="en-GB" w:eastAsia="en-AU"/>
        </w:rPr>
        <w:fldChar w:fldCharType="separate"/>
      </w:r>
      <w:r w:rsidR="0052771B">
        <w:rPr>
          <w:lang w:val="en-GB" w:eastAsia="en-AU"/>
        </w:rPr>
        <w:t>15</w:t>
      </w:r>
      <w:r w:rsidR="002516A5">
        <w:rPr>
          <w:lang w:val="en-GB" w:eastAsia="en-AU"/>
        </w:rPr>
        <w:fldChar w:fldCharType="end"/>
      </w:r>
      <w:r>
        <w:rPr>
          <w:lang w:val="en-GB" w:eastAsia="en-AU"/>
        </w:rPr>
        <w:t xml:space="preserve">. </w:t>
      </w:r>
      <w:r w:rsidR="002516A5">
        <w:t>We</w:t>
      </w:r>
      <w:r w:rsidRPr="00F34730">
        <w:t xml:space="preserve"> </w:t>
      </w:r>
      <w:r>
        <w:t xml:space="preserve">again </w:t>
      </w:r>
      <w:r w:rsidRPr="00F34730">
        <w:t xml:space="preserve">expect costs in the first year to be greatest and then taper off as entities embed the proposals into their business. </w:t>
      </w:r>
    </w:p>
    <w:p w14:paraId="0D37117C" w14:textId="6D4B2622" w:rsidR="00174A05" w:rsidRDefault="00174A05" w:rsidP="00357304">
      <w:pPr>
        <w:pStyle w:val="BodyText1"/>
      </w:pPr>
      <w:r>
        <w:t xml:space="preserve">The </w:t>
      </w:r>
      <w:r w:rsidR="00C95BAD">
        <w:t>regulatory costs</w:t>
      </w:r>
      <w:r w:rsidR="002C7ED7" w:rsidRPr="00F34730">
        <w:t xml:space="preserve"> would be lower under Option 2</w:t>
      </w:r>
      <w:r w:rsidR="000601FB">
        <w:t>,</w:t>
      </w:r>
      <w:r w:rsidR="002C7ED7" w:rsidRPr="00F34730">
        <w:t xml:space="preserve"> compared to Option 1</w:t>
      </w:r>
      <w:r w:rsidR="00C95BAD">
        <w:t>,</w:t>
      </w:r>
      <w:r w:rsidR="002C7ED7" w:rsidRPr="00F34730">
        <w:t xml:space="preserve"> </w:t>
      </w:r>
      <w:r w:rsidR="00C95BAD">
        <w:t>as</w:t>
      </w:r>
      <w:r>
        <w:t>:</w:t>
      </w:r>
    </w:p>
    <w:p w14:paraId="3F115250" w14:textId="75D9927B" w:rsidR="00174A05" w:rsidRDefault="00174A05" w:rsidP="00357304">
      <w:pPr>
        <w:pStyle w:val="subpara"/>
      </w:pPr>
      <w:r>
        <w:lastRenderedPageBreak/>
        <w:t>m</w:t>
      </w:r>
      <w:r w:rsidRPr="00174A05">
        <w:t xml:space="preserve">any of the obligations in the </w:t>
      </w:r>
      <w:r w:rsidR="000601FB">
        <w:t>p</w:t>
      </w:r>
      <w:r w:rsidRPr="00174A05">
        <w:t xml:space="preserve">roposed </w:t>
      </w:r>
      <w:r w:rsidR="000601FB">
        <w:t>r</w:t>
      </w:r>
      <w:r w:rsidRPr="00174A05">
        <w:t>ules already exist in regulatory guidance</w:t>
      </w:r>
      <w:r w:rsidR="00F40D57">
        <w:t xml:space="preserve">. </w:t>
      </w:r>
      <w:r w:rsidR="0041301B">
        <w:t>However, t</w:t>
      </w:r>
      <w:r w:rsidR="00F40D57">
        <w:t>his guidance</w:t>
      </w:r>
      <w:r w:rsidR="0044195A">
        <w:t xml:space="preserve"> is</w:t>
      </w:r>
      <w:r w:rsidRPr="00174A05">
        <w:t xml:space="preserve"> outdated</w:t>
      </w:r>
      <w:r w:rsidR="0041301B">
        <w:t>.</w:t>
      </w:r>
      <w:r w:rsidR="00F40D57">
        <w:t xml:space="preserve"> </w:t>
      </w:r>
      <w:r w:rsidR="0041301B">
        <w:t>W</w:t>
      </w:r>
      <w:r w:rsidR="00F40D57">
        <w:t xml:space="preserve">e therefore estimate some costs to implement </w:t>
      </w:r>
      <w:r w:rsidR="00D71023">
        <w:t xml:space="preserve">the </w:t>
      </w:r>
      <w:r w:rsidR="00F40D57">
        <w:t>updated regulatory guidance</w:t>
      </w:r>
      <w:r w:rsidR="00D71023">
        <w:t xml:space="preserve">. </w:t>
      </w:r>
      <w:r w:rsidR="00643F01">
        <w:t>However,</w:t>
      </w:r>
      <w:r w:rsidR="00D71023">
        <w:t xml:space="preserve"> this cost would be lower than the cost of implementing Option 1</w:t>
      </w:r>
      <w:r w:rsidR="00F40D57">
        <w:t xml:space="preserve"> </w:t>
      </w:r>
    </w:p>
    <w:p w14:paraId="38233BE3" w14:textId="477A2A51" w:rsidR="00174A05" w:rsidRPr="00174A05" w:rsidRDefault="00174A05" w:rsidP="004405B6">
      <w:pPr>
        <w:pStyle w:val="subpara"/>
      </w:pPr>
      <w:r w:rsidRPr="00174A05">
        <w:t xml:space="preserve">market operators and market participants </w:t>
      </w:r>
      <w:r w:rsidR="00107E1A">
        <w:t>would</w:t>
      </w:r>
      <w:r w:rsidRPr="00174A05">
        <w:t xml:space="preserve"> choose the extent to which they want to incorporate ASIC guidance into their existing arrangements for technological and operational resilience. This </w:t>
      </w:r>
      <w:r w:rsidR="00F40D57">
        <w:t>may</w:t>
      </w:r>
      <w:r w:rsidR="0044195A">
        <w:t xml:space="preserve"> </w:t>
      </w:r>
      <w:r w:rsidRPr="00174A05">
        <w:t xml:space="preserve">reduce the </w:t>
      </w:r>
      <w:r w:rsidR="0044195A">
        <w:t>effort and costs associated with</w:t>
      </w:r>
      <w:r w:rsidRPr="00174A05">
        <w:t xml:space="preserve"> implementation.</w:t>
      </w:r>
      <w:r w:rsidR="004405B6">
        <w:t xml:space="preserve"> </w:t>
      </w:r>
    </w:p>
    <w:p w14:paraId="40738DCC" w14:textId="024EDC89" w:rsidR="000601FB" w:rsidRDefault="00174A05" w:rsidP="00357304">
      <w:pPr>
        <w:pStyle w:val="BodyText1"/>
      </w:pPr>
      <w:r>
        <w:t>We have estimated the costs of Option 2 using</w:t>
      </w:r>
      <w:r w:rsidR="000601FB">
        <w:t>:</w:t>
      </w:r>
      <w:r>
        <w:t xml:space="preserve"> </w:t>
      </w:r>
    </w:p>
    <w:p w14:paraId="51D12687" w14:textId="6A49B425" w:rsidR="000601FB" w:rsidRDefault="00174A05" w:rsidP="00357304">
      <w:pPr>
        <w:pStyle w:val="subpara"/>
      </w:pPr>
      <w:r>
        <w:t>industry feedback on the extent to which they currently comply with both existing guidance and the</w:t>
      </w:r>
      <w:r w:rsidR="000601FB">
        <w:t xml:space="preserve"> obligations under the</w:t>
      </w:r>
      <w:r>
        <w:t xml:space="preserve"> </w:t>
      </w:r>
      <w:r w:rsidR="000601FB">
        <w:t>p</w:t>
      </w:r>
      <w:r>
        <w:t xml:space="preserve">roposed </w:t>
      </w:r>
      <w:r w:rsidR="000601FB">
        <w:t>r</w:t>
      </w:r>
      <w:r>
        <w:t>ules</w:t>
      </w:r>
      <w:r w:rsidRPr="00174A05">
        <w:t xml:space="preserve"> </w:t>
      </w:r>
    </w:p>
    <w:p w14:paraId="7A7A1A29" w14:textId="5FBFF05E" w:rsidR="002C7ED7" w:rsidRPr="00F34730" w:rsidRDefault="00174A05" w:rsidP="00357304">
      <w:pPr>
        <w:pStyle w:val="subpara"/>
      </w:pPr>
      <w:r w:rsidRPr="00174A05">
        <w:t>other factors</w:t>
      </w:r>
      <w:r w:rsidR="000601FB">
        <w:t>,</w:t>
      </w:r>
      <w:r w:rsidRPr="00174A05">
        <w:t xml:space="preserve"> such as the </w:t>
      </w:r>
      <w:r w:rsidR="001D6C46">
        <w:t xml:space="preserve">scale and complexity </w:t>
      </w:r>
      <w:r w:rsidRPr="00174A05">
        <w:t xml:space="preserve">of </w:t>
      </w:r>
      <w:r w:rsidR="001D6C46">
        <w:t>business models</w:t>
      </w:r>
      <w:r>
        <w:t>.</w:t>
      </w:r>
    </w:p>
    <w:p w14:paraId="78822B0D" w14:textId="265248CF" w:rsidR="00E17DB7" w:rsidRDefault="00431E34" w:rsidP="00357304">
      <w:pPr>
        <w:pStyle w:val="BodyText1"/>
      </w:pPr>
      <w:r w:rsidRPr="000772DA">
        <w:t xml:space="preserve">Although Option 2 has </w:t>
      </w:r>
      <w:r w:rsidR="00E17DB7">
        <w:t xml:space="preserve">a </w:t>
      </w:r>
      <w:r w:rsidR="00E17DB7" w:rsidRPr="00E17DB7">
        <w:t xml:space="preserve">lower </w:t>
      </w:r>
      <w:r w:rsidR="00E17DB7">
        <w:t xml:space="preserve">estimated </w:t>
      </w:r>
      <w:r w:rsidR="00E17DB7" w:rsidRPr="00E17DB7">
        <w:t>regulatory cost</w:t>
      </w:r>
      <w:r w:rsidR="00E17DB7">
        <w:t xml:space="preserve"> than Option 1</w:t>
      </w:r>
      <w:r w:rsidRPr="000772DA">
        <w:t xml:space="preserve">, we </w:t>
      </w:r>
      <w:r w:rsidR="000601FB">
        <w:t>consider that</w:t>
      </w:r>
      <w:r w:rsidRPr="000772DA">
        <w:t xml:space="preserve"> there is </w:t>
      </w:r>
      <w:r>
        <w:t xml:space="preserve">a </w:t>
      </w:r>
      <w:r w:rsidR="00CF76C9">
        <w:t>greater regulatory</w:t>
      </w:r>
      <w:r w:rsidRPr="000772DA">
        <w:t xml:space="preserve"> benefit in implementing the </w:t>
      </w:r>
      <w:r w:rsidR="000601FB">
        <w:t>p</w:t>
      </w:r>
      <w:r w:rsidRPr="000772DA">
        <w:t xml:space="preserve">roposed </w:t>
      </w:r>
      <w:r w:rsidR="000601FB">
        <w:t>r</w:t>
      </w:r>
      <w:r w:rsidRPr="000772DA">
        <w:t xml:space="preserve">ules. </w:t>
      </w:r>
    </w:p>
    <w:p w14:paraId="38B059EF" w14:textId="06DE6F3D" w:rsidR="000601FB" w:rsidRDefault="009F4BF1" w:rsidP="00357304">
      <w:pPr>
        <w:pStyle w:val="BodyText1"/>
        <w:rPr>
          <w:rFonts w:cstheme="minorBidi"/>
          <w:iCs/>
        </w:rPr>
      </w:pPr>
      <w:r w:rsidRPr="00357304">
        <w:rPr>
          <w:rFonts w:cstheme="minorBidi"/>
        </w:rPr>
        <w:t xml:space="preserve">Amended </w:t>
      </w:r>
      <w:r w:rsidR="00CA6A9A" w:rsidRPr="00357304">
        <w:rPr>
          <w:rFonts w:cstheme="minorBidi"/>
        </w:rPr>
        <w:t xml:space="preserve">ASIC guidance </w:t>
      </w:r>
      <w:r w:rsidR="00431E34" w:rsidRPr="00357304">
        <w:rPr>
          <w:rFonts w:cstheme="minorBidi"/>
        </w:rPr>
        <w:t>would</w:t>
      </w:r>
      <w:r w:rsidR="00CA6A9A" w:rsidRPr="00357304">
        <w:rPr>
          <w:rFonts w:cstheme="minorBidi"/>
        </w:rPr>
        <w:t xml:space="preserve"> not properly address the increased </w:t>
      </w:r>
      <w:r w:rsidR="00431E34" w:rsidRPr="00357304">
        <w:rPr>
          <w:rFonts w:cstheme="minorBidi"/>
        </w:rPr>
        <w:t xml:space="preserve">technological </w:t>
      </w:r>
      <w:r w:rsidR="00CA6A9A" w:rsidRPr="00357304">
        <w:rPr>
          <w:rFonts w:cstheme="minorBidi"/>
        </w:rPr>
        <w:t xml:space="preserve">risks and systemic vulnerability </w:t>
      </w:r>
      <w:r w:rsidR="00431E34" w:rsidRPr="00357304">
        <w:rPr>
          <w:rFonts w:cstheme="minorBidi"/>
        </w:rPr>
        <w:t>experienced by</w:t>
      </w:r>
      <w:r w:rsidR="00CA6A9A" w:rsidRPr="00357304">
        <w:rPr>
          <w:rFonts w:cstheme="minorBidi"/>
        </w:rPr>
        <w:t xml:space="preserve"> market operators and market participants</w:t>
      </w:r>
      <w:r w:rsidR="00431E34" w:rsidRPr="00357304">
        <w:rPr>
          <w:rFonts w:cstheme="minorBidi"/>
        </w:rPr>
        <w:t>.</w:t>
      </w:r>
      <w:r w:rsidR="000601FB" w:rsidRPr="00357304">
        <w:rPr>
          <w:rFonts w:cstheme="minorBidi"/>
          <w:iCs/>
        </w:rPr>
        <w:t xml:space="preserve"> </w:t>
      </w:r>
      <w:r w:rsidR="00C32279" w:rsidRPr="00357304">
        <w:rPr>
          <w:rFonts w:cstheme="minorBidi"/>
        </w:rPr>
        <w:t xml:space="preserve">It has been </w:t>
      </w:r>
      <w:r w:rsidR="00431E34" w:rsidRPr="00357304">
        <w:rPr>
          <w:rFonts w:cstheme="minorBidi"/>
        </w:rPr>
        <w:t>ASIC’s</w:t>
      </w:r>
      <w:r w:rsidR="00C32279" w:rsidRPr="00357304">
        <w:rPr>
          <w:rFonts w:cstheme="minorBidi"/>
        </w:rPr>
        <w:t xml:space="preserve"> experience that guidance has not been adequate to deter significant failures of market operator and </w:t>
      </w:r>
      <w:r w:rsidR="001D6C46" w:rsidRPr="00357304">
        <w:rPr>
          <w:rFonts w:cstheme="minorBidi"/>
        </w:rPr>
        <w:t xml:space="preserve">market </w:t>
      </w:r>
      <w:r w:rsidR="00C32279" w:rsidRPr="00357304">
        <w:rPr>
          <w:rFonts w:cstheme="minorBidi"/>
        </w:rPr>
        <w:t>participant systems</w:t>
      </w:r>
      <w:r w:rsidR="000601FB" w:rsidRPr="00357304">
        <w:rPr>
          <w:rFonts w:cstheme="minorBidi"/>
        </w:rPr>
        <w:t>,</w:t>
      </w:r>
      <w:r w:rsidR="00C32279" w:rsidRPr="00357304">
        <w:rPr>
          <w:rFonts w:cstheme="minorBidi"/>
        </w:rPr>
        <w:t xml:space="preserve"> or to </w:t>
      </w:r>
      <w:r w:rsidR="004405B6">
        <w:rPr>
          <w:rFonts w:cstheme="minorBidi"/>
        </w:rPr>
        <w:t>penalise</w:t>
      </w:r>
      <w:r w:rsidR="00C32279" w:rsidRPr="00357304">
        <w:rPr>
          <w:rFonts w:cstheme="minorBidi"/>
        </w:rPr>
        <w:t xml:space="preserve"> </w:t>
      </w:r>
      <w:r w:rsidR="001D6C46" w:rsidRPr="00357304">
        <w:rPr>
          <w:rFonts w:cstheme="minorBidi"/>
        </w:rPr>
        <w:t xml:space="preserve">market operators and market participants </w:t>
      </w:r>
      <w:r w:rsidR="00C32279" w:rsidRPr="00357304">
        <w:rPr>
          <w:rFonts w:cstheme="minorBidi"/>
        </w:rPr>
        <w:t>for failures</w:t>
      </w:r>
      <w:r w:rsidR="009147F4" w:rsidRPr="00357304">
        <w:rPr>
          <w:rFonts w:cstheme="minorBidi"/>
        </w:rPr>
        <w:t>. Guidance lacks certainty and has limited effectiveness in influencing and changing behaviour.</w:t>
      </w:r>
      <w:r w:rsidR="00E17DB7" w:rsidRPr="00357304">
        <w:rPr>
          <w:rFonts w:cstheme="minorBidi"/>
        </w:rPr>
        <w:t xml:space="preserve"> </w:t>
      </w:r>
    </w:p>
    <w:p w14:paraId="51E9F807" w14:textId="08F4CF74" w:rsidR="00E17DB7" w:rsidRPr="00357304" w:rsidRDefault="000601FB" w:rsidP="00357304">
      <w:pPr>
        <w:pStyle w:val="BodyText1"/>
        <w:rPr>
          <w:rFonts w:cstheme="minorBidi"/>
        </w:rPr>
      </w:pPr>
      <w:r w:rsidRPr="00357304">
        <w:rPr>
          <w:rFonts w:cstheme="minorBidi"/>
        </w:rPr>
        <w:t>We consider that</w:t>
      </w:r>
      <w:r w:rsidR="00C32279" w:rsidRPr="00357304">
        <w:rPr>
          <w:rFonts w:cstheme="minorBidi"/>
        </w:rPr>
        <w:t xml:space="preserve"> the </w:t>
      </w:r>
      <w:r w:rsidRPr="00357304">
        <w:rPr>
          <w:rFonts w:cstheme="minorBidi"/>
        </w:rPr>
        <w:t>p</w:t>
      </w:r>
      <w:r w:rsidR="00C32279" w:rsidRPr="00357304">
        <w:rPr>
          <w:rFonts w:cstheme="minorBidi"/>
        </w:rPr>
        <w:t xml:space="preserve">roposed </w:t>
      </w:r>
      <w:r w:rsidRPr="00357304">
        <w:rPr>
          <w:rFonts w:cstheme="minorBidi"/>
        </w:rPr>
        <w:t>r</w:t>
      </w:r>
      <w:r w:rsidR="00C32279" w:rsidRPr="00357304">
        <w:rPr>
          <w:rFonts w:cstheme="minorBidi"/>
        </w:rPr>
        <w:t>ules will be a</w:t>
      </w:r>
      <w:r w:rsidR="005316D8" w:rsidRPr="00357304">
        <w:rPr>
          <w:rFonts w:cstheme="minorBidi"/>
        </w:rPr>
        <w:t xml:space="preserve"> greater </w:t>
      </w:r>
      <w:r w:rsidR="00C32279" w:rsidRPr="00357304">
        <w:rPr>
          <w:rFonts w:cstheme="minorBidi"/>
        </w:rPr>
        <w:t xml:space="preserve">incentive to improve technology and operational risk practices in the market. </w:t>
      </w:r>
    </w:p>
    <w:p w14:paraId="4D60F3ED" w14:textId="56CC13E4" w:rsidR="00DB3B2D" w:rsidRPr="0061311F" w:rsidRDefault="00DB3B2D" w:rsidP="00357304">
      <w:pPr>
        <w:pStyle w:val="BodyText1"/>
      </w:pPr>
      <w:bookmarkStart w:id="14" w:name="_Ref84332095"/>
      <w:r w:rsidRPr="00233EEA">
        <w:t xml:space="preserve">In addition, Option 2 would mean that Australia’s regulatory </w:t>
      </w:r>
      <w:r w:rsidRPr="007A63F5">
        <w:t xml:space="preserve">regime </w:t>
      </w:r>
      <w:r w:rsidR="006A00A0" w:rsidRPr="00FD3057">
        <w:t>falls behind</w:t>
      </w:r>
      <w:r w:rsidRPr="00233EEA">
        <w:t xml:space="preserve"> international standards and APR</w:t>
      </w:r>
      <w:r w:rsidRPr="00B04606">
        <w:t>A. Falling behind international best practice threatens Australia’s strong international regulatory reputation in the area of markets regulation.</w:t>
      </w:r>
      <w:bookmarkEnd w:id="14"/>
    </w:p>
    <w:p w14:paraId="70313F2E" w14:textId="4938BB6D" w:rsidR="00C95BAD" w:rsidRPr="00E17DB7" w:rsidRDefault="00A1307F" w:rsidP="00357304">
      <w:pPr>
        <w:pStyle w:val="RIAH3"/>
        <w:rPr>
          <w:bCs/>
        </w:rPr>
      </w:pPr>
      <w:r w:rsidRPr="00E17DB7">
        <w:t>Option 3</w:t>
      </w:r>
      <w:r w:rsidR="00AA260F">
        <w:t>:</w:t>
      </w:r>
      <w:r w:rsidRPr="00E17DB7">
        <w:t xml:space="preserve"> </w:t>
      </w:r>
      <w:r w:rsidR="005D4A1B">
        <w:t>Do nothing, maintain</w:t>
      </w:r>
      <w:r w:rsidRPr="00E17DB7">
        <w:t xml:space="preserve"> status quo</w:t>
      </w:r>
    </w:p>
    <w:bookmarkStart w:id="15" w:name="_Ref84334580"/>
    <w:p w14:paraId="1C61571D" w14:textId="235B9064" w:rsidR="00316E70" w:rsidRDefault="00333CBB" w:rsidP="00316E70">
      <w:pPr>
        <w:pStyle w:val="BodyText1"/>
      </w:pPr>
      <w:r>
        <w:fldChar w:fldCharType="begin"/>
      </w:r>
      <w:r>
        <w:instrText xml:space="preserve"> REF _Ref84427717 \h </w:instrText>
      </w:r>
      <w:r>
        <w:fldChar w:fldCharType="separate"/>
      </w:r>
      <w:r w:rsidR="0052771B">
        <w:t xml:space="preserve">Table </w:t>
      </w:r>
      <w:r w:rsidR="0052771B">
        <w:rPr>
          <w:noProof/>
        </w:rPr>
        <w:t>4</w:t>
      </w:r>
      <w:r>
        <w:fldChar w:fldCharType="end"/>
      </w:r>
      <w:r>
        <w:t xml:space="preserve"> </w:t>
      </w:r>
      <w:r w:rsidR="00316E70" w:rsidRPr="00F34730">
        <w:t xml:space="preserve">sets out the regulatory burden estimate for </w:t>
      </w:r>
      <w:r w:rsidR="00316E70">
        <w:t xml:space="preserve">Option 3, which is </w:t>
      </w:r>
      <w:r w:rsidR="00316E70" w:rsidRPr="00F34730">
        <w:t>maintaining the status quo. It would represent no change in annual regulatory</w:t>
      </w:r>
      <w:r w:rsidR="00316E70">
        <w:t xml:space="preserve"> costs, as</w:t>
      </w:r>
      <w:r w:rsidR="00316E70" w:rsidRPr="00DA4BF7">
        <w:t xml:space="preserve"> no new obligations</w:t>
      </w:r>
      <w:r w:rsidR="00316E70" w:rsidRPr="00DA4BF7" w:rsidDel="00B72FC0">
        <w:t xml:space="preserve"> </w:t>
      </w:r>
      <w:r w:rsidR="00316E70">
        <w:t>would be</w:t>
      </w:r>
      <w:r w:rsidR="00316E70" w:rsidRPr="00DA4BF7">
        <w:t xml:space="preserve"> introduced. </w:t>
      </w:r>
    </w:p>
    <w:p w14:paraId="217C3C2E" w14:textId="34247051" w:rsidR="00A1307F" w:rsidRPr="00C95BAD" w:rsidRDefault="00357304" w:rsidP="001E2FF4">
      <w:pPr>
        <w:pStyle w:val="Caption"/>
        <w:rPr>
          <w:szCs w:val="22"/>
        </w:rPr>
      </w:pPr>
      <w:bookmarkStart w:id="16" w:name="_Ref84427717"/>
      <w:r>
        <w:t xml:space="preserve">Table </w:t>
      </w:r>
      <w:fldSimple w:instr=" SEQ Table \* ARABIC ">
        <w:r w:rsidR="0052771B">
          <w:rPr>
            <w:noProof/>
          </w:rPr>
          <w:t>4</w:t>
        </w:r>
      </w:fldSimple>
      <w:bookmarkEnd w:id="15"/>
      <w:bookmarkEnd w:id="16"/>
      <w:r w:rsidR="00A1307F" w:rsidRPr="00C95BAD">
        <w:t>:</w:t>
      </w:r>
      <w:r w:rsidR="00A1307F" w:rsidRPr="00C95BAD">
        <w:tab/>
        <w:t>Annual regulatory costs</w:t>
      </w:r>
      <w:r w:rsidR="009E574C">
        <w:t xml:space="preserve"> for Option 3</w:t>
      </w:r>
      <w:r w:rsidR="000601FB">
        <w:t>, averaged over 10 years</w:t>
      </w:r>
    </w:p>
    <w:tbl>
      <w:tblPr>
        <w:tblW w:w="3455" w:type="pct"/>
        <w:tblInd w:w="567" w:type="dxa"/>
        <w:tblBorders>
          <w:top w:val="single" w:sz="4" w:space="0" w:color="999999"/>
          <w:bottom w:val="single" w:sz="4" w:space="0" w:color="999999"/>
          <w:insideH w:val="single" w:sz="4" w:space="0" w:color="999999"/>
        </w:tblBorders>
        <w:tblCellMar>
          <w:bottom w:w="113" w:type="dxa"/>
        </w:tblCellMar>
        <w:tblLook w:val="0620" w:firstRow="1" w:lastRow="0" w:firstColumn="0" w:lastColumn="0" w:noHBand="1" w:noVBand="1"/>
      </w:tblPr>
      <w:tblGrid>
        <w:gridCol w:w="4536"/>
        <w:gridCol w:w="1701"/>
      </w:tblGrid>
      <w:tr w:rsidR="000601FB" w:rsidRPr="00A06E90" w14:paraId="609F730F" w14:textId="77777777" w:rsidTr="00A300AD">
        <w:trPr>
          <w:cantSplit/>
          <w:tblHeader/>
        </w:trPr>
        <w:tc>
          <w:tcPr>
            <w:tcW w:w="3636" w:type="pct"/>
            <w:shd w:val="clear" w:color="auto" w:fill="C2E3FF"/>
          </w:tcPr>
          <w:p w14:paraId="13343633" w14:textId="77777777" w:rsidR="000601FB" w:rsidRPr="0025311B" w:rsidRDefault="000601FB" w:rsidP="00696CA9">
            <w:pPr>
              <w:pStyle w:val="tablehead"/>
            </w:pPr>
            <w:r>
              <w:t>Sector</w:t>
            </w:r>
          </w:p>
        </w:tc>
        <w:tc>
          <w:tcPr>
            <w:tcW w:w="1364" w:type="pct"/>
            <w:shd w:val="clear" w:color="auto" w:fill="C2E3FF"/>
          </w:tcPr>
          <w:p w14:paraId="550FF7BA" w14:textId="77777777" w:rsidR="000601FB" w:rsidRPr="00A06E90" w:rsidRDefault="000601FB" w:rsidP="00696CA9">
            <w:pPr>
              <w:pStyle w:val="tablehead"/>
              <w:jc w:val="right"/>
            </w:pPr>
            <w:r>
              <w:t>C</w:t>
            </w:r>
            <w:r w:rsidRPr="0025311B">
              <w:t>hange in cost</w:t>
            </w:r>
            <w:r>
              <w:t>s</w:t>
            </w:r>
          </w:p>
        </w:tc>
      </w:tr>
      <w:tr w:rsidR="000601FB" w:rsidRPr="00A06E90" w14:paraId="6F69E600" w14:textId="77777777" w:rsidTr="00515938">
        <w:trPr>
          <w:cantSplit/>
          <w:trHeight w:val="340"/>
        </w:trPr>
        <w:tc>
          <w:tcPr>
            <w:tcW w:w="3636" w:type="pct"/>
            <w:shd w:val="clear" w:color="auto" w:fill="auto"/>
          </w:tcPr>
          <w:p w14:paraId="600DF425" w14:textId="0861891C" w:rsidR="00BC1FAC" w:rsidRPr="00BC1FAC" w:rsidRDefault="000601FB" w:rsidP="00515938">
            <w:pPr>
              <w:pStyle w:val="tbltext"/>
            </w:pPr>
            <w:r w:rsidRPr="0025311B">
              <w:t>Business</w:t>
            </w:r>
          </w:p>
        </w:tc>
        <w:tc>
          <w:tcPr>
            <w:tcW w:w="1364" w:type="pct"/>
          </w:tcPr>
          <w:p w14:paraId="125C0649" w14:textId="6239FAC3" w:rsidR="000601FB" w:rsidRPr="00A06E90" w:rsidRDefault="000601FB" w:rsidP="00696CA9">
            <w:pPr>
              <w:pStyle w:val="tbltext"/>
              <w:jc w:val="right"/>
            </w:pPr>
            <w:r>
              <w:t>$</w:t>
            </w:r>
            <w:r w:rsidRPr="00E47F82">
              <w:t>0</w:t>
            </w:r>
          </w:p>
        </w:tc>
      </w:tr>
      <w:tr w:rsidR="000601FB" w:rsidRPr="00A06E90" w14:paraId="29151397" w14:textId="77777777" w:rsidTr="00A300AD">
        <w:trPr>
          <w:cantSplit/>
        </w:trPr>
        <w:tc>
          <w:tcPr>
            <w:tcW w:w="3636" w:type="pct"/>
            <w:shd w:val="clear" w:color="auto" w:fill="auto"/>
          </w:tcPr>
          <w:p w14:paraId="4CA972C7" w14:textId="20D5A70E" w:rsidR="00BC1FAC" w:rsidRPr="00BC1FAC" w:rsidDel="001817F4" w:rsidRDefault="000601FB" w:rsidP="00515938">
            <w:pPr>
              <w:pStyle w:val="tbltext"/>
            </w:pPr>
            <w:r w:rsidRPr="0025311B">
              <w:t>Community organisations</w:t>
            </w:r>
          </w:p>
        </w:tc>
        <w:tc>
          <w:tcPr>
            <w:tcW w:w="1364" w:type="pct"/>
          </w:tcPr>
          <w:p w14:paraId="1BA521F9" w14:textId="77777777" w:rsidR="000601FB" w:rsidRDefault="000601FB" w:rsidP="00696CA9">
            <w:pPr>
              <w:pStyle w:val="tbltext"/>
              <w:jc w:val="right"/>
            </w:pPr>
            <w:r>
              <w:t>$</w:t>
            </w:r>
            <w:r w:rsidRPr="00A06E90">
              <w:t>0</w:t>
            </w:r>
          </w:p>
        </w:tc>
      </w:tr>
      <w:tr w:rsidR="000601FB" w:rsidRPr="00A06E90" w14:paraId="3A87FAC2" w14:textId="77777777" w:rsidTr="00A300AD">
        <w:trPr>
          <w:cantSplit/>
        </w:trPr>
        <w:tc>
          <w:tcPr>
            <w:tcW w:w="3636" w:type="pct"/>
            <w:shd w:val="clear" w:color="auto" w:fill="auto"/>
          </w:tcPr>
          <w:p w14:paraId="289D624C" w14:textId="3F767A2F" w:rsidR="00BC1FAC" w:rsidRPr="00BC1FAC" w:rsidDel="001817F4" w:rsidRDefault="000601FB" w:rsidP="00515938">
            <w:pPr>
              <w:pStyle w:val="tbltext"/>
            </w:pPr>
            <w:r w:rsidRPr="0025311B">
              <w:t>Individuals</w:t>
            </w:r>
          </w:p>
        </w:tc>
        <w:tc>
          <w:tcPr>
            <w:tcW w:w="1364" w:type="pct"/>
          </w:tcPr>
          <w:p w14:paraId="38D0BA4D" w14:textId="77777777" w:rsidR="000601FB" w:rsidRDefault="000601FB" w:rsidP="00696CA9">
            <w:pPr>
              <w:pStyle w:val="tbltext"/>
              <w:jc w:val="right"/>
            </w:pPr>
            <w:r>
              <w:t>$</w:t>
            </w:r>
            <w:r w:rsidRPr="00A06E90">
              <w:t>0</w:t>
            </w:r>
          </w:p>
        </w:tc>
      </w:tr>
      <w:tr w:rsidR="000601FB" w:rsidRPr="00A06E90" w14:paraId="66FC360B" w14:textId="77777777" w:rsidTr="00A300AD">
        <w:trPr>
          <w:cantSplit/>
        </w:trPr>
        <w:tc>
          <w:tcPr>
            <w:tcW w:w="3636" w:type="pct"/>
            <w:shd w:val="clear" w:color="auto" w:fill="auto"/>
          </w:tcPr>
          <w:p w14:paraId="0DABB5B4" w14:textId="3F3A3C75" w:rsidR="00BC1FAC" w:rsidRPr="00BC1FAC" w:rsidRDefault="000601FB" w:rsidP="00515938">
            <w:pPr>
              <w:pStyle w:val="tbltext"/>
            </w:pPr>
            <w:r w:rsidRPr="00696CA9">
              <w:rPr>
                <w:b/>
                <w:bCs/>
              </w:rPr>
              <w:t>Total change in costs</w:t>
            </w:r>
          </w:p>
        </w:tc>
        <w:tc>
          <w:tcPr>
            <w:tcW w:w="1364" w:type="pct"/>
          </w:tcPr>
          <w:p w14:paraId="0F6669F9" w14:textId="63018A17" w:rsidR="000601FB" w:rsidRPr="00696CA9" w:rsidRDefault="000601FB" w:rsidP="00696CA9">
            <w:pPr>
              <w:pStyle w:val="tbltext"/>
              <w:jc w:val="right"/>
              <w:rPr>
                <w:b/>
                <w:bCs/>
              </w:rPr>
            </w:pPr>
            <w:r w:rsidRPr="00696CA9">
              <w:rPr>
                <w:b/>
                <w:bCs/>
              </w:rPr>
              <w:t>$0</w:t>
            </w:r>
          </w:p>
        </w:tc>
      </w:tr>
    </w:tbl>
    <w:p w14:paraId="19BF43AF" w14:textId="7360C37E" w:rsidR="00FC7DFD" w:rsidRPr="000772DA" w:rsidRDefault="00FC7DFD" w:rsidP="00357304">
      <w:pPr>
        <w:pStyle w:val="BodyText1"/>
      </w:pPr>
      <w:r>
        <w:lastRenderedPageBreak/>
        <w:t xml:space="preserve">However, we </w:t>
      </w:r>
      <w:r w:rsidR="000601FB">
        <w:t>consider that</w:t>
      </w:r>
      <w:r w:rsidR="00C32279">
        <w:t xml:space="preserve"> doing nothing</w:t>
      </w:r>
      <w:r w:rsidR="003E3F05">
        <w:t xml:space="preserve"> </w:t>
      </w:r>
      <w:r w:rsidR="00C32279" w:rsidRPr="000772DA">
        <w:t>could result in greater costs to industry</w:t>
      </w:r>
      <w:r w:rsidR="0053520C">
        <w:t>. For example</w:t>
      </w:r>
      <w:r w:rsidR="00C32279" w:rsidRPr="000772DA">
        <w:t>:</w:t>
      </w:r>
    </w:p>
    <w:p w14:paraId="39789A52" w14:textId="1199352D" w:rsidR="00FC7DFD" w:rsidRDefault="00E17DB7" w:rsidP="00357304">
      <w:pPr>
        <w:pStyle w:val="subpara"/>
      </w:pPr>
      <w:r>
        <w:t>w</w:t>
      </w:r>
      <w:r w:rsidR="00FC7DFD" w:rsidRPr="00F95A44">
        <w:t xml:space="preserve">e consider that the current regulatory framework is insufficient to mitigate the risk of failures of critical </w:t>
      </w:r>
      <w:r w:rsidR="00FC7DFD">
        <w:t>business services</w:t>
      </w:r>
      <w:r w:rsidR="0053520C">
        <w:t>,</w:t>
      </w:r>
      <w:r w:rsidR="00FC7DFD" w:rsidRPr="00F95A44">
        <w:t xml:space="preserve"> and is behind </w:t>
      </w:r>
      <w:r w:rsidR="00D078EC">
        <w:t xml:space="preserve">APRA and </w:t>
      </w:r>
      <w:r w:rsidR="00FC7DFD" w:rsidRPr="00F95A44">
        <w:t>international standards</w:t>
      </w:r>
      <w:r w:rsidR="001130EB" w:rsidRPr="001130EB">
        <w:t xml:space="preserve"> such as the International Organization of Securities Commissions (IOSCO) principles</w:t>
      </w:r>
    </w:p>
    <w:p w14:paraId="3B1B5E4F" w14:textId="08D2CD54" w:rsidR="00FC7DFD" w:rsidRPr="00BC4C4F" w:rsidRDefault="00E17DB7" w:rsidP="00357304">
      <w:pPr>
        <w:pStyle w:val="subpara"/>
      </w:pPr>
      <w:r>
        <w:t>o</w:t>
      </w:r>
      <w:r w:rsidR="00FC7DFD" w:rsidRPr="00BC4C4F">
        <w:t xml:space="preserve">ur regulatory regime has not kept pace with recent developments. While </w:t>
      </w:r>
      <w:r w:rsidR="0053520C">
        <w:t>we have</w:t>
      </w:r>
      <w:r w:rsidR="00FC7DFD" w:rsidRPr="00BC4C4F">
        <w:t xml:space="preserve"> set out </w:t>
      </w:r>
      <w:r w:rsidR="0053520C">
        <w:t>our</w:t>
      </w:r>
      <w:r w:rsidR="00FC7DFD" w:rsidRPr="00BC4C4F">
        <w:t xml:space="preserve"> expectations in relation to operational and technological resilience in ASIC guidance, this has not deterred significant failures of market operator and </w:t>
      </w:r>
      <w:r w:rsidR="003D78DA">
        <w:t xml:space="preserve">market </w:t>
      </w:r>
      <w:r w:rsidR="00FC7DFD" w:rsidRPr="00BC4C4F">
        <w:t>participant systems</w:t>
      </w:r>
    </w:p>
    <w:p w14:paraId="7D103E4F" w14:textId="0685A14F" w:rsidR="00DA4BF7" w:rsidRPr="005B3489" w:rsidRDefault="00E17DB7" w:rsidP="00357304">
      <w:pPr>
        <w:pStyle w:val="subpara"/>
        <w:rPr>
          <w:rFonts w:eastAsia="Century Gothic,Times New Roman"/>
        </w:rPr>
      </w:pPr>
      <w:r>
        <w:t>t</w:t>
      </w:r>
      <w:r w:rsidR="00FC7DFD" w:rsidRPr="00BA0C22">
        <w:t xml:space="preserve">he COVID-19 pandemic has </w:t>
      </w:r>
      <w:r w:rsidR="00FC7DFD">
        <w:t xml:space="preserve">more broadly </w:t>
      </w:r>
      <w:r w:rsidR="00FC7DFD" w:rsidRPr="00BA0C22">
        <w:t>highlighted the need to ensure resilience in operational activities and to maintain business continuity in situations where external</w:t>
      </w:r>
      <w:r w:rsidR="0053520C">
        <w:t>,</w:t>
      </w:r>
      <w:r w:rsidR="00FC7DFD" w:rsidRPr="00BA0C22">
        <w:t xml:space="preserve"> and often unforeseen</w:t>
      </w:r>
      <w:r w:rsidR="0053520C">
        <w:t>,</w:t>
      </w:r>
      <w:r w:rsidR="00FC7DFD" w:rsidRPr="00BA0C22">
        <w:t xml:space="preserve"> shocks </w:t>
      </w:r>
      <w:r w:rsidR="003D78DA">
        <w:t>affect</w:t>
      </w:r>
      <w:r w:rsidR="003D78DA" w:rsidRPr="00BA0C22">
        <w:t xml:space="preserve"> </w:t>
      </w:r>
      <w:r w:rsidR="003D78DA">
        <w:t>entities</w:t>
      </w:r>
      <w:r w:rsidR="00FC7DFD" w:rsidRPr="00BA0C22">
        <w:t xml:space="preserve"> and their service providers. </w:t>
      </w:r>
    </w:p>
    <w:p w14:paraId="6C133EC5" w14:textId="52693787" w:rsidR="004E3BF6" w:rsidRPr="004E3BF6" w:rsidRDefault="00C6021E" w:rsidP="00357304">
      <w:pPr>
        <w:pStyle w:val="RIAH2"/>
      </w:pPr>
      <w:r w:rsidRPr="00F34730">
        <w:t>Conclusion</w:t>
      </w:r>
      <w:r w:rsidR="00F34730" w:rsidRPr="00F34730">
        <w:t xml:space="preserve"> as to appropriate policy option</w:t>
      </w:r>
    </w:p>
    <w:p w14:paraId="4BC6872D" w14:textId="166DD316" w:rsidR="008D623E" w:rsidRPr="008D623E" w:rsidRDefault="00EF0549" w:rsidP="00357304">
      <w:pPr>
        <w:pStyle w:val="BodyText1"/>
      </w:pPr>
      <w:r>
        <w:t>We have</w:t>
      </w:r>
      <w:r w:rsidR="0098783D">
        <w:t xml:space="preserve"> con</w:t>
      </w:r>
      <w:r w:rsidR="008D623E" w:rsidRPr="000772DA">
        <w:t>sider</w:t>
      </w:r>
      <w:r w:rsidR="0098783D">
        <w:t>ed</w:t>
      </w:r>
      <w:r w:rsidR="008D623E" w:rsidRPr="000772DA">
        <w:t xml:space="preserve"> each of the above options</w:t>
      </w:r>
      <w:r>
        <w:t>,</w:t>
      </w:r>
      <w:r w:rsidR="008D623E" w:rsidRPr="000772DA">
        <w:t xml:space="preserve"> the associated costs and benefits, </w:t>
      </w:r>
      <w:r>
        <w:t>and the</w:t>
      </w:r>
      <w:r w:rsidR="008D623E" w:rsidRPr="000772DA">
        <w:t xml:space="preserve"> feedback from industry</w:t>
      </w:r>
      <w:r w:rsidR="0098783D">
        <w:t>.</w:t>
      </w:r>
      <w:r w:rsidR="008D623E" w:rsidRPr="000772DA">
        <w:t xml:space="preserve"> </w:t>
      </w:r>
      <w:r w:rsidR="0005527B">
        <w:t xml:space="preserve">As </w:t>
      </w:r>
      <w:r w:rsidR="00D62DD2">
        <w:t xml:space="preserve">a result of this analysis, </w:t>
      </w:r>
      <w:r>
        <w:t>we</w:t>
      </w:r>
      <w:r w:rsidR="00D62DD2">
        <w:t xml:space="preserve"> consider</w:t>
      </w:r>
      <w:r w:rsidR="008D623E" w:rsidRPr="000772DA">
        <w:t xml:space="preserve"> Option 1</w:t>
      </w:r>
      <w:r w:rsidR="00D62DD2">
        <w:t xml:space="preserve"> to be </w:t>
      </w:r>
      <w:r w:rsidR="00FC443C">
        <w:t xml:space="preserve">the </w:t>
      </w:r>
      <w:r w:rsidR="00D62DD2">
        <w:t>best option</w:t>
      </w:r>
      <w:r w:rsidR="008D623E" w:rsidRPr="000772DA">
        <w:t>.</w:t>
      </w:r>
    </w:p>
    <w:p w14:paraId="6024C019" w14:textId="562B20A7" w:rsidR="00C82846" w:rsidRDefault="008D623E" w:rsidP="00357304">
      <w:pPr>
        <w:pStyle w:val="BodyText1"/>
      </w:pPr>
      <w:r w:rsidRPr="000772DA">
        <w:t xml:space="preserve">While Option 2 and Option 3 have lower or no compliance costs, both of these options </w:t>
      </w:r>
      <w:r w:rsidR="005B3489">
        <w:t>will</w:t>
      </w:r>
      <w:r w:rsidRPr="000772DA">
        <w:t xml:space="preserve"> </w:t>
      </w:r>
      <w:r w:rsidR="00C82846">
        <w:t xml:space="preserve">not </w:t>
      </w:r>
      <w:r w:rsidR="00C82846" w:rsidRPr="000772DA">
        <w:t xml:space="preserve">address the technological and </w:t>
      </w:r>
      <w:r w:rsidR="00C82846" w:rsidRPr="00C82846">
        <w:t>operational</w:t>
      </w:r>
      <w:r w:rsidR="00C82846" w:rsidRPr="000772DA">
        <w:t xml:space="preserve"> risks </w:t>
      </w:r>
      <w:r w:rsidR="00C82846" w:rsidRPr="00C82846">
        <w:t>experienced</w:t>
      </w:r>
      <w:r w:rsidR="00C82846" w:rsidRPr="000772DA">
        <w:t xml:space="preserve"> by market </w:t>
      </w:r>
      <w:r w:rsidR="003D78DA">
        <w:t>operators</w:t>
      </w:r>
      <w:r w:rsidR="003D78DA" w:rsidRPr="000772DA">
        <w:t xml:space="preserve"> </w:t>
      </w:r>
      <w:r w:rsidR="00C82846" w:rsidRPr="000772DA">
        <w:t xml:space="preserve">and market </w:t>
      </w:r>
      <w:r w:rsidR="00D078EC">
        <w:t>participants</w:t>
      </w:r>
      <w:r w:rsidR="00C82846" w:rsidRPr="000772DA">
        <w:t>.</w:t>
      </w:r>
      <w:r w:rsidR="005B3489">
        <w:t xml:space="preserve"> They will also not align our regulatory framework with </w:t>
      </w:r>
      <w:r w:rsidR="00D078EC">
        <w:t xml:space="preserve">APRA and </w:t>
      </w:r>
      <w:r w:rsidR="005B3489">
        <w:t>international standards.</w:t>
      </w:r>
    </w:p>
    <w:p w14:paraId="677ACA72" w14:textId="10E7CCF6" w:rsidR="005D4A1B" w:rsidRPr="000772DA" w:rsidRDefault="00EF0549" w:rsidP="00357304">
      <w:pPr>
        <w:pStyle w:val="BodyText1"/>
      </w:pPr>
      <w:r>
        <w:t>We have set out f</w:t>
      </w:r>
      <w:r w:rsidR="00A95AF7">
        <w:t>urther detailed</w:t>
      </w:r>
      <w:r w:rsidR="00A95AF7" w:rsidRPr="000772DA">
        <w:t xml:space="preserve"> </w:t>
      </w:r>
      <w:r w:rsidR="005D4A1B" w:rsidRPr="000772DA">
        <w:t xml:space="preserve">reasons for recommending the </w:t>
      </w:r>
      <w:r>
        <w:t>p</w:t>
      </w:r>
      <w:r w:rsidR="005D4A1B" w:rsidRPr="000772DA">
        <w:t xml:space="preserve">roposed </w:t>
      </w:r>
      <w:r>
        <w:t>r</w:t>
      </w:r>
      <w:r w:rsidR="005D4A1B" w:rsidRPr="000772DA">
        <w:t xml:space="preserve">ules in </w:t>
      </w:r>
      <w:hyperlink r:id="rId15" w:history="1">
        <w:r w:rsidR="005D4A1B" w:rsidRPr="00B524FF">
          <w:rPr>
            <w:rStyle w:val="Hyperlink"/>
          </w:rPr>
          <w:t>CP</w:t>
        </w:r>
        <w:r w:rsidRPr="00B524FF">
          <w:rPr>
            <w:rStyle w:val="Hyperlink"/>
          </w:rPr>
          <w:t> </w:t>
        </w:r>
        <w:r w:rsidR="005D4A1B" w:rsidRPr="00B524FF">
          <w:rPr>
            <w:rStyle w:val="Hyperlink"/>
          </w:rPr>
          <w:t>314</w:t>
        </w:r>
      </w:hyperlink>
      <w:r w:rsidR="005D4A1B">
        <w:t>.</w:t>
      </w:r>
    </w:p>
    <w:p w14:paraId="230E368A" w14:textId="1CE3093E" w:rsidR="001F53DC" w:rsidRPr="00F34730" w:rsidRDefault="001F53DC" w:rsidP="00357304">
      <w:pPr>
        <w:pStyle w:val="RIAH2"/>
      </w:pPr>
      <w:r w:rsidRPr="00F34730">
        <w:t xml:space="preserve">Implementation and review </w:t>
      </w:r>
    </w:p>
    <w:p w14:paraId="2D2DE881" w14:textId="0C861842" w:rsidR="001804AA" w:rsidRDefault="001804AA" w:rsidP="00357304">
      <w:pPr>
        <w:pStyle w:val="BodyText1"/>
        <w:rPr>
          <w:lang w:val="en-GB"/>
        </w:rPr>
      </w:pPr>
      <w:r w:rsidRPr="00654166">
        <w:rPr>
          <w:lang w:val="en-GB"/>
        </w:rPr>
        <w:t xml:space="preserve">As a result of industry feedback, we intend to </w:t>
      </w:r>
      <w:bookmarkStart w:id="17" w:name="_Hlk77934886"/>
      <w:r w:rsidRPr="00654166">
        <w:rPr>
          <w:lang w:val="en-GB"/>
        </w:rPr>
        <w:t xml:space="preserve">extend the initially proposed </w:t>
      </w:r>
      <w:r w:rsidR="00EF0549">
        <w:rPr>
          <w:lang w:val="en-GB"/>
        </w:rPr>
        <w:t>6</w:t>
      </w:r>
      <w:r w:rsidR="00EF0549">
        <w:rPr>
          <w:lang w:val="en-GB"/>
        </w:rPr>
        <w:noBreakHyphen/>
      </w:r>
      <w:r w:rsidRPr="00654166">
        <w:rPr>
          <w:lang w:val="en-GB"/>
        </w:rPr>
        <w:t xml:space="preserve">month transition period to </w:t>
      </w:r>
      <w:r w:rsidR="00EF0549">
        <w:rPr>
          <w:lang w:val="en-GB"/>
        </w:rPr>
        <w:t xml:space="preserve">12 </w:t>
      </w:r>
      <w:r w:rsidRPr="00654166">
        <w:rPr>
          <w:lang w:val="en-GB"/>
        </w:rPr>
        <w:t xml:space="preserve">months </w:t>
      </w:r>
      <w:bookmarkEnd w:id="17"/>
      <w:r w:rsidRPr="00654166">
        <w:rPr>
          <w:lang w:val="en-GB"/>
        </w:rPr>
        <w:t xml:space="preserve">from the date the </w:t>
      </w:r>
      <w:r w:rsidR="00EF0549">
        <w:rPr>
          <w:lang w:val="en-GB"/>
        </w:rPr>
        <w:t>p</w:t>
      </w:r>
      <w:r w:rsidRPr="00654166">
        <w:rPr>
          <w:lang w:val="en-GB"/>
        </w:rPr>
        <w:t xml:space="preserve">roposed </w:t>
      </w:r>
      <w:r w:rsidR="00EF0549">
        <w:rPr>
          <w:lang w:val="en-GB"/>
        </w:rPr>
        <w:t>r</w:t>
      </w:r>
      <w:r w:rsidRPr="00654166">
        <w:rPr>
          <w:lang w:val="en-GB"/>
        </w:rPr>
        <w:t xml:space="preserve">ules are made. </w:t>
      </w:r>
    </w:p>
    <w:p w14:paraId="7BD0AE7B" w14:textId="0D67E1A7" w:rsidR="001804AA" w:rsidRPr="006B11B4" w:rsidRDefault="001804AA" w:rsidP="00357304">
      <w:pPr>
        <w:pStyle w:val="BodyText1"/>
      </w:pPr>
      <w:r w:rsidRPr="006B11B4">
        <w:t xml:space="preserve">In large part, this change responds to submissions that more time is needed to update </w:t>
      </w:r>
      <w:r w:rsidR="0098783D" w:rsidRPr="006B11B4">
        <w:t>contractual</w:t>
      </w:r>
      <w:r w:rsidRPr="006B11B4">
        <w:t xml:space="preserve"> agreements for outsourcing arrangements to meet the new requirements. This extended transition period will provide additional time for market operators and</w:t>
      </w:r>
      <w:r w:rsidR="009235EB">
        <w:t xml:space="preserve"> market</w:t>
      </w:r>
      <w:r w:rsidRPr="006B11B4">
        <w:t xml:space="preserve"> participants to make changes to processes and controls to comply with the </w:t>
      </w:r>
      <w:r w:rsidR="00EF0549">
        <w:t>p</w:t>
      </w:r>
      <w:r w:rsidR="0098783D" w:rsidRPr="006B11B4">
        <w:t>roposed</w:t>
      </w:r>
      <w:r w:rsidRPr="006B11B4">
        <w:t xml:space="preserve"> </w:t>
      </w:r>
      <w:r w:rsidR="00EF0549">
        <w:t>r</w:t>
      </w:r>
      <w:r w:rsidRPr="006B11B4">
        <w:t>ules. The extension also recognises that progress may be slower in the current COVID-</w:t>
      </w:r>
      <w:r w:rsidR="00796E98">
        <w:t xml:space="preserve">19 </w:t>
      </w:r>
      <w:r w:rsidRPr="006B11B4">
        <w:t>environment.</w:t>
      </w:r>
    </w:p>
    <w:p w14:paraId="19306994" w14:textId="5CC6CD41" w:rsidR="001804AA" w:rsidRPr="00654166" w:rsidRDefault="00EB6329" w:rsidP="00357304">
      <w:pPr>
        <w:pStyle w:val="BodyText1"/>
      </w:pPr>
      <w:r w:rsidRPr="00654166">
        <w:t xml:space="preserve">Following </w:t>
      </w:r>
      <w:r w:rsidR="001804AA">
        <w:t xml:space="preserve">the making of the </w:t>
      </w:r>
      <w:r w:rsidR="006A00A0">
        <w:t>p</w:t>
      </w:r>
      <w:r w:rsidR="001804AA" w:rsidRPr="00654166">
        <w:t xml:space="preserve">roposed </w:t>
      </w:r>
      <w:r w:rsidR="006A00A0">
        <w:t>r</w:t>
      </w:r>
      <w:r w:rsidR="001804AA" w:rsidRPr="00654166">
        <w:t xml:space="preserve">ules, </w:t>
      </w:r>
      <w:r w:rsidR="006A00A0">
        <w:t>we</w:t>
      </w:r>
      <w:r w:rsidR="00877127" w:rsidRPr="00654166">
        <w:t xml:space="preserve"> intend to</w:t>
      </w:r>
      <w:r w:rsidR="006A00A0">
        <w:t xml:space="preserve"> publish:</w:t>
      </w:r>
    </w:p>
    <w:p w14:paraId="388A77EC" w14:textId="55A2786D" w:rsidR="00877127" w:rsidRPr="0071700F" w:rsidRDefault="006A00A0" w:rsidP="00357304">
      <w:pPr>
        <w:pStyle w:val="subpara"/>
      </w:pPr>
      <w:r w:rsidRPr="0071700F">
        <w:t>REP 000</w:t>
      </w:r>
    </w:p>
    <w:p w14:paraId="5B3E16BB" w14:textId="141D7998" w:rsidR="001804AA" w:rsidRPr="00654166" w:rsidRDefault="001804AA" w:rsidP="00357304">
      <w:pPr>
        <w:pStyle w:val="subpara"/>
      </w:pPr>
      <w:r w:rsidRPr="00696CA9">
        <w:rPr>
          <w:lang w:val="en-AU"/>
        </w:rPr>
        <w:t>up</w:t>
      </w:r>
      <w:r w:rsidRPr="00654166">
        <w:t xml:space="preserve">dated </w:t>
      </w:r>
      <w:r w:rsidR="007A63F5" w:rsidRPr="007A63F5">
        <w:t>Regulatory Guide 265 Guidance on ASIC market integrity rules for participants of securities markets (RG 265), Regulatory Guide 266 Guidance on ASIC market integrity rules for participants of futures markets (RG 266) and Regulatory Guide 172 Financial markets: Domestic and overseas operators (RG 172).</w:t>
      </w:r>
    </w:p>
    <w:p w14:paraId="4CE63FED" w14:textId="090CC161" w:rsidR="001F53DC" w:rsidRPr="00696CA9" w:rsidRDefault="001F53DC" w:rsidP="00696CA9">
      <w:pPr>
        <w:pStyle w:val="BodyText1"/>
        <w:rPr>
          <w:b/>
          <w:bCs w:val="0"/>
        </w:rPr>
      </w:pPr>
      <w:r w:rsidRPr="00F34730">
        <w:lastRenderedPageBreak/>
        <w:t>ASIC’s regulatory regime is regularly reviewed</w:t>
      </w:r>
      <w:r w:rsidR="006A00A0">
        <w:t>. These reviews</w:t>
      </w:r>
      <w:r w:rsidRPr="00F34730">
        <w:t xml:space="preserve"> consider whether the requirements continue to reflect good practice, remain consistent with international standards</w:t>
      </w:r>
      <w:r w:rsidR="003762EB">
        <w:t>,</w:t>
      </w:r>
      <w:r w:rsidRPr="00F34730">
        <w:t xml:space="preserve"> and continue to achieve ASIC’s objectives </w:t>
      </w:r>
      <w:r w:rsidR="00796E98">
        <w:t>of</w:t>
      </w:r>
      <w:r w:rsidR="00796E98" w:rsidRPr="00F34730">
        <w:t xml:space="preserve"> </w:t>
      </w:r>
      <w:r w:rsidRPr="00F34730">
        <w:t>facilitating fair, orderly and transparent financial markets.</w:t>
      </w:r>
    </w:p>
    <w:sectPr w:rsidR="001F53DC" w:rsidRPr="00696CA9" w:rsidSect="00357304">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BB5DB" w14:textId="77777777" w:rsidR="00406AEB" w:rsidRDefault="00406AEB" w:rsidP="008E7C78">
      <w:r>
        <w:separator/>
      </w:r>
    </w:p>
  </w:endnote>
  <w:endnote w:type="continuationSeparator" w:id="0">
    <w:p w14:paraId="79248141" w14:textId="77777777" w:rsidR="00406AEB" w:rsidRDefault="00406AEB" w:rsidP="008E7C78">
      <w:r>
        <w:continuationSeparator/>
      </w:r>
    </w:p>
  </w:endnote>
  <w:endnote w:type="continuationNotice" w:id="1">
    <w:p w14:paraId="23490B54" w14:textId="77777777" w:rsidR="00406AEB" w:rsidRDefault="00406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BoldItalic">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Times New Roman">
    <w:altName w:val="Century Gothic"/>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2405266"/>
      <w:docPartObj>
        <w:docPartGallery w:val="Page Numbers (Bottom of Page)"/>
        <w:docPartUnique/>
      </w:docPartObj>
    </w:sdtPr>
    <w:sdtEndPr>
      <w:rPr>
        <w:b/>
        <w:bCs/>
        <w:noProof/>
        <w:sz w:val="18"/>
        <w:szCs w:val="18"/>
      </w:rPr>
    </w:sdtEndPr>
    <w:sdtContent>
      <w:p w14:paraId="79964D6A" w14:textId="6481B5A1" w:rsidR="007A27C5" w:rsidRPr="00316E70" w:rsidRDefault="007A27C5" w:rsidP="00316E70">
        <w:pPr>
          <w:pStyle w:val="Footer"/>
          <w:tabs>
            <w:tab w:val="left" w:pos="0"/>
          </w:tabs>
          <w:jc w:val="right"/>
          <w:rPr>
            <w:b/>
            <w:bCs/>
            <w:sz w:val="18"/>
            <w:szCs w:val="18"/>
          </w:rPr>
        </w:pPr>
        <w:r w:rsidRPr="00316E70">
          <w:rPr>
            <w:sz w:val="18"/>
            <w:szCs w:val="18"/>
          </w:rPr>
          <w:t xml:space="preserve">© Australian Securities and Investments Commission </w:t>
        </w:r>
        <w:r w:rsidR="00BC1FAC">
          <w:rPr>
            <w:sz w:val="18"/>
            <w:szCs w:val="18"/>
          </w:rPr>
          <w:t>November 2021</w:t>
        </w:r>
        <w:r w:rsidRPr="00316E70">
          <w:rPr>
            <w:sz w:val="18"/>
            <w:szCs w:val="18"/>
          </w:rPr>
          <w:tab/>
          <w:t xml:space="preserve">Page </w:t>
        </w:r>
        <w:r w:rsidRPr="00316E70">
          <w:rPr>
            <w:b/>
            <w:bCs/>
            <w:sz w:val="18"/>
            <w:szCs w:val="18"/>
          </w:rPr>
          <w:fldChar w:fldCharType="begin"/>
        </w:r>
        <w:r w:rsidRPr="00696CA9">
          <w:rPr>
            <w:b/>
            <w:bCs/>
            <w:sz w:val="18"/>
            <w:szCs w:val="18"/>
          </w:rPr>
          <w:instrText xml:space="preserve"> PAGE   \* MERGEFORMAT </w:instrText>
        </w:r>
        <w:r w:rsidRPr="00316E70">
          <w:rPr>
            <w:b/>
            <w:bCs/>
            <w:sz w:val="18"/>
            <w:szCs w:val="18"/>
          </w:rPr>
          <w:fldChar w:fldCharType="separate"/>
        </w:r>
        <w:r w:rsidRPr="00696CA9">
          <w:rPr>
            <w:b/>
            <w:bCs/>
            <w:noProof/>
            <w:sz w:val="18"/>
            <w:szCs w:val="18"/>
          </w:rPr>
          <w:t>2</w:t>
        </w:r>
        <w:r w:rsidRPr="00316E70">
          <w:rPr>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D28DE" w14:textId="77777777" w:rsidR="00406AEB" w:rsidRDefault="00406AEB" w:rsidP="008E7C78">
      <w:r>
        <w:separator/>
      </w:r>
    </w:p>
  </w:footnote>
  <w:footnote w:type="continuationSeparator" w:id="0">
    <w:p w14:paraId="66C82CD0" w14:textId="77777777" w:rsidR="00406AEB" w:rsidRDefault="00406AEB" w:rsidP="008E7C78">
      <w:r>
        <w:continuationSeparator/>
      </w:r>
    </w:p>
  </w:footnote>
  <w:footnote w:type="continuationNotice" w:id="1">
    <w:p w14:paraId="578C23E4" w14:textId="77777777" w:rsidR="00406AEB" w:rsidRDefault="00406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588AD" w14:textId="68ACD695" w:rsidR="007A27C5" w:rsidRPr="00696CA9" w:rsidRDefault="007A27C5" w:rsidP="00696CA9">
    <w:pPr>
      <w:pStyle w:val="Header"/>
      <w:jc w:val="right"/>
      <w:rPr>
        <w:sz w:val="18"/>
        <w:szCs w:val="18"/>
      </w:rPr>
    </w:pPr>
    <w:r w:rsidRPr="00696CA9">
      <w:rPr>
        <w:sz w:val="18"/>
        <w:szCs w:val="18"/>
      </w:rPr>
      <w:fldChar w:fldCharType="begin"/>
    </w:r>
    <w:r w:rsidRPr="00696CA9">
      <w:rPr>
        <w:sz w:val="18"/>
        <w:szCs w:val="18"/>
      </w:rPr>
      <w:instrText xml:space="preserve"> STYLEREF  "RIA H1"  \* MERGEFORMAT </w:instrText>
    </w:r>
    <w:r w:rsidRPr="00696CA9">
      <w:rPr>
        <w:sz w:val="18"/>
        <w:szCs w:val="18"/>
      </w:rPr>
      <w:fldChar w:fldCharType="separate"/>
    </w:r>
    <w:r w:rsidR="00C66EE4">
      <w:rPr>
        <w:noProof/>
        <w:sz w:val="18"/>
        <w:szCs w:val="18"/>
      </w:rPr>
      <w:t>Estimate of regulatory compliance burden of market integrity rules for technological and operational resilience</w:t>
    </w:r>
    <w:r w:rsidRPr="00696CA9">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C6808"/>
    <w:multiLevelType w:val="multilevel"/>
    <w:tmpl w:val="227C719E"/>
    <w:lvl w:ilvl="0">
      <w:start w:val="1"/>
      <w:numFmt w:val="decimal"/>
      <w:pStyle w:val="BodyText"/>
      <w:lvlText w:val="%1"/>
      <w:lvlJc w:val="left"/>
      <w:pPr>
        <w:tabs>
          <w:tab w:val="num" w:pos="2268"/>
        </w:tabs>
        <w:ind w:left="2268" w:hanging="1134"/>
      </w:pPr>
      <w:rPr>
        <w:b w:val="0"/>
        <w:i w:val="0"/>
        <w:color w:val="auto"/>
        <w:sz w:val="18"/>
        <w:szCs w:val="18"/>
      </w:rPr>
    </w:lvl>
    <w:lvl w:ilvl="1">
      <w:start w:val="1"/>
      <w:numFmt w:val="lowerLetter"/>
      <w:pStyle w:val="subparaa"/>
      <w:lvlText w:val="(%2)"/>
      <w:lvlJc w:val="left"/>
      <w:pPr>
        <w:tabs>
          <w:tab w:val="num" w:pos="2693"/>
        </w:tabs>
        <w:ind w:left="2693" w:hanging="425"/>
      </w:pPr>
      <w:rPr>
        <w:b w:val="0"/>
        <w:i w:val="0"/>
        <w:color w:val="auto"/>
        <w:sz w:val="18"/>
        <w:szCs w:val="18"/>
      </w:rPr>
    </w:lvl>
    <w:lvl w:ilvl="2">
      <w:start w:val="1"/>
      <w:numFmt w:val="lowerRoman"/>
      <w:pStyle w:val="subsubparai"/>
      <w:lvlText w:val="(%3)"/>
      <w:lvlJc w:val="left"/>
      <w:pPr>
        <w:tabs>
          <w:tab w:val="num" w:pos="3119"/>
        </w:tabs>
        <w:ind w:left="3119" w:hanging="426"/>
      </w:pPr>
      <w:rPr>
        <w:rFonts w:cs="Times New Roman"/>
        <w:b w:val="0"/>
        <w:bCs w:val="0"/>
        <w:i w:val="0"/>
        <w:iCs w:val="0"/>
        <w:caps w:val="0"/>
        <w:strike w:val="0"/>
        <w:dstrike w:val="0"/>
        <w:vanish w:val="0"/>
        <w:webHidden w:val="0"/>
        <w:color w:val="auto"/>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sz w:val="16"/>
        <w:szCs w:val="16"/>
      </w:rPr>
    </w:lvl>
    <w:lvl w:ilvl="4">
      <w:start w:val="1"/>
      <w:numFmt w:val="upperRoman"/>
      <w:pStyle w:val="sub4paraI"/>
      <w:lvlText w:val="(%5)"/>
      <w:lvlJc w:val="left"/>
      <w:pPr>
        <w:tabs>
          <w:tab w:val="num" w:pos="3969"/>
        </w:tabs>
        <w:ind w:left="3969" w:hanging="425"/>
      </w:pPr>
      <w:rPr>
        <w:sz w:val="16"/>
        <w:szCs w:val="16"/>
      </w:rPr>
    </w:lvl>
    <w:lvl w:ilvl="5">
      <w:start w:val="1"/>
      <w:numFmt w:val="none"/>
      <w:lvlText w:val=""/>
      <w:lvlJc w:val="left"/>
      <w:pPr>
        <w:tabs>
          <w:tab w:val="num" w:pos="3960"/>
        </w:tabs>
        <w:ind w:left="2736" w:hanging="936"/>
      </w:pPr>
    </w:lvl>
    <w:lvl w:ilvl="6">
      <w:start w:val="1"/>
      <w:numFmt w:val="none"/>
      <w:lvlText w:val=""/>
      <w:lvlJc w:val="left"/>
      <w:pPr>
        <w:tabs>
          <w:tab w:val="num" w:pos="4320"/>
        </w:tabs>
        <w:ind w:left="3240" w:hanging="1080"/>
      </w:pPr>
    </w:lvl>
    <w:lvl w:ilvl="7">
      <w:start w:val="1"/>
      <w:numFmt w:val="none"/>
      <w:lvlText w:val=""/>
      <w:lvlJc w:val="left"/>
      <w:pPr>
        <w:tabs>
          <w:tab w:val="num" w:pos="5040"/>
        </w:tabs>
        <w:ind w:left="3744" w:hanging="1224"/>
      </w:pPr>
    </w:lvl>
    <w:lvl w:ilvl="8">
      <w:start w:val="1"/>
      <w:numFmt w:val="none"/>
      <w:lvlText w:val=""/>
      <w:lvlJc w:val="left"/>
      <w:pPr>
        <w:tabs>
          <w:tab w:val="num" w:pos="5760"/>
        </w:tabs>
        <w:ind w:left="4320" w:hanging="1440"/>
      </w:pPr>
    </w:lvl>
  </w:abstractNum>
  <w:abstractNum w:abstractNumId="1" w15:restartNumberingAfterBreak="0">
    <w:nsid w:val="37742C8D"/>
    <w:multiLevelType w:val="hybridMultilevel"/>
    <w:tmpl w:val="5EFA028E"/>
    <w:lvl w:ilvl="0" w:tplc="CB0AECB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B5A5FBC"/>
    <w:multiLevelType w:val="multilevel"/>
    <w:tmpl w:val="26C4B786"/>
    <w:lvl w:ilvl="0">
      <w:start w:val="1"/>
      <w:numFmt w:val="decimal"/>
      <w:pStyle w:val="RPC-BodyTextNumbered"/>
      <w:lvlText w:val="%1"/>
      <w:lvlJc w:val="left"/>
      <w:pPr>
        <w:tabs>
          <w:tab w:val="num" w:pos="851"/>
        </w:tabs>
        <w:ind w:left="851" w:hanging="426"/>
      </w:pPr>
      <w:rPr>
        <w:rFonts w:hint="default"/>
        <w:b w:val="0"/>
        <w:i w:val="0"/>
        <w:sz w:val="18"/>
      </w:rPr>
    </w:lvl>
    <w:lvl w:ilvl="1">
      <w:start w:val="1"/>
      <w:numFmt w:val="lowerLetter"/>
      <w:pStyle w:val="RPC-SublistLevel1"/>
      <w:lvlText w:val="(%2)"/>
      <w:lvlJc w:val="left"/>
      <w:pPr>
        <w:tabs>
          <w:tab w:val="num" w:pos="1276"/>
        </w:tabs>
        <w:ind w:left="1276" w:hanging="425"/>
      </w:pPr>
      <w:rPr>
        <w:rFonts w:hint="default"/>
        <w:b w:val="0"/>
        <w:sz w:val="18"/>
      </w:rPr>
    </w:lvl>
    <w:lvl w:ilvl="2">
      <w:start w:val="1"/>
      <w:numFmt w:val="lowerRoman"/>
      <w:pStyle w:val="RPC-SublistLevel2"/>
      <w:lvlText w:val="(%3)"/>
      <w:lvlJc w:val="left"/>
      <w:pPr>
        <w:tabs>
          <w:tab w:val="num" w:pos="1701"/>
        </w:tabs>
        <w:ind w:left="1701" w:hanging="425"/>
      </w:pPr>
      <w:rPr>
        <w:rFonts w:hint="default"/>
        <w:sz w:val="18"/>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28D7CE1"/>
    <w:multiLevelType w:val="multilevel"/>
    <w:tmpl w:val="1F124A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5AB179C"/>
    <w:multiLevelType w:val="multilevel"/>
    <w:tmpl w:val="4412E33A"/>
    <w:lvl w:ilvl="0">
      <w:start w:val="1"/>
      <w:numFmt w:val="decimal"/>
      <w:pStyle w:val="BodyText1"/>
      <w:lvlText w:val="%1."/>
      <w:lvlJc w:val="left"/>
      <w:pPr>
        <w:tabs>
          <w:tab w:val="num" w:pos="567"/>
        </w:tabs>
        <w:ind w:left="567" w:hanging="567"/>
      </w:pPr>
      <w:rPr>
        <w:rFonts w:hint="default"/>
        <w:b w:val="0"/>
        <w:i w:val="0"/>
        <w:sz w:val="22"/>
        <w:szCs w:val="22"/>
      </w:rPr>
    </w:lvl>
    <w:lvl w:ilvl="1">
      <w:start w:val="1"/>
      <w:numFmt w:val="lowerLetter"/>
      <w:pStyle w:val="subpara"/>
      <w:lvlText w:val="(%2)"/>
      <w:lvlJc w:val="left"/>
      <w:pPr>
        <w:tabs>
          <w:tab w:val="num" w:pos="992"/>
        </w:tabs>
        <w:ind w:left="992" w:hanging="425"/>
      </w:pPr>
      <w:rPr>
        <w:rFonts w:hint="default"/>
        <w:b w:val="0"/>
      </w:rPr>
    </w:lvl>
    <w:lvl w:ilvl="2">
      <w:start w:val="1"/>
      <w:numFmt w:val="lowerRoman"/>
      <w:lvlText w:val="(%3)"/>
      <w:lvlJc w:val="right"/>
      <w:pPr>
        <w:ind w:left="1800" w:hanging="180"/>
      </w:pPr>
      <w:rPr>
        <w:rFonts w:hint="default"/>
        <w:b w:val="0"/>
        <w:i w:val="0"/>
      </w:rPr>
    </w:lvl>
    <w:lvl w:ilvl="3">
      <w:start w:val="1"/>
      <w:numFmt w:val="upperLetter"/>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728653C5"/>
    <w:multiLevelType w:val="multilevel"/>
    <w:tmpl w:val="56546CD2"/>
    <w:lvl w:ilvl="0">
      <w:start w:val="1"/>
      <w:numFmt w:val="none"/>
      <w:pStyle w:val="Heading1"/>
      <w:lvlText w:val=""/>
      <w:lvlJc w:val="left"/>
      <w:pPr>
        <w:ind w:left="0" w:firstLine="0"/>
      </w:pPr>
      <w:rPr>
        <w:rFonts w:ascii="Century Gothic" w:hAnsi="Century Gothic" w:hint="default"/>
        <w:b/>
        <w:i w:val="0"/>
        <w:color w:val="0070C0"/>
        <w:sz w:val="28"/>
      </w:rPr>
    </w:lvl>
    <w:lvl w:ilvl="1">
      <w:start w:val="1"/>
      <w:numFmt w:val="decimal"/>
      <w:lvlRestart w:val="0"/>
      <w:pStyle w:val="ListPara1"/>
      <w:lvlText w:val="%2."/>
      <w:lvlJc w:val="left"/>
      <w:pPr>
        <w:ind w:left="3742" w:hanging="340"/>
      </w:pPr>
      <w:rPr>
        <w:rFonts w:ascii="Century Gothic" w:hAnsi="Century Gothic" w:hint="default"/>
        <w:b w:val="0"/>
        <w:bCs w:val="0"/>
        <w:sz w:val="22"/>
        <w:szCs w:val="22"/>
      </w:rPr>
    </w:lvl>
    <w:lvl w:ilvl="2">
      <w:start w:val="1"/>
      <w:numFmt w:val="decimal"/>
      <w:pStyle w:val="ListPara2"/>
      <w:lvlText w:val="%2.%3"/>
      <w:lvlJc w:val="left"/>
      <w:pPr>
        <w:ind w:left="1134" w:hanging="45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7A4C1686"/>
    <w:multiLevelType w:val="hybridMultilevel"/>
    <w:tmpl w:val="4FDC40DC"/>
    <w:lvl w:ilvl="0" w:tplc="8696C074">
      <w:start w:val="1"/>
      <w:numFmt w:val="upperLetter"/>
      <w:pStyle w:val="RIAH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F9"/>
    <w:rsid w:val="00003684"/>
    <w:rsid w:val="0001158D"/>
    <w:rsid w:val="00021247"/>
    <w:rsid w:val="00054F70"/>
    <w:rsid w:val="0005527B"/>
    <w:rsid w:val="000601FB"/>
    <w:rsid w:val="000772DA"/>
    <w:rsid w:val="00091E01"/>
    <w:rsid w:val="000A0A17"/>
    <w:rsid w:val="000A365C"/>
    <w:rsid w:val="000A4E88"/>
    <w:rsid w:val="000B3EEF"/>
    <w:rsid w:val="000D6877"/>
    <w:rsid w:val="000E2A46"/>
    <w:rsid w:val="000E5EC4"/>
    <w:rsid w:val="00107E1A"/>
    <w:rsid w:val="001128D5"/>
    <w:rsid w:val="001130EB"/>
    <w:rsid w:val="00130737"/>
    <w:rsid w:val="0013206B"/>
    <w:rsid w:val="00144D2A"/>
    <w:rsid w:val="001512F2"/>
    <w:rsid w:val="00163DC7"/>
    <w:rsid w:val="00174A05"/>
    <w:rsid w:val="001804AA"/>
    <w:rsid w:val="001817F4"/>
    <w:rsid w:val="001915CA"/>
    <w:rsid w:val="001A1F8D"/>
    <w:rsid w:val="001A42EA"/>
    <w:rsid w:val="001A6D7F"/>
    <w:rsid w:val="001A7C50"/>
    <w:rsid w:val="001B2D06"/>
    <w:rsid w:val="001C1509"/>
    <w:rsid w:val="001C1B78"/>
    <w:rsid w:val="001D5717"/>
    <w:rsid w:val="001D6C46"/>
    <w:rsid w:val="001E2FF4"/>
    <w:rsid w:val="001F3687"/>
    <w:rsid w:val="001F53DC"/>
    <w:rsid w:val="00233EEA"/>
    <w:rsid w:val="002516A5"/>
    <w:rsid w:val="00251CF2"/>
    <w:rsid w:val="00255C94"/>
    <w:rsid w:val="00257CB7"/>
    <w:rsid w:val="00265AE6"/>
    <w:rsid w:val="002C7ED7"/>
    <w:rsid w:val="002E5A81"/>
    <w:rsid w:val="002F5B1F"/>
    <w:rsid w:val="00307411"/>
    <w:rsid w:val="0031259F"/>
    <w:rsid w:val="00316E70"/>
    <w:rsid w:val="00320D0E"/>
    <w:rsid w:val="00324F2E"/>
    <w:rsid w:val="00332DA3"/>
    <w:rsid w:val="00333CBB"/>
    <w:rsid w:val="00343DDA"/>
    <w:rsid w:val="0034465A"/>
    <w:rsid w:val="00357304"/>
    <w:rsid w:val="00360416"/>
    <w:rsid w:val="00363308"/>
    <w:rsid w:val="003762EB"/>
    <w:rsid w:val="0038267F"/>
    <w:rsid w:val="00384B20"/>
    <w:rsid w:val="003877DB"/>
    <w:rsid w:val="00397C93"/>
    <w:rsid w:val="003B4473"/>
    <w:rsid w:val="003C1AED"/>
    <w:rsid w:val="003C2F23"/>
    <w:rsid w:val="003C7057"/>
    <w:rsid w:val="003D1195"/>
    <w:rsid w:val="003D78DA"/>
    <w:rsid w:val="003E0065"/>
    <w:rsid w:val="003E3F05"/>
    <w:rsid w:val="003F5BD7"/>
    <w:rsid w:val="00400FCD"/>
    <w:rsid w:val="00406AEB"/>
    <w:rsid w:val="0041301B"/>
    <w:rsid w:val="00431E34"/>
    <w:rsid w:val="00434D69"/>
    <w:rsid w:val="004405B6"/>
    <w:rsid w:val="00440905"/>
    <w:rsid w:val="0044195A"/>
    <w:rsid w:val="00445096"/>
    <w:rsid w:val="00456B1A"/>
    <w:rsid w:val="00464434"/>
    <w:rsid w:val="004A7BC7"/>
    <w:rsid w:val="004B150C"/>
    <w:rsid w:val="004C1869"/>
    <w:rsid w:val="004E3BF6"/>
    <w:rsid w:val="00512251"/>
    <w:rsid w:val="00515938"/>
    <w:rsid w:val="0052771B"/>
    <w:rsid w:val="00527913"/>
    <w:rsid w:val="005316D8"/>
    <w:rsid w:val="0053520C"/>
    <w:rsid w:val="00537EC5"/>
    <w:rsid w:val="005417DA"/>
    <w:rsid w:val="00543EB7"/>
    <w:rsid w:val="005612CB"/>
    <w:rsid w:val="005641B5"/>
    <w:rsid w:val="00564254"/>
    <w:rsid w:val="00570B97"/>
    <w:rsid w:val="005852C7"/>
    <w:rsid w:val="005927CF"/>
    <w:rsid w:val="00592F80"/>
    <w:rsid w:val="005970BC"/>
    <w:rsid w:val="005B3489"/>
    <w:rsid w:val="005D4A1B"/>
    <w:rsid w:val="005D6DEB"/>
    <w:rsid w:val="005E0F3D"/>
    <w:rsid w:val="005E7183"/>
    <w:rsid w:val="0060008F"/>
    <w:rsid w:val="00600AFD"/>
    <w:rsid w:val="00612FD6"/>
    <w:rsid w:val="0061311F"/>
    <w:rsid w:val="00621136"/>
    <w:rsid w:val="00627C7C"/>
    <w:rsid w:val="006350DD"/>
    <w:rsid w:val="00640119"/>
    <w:rsid w:val="006437AA"/>
    <w:rsid w:val="00643F01"/>
    <w:rsid w:val="00654166"/>
    <w:rsid w:val="00662CE5"/>
    <w:rsid w:val="0067281B"/>
    <w:rsid w:val="00696CA9"/>
    <w:rsid w:val="006A00A0"/>
    <w:rsid w:val="006A6B30"/>
    <w:rsid w:val="006B11B4"/>
    <w:rsid w:val="006B20AE"/>
    <w:rsid w:val="006B6C40"/>
    <w:rsid w:val="006F0BE8"/>
    <w:rsid w:val="007138DD"/>
    <w:rsid w:val="00715DA4"/>
    <w:rsid w:val="0071700F"/>
    <w:rsid w:val="00721301"/>
    <w:rsid w:val="007215FB"/>
    <w:rsid w:val="00722DB7"/>
    <w:rsid w:val="00724B1C"/>
    <w:rsid w:val="00727742"/>
    <w:rsid w:val="007323EB"/>
    <w:rsid w:val="007348DD"/>
    <w:rsid w:val="007657A1"/>
    <w:rsid w:val="00767304"/>
    <w:rsid w:val="00767BED"/>
    <w:rsid w:val="00771960"/>
    <w:rsid w:val="0078420A"/>
    <w:rsid w:val="00796E98"/>
    <w:rsid w:val="007A2302"/>
    <w:rsid w:val="007A27C5"/>
    <w:rsid w:val="007A63F5"/>
    <w:rsid w:val="007B3091"/>
    <w:rsid w:val="007C368B"/>
    <w:rsid w:val="007D09DC"/>
    <w:rsid w:val="007F03C6"/>
    <w:rsid w:val="00800B53"/>
    <w:rsid w:val="008049FF"/>
    <w:rsid w:val="00811CFD"/>
    <w:rsid w:val="00821ABB"/>
    <w:rsid w:val="008473B8"/>
    <w:rsid w:val="00861DA5"/>
    <w:rsid w:val="00877127"/>
    <w:rsid w:val="008844C2"/>
    <w:rsid w:val="00893996"/>
    <w:rsid w:val="00894AE5"/>
    <w:rsid w:val="00895CE7"/>
    <w:rsid w:val="008A57A0"/>
    <w:rsid w:val="008A757C"/>
    <w:rsid w:val="008B325B"/>
    <w:rsid w:val="008B535E"/>
    <w:rsid w:val="008B5C79"/>
    <w:rsid w:val="008C0823"/>
    <w:rsid w:val="008C29BC"/>
    <w:rsid w:val="008C4F66"/>
    <w:rsid w:val="008C7C32"/>
    <w:rsid w:val="008D11F5"/>
    <w:rsid w:val="008D5C0D"/>
    <w:rsid w:val="008D623E"/>
    <w:rsid w:val="008E7C78"/>
    <w:rsid w:val="008F6800"/>
    <w:rsid w:val="009147F4"/>
    <w:rsid w:val="00914915"/>
    <w:rsid w:val="009235EB"/>
    <w:rsid w:val="00923C97"/>
    <w:rsid w:val="009626D4"/>
    <w:rsid w:val="00974CCC"/>
    <w:rsid w:val="0097668D"/>
    <w:rsid w:val="0098783D"/>
    <w:rsid w:val="0099227A"/>
    <w:rsid w:val="009A4B12"/>
    <w:rsid w:val="009B00FE"/>
    <w:rsid w:val="009D0E06"/>
    <w:rsid w:val="009D5204"/>
    <w:rsid w:val="009D796E"/>
    <w:rsid w:val="009E2A7B"/>
    <w:rsid w:val="009E2EBC"/>
    <w:rsid w:val="009E574C"/>
    <w:rsid w:val="009F1BE7"/>
    <w:rsid w:val="009F4BF1"/>
    <w:rsid w:val="00A06E90"/>
    <w:rsid w:val="00A07CD5"/>
    <w:rsid w:val="00A1307F"/>
    <w:rsid w:val="00A300AD"/>
    <w:rsid w:val="00A306B0"/>
    <w:rsid w:val="00A314F7"/>
    <w:rsid w:val="00A4120F"/>
    <w:rsid w:val="00A5117C"/>
    <w:rsid w:val="00A57D1E"/>
    <w:rsid w:val="00A66E15"/>
    <w:rsid w:val="00A72853"/>
    <w:rsid w:val="00A76878"/>
    <w:rsid w:val="00A83515"/>
    <w:rsid w:val="00A95AF7"/>
    <w:rsid w:val="00A96564"/>
    <w:rsid w:val="00A978E0"/>
    <w:rsid w:val="00AA2194"/>
    <w:rsid w:val="00AA260F"/>
    <w:rsid w:val="00AB1A23"/>
    <w:rsid w:val="00AB2DB5"/>
    <w:rsid w:val="00AC1F1C"/>
    <w:rsid w:val="00AC6F2A"/>
    <w:rsid w:val="00AD6937"/>
    <w:rsid w:val="00AD7D99"/>
    <w:rsid w:val="00AF38BD"/>
    <w:rsid w:val="00AF53EA"/>
    <w:rsid w:val="00B04606"/>
    <w:rsid w:val="00B10FF4"/>
    <w:rsid w:val="00B149AD"/>
    <w:rsid w:val="00B16465"/>
    <w:rsid w:val="00B35216"/>
    <w:rsid w:val="00B4447F"/>
    <w:rsid w:val="00B524FF"/>
    <w:rsid w:val="00B56C82"/>
    <w:rsid w:val="00B72FC0"/>
    <w:rsid w:val="00B75B90"/>
    <w:rsid w:val="00B768F5"/>
    <w:rsid w:val="00BA2D3D"/>
    <w:rsid w:val="00BA39FD"/>
    <w:rsid w:val="00BA7768"/>
    <w:rsid w:val="00BC1FAC"/>
    <w:rsid w:val="00BE0B40"/>
    <w:rsid w:val="00BE4608"/>
    <w:rsid w:val="00BE496A"/>
    <w:rsid w:val="00BF5BB2"/>
    <w:rsid w:val="00BF64F5"/>
    <w:rsid w:val="00C11869"/>
    <w:rsid w:val="00C257E0"/>
    <w:rsid w:val="00C32279"/>
    <w:rsid w:val="00C376F3"/>
    <w:rsid w:val="00C379AD"/>
    <w:rsid w:val="00C46455"/>
    <w:rsid w:val="00C538C0"/>
    <w:rsid w:val="00C6021E"/>
    <w:rsid w:val="00C6159C"/>
    <w:rsid w:val="00C6577F"/>
    <w:rsid w:val="00C66EE4"/>
    <w:rsid w:val="00C82846"/>
    <w:rsid w:val="00C84CAD"/>
    <w:rsid w:val="00C95BAD"/>
    <w:rsid w:val="00C977AC"/>
    <w:rsid w:val="00CA6A9A"/>
    <w:rsid w:val="00CA6FC1"/>
    <w:rsid w:val="00CB1F7D"/>
    <w:rsid w:val="00CB3A00"/>
    <w:rsid w:val="00CD2C42"/>
    <w:rsid w:val="00CD5BE9"/>
    <w:rsid w:val="00CE0BDB"/>
    <w:rsid w:val="00CE5708"/>
    <w:rsid w:val="00CE76CA"/>
    <w:rsid w:val="00CF76C9"/>
    <w:rsid w:val="00D03A70"/>
    <w:rsid w:val="00D078EC"/>
    <w:rsid w:val="00D11AF9"/>
    <w:rsid w:val="00D32F0A"/>
    <w:rsid w:val="00D44C4D"/>
    <w:rsid w:val="00D56758"/>
    <w:rsid w:val="00D62DD2"/>
    <w:rsid w:val="00D71023"/>
    <w:rsid w:val="00D7493C"/>
    <w:rsid w:val="00D90D30"/>
    <w:rsid w:val="00DA253A"/>
    <w:rsid w:val="00DA4BF7"/>
    <w:rsid w:val="00DB1139"/>
    <w:rsid w:val="00DB2FAF"/>
    <w:rsid w:val="00DB3B2D"/>
    <w:rsid w:val="00DC1F20"/>
    <w:rsid w:val="00DF6893"/>
    <w:rsid w:val="00E05F8A"/>
    <w:rsid w:val="00E126B4"/>
    <w:rsid w:val="00E17DB7"/>
    <w:rsid w:val="00E22422"/>
    <w:rsid w:val="00E47E5A"/>
    <w:rsid w:val="00E47F82"/>
    <w:rsid w:val="00E66CB5"/>
    <w:rsid w:val="00E7422B"/>
    <w:rsid w:val="00E85F63"/>
    <w:rsid w:val="00EA5A6C"/>
    <w:rsid w:val="00EB6329"/>
    <w:rsid w:val="00EC354F"/>
    <w:rsid w:val="00EE35C3"/>
    <w:rsid w:val="00EF0549"/>
    <w:rsid w:val="00EF4DC8"/>
    <w:rsid w:val="00EF5484"/>
    <w:rsid w:val="00F237B5"/>
    <w:rsid w:val="00F2629C"/>
    <w:rsid w:val="00F313E2"/>
    <w:rsid w:val="00F34730"/>
    <w:rsid w:val="00F40D57"/>
    <w:rsid w:val="00F46986"/>
    <w:rsid w:val="00F56923"/>
    <w:rsid w:val="00F57ACF"/>
    <w:rsid w:val="00F678FD"/>
    <w:rsid w:val="00F767A9"/>
    <w:rsid w:val="00F83439"/>
    <w:rsid w:val="00F918E1"/>
    <w:rsid w:val="00F95055"/>
    <w:rsid w:val="00FA2AB3"/>
    <w:rsid w:val="00FC2E83"/>
    <w:rsid w:val="00FC443C"/>
    <w:rsid w:val="00FC7DFD"/>
    <w:rsid w:val="00FD3057"/>
    <w:rsid w:val="00FE7C72"/>
    <w:rsid w:val="00FF3AE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50484"/>
  <w15:chartTrackingRefBased/>
  <w15:docId w15:val="{1976E1C9-68DA-4803-8A96-76CC961D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204"/>
    <w:pPr>
      <w:overflowPunct w:val="0"/>
      <w:autoSpaceDE w:val="0"/>
      <w:autoSpaceDN w:val="0"/>
      <w:adjustRightInd w:val="0"/>
      <w:spacing w:after="0" w:line="240" w:lineRule="auto"/>
    </w:pPr>
    <w:rPr>
      <w:rFonts w:ascii="Century Gothic" w:eastAsia="Times New Roman" w:hAnsi="Century Gothic" w:cs="Times New Roman"/>
      <w:szCs w:val="20"/>
    </w:rPr>
  </w:style>
  <w:style w:type="paragraph" w:styleId="Heading1">
    <w:name w:val="heading 1"/>
    <w:basedOn w:val="Normal"/>
    <w:next w:val="Normal"/>
    <w:link w:val="Heading1Char"/>
    <w:uiPriority w:val="9"/>
    <w:qFormat/>
    <w:rsid w:val="006350DD"/>
    <w:pPr>
      <w:keepNext/>
      <w:keepLines/>
      <w:numPr>
        <w:numId w:val="4"/>
      </w:numPr>
      <w:overflowPunct/>
      <w:autoSpaceDE/>
      <w:autoSpaceDN/>
      <w:adjustRightInd/>
      <w:spacing w:before="120" w:after="120" w:line="259" w:lineRule="auto"/>
      <w:outlineLvl w:val="0"/>
    </w:pPr>
    <w:rPr>
      <w:rFonts w:eastAsia="SimSun" w:cstheme="majorBidi"/>
      <w:b/>
      <w:color w:val="0070CE"/>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1 Char,Footnote Sam Char,Issue Action POC Char,3 Char,POCG Table Text Char,Dot pt Char,F5 List Paragraph Char,List Paragraph Char Char Char Char,Indicator Text Char,Colorful List - Accent 11 Char,Numbered Para 1 Char"/>
    <w:link w:val="ListParagraph"/>
    <w:uiPriority w:val="34"/>
    <w:qFormat/>
    <w:locked/>
    <w:rsid w:val="00D11AF9"/>
    <w:rPr>
      <w:rFonts w:ascii="Times New Roman" w:hAnsi="Times New Roman" w:cs="Verdana-BoldItalic"/>
      <w:bCs/>
      <w:iCs/>
      <w:sz w:val="24"/>
      <w:szCs w:val="18"/>
    </w:rPr>
  </w:style>
  <w:style w:type="paragraph" w:styleId="ListParagraph">
    <w:name w:val="List Paragraph"/>
    <w:aliases w:val="List Paragraph1,Footnote Sam,Issue Action POC,3,POCG Table Text,Dot pt,F5 List Paragraph,List Paragraph Char Char Char,Indicator Text,Colorful List - Accent 11,Numbered Para 1,Bullet 1,Bullet Points,List Paragraph2,MAIN CONTENT"/>
    <w:basedOn w:val="Normal"/>
    <w:link w:val="ListParagraphChar"/>
    <w:uiPriority w:val="34"/>
    <w:qFormat/>
    <w:rsid w:val="00D11AF9"/>
    <w:pPr>
      <w:numPr>
        <w:numId w:val="1"/>
      </w:numPr>
      <w:overflowPunct/>
      <w:spacing w:before="120" w:after="120" w:line="280" w:lineRule="atLeast"/>
    </w:pPr>
    <w:rPr>
      <w:rFonts w:ascii="Times New Roman" w:eastAsiaTheme="minorHAnsi" w:hAnsi="Times New Roman" w:cs="Verdana-BoldItalic"/>
      <w:bCs/>
      <w:iCs/>
      <w:sz w:val="24"/>
      <w:szCs w:val="18"/>
    </w:rPr>
  </w:style>
  <w:style w:type="paragraph" w:styleId="BalloonText">
    <w:name w:val="Balloon Text"/>
    <w:basedOn w:val="Normal"/>
    <w:link w:val="BalloonTextChar"/>
    <w:uiPriority w:val="99"/>
    <w:semiHidden/>
    <w:unhideWhenUsed/>
    <w:rsid w:val="008D5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C0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21247"/>
    <w:rPr>
      <w:sz w:val="16"/>
      <w:szCs w:val="16"/>
    </w:rPr>
  </w:style>
  <w:style w:type="paragraph" w:styleId="CommentText">
    <w:name w:val="annotation text"/>
    <w:basedOn w:val="Normal"/>
    <w:link w:val="CommentTextChar"/>
    <w:uiPriority w:val="99"/>
    <w:semiHidden/>
    <w:unhideWhenUsed/>
    <w:rsid w:val="00021247"/>
    <w:pPr>
      <w:overflowPunct/>
      <w:autoSpaceDE/>
      <w:autoSpaceDN/>
      <w:adjustRightInd/>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021247"/>
    <w:rPr>
      <w:sz w:val="20"/>
      <w:szCs w:val="20"/>
    </w:rPr>
  </w:style>
  <w:style w:type="table" w:styleId="TableGrid">
    <w:name w:val="Table Grid"/>
    <w:basedOn w:val="TableNormal"/>
    <w:uiPriority w:val="59"/>
    <w:rsid w:val="00021247"/>
    <w:pPr>
      <w:spacing w:after="120" w:line="240" w:lineRule="auto"/>
    </w:pPr>
    <w:rPr>
      <w:rFonts w:ascii="Arial" w:eastAsia="Times New Roman"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fullwidth">
    <w:name w:val="table title full width"/>
    <w:basedOn w:val="Normal"/>
    <w:rsid w:val="00A1307F"/>
    <w:pPr>
      <w:keepNext/>
      <w:overflowPunct/>
      <w:autoSpaceDE/>
      <w:autoSpaceDN/>
      <w:adjustRightInd/>
      <w:spacing w:before="360" w:after="120" w:line="240" w:lineRule="atLeast"/>
      <w:ind w:left="992" w:hanging="992"/>
    </w:pPr>
    <w:rPr>
      <w:rFonts w:ascii="Arial" w:hAnsi="Arial" w:cs="Arial"/>
      <w:b/>
      <w:sz w:val="20"/>
      <w:lang w:eastAsia="en-AU"/>
    </w:rPr>
  </w:style>
  <w:style w:type="paragraph" w:customStyle="1" w:styleId="tbltext">
    <w:name w:val="tbl text"/>
    <w:basedOn w:val="Normal"/>
    <w:link w:val="tbltextChar"/>
    <w:rsid w:val="00B524FF"/>
    <w:pPr>
      <w:widowControl w:val="0"/>
      <w:overflowPunct/>
      <w:autoSpaceDE/>
      <w:autoSpaceDN/>
      <w:adjustRightInd/>
      <w:spacing w:before="120" w:line="276" w:lineRule="auto"/>
    </w:pPr>
    <w:rPr>
      <w:rFonts w:cs="Arial"/>
      <w:sz w:val="18"/>
      <w:szCs w:val="18"/>
      <w:lang w:eastAsia="en-AU"/>
    </w:rPr>
  </w:style>
  <w:style w:type="paragraph" w:customStyle="1" w:styleId="tablehead">
    <w:name w:val="table head"/>
    <w:basedOn w:val="Normal"/>
    <w:rsid w:val="001C1509"/>
    <w:pPr>
      <w:keepNext/>
      <w:overflowPunct/>
      <w:autoSpaceDE/>
      <w:autoSpaceDN/>
      <w:adjustRightInd/>
      <w:spacing w:before="120" w:line="240" w:lineRule="atLeast"/>
    </w:pPr>
    <w:rPr>
      <w:rFonts w:cs="Arial"/>
      <w:b/>
      <w:sz w:val="18"/>
      <w:szCs w:val="18"/>
      <w:lang w:eastAsia="en-AU"/>
    </w:rPr>
  </w:style>
  <w:style w:type="character" w:customStyle="1" w:styleId="tbltextChar">
    <w:name w:val="tbl text Char"/>
    <w:basedOn w:val="DefaultParagraphFont"/>
    <w:link w:val="tbltext"/>
    <w:rsid w:val="00B524FF"/>
    <w:rPr>
      <w:rFonts w:ascii="Century Gothic" w:eastAsia="Times New Roman" w:hAnsi="Century Gothic" w:cs="Arial"/>
      <w:sz w:val="18"/>
      <w:szCs w:val="18"/>
      <w:lang w:eastAsia="en-AU"/>
    </w:rPr>
  </w:style>
  <w:style w:type="paragraph" w:styleId="Header">
    <w:name w:val="header"/>
    <w:basedOn w:val="Normal"/>
    <w:link w:val="HeaderChar"/>
    <w:uiPriority w:val="99"/>
    <w:unhideWhenUsed/>
    <w:rsid w:val="008E7C78"/>
    <w:pPr>
      <w:tabs>
        <w:tab w:val="center" w:pos="4513"/>
        <w:tab w:val="right" w:pos="9026"/>
      </w:tabs>
    </w:pPr>
  </w:style>
  <w:style w:type="character" w:customStyle="1" w:styleId="HeaderChar">
    <w:name w:val="Header Char"/>
    <w:basedOn w:val="DefaultParagraphFont"/>
    <w:link w:val="Header"/>
    <w:uiPriority w:val="99"/>
    <w:rsid w:val="008E7C78"/>
    <w:rPr>
      <w:rFonts w:ascii="Century Gothic" w:eastAsia="Times New Roman" w:hAnsi="Century Gothic" w:cs="Times New Roman"/>
      <w:szCs w:val="20"/>
    </w:rPr>
  </w:style>
  <w:style w:type="paragraph" w:styleId="Footer">
    <w:name w:val="footer"/>
    <w:basedOn w:val="Normal"/>
    <w:link w:val="FooterChar"/>
    <w:uiPriority w:val="99"/>
    <w:unhideWhenUsed/>
    <w:rsid w:val="008E7C78"/>
    <w:pPr>
      <w:tabs>
        <w:tab w:val="center" w:pos="4513"/>
        <w:tab w:val="right" w:pos="9026"/>
      </w:tabs>
    </w:pPr>
  </w:style>
  <w:style w:type="character" w:customStyle="1" w:styleId="FooterChar">
    <w:name w:val="Footer Char"/>
    <w:basedOn w:val="DefaultParagraphFont"/>
    <w:link w:val="Footer"/>
    <w:uiPriority w:val="99"/>
    <w:rsid w:val="008E7C78"/>
    <w:rPr>
      <w:rFonts w:ascii="Century Gothic" w:eastAsia="Times New Roman" w:hAnsi="Century Gothic" w:cs="Times New Roman"/>
      <w:szCs w:val="20"/>
    </w:rPr>
  </w:style>
  <w:style w:type="paragraph" w:styleId="CommentSubject">
    <w:name w:val="annotation subject"/>
    <w:basedOn w:val="CommentText"/>
    <w:next w:val="CommentText"/>
    <w:link w:val="CommentSubjectChar"/>
    <w:uiPriority w:val="99"/>
    <w:semiHidden/>
    <w:unhideWhenUsed/>
    <w:rsid w:val="008E7C78"/>
    <w:pPr>
      <w:overflowPunct w:val="0"/>
      <w:autoSpaceDE w:val="0"/>
      <w:autoSpaceDN w:val="0"/>
      <w:adjustRightInd w:val="0"/>
      <w:spacing w:after="0"/>
    </w:pPr>
    <w:rPr>
      <w:rFonts w:ascii="Century Gothic" w:eastAsia="Times New Roman" w:hAnsi="Century Gothic" w:cs="Times New Roman"/>
      <w:b/>
      <w:bCs/>
    </w:rPr>
  </w:style>
  <w:style w:type="character" w:customStyle="1" w:styleId="CommentSubjectChar">
    <w:name w:val="Comment Subject Char"/>
    <w:basedOn w:val="CommentTextChar"/>
    <w:link w:val="CommentSubject"/>
    <w:uiPriority w:val="99"/>
    <w:semiHidden/>
    <w:rsid w:val="008E7C78"/>
    <w:rPr>
      <w:rFonts w:ascii="Century Gothic" w:eastAsia="Times New Roman" w:hAnsi="Century Gothic" w:cs="Times New Roman"/>
      <w:b/>
      <w:bCs/>
      <w:sz w:val="20"/>
      <w:szCs w:val="20"/>
    </w:rPr>
  </w:style>
  <w:style w:type="paragraph" w:styleId="FootnoteText">
    <w:name w:val="footnote text"/>
    <w:basedOn w:val="Normal"/>
    <w:link w:val="FootnoteTextChar"/>
    <w:uiPriority w:val="99"/>
    <w:semiHidden/>
    <w:unhideWhenUsed/>
    <w:rsid w:val="00EA5A6C"/>
    <w:rPr>
      <w:sz w:val="20"/>
    </w:rPr>
  </w:style>
  <w:style w:type="character" w:customStyle="1" w:styleId="FootnoteTextChar">
    <w:name w:val="Footnote Text Char"/>
    <w:basedOn w:val="DefaultParagraphFont"/>
    <w:link w:val="FootnoteText"/>
    <w:uiPriority w:val="99"/>
    <w:semiHidden/>
    <w:rsid w:val="00EA5A6C"/>
    <w:rPr>
      <w:rFonts w:ascii="Century Gothic" w:eastAsia="Times New Roman" w:hAnsi="Century Gothic" w:cs="Times New Roman"/>
      <w:sz w:val="20"/>
      <w:szCs w:val="20"/>
    </w:rPr>
  </w:style>
  <w:style w:type="character" w:styleId="FootnoteReference">
    <w:name w:val="footnote reference"/>
    <w:basedOn w:val="DefaultParagraphFont"/>
    <w:uiPriority w:val="99"/>
    <w:semiHidden/>
    <w:unhideWhenUsed/>
    <w:rsid w:val="00EA5A6C"/>
    <w:rPr>
      <w:vertAlign w:val="superscript"/>
    </w:rPr>
  </w:style>
  <w:style w:type="character" w:customStyle="1" w:styleId="Heading1Char">
    <w:name w:val="Heading 1 Char"/>
    <w:basedOn w:val="DefaultParagraphFont"/>
    <w:link w:val="Heading1"/>
    <w:uiPriority w:val="9"/>
    <w:rsid w:val="006350DD"/>
    <w:rPr>
      <w:rFonts w:ascii="Century Gothic" w:eastAsia="SimSun" w:hAnsi="Century Gothic" w:cstheme="majorBidi"/>
      <w:b/>
      <w:color w:val="0070CE"/>
      <w:sz w:val="28"/>
      <w:szCs w:val="28"/>
      <w:lang w:val="en-GB" w:eastAsia="zh-CN"/>
    </w:rPr>
  </w:style>
  <w:style w:type="paragraph" w:customStyle="1" w:styleId="ListPara1">
    <w:name w:val="List Para 1"/>
    <w:basedOn w:val="Normal"/>
    <w:link w:val="ListPara1Char"/>
    <w:uiPriority w:val="4"/>
    <w:qFormat/>
    <w:rsid w:val="006350DD"/>
    <w:pPr>
      <w:numPr>
        <w:ilvl w:val="1"/>
        <w:numId w:val="4"/>
      </w:numPr>
      <w:overflowPunct/>
      <w:autoSpaceDE/>
      <w:autoSpaceDN/>
      <w:adjustRightInd/>
      <w:spacing w:after="200" w:line="276" w:lineRule="auto"/>
    </w:pPr>
    <w:rPr>
      <w:rFonts w:cs="Arial"/>
      <w:szCs w:val="22"/>
      <w:lang w:val="en-US" w:eastAsia="en-AU"/>
    </w:rPr>
  </w:style>
  <w:style w:type="character" w:customStyle="1" w:styleId="ListPara1Char">
    <w:name w:val="List Para 1 Char"/>
    <w:basedOn w:val="DefaultParagraphFont"/>
    <w:link w:val="ListPara1"/>
    <w:uiPriority w:val="4"/>
    <w:rsid w:val="006350DD"/>
    <w:rPr>
      <w:rFonts w:ascii="Century Gothic" w:eastAsia="Times New Roman" w:hAnsi="Century Gothic" w:cs="Arial"/>
      <w:lang w:val="en-US" w:eastAsia="en-AU"/>
    </w:rPr>
  </w:style>
  <w:style w:type="paragraph" w:customStyle="1" w:styleId="ListPara2">
    <w:name w:val="List Para 2"/>
    <w:basedOn w:val="Normal"/>
    <w:qFormat/>
    <w:rsid w:val="006350DD"/>
    <w:pPr>
      <w:numPr>
        <w:ilvl w:val="2"/>
        <w:numId w:val="4"/>
      </w:numPr>
      <w:overflowPunct/>
      <w:autoSpaceDE/>
      <w:autoSpaceDN/>
      <w:adjustRightInd/>
      <w:spacing w:after="160" w:line="259" w:lineRule="auto"/>
    </w:pPr>
    <w:rPr>
      <w:rFonts w:eastAsiaTheme="minorHAnsi" w:cstheme="minorBidi"/>
    </w:rPr>
  </w:style>
  <w:style w:type="paragraph" w:customStyle="1" w:styleId="RPC-BodyTextNumbered">
    <w:name w:val="RPC - Body Text (Numbered)"/>
    <w:basedOn w:val="Normal"/>
    <w:link w:val="RPC-BodyTextNumberedChar"/>
    <w:qFormat/>
    <w:rsid w:val="00640119"/>
    <w:pPr>
      <w:numPr>
        <w:numId w:val="5"/>
      </w:numPr>
      <w:overflowPunct/>
      <w:autoSpaceDE/>
      <w:autoSpaceDN/>
      <w:adjustRightInd/>
      <w:spacing w:before="200"/>
    </w:pPr>
    <w:rPr>
      <w:rFonts w:ascii="Times New Roman" w:eastAsiaTheme="minorHAnsi" w:hAnsi="Times New Roman" w:cstheme="minorBidi"/>
      <w:szCs w:val="22"/>
    </w:rPr>
  </w:style>
  <w:style w:type="paragraph" w:customStyle="1" w:styleId="RPC-SublistLevel1">
    <w:name w:val="RPC - Sublist Level 1"/>
    <w:basedOn w:val="RPC-BodyTextNumbered"/>
    <w:qFormat/>
    <w:rsid w:val="00640119"/>
    <w:pPr>
      <w:numPr>
        <w:ilvl w:val="1"/>
      </w:numPr>
      <w:spacing w:before="120"/>
    </w:pPr>
  </w:style>
  <w:style w:type="paragraph" w:customStyle="1" w:styleId="RPC-SublistLevel2">
    <w:name w:val="RPC - Sublist Level 2"/>
    <w:basedOn w:val="RPC-SublistLevel1"/>
    <w:qFormat/>
    <w:rsid w:val="00640119"/>
    <w:pPr>
      <w:numPr>
        <w:ilvl w:val="2"/>
      </w:numPr>
      <w:tabs>
        <w:tab w:val="clear" w:pos="1701"/>
      </w:tabs>
      <w:ind w:left="2160" w:hanging="360"/>
    </w:pPr>
  </w:style>
  <w:style w:type="character" w:customStyle="1" w:styleId="RPC-BodyTextNumberedChar">
    <w:name w:val="RPC - Body Text (Numbered) Char"/>
    <w:basedOn w:val="DefaultParagraphFont"/>
    <w:link w:val="RPC-BodyTextNumbered"/>
    <w:rsid w:val="00640119"/>
    <w:rPr>
      <w:rFonts w:ascii="Times New Roman" w:hAnsi="Times New Roman"/>
    </w:rPr>
  </w:style>
  <w:style w:type="paragraph" w:styleId="BodyText">
    <w:name w:val="Body Text"/>
    <w:basedOn w:val="Normal"/>
    <w:link w:val="BodyTextChar"/>
    <w:unhideWhenUsed/>
    <w:rsid w:val="008473B8"/>
    <w:pPr>
      <w:numPr>
        <w:numId w:val="6"/>
      </w:numPr>
      <w:overflowPunct/>
      <w:autoSpaceDE/>
      <w:autoSpaceDN/>
      <w:adjustRightInd/>
      <w:spacing w:before="200" w:line="300" w:lineRule="atLeast"/>
    </w:pPr>
    <w:rPr>
      <w:rFonts w:ascii="Times New Roman" w:hAnsi="Times New Roman"/>
      <w:szCs w:val="22"/>
      <w:lang w:eastAsia="en-AU"/>
    </w:rPr>
  </w:style>
  <w:style w:type="character" w:customStyle="1" w:styleId="BodyTextChar">
    <w:name w:val="Body Text Char"/>
    <w:basedOn w:val="DefaultParagraphFont"/>
    <w:link w:val="BodyText"/>
    <w:rsid w:val="008473B8"/>
    <w:rPr>
      <w:rFonts w:ascii="Times New Roman" w:eastAsia="Times New Roman" w:hAnsi="Times New Roman" w:cs="Times New Roman"/>
      <w:lang w:eastAsia="en-AU"/>
    </w:rPr>
  </w:style>
  <w:style w:type="paragraph" w:customStyle="1" w:styleId="subparaa">
    <w:name w:val="sub para (a)"/>
    <w:basedOn w:val="BodyText"/>
    <w:rsid w:val="008473B8"/>
    <w:pPr>
      <w:numPr>
        <w:ilvl w:val="1"/>
      </w:numPr>
      <w:spacing w:before="100"/>
    </w:pPr>
  </w:style>
  <w:style w:type="paragraph" w:customStyle="1" w:styleId="subsubparai">
    <w:name w:val="sub sub para (i)"/>
    <w:basedOn w:val="subparaa"/>
    <w:rsid w:val="008473B8"/>
    <w:pPr>
      <w:numPr>
        <w:ilvl w:val="2"/>
      </w:numPr>
    </w:pPr>
  </w:style>
  <w:style w:type="paragraph" w:customStyle="1" w:styleId="sub3paraA">
    <w:name w:val="sub3para (A)"/>
    <w:basedOn w:val="subsubparai"/>
    <w:qFormat/>
    <w:rsid w:val="008473B8"/>
    <w:pPr>
      <w:numPr>
        <w:ilvl w:val="3"/>
      </w:numPr>
    </w:pPr>
  </w:style>
  <w:style w:type="paragraph" w:customStyle="1" w:styleId="sub4paraI">
    <w:name w:val="sub4para (I)"/>
    <w:basedOn w:val="subsubparai"/>
    <w:qFormat/>
    <w:rsid w:val="008473B8"/>
    <w:pPr>
      <w:numPr>
        <w:ilvl w:val="4"/>
      </w:numPr>
    </w:pPr>
  </w:style>
  <w:style w:type="paragraph" w:styleId="Revision">
    <w:name w:val="Revision"/>
    <w:hidden/>
    <w:uiPriority w:val="99"/>
    <w:semiHidden/>
    <w:rsid w:val="00767304"/>
    <w:pPr>
      <w:spacing w:after="0" w:line="240" w:lineRule="auto"/>
    </w:pPr>
    <w:rPr>
      <w:rFonts w:ascii="Century Gothic" w:eastAsia="Times New Roman" w:hAnsi="Century Gothic" w:cs="Times New Roman"/>
      <w:szCs w:val="20"/>
    </w:rPr>
  </w:style>
  <w:style w:type="table" w:customStyle="1" w:styleId="TableGrid1">
    <w:name w:val="Table Grid1"/>
    <w:basedOn w:val="TableNormal"/>
    <w:next w:val="TableGrid"/>
    <w:uiPriority w:val="59"/>
    <w:rsid w:val="001A6D7F"/>
    <w:pPr>
      <w:spacing w:after="0" w:line="240" w:lineRule="auto"/>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AH1">
    <w:name w:val="RIA H1"/>
    <w:basedOn w:val="Normal"/>
    <w:link w:val="RIAH1Char"/>
    <w:qFormat/>
    <w:rsid w:val="006437AA"/>
    <w:pPr>
      <w:overflowPunct/>
      <w:autoSpaceDE/>
      <w:adjustRightInd/>
      <w:spacing w:after="160" w:line="257" w:lineRule="auto"/>
      <w:outlineLvl w:val="0"/>
    </w:pPr>
    <w:rPr>
      <w:b/>
      <w:bCs/>
      <w:iCs/>
      <w:sz w:val="36"/>
      <w:szCs w:val="36"/>
    </w:rPr>
  </w:style>
  <w:style w:type="paragraph" w:customStyle="1" w:styleId="RIAH2">
    <w:name w:val="RIA H2"/>
    <w:basedOn w:val="ListParagraph"/>
    <w:link w:val="RIAH2Char"/>
    <w:qFormat/>
    <w:rsid w:val="00357304"/>
    <w:pPr>
      <w:keepNext/>
      <w:numPr>
        <w:numId w:val="3"/>
      </w:numPr>
      <w:autoSpaceDE/>
      <w:adjustRightInd/>
      <w:spacing w:before="360" w:after="0" w:line="240" w:lineRule="atLeast"/>
      <w:ind w:left="567" w:hanging="567"/>
      <w:outlineLvl w:val="1"/>
    </w:pPr>
    <w:rPr>
      <w:rFonts w:ascii="Century Gothic" w:hAnsi="Century Gothic"/>
      <w:b/>
      <w:sz w:val="22"/>
      <w:szCs w:val="22"/>
    </w:rPr>
  </w:style>
  <w:style w:type="character" w:customStyle="1" w:styleId="RIAH1Char">
    <w:name w:val="RIA H1 Char"/>
    <w:basedOn w:val="DefaultParagraphFont"/>
    <w:link w:val="RIAH1"/>
    <w:rsid w:val="006437AA"/>
    <w:rPr>
      <w:rFonts w:ascii="Century Gothic" w:eastAsia="Times New Roman" w:hAnsi="Century Gothic" w:cs="Times New Roman"/>
      <w:b/>
      <w:bCs/>
      <w:iCs/>
      <w:sz w:val="36"/>
      <w:szCs w:val="36"/>
    </w:rPr>
  </w:style>
  <w:style w:type="paragraph" w:customStyle="1" w:styleId="RIAH3">
    <w:name w:val="RIA H3"/>
    <w:basedOn w:val="ListParagraph"/>
    <w:link w:val="RIAH3Char"/>
    <w:qFormat/>
    <w:rsid w:val="001C1509"/>
    <w:pPr>
      <w:keepNext/>
      <w:numPr>
        <w:numId w:val="0"/>
      </w:numPr>
      <w:spacing w:before="240" w:after="0" w:line="240" w:lineRule="atLeast"/>
      <w:ind w:left="567"/>
      <w:outlineLvl w:val="2"/>
    </w:pPr>
    <w:rPr>
      <w:rFonts w:ascii="Century Gothic" w:hAnsi="Century Gothic"/>
      <w:b/>
      <w:bCs w:val="0"/>
      <w:i/>
      <w:iCs w:val="0"/>
      <w:sz w:val="22"/>
      <w:szCs w:val="22"/>
    </w:rPr>
  </w:style>
  <w:style w:type="character" w:customStyle="1" w:styleId="RIAH2Char">
    <w:name w:val="RIA H2 Char"/>
    <w:basedOn w:val="ListParagraphChar"/>
    <w:link w:val="RIAH2"/>
    <w:rsid w:val="00357304"/>
    <w:rPr>
      <w:rFonts w:ascii="Century Gothic" w:hAnsi="Century Gothic" w:cs="Verdana-BoldItalic"/>
      <w:b/>
      <w:bCs/>
      <w:iCs/>
      <w:sz w:val="24"/>
      <w:szCs w:val="18"/>
    </w:rPr>
  </w:style>
  <w:style w:type="paragraph" w:styleId="Caption">
    <w:name w:val="caption"/>
    <w:basedOn w:val="Normal"/>
    <w:next w:val="Normal"/>
    <w:uiPriority w:val="35"/>
    <w:unhideWhenUsed/>
    <w:qFormat/>
    <w:rsid w:val="001E2FF4"/>
    <w:pPr>
      <w:keepNext/>
      <w:tabs>
        <w:tab w:val="left" w:pos="1418"/>
      </w:tabs>
      <w:spacing w:before="240" w:after="120"/>
      <w:ind w:left="567"/>
    </w:pPr>
    <w:rPr>
      <w:b/>
      <w:bCs/>
      <w:sz w:val="18"/>
      <w:szCs w:val="18"/>
    </w:rPr>
  </w:style>
  <w:style w:type="character" w:customStyle="1" w:styleId="RIAH3Char">
    <w:name w:val="RIA H3 Char"/>
    <w:basedOn w:val="ListParagraphChar"/>
    <w:link w:val="RIAH3"/>
    <w:rsid w:val="001C1509"/>
    <w:rPr>
      <w:rFonts w:ascii="Century Gothic" w:hAnsi="Century Gothic" w:cs="Verdana-BoldItalic"/>
      <w:b/>
      <w:bCs w:val="0"/>
      <w:i/>
      <w:iCs w:val="0"/>
      <w:sz w:val="24"/>
      <w:szCs w:val="18"/>
    </w:rPr>
  </w:style>
  <w:style w:type="paragraph" w:customStyle="1" w:styleId="BodyText1">
    <w:name w:val="Body Text1"/>
    <w:basedOn w:val="ListParagraph"/>
    <w:link w:val="BodytextChar0"/>
    <w:qFormat/>
    <w:rsid w:val="00357304"/>
    <w:pPr>
      <w:numPr>
        <w:numId w:val="2"/>
      </w:numPr>
      <w:spacing w:before="200" w:after="0" w:line="240" w:lineRule="atLeast"/>
    </w:pPr>
    <w:rPr>
      <w:rFonts w:ascii="Century Gothic" w:hAnsi="Century Gothic"/>
      <w:iCs w:val="0"/>
      <w:sz w:val="22"/>
      <w:szCs w:val="22"/>
    </w:rPr>
  </w:style>
  <w:style w:type="paragraph" w:customStyle="1" w:styleId="subpara">
    <w:name w:val="sub para"/>
    <w:basedOn w:val="BodyText1"/>
    <w:link w:val="subparaChar"/>
    <w:qFormat/>
    <w:rsid w:val="00357304"/>
    <w:pPr>
      <w:numPr>
        <w:ilvl w:val="1"/>
      </w:numPr>
      <w:spacing w:before="120"/>
    </w:pPr>
    <w:rPr>
      <w:lang w:val="en-GB" w:eastAsia="en-AU"/>
    </w:rPr>
  </w:style>
  <w:style w:type="character" w:customStyle="1" w:styleId="BodytextChar0">
    <w:name w:val="Body text Char"/>
    <w:basedOn w:val="ListParagraphChar"/>
    <w:link w:val="BodyText1"/>
    <w:rsid w:val="00357304"/>
    <w:rPr>
      <w:rFonts w:ascii="Century Gothic" w:hAnsi="Century Gothic" w:cs="Verdana-BoldItalic"/>
      <w:bCs/>
      <w:iCs w:val="0"/>
      <w:sz w:val="24"/>
      <w:szCs w:val="18"/>
    </w:rPr>
  </w:style>
  <w:style w:type="character" w:styleId="Hyperlink">
    <w:name w:val="Hyperlink"/>
    <w:basedOn w:val="DefaultParagraphFont"/>
    <w:uiPriority w:val="99"/>
    <w:unhideWhenUsed/>
    <w:rsid w:val="00B524FF"/>
    <w:rPr>
      <w:color w:val="0563C1" w:themeColor="hyperlink"/>
      <w:u w:val="single"/>
    </w:rPr>
  </w:style>
  <w:style w:type="character" w:customStyle="1" w:styleId="subparaChar">
    <w:name w:val="sub para Char"/>
    <w:basedOn w:val="BodytextChar0"/>
    <w:link w:val="subpara"/>
    <w:rsid w:val="00357304"/>
    <w:rPr>
      <w:rFonts w:ascii="Century Gothic" w:hAnsi="Century Gothic" w:cs="Verdana-BoldItalic"/>
      <w:bCs/>
      <w:iCs w:val="0"/>
      <w:sz w:val="24"/>
      <w:szCs w:val="18"/>
      <w:lang w:val="en-GB" w:eastAsia="en-AU"/>
    </w:rPr>
  </w:style>
  <w:style w:type="character" w:styleId="UnresolvedMention">
    <w:name w:val="Unresolved Mention"/>
    <w:basedOn w:val="DefaultParagraphFont"/>
    <w:uiPriority w:val="99"/>
    <w:semiHidden/>
    <w:unhideWhenUsed/>
    <w:rsid w:val="00B52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010116">
      <w:bodyDiv w:val="1"/>
      <w:marLeft w:val="0"/>
      <w:marRight w:val="0"/>
      <w:marTop w:val="0"/>
      <w:marBottom w:val="0"/>
      <w:divBdr>
        <w:top w:val="none" w:sz="0" w:space="0" w:color="auto"/>
        <w:left w:val="none" w:sz="0" w:space="0" w:color="auto"/>
        <w:bottom w:val="none" w:sz="0" w:space="0" w:color="auto"/>
        <w:right w:val="none" w:sz="0" w:space="0" w:color="auto"/>
      </w:divBdr>
    </w:div>
    <w:div w:id="325088018">
      <w:bodyDiv w:val="1"/>
      <w:marLeft w:val="0"/>
      <w:marRight w:val="0"/>
      <w:marTop w:val="0"/>
      <w:marBottom w:val="0"/>
      <w:divBdr>
        <w:top w:val="none" w:sz="0" w:space="0" w:color="auto"/>
        <w:left w:val="none" w:sz="0" w:space="0" w:color="auto"/>
        <w:bottom w:val="none" w:sz="0" w:space="0" w:color="auto"/>
        <w:right w:val="none" w:sz="0" w:space="0" w:color="auto"/>
      </w:divBdr>
    </w:div>
    <w:div w:id="618680001">
      <w:bodyDiv w:val="1"/>
      <w:marLeft w:val="0"/>
      <w:marRight w:val="0"/>
      <w:marTop w:val="0"/>
      <w:marBottom w:val="0"/>
      <w:divBdr>
        <w:top w:val="none" w:sz="0" w:space="0" w:color="auto"/>
        <w:left w:val="none" w:sz="0" w:space="0" w:color="auto"/>
        <w:bottom w:val="none" w:sz="0" w:space="0" w:color="auto"/>
        <w:right w:val="none" w:sz="0" w:space="0" w:color="auto"/>
      </w:divBdr>
    </w:div>
    <w:div w:id="1243415823">
      <w:bodyDiv w:val="1"/>
      <w:marLeft w:val="0"/>
      <w:marRight w:val="0"/>
      <w:marTop w:val="0"/>
      <w:marBottom w:val="0"/>
      <w:divBdr>
        <w:top w:val="none" w:sz="0" w:space="0" w:color="auto"/>
        <w:left w:val="none" w:sz="0" w:space="0" w:color="auto"/>
        <w:bottom w:val="none" w:sz="0" w:space="0" w:color="auto"/>
        <w:right w:val="none" w:sz="0" w:space="0" w:color="auto"/>
      </w:divBdr>
    </w:div>
    <w:div w:id="1743285496">
      <w:bodyDiv w:val="1"/>
      <w:marLeft w:val="0"/>
      <w:marRight w:val="0"/>
      <w:marTop w:val="0"/>
      <w:marBottom w:val="0"/>
      <w:divBdr>
        <w:top w:val="none" w:sz="0" w:space="0" w:color="auto"/>
        <w:left w:val="none" w:sz="0" w:space="0" w:color="auto"/>
        <w:bottom w:val="none" w:sz="0" w:space="0" w:color="auto"/>
        <w:right w:val="none" w:sz="0" w:space="0" w:color="auto"/>
      </w:divBdr>
    </w:div>
    <w:div w:id="201460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ic.gov.au/regulatory-resources/find-a-document/consultation-papers/cp-314-market-integrity-rules-for-technological-and-operational-resili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ic.gov.au/regulatory-resources/find-a-document/consultation-papers/cp-314-market-integrity-rules-for-technological-and-operational-resili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asic.gov.au/regulatory-resources/find-a-document/consultation-papers/cp-314-market-integrity-rules-for-technological-and-operational-resilien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ic.gov.au/regulatory-resources/find-a-document/consultation-papers/cp-314-market-integrity-rules-for-technological-and-operational-resil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DOCID-322795542-10749</_dlc_DocId>
    <_dlc_DocIdUrl xmlns="4195ad5f-cdf2-4c4a-8d9b-b7944a108e98">
      <Url>https://pmc01.sharepoint.com/sites/CRMOBPR/_layouts/15/DocIdRedir.aspx?ID=DOCID-322795542-10749</Url>
      <Description>DOCID-322795542-10749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88CF94-B7D5-4B13-96BB-B0059BA3871B}">
  <ds:schemaRefs>
    <ds:schemaRef ds:uri="http://schemas.microsoft.com/sharepoint/v3/contenttype/forms"/>
  </ds:schemaRefs>
</ds:datastoreItem>
</file>

<file path=customXml/itemProps2.xml><?xml version="1.0" encoding="utf-8"?>
<ds:datastoreItem xmlns:ds="http://schemas.openxmlformats.org/officeDocument/2006/customXml" ds:itemID="{51055EA2-C217-4BE0-9031-98654379F63B}">
  <ds:schemaRefs>
    <ds:schemaRef ds:uri="http://schemas.microsoft.com/office/2006/metadata/properties"/>
    <ds:schemaRef ds:uri="http://schemas.microsoft.com/office/infopath/2007/PartnerControls"/>
    <ds:schemaRef ds:uri="da7a9ac0-bc47-4684-84e6-3a8e9ac80c12"/>
    <ds:schemaRef ds:uri="17f478ab-373e-4295-9ff0-9b833ad01319"/>
    <ds:schemaRef ds:uri="d9c5d00e-68a4-450a-b525-a7f17b080184"/>
    <ds:schemaRef ds:uri="http://schemas.microsoft.com/sharepoint/v4"/>
  </ds:schemaRefs>
</ds:datastoreItem>
</file>

<file path=customXml/itemProps3.xml><?xml version="1.0" encoding="utf-8"?>
<ds:datastoreItem xmlns:ds="http://schemas.openxmlformats.org/officeDocument/2006/customXml" ds:itemID="{6603750A-3C1F-4FD0-9A00-7CD1313A473D}">
  <ds:schemaRefs>
    <ds:schemaRef ds:uri="http://schemas.openxmlformats.org/officeDocument/2006/bibliography"/>
  </ds:schemaRefs>
</ds:datastoreItem>
</file>

<file path=customXml/itemProps4.xml><?xml version="1.0" encoding="utf-8"?>
<ds:datastoreItem xmlns:ds="http://schemas.openxmlformats.org/officeDocument/2006/customXml" ds:itemID="{E697926D-2A68-43A7-B540-2D4958A8D6C7}"/>
</file>

<file path=customXml/itemProps5.xml><?xml version="1.0" encoding="utf-8"?>
<ds:datastoreItem xmlns:ds="http://schemas.openxmlformats.org/officeDocument/2006/customXml" ds:itemID="{8977962F-7952-4166-93DC-2522CC7E0E93}"/>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11942</Characters>
  <Application>Microsoft Office Word</Application>
  <DocSecurity>0</DocSecurity>
  <Lines>260</Lines>
  <Paragraphs>111</Paragraphs>
  <ScaleCrop>false</ScaleCrop>
  <HeadingPairs>
    <vt:vector size="2" baseType="variant">
      <vt:variant>
        <vt:lpstr>Title</vt:lpstr>
      </vt:variant>
      <vt:variant>
        <vt:i4>1</vt:i4>
      </vt:variant>
    </vt:vector>
  </HeadingPairs>
  <TitlesOfParts>
    <vt:vector size="1" baseType="lpstr">
      <vt:lpstr>Estimate of regulatory compliance burden of market integrity rules for technological and operational resilience</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Estimate of regulatory compliance burden of market integrity rules for technological and operational resilience</dc:title>
  <dc:subject>Estimate of regulatory compliance burden of market integrity rules for technological and operational resilience</dc:subject>
  <dc:creator>ASIC</dc:creator>
  <cp:keywords>Estimate of regulatory compliance burden of market integrity rules for technological and operational resilience</cp:keywords>
  <dc:description/>
  <cp:lastModifiedBy>Sarah Howard</cp:lastModifiedBy>
  <cp:revision>2</cp:revision>
  <cp:lastPrinted>2021-11-04T00:41:00Z</cp:lastPrinted>
  <dcterms:created xsi:type="dcterms:W3CDTF">2022-03-10T00:46:00Z</dcterms:created>
  <dcterms:modified xsi:type="dcterms:W3CDTF">2022-03-10T00:46:00Z</dcterms:modified>
  <cp:category>Estimate of regulatory compliance burden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_dlc_DocIdItemGuid">
    <vt:lpwstr>9def33f2-782c-432e-91aa-5939485ff5bc</vt:lpwstr>
  </property>
</Properties>
</file>