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028F" w14:textId="778A95F9" w:rsidR="000C44E3" w:rsidRDefault="009467F1" w:rsidP="000C44E3">
      <w:bookmarkStart w:id="0" w:name="_GoBack"/>
      <w:bookmarkEnd w:id="0"/>
      <w:r>
        <w:t>4 March 2019</w:t>
      </w:r>
    </w:p>
    <w:p w14:paraId="32C7E099" w14:textId="3F310CCC" w:rsidR="000C44E3" w:rsidRDefault="000C44E3" w:rsidP="000C44E3"/>
    <w:p w14:paraId="39000D59" w14:textId="03B418A2" w:rsidR="000C44E3" w:rsidRPr="0074655C" w:rsidRDefault="000C44E3" w:rsidP="009958E6">
      <w:pPr>
        <w:pStyle w:val="LetterCAPSTitle"/>
      </w:pPr>
      <w:r w:rsidRPr="0074655C">
        <w:t xml:space="preserve">TO: </w:t>
      </w:r>
      <w:r w:rsidR="00B6374E">
        <w:t>ALL LIFE INSURERS</w:t>
      </w:r>
    </w:p>
    <w:p w14:paraId="520CD8E9" w14:textId="4FA6638F" w:rsidR="000C44E3" w:rsidRPr="00E85C54" w:rsidRDefault="00344151" w:rsidP="00E85C54">
      <w:pPr>
        <w:pStyle w:val="LetterCAPSTitle"/>
      </w:pPr>
      <w:r>
        <w:rPr>
          <w:rStyle w:val="LetterCAPSTitleChar"/>
          <w:b/>
        </w:rPr>
        <w:t xml:space="preserve">OFFSHORE REINSURERS AND THE </w:t>
      </w:r>
      <w:r w:rsidR="00B6374E">
        <w:rPr>
          <w:rStyle w:val="LetterCAPSTitleChar"/>
          <w:b/>
        </w:rPr>
        <w:t>REVIEW OF PRUDENTIAL STANDARD LPS 117 CAPITAL ADEQUACY: ASSET CONCENTRATION RISK CHARGE</w:t>
      </w:r>
    </w:p>
    <w:p w14:paraId="5A77A798" w14:textId="706DEF8F" w:rsidR="00DB229C" w:rsidRDefault="008428AD" w:rsidP="000C44E3">
      <w:r>
        <w:t>APRA is seeking</w:t>
      </w:r>
      <w:r w:rsidR="00E255B9">
        <w:t xml:space="preserve"> input on </w:t>
      </w:r>
      <w:r>
        <w:t>its</w:t>
      </w:r>
      <w:r w:rsidR="00E255B9">
        <w:t xml:space="preserve"> review of </w:t>
      </w:r>
      <w:r w:rsidR="00E255B9" w:rsidRPr="002E0974">
        <w:rPr>
          <w:i/>
        </w:rPr>
        <w:t>Prudential Standard LPS 117 Capital Adequacy: Asset Concentration Risk Charge</w:t>
      </w:r>
      <w:r w:rsidR="00E255B9">
        <w:t xml:space="preserve"> (LPS 117). The review was foreshadowed in a letter to industry dated 15 December 2017 and is being undertaken to ensure the standard remains fit for purpose and in line with the objectives </w:t>
      </w:r>
      <w:r w:rsidR="00E16C9C">
        <w:t xml:space="preserve">of </w:t>
      </w:r>
      <w:r w:rsidR="00E255B9">
        <w:t>APRA</w:t>
      </w:r>
      <w:r w:rsidR="00E16C9C">
        <w:t>’s</w:t>
      </w:r>
      <w:r w:rsidR="00E255B9">
        <w:t xml:space="preserve"> mandate.</w:t>
      </w:r>
      <w:r w:rsidR="006B162C">
        <w:rPr>
          <w:rStyle w:val="FootnoteReference"/>
        </w:rPr>
        <w:footnoteReference w:id="2"/>
      </w:r>
      <w:r w:rsidR="00E255B9">
        <w:t xml:space="preserve"> </w:t>
      </w:r>
    </w:p>
    <w:p w14:paraId="423B3D43" w14:textId="2FC58E20" w:rsidR="00520394" w:rsidRDefault="00DB229C" w:rsidP="000C44E3">
      <w:r>
        <w:t>The</w:t>
      </w:r>
      <w:r w:rsidR="00E255B9">
        <w:t xml:space="preserve"> review is being undertaken in the context of </w:t>
      </w:r>
      <w:r>
        <w:t>APRA’s observation of</w:t>
      </w:r>
      <w:r w:rsidR="00BA0778">
        <w:t xml:space="preserve"> </w:t>
      </w:r>
      <w:r w:rsidR="00E16C9C">
        <w:t xml:space="preserve">a </w:t>
      </w:r>
      <w:r w:rsidR="00BA0778">
        <w:t>recent increase in the use of offshore reinsurers</w:t>
      </w:r>
      <w:r w:rsidR="0037757A">
        <w:t>, particularly in the group risk market</w:t>
      </w:r>
      <w:r w:rsidR="00BA0778">
        <w:t xml:space="preserve">. </w:t>
      </w:r>
      <w:r w:rsidR="00B57607">
        <w:t>I</w:t>
      </w:r>
      <w:r w:rsidR="00BA0778">
        <w:t>f the use of offshore reinsurers co</w:t>
      </w:r>
      <w:r w:rsidR="003F7383">
        <w:t xml:space="preserve">ntinues to increase, </w:t>
      </w:r>
      <w:r w:rsidR="00B57607">
        <w:t>APRA's</w:t>
      </w:r>
      <w:r w:rsidR="00BA0778">
        <w:t xml:space="preserve"> ability to </w:t>
      </w:r>
      <w:r w:rsidR="00B57607">
        <w:t xml:space="preserve">effectively </w:t>
      </w:r>
      <w:r w:rsidR="00BA0778">
        <w:t xml:space="preserve">supervise the Australian life insurance industry </w:t>
      </w:r>
      <w:r w:rsidR="001412C9">
        <w:t xml:space="preserve">as a whole </w:t>
      </w:r>
      <w:r w:rsidR="00BA0778">
        <w:t xml:space="preserve">could </w:t>
      </w:r>
      <w:r w:rsidR="00B57607">
        <w:t xml:space="preserve">be </w:t>
      </w:r>
      <w:r w:rsidR="00C605B7">
        <w:t>put at risk</w:t>
      </w:r>
      <w:r w:rsidR="00166EA8">
        <w:t>.</w:t>
      </w:r>
      <w:r w:rsidR="007E1CB7">
        <w:t xml:space="preserve"> This gives rise to prudential concerns for APRA, and these concerns are particularly heightened in relation to the group risk market, which plays an important role in Australia’s superannuation system.</w:t>
      </w:r>
    </w:p>
    <w:p w14:paraId="11B8C0E7" w14:textId="2FB7C4B1" w:rsidR="002034AB" w:rsidRDefault="007E1CB7" w:rsidP="000C44E3">
      <w:r>
        <w:t xml:space="preserve">In light of these prudential concerns, </w:t>
      </w:r>
      <w:r w:rsidR="00DB435A">
        <w:t>APRA is</w:t>
      </w:r>
      <w:r w:rsidR="00236388">
        <w:t xml:space="preserve"> now</w:t>
      </w:r>
      <w:r w:rsidR="00DB435A">
        <w:t xml:space="preserve"> commencing consultation on </w:t>
      </w:r>
      <w:r w:rsidR="00AE10AA">
        <w:t>options fo</w:t>
      </w:r>
      <w:r w:rsidR="00DD0BA3">
        <w:t>r</w:t>
      </w:r>
      <w:r w:rsidR="00AE10AA">
        <w:t xml:space="preserve"> </w:t>
      </w:r>
      <w:r w:rsidR="00DB435A">
        <w:t>revisi</w:t>
      </w:r>
      <w:r w:rsidR="00AE10AA">
        <w:t xml:space="preserve">ng </w:t>
      </w:r>
      <w:r>
        <w:t xml:space="preserve">the existing restrictions on exposures to offshore reinsurers in </w:t>
      </w:r>
      <w:r w:rsidR="00DB435A">
        <w:t>LPS 117</w:t>
      </w:r>
      <w:r w:rsidR="00A909C1">
        <w:t xml:space="preserve"> to ensure that the risks are constrained within APRA’s appetite</w:t>
      </w:r>
      <w:r w:rsidR="00DB435A">
        <w:t>.</w:t>
      </w:r>
      <w:r w:rsidR="006C391B">
        <w:t xml:space="preserve"> </w:t>
      </w:r>
      <w:r w:rsidR="00DB229C">
        <w:t>T</w:t>
      </w:r>
      <w:r w:rsidR="006C391B">
        <w:t>his letter seek</w:t>
      </w:r>
      <w:r w:rsidR="00DB229C">
        <w:t>s</w:t>
      </w:r>
      <w:r w:rsidR="006C391B">
        <w:t xml:space="preserve"> feedback from stakeholders on APRA’s prudential concerns relating to offshore reinsurers, matters that APRA should consider when balancing the different aspects</w:t>
      </w:r>
      <w:r w:rsidR="004D65B5">
        <w:t xml:space="preserve"> of the APRA mandate </w:t>
      </w:r>
      <w:r w:rsidR="001412C9">
        <w:t>in the context of this review,</w:t>
      </w:r>
      <w:r w:rsidR="004D65B5">
        <w:t xml:space="preserve"> and views on a set of policy responses that APRA is considering. This input is intended to assist APRA in further developing a set of policy proposals for </w:t>
      </w:r>
      <w:r w:rsidR="00DB229C">
        <w:t xml:space="preserve">a second round of </w:t>
      </w:r>
      <w:r w:rsidR="004D65B5">
        <w:t xml:space="preserve">consultation in the second half of 2019. </w:t>
      </w:r>
    </w:p>
    <w:p w14:paraId="725ECEA4" w14:textId="3DA97AB5" w:rsidR="00305756" w:rsidRDefault="00DB435A" w:rsidP="008873A5">
      <w:r>
        <w:t xml:space="preserve">Attachment A </w:t>
      </w:r>
      <w:r w:rsidR="00EA6CE4">
        <w:t xml:space="preserve">provides </w:t>
      </w:r>
      <w:r w:rsidR="00754600">
        <w:t>the</w:t>
      </w:r>
      <w:r w:rsidR="00CB045B">
        <w:t xml:space="preserve"> background and reasons for this review, as </w:t>
      </w:r>
      <w:r w:rsidR="00EA6CE4">
        <w:t>well</w:t>
      </w:r>
      <w:r w:rsidR="00CB045B">
        <w:t xml:space="preserve"> as </w:t>
      </w:r>
      <w:r w:rsidR="00EA6CE4">
        <w:t>outlining</w:t>
      </w:r>
      <w:r w:rsidR="00CB045B">
        <w:t xml:space="preserve"> the </w:t>
      </w:r>
      <w:r w:rsidR="00754600">
        <w:t xml:space="preserve">main </w:t>
      </w:r>
      <w:r w:rsidR="00CB045B">
        <w:t xml:space="preserve">areas where APRA is considering </w:t>
      </w:r>
      <w:r w:rsidR="00AE10AA">
        <w:t>options for revising</w:t>
      </w:r>
      <w:r w:rsidR="00714C54">
        <w:t xml:space="preserve"> LPS 117</w:t>
      </w:r>
      <w:r w:rsidR="0009669A">
        <w:t>.</w:t>
      </w:r>
      <w:r w:rsidR="00305756">
        <w:t xml:space="preserve"> </w:t>
      </w:r>
    </w:p>
    <w:p w14:paraId="1C6F6270" w14:textId="39F688EB" w:rsidR="00D80C22" w:rsidRDefault="007631A4" w:rsidP="000C44E3">
      <w:r>
        <w:t xml:space="preserve">APRA invites written submissions on the </w:t>
      </w:r>
      <w:r w:rsidR="001A7AD8">
        <w:t xml:space="preserve">options </w:t>
      </w:r>
      <w:r w:rsidR="00D80C22">
        <w:t xml:space="preserve">contained in Attachment A. </w:t>
      </w:r>
      <w:r w:rsidR="00A65AB6">
        <w:t>S</w:t>
      </w:r>
      <w:r w:rsidR="00D80C22">
        <w:t>ubmissions</w:t>
      </w:r>
      <w:r w:rsidR="00163113">
        <w:t xml:space="preserve"> </w:t>
      </w:r>
      <w:r w:rsidR="00D80C22">
        <w:t xml:space="preserve">should be sent to </w:t>
      </w:r>
      <w:hyperlink r:id="rId14" w:history="1">
        <w:r w:rsidR="00D80C22" w:rsidRPr="00A51AEF">
          <w:rPr>
            <w:rStyle w:val="Hyperlink"/>
          </w:rPr>
          <w:t>insurance.policy@apra.gov.au</w:t>
        </w:r>
      </w:hyperlink>
      <w:r w:rsidR="00D80C22">
        <w:t xml:space="preserve"> by </w:t>
      </w:r>
      <w:r w:rsidR="00461117">
        <w:t>10</w:t>
      </w:r>
      <w:r w:rsidR="009467F1" w:rsidRPr="0021177B">
        <w:t xml:space="preserve"> </w:t>
      </w:r>
      <w:r w:rsidR="00461117">
        <w:t>May</w:t>
      </w:r>
      <w:r w:rsidR="00D80C22" w:rsidRPr="0021177B">
        <w:t xml:space="preserve"> 2019</w:t>
      </w:r>
      <w:r w:rsidR="00D80C22" w:rsidRPr="00A96289">
        <w:t>.</w:t>
      </w:r>
      <w:r w:rsidR="00D80C22">
        <w:t xml:space="preserve"> </w:t>
      </w:r>
    </w:p>
    <w:p w14:paraId="35CF73D5" w14:textId="3C3EECCB" w:rsidR="000C44E3" w:rsidRPr="00B815BC" w:rsidRDefault="00650B10" w:rsidP="00C66141">
      <w:pPr>
        <w:keepNext/>
        <w:rPr>
          <w:rFonts w:cs="Arial"/>
        </w:rPr>
      </w:pPr>
      <w:r w:rsidRPr="00650B10">
        <w:rPr>
          <w:noProof/>
        </w:rPr>
        <w:drawing>
          <wp:anchor distT="0" distB="0" distL="114300" distR="114300" simplePos="0" relativeHeight="251658240" behindDoc="1" locked="0" layoutInCell="1" allowOverlap="1" wp14:anchorId="18691116" wp14:editId="1F3012D1">
            <wp:simplePos x="0" y="0"/>
            <wp:positionH relativeFrom="column">
              <wp:posOffset>161925</wp:posOffset>
            </wp:positionH>
            <wp:positionV relativeFrom="paragraph">
              <wp:posOffset>401955</wp:posOffset>
            </wp:positionV>
            <wp:extent cx="1771650"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35A">
        <w:rPr>
          <w:rFonts w:cs="Arial"/>
        </w:rPr>
        <w:t xml:space="preserve">If you have any questions regarding this letter, please contact </w:t>
      </w:r>
      <w:r w:rsidR="006B0876">
        <w:rPr>
          <w:rFonts w:cs="Arial"/>
        </w:rPr>
        <w:t>Ann Dobinson</w:t>
      </w:r>
      <w:r w:rsidR="00DB435A">
        <w:rPr>
          <w:rFonts w:cs="Arial"/>
        </w:rPr>
        <w:t xml:space="preserve"> (</w:t>
      </w:r>
      <w:hyperlink r:id="rId16" w:history="1">
        <w:r w:rsidR="00CC7598">
          <w:rPr>
            <w:rStyle w:val="Hyperlink"/>
            <w:rFonts w:cs="Arial"/>
          </w:rPr>
          <w:t>ann.dobinson</w:t>
        </w:r>
        <w:r w:rsidR="00CC7598" w:rsidRPr="00A51AEF">
          <w:rPr>
            <w:rStyle w:val="Hyperlink"/>
            <w:rFonts w:cs="Arial"/>
          </w:rPr>
          <w:t>@apra.gov.au</w:t>
        </w:r>
      </w:hyperlink>
      <w:r w:rsidR="00DB435A">
        <w:rPr>
          <w:rFonts w:cs="Arial"/>
        </w:rPr>
        <w:t xml:space="preserve"> or 02 9210 3</w:t>
      </w:r>
      <w:r w:rsidR="00CC7598">
        <w:rPr>
          <w:rFonts w:cs="Arial"/>
        </w:rPr>
        <w:t>468</w:t>
      </w:r>
      <w:r w:rsidR="00DB435A">
        <w:rPr>
          <w:rFonts w:cs="Arial"/>
        </w:rPr>
        <w:t xml:space="preserve">) or your responsible supervisor. </w:t>
      </w:r>
    </w:p>
    <w:p w14:paraId="729B8F23" w14:textId="780762B3" w:rsidR="000C44E3" w:rsidRDefault="000C44E3" w:rsidP="000C44E3">
      <w:r w:rsidRPr="00B815BC">
        <w:t>Yours sincerely</w:t>
      </w:r>
    </w:p>
    <w:p w14:paraId="54CF2CF9" w14:textId="5B675055" w:rsidR="000C44E3" w:rsidRDefault="000C44E3" w:rsidP="000C44E3">
      <w:pPr>
        <w:spacing w:after="200" w:line="276" w:lineRule="auto"/>
        <w:jc w:val="left"/>
      </w:pPr>
    </w:p>
    <w:p w14:paraId="07E1C117" w14:textId="77777777" w:rsidR="00650B10" w:rsidRDefault="00650B10" w:rsidP="000C44E3">
      <w:pPr>
        <w:spacing w:after="0"/>
      </w:pPr>
    </w:p>
    <w:p w14:paraId="2AFD1EA8" w14:textId="7AB93424" w:rsidR="000C44E3" w:rsidRDefault="00B6374E" w:rsidP="000C44E3">
      <w:pPr>
        <w:spacing w:after="0"/>
      </w:pPr>
      <w:r>
        <w:t xml:space="preserve">Geoff Summerhayes </w:t>
      </w:r>
    </w:p>
    <w:p w14:paraId="1A8389B3" w14:textId="63316A3D" w:rsidR="000C44E3" w:rsidRDefault="00B6374E" w:rsidP="000C44E3">
      <w:pPr>
        <w:spacing w:after="0"/>
      </w:pPr>
      <w:r>
        <w:t>Executive Board Member</w:t>
      </w:r>
    </w:p>
    <w:p w14:paraId="196ECBE7" w14:textId="54148144" w:rsidR="00B6374E" w:rsidRDefault="00B6374E" w:rsidP="000C44E3">
      <w:pPr>
        <w:spacing w:after="0"/>
      </w:pPr>
      <w:r>
        <w:t>Australian Prudential Regulation Authority</w:t>
      </w:r>
    </w:p>
    <w:p w14:paraId="5106275F" w14:textId="77777777" w:rsidR="006B162C" w:rsidRDefault="006B162C" w:rsidP="000C44E3">
      <w:pPr>
        <w:spacing w:after="0"/>
      </w:pPr>
    </w:p>
    <w:p w14:paraId="227AB5F5" w14:textId="52B9B6EC" w:rsidR="00505531" w:rsidRDefault="00B6374E" w:rsidP="002E0974">
      <w:pPr>
        <w:pStyle w:val="Heading2"/>
      </w:pPr>
      <w:r>
        <w:t>Attachment A</w:t>
      </w:r>
      <w:r w:rsidR="00B336EA">
        <w:t xml:space="preserve"> </w:t>
      </w:r>
    </w:p>
    <w:p w14:paraId="1CCB2487" w14:textId="54D93C83" w:rsidR="00336E45" w:rsidRDefault="00336E45" w:rsidP="00D03B69">
      <w:pPr>
        <w:pStyle w:val="Heading4"/>
        <w:numPr>
          <w:ilvl w:val="0"/>
          <w:numId w:val="14"/>
        </w:numPr>
      </w:pPr>
      <w:r>
        <w:t>Introduction</w:t>
      </w:r>
    </w:p>
    <w:p w14:paraId="4DDDDA1E" w14:textId="766D1A04" w:rsidR="00E83AA8" w:rsidRPr="00E83AA8" w:rsidRDefault="00E83AA8" w:rsidP="00E83AA8">
      <w:r>
        <w:t xml:space="preserve">This attachment </w:t>
      </w:r>
      <w:r w:rsidR="009567FB">
        <w:t xml:space="preserve">explains APRA’s position on offshore reinsurers, </w:t>
      </w:r>
      <w:r w:rsidR="004C3BCF">
        <w:t xml:space="preserve">provides a high-level </w:t>
      </w:r>
      <w:r>
        <w:t>outline</w:t>
      </w:r>
      <w:r w:rsidR="004C3BCF">
        <w:t xml:space="preserve"> of</w:t>
      </w:r>
      <w:r>
        <w:t xml:space="preserve"> </w:t>
      </w:r>
      <w:r w:rsidR="001A7AD8">
        <w:t xml:space="preserve">the options for revising LPS 117 currently being </w:t>
      </w:r>
      <w:r w:rsidR="009567FB">
        <w:t xml:space="preserve">contemplated, and poses questions for </w:t>
      </w:r>
      <w:r w:rsidR="00214835">
        <w:t xml:space="preserve">consideration by </w:t>
      </w:r>
      <w:r w:rsidR="009567FB">
        <w:t>interested stakeholders.</w:t>
      </w:r>
    </w:p>
    <w:p w14:paraId="12E42E04" w14:textId="06BD95E7" w:rsidR="00336E45" w:rsidRDefault="00336E45" w:rsidP="00D03B69">
      <w:pPr>
        <w:pStyle w:val="Heading5"/>
        <w:numPr>
          <w:ilvl w:val="1"/>
          <w:numId w:val="14"/>
        </w:numPr>
      </w:pPr>
      <w:r w:rsidRPr="00401613">
        <w:t>Background</w:t>
      </w:r>
      <w:r>
        <w:t xml:space="preserve"> </w:t>
      </w:r>
    </w:p>
    <w:p w14:paraId="005F488F" w14:textId="7E1B4D44" w:rsidR="00223A16" w:rsidRDefault="002E256A" w:rsidP="00792120">
      <w:r>
        <w:t xml:space="preserve">APRA communicated its intention to review LPS 117 in its letter to industry dated 15 December 2017. </w:t>
      </w:r>
      <w:r w:rsidR="00B53211">
        <w:t xml:space="preserve">The decision to review LPS 117 </w:t>
      </w:r>
      <w:r w:rsidR="006829CF">
        <w:t xml:space="preserve">follows evidence that registered life companies have increased their </w:t>
      </w:r>
      <w:r w:rsidR="00020A65">
        <w:t>use of</w:t>
      </w:r>
      <w:r w:rsidR="006829CF">
        <w:t xml:space="preserve"> </w:t>
      </w:r>
      <w:r w:rsidR="00985EB9">
        <w:t>offshore reinsure</w:t>
      </w:r>
      <w:r w:rsidR="00BC4675">
        <w:t>r</w:t>
      </w:r>
      <w:r w:rsidR="00985EB9">
        <w:t>s</w:t>
      </w:r>
      <w:r w:rsidR="00C41B17">
        <w:t xml:space="preserve">. </w:t>
      </w:r>
      <w:r w:rsidR="006829CF">
        <w:t>This has</w:t>
      </w:r>
      <w:r w:rsidR="00720337">
        <w:t xml:space="preserve"> prompted APRA to review the asset concentration limits co</w:t>
      </w:r>
      <w:r w:rsidR="00691351">
        <w:t xml:space="preserve">ntained in LPS 117 to ensure their </w:t>
      </w:r>
      <w:r w:rsidR="00720337">
        <w:t>continuing appropriateness.</w:t>
      </w:r>
      <w:r w:rsidR="00B336EA">
        <w:t xml:space="preserve"> </w:t>
      </w:r>
    </w:p>
    <w:p w14:paraId="22B51CB7" w14:textId="0DA36D7D" w:rsidR="004612C7" w:rsidRDefault="00223A16" w:rsidP="00792120">
      <w:r>
        <w:t xml:space="preserve">APRA defines offshore reinsurers as life </w:t>
      </w:r>
      <w:r w:rsidR="00C5330A">
        <w:t xml:space="preserve">insurance </w:t>
      </w:r>
      <w:r>
        <w:t xml:space="preserve">companies not registered under </w:t>
      </w:r>
      <w:r w:rsidR="001D763D">
        <w:t xml:space="preserve">the </w:t>
      </w:r>
      <w:r w:rsidR="001D763D" w:rsidRPr="001D763D">
        <w:rPr>
          <w:i/>
        </w:rPr>
        <w:t>Life Insurance Act 1995</w:t>
      </w:r>
      <w:r w:rsidR="001D763D">
        <w:rPr>
          <w:i/>
        </w:rPr>
        <w:t xml:space="preserve"> </w:t>
      </w:r>
      <w:r w:rsidR="001D763D">
        <w:t>(Life Act)</w:t>
      </w:r>
      <w:r w:rsidR="00636C1A">
        <w:t xml:space="preserve"> who </w:t>
      </w:r>
      <w:r w:rsidR="00261C26">
        <w:t xml:space="preserve">reinsure </w:t>
      </w:r>
      <w:r w:rsidR="00171174">
        <w:t xml:space="preserve">risk </w:t>
      </w:r>
      <w:r w:rsidR="002B7CC7">
        <w:t>for</w:t>
      </w:r>
      <w:r w:rsidR="00171174">
        <w:t xml:space="preserve"> life companies registered under the Life Act. </w:t>
      </w:r>
      <w:r w:rsidR="009E0348">
        <w:t xml:space="preserve">An exception is that </w:t>
      </w:r>
      <w:r w:rsidR="002B7CC7">
        <w:t>APRA does not classify</w:t>
      </w:r>
      <w:r w:rsidR="001F5617">
        <w:t xml:space="preserve"> </w:t>
      </w:r>
      <w:r w:rsidR="002B7CC7">
        <w:t>appropriate retrocessionaires of specialist reinsurer</w:t>
      </w:r>
      <w:r w:rsidR="00936A94">
        <w:t>s</w:t>
      </w:r>
      <w:r w:rsidR="00BC4675">
        <w:t xml:space="preserve"> </w:t>
      </w:r>
      <w:r w:rsidR="002B7CC7">
        <w:t>as offshore reinsurers.</w:t>
      </w:r>
      <w:r w:rsidR="00152AA3" w:rsidRPr="00152AA3">
        <w:rPr>
          <w:rStyle w:val="FootnoteReference"/>
        </w:rPr>
        <w:t xml:space="preserve"> </w:t>
      </w:r>
      <w:r w:rsidR="00152AA3">
        <w:rPr>
          <w:rStyle w:val="FootnoteReference"/>
        </w:rPr>
        <w:footnoteReference w:id="3"/>
      </w:r>
      <w:r w:rsidR="002B7CC7">
        <w:t xml:space="preserve"> </w:t>
      </w:r>
    </w:p>
    <w:p w14:paraId="2CDFC8D8" w14:textId="78B69A50" w:rsidR="00E32E98" w:rsidRDefault="00D80C22" w:rsidP="00792120">
      <w:r>
        <w:t>Although the impetus for</w:t>
      </w:r>
      <w:r w:rsidR="00732BCA">
        <w:t xml:space="preserve"> this review </w:t>
      </w:r>
      <w:r w:rsidR="008A4118">
        <w:t>come</w:t>
      </w:r>
      <w:r w:rsidR="001F5617">
        <w:t>s</w:t>
      </w:r>
      <w:r w:rsidR="008A4118">
        <w:t xml:space="preserve"> from issues relating to offshore reinsure</w:t>
      </w:r>
      <w:r w:rsidR="001F5617">
        <w:t>rs</w:t>
      </w:r>
      <w:r w:rsidR="008A4118">
        <w:t xml:space="preserve"> participating in the life insurance market, APRA views this as an opportunity to also review the </w:t>
      </w:r>
      <w:r w:rsidR="001A0869">
        <w:t>definition</w:t>
      </w:r>
      <w:r w:rsidR="00E40A72">
        <w:t>s</w:t>
      </w:r>
      <w:r w:rsidR="001A0869">
        <w:t xml:space="preserve"> and treatment of risk mitigants under</w:t>
      </w:r>
      <w:r w:rsidR="008A4118">
        <w:t xml:space="preserve"> LPS 117</w:t>
      </w:r>
      <w:r w:rsidR="00311C81">
        <w:t>.</w:t>
      </w:r>
      <w:r w:rsidR="00B05452">
        <w:t xml:space="preserve"> </w:t>
      </w:r>
      <w:r w:rsidR="0014105A">
        <w:t>This</w:t>
      </w:r>
      <w:r w:rsidR="00B05452">
        <w:t xml:space="preserve"> aspect of the review will explore opportunities to </w:t>
      </w:r>
      <w:r w:rsidR="00611C65">
        <w:t>establish</w:t>
      </w:r>
      <w:r w:rsidR="00B05452">
        <w:t xml:space="preserve"> align</w:t>
      </w:r>
      <w:r w:rsidR="0014105A">
        <w:t>ment</w:t>
      </w:r>
      <w:r w:rsidR="00B05452">
        <w:t xml:space="preserve"> with relevant general insurance requirements, </w:t>
      </w:r>
      <w:r w:rsidR="0014105A">
        <w:t>as well as consider way</w:t>
      </w:r>
      <w:r w:rsidR="0000409B">
        <w:t>s</w:t>
      </w:r>
      <w:r w:rsidR="0014105A">
        <w:t xml:space="preserve"> to </w:t>
      </w:r>
      <w:r w:rsidR="00B55637">
        <w:t>introduc</w:t>
      </w:r>
      <w:r w:rsidR="0000409B">
        <w:t xml:space="preserve">e </w:t>
      </w:r>
      <w:r w:rsidR="007826E3">
        <w:t xml:space="preserve">greater </w:t>
      </w:r>
      <w:r w:rsidR="00B55637">
        <w:t>clarity</w:t>
      </w:r>
      <w:r w:rsidR="002E256A">
        <w:t xml:space="preserve"> </w:t>
      </w:r>
      <w:r w:rsidR="007826E3">
        <w:t xml:space="preserve">regarding </w:t>
      </w:r>
      <w:r w:rsidR="00720337">
        <w:t>the</w:t>
      </w:r>
      <w:r w:rsidR="0000409B">
        <w:t xml:space="preserve"> definition and use of risk mitigants.</w:t>
      </w:r>
      <w:r w:rsidR="00B336EA">
        <w:t xml:space="preserve"> </w:t>
      </w:r>
    </w:p>
    <w:p w14:paraId="4D7BB60E" w14:textId="77777777" w:rsidR="00932DED" w:rsidRDefault="00932DED" w:rsidP="00FE19B6">
      <w:pPr>
        <w:pStyle w:val="Heading5"/>
        <w:numPr>
          <w:ilvl w:val="1"/>
          <w:numId w:val="14"/>
        </w:numPr>
      </w:pPr>
      <w:r>
        <w:t>LPS 117 information request</w:t>
      </w:r>
    </w:p>
    <w:p w14:paraId="6363392E" w14:textId="73AB9366" w:rsidR="00F61F6F" w:rsidRDefault="00F53F4C" w:rsidP="00932DED">
      <w:r>
        <w:t>APRA sent an</w:t>
      </w:r>
      <w:r w:rsidR="003533DB">
        <w:t xml:space="preserve"> </w:t>
      </w:r>
      <w:r w:rsidR="00936A94">
        <w:t>i</w:t>
      </w:r>
      <w:r>
        <w:t xml:space="preserve">nformation </w:t>
      </w:r>
      <w:r w:rsidR="00936A94">
        <w:t>r</w:t>
      </w:r>
      <w:r>
        <w:t xml:space="preserve">equest to life companies in early 2018. </w:t>
      </w:r>
      <w:r w:rsidR="00F61F6F">
        <w:t xml:space="preserve">The </w:t>
      </w:r>
      <w:r w:rsidR="00936A94">
        <w:t>i</w:t>
      </w:r>
      <w:r w:rsidR="00F61F6F">
        <w:t xml:space="preserve">nformation </w:t>
      </w:r>
      <w:r w:rsidR="00936A94">
        <w:t>r</w:t>
      </w:r>
      <w:r w:rsidR="00F61F6F">
        <w:t>equest sought to:</w:t>
      </w:r>
    </w:p>
    <w:p w14:paraId="0132C334" w14:textId="44E09496" w:rsidR="00932DED" w:rsidRDefault="00F61F6F" w:rsidP="002E0974">
      <w:pPr>
        <w:pStyle w:val="ListParagraph"/>
        <w:numPr>
          <w:ilvl w:val="0"/>
          <w:numId w:val="16"/>
        </w:numPr>
        <w:ind w:left="357" w:hanging="357"/>
        <w:contextualSpacing w:val="0"/>
      </w:pPr>
      <w:r>
        <w:t>capture a holistic view of each life company’s reinsurance arrangements, as well as high level counterparty information; and</w:t>
      </w:r>
    </w:p>
    <w:p w14:paraId="50CC3380" w14:textId="32872B55" w:rsidR="00F61F6F" w:rsidRDefault="00F61F6F" w:rsidP="002E0974">
      <w:pPr>
        <w:pStyle w:val="ListParagraph"/>
        <w:numPr>
          <w:ilvl w:val="0"/>
          <w:numId w:val="16"/>
        </w:numPr>
        <w:ind w:left="357" w:hanging="357"/>
        <w:contextualSpacing w:val="0"/>
      </w:pPr>
      <w:r>
        <w:t>collect information on all arrangement</w:t>
      </w:r>
      <w:r w:rsidR="001F5617">
        <w:t>s</w:t>
      </w:r>
      <w:r>
        <w:t xml:space="preserve"> that have the effect, intended or otherwise, of reducing the impact of the Asset Concentration Risk Charge (ACRC) as it pertains to reinsurance counterparties. </w:t>
      </w:r>
    </w:p>
    <w:p w14:paraId="369E5B21" w14:textId="712F387B" w:rsidR="00F61F6F" w:rsidRPr="00932DED" w:rsidRDefault="00670713" w:rsidP="00B4749F">
      <w:pPr>
        <w:spacing w:after="0"/>
      </w:pPr>
      <w:r>
        <w:t>Analysis of th</w:t>
      </w:r>
      <w:r w:rsidR="002C6C3D">
        <w:t>e</w:t>
      </w:r>
      <w:r>
        <w:t xml:space="preserve"> information received through this exercise has been used to inform the scope of this review and the </w:t>
      </w:r>
      <w:r w:rsidR="009567FB">
        <w:t xml:space="preserve">options </w:t>
      </w:r>
      <w:r>
        <w:t xml:space="preserve">outlined in this attachment. </w:t>
      </w:r>
    </w:p>
    <w:p w14:paraId="77AF291C" w14:textId="4F8AAC12" w:rsidR="00654447" w:rsidRDefault="000D4A5D" w:rsidP="00654447">
      <w:pPr>
        <w:pStyle w:val="Heading4"/>
        <w:numPr>
          <w:ilvl w:val="0"/>
          <w:numId w:val="14"/>
        </w:numPr>
      </w:pPr>
      <w:r>
        <w:t>Scope of review</w:t>
      </w:r>
    </w:p>
    <w:p w14:paraId="18F56A4A" w14:textId="3B96BE6B" w:rsidR="00B7104F" w:rsidRDefault="00670713" w:rsidP="00670713">
      <w:r>
        <w:t>LPS 117 prescribes the method for calculating the ACRC component of the</w:t>
      </w:r>
      <w:r w:rsidR="00AE1E1A">
        <w:t xml:space="preserve"> prescribed c</w:t>
      </w:r>
      <w:r>
        <w:t xml:space="preserve">apital </w:t>
      </w:r>
      <w:r w:rsidR="00AE1E1A">
        <w:t>amount for a life company. The purpose of the standard is to ensure a life company maintains adequate capital against the asset concentration risks associated with its activities.</w:t>
      </w:r>
      <w:r w:rsidR="00B7104F">
        <w:t xml:space="preserve"> </w:t>
      </w:r>
    </w:p>
    <w:p w14:paraId="1E7D6545" w14:textId="4476E2E7" w:rsidR="00DC477E" w:rsidRDefault="000D1544" w:rsidP="00670713">
      <w:r>
        <w:t xml:space="preserve">This review </w:t>
      </w:r>
      <w:r w:rsidR="0061154D">
        <w:t xml:space="preserve">considers, among other things, </w:t>
      </w:r>
      <w:r w:rsidR="000A01FD">
        <w:t xml:space="preserve">aspects of LPS 117 which relate to </w:t>
      </w:r>
      <w:r w:rsidR="0061154D">
        <w:t xml:space="preserve">prudential requirements in relation to </w:t>
      </w:r>
      <w:r>
        <w:t xml:space="preserve">reinsurance arrangements. </w:t>
      </w:r>
      <w:r w:rsidR="004E6EFE">
        <w:t xml:space="preserve">Specifically, </w:t>
      </w:r>
      <w:r>
        <w:t>APRA is reviewing</w:t>
      </w:r>
      <w:r w:rsidR="00DC477E">
        <w:t>:</w:t>
      </w:r>
    </w:p>
    <w:p w14:paraId="4DEFAAD8" w14:textId="470A1B50" w:rsidR="00DC477E" w:rsidRDefault="000D1544" w:rsidP="002E0974">
      <w:pPr>
        <w:pStyle w:val="ListParagraph"/>
        <w:numPr>
          <w:ilvl w:val="0"/>
          <w:numId w:val="26"/>
        </w:numPr>
        <w:ind w:left="357" w:hanging="357"/>
        <w:contextualSpacing w:val="0"/>
      </w:pPr>
      <w:r>
        <w:lastRenderedPageBreak/>
        <w:t xml:space="preserve">asset </w:t>
      </w:r>
      <w:r w:rsidR="0041019B">
        <w:t xml:space="preserve">concentration </w:t>
      </w:r>
      <w:r>
        <w:t>limits in Attachment A of LPS 117</w:t>
      </w:r>
      <w:r w:rsidR="004E6EFE">
        <w:t xml:space="preserve"> </w:t>
      </w:r>
      <w:r w:rsidR="008954B0">
        <w:t xml:space="preserve">relevant to exposures arising from reinsurance </w:t>
      </w:r>
      <w:r w:rsidR="00DC6E63">
        <w:t>arrangements</w:t>
      </w:r>
      <w:r w:rsidR="00DC477E">
        <w:t xml:space="preserve"> (section 3); </w:t>
      </w:r>
    </w:p>
    <w:p w14:paraId="4DD1D4AA" w14:textId="298A7A09" w:rsidR="00DC477E" w:rsidRDefault="00DC477E" w:rsidP="002E0974">
      <w:pPr>
        <w:pStyle w:val="ListParagraph"/>
        <w:numPr>
          <w:ilvl w:val="0"/>
          <w:numId w:val="26"/>
        </w:numPr>
        <w:ind w:left="357" w:hanging="357"/>
        <w:contextualSpacing w:val="0"/>
      </w:pPr>
      <w:r>
        <w:t>the treatment of risk mitigants</w:t>
      </w:r>
      <w:r w:rsidR="002E6A09">
        <w:t xml:space="preserve"> under LPS 117</w:t>
      </w:r>
      <w:r>
        <w:t xml:space="preserve"> (section 4); and </w:t>
      </w:r>
    </w:p>
    <w:p w14:paraId="00CF9005" w14:textId="16B64BF5" w:rsidR="006D2C1D" w:rsidRDefault="00DC477E" w:rsidP="002E0974">
      <w:pPr>
        <w:pStyle w:val="ListParagraph"/>
        <w:numPr>
          <w:ilvl w:val="0"/>
          <w:numId w:val="26"/>
        </w:numPr>
        <w:ind w:left="357" w:hanging="357"/>
        <w:contextualSpacing w:val="0"/>
      </w:pPr>
      <w:r>
        <w:t>other issues including investment risk sharing and consequential amendments (section 5).</w:t>
      </w:r>
    </w:p>
    <w:p w14:paraId="2067B2D7" w14:textId="22F28706" w:rsidR="006D2C1D" w:rsidRDefault="006D2C1D" w:rsidP="00134F93">
      <w:r>
        <w:t xml:space="preserve">APRA welcomes </w:t>
      </w:r>
      <w:r w:rsidR="00134F93">
        <w:t xml:space="preserve">input from </w:t>
      </w:r>
      <w:r w:rsidR="00AB0707">
        <w:t xml:space="preserve">stakeholders </w:t>
      </w:r>
      <w:r w:rsidR="00134F93">
        <w:t xml:space="preserve">on the proposed scope for this review. </w:t>
      </w:r>
    </w:p>
    <w:p w14:paraId="433081D3" w14:textId="77777777" w:rsidR="00276229" w:rsidRDefault="00276229" w:rsidP="00276229">
      <w:pPr>
        <w:pStyle w:val="Heading5"/>
        <w:numPr>
          <w:ilvl w:val="1"/>
          <w:numId w:val="14"/>
        </w:numPr>
      </w:pPr>
      <w:r>
        <w:t>Offshore reinsurers</w:t>
      </w:r>
    </w:p>
    <w:p w14:paraId="36F15D49" w14:textId="5C5AFD84" w:rsidR="00276229" w:rsidRDefault="00276229" w:rsidP="00276229">
      <w:r>
        <w:t>Reinsurance is a vital element of a robust insurance market. Recent developments in the life insurance market have caused APRA to examine the impact offshore reinsurers are having on the market, and to consider whether the increased use of offshore reinsure</w:t>
      </w:r>
      <w:r w:rsidR="000B4245">
        <w:t>r</w:t>
      </w:r>
      <w:r>
        <w:t xml:space="preserve">s may pose a prudential concern. </w:t>
      </w:r>
    </w:p>
    <w:p w14:paraId="613CC505" w14:textId="53487ECB" w:rsidR="000B4245" w:rsidRDefault="000B4245" w:rsidP="000B4245">
      <w:r>
        <w:t xml:space="preserve">Historically offshore reinsurers have predominantly assumed niche risks not supported by the local reinsurance market. </w:t>
      </w:r>
      <w:r w:rsidR="007E1CB7">
        <w:t>Through its supervision activities APRA has</w:t>
      </w:r>
      <w:r w:rsidR="00545E97">
        <w:t>,</w:t>
      </w:r>
      <w:r w:rsidR="007E1CB7">
        <w:t xml:space="preserve"> however, observed</w:t>
      </w:r>
      <w:r>
        <w:t xml:space="preserve"> increased offshore reinsurance within the group risk market in the past </w:t>
      </w:r>
      <w:r w:rsidR="00686B9C">
        <w:t>three</w:t>
      </w:r>
      <w:r>
        <w:t xml:space="preserve"> to </w:t>
      </w:r>
      <w:r w:rsidR="00686B9C">
        <w:t>four</w:t>
      </w:r>
      <w:r>
        <w:t xml:space="preserve"> years. </w:t>
      </w:r>
      <w:r w:rsidR="007E1CB7">
        <w:t xml:space="preserve">These observations are supported by the </w:t>
      </w:r>
      <w:r w:rsidR="00E16C9C">
        <w:t xml:space="preserve">data </w:t>
      </w:r>
      <w:r w:rsidR="007E1CB7">
        <w:t xml:space="preserve">collected in the LPS 117 information request. </w:t>
      </w:r>
      <w:r w:rsidR="006670E6">
        <w:t xml:space="preserve">While </w:t>
      </w:r>
      <w:r>
        <w:t>the use of offshore reinsurers can bring about benefits,</w:t>
      </w:r>
      <w:r w:rsidR="00E3201F">
        <w:t xml:space="preserve"> such as</w:t>
      </w:r>
      <w:r w:rsidR="00A61448">
        <w:t xml:space="preserve"> diversification, innovation and competitive pricing</w:t>
      </w:r>
      <w:r w:rsidR="006670E6">
        <w:t>,</w:t>
      </w:r>
      <w:r>
        <w:t xml:space="preserve"> APRA is concerned that it gives rise to potential prudential risks. </w:t>
      </w:r>
    </w:p>
    <w:p w14:paraId="2988EC27" w14:textId="26D3DF9A" w:rsidR="00276229" w:rsidRDefault="00276229" w:rsidP="00276229">
      <w:r>
        <w:t xml:space="preserve">APRA’s concern lies with its ability to maintain effective oversight and supervision of </w:t>
      </w:r>
      <w:r w:rsidR="000B4245">
        <w:t xml:space="preserve">the </w:t>
      </w:r>
      <w:r w:rsidR="005F4819">
        <w:t xml:space="preserve">risk profile of the </w:t>
      </w:r>
      <w:r w:rsidR="000B4245">
        <w:t xml:space="preserve">Australian life insurance industry </w:t>
      </w:r>
      <w:r w:rsidR="00B57607">
        <w:t xml:space="preserve">in the face of </w:t>
      </w:r>
      <w:r w:rsidR="000B4245">
        <w:t>reduc</w:t>
      </w:r>
      <w:r w:rsidR="00B028A7">
        <w:t>ed</w:t>
      </w:r>
      <w:r w:rsidR="000B4245">
        <w:t xml:space="preserve"> visibility</w:t>
      </w:r>
      <w:r w:rsidR="009A5C50">
        <w:t xml:space="preserve"> and prudential control</w:t>
      </w:r>
      <w:r w:rsidR="000B4245">
        <w:t xml:space="preserve"> over the activities of </w:t>
      </w:r>
      <w:r>
        <w:t>reinsur</w:t>
      </w:r>
      <w:r w:rsidR="000B4245">
        <w:t>ers</w:t>
      </w:r>
      <w:r>
        <w:t>, wh</w:t>
      </w:r>
      <w:r w:rsidR="00B57607">
        <w:t>ich</w:t>
      </w:r>
      <w:r>
        <w:t xml:space="preserve"> play</w:t>
      </w:r>
      <w:r w:rsidR="00E16C9C">
        <w:t>s</w:t>
      </w:r>
      <w:r>
        <w:t xml:space="preserve"> a crucial role in </w:t>
      </w:r>
      <w:r w:rsidR="000B4245">
        <w:t xml:space="preserve">supporting </w:t>
      </w:r>
      <w:r>
        <w:t>a strong and stable life insurance market. APRA recognises that some visibility of offshore reinsurers is afforded by its oversight of the use of reinsurance by registered life companies. However APRA does not feel that the level of oversight</w:t>
      </w:r>
      <w:r w:rsidR="002E6A09">
        <w:t xml:space="preserve"> and access </w:t>
      </w:r>
      <w:r>
        <w:t>provided through this avenue is sufficient</w:t>
      </w:r>
      <w:r w:rsidR="000213C1">
        <w:t>, especially in the event that the use of offshore reinsurance continues to increase.</w:t>
      </w:r>
    </w:p>
    <w:p w14:paraId="7897AD7D" w14:textId="07D01A6C" w:rsidR="007725DF" w:rsidRDefault="00276229" w:rsidP="00670713">
      <w:r>
        <w:t xml:space="preserve">Of particular concern to APRA is the growing </w:t>
      </w:r>
      <w:r w:rsidR="00D71D61">
        <w:t xml:space="preserve">use </w:t>
      </w:r>
      <w:r>
        <w:t xml:space="preserve">of offshore reinsurance in the group risk market. Given insurance is </w:t>
      </w:r>
      <w:r w:rsidR="005F4819">
        <w:t xml:space="preserve">a </w:t>
      </w:r>
      <w:r w:rsidR="00E3201F">
        <w:t>mandatory</w:t>
      </w:r>
      <w:r w:rsidR="00D71D61">
        <w:t xml:space="preserve"> part of the </w:t>
      </w:r>
      <w:r w:rsidR="00E3201F">
        <w:t xml:space="preserve">default </w:t>
      </w:r>
      <w:r w:rsidR="00D71D61">
        <w:t xml:space="preserve">superannuation </w:t>
      </w:r>
      <w:r w:rsidR="006E5E8C">
        <w:t>arrangements</w:t>
      </w:r>
      <w:r>
        <w:t xml:space="preserve">, there is a strong case for APRA to maintain robust controls over reinsurance </w:t>
      </w:r>
      <w:r w:rsidR="00E3201F">
        <w:t>supporting</w:t>
      </w:r>
      <w:r w:rsidR="006E5E8C">
        <w:t xml:space="preserve"> </w:t>
      </w:r>
      <w:r w:rsidR="00D71D61">
        <w:t xml:space="preserve">insurance offered through </w:t>
      </w:r>
      <w:r>
        <w:t xml:space="preserve">superannuation. </w:t>
      </w:r>
    </w:p>
    <w:p w14:paraId="6E4AB927" w14:textId="562427C4" w:rsidR="00276229" w:rsidRDefault="00276229" w:rsidP="00670713">
      <w:r>
        <w:t>In addition to the risks posed to APRA’s ability to maintain an appropriate level of oversight over the life insurance industry, risks also emerge from the possibility that offshore reinsurers may not take a long</w:t>
      </w:r>
      <w:r w:rsidR="00E16C9C">
        <w:t>-</w:t>
      </w:r>
      <w:r>
        <w:t>term perspective when operating in the Australian market. APRA’s view is that a long</w:t>
      </w:r>
      <w:r w:rsidR="00E16C9C">
        <w:t>-</w:t>
      </w:r>
      <w:r>
        <w:t>term perspective is essential for a stable life insurance market.</w:t>
      </w:r>
      <w:r w:rsidR="00B336EA">
        <w:t xml:space="preserve"> </w:t>
      </w:r>
    </w:p>
    <w:p w14:paraId="1A5CCC69" w14:textId="29DDAD9C" w:rsidR="00637C36" w:rsidRDefault="007F0EA2" w:rsidP="00670713">
      <w:r>
        <w:t>T</w:t>
      </w:r>
      <w:r w:rsidR="00637C36">
        <w:t xml:space="preserve">he regulatory framework </w:t>
      </w:r>
      <w:r>
        <w:t>already</w:t>
      </w:r>
      <w:r w:rsidR="00637C36">
        <w:t xml:space="preserve"> </w:t>
      </w:r>
      <w:r>
        <w:t>recognises</w:t>
      </w:r>
      <w:r w:rsidR="00637C36">
        <w:t xml:space="preserve"> the potential risks arising from life companies excessively utilising offshore reinsurers. </w:t>
      </w:r>
      <w:r>
        <w:t>Sensitivity to these</w:t>
      </w:r>
      <w:r w:rsidR="00637C36">
        <w:t xml:space="preserve"> risk</w:t>
      </w:r>
      <w:r>
        <w:t xml:space="preserve">s </w:t>
      </w:r>
      <w:r w:rsidR="00E16C9C">
        <w:t xml:space="preserve">is </w:t>
      </w:r>
      <w:r w:rsidR="00637C36">
        <w:t>built into the different limits currently in LPS 11</w:t>
      </w:r>
      <w:r w:rsidR="00B5405D">
        <w:t>7</w:t>
      </w:r>
      <w:r w:rsidR="00637C36">
        <w:t xml:space="preserve"> for exposures arising from reinsurance arrangements with registered life companies and exposure</w:t>
      </w:r>
      <w:r w:rsidR="00B5405D">
        <w:t>s</w:t>
      </w:r>
      <w:r w:rsidR="00637C36">
        <w:t xml:space="preserve"> arising from arrangements with reinsurers that are not registered. </w:t>
      </w:r>
      <w:r w:rsidR="007E1CB7">
        <w:t>These existing requirements may not be sufficient to address</w:t>
      </w:r>
      <w:r w:rsidR="00E15942">
        <w:t xml:space="preserve"> </w:t>
      </w:r>
      <w:r w:rsidR="003B3CB6">
        <w:t xml:space="preserve">the </w:t>
      </w:r>
      <w:r w:rsidR="00E15942">
        <w:t>emerging</w:t>
      </w:r>
      <w:r w:rsidR="007E1CB7">
        <w:t xml:space="preserve"> prudential concerns outlined in this section, as they allow for a potentially significant increase in exposures beyond the current position.</w:t>
      </w:r>
    </w:p>
    <w:p w14:paraId="1EF26EF0" w14:textId="3177B8C6" w:rsidR="00134F93" w:rsidRPr="00134F93" w:rsidRDefault="006D2C1D" w:rsidP="00134F93">
      <w:r>
        <w:t xml:space="preserve">APRA welcomes comments and feedback from </w:t>
      </w:r>
      <w:r w:rsidR="00AB0707">
        <w:t xml:space="preserve">stakeholders </w:t>
      </w:r>
      <w:r>
        <w:t xml:space="preserve">on the concerns and risks outlined in this section. </w:t>
      </w:r>
    </w:p>
    <w:p w14:paraId="0A512C4A" w14:textId="77777777" w:rsidR="00BF6E3B" w:rsidRPr="00B87BC1" w:rsidRDefault="00BF6E3B" w:rsidP="00BF6E3B">
      <w:pPr>
        <w:pStyle w:val="Heading5"/>
        <w:numPr>
          <w:ilvl w:val="1"/>
          <w:numId w:val="14"/>
        </w:numPr>
      </w:pPr>
      <w:r w:rsidRPr="00B87BC1">
        <w:lastRenderedPageBreak/>
        <w:t>Balancing financial safety with other considerations</w:t>
      </w:r>
    </w:p>
    <w:p w14:paraId="671CC8AE" w14:textId="644FCA24" w:rsidR="00BF6E3B" w:rsidRDefault="00BF6E3B" w:rsidP="00BF6E3B">
      <w:r>
        <w:t xml:space="preserve">In </w:t>
      </w:r>
      <w:r w:rsidR="00D71D61">
        <w:t xml:space="preserve">developing </w:t>
      </w:r>
      <w:r>
        <w:t xml:space="preserve">options for revising LPS 117, APRA </w:t>
      </w:r>
      <w:r w:rsidR="00F02120">
        <w:t>is seeking</w:t>
      </w:r>
      <w:r>
        <w:t xml:space="preserve"> to strike an appropriate balance between the objectives of financial safety and efficiency, competition, contestability and competitive neutrality, whilst promoting financial stability.</w:t>
      </w:r>
      <w:r w:rsidR="00B336EA">
        <w:t xml:space="preserve"> </w:t>
      </w:r>
    </w:p>
    <w:p w14:paraId="6BA3FB39" w14:textId="48C6BBA3" w:rsidR="009456D8" w:rsidRDefault="00BF6E3B" w:rsidP="00BF6E3B">
      <w:r>
        <w:t>APRA</w:t>
      </w:r>
      <w:r w:rsidR="00D71D61">
        <w:t>’s initial view is</w:t>
      </w:r>
      <w:r>
        <w:t xml:space="preserve"> that some of the options </w:t>
      </w:r>
      <w:r w:rsidR="000213C1">
        <w:t xml:space="preserve">outlined in this </w:t>
      </w:r>
      <w:r w:rsidR="004F54E7">
        <w:t xml:space="preserve">attachment </w:t>
      </w:r>
      <w:r>
        <w:t>may have a marginal impact on competition, but that this is</w:t>
      </w:r>
      <w:r w:rsidR="00D71D61">
        <w:t xml:space="preserve"> likely to be</w:t>
      </w:r>
      <w:r>
        <w:t xml:space="preserve"> outweighed by improved safety and stability. </w:t>
      </w:r>
    </w:p>
    <w:p w14:paraId="564BA515" w14:textId="62B3CA2E" w:rsidR="00BF6E3B" w:rsidRPr="00376EC7" w:rsidRDefault="009456D8" w:rsidP="00BF6E3B">
      <w:r>
        <w:t xml:space="preserve">APRA is seeking feedback from </w:t>
      </w:r>
      <w:r w:rsidR="00AB0707">
        <w:t>stakeholders</w:t>
      </w:r>
      <w:r>
        <w:t xml:space="preserve"> regarding how the options considered in this attachment impact </w:t>
      </w:r>
      <w:r w:rsidR="00E71D78">
        <w:t xml:space="preserve">the various aspects of APRA’s mandate.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37"/>
        <w:gridCol w:w="2666"/>
        <w:gridCol w:w="4503"/>
      </w:tblGrid>
      <w:tr w:rsidR="00BF6E3B" w:rsidRPr="001A1D5A" w14:paraId="08C6B1B0" w14:textId="77777777" w:rsidTr="000B4245">
        <w:trPr>
          <w:cantSplit/>
          <w:trHeight w:val="458"/>
        </w:trPr>
        <w:tc>
          <w:tcPr>
            <w:tcW w:w="9006" w:type="dxa"/>
            <w:gridSpan w:val="3"/>
            <w:shd w:val="clear" w:color="auto" w:fill="002060"/>
          </w:tcPr>
          <w:p w14:paraId="2F0909B8" w14:textId="77777777" w:rsidR="00BF6E3B" w:rsidRPr="00376EC7" w:rsidRDefault="00BF6E3B" w:rsidP="000B4245">
            <w:pPr>
              <w:keepNext/>
              <w:spacing w:before="120" w:after="120"/>
              <w:jc w:val="center"/>
              <w:rPr>
                <w:rFonts w:ascii="DIN OT Medium" w:hAnsi="DIN OT Medium"/>
                <w:color w:val="FFFFFF" w:themeColor="background1"/>
                <w:sz w:val="20"/>
                <w:szCs w:val="20"/>
              </w:rPr>
            </w:pPr>
            <w:r w:rsidRPr="00376EC7">
              <w:rPr>
                <w:rFonts w:ascii="DIN OT Medium" w:hAnsi="DIN OT Medium"/>
                <w:color w:val="FFFFFF" w:themeColor="background1"/>
                <w:sz w:val="20"/>
                <w:szCs w:val="20"/>
              </w:rPr>
              <w:t>PRIMARY OBJECTIVES</w:t>
            </w:r>
          </w:p>
        </w:tc>
      </w:tr>
      <w:tr w:rsidR="00BF6E3B" w:rsidRPr="001A1D5A" w14:paraId="1BBCF805" w14:textId="77777777" w:rsidTr="000B4245">
        <w:trPr>
          <w:cantSplit/>
          <w:trHeight w:val="748"/>
        </w:trPr>
        <w:tc>
          <w:tcPr>
            <w:tcW w:w="4503" w:type="dxa"/>
            <w:gridSpan w:val="2"/>
            <w:shd w:val="clear" w:color="auto" w:fill="00B0F0"/>
          </w:tcPr>
          <w:p w14:paraId="499B583F" w14:textId="77777777" w:rsidR="00BF6E3B" w:rsidRPr="001A1D5A" w:rsidRDefault="00BF6E3B" w:rsidP="000B4245">
            <w:pPr>
              <w:keepNext/>
              <w:spacing w:before="120" w:after="120"/>
              <w:jc w:val="center"/>
              <w:rPr>
                <w:rFonts w:ascii="DIN OT Medium" w:hAnsi="DIN OT Medium"/>
                <w:color w:val="FFFFFF" w:themeColor="background1"/>
                <w:sz w:val="20"/>
                <w:szCs w:val="20"/>
              </w:rPr>
            </w:pPr>
            <w:r w:rsidRPr="001A1D5A">
              <w:rPr>
                <w:rFonts w:ascii="DIN OT Medium" w:hAnsi="DIN OT Medium"/>
                <w:color w:val="FFFFFF" w:themeColor="background1"/>
                <w:sz w:val="20"/>
                <w:szCs w:val="20"/>
              </w:rPr>
              <w:t>Financial safety</w:t>
            </w:r>
          </w:p>
          <w:p w14:paraId="67954246" w14:textId="2660427F" w:rsidR="00BF6E3B" w:rsidRPr="001A1D5A" w:rsidRDefault="00BF6E3B" w:rsidP="008873A5">
            <w:pPr>
              <w:keepNext/>
              <w:spacing w:before="120" w:after="120"/>
              <w:rPr>
                <w:rFonts w:ascii="DIN OT Medium" w:hAnsi="DIN OT Medium"/>
                <w:color w:val="FFFFFF" w:themeColor="background1"/>
                <w:sz w:val="20"/>
                <w:szCs w:val="20"/>
              </w:rPr>
            </w:pPr>
          </w:p>
        </w:tc>
        <w:tc>
          <w:tcPr>
            <w:tcW w:w="4503" w:type="dxa"/>
            <w:shd w:val="clear" w:color="auto" w:fill="00B0F0"/>
          </w:tcPr>
          <w:p w14:paraId="3168C792" w14:textId="6CA4B6F7" w:rsidR="00BF6E3B" w:rsidRPr="001A1D5A" w:rsidRDefault="00BF6E3B" w:rsidP="00A67D5D">
            <w:pPr>
              <w:spacing w:before="120" w:after="120"/>
              <w:jc w:val="center"/>
              <w:rPr>
                <w:rFonts w:ascii="DIN OT Medium" w:hAnsi="DIN OT Medium"/>
                <w:color w:val="FFFFFF" w:themeColor="background1"/>
                <w:sz w:val="20"/>
                <w:szCs w:val="20"/>
              </w:rPr>
            </w:pPr>
            <w:r w:rsidRPr="001A1D5A">
              <w:rPr>
                <w:rFonts w:ascii="DIN OT Medium" w:hAnsi="DIN OT Medium"/>
                <w:color w:val="FFFFFF" w:themeColor="background1"/>
                <w:sz w:val="20"/>
                <w:szCs w:val="20"/>
              </w:rPr>
              <w:t>Financial system stability</w:t>
            </w:r>
          </w:p>
        </w:tc>
      </w:tr>
      <w:tr w:rsidR="00BF6E3B" w:rsidRPr="001A1D5A" w14:paraId="29B3489E" w14:textId="77777777" w:rsidTr="000B4245">
        <w:trPr>
          <w:cantSplit/>
        </w:trPr>
        <w:tc>
          <w:tcPr>
            <w:tcW w:w="4503" w:type="dxa"/>
            <w:gridSpan w:val="2"/>
            <w:shd w:val="clear" w:color="auto" w:fill="F2F2F2" w:themeFill="background1" w:themeFillShade="F2"/>
          </w:tcPr>
          <w:p w14:paraId="3B839256" w14:textId="16A1CC10" w:rsidR="00BF6E3B" w:rsidRDefault="00E71D78" w:rsidP="000B4245">
            <w:pPr>
              <w:keepNext/>
              <w:spacing w:after="0"/>
              <w:jc w:val="left"/>
              <w:rPr>
                <w:rFonts w:ascii="DIN OT Light" w:hAnsi="DIN OT Light"/>
                <w:sz w:val="20"/>
                <w:szCs w:val="20"/>
                <w:lang w:val="en-GB"/>
              </w:rPr>
            </w:pPr>
            <w:r w:rsidRPr="002E35D3">
              <w:rPr>
                <w:rFonts w:ascii="DIN OT Light" w:hAnsi="DIN OT Light"/>
                <w:sz w:val="20"/>
                <w:szCs w:val="20"/>
                <w:lang w:val="en-GB"/>
              </w:rPr>
              <w:t xml:space="preserve">APRA’s initial </w:t>
            </w:r>
            <w:r w:rsidR="00096994" w:rsidRPr="008873A5">
              <w:rPr>
                <w:rFonts w:ascii="DIN OT Light" w:hAnsi="DIN OT Light"/>
                <w:sz w:val="20"/>
                <w:szCs w:val="20"/>
                <w:lang w:val="en-GB"/>
              </w:rPr>
              <w:t>view is that</w:t>
            </w:r>
            <w:r w:rsidR="00BF6E3B" w:rsidRPr="001A1D5A">
              <w:rPr>
                <w:rFonts w:ascii="DIN OT Light" w:hAnsi="DIN OT Light"/>
                <w:sz w:val="20"/>
                <w:szCs w:val="20"/>
              </w:rPr>
              <w:t xml:space="preserve"> </w:t>
            </w:r>
            <w:r w:rsidR="00BF6E3B">
              <w:rPr>
                <w:rFonts w:ascii="DIN OT Light" w:hAnsi="DIN OT Light"/>
                <w:sz w:val="20"/>
                <w:szCs w:val="20"/>
                <w:lang w:val="en-GB"/>
              </w:rPr>
              <w:t>t</w:t>
            </w:r>
            <w:r w:rsidR="00BF6E3B" w:rsidRPr="00C4666E">
              <w:rPr>
                <w:rFonts w:ascii="DIN OT Light" w:hAnsi="DIN OT Light"/>
                <w:sz w:val="20"/>
                <w:szCs w:val="20"/>
                <w:lang w:val="en-GB"/>
              </w:rPr>
              <w:t xml:space="preserve">he </w:t>
            </w:r>
            <w:r w:rsidR="00BF6E3B">
              <w:rPr>
                <w:rFonts w:ascii="DIN OT Light" w:hAnsi="DIN OT Light"/>
                <w:sz w:val="20"/>
                <w:szCs w:val="20"/>
                <w:lang w:val="en-GB"/>
              </w:rPr>
              <w:t>options</w:t>
            </w:r>
            <w:r w:rsidR="00096994">
              <w:rPr>
                <w:rFonts w:ascii="DIN OT Light" w:hAnsi="DIN OT Light"/>
                <w:sz w:val="20"/>
                <w:szCs w:val="20"/>
                <w:lang w:val="en-GB"/>
              </w:rPr>
              <w:t xml:space="preserve"> improve financial safety as they</w:t>
            </w:r>
            <w:r w:rsidR="00BF6E3B">
              <w:rPr>
                <w:rFonts w:ascii="DIN OT Light" w:hAnsi="DIN OT Light"/>
                <w:sz w:val="20"/>
                <w:szCs w:val="20"/>
                <w:lang w:val="en-GB"/>
              </w:rPr>
              <w:t xml:space="preserve"> seek to ensure that APRA has an appropriate level of prudential oversight over the life reinsurance market, and an ability to promote financial safety across the life insurance industry as a whole. </w:t>
            </w:r>
          </w:p>
          <w:p w14:paraId="4191C1C3" w14:textId="77777777" w:rsidR="00BF6E3B" w:rsidRPr="00681937" w:rsidRDefault="00BF6E3B" w:rsidP="000B4245">
            <w:pPr>
              <w:keepNext/>
              <w:spacing w:after="0"/>
              <w:jc w:val="left"/>
              <w:rPr>
                <w:rFonts w:ascii="DIN OT Light" w:hAnsi="DIN OT Light"/>
                <w:sz w:val="20"/>
                <w:szCs w:val="20"/>
                <w:lang w:val="en-GB"/>
              </w:rPr>
            </w:pPr>
          </w:p>
        </w:tc>
        <w:tc>
          <w:tcPr>
            <w:tcW w:w="4503" w:type="dxa"/>
            <w:shd w:val="clear" w:color="auto" w:fill="F2F2F2" w:themeFill="background1" w:themeFillShade="F2"/>
          </w:tcPr>
          <w:p w14:paraId="0FC32B7C" w14:textId="1AA44169" w:rsidR="00BF6E3B" w:rsidRDefault="00E71D78" w:rsidP="000B4245">
            <w:pPr>
              <w:spacing w:after="0"/>
              <w:jc w:val="left"/>
              <w:rPr>
                <w:rFonts w:ascii="DIN OT Light" w:hAnsi="DIN OT Light"/>
                <w:sz w:val="20"/>
                <w:szCs w:val="20"/>
                <w:lang w:val="en-GB"/>
              </w:rPr>
            </w:pPr>
            <w:r>
              <w:rPr>
                <w:rFonts w:ascii="DIN OT Light" w:hAnsi="DIN OT Light"/>
                <w:sz w:val="20"/>
                <w:szCs w:val="20"/>
                <w:lang w:val="en-GB"/>
              </w:rPr>
              <w:t xml:space="preserve">APRA’s initial </w:t>
            </w:r>
            <w:r w:rsidR="00096994" w:rsidRPr="009B3BE0">
              <w:rPr>
                <w:rFonts w:ascii="DIN OT Light" w:hAnsi="DIN OT Light"/>
                <w:sz w:val="20"/>
                <w:szCs w:val="20"/>
                <w:lang w:val="en-GB"/>
              </w:rPr>
              <w:t>view is that</w:t>
            </w:r>
            <w:r w:rsidR="00BF6E3B" w:rsidRPr="001A1D5A">
              <w:rPr>
                <w:rFonts w:ascii="DIN OT Light" w:hAnsi="DIN OT Light"/>
                <w:sz w:val="20"/>
                <w:szCs w:val="20"/>
              </w:rPr>
              <w:t xml:space="preserve"> </w:t>
            </w:r>
            <w:r w:rsidR="00BF6E3B">
              <w:rPr>
                <w:rFonts w:ascii="DIN OT Light" w:hAnsi="DIN OT Light"/>
                <w:sz w:val="20"/>
                <w:szCs w:val="20"/>
                <w:lang w:val="en-GB"/>
              </w:rPr>
              <w:t>t</w:t>
            </w:r>
            <w:r w:rsidR="00BF6E3B" w:rsidRPr="00C4666E">
              <w:rPr>
                <w:rFonts w:ascii="DIN OT Light" w:hAnsi="DIN OT Light"/>
                <w:sz w:val="20"/>
                <w:szCs w:val="20"/>
                <w:lang w:val="en-GB"/>
              </w:rPr>
              <w:t xml:space="preserve">he </w:t>
            </w:r>
            <w:r w:rsidR="00BF6E3B">
              <w:rPr>
                <w:rFonts w:ascii="DIN OT Light" w:hAnsi="DIN OT Light"/>
                <w:sz w:val="20"/>
                <w:szCs w:val="20"/>
                <w:lang w:val="en-GB"/>
              </w:rPr>
              <w:t xml:space="preserve">options would promote stability by ensuring the life insurance market is supported by reinsurers that are taking a long-term perspective. </w:t>
            </w:r>
          </w:p>
          <w:p w14:paraId="4D67FF20" w14:textId="77777777" w:rsidR="00BF6E3B" w:rsidRPr="001A1D5A" w:rsidRDefault="00BF6E3B" w:rsidP="000B4245">
            <w:pPr>
              <w:spacing w:after="0"/>
              <w:jc w:val="left"/>
              <w:rPr>
                <w:rFonts w:ascii="DIN OT Light" w:hAnsi="DIN OT Light"/>
                <w:sz w:val="20"/>
                <w:lang w:val="en-GB"/>
              </w:rPr>
            </w:pPr>
          </w:p>
        </w:tc>
      </w:tr>
      <w:tr w:rsidR="00BF6E3B" w:rsidRPr="001A1D5A" w14:paraId="306E2117" w14:textId="77777777" w:rsidTr="000B4245">
        <w:trPr>
          <w:cantSplit/>
          <w:trHeight w:val="527"/>
        </w:trPr>
        <w:tc>
          <w:tcPr>
            <w:tcW w:w="9006" w:type="dxa"/>
            <w:gridSpan w:val="3"/>
            <w:shd w:val="clear" w:color="auto" w:fill="002060"/>
          </w:tcPr>
          <w:p w14:paraId="5DF58EA4" w14:textId="77777777" w:rsidR="00BF6E3B" w:rsidRPr="00D03B69" w:rsidRDefault="00BF6E3B" w:rsidP="000B4245">
            <w:pPr>
              <w:keepNext/>
              <w:spacing w:before="120" w:after="120"/>
              <w:jc w:val="left"/>
              <w:rPr>
                <w:rFonts w:ascii="DIN OT Medium" w:hAnsi="DIN OT Medium"/>
                <w:sz w:val="20"/>
                <w:szCs w:val="20"/>
              </w:rPr>
            </w:pPr>
            <w:r w:rsidRPr="00D03B69">
              <w:rPr>
                <w:rFonts w:ascii="DIN OT Medium" w:hAnsi="DIN OT Medium"/>
                <w:color w:val="FFFFFF" w:themeColor="background1"/>
                <w:sz w:val="20"/>
                <w:szCs w:val="20"/>
              </w:rPr>
              <w:t>OTHER CONSIDERATIONS</w:t>
            </w:r>
          </w:p>
        </w:tc>
      </w:tr>
      <w:tr w:rsidR="00BF6E3B" w:rsidRPr="001A1D5A" w14:paraId="59324C2D" w14:textId="77777777" w:rsidTr="000B4245">
        <w:trPr>
          <w:cantSplit/>
          <w:trHeight w:val="1008"/>
        </w:trPr>
        <w:tc>
          <w:tcPr>
            <w:tcW w:w="1837" w:type="dxa"/>
            <w:shd w:val="clear" w:color="auto" w:fill="00B0F0"/>
          </w:tcPr>
          <w:p w14:paraId="0BF83E55" w14:textId="2A6E1517" w:rsidR="00BF6E3B" w:rsidRPr="001A1D5A" w:rsidRDefault="00BF6E3B" w:rsidP="000B4245">
            <w:pPr>
              <w:keepNext/>
              <w:spacing w:before="120" w:after="120"/>
              <w:jc w:val="center"/>
              <w:rPr>
                <w:rFonts w:ascii="DIN OT Light" w:hAnsi="DIN OT Light"/>
                <w:color w:val="FFFFFF" w:themeColor="background1"/>
                <w:sz w:val="20"/>
                <w:szCs w:val="20"/>
              </w:rPr>
            </w:pPr>
            <w:r w:rsidRPr="001A1D5A">
              <w:rPr>
                <w:rFonts w:ascii="DIN OT Medium" w:hAnsi="DIN OT Medium"/>
                <w:color w:val="FFFFFF" w:themeColor="background1"/>
                <w:sz w:val="20"/>
                <w:szCs w:val="20"/>
              </w:rPr>
              <w:t>Efficiency</w:t>
            </w:r>
          </w:p>
          <w:p w14:paraId="4D7C0796" w14:textId="77777777" w:rsidR="00BF6E3B" w:rsidRPr="001A1D5A" w:rsidRDefault="00BF6E3B" w:rsidP="000B4245">
            <w:pPr>
              <w:keepNext/>
              <w:spacing w:before="120" w:after="120"/>
              <w:jc w:val="center"/>
              <w:rPr>
                <w:rFonts w:ascii="DIN OT Light" w:hAnsi="DIN OT Light"/>
                <w:sz w:val="20"/>
                <w:szCs w:val="20"/>
              </w:rPr>
            </w:pPr>
          </w:p>
        </w:tc>
        <w:tc>
          <w:tcPr>
            <w:tcW w:w="7169" w:type="dxa"/>
            <w:gridSpan w:val="2"/>
            <w:shd w:val="clear" w:color="auto" w:fill="F2F2F2" w:themeFill="background1" w:themeFillShade="F2"/>
          </w:tcPr>
          <w:p w14:paraId="7463E079" w14:textId="1843965D" w:rsidR="00115968" w:rsidRDefault="00115968" w:rsidP="000B4245">
            <w:pPr>
              <w:keepNext/>
              <w:spacing w:before="120" w:after="120"/>
              <w:jc w:val="left"/>
              <w:rPr>
                <w:rFonts w:ascii="DIN OT Light" w:hAnsi="DIN OT Light"/>
                <w:sz w:val="20"/>
                <w:szCs w:val="20"/>
                <w:lang w:val="en-GB"/>
              </w:rPr>
            </w:pPr>
            <w:r>
              <w:rPr>
                <w:rFonts w:ascii="DIN OT Light" w:hAnsi="DIN OT Light"/>
                <w:sz w:val="20"/>
                <w:szCs w:val="20"/>
                <w:lang w:val="en-GB"/>
              </w:rPr>
              <w:t>G</w:t>
            </w:r>
            <w:r w:rsidR="00A64BAF" w:rsidRPr="00D15328">
              <w:rPr>
                <w:rFonts w:ascii="DIN OT Light" w:hAnsi="DIN OT Light"/>
                <w:sz w:val="20"/>
                <w:szCs w:val="20"/>
                <w:lang w:val="en-GB"/>
              </w:rPr>
              <w:t>iven the capacity of the local reinsurance market,</w:t>
            </w:r>
            <w:r w:rsidR="00A64BAF">
              <w:rPr>
                <w:rFonts w:ascii="DIN OT Medium" w:hAnsi="DIN OT Medium"/>
                <w:sz w:val="20"/>
                <w:szCs w:val="20"/>
              </w:rPr>
              <w:t xml:space="preserve"> </w:t>
            </w:r>
            <w:r w:rsidRPr="008873A5">
              <w:rPr>
                <w:rFonts w:ascii="DIN OT Light" w:hAnsi="DIN OT Light"/>
                <w:sz w:val="20"/>
                <w:szCs w:val="20"/>
                <w:lang w:val="en-GB"/>
              </w:rPr>
              <w:t>APRA’s initial view is that</w:t>
            </w:r>
            <w:r>
              <w:rPr>
                <w:rFonts w:ascii="DIN OT Medium" w:hAnsi="DIN OT Medium"/>
                <w:sz w:val="20"/>
                <w:szCs w:val="20"/>
              </w:rPr>
              <w:t xml:space="preserve"> </w:t>
            </w:r>
            <w:r w:rsidR="00BF6E3B">
              <w:rPr>
                <w:rFonts w:ascii="DIN OT Light" w:hAnsi="DIN OT Light"/>
                <w:sz w:val="20"/>
                <w:szCs w:val="20"/>
                <w:lang w:val="en-GB"/>
              </w:rPr>
              <w:t>t</w:t>
            </w:r>
            <w:r w:rsidR="00BF6E3B" w:rsidRPr="00C4666E">
              <w:rPr>
                <w:rFonts w:ascii="DIN OT Light" w:hAnsi="DIN OT Light"/>
                <w:sz w:val="20"/>
                <w:szCs w:val="20"/>
                <w:lang w:val="en-GB"/>
              </w:rPr>
              <w:t xml:space="preserve">he </w:t>
            </w:r>
            <w:r w:rsidR="00BF6E3B">
              <w:rPr>
                <w:rFonts w:ascii="DIN OT Light" w:hAnsi="DIN OT Light"/>
                <w:sz w:val="20"/>
                <w:szCs w:val="20"/>
                <w:lang w:val="en-GB"/>
              </w:rPr>
              <w:t>options would</w:t>
            </w:r>
            <w:r w:rsidR="00BF6E3B" w:rsidRPr="00C4666E">
              <w:rPr>
                <w:rFonts w:ascii="DIN OT Light" w:hAnsi="DIN OT Light"/>
                <w:sz w:val="20"/>
                <w:szCs w:val="20"/>
                <w:lang w:val="en-GB"/>
              </w:rPr>
              <w:t xml:space="preserve"> have no </w:t>
            </w:r>
            <w:r w:rsidR="00BF6E3B">
              <w:rPr>
                <w:rFonts w:ascii="DIN OT Light" w:hAnsi="DIN OT Light"/>
                <w:sz w:val="20"/>
                <w:szCs w:val="20"/>
                <w:lang w:val="en-GB"/>
              </w:rPr>
              <w:t xml:space="preserve">material </w:t>
            </w:r>
            <w:r w:rsidR="00BF6E3B" w:rsidRPr="00C4666E">
              <w:rPr>
                <w:rFonts w:ascii="DIN OT Light" w:hAnsi="DIN OT Light"/>
                <w:sz w:val="20"/>
                <w:szCs w:val="20"/>
                <w:lang w:val="en-GB"/>
              </w:rPr>
              <w:t xml:space="preserve">impact on </w:t>
            </w:r>
            <w:r w:rsidR="00BF6E3B">
              <w:rPr>
                <w:rFonts w:ascii="DIN OT Light" w:hAnsi="DIN OT Light"/>
                <w:sz w:val="20"/>
                <w:szCs w:val="20"/>
                <w:lang w:val="en-GB"/>
              </w:rPr>
              <w:t>efficiency.</w:t>
            </w:r>
          </w:p>
          <w:p w14:paraId="2A3BF4FD" w14:textId="049958EC" w:rsidR="00BF6E3B" w:rsidRPr="001A1D5A" w:rsidRDefault="00F02120" w:rsidP="00AB0707">
            <w:pPr>
              <w:keepNext/>
              <w:spacing w:before="120" w:after="120"/>
              <w:jc w:val="left"/>
              <w:rPr>
                <w:rFonts w:ascii="DIN OT Light" w:hAnsi="DIN OT Light"/>
                <w:sz w:val="20"/>
                <w:szCs w:val="20"/>
              </w:rPr>
            </w:pPr>
            <w:r w:rsidRPr="009B3BE0">
              <w:rPr>
                <w:rFonts w:ascii="DIN OT Light" w:hAnsi="DIN OT Light"/>
                <w:sz w:val="20"/>
                <w:szCs w:val="20"/>
                <w:lang w:val="en-GB"/>
              </w:rPr>
              <w:t>APRA welcomes input regarding the possible impact of the o</w:t>
            </w:r>
            <w:r>
              <w:rPr>
                <w:rFonts w:ascii="DIN OT Light" w:hAnsi="DIN OT Light"/>
                <w:sz w:val="20"/>
                <w:szCs w:val="20"/>
                <w:lang w:val="en-GB"/>
              </w:rPr>
              <w:t xml:space="preserve">ptions in this paper on </w:t>
            </w:r>
            <w:r w:rsidR="000F04E5">
              <w:rPr>
                <w:rFonts w:ascii="DIN OT Light" w:hAnsi="DIN OT Light"/>
                <w:sz w:val="20"/>
                <w:szCs w:val="20"/>
                <w:lang w:val="en-GB"/>
              </w:rPr>
              <w:t xml:space="preserve">the </w:t>
            </w:r>
            <w:r w:rsidR="00AB0707">
              <w:rPr>
                <w:rFonts w:ascii="DIN OT Light" w:hAnsi="DIN OT Light"/>
                <w:sz w:val="20"/>
                <w:szCs w:val="20"/>
                <w:lang w:val="en-GB"/>
              </w:rPr>
              <w:t>economic</w:t>
            </w:r>
            <w:r>
              <w:rPr>
                <w:rFonts w:ascii="DIN OT Light" w:hAnsi="DIN OT Light"/>
                <w:sz w:val="20"/>
                <w:szCs w:val="20"/>
                <w:lang w:val="en-GB"/>
              </w:rPr>
              <w:t xml:space="preserve"> efficiency of the market</w:t>
            </w:r>
            <w:r w:rsidRPr="009B3BE0">
              <w:rPr>
                <w:rFonts w:ascii="DIN OT Light" w:hAnsi="DIN OT Light"/>
                <w:sz w:val="20"/>
                <w:szCs w:val="20"/>
                <w:lang w:val="en-GB"/>
              </w:rPr>
              <w:t>.</w:t>
            </w:r>
          </w:p>
        </w:tc>
      </w:tr>
      <w:tr w:rsidR="00BF6E3B" w:rsidRPr="001A1D5A" w14:paraId="0B068A88" w14:textId="77777777" w:rsidTr="000B4245">
        <w:trPr>
          <w:cantSplit/>
        </w:trPr>
        <w:tc>
          <w:tcPr>
            <w:tcW w:w="1837" w:type="dxa"/>
            <w:shd w:val="clear" w:color="auto" w:fill="00B0F0"/>
          </w:tcPr>
          <w:p w14:paraId="79A13203" w14:textId="77777777" w:rsidR="00BF6E3B" w:rsidRPr="001A1D5A" w:rsidRDefault="00BF6E3B" w:rsidP="000B4245">
            <w:pPr>
              <w:keepNext/>
              <w:spacing w:before="120" w:after="120"/>
              <w:jc w:val="center"/>
              <w:rPr>
                <w:rFonts w:ascii="DIN OT Medium" w:hAnsi="DIN OT Medium"/>
                <w:color w:val="FFFFFF" w:themeColor="background1"/>
                <w:sz w:val="20"/>
                <w:szCs w:val="20"/>
              </w:rPr>
            </w:pPr>
            <w:r w:rsidRPr="001A1D5A">
              <w:rPr>
                <w:rFonts w:ascii="DIN OT Medium" w:hAnsi="DIN OT Medium"/>
                <w:color w:val="FFFFFF" w:themeColor="background1"/>
                <w:sz w:val="20"/>
                <w:szCs w:val="20"/>
              </w:rPr>
              <w:t>Competition</w:t>
            </w:r>
          </w:p>
          <w:p w14:paraId="38088ADC" w14:textId="73EC199E" w:rsidR="00BF6E3B" w:rsidRPr="001A1D5A" w:rsidRDefault="00BF6E3B" w:rsidP="000B4245">
            <w:pPr>
              <w:keepNext/>
              <w:spacing w:before="120" w:after="120"/>
              <w:jc w:val="center"/>
              <w:rPr>
                <w:rFonts w:ascii="DIN OT Light" w:hAnsi="DIN OT Light"/>
                <w:sz w:val="20"/>
                <w:szCs w:val="20"/>
              </w:rPr>
            </w:pPr>
          </w:p>
        </w:tc>
        <w:tc>
          <w:tcPr>
            <w:tcW w:w="7169" w:type="dxa"/>
            <w:gridSpan w:val="2"/>
            <w:shd w:val="clear" w:color="auto" w:fill="F2F2F2" w:themeFill="background1" w:themeFillShade="F2"/>
          </w:tcPr>
          <w:p w14:paraId="6829D56C" w14:textId="5197453A" w:rsidR="00AD7D06" w:rsidRDefault="00096994" w:rsidP="000B4245">
            <w:pPr>
              <w:keepNext/>
              <w:spacing w:before="120" w:after="120"/>
              <w:jc w:val="left"/>
              <w:rPr>
                <w:rFonts w:ascii="DIN OT Light" w:hAnsi="DIN OT Light"/>
                <w:sz w:val="20"/>
                <w:szCs w:val="20"/>
              </w:rPr>
            </w:pPr>
            <w:r>
              <w:rPr>
                <w:rFonts w:ascii="DIN OT Light" w:hAnsi="DIN OT Light"/>
                <w:sz w:val="20"/>
                <w:szCs w:val="20"/>
                <w:lang w:val="en-GB"/>
              </w:rPr>
              <w:t>T</w:t>
            </w:r>
            <w:r w:rsidR="00BF6E3B" w:rsidRPr="00C4666E">
              <w:rPr>
                <w:rFonts w:ascii="DIN OT Light" w:hAnsi="DIN OT Light"/>
                <w:sz w:val="20"/>
                <w:szCs w:val="20"/>
                <w:lang w:val="en-GB"/>
              </w:rPr>
              <w:t xml:space="preserve">he </w:t>
            </w:r>
            <w:r w:rsidR="00BF6E3B">
              <w:rPr>
                <w:rFonts w:ascii="DIN OT Light" w:hAnsi="DIN OT Light"/>
                <w:sz w:val="20"/>
                <w:szCs w:val="20"/>
                <w:lang w:val="en-GB"/>
              </w:rPr>
              <w:t>options</w:t>
            </w:r>
            <w:r w:rsidR="00BF6E3B" w:rsidRPr="00C4666E">
              <w:rPr>
                <w:rFonts w:ascii="DIN OT Light" w:hAnsi="DIN OT Light"/>
                <w:sz w:val="20"/>
                <w:szCs w:val="20"/>
                <w:lang w:val="en-GB"/>
              </w:rPr>
              <w:t xml:space="preserve"> </w:t>
            </w:r>
            <w:r w:rsidR="00BF6E3B">
              <w:rPr>
                <w:rFonts w:ascii="DIN OT Light" w:hAnsi="DIN OT Light"/>
                <w:sz w:val="20"/>
                <w:szCs w:val="20"/>
                <w:lang w:val="en-GB"/>
              </w:rPr>
              <w:t>aim to ensure the use of offshore reinsurers</w:t>
            </w:r>
            <w:r w:rsidR="00BF6E3B" w:rsidRPr="00B87BC1">
              <w:rPr>
                <w:rFonts w:ascii="DIN OT Light" w:hAnsi="DIN OT Light"/>
                <w:sz w:val="20"/>
                <w:szCs w:val="20"/>
                <w:lang w:val="en-GB"/>
              </w:rPr>
              <w:t xml:space="preserve"> </w:t>
            </w:r>
            <w:r w:rsidR="00BF6E3B">
              <w:rPr>
                <w:rFonts w:ascii="DIN OT Light" w:hAnsi="DIN OT Light"/>
                <w:sz w:val="20"/>
                <w:szCs w:val="20"/>
                <w:lang w:val="en-GB"/>
              </w:rPr>
              <w:t>is capped</w:t>
            </w:r>
            <w:r w:rsidR="00BF6E3B" w:rsidRPr="00B87BC1">
              <w:rPr>
                <w:rFonts w:ascii="DIN OT Light" w:hAnsi="DIN OT Light"/>
                <w:sz w:val="20"/>
                <w:szCs w:val="20"/>
                <w:lang w:val="en-GB"/>
              </w:rPr>
              <w:t xml:space="preserve"> within </w:t>
            </w:r>
            <w:r w:rsidR="00BF6E3B">
              <w:rPr>
                <w:rFonts w:ascii="DIN OT Light" w:hAnsi="DIN OT Light"/>
                <w:sz w:val="20"/>
                <w:szCs w:val="20"/>
                <w:lang w:val="en-GB"/>
              </w:rPr>
              <w:t xml:space="preserve">reasonable </w:t>
            </w:r>
            <w:r w:rsidR="00BF6E3B" w:rsidRPr="00B87BC1">
              <w:rPr>
                <w:rFonts w:ascii="DIN OT Light" w:hAnsi="DIN OT Light"/>
                <w:sz w:val="20"/>
                <w:szCs w:val="20"/>
                <w:lang w:val="en-GB"/>
              </w:rPr>
              <w:t>prudent limits</w:t>
            </w:r>
            <w:r w:rsidR="00BF6E3B">
              <w:rPr>
                <w:rFonts w:ascii="DIN OT Light" w:hAnsi="DIN OT Light"/>
                <w:sz w:val="20"/>
                <w:szCs w:val="20"/>
              </w:rPr>
              <w:t xml:space="preserve">. </w:t>
            </w:r>
            <w:r w:rsidR="00AD7D06">
              <w:rPr>
                <w:rFonts w:ascii="DIN OT Light" w:hAnsi="DIN OT Light"/>
                <w:sz w:val="20"/>
                <w:szCs w:val="20"/>
              </w:rPr>
              <w:t>APRA’s initial view is that the options</w:t>
            </w:r>
            <w:r w:rsidR="00BF6E3B">
              <w:rPr>
                <w:rFonts w:ascii="DIN OT Light" w:hAnsi="DIN OT Light"/>
                <w:sz w:val="20"/>
                <w:szCs w:val="20"/>
              </w:rPr>
              <w:t xml:space="preserve"> may marginally reduce competition in the life reinsurance market. </w:t>
            </w:r>
          </w:p>
          <w:p w14:paraId="3AC3F7CF" w14:textId="4DBD3B34" w:rsidR="00BF6E3B" w:rsidRPr="001A1D5A" w:rsidRDefault="00AD7D06" w:rsidP="00A67D5D">
            <w:pPr>
              <w:keepNext/>
              <w:spacing w:before="120" w:after="120"/>
              <w:jc w:val="left"/>
              <w:rPr>
                <w:rFonts w:ascii="DIN OT Light" w:hAnsi="DIN OT Light"/>
                <w:sz w:val="20"/>
                <w:szCs w:val="20"/>
              </w:rPr>
            </w:pPr>
            <w:r>
              <w:rPr>
                <w:rFonts w:ascii="DIN OT Light" w:hAnsi="DIN OT Light"/>
                <w:sz w:val="20"/>
                <w:szCs w:val="20"/>
              </w:rPr>
              <w:t xml:space="preserve">APRA welcomes input which may help measure the potential impact of the options on competition. This may include, among other things, views on how the options may impact the cost of reinsurance. </w:t>
            </w:r>
          </w:p>
        </w:tc>
      </w:tr>
      <w:tr w:rsidR="00BF6E3B" w:rsidRPr="001A1D5A" w14:paraId="22E3F17B" w14:textId="77777777" w:rsidTr="000B4245">
        <w:trPr>
          <w:cantSplit/>
          <w:trHeight w:val="699"/>
        </w:trPr>
        <w:tc>
          <w:tcPr>
            <w:tcW w:w="1837" w:type="dxa"/>
            <w:shd w:val="clear" w:color="auto" w:fill="00B0F0"/>
          </w:tcPr>
          <w:p w14:paraId="14FD3E14" w14:textId="33479BC3" w:rsidR="00BF6E3B" w:rsidRPr="001A1D5A" w:rsidRDefault="00BF6E3B" w:rsidP="000B4245">
            <w:pPr>
              <w:keepNext/>
              <w:spacing w:before="120" w:after="120"/>
              <w:jc w:val="center"/>
              <w:rPr>
                <w:rFonts w:ascii="DIN OT Medium" w:hAnsi="DIN OT Medium"/>
                <w:color w:val="FFFFFF" w:themeColor="background1"/>
                <w:sz w:val="20"/>
                <w:szCs w:val="20"/>
              </w:rPr>
            </w:pPr>
            <w:r w:rsidRPr="001A1D5A">
              <w:rPr>
                <w:rFonts w:ascii="DIN OT Medium" w:hAnsi="DIN OT Medium"/>
                <w:color w:val="FFFFFF" w:themeColor="background1"/>
                <w:sz w:val="20"/>
                <w:szCs w:val="20"/>
              </w:rPr>
              <w:t>Contestability</w:t>
            </w:r>
          </w:p>
          <w:p w14:paraId="5243415B" w14:textId="77777777" w:rsidR="00BF6E3B" w:rsidRPr="001A1D5A" w:rsidRDefault="00BF6E3B" w:rsidP="000B4245">
            <w:pPr>
              <w:keepNext/>
              <w:spacing w:before="120" w:after="120"/>
              <w:jc w:val="center"/>
              <w:rPr>
                <w:rFonts w:ascii="DIN OT Light" w:hAnsi="DIN OT Light"/>
                <w:sz w:val="20"/>
                <w:szCs w:val="20"/>
              </w:rPr>
            </w:pPr>
          </w:p>
        </w:tc>
        <w:tc>
          <w:tcPr>
            <w:tcW w:w="7169" w:type="dxa"/>
            <w:gridSpan w:val="2"/>
            <w:shd w:val="clear" w:color="auto" w:fill="F2F2F2" w:themeFill="background1" w:themeFillShade="F2"/>
          </w:tcPr>
          <w:p w14:paraId="0165C42A" w14:textId="2ED3AEBF" w:rsidR="00AD7D06" w:rsidRDefault="00AD7D06" w:rsidP="000B4245">
            <w:pPr>
              <w:keepNext/>
              <w:spacing w:before="120" w:after="120"/>
              <w:jc w:val="left"/>
              <w:rPr>
                <w:rFonts w:ascii="DIN OT Light" w:hAnsi="DIN OT Light"/>
                <w:sz w:val="20"/>
                <w:szCs w:val="20"/>
                <w:lang w:val="en-GB"/>
              </w:rPr>
            </w:pPr>
            <w:r>
              <w:rPr>
                <w:rFonts w:ascii="DIN OT Light" w:hAnsi="DIN OT Light"/>
                <w:sz w:val="20"/>
                <w:szCs w:val="20"/>
                <w:lang w:val="en-GB"/>
              </w:rPr>
              <w:t>W</w:t>
            </w:r>
            <w:r w:rsidR="00BF6E3B" w:rsidRPr="00B87BC1">
              <w:rPr>
                <w:rFonts w:ascii="DIN OT Light" w:hAnsi="DIN OT Light"/>
                <w:sz w:val="20"/>
                <w:szCs w:val="20"/>
                <w:lang w:val="en-GB"/>
              </w:rPr>
              <w:t xml:space="preserve">hile the </w:t>
            </w:r>
            <w:r w:rsidR="00BF6E3B">
              <w:rPr>
                <w:rFonts w:ascii="DIN OT Light" w:hAnsi="DIN OT Light"/>
                <w:sz w:val="20"/>
                <w:szCs w:val="20"/>
                <w:lang w:val="en-GB"/>
              </w:rPr>
              <w:t>options</w:t>
            </w:r>
            <w:r w:rsidR="00BF6E3B" w:rsidRPr="00B87BC1">
              <w:rPr>
                <w:rFonts w:ascii="DIN OT Light" w:hAnsi="DIN OT Light"/>
                <w:sz w:val="20"/>
                <w:szCs w:val="20"/>
                <w:lang w:val="en-GB"/>
              </w:rPr>
              <w:t xml:space="preserve"> may </w:t>
            </w:r>
            <w:r w:rsidR="00BF6E3B">
              <w:rPr>
                <w:rFonts w:ascii="DIN OT Light" w:hAnsi="DIN OT Light"/>
                <w:sz w:val="20"/>
                <w:szCs w:val="20"/>
                <w:lang w:val="en-GB"/>
              </w:rPr>
              <w:t>restrict</w:t>
            </w:r>
            <w:r w:rsidR="00BF6E3B" w:rsidRPr="00B87BC1">
              <w:rPr>
                <w:rFonts w:ascii="DIN OT Light" w:hAnsi="DIN OT Light"/>
                <w:sz w:val="20"/>
                <w:szCs w:val="20"/>
                <w:lang w:val="en-GB"/>
              </w:rPr>
              <w:t xml:space="preserve"> the use of offshore reinsurers, </w:t>
            </w:r>
            <w:r w:rsidR="00E71D78">
              <w:rPr>
                <w:rFonts w:ascii="DIN OT Light" w:hAnsi="DIN OT Light"/>
                <w:sz w:val="20"/>
                <w:szCs w:val="20"/>
                <w:lang w:val="en-GB"/>
              </w:rPr>
              <w:t xml:space="preserve">APRA’s initial view </w:t>
            </w:r>
            <w:r>
              <w:rPr>
                <w:rFonts w:ascii="DIN OT Light" w:hAnsi="DIN OT Light"/>
                <w:sz w:val="20"/>
                <w:szCs w:val="20"/>
                <w:lang w:val="en-GB"/>
              </w:rPr>
              <w:t xml:space="preserve">is that </w:t>
            </w:r>
            <w:r w:rsidR="00BF6E3B">
              <w:rPr>
                <w:rFonts w:ascii="DIN OT Light" w:hAnsi="DIN OT Light"/>
                <w:sz w:val="20"/>
                <w:szCs w:val="20"/>
                <w:lang w:val="en-GB"/>
              </w:rPr>
              <w:t>they do not affect the ability of new entrants to enter the life insurance industry.</w:t>
            </w:r>
          </w:p>
          <w:p w14:paraId="792F33D2" w14:textId="09E3A856" w:rsidR="00BF6E3B" w:rsidRPr="00B87BC1" w:rsidRDefault="00AD7D06" w:rsidP="000B4245">
            <w:pPr>
              <w:keepNext/>
              <w:spacing w:before="120" w:after="120"/>
              <w:jc w:val="left"/>
              <w:rPr>
                <w:rFonts w:ascii="DIN OT Light" w:hAnsi="DIN OT Light"/>
                <w:b/>
                <w:sz w:val="20"/>
                <w:szCs w:val="20"/>
              </w:rPr>
            </w:pPr>
            <w:r w:rsidRPr="008873A5">
              <w:rPr>
                <w:rFonts w:ascii="DIN OT Light" w:hAnsi="DIN OT Light"/>
                <w:sz w:val="20"/>
                <w:szCs w:val="20"/>
                <w:lang w:val="en-GB"/>
              </w:rPr>
              <w:t>APRA welcomes input regarding the possible impact of the options in this paper on market contestability.</w:t>
            </w:r>
            <w:r>
              <w:rPr>
                <w:rFonts w:ascii="DIN OT Medium" w:hAnsi="DIN OT Medium"/>
                <w:sz w:val="20"/>
                <w:szCs w:val="20"/>
              </w:rPr>
              <w:t xml:space="preserve"> </w:t>
            </w:r>
          </w:p>
        </w:tc>
      </w:tr>
      <w:tr w:rsidR="00BF6E3B" w:rsidRPr="001A1D5A" w14:paraId="7F86448F" w14:textId="77777777" w:rsidTr="000B4245">
        <w:trPr>
          <w:cantSplit/>
        </w:trPr>
        <w:tc>
          <w:tcPr>
            <w:tcW w:w="1837" w:type="dxa"/>
            <w:shd w:val="clear" w:color="auto" w:fill="00B0F0"/>
          </w:tcPr>
          <w:p w14:paraId="1DB3CEA2" w14:textId="7DBDA1A3" w:rsidR="00BF6E3B" w:rsidRPr="001A1D5A" w:rsidRDefault="00BF6E3B" w:rsidP="000B4245">
            <w:pPr>
              <w:keepNext/>
              <w:widowControl w:val="0"/>
              <w:spacing w:before="120" w:after="120"/>
              <w:jc w:val="center"/>
              <w:rPr>
                <w:rFonts w:ascii="DIN OT Medium" w:hAnsi="DIN OT Medium"/>
                <w:color w:val="FFFFFF" w:themeColor="background1"/>
                <w:sz w:val="20"/>
                <w:szCs w:val="20"/>
              </w:rPr>
            </w:pPr>
            <w:r w:rsidRPr="001A1D5A">
              <w:rPr>
                <w:rFonts w:ascii="DIN OT Medium" w:hAnsi="DIN OT Medium"/>
                <w:color w:val="FFFFFF" w:themeColor="background1"/>
                <w:sz w:val="20"/>
                <w:szCs w:val="20"/>
              </w:rPr>
              <w:t>Competitive Neutrality</w:t>
            </w:r>
          </w:p>
          <w:p w14:paraId="160AD341" w14:textId="77777777" w:rsidR="00BF6E3B" w:rsidRPr="001A1D5A" w:rsidRDefault="00BF6E3B" w:rsidP="000B4245">
            <w:pPr>
              <w:keepNext/>
              <w:widowControl w:val="0"/>
              <w:spacing w:before="120" w:after="120"/>
              <w:jc w:val="center"/>
              <w:rPr>
                <w:rFonts w:ascii="DIN OT Medium" w:hAnsi="DIN OT Medium"/>
                <w:i/>
                <w:noProof/>
                <w:color w:val="FFFFFF" w:themeColor="background1"/>
                <w:sz w:val="20"/>
                <w:szCs w:val="20"/>
                <w:lang w:eastAsia="en-AU"/>
              </w:rPr>
            </w:pPr>
          </w:p>
        </w:tc>
        <w:tc>
          <w:tcPr>
            <w:tcW w:w="7169" w:type="dxa"/>
            <w:gridSpan w:val="2"/>
            <w:shd w:val="clear" w:color="auto" w:fill="F2F2F2" w:themeFill="background1" w:themeFillShade="F2"/>
          </w:tcPr>
          <w:p w14:paraId="38571325" w14:textId="53EA8060" w:rsidR="00BF6E3B" w:rsidRPr="00C4666E" w:rsidRDefault="00AD7D06" w:rsidP="00A67D5D">
            <w:pPr>
              <w:keepNext/>
              <w:widowControl w:val="0"/>
              <w:spacing w:before="120" w:after="120"/>
              <w:jc w:val="left"/>
            </w:pPr>
            <w:r>
              <w:rPr>
                <w:rFonts w:ascii="DIN OT Light" w:hAnsi="DIN OT Light"/>
                <w:sz w:val="20"/>
                <w:szCs w:val="20"/>
                <w:lang w:val="en-GB"/>
              </w:rPr>
              <w:t>This concept refers to ensuring state-owned and private businesses compete on a level playing field. APRA does not anticipate that the options will impact the competitive neutrality of the life insurance market.</w:t>
            </w:r>
            <w:r w:rsidR="00B336EA">
              <w:rPr>
                <w:rFonts w:ascii="DIN OT Light" w:hAnsi="DIN OT Light"/>
                <w:sz w:val="20"/>
                <w:szCs w:val="20"/>
                <w:lang w:val="en-GB"/>
              </w:rPr>
              <w:t xml:space="preserve"> </w:t>
            </w:r>
          </w:p>
        </w:tc>
      </w:tr>
    </w:tbl>
    <w:p w14:paraId="0800402E" w14:textId="4C7D3075" w:rsidR="00134F93" w:rsidRPr="00670713" w:rsidRDefault="00134F93" w:rsidP="00670713"/>
    <w:p w14:paraId="535012D6" w14:textId="4B67E70F" w:rsidR="008C0E42" w:rsidRDefault="006812A3" w:rsidP="00BF6E3B">
      <w:pPr>
        <w:pStyle w:val="Heading4"/>
        <w:numPr>
          <w:ilvl w:val="0"/>
          <w:numId w:val="14"/>
        </w:numPr>
      </w:pPr>
      <w:r>
        <w:lastRenderedPageBreak/>
        <w:t xml:space="preserve">Asset </w:t>
      </w:r>
      <w:r w:rsidR="0041019B">
        <w:t xml:space="preserve">concentration </w:t>
      </w:r>
      <w:r>
        <w:t>limits</w:t>
      </w:r>
    </w:p>
    <w:p w14:paraId="08B4048B" w14:textId="06058046" w:rsidR="00E87689" w:rsidRPr="00E87689" w:rsidRDefault="005E528A" w:rsidP="00E87689">
      <w:r>
        <w:t>APRA i</w:t>
      </w:r>
      <w:r w:rsidR="009641CE">
        <w:t xml:space="preserve">s </w:t>
      </w:r>
      <w:r w:rsidR="009D1EF3">
        <w:t xml:space="preserve">considering options for </w:t>
      </w:r>
      <w:r w:rsidR="009641CE">
        <w:t>chang</w:t>
      </w:r>
      <w:r w:rsidR="009D1EF3">
        <w:t>ing</w:t>
      </w:r>
      <w:r w:rsidR="009641CE">
        <w:t xml:space="preserve"> some</w:t>
      </w:r>
      <w:r>
        <w:t xml:space="preserve"> limits in Attachment A of LPS 117 relevant to exposures arising from reinsurance arrangements.</w:t>
      </w:r>
      <w:r w:rsidR="004F3E8D">
        <w:t xml:space="preserve"> </w:t>
      </w:r>
      <w:r w:rsidR="00CD28E7">
        <w:t>APRA could adopt any o</w:t>
      </w:r>
      <w:r w:rsidR="004752F3">
        <w:t>r</w:t>
      </w:r>
      <w:r w:rsidR="00CD28E7">
        <w:t xml:space="preserve"> all of these options, or make no change to </w:t>
      </w:r>
      <w:r w:rsidR="002E781B">
        <w:t xml:space="preserve">the </w:t>
      </w:r>
      <w:r w:rsidR="00CD28E7">
        <w:t xml:space="preserve">current standard. </w:t>
      </w:r>
      <w:r w:rsidR="004F3E8D">
        <w:t>Stakeholders are invited to provide general feedback to APRA on the merits or otherwise of these options.</w:t>
      </w:r>
    </w:p>
    <w:p w14:paraId="77B0EFC9" w14:textId="6E7B80B2" w:rsidR="00F32F94" w:rsidRDefault="003858FD" w:rsidP="00BF6E3B">
      <w:pPr>
        <w:pStyle w:val="Heading4"/>
        <w:numPr>
          <w:ilvl w:val="1"/>
          <w:numId w:val="14"/>
        </w:numPr>
        <w:rPr>
          <w:i/>
        </w:rPr>
      </w:pPr>
      <w:r>
        <w:rPr>
          <w:i/>
        </w:rPr>
        <w:t>Exposures to o</w:t>
      </w:r>
      <w:r w:rsidR="00E158DF" w:rsidRPr="00C94C30">
        <w:rPr>
          <w:i/>
        </w:rPr>
        <w:t xml:space="preserve">ffshore reinsurers </w:t>
      </w:r>
    </w:p>
    <w:p w14:paraId="7494455A" w14:textId="5942F6E0" w:rsidR="005E528A" w:rsidRDefault="005E528A" w:rsidP="005E528A">
      <w:r>
        <w:t>At present,</w:t>
      </w:r>
      <w:r w:rsidR="00E70B07">
        <w:t xml:space="preserve"> an</w:t>
      </w:r>
      <w:r>
        <w:t xml:space="preserve"> exp</w:t>
      </w:r>
      <w:r w:rsidR="00E70B07">
        <w:t>osure</w:t>
      </w:r>
      <w:r>
        <w:t xml:space="preserve"> to an offshore reinsurer with a counterparty grade of 1, 2 or 3 </w:t>
      </w:r>
      <w:r w:rsidR="00793A09">
        <w:t xml:space="preserve">is </w:t>
      </w:r>
      <w:r>
        <w:t>subject to the limit prescribed in Attachment A part (g) of LPS 117. This limit is the greater of 5</w:t>
      </w:r>
      <w:r w:rsidR="005F5169">
        <w:t xml:space="preserve"> per cent</w:t>
      </w:r>
      <w:r>
        <w:t xml:space="preserve"> of the value of the assets of the fund (VAF), and 25</w:t>
      </w:r>
      <w:r w:rsidR="005F5169">
        <w:t xml:space="preserve"> per cent </w:t>
      </w:r>
      <w:r>
        <w:t>of capital base.</w:t>
      </w:r>
      <w:r w:rsidR="00AB086F" w:rsidRPr="00AB086F">
        <w:rPr>
          <w:rStyle w:val="FootnoteReference"/>
        </w:rPr>
        <w:t xml:space="preserve"> </w:t>
      </w:r>
      <w:r w:rsidR="00AB086F">
        <w:rPr>
          <w:rStyle w:val="FootnoteReference"/>
        </w:rPr>
        <w:footnoteReference w:id="4"/>
      </w:r>
      <w:r>
        <w:t xml:space="preserve"> Exposures to offshore reinsurers with a lower counterparty g</w:t>
      </w:r>
      <w:r w:rsidR="00E70B07">
        <w:t>rade are subjec</w:t>
      </w:r>
      <w:r w:rsidR="00437726">
        <w:t>t to a limit half</w:t>
      </w:r>
      <w:r>
        <w:t xml:space="preserve"> </w:t>
      </w:r>
      <w:r w:rsidR="00E70B07">
        <w:t>this</w:t>
      </w:r>
      <w:r>
        <w:t xml:space="preserve"> size.</w:t>
      </w:r>
    </w:p>
    <w:p w14:paraId="1D9BAF71" w14:textId="3A105AAA" w:rsidR="005E528A" w:rsidRDefault="00437726" w:rsidP="005E528A">
      <w:r>
        <w:t xml:space="preserve">APRA </w:t>
      </w:r>
      <w:r w:rsidR="00F616D4">
        <w:t xml:space="preserve">is considering an option </w:t>
      </w:r>
      <w:r>
        <w:t>that LPS 117 include a requirement for exposures to offshore reinsurers</w:t>
      </w:r>
      <w:r w:rsidR="001D606A">
        <w:t xml:space="preserve"> with a counterparty grade of 1, 2 or 3</w:t>
      </w:r>
      <w:r w:rsidR="00726485">
        <w:t xml:space="preserve"> </w:t>
      </w:r>
      <w:r>
        <w:t>be measured in aggregate</w:t>
      </w:r>
      <w:r w:rsidR="003858FD">
        <w:t>,</w:t>
      </w:r>
      <w:r>
        <w:t xml:space="preserve"> and that this aggregate exposure be subject to the greater of 5</w:t>
      </w:r>
      <w:r w:rsidR="005F5169">
        <w:t xml:space="preserve"> per cent </w:t>
      </w:r>
      <w:r>
        <w:t>o</w:t>
      </w:r>
      <w:r w:rsidR="001D606A">
        <w:t>f VAF, and 25</w:t>
      </w:r>
      <w:r w:rsidR="005F5169" w:rsidRPr="005F5169">
        <w:t xml:space="preserve"> </w:t>
      </w:r>
      <w:r w:rsidR="005F5169">
        <w:t>per cent</w:t>
      </w:r>
      <w:r w:rsidR="001D606A">
        <w:t xml:space="preserve"> of capital base</w:t>
      </w:r>
      <w:r w:rsidR="009F3185">
        <w:t>, with a 2.5</w:t>
      </w:r>
      <w:r w:rsidR="005F5169">
        <w:t xml:space="preserve"> per cent </w:t>
      </w:r>
      <w:r w:rsidR="009F3185">
        <w:t>of VAF limit on individual offshore reinsurers</w:t>
      </w:r>
      <w:r w:rsidR="001D606A">
        <w:t xml:space="preserve">. </w:t>
      </w:r>
      <w:r w:rsidR="0035468D">
        <w:t>A</w:t>
      </w:r>
      <w:r w:rsidR="001D606A">
        <w:t xml:space="preserve">ggregate exposures to offshore reinsurers with a lower counterparty grade </w:t>
      </w:r>
      <w:r w:rsidR="0035468D">
        <w:t xml:space="preserve">would </w:t>
      </w:r>
      <w:r w:rsidR="001D606A">
        <w:t>be subject to a li</w:t>
      </w:r>
      <w:r w:rsidR="00E70B07">
        <w:t>mit half this</w:t>
      </w:r>
      <w:r w:rsidR="001D606A">
        <w:t xml:space="preserve"> size. </w:t>
      </w:r>
      <w:r w:rsidR="00343038">
        <w:t>The collective exposures to offshore reinsurers with higher and lower counterparty grade would also be subject to a 5</w:t>
      </w:r>
      <w:r w:rsidR="005F5169">
        <w:t xml:space="preserve"> per cent</w:t>
      </w:r>
      <w:r w:rsidR="00343038">
        <w:t xml:space="preserve"> of VAF limit.</w:t>
      </w:r>
    </w:p>
    <w:p w14:paraId="3BFB9E80" w14:textId="008F7E2C" w:rsidR="003858FD" w:rsidRPr="005E528A" w:rsidRDefault="00F616D4" w:rsidP="005E528A">
      <w:r>
        <w:t xml:space="preserve">Applying </w:t>
      </w:r>
      <w:r w:rsidR="003858FD">
        <w:t>aggregate limits</w:t>
      </w:r>
      <w:r w:rsidR="003C5F2B">
        <w:t xml:space="preserve"> would</w:t>
      </w:r>
      <w:r w:rsidR="003858FD">
        <w:t xml:space="preserve"> continue to allow for a </w:t>
      </w:r>
      <w:r w:rsidR="00431B1C">
        <w:t xml:space="preserve">moderate </w:t>
      </w:r>
      <w:r w:rsidR="003858FD">
        <w:t>level of offshore reinsurance, while mitigating against the prudential concerns arising from the</w:t>
      </w:r>
      <w:r w:rsidR="00B336EA">
        <w:t>ir</w:t>
      </w:r>
      <w:r w:rsidR="003858FD">
        <w:t xml:space="preserve"> increasing use</w:t>
      </w:r>
      <w:r w:rsidR="00B336EA">
        <w:t xml:space="preserve"> by life companies.</w:t>
      </w:r>
      <w:r w:rsidR="003858FD">
        <w:t xml:space="preserve"> </w:t>
      </w:r>
    </w:p>
    <w:p w14:paraId="533951F2" w14:textId="419FA883" w:rsidR="00C94C30" w:rsidRDefault="00E158DF" w:rsidP="00BF6E3B">
      <w:pPr>
        <w:pStyle w:val="Heading4"/>
        <w:numPr>
          <w:ilvl w:val="1"/>
          <w:numId w:val="14"/>
        </w:numPr>
        <w:rPr>
          <w:i/>
        </w:rPr>
      </w:pPr>
      <w:r w:rsidRPr="00C94C30">
        <w:rPr>
          <w:i/>
        </w:rPr>
        <w:t>Related party exposures</w:t>
      </w:r>
    </w:p>
    <w:p w14:paraId="1F04083E" w14:textId="1C16A4B2" w:rsidR="00726485" w:rsidRDefault="0035468D" w:rsidP="00E70B07">
      <w:r>
        <w:t>T</w:t>
      </w:r>
      <w:r w:rsidR="00726485">
        <w:t xml:space="preserve">he limits </w:t>
      </w:r>
      <w:r w:rsidR="00147B21">
        <w:t xml:space="preserve">suggested </w:t>
      </w:r>
      <w:r w:rsidR="00F616D4">
        <w:t xml:space="preserve">in the </w:t>
      </w:r>
      <w:r w:rsidR="00726485">
        <w:t xml:space="preserve">above </w:t>
      </w:r>
      <w:r w:rsidR="00F616D4">
        <w:t xml:space="preserve">option </w:t>
      </w:r>
      <w:r w:rsidR="00726485">
        <w:t xml:space="preserve">may not be </w:t>
      </w:r>
      <w:r w:rsidR="002010B0">
        <w:t>suitable</w:t>
      </w:r>
      <w:r w:rsidR="00726485">
        <w:t xml:space="preserve"> for related party arrangements. </w:t>
      </w:r>
      <w:r>
        <w:t xml:space="preserve">APRA </w:t>
      </w:r>
      <w:r w:rsidR="007F0C34">
        <w:t xml:space="preserve">has more visibility over related party reinsurance arrangements and </w:t>
      </w:r>
      <w:r>
        <w:t>recognises that i</w:t>
      </w:r>
      <w:r w:rsidR="00726485">
        <w:t xml:space="preserve">n some cases, the use of related party reinsurance can be a prudent measure for managing insurance risk within a group. </w:t>
      </w:r>
    </w:p>
    <w:p w14:paraId="34C49A55" w14:textId="3897CDF9" w:rsidR="00D22039" w:rsidRPr="00214835" w:rsidRDefault="00726485" w:rsidP="00214835">
      <w:r>
        <w:t xml:space="preserve">APRA </w:t>
      </w:r>
      <w:r w:rsidR="00F616D4">
        <w:t xml:space="preserve">is therefore considering the option of setting the limit to </w:t>
      </w:r>
      <w:r>
        <w:t xml:space="preserve">exposures arising from reinsurance arrangements between a life company and </w:t>
      </w:r>
      <w:r w:rsidR="009641CE">
        <w:t xml:space="preserve">a </w:t>
      </w:r>
      <w:r>
        <w:t>related party to 12.5</w:t>
      </w:r>
      <w:r w:rsidR="005F5169">
        <w:t xml:space="preserve"> per cent </w:t>
      </w:r>
      <w:r>
        <w:t>of VAF. Access to this higher limit would however be subject to an approval process, similar to the approach used for appropriate retrocessionaires for specialist reinsurers. Through this process</w:t>
      </w:r>
      <w:r w:rsidR="00B336EA">
        <w:t>,</w:t>
      </w:r>
      <w:r>
        <w:t xml:space="preserve"> APRA </w:t>
      </w:r>
      <w:r w:rsidR="00F616D4">
        <w:t xml:space="preserve">would </w:t>
      </w:r>
      <w:r>
        <w:t xml:space="preserve">determine whether the counterparty is appropriate prior to granting access to this higher limit. If approval is not granted, the aggregate limits for offshore reinsurers </w:t>
      </w:r>
      <w:r w:rsidR="00F616D4">
        <w:t xml:space="preserve">would </w:t>
      </w:r>
      <w:r>
        <w:t xml:space="preserve">apply. </w:t>
      </w:r>
    </w:p>
    <w:p w14:paraId="1F6FA51F" w14:textId="1AB63356" w:rsidR="00E70B07" w:rsidRDefault="00726485" w:rsidP="00FC0068">
      <w:pPr>
        <w:pStyle w:val="Heading4"/>
        <w:numPr>
          <w:ilvl w:val="1"/>
          <w:numId w:val="14"/>
        </w:numPr>
        <w:rPr>
          <w:i/>
        </w:rPr>
      </w:pPr>
      <w:r w:rsidRPr="00726485">
        <w:rPr>
          <w:i/>
        </w:rPr>
        <w:t>Measurement of limits</w:t>
      </w:r>
    </w:p>
    <w:p w14:paraId="22FF5EAB" w14:textId="009BC43A" w:rsidR="0035468D" w:rsidRDefault="0035468D" w:rsidP="00726485">
      <w:r>
        <w:t>Most limits in Attachment A of LPS 117 are express</w:t>
      </w:r>
      <w:r w:rsidR="003C5F2B">
        <w:t>ed</w:t>
      </w:r>
      <w:r>
        <w:t xml:space="preserve"> as the greater of a percentage of VAF and a dollar amount, or a percentage of the capital base. </w:t>
      </w:r>
    </w:p>
    <w:p w14:paraId="6302ACC1" w14:textId="77777777" w:rsidR="00BB52E8" w:rsidRDefault="002010B0" w:rsidP="00726485">
      <w:r>
        <w:t>H</w:t>
      </w:r>
      <w:r w:rsidR="0035468D">
        <w:t>ow the limits are currently expressed brings about a number of issues</w:t>
      </w:r>
      <w:r>
        <w:t>, including diffe</w:t>
      </w:r>
      <w:r w:rsidR="004169E8">
        <w:t xml:space="preserve">rent </w:t>
      </w:r>
      <w:r>
        <w:t>outcomes depending on the type of business held in the fund</w:t>
      </w:r>
      <w:r w:rsidR="00491332">
        <w:t xml:space="preserve"> (for</w:t>
      </w:r>
      <w:r w:rsidR="00884A76">
        <w:t xml:space="preserve"> example</w:t>
      </w:r>
      <w:r w:rsidR="00491332">
        <w:t xml:space="preserve"> </w:t>
      </w:r>
      <w:r w:rsidR="00884A76">
        <w:t>a</w:t>
      </w:r>
      <w:r w:rsidR="00491332">
        <w:t xml:space="preserve"> fund with investment business as well as risk business </w:t>
      </w:r>
      <w:r w:rsidR="00884A76">
        <w:t>is</w:t>
      </w:r>
      <w:r w:rsidR="00491332">
        <w:t xml:space="preserve"> currently able to r</w:t>
      </w:r>
      <w:r w:rsidR="00884A76">
        <w:t>einsure a higher proportion of its</w:t>
      </w:r>
      <w:r w:rsidR="00491332">
        <w:t xml:space="preserve"> risk business with a single counterparty</w:t>
      </w:r>
      <w:r w:rsidR="00884A76">
        <w:t xml:space="preserve"> than if the fund consisted of risk business only</w:t>
      </w:r>
      <w:r w:rsidR="00491332">
        <w:t>)</w:t>
      </w:r>
      <w:r>
        <w:t xml:space="preserve">. </w:t>
      </w:r>
    </w:p>
    <w:p w14:paraId="65BBA19B" w14:textId="4E3C29A9" w:rsidR="00D22677" w:rsidRDefault="00D22677" w:rsidP="00726485">
      <w:r>
        <w:lastRenderedPageBreak/>
        <w:t>This issue is more pronounced when the non-risk business includes assets backing participating policies, as these assets are not generally available to mitigate against risk</w:t>
      </w:r>
      <w:r w:rsidR="00EE110C">
        <w:t>s arising from</w:t>
      </w:r>
      <w:r>
        <w:t xml:space="preserve"> exposure</w:t>
      </w:r>
      <w:r w:rsidR="00EE110C">
        <w:t>s</w:t>
      </w:r>
      <w:r>
        <w:t xml:space="preserve"> to reinsurers of non-participating risk business. </w:t>
      </w:r>
    </w:p>
    <w:p w14:paraId="474E1CDD" w14:textId="691C7A03" w:rsidR="00726485" w:rsidRPr="00726485" w:rsidRDefault="00BB52E8" w:rsidP="00726485">
      <w:r>
        <w:t xml:space="preserve">During this review, </w:t>
      </w:r>
      <w:r w:rsidR="002010B0">
        <w:t xml:space="preserve">APRA </w:t>
      </w:r>
      <w:r w:rsidR="00DD0BA3">
        <w:t xml:space="preserve">will assess </w:t>
      </w:r>
      <w:r w:rsidR="0035468D">
        <w:t xml:space="preserve">the feasibility of changing the reinsurance exposure limits to be expressed solely as a percentage of the capital base. </w:t>
      </w:r>
    </w:p>
    <w:p w14:paraId="07B6C471" w14:textId="77777777" w:rsidR="00C4282A" w:rsidRDefault="006812A3" w:rsidP="00BF6E3B">
      <w:pPr>
        <w:pStyle w:val="Heading4"/>
        <w:numPr>
          <w:ilvl w:val="0"/>
          <w:numId w:val="14"/>
        </w:numPr>
      </w:pPr>
      <w:r>
        <w:t>Risk mitigants</w:t>
      </w:r>
      <w:r w:rsidR="00C4282A">
        <w:t xml:space="preserve"> </w:t>
      </w:r>
    </w:p>
    <w:p w14:paraId="4A2069B5" w14:textId="5BA82F93" w:rsidR="00CE54E5" w:rsidRDefault="00C02D37" w:rsidP="004169E8">
      <w:r>
        <w:t>Under LPS 117 life companies are able to reduce the impact of applying the asset concentration limits by holding certain types of collateral against an asset, or where the asset has been guaranteed, as a means of reducing risk.</w:t>
      </w:r>
      <w:r w:rsidR="00CE54E5">
        <w:t xml:space="preserve"> The information collected by APRA in the first half of 2018 showed that a number of methods are being used to reduce reinsurance counterparty exposures.</w:t>
      </w:r>
      <w:r w:rsidR="00B336EA">
        <w:t xml:space="preserve"> </w:t>
      </w:r>
    </w:p>
    <w:p w14:paraId="3D8E08ED" w14:textId="671FB4E8" w:rsidR="004752F3" w:rsidRDefault="004752F3" w:rsidP="004169E8">
      <w:r>
        <w:t>This section includes discussion regarding options APRA is considering relating to risk mitigants</w:t>
      </w:r>
      <w:r w:rsidR="003A0416">
        <w:t xml:space="preserve"> under LPS 117</w:t>
      </w:r>
      <w:r>
        <w:t>. APRA could adopt any or all of these options, or make no change to the current standard. Stakeholders are invited to provide general feedback to APRA on the merits or otherwise of these options.</w:t>
      </w:r>
    </w:p>
    <w:p w14:paraId="1F65ED92" w14:textId="7C44094A" w:rsidR="00CE54E5" w:rsidRDefault="00CE54E5" w:rsidP="00BF6E3B">
      <w:pPr>
        <w:pStyle w:val="Heading4"/>
        <w:numPr>
          <w:ilvl w:val="1"/>
          <w:numId w:val="14"/>
        </w:numPr>
        <w:rPr>
          <w:i/>
        </w:rPr>
      </w:pPr>
      <w:r w:rsidRPr="006775D9">
        <w:rPr>
          <w:i/>
        </w:rPr>
        <w:t>Definitions</w:t>
      </w:r>
      <w:r w:rsidR="00787044">
        <w:rPr>
          <w:i/>
        </w:rPr>
        <w:t xml:space="preserve"> and use of risk mitigants </w:t>
      </w:r>
    </w:p>
    <w:p w14:paraId="017DAD83" w14:textId="42729297" w:rsidR="00FD1315" w:rsidRDefault="00FD1315" w:rsidP="00FD1315">
      <w:r>
        <w:t>APRA is aware that</w:t>
      </w:r>
      <w:r w:rsidR="00821B04">
        <w:t>,</w:t>
      </w:r>
      <w:r>
        <w:t xml:space="preserve"> at present</w:t>
      </w:r>
      <w:r w:rsidR="00821B04">
        <w:t>,</w:t>
      </w:r>
      <w:r>
        <w:t xml:space="preserve"> there </w:t>
      </w:r>
      <w:r w:rsidR="00821B04">
        <w:t xml:space="preserve">are differing interpretations </w:t>
      </w:r>
      <w:r w:rsidR="00F82E0C">
        <w:t xml:space="preserve">among life companies </w:t>
      </w:r>
      <w:r w:rsidR="00821B04">
        <w:t>of the definitions of risk mitigants and also how the</w:t>
      </w:r>
      <w:r w:rsidR="001B358A">
        <w:t>se risk mitigants</w:t>
      </w:r>
      <w:r w:rsidR="00821B04">
        <w:t xml:space="preserve"> can be accounted for when calculating the ACRC. </w:t>
      </w:r>
    </w:p>
    <w:p w14:paraId="3D5C8BC1" w14:textId="27DB640B" w:rsidR="00540202" w:rsidRDefault="001B358A" w:rsidP="00FD1315">
      <w:r>
        <w:t xml:space="preserve">APRA intends to </w:t>
      </w:r>
      <w:r w:rsidR="00DD0BA3">
        <w:t xml:space="preserve">identify options </w:t>
      </w:r>
      <w:r>
        <w:t>to tighten and refine these definitions.</w:t>
      </w:r>
      <w:r w:rsidR="005F50A3">
        <w:t xml:space="preserve"> The objective of this is to introduce an appropriate level of prescription in the standard to facilitate consistent interpretation.</w:t>
      </w:r>
      <w:r w:rsidR="004B1446">
        <w:t xml:space="preserve"> </w:t>
      </w:r>
      <w:r w:rsidR="000A284D">
        <w:t>It is expected that an</w:t>
      </w:r>
      <w:r w:rsidR="004B1446">
        <w:t xml:space="preserve"> appropriate level of prescription</w:t>
      </w:r>
      <w:r w:rsidR="000A284D">
        <w:t xml:space="preserve"> w</w:t>
      </w:r>
      <w:r w:rsidR="002E35D3">
        <w:t>ould</w:t>
      </w:r>
      <w:r w:rsidR="004B1446">
        <w:t xml:space="preserve"> give rise to efficiencies for industry and APRA.</w:t>
      </w:r>
      <w:r w:rsidR="00B336EA">
        <w:t xml:space="preserve"> </w:t>
      </w:r>
    </w:p>
    <w:p w14:paraId="2201FE15" w14:textId="68F7BDC7" w:rsidR="00821B04" w:rsidRDefault="005F50A3" w:rsidP="00FD1315">
      <w:r>
        <w:t xml:space="preserve">During this process APRA also intends to analyse whether </w:t>
      </w:r>
      <w:r w:rsidR="00540202">
        <w:t xml:space="preserve">collateral trust structures should be explicitly permitted under the standard. </w:t>
      </w:r>
      <w:r w:rsidR="00A00A58">
        <w:t xml:space="preserve">Collateral trusts do not meet the definition of </w:t>
      </w:r>
      <w:r w:rsidR="00513002">
        <w:t>Elig</w:t>
      </w:r>
      <w:r w:rsidR="00A00A58">
        <w:t>ible Collateral under LPS 117</w:t>
      </w:r>
      <w:r w:rsidR="0042798B">
        <w:t xml:space="preserve">. </w:t>
      </w:r>
      <w:r w:rsidR="00C52155">
        <w:t>A</w:t>
      </w:r>
      <w:r w:rsidR="00A00A58">
        <w:t xml:space="preserve">PRA has </w:t>
      </w:r>
      <w:r w:rsidR="0042798B">
        <w:t xml:space="preserve">however </w:t>
      </w:r>
      <w:r w:rsidR="00F82E0C">
        <w:t>exercised its adjust and exclude power under LPS 117</w:t>
      </w:r>
      <w:r w:rsidR="0042798B">
        <w:t xml:space="preserve"> </w:t>
      </w:r>
      <w:r w:rsidR="00A00A58">
        <w:t xml:space="preserve">in a limited number of </w:t>
      </w:r>
      <w:r w:rsidR="00F82E0C">
        <w:t xml:space="preserve">cases </w:t>
      </w:r>
      <w:r w:rsidR="00A00A58">
        <w:t xml:space="preserve">to permit </w:t>
      </w:r>
      <w:r w:rsidR="009A6387">
        <w:t xml:space="preserve">the use of </w:t>
      </w:r>
      <w:r w:rsidR="00A00A58">
        <w:t>collateral trust</w:t>
      </w:r>
      <w:r w:rsidR="00313F83">
        <w:t>s</w:t>
      </w:r>
      <w:r w:rsidR="00A00A58">
        <w:t xml:space="preserve"> as </w:t>
      </w:r>
      <w:r w:rsidR="009A6387">
        <w:t xml:space="preserve">if it comprised </w:t>
      </w:r>
      <w:r w:rsidR="00A00A58">
        <w:t xml:space="preserve">eligible collateral when it has been satisfied </w:t>
      </w:r>
      <w:r w:rsidR="00313F83">
        <w:t>that</w:t>
      </w:r>
      <w:r w:rsidR="00A00A58">
        <w:t xml:space="preserve"> an appropriate amount of security is provided by the structure. </w:t>
      </w:r>
      <w:r w:rsidR="00895945">
        <w:t>APRA is c</w:t>
      </w:r>
      <w:r w:rsidR="00513002">
        <w:t>onside</w:t>
      </w:r>
      <w:r w:rsidR="00202AA7">
        <w:t>r</w:t>
      </w:r>
      <w:r w:rsidR="00513002">
        <w:t>in</w:t>
      </w:r>
      <w:r w:rsidR="00202AA7">
        <w:t>g</w:t>
      </w:r>
      <w:r w:rsidR="00513002">
        <w:t xml:space="preserve"> </w:t>
      </w:r>
      <w:r w:rsidR="00895945">
        <w:t>amending</w:t>
      </w:r>
      <w:r w:rsidR="00513002">
        <w:t xml:space="preserve"> the standard </w:t>
      </w:r>
      <w:r w:rsidR="00895945">
        <w:t>to allow the</w:t>
      </w:r>
      <w:r w:rsidR="000967E4">
        <w:t xml:space="preserve"> use of collateral trust arrangements as risk mitigants</w:t>
      </w:r>
      <w:r w:rsidR="00895945">
        <w:t xml:space="preserve"> subject to appropriate controls</w:t>
      </w:r>
      <w:r w:rsidR="000967E4">
        <w:t xml:space="preserve">. </w:t>
      </w:r>
    </w:p>
    <w:p w14:paraId="3C228C64" w14:textId="59B64CA7" w:rsidR="00195861" w:rsidRPr="00FD1315" w:rsidRDefault="00195861" w:rsidP="00FD1315">
      <w:r>
        <w:t xml:space="preserve">APRA requests that </w:t>
      </w:r>
      <w:r w:rsidR="00AB0707">
        <w:t xml:space="preserve">stakeholders </w:t>
      </w:r>
      <w:r>
        <w:t xml:space="preserve">explain </w:t>
      </w:r>
      <w:r w:rsidR="00781212">
        <w:t>any</w:t>
      </w:r>
      <w:r>
        <w:t xml:space="preserve"> concerns </w:t>
      </w:r>
      <w:r w:rsidR="00781212">
        <w:t>they have with</w:t>
      </w:r>
      <w:r>
        <w:t xml:space="preserve"> the current definitions of risk mitigants </w:t>
      </w:r>
      <w:r w:rsidR="00410913">
        <w:t xml:space="preserve">in </w:t>
      </w:r>
      <w:r>
        <w:t xml:space="preserve">LPS 117 and also any suggestions they may have regarding appropriate ways to introduce clarity. </w:t>
      </w:r>
      <w:r w:rsidR="00AB0707">
        <w:t xml:space="preserve">Stakeholder </w:t>
      </w:r>
      <w:r>
        <w:t>perspective</w:t>
      </w:r>
      <w:r w:rsidR="00AB0707">
        <w:t>s</w:t>
      </w:r>
      <w:r>
        <w:t xml:space="preserve"> on permitting collateral trusts as </w:t>
      </w:r>
      <w:r w:rsidR="00781212">
        <w:t>E</w:t>
      </w:r>
      <w:r>
        <w:t xml:space="preserve">ligible </w:t>
      </w:r>
      <w:r w:rsidR="00781212">
        <w:t>C</w:t>
      </w:r>
      <w:r>
        <w:t xml:space="preserve">ollateral </w:t>
      </w:r>
      <w:r w:rsidR="0075052A">
        <w:t xml:space="preserve">are </w:t>
      </w:r>
      <w:r>
        <w:t xml:space="preserve">also welcome. </w:t>
      </w:r>
    </w:p>
    <w:p w14:paraId="72620820" w14:textId="21E0924B" w:rsidR="00180195" w:rsidRPr="00141E26" w:rsidRDefault="00CE54E5" w:rsidP="00BF6E3B">
      <w:pPr>
        <w:pStyle w:val="Heading4"/>
        <w:numPr>
          <w:ilvl w:val="1"/>
          <w:numId w:val="14"/>
        </w:numPr>
        <w:rPr>
          <w:i/>
        </w:rPr>
      </w:pPr>
      <w:r w:rsidRPr="00141E26">
        <w:rPr>
          <w:i/>
        </w:rPr>
        <w:t xml:space="preserve">Limiting </w:t>
      </w:r>
      <w:r w:rsidR="008A156D">
        <w:rPr>
          <w:i/>
        </w:rPr>
        <w:t xml:space="preserve">recognition of </w:t>
      </w:r>
      <w:r w:rsidRPr="00141E26">
        <w:rPr>
          <w:i/>
        </w:rPr>
        <w:t>mitigation</w:t>
      </w:r>
      <w:r w:rsidR="008A156D">
        <w:rPr>
          <w:i/>
        </w:rPr>
        <w:t xml:space="preserve"> for capital purposes</w:t>
      </w:r>
    </w:p>
    <w:p w14:paraId="22541E93" w14:textId="41A78772" w:rsidR="003E752C" w:rsidRDefault="00141E26" w:rsidP="001B358A">
      <w:r>
        <w:t xml:space="preserve">LPS 117 </w:t>
      </w:r>
      <w:r w:rsidR="003E752C">
        <w:t xml:space="preserve">presently </w:t>
      </w:r>
      <w:r>
        <w:t xml:space="preserve">does not place </w:t>
      </w:r>
      <w:r w:rsidR="003E752C">
        <w:t>any limit</w:t>
      </w:r>
      <w:r>
        <w:t xml:space="preserve"> on how much </w:t>
      </w:r>
      <w:r w:rsidR="00842C99">
        <w:t xml:space="preserve">the impact of applying the asset concentration limits </w:t>
      </w:r>
      <w:r>
        <w:t xml:space="preserve">can be reduced through risk mitigants. </w:t>
      </w:r>
      <w:r w:rsidR="009E7150">
        <w:t xml:space="preserve">As a result, life companies can currently have unlimited exposure to </w:t>
      </w:r>
      <w:r w:rsidR="000B0C69">
        <w:t xml:space="preserve">offshore reinsurers where recognised risk mitigants </w:t>
      </w:r>
      <w:r w:rsidR="00307FF6">
        <w:t xml:space="preserve">are </w:t>
      </w:r>
      <w:r w:rsidR="000B0C69">
        <w:t>in place</w:t>
      </w:r>
      <w:r w:rsidR="009E7150">
        <w:t>.</w:t>
      </w:r>
    </w:p>
    <w:p w14:paraId="18F36A41" w14:textId="171342A8" w:rsidR="00410913" w:rsidRDefault="000B0C69" w:rsidP="001B358A">
      <w:r>
        <w:t xml:space="preserve">While collateral and other risk mitigants may limit exposure to counterparty credit risk, unlimited use of risk mitigants undermines the effectiveness of the limits in addressing the prudential concerns noted by APRA in this letter. That is, they facilitate increased involvement of offshore reinsurers to levels that may </w:t>
      </w:r>
      <w:r w:rsidR="00AB0707">
        <w:t xml:space="preserve">weaken </w:t>
      </w:r>
      <w:r>
        <w:t xml:space="preserve">APRA’s ability to </w:t>
      </w:r>
      <w:r w:rsidR="00B411E6">
        <w:t xml:space="preserve">effectively </w:t>
      </w:r>
      <w:r>
        <w:t xml:space="preserve">supervise the life </w:t>
      </w:r>
      <w:r>
        <w:lastRenderedPageBreak/>
        <w:t xml:space="preserve">insurance industry. They may also </w:t>
      </w:r>
      <w:r w:rsidR="00410913">
        <w:t>give rise to operational risks, particularly if the effectiveness or quality of the mitigant has not been tested.</w:t>
      </w:r>
      <w:r w:rsidR="00B336EA">
        <w:t xml:space="preserve"> </w:t>
      </w:r>
    </w:p>
    <w:p w14:paraId="1C591B76" w14:textId="6F22D1A1" w:rsidR="00836250" w:rsidRPr="001B358A" w:rsidRDefault="00141E26" w:rsidP="001B358A">
      <w:r>
        <w:t xml:space="preserve">As part of this review APRA is </w:t>
      </w:r>
      <w:r w:rsidR="00DD0BA3">
        <w:t xml:space="preserve">considering the option of </w:t>
      </w:r>
      <w:r>
        <w:t>cap</w:t>
      </w:r>
      <w:r w:rsidR="00DD0BA3">
        <w:t>ping</w:t>
      </w:r>
      <w:r>
        <w:t xml:space="preserve"> the extent</w:t>
      </w:r>
      <w:r w:rsidR="00836250">
        <w:t xml:space="preserve"> that life companies can use risk mitigants to lessen the impact of applying the limits in LPS 117</w:t>
      </w:r>
      <w:r w:rsidR="000D53B1">
        <w:t xml:space="preserve"> and comments are welcome on this option</w:t>
      </w:r>
      <w:r w:rsidR="00836250">
        <w:t>.</w:t>
      </w:r>
      <w:r w:rsidR="00E269D5">
        <w:t xml:space="preserve"> </w:t>
      </w:r>
      <w:r w:rsidR="006F7060">
        <w:t>This option may help reduce operational risk, and in the context of offshore reinsurers, ensure that APRA ha</w:t>
      </w:r>
      <w:r w:rsidR="00313BE5">
        <w:t>s adequate oversight over the life insurance market as a whole.</w:t>
      </w:r>
    </w:p>
    <w:p w14:paraId="09F8311A" w14:textId="1A281C98" w:rsidR="00C94C30" w:rsidRDefault="0035468D" w:rsidP="00BF6E3B">
      <w:pPr>
        <w:pStyle w:val="Heading4"/>
        <w:numPr>
          <w:ilvl w:val="1"/>
          <w:numId w:val="14"/>
        </w:numPr>
        <w:rPr>
          <w:i/>
        </w:rPr>
      </w:pPr>
      <w:r w:rsidRPr="006775D9">
        <w:rPr>
          <w:i/>
        </w:rPr>
        <w:t>Governance</w:t>
      </w:r>
    </w:p>
    <w:p w14:paraId="2A638CB1" w14:textId="56ED034B" w:rsidR="007A1CD7" w:rsidRDefault="00571CB2" w:rsidP="00513002">
      <w:r>
        <w:t>Excluding the circumstance</w:t>
      </w:r>
      <w:r w:rsidR="00410913">
        <w:t>s</w:t>
      </w:r>
      <w:r>
        <w:t xml:space="preserve"> whe</w:t>
      </w:r>
      <w:r w:rsidR="009A6387">
        <w:t>re</w:t>
      </w:r>
      <w:r>
        <w:t xml:space="preserve"> APRA has adjusted the </w:t>
      </w:r>
      <w:r w:rsidR="009A6387">
        <w:t xml:space="preserve">requirements of LPS 117 </w:t>
      </w:r>
      <w:r>
        <w:t xml:space="preserve">to permit the use of a certain risk mitigant, </w:t>
      </w:r>
      <w:r w:rsidR="007A1CD7">
        <w:t>APRA has minimal visibility of</w:t>
      </w:r>
      <w:r>
        <w:t xml:space="preserve"> quality of the</w:t>
      </w:r>
      <w:r w:rsidR="007A1CD7">
        <w:t xml:space="preserve"> </w:t>
      </w:r>
      <w:r>
        <w:t xml:space="preserve">risk mitigants being used by life companies when calculating the ACRC. </w:t>
      </w:r>
    </w:p>
    <w:p w14:paraId="0F624BAC" w14:textId="2560884A" w:rsidR="00513002" w:rsidRPr="00513002" w:rsidRDefault="00513002" w:rsidP="00513002">
      <w:r>
        <w:t>To ensure the quality of the risk mitigants which life compa</w:t>
      </w:r>
      <w:r w:rsidR="007B2310">
        <w:t xml:space="preserve">nies are taking credit for when calculating the ACRC, APRA is considering </w:t>
      </w:r>
      <w:r w:rsidR="00DD0BA3">
        <w:t xml:space="preserve">the possibility of </w:t>
      </w:r>
      <w:r w:rsidR="007B2310">
        <w:t>introducing</w:t>
      </w:r>
      <w:r w:rsidR="0005505D">
        <w:t xml:space="preserve"> governance and oversight requirements. The </w:t>
      </w:r>
      <w:r w:rsidR="00836250">
        <w:t>specific</w:t>
      </w:r>
      <w:r w:rsidR="00313F83">
        <w:t>s</w:t>
      </w:r>
      <w:r w:rsidR="00836250">
        <w:t xml:space="preserve"> of the</w:t>
      </w:r>
      <w:r w:rsidR="0005505D">
        <w:t xml:space="preserve"> governance and ove</w:t>
      </w:r>
      <w:r w:rsidR="00571CB2">
        <w:t xml:space="preserve">rsight </w:t>
      </w:r>
      <w:r w:rsidR="00836250">
        <w:t xml:space="preserve">requirements </w:t>
      </w:r>
      <w:r w:rsidR="00313F83">
        <w:t>have</w:t>
      </w:r>
      <w:r w:rsidR="00571CB2">
        <w:t xml:space="preserve"> not be</w:t>
      </w:r>
      <w:r w:rsidR="00BB52E8">
        <w:t xml:space="preserve">en </w:t>
      </w:r>
      <w:r w:rsidR="00571CB2">
        <w:t>determined</w:t>
      </w:r>
      <w:r w:rsidR="000D53B1">
        <w:t xml:space="preserve"> and suggestions are welcome</w:t>
      </w:r>
      <w:r w:rsidR="00571CB2">
        <w:t xml:space="preserve">, however it could include </w:t>
      </w:r>
      <w:r w:rsidR="009A6387">
        <w:t xml:space="preserve">a </w:t>
      </w:r>
      <w:r w:rsidR="00571CB2">
        <w:t>requirement for independent legal</w:t>
      </w:r>
      <w:r w:rsidR="00313F83">
        <w:t xml:space="preserve"> advice and </w:t>
      </w:r>
      <w:r w:rsidR="00571CB2">
        <w:t>other expert review</w:t>
      </w:r>
      <w:r w:rsidR="007A61E7">
        <w:t>,</w:t>
      </w:r>
      <w:r w:rsidR="00816EED">
        <w:t xml:space="preserve"> as well as more detailed reporting to APRA</w:t>
      </w:r>
      <w:r w:rsidR="00571CB2">
        <w:t>.</w:t>
      </w:r>
      <w:r w:rsidR="0005505D">
        <w:t xml:space="preserve"> </w:t>
      </w:r>
    </w:p>
    <w:p w14:paraId="1E2314AE" w14:textId="36276E24" w:rsidR="004A66C2" w:rsidRPr="004A66C2" w:rsidRDefault="006775D9" w:rsidP="00BF6E3B">
      <w:pPr>
        <w:pStyle w:val="Heading4"/>
        <w:numPr>
          <w:ilvl w:val="0"/>
          <w:numId w:val="14"/>
        </w:numPr>
      </w:pPr>
      <w:r>
        <w:t>Other</w:t>
      </w:r>
    </w:p>
    <w:p w14:paraId="0F8E7D88" w14:textId="257336F7" w:rsidR="004169E8" w:rsidRDefault="007B2310" w:rsidP="00BF6E3B">
      <w:pPr>
        <w:pStyle w:val="Heading4"/>
        <w:numPr>
          <w:ilvl w:val="1"/>
          <w:numId w:val="14"/>
        </w:numPr>
        <w:rPr>
          <w:i/>
        </w:rPr>
      </w:pPr>
      <w:r>
        <w:rPr>
          <w:i/>
        </w:rPr>
        <w:t xml:space="preserve">Investment </w:t>
      </w:r>
      <w:r w:rsidR="006775D9" w:rsidRPr="006775D9">
        <w:rPr>
          <w:i/>
        </w:rPr>
        <w:t>risk sharing</w:t>
      </w:r>
    </w:p>
    <w:p w14:paraId="189DF726" w14:textId="1187D9B3" w:rsidR="008E10FB" w:rsidRDefault="00B2677E" w:rsidP="00836250">
      <w:r>
        <w:t>APRA has identified a deficiency in how LPS 117 accounts for reinsurance arrangements</w:t>
      </w:r>
      <w:r w:rsidR="004C7886">
        <w:t xml:space="preserve"> which have investment risk sharing elements. This deficiency arises because the calculations for the ACRC only include insurance stresses and not asset stresses. This means, if there is investment experience sharing in an arrangement, future counterparty exposure could potentially increase under adverse investment conditions (and this is not accounted for under LPS 117).</w:t>
      </w:r>
    </w:p>
    <w:p w14:paraId="56BA2B0E" w14:textId="4F43ED90" w:rsidR="00836250" w:rsidRDefault="00BD3693" w:rsidP="00836250">
      <w:r>
        <w:t xml:space="preserve">APRA is </w:t>
      </w:r>
      <w:r w:rsidR="00BB6866">
        <w:t>considering</w:t>
      </w:r>
      <w:r w:rsidR="00313F83">
        <w:t xml:space="preserve"> address</w:t>
      </w:r>
      <w:r w:rsidR="007A61E7">
        <w:t>ing</w:t>
      </w:r>
      <w:r w:rsidR="00313F83">
        <w:t xml:space="preserve"> this deficiency </w:t>
      </w:r>
      <w:r>
        <w:t>in a manner that would mean that the asset concentration limit for reinsurance asset</w:t>
      </w:r>
      <w:r w:rsidR="00313F83">
        <w:t>s</w:t>
      </w:r>
      <w:r>
        <w:t xml:space="preserve"> would be determined taking into account both an insurance</w:t>
      </w:r>
      <w:r w:rsidR="00313F83">
        <w:t>, and asset stress (rather than only an insurance stress).</w:t>
      </w:r>
    </w:p>
    <w:p w14:paraId="4C1B3C84" w14:textId="77777777" w:rsidR="00276229" w:rsidRPr="00FC0068" w:rsidRDefault="00276229" w:rsidP="00C61A87">
      <w:pPr>
        <w:pStyle w:val="Heading4"/>
        <w:numPr>
          <w:ilvl w:val="1"/>
          <w:numId w:val="14"/>
        </w:numPr>
        <w:rPr>
          <w:i/>
        </w:rPr>
      </w:pPr>
      <w:r w:rsidRPr="00FC0068">
        <w:rPr>
          <w:i/>
        </w:rPr>
        <w:t>Consequential amendments to other prudential standards</w:t>
      </w:r>
    </w:p>
    <w:p w14:paraId="4BED83AC" w14:textId="77777777" w:rsidR="00276229" w:rsidRDefault="00276229" w:rsidP="00276229">
      <w:r>
        <w:t xml:space="preserve">APRA recognises that its options for revising LPS 117 will result in the need for consequential amendments to other prudential standards. Consequential amendments will be made to other prudential standards to ensure consistency throughout the life insurance capital framework. APRA intends to consult on draft standards that require consequential amendments in the second half of 2019. </w:t>
      </w:r>
    </w:p>
    <w:p w14:paraId="2AFE1018" w14:textId="77777777" w:rsidR="00B7494C" w:rsidRPr="00FC0068" w:rsidRDefault="00276229" w:rsidP="00FC0068">
      <w:pPr>
        <w:pStyle w:val="Heading4"/>
        <w:numPr>
          <w:ilvl w:val="0"/>
          <w:numId w:val="0"/>
        </w:numPr>
        <w:rPr>
          <w:rFonts w:cs="Times New Roman"/>
          <w:b w:val="0"/>
          <w:iCs w:val="0"/>
          <w:szCs w:val="24"/>
        </w:rPr>
      </w:pPr>
      <w:r w:rsidRPr="00FC0068">
        <w:rPr>
          <w:rFonts w:cs="Times New Roman"/>
          <w:b w:val="0"/>
          <w:iCs w:val="0"/>
          <w:szCs w:val="24"/>
        </w:rPr>
        <w:t xml:space="preserve">APRA anticipates that there will be consequential amendments to </w:t>
      </w:r>
      <w:r w:rsidRPr="002E0974">
        <w:rPr>
          <w:rFonts w:cs="Times New Roman"/>
          <w:b w:val="0"/>
          <w:i/>
          <w:iCs w:val="0"/>
          <w:szCs w:val="24"/>
        </w:rPr>
        <w:t>Prudential Standard LPS 114 Capital Adequacy Asset Risk Charge</w:t>
      </w:r>
      <w:r w:rsidRPr="00FC0068">
        <w:rPr>
          <w:rFonts w:cs="Times New Roman"/>
          <w:b w:val="0"/>
          <w:iCs w:val="0"/>
          <w:szCs w:val="24"/>
        </w:rPr>
        <w:t xml:space="preserve"> (LPS 114), and relevant reporting standards.</w:t>
      </w:r>
    </w:p>
    <w:p w14:paraId="195D195E" w14:textId="3827B779" w:rsidR="00E83AA8" w:rsidRDefault="000F77F5" w:rsidP="00C61A87">
      <w:pPr>
        <w:pStyle w:val="Heading4"/>
        <w:numPr>
          <w:ilvl w:val="0"/>
          <w:numId w:val="14"/>
        </w:numPr>
      </w:pPr>
      <w:r>
        <w:t>Consultation and next steps</w:t>
      </w:r>
    </w:p>
    <w:p w14:paraId="3C2161EC" w14:textId="77777777" w:rsidR="00B7494C" w:rsidRPr="00FC0068" w:rsidRDefault="00B7494C" w:rsidP="00B7494C">
      <w:pPr>
        <w:pStyle w:val="Heading5"/>
        <w:numPr>
          <w:ilvl w:val="1"/>
          <w:numId w:val="14"/>
        </w:numPr>
      </w:pPr>
      <w:r w:rsidRPr="00FC0068">
        <w:t>Consultation questions</w:t>
      </w:r>
    </w:p>
    <w:p w14:paraId="5C4FCC55" w14:textId="3089516D" w:rsidR="00B7494C" w:rsidRDefault="00B7494C" w:rsidP="00B7494C">
      <w:r>
        <w:t xml:space="preserve">Submissions are welcome on all aspects of the </w:t>
      </w:r>
      <w:r w:rsidR="00147B21">
        <w:t xml:space="preserve">options contained </w:t>
      </w:r>
      <w:r>
        <w:t>in this attachment. To assist interested stakeholders in providing feedback, APRA offers the following questions to guide, but not limit, responses:</w:t>
      </w:r>
    </w:p>
    <w:tbl>
      <w:tblPr>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1809"/>
        <w:gridCol w:w="6995"/>
      </w:tblGrid>
      <w:tr w:rsidR="00B7494C" w14:paraId="60B71C28" w14:textId="77777777" w:rsidTr="000B4245">
        <w:trPr>
          <w:trHeight w:val="441"/>
        </w:trPr>
        <w:tc>
          <w:tcPr>
            <w:tcW w:w="1809" w:type="dxa"/>
            <w:shd w:val="clear" w:color="auto" w:fill="002060"/>
          </w:tcPr>
          <w:p w14:paraId="7C5ECC31" w14:textId="77777777" w:rsidR="00B7494C" w:rsidRPr="00D117AE" w:rsidRDefault="00B7494C" w:rsidP="000B4245">
            <w:pPr>
              <w:pStyle w:val="Default"/>
              <w:rPr>
                <w:rFonts w:cstheme="minorBidi"/>
                <w:color w:val="FFFFFF" w:themeColor="background1"/>
              </w:rPr>
            </w:pPr>
          </w:p>
          <w:p w14:paraId="5BCC628B" w14:textId="77777777" w:rsidR="00B7494C" w:rsidRPr="00D117AE" w:rsidRDefault="00B7494C" w:rsidP="000B4245">
            <w:pPr>
              <w:pStyle w:val="Default"/>
              <w:rPr>
                <w:color w:val="FFFFFF" w:themeColor="background1"/>
                <w:sz w:val="20"/>
                <w:szCs w:val="20"/>
              </w:rPr>
            </w:pPr>
            <w:r w:rsidRPr="00D117AE">
              <w:rPr>
                <w:color w:val="FFFFFF" w:themeColor="background1"/>
                <w:sz w:val="20"/>
                <w:szCs w:val="20"/>
              </w:rPr>
              <w:t xml:space="preserve">Question 1 </w:t>
            </w:r>
          </w:p>
          <w:p w14:paraId="4AED5A51" w14:textId="77777777" w:rsidR="00B7494C" w:rsidRPr="00D117AE" w:rsidRDefault="00B7494C" w:rsidP="000B4245">
            <w:pPr>
              <w:pStyle w:val="Default"/>
              <w:rPr>
                <w:color w:val="FFFFFF" w:themeColor="background1"/>
                <w:sz w:val="20"/>
                <w:szCs w:val="20"/>
              </w:rPr>
            </w:pPr>
          </w:p>
        </w:tc>
        <w:tc>
          <w:tcPr>
            <w:tcW w:w="6995" w:type="dxa"/>
            <w:shd w:val="clear" w:color="auto" w:fill="D9D9D9" w:themeFill="background1" w:themeFillShade="D9"/>
            <w:vAlign w:val="center"/>
          </w:tcPr>
          <w:p w14:paraId="205093BE" w14:textId="77777777" w:rsidR="00FC0068" w:rsidRPr="0021177B" w:rsidRDefault="00FC0068" w:rsidP="0021177B">
            <w:pPr>
              <w:pStyle w:val="Default"/>
              <w:keepNext/>
              <w:rPr>
                <w:sz w:val="16"/>
                <w:szCs w:val="16"/>
              </w:rPr>
            </w:pPr>
          </w:p>
          <w:p w14:paraId="1ED1C264" w14:textId="1F059BFD" w:rsidR="00FC0068" w:rsidRDefault="00B7494C" w:rsidP="000B4245">
            <w:pPr>
              <w:pStyle w:val="Default"/>
              <w:rPr>
                <w:sz w:val="20"/>
                <w:szCs w:val="20"/>
              </w:rPr>
            </w:pPr>
            <w:r>
              <w:rPr>
                <w:sz w:val="20"/>
                <w:szCs w:val="20"/>
              </w:rPr>
              <w:t xml:space="preserve">APRA’s position on offshore reinsurers is </w:t>
            </w:r>
            <w:r w:rsidR="00243842">
              <w:rPr>
                <w:sz w:val="20"/>
                <w:szCs w:val="20"/>
              </w:rPr>
              <w:t>outlined</w:t>
            </w:r>
            <w:r>
              <w:rPr>
                <w:sz w:val="20"/>
                <w:szCs w:val="20"/>
              </w:rPr>
              <w:t xml:space="preserve"> in this letter. Are the concerns identified realistic and relevant?</w:t>
            </w:r>
          </w:p>
          <w:p w14:paraId="0EAEBDE1" w14:textId="701B2A53" w:rsidR="00B7494C" w:rsidRPr="0021177B" w:rsidRDefault="00B7494C" w:rsidP="000B4245">
            <w:pPr>
              <w:pStyle w:val="Default"/>
              <w:rPr>
                <w:sz w:val="16"/>
                <w:szCs w:val="16"/>
              </w:rPr>
            </w:pPr>
          </w:p>
        </w:tc>
      </w:tr>
      <w:tr w:rsidR="00B7494C" w14:paraId="76B22DE5" w14:textId="77777777" w:rsidTr="000B4245">
        <w:trPr>
          <w:trHeight w:val="697"/>
        </w:trPr>
        <w:tc>
          <w:tcPr>
            <w:tcW w:w="1809" w:type="dxa"/>
            <w:shd w:val="clear" w:color="auto" w:fill="002060"/>
          </w:tcPr>
          <w:p w14:paraId="6BC005F1" w14:textId="77777777" w:rsidR="00B7494C" w:rsidRPr="00D117AE" w:rsidRDefault="00B7494C" w:rsidP="000B4245">
            <w:pPr>
              <w:pStyle w:val="Default"/>
              <w:rPr>
                <w:rFonts w:cstheme="minorBidi"/>
                <w:color w:val="FFFFFF" w:themeColor="background1"/>
              </w:rPr>
            </w:pPr>
          </w:p>
          <w:p w14:paraId="40B0DF78" w14:textId="77777777" w:rsidR="00B7494C" w:rsidRPr="00D117AE" w:rsidRDefault="00B7494C" w:rsidP="000B4245">
            <w:pPr>
              <w:pStyle w:val="Default"/>
              <w:rPr>
                <w:color w:val="FFFFFF" w:themeColor="background1"/>
                <w:sz w:val="20"/>
                <w:szCs w:val="20"/>
              </w:rPr>
            </w:pPr>
            <w:r w:rsidRPr="00D117AE">
              <w:rPr>
                <w:color w:val="FFFFFF" w:themeColor="background1"/>
                <w:sz w:val="20"/>
                <w:szCs w:val="20"/>
              </w:rPr>
              <w:t xml:space="preserve">Question 2 </w:t>
            </w:r>
          </w:p>
          <w:p w14:paraId="5C79CE3E" w14:textId="77777777" w:rsidR="00B7494C" w:rsidRPr="00D117AE" w:rsidRDefault="00B7494C" w:rsidP="000B4245">
            <w:pPr>
              <w:pStyle w:val="Default"/>
              <w:rPr>
                <w:color w:val="FFFFFF" w:themeColor="background1"/>
                <w:sz w:val="20"/>
                <w:szCs w:val="20"/>
              </w:rPr>
            </w:pPr>
          </w:p>
        </w:tc>
        <w:tc>
          <w:tcPr>
            <w:tcW w:w="6995" w:type="dxa"/>
            <w:shd w:val="clear" w:color="auto" w:fill="D9D9D9" w:themeFill="background1" w:themeFillShade="D9"/>
            <w:vAlign w:val="center"/>
          </w:tcPr>
          <w:p w14:paraId="41AFD11E" w14:textId="77777777" w:rsidR="00FC0068" w:rsidRPr="0021177B" w:rsidRDefault="00FC0068" w:rsidP="000B4245">
            <w:pPr>
              <w:pStyle w:val="Default"/>
              <w:rPr>
                <w:sz w:val="16"/>
                <w:szCs w:val="16"/>
              </w:rPr>
            </w:pPr>
          </w:p>
          <w:p w14:paraId="530F1322" w14:textId="7494EEF1" w:rsidR="00FC0068" w:rsidRDefault="0015752B" w:rsidP="000B4245">
            <w:pPr>
              <w:pStyle w:val="Default"/>
              <w:rPr>
                <w:sz w:val="20"/>
                <w:szCs w:val="20"/>
              </w:rPr>
            </w:pPr>
            <w:r>
              <w:rPr>
                <w:sz w:val="20"/>
                <w:szCs w:val="20"/>
              </w:rPr>
              <w:t xml:space="preserve">In the context of the options discussed in this paper, what </w:t>
            </w:r>
            <w:r w:rsidR="008A0A41">
              <w:rPr>
                <w:sz w:val="20"/>
                <w:szCs w:val="20"/>
              </w:rPr>
              <w:t>issues</w:t>
            </w:r>
            <w:r>
              <w:rPr>
                <w:sz w:val="20"/>
                <w:szCs w:val="20"/>
              </w:rPr>
              <w:t xml:space="preserve"> should APRA consider to ensure it</w:t>
            </w:r>
            <w:r w:rsidRPr="008873A5">
              <w:rPr>
                <w:sz w:val="20"/>
                <w:szCs w:val="20"/>
              </w:rPr>
              <w:t xml:space="preserve"> strike</w:t>
            </w:r>
            <w:r>
              <w:rPr>
                <w:sz w:val="20"/>
                <w:szCs w:val="20"/>
              </w:rPr>
              <w:t>s</w:t>
            </w:r>
            <w:r w:rsidRPr="008873A5">
              <w:rPr>
                <w:sz w:val="20"/>
                <w:szCs w:val="20"/>
              </w:rPr>
              <w:t xml:space="preserve"> an appropriate balance between the objectives of financial safety and efficiency, competition, contestability and competitive neutrality, whilst promoting financial stabilit</w:t>
            </w:r>
            <w:r w:rsidRPr="00AD7D06">
              <w:rPr>
                <w:sz w:val="20"/>
                <w:szCs w:val="20"/>
              </w:rPr>
              <w:t>y</w:t>
            </w:r>
            <w:r>
              <w:rPr>
                <w:sz w:val="20"/>
                <w:szCs w:val="20"/>
              </w:rPr>
              <w:t>?</w:t>
            </w:r>
          </w:p>
          <w:p w14:paraId="47E9FD96" w14:textId="045DDF6A" w:rsidR="00B7494C" w:rsidRPr="0021177B" w:rsidRDefault="00B7494C" w:rsidP="000B4245">
            <w:pPr>
              <w:pStyle w:val="Default"/>
              <w:rPr>
                <w:sz w:val="16"/>
                <w:szCs w:val="16"/>
              </w:rPr>
            </w:pPr>
          </w:p>
        </w:tc>
      </w:tr>
      <w:tr w:rsidR="00B7494C" w14:paraId="27E551F9" w14:textId="77777777" w:rsidTr="000B4245">
        <w:trPr>
          <w:trHeight w:val="311"/>
        </w:trPr>
        <w:tc>
          <w:tcPr>
            <w:tcW w:w="1809" w:type="dxa"/>
            <w:shd w:val="clear" w:color="auto" w:fill="002060"/>
          </w:tcPr>
          <w:p w14:paraId="2C979232" w14:textId="77777777" w:rsidR="00B7494C" w:rsidRPr="00D117AE" w:rsidRDefault="00B7494C" w:rsidP="000B4245">
            <w:pPr>
              <w:pStyle w:val="Default"/>
              <w:rPr>
                <w:rFonts w:cstheme="minorBidi"/>
                <w:color w:val="FFFFFF" w:themeColor="background1"/>
              </w:rPr>
            </w:pPr>
          </w:p>
          <w:p w14:paraId="4DD04023" w14:textId="77777777" w:rsidR="00B7494C" w:rsidRPr="00D117AE" w:rsidRDefault="00B7494C" w:rsidP="000B4245">
            <w:pPr>
              <w:pStyle w:val="Default"/>
              <w:rPr>
                <w:color w:val="FFFFFF" w:themeColor="background1"/>
                <w:sz w:val="20"/>
                <w:szCs w:val="20"/>
              </w:rPr>
            </w:pPr>
            <w:r w:rsidRPr="00D117AE">
              <w:rPr>
                <w:color w:val="FFFFFF" w:themeColor="background1"/>
                <w:sz w:val="20"/>
                <w:szCs w:val="20"/>
              </w:rPr>
              <w:t xml:space="preserve">Question 3 </w:t>
            </w:r>
          </w:p>
          <w:p w14:paraId="49394C7D" w14:textId="77777777" w:rsidR="00B7494C" w:rsidRPr="00D117AE" w:rsidRDefault="00B7494C" w:rsidP="000B4245">
            <w:pPr>
              <w:pStyle w:val="Default"/>
              <w:rPr>
                <w:color w:val="FFFFFF" w:themeColor="background1"/>
                <w:sz w:val="20"/>
                <w:szCs w:val="20"/>
              </w:rPr>
            </w:pPr>
          </w:p>
        </w:tc>
        <w:tc>
          <w:tcPr>
            <w:tcW w:w="6995" w:type="dxa"/>
            <w:shd w:val="clear" w:color="auto" w:fill="D9D9D9" w:themeFill="background1" w:themeFillShade="D9"/>
            <w:vAlign w:val="center"/>
          </w:tcPr>
          <w:p w14:paraId="6880FFA0" w14:textId="77777777" w:rsidR="00FC0068" w:rsidRPr="0021177B" w:rsidRDefault="00FC0068" w:rsidP="000B4245">
            <w:pPr>
              <w:pStyle w:val="Default"/>
              <w:rPr>
                <w:sz w:val="16"/>
                <w:szCs w:val="16"/>
              </w:rPr>
            </w:pPr>
          </w:p>
          <w:p w14:paraId="7D9183CF" w14:textId="6C18008A" w:rsidR="00FC0068" w:rsidRDefault="00B7494C" w:rsidP="000B4245">
            <w:pPr>
              <w:pStyle w:val="Default"/>
              <w:rPr>
                <w:sz w:val="20"/>
                <w:szCs w:val="20"/>
              </w:rPr>
            </w:pPr>
            <w:r>
              <w:rPr>
                <w:sz w:val="20"/>
                <w:szCs w:val="20"/>
              </w:rPr>
              <w:t xml:space="preserve">This letter outlines a number of options APRA is currently considering as part of the review of LPS 117, including but not limited to, those relating to asset </w:t>
            </w:r>
            <w:r w:rsidR="0041019B">
              <w:rPr>
                <w:sz w:val="20"/>
                <w:szCs w:val="20"/>
              </w:rPr>
              <w:t xml:space="preserve">concentration </w:t>
            </w:r>
            <w:r>
              <w:rPr>
                <w:sz w:val="20"/>
                <w:szCs w:val="20"/>
              </w:rPr>
              <w:t xml:space="preserve">limits and risk mitigants. APRA requests feedback on the appropriateness, </w:t>
            </w:r>
            <w:r w:rsidR="00243842">
              <w:rPr>
                <w:sz w:val="20"/>
                <w:szCs w:val="20"/>
              </w:rPr>
              <w:t xml:space="preserve">feasibility </w:t>
            </w:r>
            <w:r>
              <w:rPr>
                <w:sz w:val="20"/>
                <w:szCs w:val="20"/>
              </w:rPr>
              <w:t xml:space="preserve">and effectiveness of these options. </w:t>
            </w:r>
          </w:p>
          <w:p w14:paraId="36384615" w14:textId="527A8792" w:rsidR="00B7494C" w:rsidRPr="0021177B" w:rsidRDefault="00B7494C" w:rsidP="000B4245">
            <w:pPr>
              <w:pStyle w:val="Default"/>
              <w:rPr>
                <w:sz w:val="16"/>
                <w:szCs w:val="16"/>
              </w:rPr>
            </w:pPr>
          </w:p>
        </w:tc>
      </w:tr>
      <w:tr w:rsidR="00B7494C" w14:paraId="5E1F6261" w14:textId="77777777" w:rsidTr="000B4245">
        <w:trPr>
          <w:trHeight w:val="440"/>
        </w:trPr>
        <w:tc>
          <w:tcPr>
            <w:tcW w:w="1809" w:type="dxa"/>
            <w:shd w:val="clear" w:color="auto" w:fill="002060"/>
          </w:tcPr>
          <w:p w14:paraId="238675BB" w14:textId="77777777" w:rsidR="00B7494C" w:rsidRPr="00D117AE" w:rsidRDefault="00B7494C" w:rsidP="000B4245">
            <w:pPr>
              <w:pStyle w:val="Default"/>
              <w:rPr>
                <w:rFonts w:cstheme="minorBidi"/>
                <w:color w:val="FFFFFF" w:themeColor="background1"/>
              </w:rPr>
            </w:pPr>
          </w:p>
          <w:p w14:paraId="785F4A37" w14:textId="77777777" w:rsidR="00B7494C" w:rsidRPr="00D117AE" w:rsidRDefault="00B7494C" w:rsidP="000B4245">
            <w:pPr>
              <w:pStyle w:val="Default"/>
              <w:rPr>
                <w:color w:val="FFFFFF" w:themeColor="background1"/>
                <w:sz w:val="20"/>
                <w:szCs w:val="20"/>
              </w:rPr>
            </w:pPr>
            <w:r w:rsidRPr="00D117AE">
              <w:rPr>
                <w:color w:val="FFFFFF" w:themeColor="background1"/>
                <w:sz w:val="20"/>
                <w:szCs w:val="20"/>
              </w:rPr>
              <w:t xml:space="preserve">Question 4 </w:t>
            </w:r>
          </w:p>
          <w:p w14:paraId="7AAF2486" w14:textId="77777777" w:rsidR="00B7494C" w:rsidRPr="00D117AE" w:rsidRDefault="00B7494C" w:rsidP="000B4245">
            <w:pPr>
              <w:pStyle w:val="Default"/>
              <w:rPr>
                <w:color w:val="FFFFFF" w:themeColor="background1"/>
                <w:sz w:val="20"/>
                <w:szCs w:val="20"/>
              </w:rPr>
            </w:pPr>
          </w:p>
        </w:tc>
        <w:tc>
          <w:tcPr>
            <w:tcW w:w="6995" w:type="dxa"/>
            <w:shd w:val="clear" w:color="auto" w:fill="D9D9D9" w:themeFill="background1" w:themeFillShade="D9"/>
            <w:vAlign w:val="center"/>
          </w:tcPr>
          <w:p w14:paraId="55E7EF8E" w14:textId="77777777" w:rsidR="00FC0068" w:rsidRPr="0021177B" w:rsidRDefault="00FC0068" w:rsidP="000B4245">
            <w:pPr>
              <w:pStyle w:val="Default"/>
              <w:rPr>
                <w:sz w:val="16"/>
                <w:szCs w:val="16"/>
              </w:rPr>
            </w:pPr>
          </w:p>
          <w:p w14:paraId="31235A06" w14:textId="67D4FDC3" w:rsidR="007A61E7" w:rsidRDefault="00B7494C" w:rsidP="000B4245">
            <w:pPr>
              <w:pStyle w:val="Default"/>
              <w:rPr>
                <w:sz w:val="20"/>
                <w:szCs w:val="20"/>
              </w:rPr>
            </w:pPr>
            <w:r>
              <w:rPr>
                <w:sz w:val="20"/>
                <w:szCs w:val="20"/>
              </w:rPr>
              <w:t xml:space="preserve">APRA is </w:t>
            </w:r>
            <w:r w:rsidR="00243842">
              <w:rPr>
                <w:sz w:val="20"/>
                <w:szCs w:val="20"/>
              </w:rPr>
              <w:t xml:space="preserve">considering </w:t>
            </w:r>
            <w:r>
              <w:rPr>
                <w:sz w:val="20"/>
                <w:szCs w:val="20"/>
              </w:rPr>
              <w:t>respond</w:t>
            </w:r>
            <w:r w:rsidR="00243842">
              <w:rPr>
                <w:sz w:val="20"/>
                <w:szCs w:val="20"/>
              </w:rPr>
              <w:t>ing</w:t>
            </w:r>
            <w:r>
              <w:rPr>
                <w:sz w:val="20"/>
                <w:szCs w:val="20"/>
              </w:rPr>
              <w:t xml:space="preserve"> to increasing use of offshore reinsurers by changing LPS 117. Are there other policy responses which APRA should consider?</w:t>
            </w:r>
          </w:p>
          <w:p w14:paraId="2C193552" w14:textId="4A959BA6" w:rsidR="007A61E7" w:rsidRPr="0021177B" w:rsidRDefault="007A61E7" w:rsidP="000B4245">
            <w:pPr>
              <w:pStyle w:val="Default"/>
              <w:rPr>
                <w:sz w:val="16"/>
                <w:szCs w:val="16"/>
              </w:rPr>
            </w:pPr>
          </w:p>
        </w:tc>
      </w:tr>
    </w:tbl>
    <w:p w14:paraId="73BE6F2F" w14:textId="6C02557F" w:rsidR="00E83AA8" w:rsidRPr="00E83AA8" w:rsidRDefault="00E83AA8" w:rsidP="00C61A87">
      <w:pPr>
        <w:pStyle w:val="Heading5"/>
        <w:numPr>
          <w:ilvl w:val="1"/>
          <w:numId w:val="14"/>
        </w:numPr>
      </w:pPr>
      <w:r>
        <w:t>Request for submissions</w:t>
      </w:r>
    </w:p>
    <w:p w14:paraId="3379D677" w14:textId="7D7361EE" w:rsidR="00E83AA8" w:rsidRDefault="00E83AA8" w:rsidP="00E83AA8">
      <w:r>
        <w:t xml:space="preserve">APRA invites written submissions on </w:t>
      </w:r>
      <w:r w:rsidR="00147B21">
        <w:t>the options contained in this attachment</w:t>
      </w:r>
      <w:r>
        <w:t xml:space="preserve">. Written submissions should be sent </w:t>
      </w:r>
      <w:r w:rsidRPr="008A5C3F">
        <w:t xml:space="preserve">to </w:t>
      </w:r>
      <w:hyperlink r:id="rId17" w:history="1">
        <w:r w:rsidRPr="008A5C3F">
          <w:rPr>
            <w:rStyle w:val="Hyperlink"/>
          </w:rPr>
          <w:t>insurance.policy@apra.gov.au</w:t>
        </w:r>
      </w:hyperlink>
      <w:r>
        <w:t xml:space="preserve"> </w:t>
      </w:r>
      <w:r w:rsidRPr="00C079A4">
        <w:t xml:space="preserve">by </w:t>
      </w:r>
      <w:r w:rsidR="00461117">
        <w:t>10 May</w:t>
      </w:r>
      <w:r w:rsidRPr="0021177B">
        <w:t xml:space="preserve"> 2019</w:t>
      </w:r>
      <w:r w:rsidRPr="00C079A4">
        <w:t xml:space="preserve"> and</w:t>
      </w:r>
      <w:r>
        <w:t xml:space="preserve"> addressed to:</w:t>
      </w:r>
    </w:p>
    <w:p w14:paraId="6425625A" w14:textId="77777777" w:rsidR="00E83AA8" w:rsidRDefault="00E83AA8" w:rsidP="00E7663F">
      <w:pPr>
        <w:keepNext/>
        <w:spacing w:after="0"/>
      </w:pPr>
      <w:r>
        <w:t>General Manager, Policy Development</w:t>
      </w:r>
    </w:p>
    <w:p w14:paraId="093B0FB5" w14:textId="77777777" w:rsidR="00E83AA8" w:rsidRDefault="00E83AA8" w:rsidP="00E83AA8">
      <w:pPr>
        <w:spacing w:after="0"/>
      </w:pPr>
      <w:r>
        <w:t>Policy and Advice Division</w:t>
      </w:r>
    </w:p>
    <w:p w14:paraId="39D653A4" w14:textId="77777777" w:rsidR="00E83AA8" w:rsidRDefault="00E83AA8" w:rsidP="00E83AA8">
      <w:pPr>
        <w:spacing w:after="0"/>
      </w:pPr>
      <w:r>
        <w:t>Australian Prudential Regulation Authority</w:t>
      </w:r>
    </w:p>
    <w:p w14:paraId="6E539FF4" w14:textId="77777777" w:rsidR="00E83AA8" w:rsidRDefault="00E83AA8" w:rsidP="00C61A87">
      <w:pPr>
        <w:pStyle w:val="Heading5"/>
        <w:numPr>
          <w:ilvl w:val="1"/>
          <w:numId w:val="14"/>
        </w:numPr>
      </w:pPr>
      <w:r>
        <w:t>Important disclosure notice – publication of submissions</w:t>
      </w:r>
    </w:p>
    <w:p w14:paraId="192C4AA1" w14:textId="77777777" w:rsidR="00E83AA8" w:rsidRDefault="00E83AA8" w:rsidP="00E83AA8">
      <w:pPr>
        <w:spacing w:after="0"/>
      </w:pPr>
      <w:r>
        <w:t xml:space="preserve">All information in submissions will be made available to the public on the APRA website unless a respondent expressly requests that all or part of the submission is to remain in confidence. </w:t>
      </w:r>
    </w:p>
    <w:p w14:paraId="5337C70C" w14:textId="77777777" w:rsidR="00E83AA8" w:rsidRDefault="00E83AA8" w:rsidP="00E83AA8">
      <w:pPr>
        <w:spacing w:after="0"/>
      </w:pPr>
    </w:p>
    <w:p w14:paraId="1DDBF8EB" w14:textId="567A4538" w:rsidR="00E83AA8" w:rsidRDefault="00E83AA8" w:rsidP="00E83AA8">
      <w:pPr>
        <w:spacing w:after="0"/>
      </w:pPr>
      <w:r>
        <w:t xml:space="preserve">Automatically generated confidentiality statements in emails </w:t>
      </w:r>
      <w:r w:rsidR="009A6387">
        <w:t xml:space="preserve">will </w:t>
      </w:r>
      <w:r>
        <w:t xml:space="preserve">not suffice for this purpose. </w:t>
      </w:r>
    </w:p>
    <w:p w14:paraId="1AE915E2" w14:textId="77777777" w:rsidR="00E83AA8" w:rsidRDefault="00E83AA8" w:rsidP="00E83AA8">
      <w:pPr>
        <w:spacing w:after="0"/>
      </w:pPr>
    </w:p>
    <w:p w14:paraId="7AF92FA7" w14:textId="77777777" w:rsidR="00E83AA8" w:rsidRDefault="00E83AA8" w:rsidP="00E83AA8">
      <w:pPr>
        <w:spacing w:after="0"/>
      </w:pPr>
      <w:r>
        <w:t xml:space="preserve">Respondents who would like part of their submission to remain in confidence should provide this information marked as confidential in a separate attachment. </w:t>
      </w:r>
    </w:p>
    <w:p w14:paraId="44A60E7B" w14:textId="77777777" w:rsidR="00E83AA8" w:rsidRDefault="00E83AA8" w:rsidP="00E83AA8">
      <w:pPr>
        <w:spacing w:after="0"/>
      </w:pPr>
    </w:p>
    <w:p w14:paraId="3186656B" w14:textId="77777777" w:rsidR="00E83AA8" w:rsidRDefault="00E83AA8" w:rsidP="00E83AA8">
      <w:pPr>
        <w:spacing w:after="0"/>
      </w:pPr>
      <w:r>
        <w:t xml:space="preserve">Submissions may be the subject of a request for access made under the </w:t>
      </w:r>
      <w:r w:rsidRPr="00505531">
        <w:rPr>
          <w:i/>
        </w:rPr>
        <w:t>Freedom of Information Act 1982</w:t>
      </w:r>
      <w:r>
        <w:t xml:space="preserve"> (FOIA).</w:t>
      </w:r>
    </w:p>
    <w:p w14:paraId="0BED8075" w14:textId="77777777" w:rsidR="00E83AA8" w:rsidRDefault="00E83AA8" w:rsidP="00E83AA8">
      <w:pPr>
        <w:spacing w:after="0"/>
      </w:pPr>
    </w:p>
    <w:p w14:paraId="13307437" w14:textId="04D42B50" w:rsidR="00825CD5" w:rsidRDefault="00E83AA8" w:rsidP="00E83AA8">
      <w:pPr>
        <w:spacing w:after="0"/>
      </w:pPr>
      <w:r>
        <w:t xml:space="preserve">APRA will determine such requests, if any, in accordance with the provisions of the FOIA. Information in </w:t>
      </w:r>
      <w:r w:rsidR="00D161D4">
        <w:t xml:space="preserve">a </w:t>
      </w:r>
      <w:r>
        <w:t xml:space="preserve">submission about any APRA-regulated entity </w:t>
      </w:r>
      <w:r w:rsidR="009A6387">
        <w:t xml:space="preserve">that </w:t>
      </w:r>
      <w:r>
        <w:t xml:space="preserve">is not in the public domain and that is identified as confidential will be protected by section 56 of the </w:t>
      </w:r>
      <w:r w:rsidRPr="00B90EC6">
        <w:rPr>
          <w:i/>
        </w:rPr>
        <w:t>Australian Prudential Regulation Authority Act 1998</w:t>
      </w:r>
      <w:r>
        <w:t xml:space="preserve"> and will therefore be exempt from production under the FOIA. </w:t>
      </w:r>
    </w:p>
    <w:p w14:paraId="15D0E868" w14:textId="0C32FDF0" w:rsidR="005B688B" w:rsidRDefault="005B688B" w:rsidP="00FC0068">
      <w:pPr>
        <w:pStyle w:val="Heading5"/>
        <w:numPr>
          <w:ilvl w:val="1"/>
          <w:numId w:val="14"/>
        </w:numPr>
      </w:pPr>
      <w:r>
        <w:t xml:space="preserve">Next steps </w:t>
      </w:r>
    </w:p>
    <w:p w14:paraId="4B9EB90F" w14:textId="40048355" w:rsidR="00B51704" w:rsidRDefault="00817B06" w:rsidP="00817B06">
      <w:r>
        <w:t xml:space="preserve">APRA anticipates that, following </w:t>
      </w:r>
      <w:r w:rsidR="00D65AD9">
        <w:t xml:space="preserve">its </w:t>
      </w:r>
      <w:r>
        <w:t>consideration of submissions received, it will progressively release more de</w:t>
      </w:r>
      <w:r w:rsidR="00313F83">
        <w:t>tailed proposals through draft</w:t>
      </w:r>
      <w:r>
        <w:t xml:space="preserve"> revised prudential standards. </w:t>
      </w:r>
    </w:p>
    <w:p w14:paraId="7D9084F8" w14:textId="36C546AD" w:rsidR="005B688B" w:rsidRDefault="00B51704" w:rsidP="005B688B">
      <w:r>
        <w:t>APRA expects to release a discussion paper, accompanied by draft revised prudential standards, for consultation in the second half of 2019.</w:t>
      </w:r>
      <w:r w:rsidR="00B336EA">
        <w:t xml:space="preserve"> </w:t>
      </w:r>
    </w:p>
    <w:sectPr w:rsidR="005B688B" w:rsidSect="00A11434">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56F3" w14:textId="77777777" w:rsidR="00726307" w:rsidRDefault="00726307" w:rsidP="00DF67F7">
      <w:pPr>
        <w:spacing w:after="0"/>
      </w:pPr>
      <w:r>
        <w:separator/>
      </w:r>
    </w:p>
  </w:endnote>
  <w:endnote w:type="continuationSeparator" w:id="0">
    <w:p w14:paraId="4FF605CE" w14:textId="77777777" w:rsidR="00726307" w:rsidRDefault="00726307" w:rsidP="00DF67F7">
      <w:pPr>
        <w:spacing w:after="0"/>
      </w:pPr>
      <w:r>
        <w:continuationSeparator/>
      </w:r>
    </w:p>
  </w:endnote>
  <w:endnote w:type="continuationNotice" w:id="1">
    <w:p w14:paraId="1AFD117D" w14:textId="77777777" w:rsidR="00726307" w:rsidRDefault="00726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D165" w14:textId="77777777" w:rsidR="00726307" w:rsidRDefault="00726307">
    <w:pPr>
      <w:pStyle w:val="Footer"/>
      <w:rPr>
        <w:noProof/>
      </w:rPr>
    </w:pPr>
    <w:r w:rsidRPr="00164712">
      <w:rPr>
        <w:noProof/>
      </w:rPr>
      <mc:AlternateContent>
        <mc:Choice Requires="wps">
          <w:drawing>
            <wp:anchor distT="0" distB="0" distL="114300" distR="114300" simplePos="0" relativeHeight="251658241" behindDoc="0" locked="0" layoutInCell="1" allowOverlap="1" wp14:anchorId="71E241AB" wp14:editId="0FFE2E1E">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169B2" w14:textId="77777777" w:rsidR="00726307" w:rsidRPr="002D724A" w:rsidRDefault="00726307"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71E241AB"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14:paraId="1E3169B2" w14:textId="77777777" w:rsidR="00726307" w:rsidRPr="002D724A" w:rsidRDefault="00726307"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253BE514" wp14:editId="05D0023E">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56DF1" w14:textId="77777777" w:rsidR="00726307" w:rsidRPr="002D724A" w:rsidRDefault="00726307"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2F60D5">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253BE514"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14:paraId="5BF56DF1" w14:textId="77777777" w:rsidR="00726307" w:rsidRPr="002D724A" w:rsidRDefault="00726307"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2F60D5">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5B6BE3D6" w14:textId="77777777" w:rsidR="00726307" w:rsidRDefault="00726307">
    <w:pPr>
      <w:pStyle w:val="Footer"/>
    </w:pPr>
    <w:r>
      <w:rPr>
        <w:noProof/>
      </w:rPr>
      <w:drawing>
        <wp:anchor distT="0" distB="0" distL="114300" distR="114300" simplePos="0" relativeHeight="251658240" behindDoc="1" locked="0" layoutInCell="1" allowOverlap="1" wp14:anchorId="17F2AD10" wp14:editId="53E5FC8D">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F6F8" w14:textId="77777777" w:rsidR="00726307" w:rsidRDefault="00726307" w:rsidP="00DF67F7">
      <w:pPr>
        <w:spacing w:after="0"/>
      </w:pPr>
      <w:r>
        <w:separator/>
      </w:r>
    </w:p>
  </w:footnote>
  <w:footnote w:type="continuationSeparator" w:id="0">
    <w:p w14:paraId="09F49939" w14:textId="77777777" w:rsidR="00726307" w:rsidRDefault="00726307" w:rsidP="00DF67F7">
      <w:pPr>
        <w:spacing w:after="0"/>
      </w:pPr>
      <w:r>
        <w:continuationSeparator/>
      </w:r>
    </w:p>
  </w:footnote>
  <w:footnote w:type="continuationNotice" w:id="1">
    <w:p w14:paraId="2476CC76" w14:textId="77777777" w:rsidR="00726307" w:rsidRDefault="00726307">
      <w:pPr>
        <w:spacing w:after="0"/>
      </w:pPr>
    </w:p>
  </w:footnote>
  <w:footnote w:id="2">
    <w:p w14:paraId="53BE8BAF" w14:textId="355CDFBC" w:rsidR="00726307" w:rsidRDefault="00726307">
      <w:pPr>
        <w:pStyle w:val="FootnoteText"/>
      </w:pPr>
      <w:r>
        <w:rPr>
          <w:rStyle w:val="FootnoteReference"/>
        </w:rPr>
        <w:footnoteRef/>
      </w:r>
      <w:r>
        <w:t xml:space="preserve"> </w:t>
      </w:r>
      <w:r w:rsidRPr="008873A5">
        <w:rPr>
          <w:rStyle w:val="Hyperlink"/>
          <w:color w:val="auto"/>
          <w:sz w:val="18"/>
          <w:u w:val="none"/>
        </w:rPr>
        <w:t xml:space="preserve">APRA, </w:t>
      </w:r>
      <w:r w:rsidRPr="008873A5">
        <w:rPr>
          <w:rStyle w:val="Hyperlink"/>
          <w:i/>
          <w:color w:val="auto"/>
          <w:sz w:val="18"/>
          <w:u w:val="none"/>
        </w:rPr>
        <w:t>Review of Prudential Standard LPS 117 Capital Adequacy: Asset Concentration Risk Charge</w:t>
      </w:r>
      <w:r w:rsidRPr="00E87BED">
        <w:rPr>
          <w:rStyle w:val="Hyperlink"/>
          <w:color w:val="auto"/>
          <w:sz w:val="18"/>
          <w:u w:val="none"/>
        </w:rPr>
        <w:t xml:space="preserve"> </w:t>
      </w:r>
      <w:r>
        <w:rPr>
          <w:rStyle w:val="Hyperlink"/>
          <w:color w:val="auto"/>
          <w:sz w:val="18"/>
          <w:u w:val="none"/>
        </w:rPr>
        <w:t xml:space="preserve">(Industry Letter, December 2017) available at: </w:t>
      </w:r>
      <w:hyperlink r:id="rId1" w:history="1">
        <w:r w:rsidRPr="00AE5480">
          <w:rPr>
            <w:rStyle w:val="Hyperlink"/>
            <w:sz w:val="18"/>
          </w:rPr>
          <w:t>https://www.apra.gov.au/sites/default/files/review-of-lps-117-15-dec-2017.pdf</w:t>
        </w:r>
      </w:hyperlink>
      <w:r>
        <w:rPr>
          <w:rStyle w:val="Hyperlink"/>
          <w:color w:val="auto"/>
          <w:sz w:val="18"/>
          <w:u w:val="none"/>
        </w:rPr>
        <w:t xml:space="preserve"> </w:t>
      </w:r>
    </w:p>
  </w:footnote>
  <w:footnote w:id="3">
    <w:p w14:paraId="6FB8E9FF" w14:textId="433A6CAE" w:rsidR="00726307" w:rsidRDefault="00726307" w:rsidP="00152AA3">
      <w:pPr>
        <w:pStyle w:val="FootnoteText"/>
      </w:pPr>
      <w:r>
        <w:rPr>
          <w:rStyle w:val="FootnoteReference"/>
        </w:rPr>
        <w:footnoteRef/>
      </w:r>
      <w:r>
        <w:t xml:space="preserve"> </w:t>
      </w:r>
      <w:r w:rsidRPr="008873A5">
        <w:rPr>
          <w:rStyle w:val="Hyperlink"/>
          <w:i/>
          <w:color w:val="auto"/>
          <w:sz w:val="18"/>
          <w:u w:val="none"/>
        </w:rPr>
        <w:t>Prudential Standard LPS 001 Definitions</w:t>
      </w:r>
      <w:r w:rsidRPr="00E87BED">
        <w:t xml:space="preserve"> </w:t>
      </w:r>
      <w:r>
        <w:t>(LPS 001) defines specialist reinsurer as a statutory fund of a registered life company where all policies referable to the fund are reinsurance policies and none of the policies is owned by a related entity of the life company.</w:t>
      </w:r>
    </w:p>
  </w:footnote>
  <w:footnote w:id="4">
    <w:p w14:paraId="71604806" w14:textId="48FBCFCD" w:rsidR="00726307" w:rsidRDefault="00726307" w:rsidP="00AB086F">
      <w:pPr>
        <w:pStyle w:val="FootnoteText"/>
      </w:pPr>
      <w:r>
        <w:rPr>
          <w:rStyle w:val="FootnoteReference"/>
        </w:rPr>
        <w:footnoteRef/>
      </w:r>
      <w:r>
        <w:t xml:space="preserve"> Asset concentration limits for reinsurance assets are determined using a stressed basis, in accordance with paragraph 15 of LPS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99B1" w14:textId="77777777" w:rsidR="00726307" w:rsidRPr="00B815BC" w:rsidRDefault="00726307"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0324FCF0" w14:textId="77777777" w:rsidR="00726307" w:rsidRPr="00B815BC" w:rsidRDefault="00726307" w:rsidP="000A180E">
    <w:pPr>
      <w:autoSpaceDE w:val="0"/>
      <w:autoSpaceDN w:val="0"/>
      <w:adjustRightInd w:val="0"/>
      <w:spacing w:after="0"/>
      <w:ind w:right="-46"/>
      <w:rPr>
        <w:rFonts w:cs="Arial"/>
        <w:color w:val="808080" w:themeColor="background1" w:themeShade="80"/>
        <w:sz w:val="18"/>
        <w:szCs w:val="18"/>
      </w:rPr>
    </w:pPr>
  </w:p>
  <w:p w14:paraId="3D082A4D" w14:textId="77777777" w:rsidR="00726307" w:rsidRPr="00B815BC" w:rsidRDefault="00726307"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E0F6" w14:textId="77777777" w:rsidR="00726307" w:rsidRPr="00B815BC" w:rsidRDefault="00726307"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3916A0D6" wp14:editId="342515FF">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4E2B3BD8" w14:textId="77777777" w:rsidR="00726307" w:rsidRPr="00B815BC" w:rsidRDefault="00726307" w:rsidP="00504FA2">
    <w:pPr>
      <w:pStyle w:val="Header"/>
      <w:rPr>
        <w:rFonts w:cs="Arial"/>
        <w:color w:val="000066"/>
        <w:sz w:val="16"/>
        <w:szCs w:val="16"/>
      </w:rPr>
    </w:pPr>
  </w:p>
  <w:p w14:paraId="6BA3BEAF" w14:textId="77777777" w:rsidR="00726307" w:rsidRDefault="00726307">
    <w:pPr>
      <w:pStyle w:val="Header"/>
      <w:rPr>
        <w:rFonts w:cs="Arial"/>
      </w:rPr>
    </w:pPr>
  </w:p>
  <w:p w14:paraId="03D72B07" w14:textId="77777777" w:rsidR="00726307" w:rsidRPr="00B815BC" w:rsidRDefault="0072630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617B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3C67DA"/>
    <w:multiLevelType w:val="multilevel"/>
    <w:tmpl w:val="9620D3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224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1409B1"/>
    <w:multiLevelType w:val="multilevel"/>
    <w:tmpl w:val="0C09001F"/>
    <w:numStyleLink w:val="111111"/>
  </w:abstractNum>
  <w:abstractNum w:abstractNumId="11" w15:restartNumberingAfterBreak="0">
    <w:nsid w:val="27743608"/>
    <w:multiLevelType w:val="multilevel"/>
    <w:tmpl w:val="9620D3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E76341"/>
    <w:multiLevelType w:val="hybridMultilevel"/>
    <w:tmpl w:val="10562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94376B"/>
    <w:multiLevelType w:val="multilevel"/>
    <w:tmpl w:val="9620D3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257B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03C6B"/>
    <w:multiLevelType w:val="hybridMultilevel"/>
    <w:tmpl w:val="35BCB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90646F"/>
    <w:multiLevelType w:val="hybridMultilevel"/>
    <w:tmpl w:val="8AEE3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B372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6425A0"/>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EFF2F65"/>
    <w:multiLevelType w:val="multilevel"/>
    <w:tmpl w:val="9620D3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619BE"/>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529660D"/>
    <w:multiLevelType w:val="hybridMultilevel"/>
    <w:tmpl w:val="F424BEE2"/>
    <w:lvl w:ilvl="0" w:tplc="9EC8EA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C028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25"/>
  </w:num>
  <w:num w:numId="4">
    <w:abstractNumId w:val="12"/>
  </w:num>
  <w:num w:numId="5">
    <w:abstractNumId w:val="6"/>
  </w:num>
  <w:num w:numId="6">
    <w:abstractNumId w:val="5"/>
  </w:num>
  <w:num w:numId="7">
    <w:abstractNumId w:val="14"/>
  </w:num>
  <w:num w:numId="8">
    <w:abstractNumId w:val="4"/>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24"/>
  </w:num>
  <w:num w:numId="16">
    <w:abstractNumId w:val="15"/>
  </w:num>
  <w:num w:numId="17">
    <w:abstractNumId w:val="22"/>
  </w:num>
  <w:num w:numId="18">
    <w:abstractNumId w:val="7"/>
  </w:num>
  <w:num w:numId="19">
    <w:abstractNumId w:val="9"/>
  </w:num>
  <w:num w:numId="20">
    <w:abstractNumId w:val="27"/>
  </w:num>
  <w:num w:numId="21">
    <w:abstractNumId w:val="21"/>
  </w:num>
  <w:num w:numId="22">
    <w:abstractNumId w:val="11"/>
  </w:num>
  <w:num w:numId="23">
    <w:abstractNumId w:val="18"/>
  </w:num>
  <w:num w:numId="24">
    <w:abstractNumId w:val="23"/>
  </w:num>
  <w:num w:numId="25">
    <w:abstractNumId w:val="8"/>
  </w:num>
  <w:num w:numId="26">
    <w:abstractNumId w:val="19"/>
  </w:num>
  <w:num w:numId="27">
    <w:abstractNumId w:val="17"/>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001E5"/>
    <w:rsid w:val="00003E91"/>
    <w:rsid w:val="0000409B"/>
    <w:rsid w:val="000050CC"/>
    <w:rsid w:val="0000772A"/>
    <w:rsid w:val="00007B73"/>
    <w:rsid w:val="000105AD"/>
    <w:rsid w:val="00020A65"/>
    <w:rsid w:val="000213C1"/>
    <w:rsid w:val="000236B6"/>
    <w:rsid w:val="000309AD"/>
    <w:rsid w:val="00032754"/>
    <w:rsid w:val="0003330B"/>
    <w:rsid w:val="000368A0"/>
    <w:rsid w:val="00042078"/>
    <w:rsid w:val="000425C4"/>
    <w:rsid w:val="00043407"/>
    <w:rsid w:val="00044E8C"/>
    <w:rsid w:val="00054B61"/>
    <w:rsid w:val="0005505D"/>
    <w:rsid w:val="00060082"/>
    <w:rsid w:val="00075C05"/>
    <w:rsid w:val="00077487"/>
    <w:rsid w:val="00082BFF"/>
    <w:rsid w:val="000835FC"/>
    <w:rsid w:val="0008589C"/>
    <w:rsid w:val="00087079"/>
    <w:rsid w:val="000934DF"/>
    <w:rsid w:val="0009669A"/>
    <w:rsid w:val="000967E4"/>
    <w:rsid w:val="00096994"/>
    <w:rsid w:val="00097396"/>
    <w:rsid w:val="000A01FD"/>
    <w:rsid w:val="000A180E"/>
    <w:rsid w:val="000A284D"/>
    <w:rsid w:val="000A4119"/>
    <w:rsid w:val="000A5633"/>
    <w:rsid w:val="000A619E"/>
    <w:rsid w:val="000A624C"/>
    <w:rsid w:val="000A6D61"/>
    <w:rsid w:val="000B0C69"/>
    <w:rsid w:val="000B0EA8"/>
    <w:rsid w:val="000B4245"/>
    <w:rsid w:val="000B52E7"/>
    <w:rsid w:val="000C2455"/>
    <w:rsid w:val="000C306A"/>
    <w:rsid w:val="000C44E3"/>
    <w:rsid w:val="000C4F62"/>
    <w:rsid w:val="000D1074"/>
    <w:rsid w:val="000D1544"/>
    <w:rsid w:val="000D4A5D"/>
    <w:rsid w:val="000D53B1"/>
    <w:rsid w:val="000D667C"/>
    <w:rsid w:val="000D6DD8"/>
    <w:rsid w:val="000E48AD"/>
    <w:rsid w:val="000E72AF"/>
    <w:rsid w:val="000E7716"/>
    <w:rsid w:val="000F04E5"/>
    <w:rsid w:val="000F49AD"/>
    <w:rsid w:val="000F6BC0"/>
    <w:rsid w:val="000F7043"/>
    <w:rsid w:val="000F77F5"/>
    <w:rsid w:val="00100968"/>
    <w:rsid w:val="001029C5"/>
    <w:rsid w:val="00104A21"/>
    <w:rsid w:val="00112F4C"/>
    <w:rsid w:val="00115485"/>
    <w:rsid w:val="001157BC"/>
    <w:rsid w:val="00115968"/>
    <w:rsid w:val="00117240"/>
    <w:rsid w:val="00117A5E"/>
    <w:rsid w:val="00120E2C"/>
    <w:rsid w:val="001239E3"/>
    <w:rsid w:val="001245CF"/>
    <w:rsid w:val="001273E8"/>
    <w:rsid w:val="00130B42"/>
    <w:rsid w:val="00131550"/>
    <w:rsid w:val="00131C73"/>
    <w:rsid w:val="001327E4"/>
    <w:rsid w:val="00132CED"/>
    <w:rsid w:val="00134F93"/>
    <w:rsid w:val="00136679"/>
    <w:rsid w:val="0014074E"/>
    <w:rsid w:val="0014105A"/>
    <w:rsid w:val="001412C9"/>
    <w:rsid w:val="00141E26"/>
    <w:rsid w:val="00144401"/>
    <w:rsid w:val="0014565B"/>
    <w:rsid w:val="00147B21"/>
    <w:rsid w:val="001500D1"/>
    <w:rsid w:val="00150897"/>
    <w:rsid w:val="00150B14"/>
    <w:rsid w:val="00152AA3"/>
    <w:rsid w:val="00156053"/>
    <w:rsid w:val="00156CDC"/>
    <w:rsid w:val="0015752B"/>
    <w:rsid w:val="00161CB9"/>
    <w:rsid w:val="00162013"/>
    <w:rsid w:val="00163113"/>
    <w:rsid w:val="0016464F"/>
    <w:rsid w:val="00164712"/>
    <w:rsid w:val="001665F8"/>
    <w:rsid w:val="00166EA8"/>
    <w:rsid w:val="00167AC3"/>
    <w:rsid w:val="00171174"/>
    <w:rsid w:val="00172B81"/>
    <w:rsid w:val="00175075"/>
    <w:rsid w:val="001754D0"/>
    <w:rsid w:val="00180195"/>
    <w:rsid w:val="00183807"/>
    <w:rsid w:val="00183AEF"/>
    <w:rsid w:val="00185EF6"/>
    <w:rsid w:val="00190C44"/>
    <w:rsid w:val="00195861"/>
    <w:rsid w:val="00197829"/>
    <w:rsid w:val="001A0869"/>
    <w:rsid w:val="001A5086"/>
    <w:rsid w:val="001A6C27"/>
    <w:rsid w:val="001A7AD8"/>
    <w:rsid w:val="001B26F8"/>
    <w:rsid w:val="001B358A"/>
    <w:rsid w:val="001B5A40"/>
    <w:rsid w:val="001C2945"/>
    <w:rsid w:val="001D55A3"/>
    <w:rsid w:val="001D606A"/>
    <w:rsid w:val="001D763D"/>
    <w:rsid w:val="001E0D9A"/>
    <w:rsid w:val="001F3192"/>
    <w:rsid w:val="001F5617"/>
    <w:rsid w:val="001F7466"/>
    <w:rsid w:val="002010B0"/>
    <w:rsid w:val="00202AA7"/>
    <w:rsid w:val="00202C67"/>
    <w:rsid w:val="00202FEC"/>
    <w:rsid w:val="00203332"/>
    <w:rsid w:val="002034AB"/>
    <w:rsid w:val="00210CCA"/>
    <w:rsid w:val="0021177B"/>
    <w:rsid w:val="00211835"/>
    <w:rsid w:val="00214835"/>
    <w:rsid w:val="00215B8F"/>
    <w:rsid w:val="00215BD0"/>
    <w:rsid w:val="00220397"/>
    <w:rsid w:val="00223A16"/>
    <w:rsid w:val="002257C8"/>
    <w:rsid w:val="00225ACC"/>
    <w:rsid w:val="00231FC9"/>
    <w:rsid w:val="00234B78"/>
    <w:rsid w:val="002350DB"/>
    <w:rsid w:val="00236388"/>
    <w:rsid w:val="00243842"/>
    <w:rsid w:val="00261C26"/>
    <w:rsid w:val="00263885"/>
    <w:rsid w:val="002653B7"/>
    <w:rsid w:val="002702A2"/>
    <w:rsid w:val="00270EFE"/>
    <w:rsid w:val="00273AE0"/>
    <w:rsid w:val="002744EE"/>
    <w:rsid w:val="00274565"/>
    <w:rsid w:val="00275EEB"/>
    <w:rsid w:val="00276229"/>
    <w:rsid w:val="002804A2"/>
    <w:rsid w:val="00281FAF"/>
    <w:rsid w:val="00285464"/>
    <w:rsid w:val="00285548"/>
    <w:rsid w:val="00290A89"/>
    <w:rsid w:val="002920A6"/>
    <w:rsid w:val="00293CDD"/>
    <w:rsid w:val="00294597"/>
    <w:rsid w:val="002A03B5"/>
    <w:rsid w:val="002A55A2"/>
    <w:rsid w:val="002A6354"/>
    <w:rsid w:val="002B570B"/>
    <w:rsid w:val="002B6555"/>
    <w:rsid w:val="002B78C9"/>
    <w:rsid w:val="002B7CC7"/>
    <w:rsid w:val="002C0030"/>
    <w:rsid w:val="002C08A5"/>
    <w:rsid w:val="002C0E48"/>
    <w:rsid w:val="002C6996"/>
    <w:rsid w:val="002C6C3D"/>
    <w:rsid w:val="002C6F35"/>
    <w:rsid w:val="002D3152"/>
    <w:rsid w:val="002D61F2"/>
    <w:rsid w:val="002E0974"/>
    <w:rsid w:val="002E256A"/>
    <w:rsid w:val="002E3172"/>
    <w:rsid w:val="002E35D3"/>
    <w:rsid w:val="002E35FE"/>
    <w:rsid w:val="002E4CA3"/>
    <w:rsid w:val="002E60E8"/>
    <w:rsid w:val="002E6A09"/>
    <w:rsid w:val="002E781B"/>
    <w:rsid w:val="002F5E58"/>
    <w:rsid w:val="002F60D5"/>
    <w:rsid w:val="00305756"/>
    <w:rsid w:val="00307F73"/>
    <w:rsid w:val="00307FF6"/>
    <w:rsid w:val="00311C81"/>
    <w:rsid w:val="00313BE5"/>
    <w:rsid w:val="00313F83"/>
    <w:rsid w:val="00314E9D"/>
    <w:rsid w:val="00316D08"/>
    <w:rsid w:val="00326095"/>
    <w:rsid w:val="00326272"/>
    <w:rsid w:val="003273E9"/>
    <w:rsid w:val="00330876"/>
    <w:rsid w:val="00331B4D"/>
    <w:rsid w:val="00336E45"/>
    <w:rsid w:val="0034176E"/>
    <w:rsid w:val="003425B7"/>
    <w:rsid w:val="00343038"/>
    <w:rsid w:val="00344151"/>
    <w:rsid w:val="003466AC"/>
    <w:rsid w:val="00346AE2"/>
    <w:rsid w:val="00347DF5"/>
    <w:rsid w:val="00351FB1"/>
    <w:rsid w:val="003526A1"/>
    <w:rsid w:val="003533DB"/>
    <w:rsid w:val="0035468D"/>
    <w:rsid w:val="00355BF0"/>
    <w:rsid w:val="003560AC"/>
    <w:rsid w:val="00360B22"/>
    <w:rsid w:val="00362230"/>
    <w:rsid w:val="003654C7"/>
    <w:rsid w:val="00367FBF"/>
    <w:rsid w:val="00370DB4"/>
    <w:rsid w:val="00376EC7"/>
    <w:rsid w:val="0037757A"/>
    <w:rsid w:val="00380197"/>
    <w:rsid w:val="00382CA7"/>
    <w:rsid w:val="003839BB"/>
    <w:rsid w:val="003858FD"/>
    <w:rsid w:val="003875BF"/>
    <w:rsid w:val="00390417"/>
    <w:rsid w:val="00396D59"/>
    <w:rsid w:val="00396E7F"/>
    <w:rsid w:val="0039735C"/>
    <w:rsid w:val="00397752"/>
    <w:rsid w:val="003A0416"/>
    <w:rsid w:val="003A32C7"/>
    <w:rsid w:val="003A5F82"/>
    <w:rsid w:val="003A669A"/>
    <w:rsid w:val="003B0896"/>
    <w:rsid w:val="003B3CB6"/>
    <w:rsid w:val="003C0D5A"/>
    <w:rsid w:val="003C1984"/>
    <w:rsid w:val="003C3EFB"/>
    <w:rsid w:val="003C5F2B"/>
    <w:rsid w:val="003C69DA"/>
    <w:rsid w:val="003D17CC"/>
    <w:rsid w:val="003D2848"/>
    <w:rsid w:val="003D5B5A"/>
    <w:rsid w:val="003D5C82"/>
    <w:rsid w:val="003E752C"/>
    <w:rsid w:val="003F6DEC"/>
    <w:rsid w:val="003F7383"/>
    <w:rsid w:val="004013EA"/>
    <w:rsid w:val="00401613"/>
    <w:rsid w:val="004018B5"/>
    <w:rsid w:val="00404D5F"/>
    <w:rsid w:val="0041019B"/>
    <w:rsid w:val="00410913"/>
    <w:rsid w:val="00411903"/>
    <w:rsid w:val="00413396"/>
    <w:rsid w:val="00415C99"/>
    <w:rsid w:val="004169E8"/>
    <w:rsid w:val="00417261"/>
    <w:rsid w:val="004201FA"/>
    <w:rsid w:val="0042798B"/>
    <w:rsid w:val="00431B1C"/>
    <w:rsid w:val="00431CF1"/>
    <w:rsid w:val="00437726"/>
    <w:rsid w:val="00442ED2"/>
    <w:rsid w:val="00446269"/>
    <w:rsid w:val="004466F1"/>
    <w:rsid w:val="00450AD3"/>
    <w:rsid w:val="0045419D"/>
    <w:rsid w:val="00461117"/>
    <w:rsid w:val="004612C7"/>
    <w:rsid w:val="00463119"/>
    <w:rsid w:val="00465750"/>
    <w:rsid w:val="004752F3"/>
    <w:rsid w:val="00475561"/>
    <w:rsid w:val="00482251"/>
    <w:rsid w:val="00485BAB"/>
    <w:rsid w:val="00487C58"/>
    <w:rsid w:val="00491332"/>
    <w:rsid w:val="00492E12"/>
    <w:rsid w:val="004A3D4E"/>
    <w:rsid w:val="004A66C2"/>
    <w:rsid w:val="004B09F6"/>
    <w:rsid w:val="004B1446"/>
    <w:rsid w:val="004B21DB"/>
    <w:rsid w:val="004C0370"/>
    <w:rsid w:val="004C28BD"/>
    <w:rsid w:val="004C3BCF"/>
    <w:rsid w:val="004C5182"/>
    <w:rsid w:val="004C7886"/>
    <w:rsid w:val="004D01D7"/>
    <w:rsid w:val="004D65B5"/>
    <w:rsid w:val="004E5827"/>
    <w:rsid w:val="004E6EFE"/>
    <w:rsid w:val="004F3E8D"/>
    <w:rsid w:val="004F54E7"/>
    <w:rsid w:val="004F5F32"/>
    <w:rsid w:val="004F7078"/>
    <w:rsid w:val="004F76BD"/>
    <w:rsid w:val="00504FA2"/>
    <w:rsid w:val="00505531"/>
    <w:rsid w:val="005124B4"/>
    <w:rsid w:val="00513002"/>
    <w:rsid w:val="005138E5"/>
    <w:rsid w:val="00513BF5"/>
    <w:rsid w:val="005149CC"/>
    <w:rsid w:val="00520394"/>
    <w:rsid w:val="00522029"/>
    <w:rsid w:val="00523E61"/>
    <w:rsid w:val="00525138"/>
    <w:rsid w:val="00525688"/>
    <w:rsid w:val="0052723C"/>
    <w:rsid w:val="005312B6"/>
    <w:rsid w:val="005318E8"/>
    <w:rsid w:val="00532198"/>
    <w:rsid w:val="0053234F"/>
    <w:rsid w:val="00534689"/>
    <w:rsid w:val="00535E6F"/>
    <w:rsid w:val="00536B42"/>
    <w:rsid w:val="00540202"/>
    <w:rsid w:val="00545E97"/>
    <w:rsid w:val="005469AB"/>
    <w:rsid w:val="00552DAC"/>
    <w:rsid w:val="0055357E"/>
    <w:rsid w:val="005553EB"/>
    <w:rsid w:val="005576D9"/>
    <w:rsid w:val="00563969"/>
    <w:rsid w:val="0057186B"/>
    <w:rsid w:val="00571CB2"/>
    <w:rsid w:val="005776F5"/>
    <w:rsid w:val="00583C2F"/>
    <w:rsid w:val="005864C5"/>
    <w:rsid w:val="00590D9C"/>
    <w:rsid w:val="00591D91"/>
    <w:rsid w:val="00592CA9"/>
    <w:rsid w:val="00597B04"/>
    <w:rsid w:val="005A0977"/>
    <w:rsid w:val="005A142E"/>
    <w:rsid w:val="005A1647"/>
    <w:rsid w:val="005A366B"/>
    <w:rsid w:val="005A420A"/>
    <w:rsid w:val="005A6157"/>
    <w:rsid w:val="005A7867"/>
    <w:rsid w:val="005B57BD"/>
    <w:rsid w:val="005B684F"/>
    <w:rsid w:val="005B688B"/>
    <w:rsid w:val="005C6DCE"/>
    <w:rsid w:val="005C77A3"/>
    <w:rsid w:val="005D2CFE"/>
    <w:rsid w:val="005D3ADF"/>
    <w:rsid w:val="005D6F97"/>
    <w:rsid w:val="005D745C"/>
    <w:rsid w:val="005D7A8D"/>
    <w:rsid w:val="005E001B"/>
    <w:rsid w:val="005E528A"/>
    <w:rsid w:val="005F4548"/>
    <w:rsid w:val="005F4819"/>
    <w:rsid w:val="005F50A3"/>
    <w:rsid w:val="005F5169"/>
    <w:rsid w:val="00601812"/>
    <w:rsid w:val="006030C9"/>
    <w:rsid w:val="0061154D"/>
    <w:rsid w:val="00611C65"/>
    <w:rsid w:val="006121C6"/>
    <w:rsid w:val="006159A4"/>
    <w:rsid w:val="00620F44"/>
    <w:rsid w:val="006278F1"/>
    <w:rsid w:val="00630191"/>
    <w:rsid w:val="00630CC7"/>
    <w:rsid w:val="00631381"/>
    <w:rsid w:val="006325E0"/>
    <w:rsid w:val="00634C36"/>
    <w:rsid w:val="00636C1A"/>
    <w:rsid w:val="0063712C"/>
    <w:rsid w:val="00637C36"/>
    <w:rsid w:val="00637F46"/>
    <w:rsid w:val="00640F04"/>
    <w:rsid w:val="00641B81"/>
    <w:rsid w:val="00642247"/>
    <w:rsid w:val="006423A0"/>
    <w:rsid w:val="00650B10"/>
    <w:rsid w:val="00654447"/>
    <w:rsid w:val="006629AF"/>
    <w:rsid w:val="006644A6"/>
    <w:rsid w:val="006670E6"/>
    <w:rsid w:val="00670713"/>
    <w:rsid w:val="006708CA"/>
    <w:rsid w:val="00670CB6"/>
    <w:rsid w:val="00672B1C"/>
    <w:rsid w:val="0067493C"/>
    <w:rsid w:val="006775D9"/>
    <w:rsid w:val="006812A3"/>
    <w:rsid w:val="00681937"/>
    <w:rsid w:val="006829CF"/>
    <w:rsid w:val="00686B9C"/>
    <w:rsid w:val="00691351"/>
    <w:rsid w:val="006937A9"/>
    <w:rsid w:val="00693F2B"/>
    <w:rsid w:val="006A09F4"/>
    <w:rsid w:val="006A25E2"/>
    <w:rsid w:val="006A3038"/>
    <w:rsid w:val="006A51EB"/>
    <w:rsid w:val="006A7263"/>
    <w:rsid w:val="006B0876"/>
    <w:rsid w:val="006B162C"/>
    <w:rsid w:val="006B4691"/>
    <w:rsid w:val="006B6B46"/>
    <w:rsid w:val="006C2756"/>
    <w:rsid w:val="006C2D68"/>
    <w:rsid w:val="006C391B"/>
    <w:rsid w:val="006D2C1D"/>
    <w:rsid w:val="006D6CB2"/>
    <w:rsid w:val="006D7414"/>
    <w:rsid w:val="006E22E8"/>
    <w:rsid w:val="006E44BD"/>
    <w:rsid w:val="006E541C"/>
    <w:rsid w:val="006E5E8C"/>
    <w:rsid w:val="006E7FF7"/>
    <w:rsid w:val="006F09D7"/>
    <w:rsid w:val="006F1715"/>
    <w:rsid w:val="006F2A2F"/>
    <w:rsid w:val="006F301E"/>
    <w:rsid w:val="006F35E3"/>
    <w:rsid w:val="006F4F7E"/>
    <w:rsid w:val="006F5599"/>
    <w:rsid w:val="006F5B35"/>
    <w:rsid w:val="006F7060"/>
    <w:rsid w:val="0070240D"/>
    <w:rsid w:val="007111AA"/>
    <w:rsid w:val="00714C54"/>
    <w:rsid w:val="00716989"/>
    <w:rsid w:val="00720337"/>
    <w:rsid w:val="00720FBE"/>
    <w:rsid w:val="00726307"/>
    <w:rsid w:val="00726485"/>
    <w:rsid w:val="0073129A"/>
    <w:rsid w:val="00731562"/>
    <w:rsid w:val="00732BCA"/>
    <w:rsid w:val="00734C7D"/>
    <w:rsid w:val="007357FD"/>
    <w:rsid w:val="0074127E"/>
    <w:rsid w:val="007427D4"/>
    <w:rsid w:val="007458F4"/>
    <w:rsid w:val="0074655C"/>
    <w:rsid w:val="0075052A"/>
    <w:rsid w:val="007508A0"/>
    <w:rsid w:val="00754600"/>
    <w:rsid w:val="007614FD"/>
    <w:rsid w:val="007631A4"/>
    <w:rsid w:val="00764998"/>
    <w:rsid w:val="007667A4"/>
    <w:rsid w:val="00766D1B"/>
    <w:rsid w:val="007702EF"/>
    <w:rsid w:val="007725DF"/>
    <w:rsid w:val="00775A8F"/>
    <w:rsid w:val="00775CDD"/>
    <w:rsid w:val="00776C57"/>
    <w:rsid w:val="00777BFA"/>
    <w:rsid w:val="00780FB0"/>
    <w:rsid w:val="00781212"/>
    <w:rsid w:val="007826E3"/>
    <w:rsid w:val="00784C22"/>
    <w:rsid w:val="00787044"/>
    <w:rsid w:val="00792120"/>
    <w:rsid w:val="00793A09"/>
    <w:rsid w:val="00794825"/>
    <w:rsid w:val="00796E22"/>
    <w:rsid w:val="007A0190"/>
    <w:rsid w:val="007A1CD7"/>
    <w:rsid w:val="007A3457"/>
    <w:rsid w:val="007A61E7"/>
    <w:rsid w:val="007B2310"/>
    <w:rsid w:val="007B3B3B"/>
    <w:rsid w:val="007B48DF"/>
    <w:rsid w:val="007C4177"/>
    <w:rsid w:val="007C4DA3"/>
    <w:rsid w:val="007D0C7C"/>
    <w:rsid w:val="007D79D2"/>
    <w:rsid w:val="007D7B28"/>
    <w:rsid w:val="007E0D0B"/>
    <w:rsid w:val="007E1CB7"/>
    <w:rsid w:val="007E250B"/>
    <w:rsid w:val="007E7B42"/>
    <w:rsid w:val="007F0C34"/>
    <w:rsid w:val="007F0EA2"/>
    <w:rsid w:val="007F1F6D"/>
    <w:rsid w:val="007F49A7"/>
    <w:rsid w:val="007F5CD1"/>
    <w:rsid w:val="00810507"/>
    <w:rsid w:val="0081133A"/>
    <w:rsid w:val="008153FA"/>
    <w:rsid w:val="00816EED"/>
    <w:rsid w:val="00817439"/>
    <w:rsid w:val="00817B06"/>
    <w:rsid w:val="00817FE9"/>
    <w:rsid w:val="00820059"/>
    <w:rsid w:val="008212ED"/>
    <w:rsid w:val="00821B04"/>
    <w:rsid w:val="00822D8D"/>
    <w:rsid w:val="00825414"/>
    <w:rsid w:val="00825CD5"/>
    <w:rsid w:val="0082698B"/>
    <w:rsid w:val="008302AE"/>
    <w:rsid w:val="008313B2"/>
    <w:rsid w:val="00835FF4"/>
    <w:rsid w:val="00836250"/>
    <w:rsid w:val="008401DD"/>
    <w:rsid w:val="00842792"/>
    <w:rsid w:val="008428AD"/>
    <w:rsid w:val="00842A82"/>
    <w:rsid w:val="00842C99"/>
    <w:rsid w:val="008437A1"/>
    <w:rsid w:val="008444AA"/>
    <w:rsid w:val="00844C65"/>
    <w:rsid w:val="008467BA"/>
    <w:rsid w:val="00846BAA"/>
    <w:rsid w:val="00847731"/>
    <w:rsid w:val="00847D91"/>
    <w:rsid w:val="00857DFC"/>
    <w:rsid w:val="00860227"/>
    <w:rsid w:val="00866102"/>
    <w:rsid w:val="00866815"/>
    <w:rsid w:val="0086707B"/>
    <w:rsid w:val="00870BA8"/>
    <w:rsid w:val="00873637"/>
    <w:rsid w:val="00882163"/>
    <w:rsid w:val="00884A76"/>
    <w:rsid w:val="008873A5"/>
    <w:rsid w:val="0089352E"/>
    <w:rsid w:val="00894707"/>
    <w:rsid w:val="008954B0"/>
    <w:rsid w:val="00895945"/>
    <w:rsid w:val="008A0A41"/>
    <w:rsid w:val="008A1386"/>
    <w:rsid w:val="008A156D"/>
    <w:rsid w:val="008A1972"/>
    <w:rsid w:val="008A4118"/>
    <w:rsid w:val="008A4160"/>
    <w:rsid w:val="008A5C3F"/>
    <w:rsid w:val="008A6559"/>
    <w:rsid w:val="008B0095"/>
    <w:rsid w:val="008B30DA"/>
    <w:rsid w:val="008C0E42"/>
    <w:rsid w:val="008C3A65"/>
    <w:rsid w:val="008D59E9"/>
    <w:rsid w:val="008E10FB"/>
    <w:rsid w:val="008E46FD"/>
    <w:rsid w:val="009025E4"/>
    <w:rsid w:val="00904D01"/>
    <w:rsid w:val="00907681"/>
    <w:rsid w:val="009217B6"/>
    <w:rsid w:val="00921C53"/>
    <w:rsid w:val="00922790"/>
    <w:rsid w:val="0092581F"/>
    <w:rsid w:val="00925C20"/>
    <w:rsid w:val="00926791"/>
    <w:rsid w:val="009305EB"/>
    <w:rsid w:val="009315E8"/>
    <w:rsid w:val="00932703"/>
    <w:rsid w:val="00932DED"/>
    <w:rsid w:val="00933D9D"/>
    <w:rsid w:val="00933E43"/>
    <w:rsid w:val="00936A94"/>
    <w:rsid w:val="00936CC5"/>
    <w:rsid w:val="00936ED4"/>
    <w:rsid w:val="009416C2"/>
    <w:rsid w:val="00942918"/>
    <w:rsid w:val="00942FA7"/>
    <w:rsid w:val="00944BF2"/>
    <w:rsid w:val="009456D8"/>
    <w:rsid w:val="00945721"/>
    <w:rsid w:val="009467F1"/>
    <w:rsid w:val="00947799"/>
    <w:rsid w:val="00955C5B"/>
    <w:rsid w:val="009567FB"/>
    <w:rsid w:val="00957175"/>
    <w:rsid w:val="00961F3E"/>
    <w:rsid w:val="009641CE"/>
    <w:rsid w:val="009677F0"/>
    <w:rsid w:val="00967D4E"/>
    <w:rsid w:val="00971C56"/>
    <w:rsid w:val="009748AA"/>
    <w:rsid w:val="00981EBA"/>
    <w:rsid w:val="00982DDD"/>
    <w:rsid w:val="00983892"/>
    <w:rsid w:val="00985EB9"/>
    <w:rsid w:val="00993FB2"/>
    <w:rsid w:val="009949F1"/>
    <w:rsid w:val="009958E6"/>
    <w:rsid w:val="009972C1"/>
    <w:rsid w:val="009A1349"/>
    <w:rsid w:val="009A3B79"/>
    <w:rsid w:val="009A5C50"/>
    <w:rsid w:val="009A6387"/>
    <w:rsid w:val="009B1FED"/>
    <w:rsid w:val="009B6C25"/>
    <w:rsid w:val="009B7E9B"/>
    <w:rsid w:val="009C1A26"/>
    <w:rsid w:val="009C58A6"/>
    <w:rsid w:val="009C5ACC"/>
    <w:rsid w:val="009D1B99"/>
    <w:rsid w:val="009D1EF3"/>
    <w:rsid w:val="009D5D98"/>
    <w:rsid w:val="009E0348"/>
    <w:rsid w:val="009E1B6C"/>
    <w:rsid w:val="009E3344"/>
    <w:rsid w:val="009E5F70"/>
    <w:rsid w:val="009E5FF8"/>
    <w:rsid w:val="009E7150"/>
    <w:rsid w:val="009F0F77"/>
    <w:rsid w:val="009F3185"/>
    <w:rsid w:val="009F31A7"/>
    <w:rsid w:val="00A00A58"/>
    <w:rsid w:val="00A014DF"/>
    <w:rsid w:val="00A033B7"/>
    <w:rsid w:val="00A035C5"/>
    <w:rsid w:val="00A11434"/>
    <w:rsid w:val="00A13A59"/>
    <w:rsid w:val="00A13C8F"/>
    <w:rsid w:val="00A16F54"/>
    <w:rsid w:val="00A177FD"/>
    <w:rsid w:val="00A178E3"/>
    <w:rsid w:val="00A26790"/>
    <w:rsid w:val="00A328E6"/>
    <w:rsid w:val="00A41673"/>
    <w:rsid w:val="00A45A9C"/>
    <w:rsid w:val="00A46211"/>
    <w:rsid w:val="00A47FB2"/>
    <w:rsid w:val="00A61448"/>
    <w:rsid w:val="00A64BAF"/>
    <w:rsid w:val="00A65AB6"/>
    <w:rsid w:val="00A66EF9"/>
    <w:rsid w:val="00A67D5D"/>
    <w:rsid w:val="00A80640"/>
    <w:rsid w:val="00A909C1"/>
    <w:rsid w:val="00A95355"/>
    <w:rsid w:val="00A96289"/>
    <w:rsid w:val="00A97747"/>
    <w:rsid w:val="00A97A7F"/>
    <w:rsid w:val="00AA249E"/>
    <w:rsid w:val="00AA2D9E"/>
    <w:rsid w:val="00AA6702"/>
    <w:rsid w:val="00AA7748"/>
    <w:rsid w:val="00AB0707"/>
    <w:rsid w:val="00AB086F"/>
    <w:rsid w:val="00AB26C2"/>
    <w:rsid w:val="00AC2977"/>
    <w:rsid w:val="00AC6584"/>
    <w:rsid w:val="00AC70EC"/>
    <w:rsid w:val="00AD10FA"/>
    <w:rsid w:val="00AD232D"/>
    <w:rsid w:val="00AD7D06"/>
    <w:rsid w:val="00AE10AA"/>
    <w:rsid w:val="00AE1E1A"/>
    <w:rsid w:val="00AE4357"/>
    <w:rsid w:val="00AE435E"/>
    <w:rsid w:val="00AE5480"/>
    <w:rsid w:val="00AE6986"/>
    <w:rsid w:val="00AF5D92"/>
    <w:rsid w:val="00AF5ECB"/>
    <w:rsid w:val="00B028A7"/>
    <w:rsid w:val="00B04AA0"/>
    <w:rsid w:val="00B05452"/>
    <w:rsid w:val="00B1164E"/>
    <w:rsid w:val="00B15EBE"/>
    <w:rsid w:val="00B207DF"/>
    <w:rsid w:val="00B2140D"/>
    <w:rsid w:val="00B223EE"/>
    <w:rsid w:val="00B22F37"/>
    <w:rsid w:val="00B24898"/>
    <w:rsid w:val="00B2677E"/>
    <w:rsid w:val="00B27AA8"/>
    <w:rsid w:val="00B336EA"/>
    <w:rsid w:val="00B37173"/>
    <w:rsid w:val="00B411E6"/>
    <w:rsid w:val="00B419CF"/>
    <w:rsid w:val="00B442FB"/>
    <w:rsid w:val="00B448D5"/>
    <w:rsid w:val="00B466BF"/>
    <w:rsid w:val="00B46A41"/>
    <w:rsid w:val="00B46EB9"/>
    <w:rsid w:val="00B4749F"/>
    <w:rsid w:val="00B51001"/>
    <w:rsid w:val="00B51704"/>
    <w:rsid w:val="00B53211"/>
    <w:rsid w:val="00B5405D"/>
    <w:rsid w:val="00B55637"/>
    <w:rsid w:val="00B57564"/>
    <w:rsid w:val="00B57607"/>
    <w:rsid w:val="00B60009"/>
    <w:rsid w:val="00B6374E"/>
    <w:rsid w:val="00B676E2"/>
    <w:rsid w:val="00B7104F"/>
    <w:rsid w:val="00B718DB"/>
    <w:rsid w:val="00B73DE0"/>
    <w:rsid w:val="00B74393"/>
    <w:rsid w:val="00B7494C"/>
    <w:rsid w:val="00B76F1B"/>
    <w:rsid w:val="00B815BC"/>
    <w:rsid w:val="00B867F3"/>
    <w:rsid w:val="00B8713B"/>
    <w:rsid w:val="00B87BC1"/>
    <w:rsid w:val="00B90EC6"/>
    <w:rsid w:val="00B93CA0"/>
    <w:rsid w:val="00B97A98"/>
    <w:rsid w:val="00BA0778"/>
    <w:rsid w:val="00BA665D"/>
    <w:rsid w:val="00BB4859"/>
    <w:rsid w:val="00BB52E8"/>
    <w:rsid w:val="00BB6866"/>
    <w:rsid w:val="00BC2869"/>
    <w:rsid w:val="00BC45FC"/>
    <w:rsid w:val="00BC4675"/>
    <w:rsid w:val="00BD0919"/>
    <w:rsid w:val="00BD27A4"/>
    <w:rsid w:val="00BD3334"/>
    <w:rsid w:val="00BD3693"/>
    <w:rsid w:val="00BE14D8"/>
    <w:rsid w:val="00BE1997"/>
    <w:rsid w:val="00BE19E2"/>
    <w:rsid w:val="00BE1A24"/>
    <w:rsid w:val="00BE5931"/>
    <w:rsid w:val="00BE5CB6"/>
    <w:rsid w:val="00BE67DE"/>
    <w:rsid w:val="00BF0D44"/>
    <w:rsid w:val="00BF5BEE"/>
    <w:rsid w:val="00BF6E3B"/>
    <w:rsid w:val="00C02D37"/>
    <w:rsid w:val="00C05451"/>
    <w:rsid w:val="00C079A4"/>
    <w:rsid w:val="00C1000D"/>
    <w:rsid w:val="00C24160"/>
    <w:rsid w:val="00C26E71"/>
    <w:rsid w:val="00C332D1"/>
    <w:rsid w:val="00C33745"/>
    <w:rsid w:val="00C358C8"/>
    <w:rsid w:val="00C36365"/>
    <w:rsid w:val="00C36EE0"/>
    <w:rsid w:val="00C41B17"/>
    <w:rsid w:val="00C4282A"/>
    <w:rsid w:val="00C45268"/>
    <w:rsid w:val="00C455BF"/>
    <w:rsid w:val="00C4616D"/>
    <w:rsid w:val="00C4666E"/>
    <w:rsid w:val="00C46C5E"/>
    <w:rsid w:val="00C4712C"/>
    <w:rsid w:val="00C52155"/>
    <w:rsid w:val="00C5330A"/>
    <w:rsid w:val="00C569D5"/>
    <w:rsid w:val="00C605B7"/>
    <w:rsid w:val="00C61A87"/>
    <w:rsid w:val="00C66141"/>
    <w:rsid w:val="00C70E6A"/>
    <w:rsid w:val="00C720AB"/>
    <w:rsid w:val="00C7252B"/>
    <w:rsid w:val="00C75E02"/>
    <w:rsid w:val="00C77E22"/>
    <w:rsid w:val="00C8171E"/>
    <w:rsid w:val="00C82C9C"/>
    <w:rsid w:val="00C846EB"/>
    <w:rsid w:val="00C84FB6"/>
    <w:rsid w:val="00C86F9B"/>
    <w:rsid w:val="00C87EC3"/>
    <w:rsid w:val="00C91A96"/>
    <w:rsid w:val="00C94C30"/>
    <w:rsid w:val="00C97754"/>
    <w:rsid w:val="00CA2114"/>
    <w:rsid w:val="00CA2144"/>
    <w:rsid w:val="00CA6523"/>
    <w:rsid w:val="00CA6FEE"/>
    <w:rsid w:val="00CB045B"/>
    <w:rsid w:val="00CB33E5"/>
    <w:rsid w:val="00CB387B"/>
    <w:rsid w:val="00CC17E6"/>
    <w:rsid w:val="00CC29AA"/>
    <w:rsid w:val="00CC7598"/>
    <w:rsid w:val="00CC7D50"/>
    <w:rsid w:val="00CD0371"/>
    <w:rsid w:val="00CD21A9"/>
    <w:rsid w:val="00CD28E7"/>
    <w:rsid w:val="00CD292F"/>
    <w:rsid w:val="00CD6047"/>
    <w:rsid w:val="00CD77CB"/>
    <w:rsid w:val="00CE13D9"/>
    <w:rsid w:val="00CE54E5"/>
    <w:rsid w:val="00CF0180"/>
    <w:rsid w:val="00CF0B30"/>
    <w:rsid w:val="00CF1404"/>
    <w:rsid w:val="00CF433B"/>
    <w:rsid w:val="00CF4C8E"/>
    <w:rsid w:val="00CF67AE"/>
    <w:rsid w:val="00D03088"/>
    <w:rsid w:val="00D03B69"/>
    <w:rsid w:val="00D04B53"/>
    <w:rsid w:val="00D117AE"/>
    <w:rsid w:val="00D12335"/>
    <w:rsid w:val="00D132E7"/>
    <w:rsid w:val="00D13E80"/>
    <w:rsid w:val="00D15328"/>
    <w:rsid w:val="00D155B1"/>
    <w:rsid w:val="00D161D4"/>
    <w:rsid w:val="00D17139"/>
    <w:rsid w:val="00D22039"/>
    <w:rsid w:val="00D22677"/>
    <w:rsid w:val="00D265CC"/>
    <w:rsid w:val="00D26B09"/>
    <w:rsid w:val="00D26C09"/>
    <w:rsid w:val="00D3313C"/>
    <w:rsid w:val="00D43352"/>
    <w:rsid w:val="00D448B4"/>
    <w:rsid w:val="00D4565E"/>
    <w:rsid w:val="00D50EE8"/>
    <w:rsid w:val="00D516EE"/>
    <w:rsid w:val="00D57576"/>
    <w:rsid w:val="00D576D4"/>
    <w:rsid w:val="00D62FB2"/>
    <w:rsid w:val="00D65AD9"/>
    <w:rsid w:val="00D670D1"/>
    <w:rsid w:val="00D67323"/>
    <w:rsid w:val="00D71D61"/>
    <w:rsid w:val="00D73669"/>
    <w:rsid w:val="00D744F8"/>
    <w:rsid w:val="00D80C22"/>
    <w:rsid w:val="00D84595"/>
    <w:rsid w:val="00D91234"/>
    <w:rsid w:val="00D92768"/>
    <w:rsid w:val="00D97194"/>
    <w:rsid w:val="00DA65E5"/>
    <w:rsid w:val="00DB0CCA"/>
    <w:rsid w:val="00DB229C"/>
    <w:rsid w:val="00DB435A"/>
    <w:rsid w:val="00DB67E7"/>
    <w:rsid w:val="00DB7E99"/>
    <w:rsid w:val="00DC477E"/>
    <w:rsid w:val="00DC6CB5"/>
    <w:rsid w:val="00DC6E63"/>
    <w:rsid w:val="00DD0BA3"/>
    <w:rsid w:val="00DD16D5"/>
    <w:rsid w:val="00DD2EB6"/>
    <w:rsid w:val="00DE27FC"/>
    <w:rsid w:val="00DE658F"/>
    <w:rsid w:val="00DF55F9"/>
    <w:rsid w:val="00DF66FC"/>
    <w:rsid w:val="00DF67F7"/>
    <w:rsid w:val="00E02DA8"/>
    <w:rsid w:val="00E13470"/>
    <w:rsid w:val="00E158DF"/>
    <w:rsid w:val="00E15942"/>
    <w:rsid w:val="00E16C9C"/>
    <w:rsid w:val="00E2116B"/>
    <w:rsid w:val="00E228B8"/>
    <w:rsid w:val="00E253D4"/>
    <w:rsid w:val="00E255B9"/>
    <w:rsid w:val="00E25B3A"/>
    <w:rsid w:val="00E269D5"/>
    <w:rsid w:val="00E27805"/>
    <w:rsid w:val="00E27E36"/>
    <w:rsid w:val="00E3201F"/>
    <w:rsid w:val="00E323EC"/>
    <w:rsid w:val="00E32E98"/>
    <w:rsid w:val="00E344E1"/>
    <w:rsid w:val="00E37A7A"/>
    <w:rsid w:val="00E37EA9"/>
    <w:rsid w:val="00E408EA"/>
    <w:rsid w:val="00E40A72"/>
    <w:rsid w:val="00E4174F"/>
    <w:rsid w:val="00E45141"/>
    <w:rsid w:val="00E56126"/>
    <w:rsid w:val="00E56FBE"/>
    <w:rsid w:val="00E70B07"/>
    <w:rsid w:val="00E713C4"/>
    <w:rsid w:val="00E71D78"/>
    <w:rsid w:val="00E72DD5"/>
    <w:rsid w:val="00E75E6E"/>
    <w:rsid w:val="00E7663F"/>
    <w:rsid w:val="00E8005D"/>
    <w:rsid w:val="00E83AA8"/>
    <w:rsid w:val="00E85C54"/>
    <w:rsid w:val="00E85F93"/>
    <w:rsid w:val="00E87689"/>
    <w:rsid w:val="00E87BED"/>
    <w:rsid w:val="00E90BDC"/>
    <w:rsid w:val="00E92B5A"/>
    <w:rsid w:val="00E93CCF"/>
    <w:rsid w:val="00EA08E5"/>
    <w:rsid w:val="00EA0E09"/>
    <w:rsid w:val="00EA61AC"/>
    <w:rsid w:val="00EA6CE4"/>
    <w:rsid w:val="00EB3085"/>
    <w:rsid w:val="00EB4A69"/>
    <w:rsid w:val="00EC122B"/>
    <w:rsid w:val="00EC37BF"/>
    <w:rsid w:val="00ED31EA"/>
    <w:rsid w:val="00ED52DB"/>
    <w:rsid w:val="00EE110C"/>
    <w:rsid w:val="00EE3475"/>
    <w:rsid w:val="00EE3FC4"/>
    <w:rsid w:val="00EE4CD5"/>
    <w:rsid w:val="00EF0618"/>
    <w:rsid w:val="00EF28D4"/>
    <w:rsid w:val="00F01281"/>
    <w:rsid w:val="00F02120"/>
    <w:rsid w:val="00F02DA0"/>
    <w:rsid w:val="00F05B53"/>
    <w:rsid w:val="00F05EE8"/>
    <w:rsid w:val="00F05FA3"/>
    <w:rsid w:val="00F05FA7"/>
    <w:rsid w:val="00F11BE4"/>
    <w:rsid w:val="00F16CD6"/>
    <w:rsid w:val="00F2179C"/>
    <w:rsid w:val="00F307C4"/>
    <w:rsid w:val="00F32F94"/>
    <w:rsid w:val="00F35BDB"/>
    <w:rsid w:val="00F36EF7"/>
    <w:rsid w:val="00F436BF"/>
    <w:rsid w:val="00F448A0"/>
    <w:rsid w:val="00F45525"/>
    <w:rsid w:val="00F45A52"/>
    <w:rsid w:val="00F4635E"/>
    <w:rsid w:val="00F50A2F"/>
    <w:rsid w:val="00F53F4C"/>
    <w:rsid w:val="00F60AFA"/>
    <w:rsid w:val="00F616D4"/>
    <w:rsid w:val="00F61F6F"/>
    <w:rsid w:val="00F75E5B"/>
    <w:rsid w:val="00F81569"/>
    <w:rsid w:val="00F82E0C"/>
    <w:rsid w:val="00F838F8"/>
    <w:rsid w:val="00F84455"/>
    <w:rsid w:val="00F85E04"/>
    <w:rsid w:val="00F91647"/>
    <w:rsid w:val="00F94EE2"/>
    <w:rsid w:val="00FA0A18"/>
    <w:rsid w:val="00FA218E"/>
    <w:rsid w:val="00FA3370"/>
    <w:rsid w:val="00FA44A9"/>
    <w:rsid w:val="00FA4A4B"/>
    <w:rsid w:val="00FA5CFF"/>
    <w:rsid w:val="00FB257D"/>
    <w:rsid w:val="00FB4A43"/>
    <w:rsid w:val="00FC0068"/>
    <w:rsid w:val="00FC01F7"/>
    <w:rsid w:val="00FC3C87"/>
    <w:rsid w:val="00FC68C9"/>
    <w:rsid w:val="00FD1315"/>
    <w:rsid w:val="00FD17BF"/>
    <w:rsid w:val="00FD22F8"/>
    <w:rsid w:val="00FD31D5"/>
    <w:rsid w:val="00FD5DD1"/>
    <w:rsid w:val="00FD77B8"/>
    <w:rsid w:val="00FE19B6"/>
    <w:rsid w:val="00FE2300"/>
    <w:rsid w:val="00FF6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7975A74"/>
  <w15:docId w15:val="{E03F816C-5F63-4F87-B268-1BFA33F3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basedOn w:val="Normal"/>
    <w:link w:val="FootnoteTextChar"/>
    <w:uiPriority w:val="99"/>
    <w:unhideWhenUsed/>
    <w:rsid w:val="00A11434"/>
    <w:rPr>
      <w:sz w:val="18"/>
    </w:rPr>
  </w:style>
  <w:style w:type="character" w:customStyle="1" w:styleId="FootnoteTextChar">
    <w:name w:val="Footnote Text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1"/>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Arial" w:eastAsia="Times New Roman" w:hAnsi="Arial" w:cs="Times New Roman"/>
      <w:szCs w:val="24"/>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2"/>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4"/>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5"/>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6"/>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7"/>
      </w:numPr>
      <w:contextualSpacing w:val="0"/>
    </w:pPr>
  </w:style>
  <w:style w:type="paragraph" w:styleId="ListNumber">
    <w:name w:val="List Number"/>
    <w:basedOn w:val="Normal"/>
    <w:uiPriority w:val="99"/>
    <w:unhideWhenUsed/>
    <w:rsid w:val="00A11434"/>
    <w:pPr>
      <w:numPr>
        <w:numId w:val="8"/>
      </w:numPr>
      <w:contextualSpacing/>
    </w:pPr>
  </w:style>
  <w:style w:type="paragraph" w:styleId="ListNumber2">
    <w:name w:val="List Number 2"/>
    <w:basedOn w:val="Normal"/>
    <w:uiPriority w:val="99"/>
    <w:unhideWhenUsed/>
    <w:rsid w:val="00A11434"/>
    <w:pPr>
      <w:numPr>
        <w:numId w:val="9"/>
      </w:numPr>
      <w:contextualSpacing/>
    </w:pPr>
  </w:style>
  <w:style w:type="paragraph" w:styleId="ListNumber3">
    <w:name w:val="List Number 3"/>
    <w:basedOn w:val="Normal"/>
    <w:link w:val="ListNumber3Char"/>
    <w:uiPriority w:val="99"/>
    <w:unhideWhenUsed/>
    <w:rsid w:val="00A11434"/>
    <w:pPr>
      <w:numPr>
        <w:numId w:val="10"/>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11"/>
      </w:numPr>
      <w:contextualSpacing/>
    </w:pPr>
  </w:style>
  <w:style w:type="paragraph" w:styleId="ListNumber5">
    <w:name w:val="List Number 5"/>
    <w:basedOn w:val="Normal"/>
    <w:uiPriority w:val="99"/>
    <w:semiHidden/>
    <w:unhideWhenUsed/>
    <w:rsid w:val="00A11434"/>
    <w:pPr>
      <w:numPr>
        <w:numId w:val="12"/>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13"/>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unhideWhenUsed/>
    <w:rsid w:val="00A11434"/>
    <w:rPr>
      <w:sz w:val="20"/>
      <w:szCs w:val="20"/>
    </w:rPr>
  </w:style>
  <w:style w:type="character" w:customStyle="1" w:styleId="CommentTextChar">
    <w:name w:val="Comment Text Char"/>
    <w:basedOn w:val="DefaultParagraphFont"/>
    <w:link w:val="CommentText"/>
    <w:uiPriority w:val="99"/>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customStyle="1" w:styleId="Default">
    <w:name w:val="Default"/>
    <w:rsid w:val="005C6DCE"/>
    <w:pPr>
      <w:autoSpaceDE w:val="0"/>
      <w:autoSpaceDN w:val="0"/>
      <w:adjustRightInd w:val="0"/>
      <w:spacing w:after="0" w:line="240" w:lineRule="auto"/>
    </w:pPr>
    <w:rPr>
      <w:rFonts w:ascii="DIN OT" w:hAnsi="DIN OT" w:cs="DIN OT"/>
      <w:color w:val="000000"/>
      <w:sz w:val="24"/>
      <w:szCs w:val="24"/>
    </w:rPr>
  </w:style>
  <w:style w:type="paragraph" w:styleId="CommentSubject">
    <w:name w:val="annotation subject"/>
    <w:basedOn w:val="CommentText"/>
    <w:next w:val="CommentText"/>
    <w:link w:val="CommentSubjectChar"/>
    <w:uiPriority w:val="99"/>
    <w:semiHidden/>
    <w:unhideWhenUsed/>
    <w:rsid w:val="00CB045B"/>
    <w:rPr>
      <w:b/>
      <w:bCs/>
    </w:rPr>
  </w:style>
  <w:style w:type="character" w:customStyle="1" w:styleId="CommentSubjectChar">
    <w:name w:val="Comment Subject Char"/>
    <w:basedOn w:val="CommentTextChar"/>
    <w:link w:val="CommentSubject"/>
    <w:uiPriority w:val="99"/>
    <w:semiHidden/>
    <w:rsid w:val="00CB045B"/>
    <w:rPr>
      <w:rFonts w:ascii="Arial" w:eastAsia="Times New Roman" w:hAnsi="Arial" w:cs="Times New Roman"/>
      <w:b/>
      <w:bCs/>
      <w:sz w:val="20"/>
      <w:szCs w:val="20"/>
    </w:rPr>
  </w:style>
  <w:style w:type="paragraph" w:styleId="Revision">
    <w:name w:val="Revision"/>
    <w:hidden/>
    <w:uiPriority w:val="99"/>
    <w:semiHidden/>
    <w:rsid w:val="005A1647"/>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nsurance.policy@apra.gov.au" TargetMode="External"/><Relationship Id="rId2" Type="http://schemas.openxmlformats.org/officeDocument/2006/relationships/customXml" Target="../customXml/item2.xml"/><Relationship Id="rId16" Type="http://schemas.openxmlformats.org/officeDocument/2006/relationships/hyperlink" Target="mailto:ann.dobinson@apra.gov.au" TargetMode="External"/><Relationship Id="rId20" Type="http://schemas.openxmlformats.org/officeDocument/2006/relationships/header" Target="header2.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surance.policy@apra.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sites/default/files/review-of-lps-117-15-dec-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74" ma:contentTypeDescription="Create a new document." ma:contentTypeScope="" ma:versionID="751e4d03a1c766894eb30dfe27d1eee2">
  <xsd:schema xmlns:xsd="http://www.w3.org/2001/XMLSchema" xmlns:xs="http://www.w3.org/2001/XMLSchema" xmlns:p="http://schemas.microsoft.com/office/2006/metadata/properties" xmlns:ns1="814d62cb-2db6-4c25-ab62-b9075facbc11" targetNamespace="http://schemas.microsoft.com/office/2006/metadata/properties" ma:root="true" ma:fieldsID="61cd0b8df2b1c61f7154aea6536e4dfb"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DOCID-322795542-10721</_dlc_DocId>
    <_dlc_DocIdUrl xmlns="4195ad5f-cdf2-4c4a-8d9b-b7944a108e98">
      <Url>https://pmc01.sharepoint.com/sites/CRMOBPR/_layouts/15/DocIdRedir.aspx?ID=DOCID-322795542-10721</Url>
      <Description>DOCID-322795542-10721</Description>
    </_dlc_DocIdUrl>
  </documentManagement>
</p:properties>
</file>

<file path=customXml/item6.xml><?xml version="1.0" encoding="utf-8"?>
<cdm:cachedDataManifest xmlns:cdm="http://schemas.microsoft.com/2004/VisualStudio/Tools/Applications/CachedDataManifest.xsd" cdm:revision="1"/>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4124-BA68-4824-953C-61054AF0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C191E-CC90-4E61-8644-AA526E19E4B1}"/>
</file>

<file path=customXml/itemProps3.xml><?xml version="1.0" encoding="utf-8"?>
<ds:datastoreItem xmlns:ds="http://schemas.openxmlformats.org/officeDocument/2006/customXml" ds:itemID="{3D575D19-FB37-4CE5-B21D-AF3B9AECB56A}"/>
</file>

<file path=customXml/itemProps4.xml><?xml version="1.0" encoding="utf-8"?>
<ds:datastoreItem xmlns:ds="http://schemas.openxmlformats.org/officeDocument/2006/customXml" ds:itemID="{59C82691-FDB4-4B24-8339-363158219C6D}">
  <ds:schemaRefs>
    <ds:schemaRef ds:uri="http://schemas.microsoft.com/sharepoint/v3/contenttype/forms"/>
  </ds:schemaRefs>
</ds:datastoreItem>
</file>

<file path=customXml/itemProps5.xml><?xml version="1.0" encoding="utf-8"?>
<ds:datastoreItem xmlns:ds="http://schemas.openxmlformats.org/officeDocument/2006/customXml" ds:itemID="{D33EBBC7-A659-4790-8131-3EF657C1E6AC}">
  <ds:schemaRefs>
    <ds:schemaRef ds:uri="814d62cb-2db6-4c25-ab62-b9075facbc11"/>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D5CDC8E2-911A-46D0-B9E8-6169B7CE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3422</Words>
  <Characters>18930</Characters>
  <Application>Microsoft Office Word</Application>
  <DocSecurity>0</DocSecurity>
  <Lines>357</Lines>
  <Paragraphs>144</Paragraphs>
  <ScaleCrop>false</ScaleCrop>
  <HeadingPairs>
    <vt:vector size="2" baseType="variant">
      <vt:variant>
        <vt:lpstr>Title</vt:lpstr>
      </vt:variant>
      <vt:variant>
        <vt:i4>1</vt:i4>
      </vt:variant>
    </vt:vector>
  </HeadingPairs>
  <TitlesOfParts>
    <vt:vector size="1" baseType="lpstr">
      <vt:lpstr>LI industry letter – LPS 117 – March 2019</vt:lpstr>
    </vt:vector>
  </TitlesOfParts>
  <Company>APRA</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industry letter – LPS 117 – March 2019</dc:title>
  <dc:creator>Hooper, Kara</dc:creator>
  <cp:keywords>[SEC=OFFICIAL]</cp:keywords>
  <cp:lastModifiedBy>Emma Nicholson</cp:lastModifiedBy>
  <cp:revision>2</cp:revision>
  <cp:lastPrinted>2019-01-29T02:55:00Z</cp:lastPrinted>
  <dcterms:created xsi:type="dcterms:W3CDTF">2022-02-23T00:32:00Z</dcterms:created>
  <dcterms:modified xsi:type="dcterms:W3CDTF">2022-02-23T00:32:00Z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Letter.vsto|f3f861eb-44d8-4311-bd88-6bfbae40bfe2</vt:lpwstr>
  </property>
  <property fmtid="{D5CDD505-2E9C-101B-9397-08002B2CF9AE}" pid="3" name="_AssemblyName">
    <vt:lpwstr>4E3C66D5-58D4-491E-A7D4-64AF99AF6E8B</vt:lpwstr>
  </property>
  <property fmtid="{D5CDD505-2E9C-101B-9397-08002B2CF9AE}" pid="4" name="PM_Qualifier">
    <vt:lpwstr/>
  </property>
  <property fmtid="{D5CDD505-2E9C-101B-9397-08002B2CF9AE}" pid="5" name="PM_InsertionValue">
    <vt:lpwstr>OFFICIAL</vt:lpwstr>
  </property>
  <property fmtid="{D5CDD505-2E9C-101B-9397-08002B2CF9AE}" pid="6" name="PM_Originator_Hash_SHA1">
    <vt:lpwstr>FD601EB9279B81D19174D871B12407322185A007</vt:lpwstr>
  </property>
  <property fmtid="{D5CDD505-2E9C-101B-9397-08002B2CF9AE}" pid="7" name="PM_SecurityClassification">
    <vt:lpwstr>OFFICIAL</vt:lpwstr>
  </property>
  <property fmtid="{D5CDD505-2E9C-101B-9397-08002B2CF9AE}" pid="8" name="PM_DisplayValueSecClassificationWithQualifier">
    <vt:lpwstr>OFFICIAL</vt:lpwstr>
  </property>
  <property fmtid="{D5CDD505-2E9C-101B-9397-08002B2CF9AE}" pid="9" name="PM_Hash_Version">
    <vt:lpwstr>2018.0</vt:lpwstr>
  </property>
  <property fmtid="{D5CDD505-2E9C-101B-9397-08002B2CF9AE}" pid="10" name="PM_Hash_Salt_Prev">
    <vt:lpwstr>29BE1FD6C653027D40877911202C0949</vt:lpwstr>
  </property>
  <property fmtid="{D5CDD505-2E9C-101B-9397-08002B2CF9AE}" pid="11" name="PM_Hash_Salt">
    <vt:lpwstr>9D1493111E5AD010257EA5EE3B0BEF70</vt:lpwstr>
  </property>
  <property fmtid="{D5CDD505-2E9C-101B-9397-08002B2CF9AE}" pid="12" name="PM_Hash_SHA1">
    <vt:lpwstr>5A0A89267D1797719CA55CC850E25AE19D7776EB</vt:lpwstr>
  </property>
  <property fmtid="{D5CDD505-2E9C-101B-9397-08002B2CF9AE}" pid="13" name="PM_Caveats_Count">
    <vt:lpwstr>0</vt:lpwstr>
  </property>
  <property fmtid="{D5CDD505-2E9C-101B-9397-08002B2CF9AE}" pid="14" name="PM_SecurityClassification_Prev">
    <vt:lpwstr>UNCLASSIFIED</vt:lpwstr>
  </property>
  <property fmtid="{D5CDD505-2E9C-101B-9397-08002B2CF9AE}" pid="15" name="PM_Qualifier_Prev">
    <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Value_Header">
    <vt:lpwstr>OFFICIAL</vt:lpwstr>
  </property>
  <property fmtid="{D5CDD505-2E9C-101B-9397-08002B2CF9AE}" pid="18" name="PM_ProtectiveMarkingValue_Footer">
    <vt:lpwstr>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Originating_FileId">
    <vt:lpwstr>038C2EDF04594D7F854C35D24BCE91C3</vt:lpwstr>
  </property>
  <property fmtid="{D5CDD505-2E9C-101B-9397-08002B2CF9AE}" pid="23" name="PM_OriginationTimeStamp">
    <vt:lpwstr>2022-02-23T00:32:11Z</vt:lpwstr>
  </property>
  <property fmtid="{D5CDD505-2E9C-101B-9397-08002B2CF9AE}" pid="24" name="PM_MinimumSecurityClassification">
    <vt:lpwstr/>
  </property>
  <property fmtid="{D5CDD505-2E9C-101B-9397-08002B2CF9AE}" pid="25" name="APRASupervisionActivity">
    <vt:lpwstr/>
  </property>
  <property fmtid="{D5CDD505-2E9C-101B-9397-08002B2CF9AE}" pid="26" name="ddd07bbf36a141a39f8147ea6432ba05">
    <vt:lpwstr/>
  </property>
  <property fmtid="{D5CDD505-2E9C-101B-9397-08002B2CF9AE}" pid="27" name="g0806d3060cc4942a58b2ecf989290ba">
    <vt:lpwstr/>
  </property>
  <property fmtid="{D5CDD505-2E9C-101B-9397-08002B2CF9AE}" pid="28" name="APRACostCentre">
    <vt:lpwstr/>
  </property>
  <property fmtid="{D5CDD505-2E9C-101B-9397-08002B2CF9AE}" pid="29" name="APRALevelRole">
    <vt:lpwstr/>
  </property>
  <property fmtid="{D5CDD505-2E9C-101B-9397-08002B2CF9AE}" pid="30" name="i4e4d1b1941346c0a613fbc8252e9520">
    <vt:lpwstr/>
  </property>
  <property fmtid="{D5CDD505-2E9C-101B-9397-08002B2CF9AE}" pid="31" name="ContentTypeId">
    <vt:lpwstr>0x0101009CA239676470E04B809DDC4E24CF2322</vt:lpwstr>
  </property>
  <property fmtid="{D5CDD505-2E9C-101B-9397-08002B2CF9AE}" pid="32" name="APRACourse">
    <vt:lpwstr/>
  </property>
  <property fmtid="{D5CDD505-2E9C-101B-9397-08002B2CF9AE}" pid="33" name="ad304c4a429d418787e029ef4ecab7ed">
    <vt:lpwstr/>
  </property>
  <property fmtid="{D5CDD505-2E9C-101B-9397-08002B2CF9AE}" pid="34" name="IT system type">
    <vt:lpwstr/>
  </property>
  <property fmtid="{D5CDD505-2E9C-101B-9397-08002B2CF9AE}" pid="35" name="APRACategory">
    <vt:lpwstr/>
  </property>
  <property fmtid="{D5CDD505-2E9C-101B-9397-08002B2CF9AE}" pid="36" name="_dlc_DocIdItemGuid">
    <vt:lpwstr>6359389c-ecc1-431c-8e91-dc80a5052b0d</vt:lpwstr>
  </property>
  <property fmtid="{D5CDD505-2E9C-101B-9397-08002B2CF9AE}" pid="37" name="APRAPeerGroup">
    <vt:lpwstr/>
  </property>
  <property fmtid="{D5CDD505-2E9C-101B-9397-08002B2CF9AE}" pid="38" name="nd319d6a8658476c9a69eb3486399f3a">
    <vt:lpwstr/>
  </property>
  <property fmtid="{D5CDD505-2E9C-101B-9397-08002B2CF9AE}" pid="39" name="lf4d1daa69264fbd938fe6384736f7f1">
    <vt:lpwstr/>
  </property>
  <property fmtid="{D5CDD505-2E9C-101B-9397-08002B2CF9AE}" pid="40" name="APRADocumentType">
    <vt:lpwstr>52;#Letter|a529d3d7-b55b-492f-b0d2-59b225906416</vt:lpwstr>
  </property>
  <property fmtid="{D5CDD505-2E9C-101B-9397-08002B2CF9AE}" pid="41" name="APRAStatus">
    <vt:lpwstr>117;#Approved|e3939109-a6e9-4509-8dd5-e74588901ced</vt:lpwstr>
  </property>
  <property fmtid="{D5CDD505-2E9C-101B-9397-08002B2CF9AE}" pid="42" name="APRAPRSG">
    <vt:lpwstr>228;#LPS 117 Capital Adequacy: Asset Concentration Risk Charge|77a11ff1-c0fc-43bc-a349-b672fef8bd4b</vt:lpwstr>
  </property>
  <property fmtid="{D5CDD505-2E9C-101B-9397-08002B2CF9AE}" pid="43" name="APRAEntityAdviceSupport">
    <vt:lpwstr/>
  </property>
  <property fmtid="{D5CDD505-2E9C-101B-9397-08002B2CF9AE}" pid="44" name="APRAActivity">
    <vt:lpwstr>8;#Prudential policy development|4cf81ba0-32a2-4f8f-8216-9e632903331b</vt:lpwstr>
  </property>
  <property fmtid="{D5CDD505-2E9C-101B-9397-08002B2CF9AE}" pid="45" name="APRATemplateType">
    <vt:lpwstr>9;#Common|b6fb27ac-f757-4d62-bc99-778f68d8a9b3;#36;#Administration|b70f8201-ad13-464d-8a4a-a47a8ca55844</vt:lpwstr>
  </property>
  <property fmtid="{D5CDD505-2E9C-101B-9397-08002B2CF9AE}" pid="46" name="ic765c8e09034901a685bcb96e8e5b2b">
    <vt:lpwstr/>
  </property>
  <property fmtid="{D5CDD505-2E9C-101B-9397-08002B2CF9AE}" pid="47" name="APRAReportingGroup">
    <vt:lpwstr/>
  </property>
  <property fmtid="{D5CDD505-2E9C-101B-9397-08002B2CF9AE}" pid="48" name="APRAYear">
    <vt:lpwstr>184;#2018|337d548e-be9a-4363-bbb3-ec2b7c3daa90;#260;#2019|7f488d12-1aa7-4fe3-8821-bfe8262e80d0</vt:lpwstr>
  </property>
  <property fmtid="{D5CDD505-2E9C-101B-9397-08002B2CF9AE}" pid="49" name="APRAIndustry">
    <vt:lpwstr>6;#LI|aa6b8d6f-8851-e311-9e2e-005056b54f10</vt:lpwstr>
  </property>
  <property fmtid="{D5CDD505-2E9C-101B-9397-08002B2CF9AE}" pid="50" name="APRALegislation">
    <vt:lpwstr/>
  </property>
  <property fmtid="{D5CDD505-2E9C-101B-9397-08002B2CF9AE}" pid="51" name="d08d6dad2c984a7fac728f38cd2b3368">
    <vt:lpwstr/>
  </property>
  <property fmtid="{D5CDD505-2E9C-101B-9397-08002B2CF9AE}" pid="52" name="APRAExternalOrganisation">
    <vt:lpwstr/>
  </property>
  <property fmtid="{D5CDD505-2E9C-101B-9397-08002B2CF9AE}" pid="53" name="APRAPrecedentCategory">
    <vt:lpwstr/>
  </property>
  <property fmtid="{D5CDD505-2E9C-101B-9397-08002B2CF9AE}" pid="54" name="i203ac9837b842bb9bbae1464c65f93b">
    <vt:lpwstr/>
  </property>
  <property fmtid="{D5CDD505-2E9C-101B-9397-08002B2CF9AE}" pid="55" name="APRAIRTR">
    <vt:lpwstr/>
  </property>
  <property fmtid="{D5CDD505-2E9C-101B-9397-08002B2CF9AE}" pid="56" name="APRAPeriod">
    <vt:lpwstr/>
  </property>
  <property fmtid="{D5CDD505-2E9C-101B-9397-08002B2CF9AE}" pid="57" name="APRAPrecedentSubCategory">
    <vt:lpwstr/>
  </property>
  <property fmtid="{D5CDD505-2E9C-101B-9397-08002B2CF9AE}" pid="58" name="RecordPoint_WorkflowType">
    <vt:lpwstr>ActiveSubmitStub</vt:lpwstr>
  </property>
  <property fmtid="{D5CDD505-2E9C-101B-9397-08002B2CF9AE}" pid="59" name="RecordPoint_ActiveItemUniqueId">
    <vt:lpwstr>{1d972fe8-7dff-4bb8-b1ca-32062751b57b}</vt:lpwstr>
  </property>
  <property fmtid="{D5CDD505-2E9C-101B-9397-08002B2CF9AE}" pid="60" name="RecordPoint_ActiveItemSiteId">
    <vt:lpwstr>{0108aca2-193a-480a-9365-26eca985c6f0}</vt:lpwstr>
  </property>
  <property fmtid="{D5CDD505-2E9C-101B-9397-08002B2CF9AE}" pid="61" name="RecordPoint_ActiveItemListId">
    <vt:lpwstr>{8524f2be-f3e8-4e4e-b114-b0bf6497a529}</vt:lpwstr>
  </property>
  <property fmtid="{D5CDD505-2E9C-101B-9397-08002B2CF9AE}" pid="62" name="RecordPoint_ActiveItemWebId">
    <vt:lpwstr>{b7c132af-ef8f-43c8-b784-c343c8358833}</vt:lpwstr>
  </property>
  <property fmtid="{D5CDD505-2E9C-101B-9397-08002B2CF9AE}" pid="63" name="RecordPoint_RecordNumberSubmitted">
    <vt:lpwstr>R0000519628</vt:lpwstr>
  </property>
  <property fmtid="{D5CDD505-2E9C-101B-9397-08002B2CF9AE}" pid="64" name="IsLocked">
    <vt:lpwstr>False</vt:lpwstr>
  </property>
  <property fmtid="{D5CDD505-2E9C-101B-9397-08002B2CF9AE}" pid="65" name="RecordPoint_SubmissionCompleted">
    <vt:lpwstr>2019-03-01T15:16:46.5855434+11:00</vt:lpwstr>
  </property>
  <property fmtid="{D5CDD505-2E9C-101B-9397-08002B2CF9AE}" pid="66" name="_docset_NoMedatataSyncRequired">
    <vt:lpwstr>False</vt:lpwstr>
  </property>
  <property fmtid="{D5CDD505-2E9C-101B-9397-08002B2CF9AE}" pid="67" name="PM_Note">
    <vt:lpwstr/>
  </property>
  <property fmtid="{D5CDD505-2E9C-101B-9397-08002B2CF9AE}" pid="68" name="PM_Markers">
    <vt:lpwstr/>
  </property>
  <property fmtid="{D5CDD505-2E9C-101B-9397-08002B2CF9AE}" pid="69" name="PM_Display">
    <vt:lpwstr>OFFICIAL</vt:lpwstr>
  </property>
  <property fmtid="{D5CDD505-2E9C-101B-9397-08002B2CF9AE}" pid="70" name="PMUuid">
    <vt:lpwstr>ABBFF5E2-9674-55C9-B08D-C9980002FD58</vt:lpwstr>
  </property>
  <property fmtid="{D5CDD505-2E9C-101B-9397-08002B2CF9AE}" pid="71" name="PMUuidVer">
    <vt:lpwstr>2022.1</vt:lpwstr>
  </property>
  <property fmtid="{D5CDD505-2E9C-101B-9397-08002B2CF9AE}" pid="72" name="PM_OriginatorUserAccountName_SHA256">
    <vt:lpwstr>52CA578D49D47181320D733DE315BF8BF71643387A629D3D6BA2BF9260CD3A97</vt:lpwstr>
  </property>
  <property fmtid="{D5CDD505-2E9C-101B-9397-08002B2CF9AE}" pid="73" name="PM_OriginatorDomainName_SHA256">
    <vt:lpwstr>ECBDE2B44A971754412B3FB70606937A119CC0D4B6C1B658A40FBD41C30BE3EC</vt:lpwstr>
  </property>
</Properties>
</file>